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09E89B">
      <w:pPr>
        <w:spacing w:line="360" w:lineRule="auto"/>
        <w:jc w:val="center"/>
        <w:rPr>
          <w:rFonts w:ascii="宋体" w:hAnsi="宋体" w:cs="宋体"/>
          <w:b/>
          <w:color w:val="auto"/>
          <w:sz w:val="24"/>
          <w:highlight w:val="none"/>
        </w:rPr>
      </w:pPr>
    </w:p>
    <w:p w14:paraId="03AD02DA">
      <w:pPr>
        <w:spacing w:line="360" w:lineRule="auto"/>
        <w:jc w:val="center"/>
        <w:rPr>
          <w:rFonts w:ascii="宋体" w:hAnsi="宋体" w:cs="宋体"/>
          <w:b/>
          <w:color w:val="auto"/>
          <w:sz w:val="24"/>
          <w:highlight w:val="none"/>
        </w:rPr>
      </w:pPr>
    </w:p>
    <w:p w14:paraId="49C81117">
      <w:pPr>
        <w:adjustRightInd/>
        <w:spacing w:line="360" w:lineRule="auto"/>
        <w:jc w:val="center"/>
        <w:rPr>
          <w:rFonts w:ascii="宋体" w:hAnsi="宋体" w:cs="宋体"/>
          <w:b/>
          <w:color w:val="auto"/>
          <w:sz w:val="44"/>
          <w:szCs w:val="44"/>
          <w:highlight w:val="none"/>
        </w:rPr>
      </w:pPr>
    </w:p>
    <w:p w14:paraId="6DDCECA0">
      <w:pPr>
        <w:spacing w:line="360" w:lineRule="auto"/>
        <w:jc w:val="center"/>
        <w:rPr>
          <w:rFonts w:ascii="宋体" w:hAnsi="宋体" w:cs="宋体"/>
          <w:b/>
          <w:color w:val="auto"/>
          <w:sz w:val="44"/>
          <w:szCs w:val="44"/>
          <w:highlight w:val="none"/>
        </w:rPr>
      </w:pPr>
    </w:p>
    <w:p w14:paraId="22C58C61">
      <w:pPr>
        <w:adjustRightInd/>
        <w:spacing w:line="360" w:lineRule="auto"/>
        <w:jc w:val="center"/>
        <w:rPr>
          <w:rFonts w:ascii="宋体" w:hAnsi="宋体" w:cs="宋体"/>
          <w:b/>
          <w:color w:val="auto"/>
          <w:sz w:val="48"/>
          <w:szCs w:val="48"/>
          <w:highlight w:val="none"/>
        </w:rPr>
      </w:pPr>
    </w:p>
    <w:p w14:paraId="3E7EB172">
      <w:pPr>
        <w:adjustRightInd/>
        <w:spacing w:line="360" w:lineRule="auto"/>
        <w:jc w:val="center"/>
        <w:rPr>
          <w:rFonts w:hint="eastAsia" w:ascii="宋体" w:hAnsi="宋体" w:eastAsia="宋体" w:cs="宋体"/>
          <w:color w:val="auto"/>
          <w:sz w:val="48"/>
          <w:szCs w:val="48"/>
          <w:highlight w:val="none"/>
          <w:lang w:eastAsia="zh-CN"/>
        </w:rPr>
      </w:pPr>
      <w:r>
        <w:rPr>
          <w:rFonts w:hint="eastAsia" w:ascii="宋体" w:hAnsi="宋体" w:cs="宋体"/>
          <w:color w:val="auto"/>
          <w:sz w:val="48"/>
          <w:szCs w:val="48"/>
          <w:highlight w:val="none"/>
          <w:lang w:eastAsia="zh-CN"/>
        </w:rPr>
        <w:t>2024-2027年市管公园综合养管项目</w:t>
      </w:r>
    </w:p>
    <w:p w14:paraId="7DAAA188">
      <w:pPr>
        <w:adjustRightInd/>
        <w:spacing w:line="360" w:lineRule="auto"/>
        <w:jc w:val="center"/>
        <w:rPr>
          <w:rFonts w:ascii="宋体" w:hAnsi="宋体" w:cs="宋体"/>
          <w:color w:val="auto"/>
          <w:sz w:val="48"/>
          <w:szCs w:val="48"/>
          <w:highlight w:val="none"/>
        </w:rPr>
      </w:pPr>
      <w:r>
        <w:rPr>
          <w:rFonts w:hint="eastAsia" w:ascii="宋体" w:hAnsi="宋体" w:cs="宋体"/>
          <w:color w:val="auto"/>
          <w:sz w:val="48"/>
          <w:szCs w:val="48"/>
          <w:highlight w:val="none"/>
        </w:rPr>
        <w:t xml:space="preserve">招标文件 </w:t>
      </w:r>
    </w:p>
    <w:p w14:paraId="2154DE71">
      <w:pPr>
        <w:adjustRightInd/>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（电子招投标）</w:t>
      </w:r>
    </w:p>
    <w:p w14:paraId="0901FA10">
      <w:pPr>
        <w:snapToGrid w:val="0"/>
        <w:spacing w:line="360" w:lineRule="auto"/>
        <w:jc w:val="center"/>
        <w:rPr>
          <w:rFonts w:hint="eastAsia" w:ascii="宋体" w:hAnsi="宋体" w:eastAsia="宋体" w:cs="宋体"/>
          <w:color w:val="auto"/>
          <w:sz w:val="30"/>
          <w:szCs w:val="30"/>
          <w:highlight w:val="none"/>
          <w:lang w:eastAsia="zh-CN"/>
        </w:rPr>
      </w:pPr>
      <w:r>
        <w:rPr>
          <w:rFonts w:hint="eastAsia" w:ascii="宋体" w:hAnsi="宋体" w:cs="宋体"/>
          <w:color w:val="auto"/>
          <w:sz w:val="30"/>
          <w:szCs w:val="30"/>
          <w:highlight w:val="none"/>
        </w:rPr>
        <w:t>编号：</w:t>
      </w:r>
      <w:r>
        <w:rPr>
          <w:rFonts w:hint="eastAsia" w:ascii="宋体" w:hAnsi="宋体" w:cs="宋体"/>
          <w:color w:val="auto"/>
          <w:sz w:val="30"/>
          <w:szCs w:val="30"/>
          <w:highlight w:val="none"/>
          <w:lang w:eastAsia="zh-CN"/>
        </w:rPr>
        <w:t>CBNB-20246487G</w:t>
      </w:r>
    </w:p>
    <w:p w14:paraId="08C4BBE2">
      <w:pPr>
        <w:adjustRightInd/>
        <w:spacing w:line="360" w:lineRule="auto"/>
        <w:rPr>
          <w:rFonts w:ascii="宋体" w:hAnsi="宋体" w:cs="宋体"/>
          <w:color w:val="auto"/>
          <w:sz w:val="28"/>
          <w:szCs w:val="20"/>
          <w:highlight w:val="none"/>
        </w:rPr>
      </w:pPr>
    </w:p>
    <w:p w14:paraId="57EEE805">
      <w:pPr>
        <w:spacing w:line="360" w:lineRule="auto"/>
        <w:jc w:val="center"/>
        <w:rPr>
          <w:rFonts w:ascii="宋体" w:hAnsi="宋体" w:cs="宋体"/>
          <w:b/>
          <w:color w:val="auto"/>
          <w:sz w:val="44"/>
          <w:szCs w:val="44"/>
          <w:highlight w:val="none"/>
        </w:rPr>
      </w:pPr>
    </w:p>
    <w:p w14:paraId="48DCF8C7">
      <w:pPr>
        <w:spacing w:line="360" w:lineRule="auto"/>
        <w:jc w:val="center"/>
        <w:rPr>
          <w:rFonts w:ascii="宋体" w:hAnsi="宋体" w:cs="宋体"/>
          <w:b/>
          <w:color w:val="auto"/>
          <w:sz w:val="44"/>
          <w:szCs w:val="44"/>
          <w:highlight w:val="none"/>
        </w:rPr>
      </w:pPr>
    </w:p>
    <w:p w14:paraId="6B50BCFE">
      <w:pPr>
        <w:spacing w:line="360" w:lineRule="auto"/>
        <w:jc w:val="center"/>
        <w:rPr>
          <w:rFonts w:ascii="宋体" w:hAnsi="宋体" w:cs="宋体"/>
          <w:color w:val="auto"/>
          <w:sz w:val="24"/>
          <w:highlight w:val="none"/>
        </w:rPr>
      </w:pPr>
    </w:p>
    <w:p w14:paraId="2D0220F0">
      <w:pPr>
        <w:spacing w:line="360" w:lineRule="auto"/>
        <w:jc w:val="center"/>
        <w:rPr>
          <w:rFonts w:ascii="宋体" w:hAnsi="宋体" w:cs="宋体"/>
          <w:color w:val="auto"/>
          <w:sz w:val="24"/>
          <w:highlight w:val="none"/>
        </w:rPr>
      </w:pPr>
    </w:p>
    <w:p w14:paraId="1216C68F">
      <w:pPr>
        <w:spacing w:line="360" w:lineRule="auto"/>
        <w:rPr>
          <w:rFonts w:ascii="宋体" w:hAnsi="宋体" w:cs="宋体"/>
          <w:color w:val="auto"/>
          <w:sz w:val="32"/>
          <w:szCs w:val="32"/>
          <w:highlight w:val="none"/>
        </w:rPr>
      </w:pPr>
    </w:p>
    <w:p w14:paraId="1C7F760B">
      <w:pPr>
        <w:snapToGrid w:val="0"/>
        <w:spacing w:line="360" w:lineRule="auto"/>
        <w:jc w:val="center"/>
        <w:rPr>
          <w:rFonts w:hint="eastAsia" w:ascii="宋体" w:hAnsi="宋体" w:eastAsia="宋体" w:cs="宋体"/>
          <w:color w:val="auto"/>
          <w:sz w:val="32"/>
          <w:szCs w:val="32"/>
          <w:highlight w:val="none"/>
          <w:lang w:eastAsia="zh-CN"/>
        </w:rPr>
      </w:pPr>
      <w:r>
        <w:rPr>
          <w:rFonts w:hint="eastAsia" w:ascii="宋体" w:hAnsi="宋体" w:cs="宋体"/>
          <w:color w:val="auto"/>
          <w:sz w:val="32"/>
          <w:szCs w:val="32"/>
          <w:highlight w:val="none"/>
          <w:lang w:eastAsia="zh-CN"/>
        </w:rPr>
        <w:t>宁波市园林绿化中心</w:t>
      </w:r>
    </w:p>
    <w:p w14:paraId="75B0E7EF">
      <w:pPr>
        <w:snapToGrid w:val="0"/>
        <w:spacing w:line="360" w:lineRule="auto"/>
        <w:jc w:val="center"/>
        <w:rPr>
          <w:rFonts w:ascii="宋体" w:hAnsi="宋体" w:cs="宋体"/>
          <w:bCs/>
          <w:color w:val="auto"/>
          <w:sz w:val="32"/>
          <w:szCs w:val="32"/>
          <w:highlight w:val="none"/>
        </w:rPr>
      </w:pPr>
      <w:bookmarkStart w:id="0" w:name="_Toc16884"/>
      <w:r>
        <w:rPr>
          <w:rFonts w:hint="eastAsia" w:ascii="宋体" w:hAnsi="宋体" w:cs="宋体"/>
          <w:bCs/>
          <w:color w:val="auto"/>
          <w:sz w:val="32"/>
          <w:szCs w:val="32"/>
          <w:highlight w:val="none"/>
        </w:rPr>
        <w:t>宁波中基国际招标有限公司</w:t>
      </w:r>
      <w:bookmarkEnd w:id="0"/>
    </w:p>
    <w:p w14:paraId="7EEB6C0C">
      <w:pPr>
        <w:snapToGrid w:val="0"/>
        <w:spacing w:line="360" w:lineRule="auto"/>
        <w:jc w:val="center"/>
        <w:rPr>
          <w:rFonts w:ascii="宋体" w:hAnsi="宋体" w:cs="宋体"/>
          <w:bCs/>
          <w:color w:val="auto"/>
          <w:sz w:val="32"/>
          <w:szCs w:val="32"/>
          <w:highlight w:val="none"/>
        </w:rPr>
      </w:pPr>
      <w:r>
        <w:rPr>
          <w:rFonts w:hint="eastAsia" w:ascii="宋体" w:hAnsi="宋体" w:cs="宋体"/>
          <w:bCs/>
          <w:color w:val="auto"/>
          <w:sz w:val="32"/>
          <w:szCs w:val="32"/>
          <w:highlight w:val="none"/>
        </w:rPr>
        <w:t>二〇二</w:t>
      </w:r>
      <w:r>
        <w:rPr>
          <w:rFonts w:hint="eastAsia" w:ascii="宋体" w:hAnsi="宋体" w:cs="宋体"/>
          <w:bCs/>
          <w:color w:val="auto"/>
          <w:sz w:val="32"/>
          <w:szCs w:val="32"/>
          <w:highlight w:val="none"/>
          <w:lang w:val="en-US" w:eastAsia="zh-CN"/>
        </w:rPr>
        <w:t>四</w:t>
      </w:r>
      <w:r>
        <w:rPr>
          <w:rFonts w:hint="eastAsia" w:ascii="宋体" w:hAnsi="宋体" w:cs="宋体"/>
          <w:bCs/>
          <w:color w:val="auto"/>
          <w:sz w:val="32"/>
          <w:szCs w:val="32"/>
          <w:highlight w:val="none"/>
        </w:rPr>
        <w:t>年</w:t>
      </w:r>
      <w:r>
        <w:rPr>
          <w:rFonts w:hint="eastAsia" w:ascii="宋体" w:hAnsi="宋体" w:cs="宋体"/>
          <w:bCs/>
          <w:color w:val="auto"/>
          <w:sz w:val="32"/>
          <w:szCs w:val="32"/>
          <w:highlight w:val="none"/>
          <w:lang w:val="en-US" w:eastAsia="zh-CN"/>
        </w:rPr>
        <w:t>七</w:t>
      </w:r>
      <w:r>
        <w:rPr>
          <w:rFonts w:hint="eastAsia" w:ascii="宋体" w:hAnsi="宋体" w:cs="宋体"/>
          <w:bCs/>
          <w:color w:val="auto"/>
          <w:sz w:val="32"/>
          <w:szCs w:val="32"/>
          <w:highlight w:val="none"/>
        </w:rPr>
        <w:t>月</w:t>
      </w:r>
    </w:p>
    <w:p w14:paraId="7D7AB3C8">
      <w:pPr>
        <w:spacing w:line="360" w:lineRule="auto"/>
        <w:jc w:val="center"/>
        <w:rPr>
          <w:rFonts w:ascii="宋体" w:hAnsi="宋体" w:cs="宋体"/>
          <w:color w:val="auto"/>
          <w:sz w:val="24"/>
          <w:highlight w:val="none"/>
        </w:rPr>
      </w:pPr>
      <w:r>
        <w:rPr>
          <w:rFonts w:hint="eastAsia" w:ascii="宋体" w:hAnsi="宋体" w:cs="宋体"/>
          <w:color w:val="auto"/>
          <w:sz w:val="24"/>
          <w:highlight w:val="none"/>
        </w:rPr>
        <w:br w:type="page"/>
      </w:r>
      <w:bookmarkStart w:id="1" w:name="_Hlt67893495"/>
      <w:bookmarkEnd w:id="1"/>
    </w:p>
    <w:p w14:paraId="47728187">
      <w:pPr>
        <w:pStyle w:val="635"/>
        <w:outlineLvl w:val="9"/>
        <w:rPr>
          <w:color w:val="auto"/>
          <w:highlight w:val="none"/>
        </w:rPr>
      </w:pPr>
    </w:p>
    <w:sdt>
      <w:sdtPr>
        <w:rPr>
          <w:rFonts w:ascii="宋体" w:hAnsi="宋体"/>
          <w:color w:val="auto"/>
          <w:highlight w:val="none"/>
        </w:rPr>
        <w:id w:val="147461433"/>
        <w15:color w:val="DBDBDB"/>
        <w:docPartObj>
          <w:docPartGallery w:val="Table of Contents"/>
          <w:docPartUnique/>
        </w:docPartObj>
      </w:sdtPr>
      <w:sdtEndPr>
        <w:rPr>
          <w:rFonts w:ascii="宋体" w:hAnsi="宋体"/>
          <w:color w:val="auto"/>
          <w:highlight w:val="none"/>
        </w:rPr>
      </w:sdtEndPr>
      <w:sdtContent>
        <w:p w14:paraId="4E5975C3">
          <w:pPr>
            <w:jc w:val="center"/>
            <w:rPr>
              <w:rFonts w:ascii="宋体" w:hAnsi="宋体" w:cs="宋体"/>
              <w:b/>
              <w:color w:val="auto"/>
              <w:sz w:val="48"/>
              <w:szCs w:val="48"/>
              <w:highlight w:val="none"/>
            </w:rPr>
          </w:pPr>
          <w:r>
            <w:rPr>
              <w:rFonts w:hint="eastAsia" w:ascii="宋体" w:hAnsi="宋体" w:cs="宋体"/>
              <w:b/>
              <w:color w:val="auto"/>
              <w:sz w:val="48"/>
              <w:szCs w:val="48"/>
              <w:highlight w:val="none"/>
            </w:rPr>
            <w:t>目  录</w:t>
          </w:r>
        </w:p>
        <w:p w14:paraId="25859709">
          <w:pPr>
            <w:pStyle w:val="7"/>
            <w:rPr>
              <w:color w:val="auto"/>
              <w:highlight w:val="none"/>
            </w:rPr>
          </w:pPr>
        </w:p>
        <w:p w14:paraId="4276C322">
          <w:pPr>
            <w:pStyle w:val="966"/>
            <w:tabs>
              <w:tab w:val="right" w:leader="dot" w:pos="9070"/>
            </w:tabs>
            <w:spacing w:line="360" w:lineRule="auto"/>
            <w:rPr>
              <w:color w:val="auto"/>
              <w:sz w:val="32"/>
              <w:szCs w:val="32"/>
              <w:highlight w:val="none"/>
            </w:rPr>
          </w:pPr>
          <w:r>
            <w:rPr>
              <w:color w:val="auto"/>
              <w:highlight w:val="none"/>
            </w:rPr>
            <w:fldChar w:fldCharType="begin"/>
          </w:r>
          <w:r>
            <w:rPr>
              <w:color w:val="auto"/>
              <w:highlight w:val="none"/>
            </w:rPr>
            <w:instrText xml:space="preserve">TOC \o "1-1" \h \u </w:instrText>
          </w:r>
          <w:r>
            <w:rPr>
              <w:color w:val="auto"/>
              <w:highlight w:val="none"/>
            </w:rPr>
            <w:fldChar w:fldCharType="separate"/>
          </w:r>
          <w:r>
            <w:rPr>
              <w:color w:val="auto"/>
              <w:highlight w:val="none"/>
            </w:rPr>
            <w:fldChar w:fldCharType="begin"/>
          </w:r>
          <w:r>
            <w:rPr>
              <w:color w:val="auto"/>
              <w:highlight w:val="none"/>
            </w:rPr>
            <w:instrText xml:space="preserve"> HYPERLINK \l "_Toc14111" </w:instrText>
          </w:r>
          <w:r>
            <w:rPr>
              <w:color w:val="auto"/>
              <w:highlight w:val="none"/>
            </w:rPr>
            <w:fldChar w:fldCharType="separate"/>
          </w:r>
          <w:r>
            <w:rPr>
              <w:rFonts w:hint="eastAsia" w:ascii="宋体" w:hAnsi="宋体" w:cs="宋体"/>
              <w:color w:val="auto"/>
              <w:sz w:val="32"/>
              <w:szCs w:val="32"/>
              <w:highlight w:val="none"/>
            </w:rPr>
            <w:t>第一部分 招标公告</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_Toc14111 \h </w:instrText>
          </w:r>
          <w:r>
            <w:rPr>
              <w:color w:val="auto"/>
              <w:sz w:val="32"/>
              <w:szCs w:val="32"/>
              <w:highlight w:val="none"/>
            </w:rPr>
            <w:fldChar w:fldCharType="separate"/>
          </w:r>
          <w:r>
            <w:rPr>
              <w:color w:val="auto"/>
              <w:sz w:val="32"/>
              <w:szCs w:val="32"/>
              <w:highlight w:val="none"/>
            </w:rPr>
            <w:t>1</w:t>
          </w:r>
          <w:r>
            <w:rPr>
              <w:color w:val="auto"/>
              <w:sz w:val="32"/>
              <w:szCs w:val="32"/>
              <w:highlight w:val="none"/>
            </w:rPr>
            <w:fldChar w:fldCharType="end"/>
          </w:r>
          <w:r>
            <w:rPr>
              <w:color w:val="auto"/>
              <w:sz w:val="32"/>
              <w:szCs w:val="32"/>
              <w:highlight w:val="none"/>
            </w:rPr>
            <w:fldChar w:fldCharType="end"/>
          </w:r>
        </w:p>
        <w:p w14:paraId="15F734B2">
          <w:pPr>
            <w:pStyle w:val="966"/>
            <w:tabs>
              <w:tab w:val="right" w:leader="dot" w:pos="9070"/>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"_Toc28848" </w:instrText>
          </w:r>
          <w:r>
            <w:rPr>
              <w:color w:val="auto"/>
              <w:highlight w:val="none"/>
            </w:rPr>
            <w:fldChar w:fldCharType="separate"/>
          </w:r>
          <w:r>
            <w:rPr>
              <w:rFonts w:hint="eastAsia" w:ascii="宋体" w:hAnsi="宋体" w:cs="宋体"/>
              <w:color w:val="auto"/>
              <w:sz w:val="32"/>
              <w:szCs w:val="32"/>
              <w:highlight w:val="none"/>
            </w:rPr>
            <w:t>第二部分 投标人须知</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_Toc28848 \h </w:instrText>
          </w:r>
          <w:r>
            <w:rPr>
              <w:color w:val="auto"/>
              <w:sz w:val="32"/>
              <w:szCs w:val="32"/>
              <w:highlight w:val="none"/>
            </w:rPr>
            <w:fldChar w:fldCharType="separate"/>
          </w:r>
          <w:r>
            <w:rPr>
              <w:color w:val="auto"/>
              <w:sz w:val="32"/>
              <w:szCs w:val="32"/>
              <w:highlight w:val="none"/>
            </w:rPr>
            <w:t>7</w:t>
          </w:r>
          <w:r>
            <w:rPr>
              <w:color w:val="auto"/>
              <w:sz w:val="32"/>
              <w:szCs w:val="32"/>
              <w:highlight w:val="none"/>
            </w:rPr>
            <w:fldChar w:fldCharType="end"/>
          </w:r>
          <w:r>
            <w:rPr>
              <w:color w:val="auto"/>
              <w:sz w:val="32"/>
              <w:szCs w:val="32"/>
              <w:highlight w:val="none"/>
            </w:rPr>
            <w:fldChar w:fldCharType="end"/>
          </w:r>
        </w:p>
        <w:p w14:paraId="51E8B191">
          <w:pPr>
            <w:pStyle w:val="966"/>
            <w:tabs>
              <w:tab w:val="right" w:leader="dot" w:pos="9070"/>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"_Toc24290" </w:instrText>
          </w:r>
          <w:r>
            <w:rPr>
              <w:color w:val="auto"/>
              <w:highlight w:val="none"/>
            </w:rPr>
            <w:fldChar w:fldCharType="separate"/>
          </w:r>
          <w:r>
            <w:rPr>
              <w:rFonts w:hint="eastAsia" w:ascii="宋体" w:hAnsi="宋体" w:cs="宋体"/>
              <w:color w:val="auto"/>
              <w:sz w:val="32"/>
              <w:szCs w:val="32"/>
              <w:highlight w:val="none"/>
            </w:rPr>
            <w:t>第三部分 采购需求</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_Toc24290 \h </w:instrText>
          </w:r>
          <w:r>
            <w:rPr>
              <w:color w:val="auto"/>
              <w:sz w:val="32"/>
              <w:szCs w:val="32"/>
              <w:highlight w:val="none"/>
            </w:rPr>
            <w:fldChar w:fldCharType="separate"/>
          </w:r>
          <w:r>
            <w:rPr>
              <w:color w:val="auto"/>
              <w:sz w:val="32"/>
              <w:szCs w:val="32"/>
              <w:highlight w:val="none"/>
            </w:rPr>
            <w:t>25</w:t>
          </w:r>
          <w:r>
            <w:rPr>
              <w:color w:val="auto"/>
              <w:sz w:val="32"/>
              <w:szCs w:val="32"/>
              <w:highlight w:val="none"/>
            </w:rPr>
            <w:fldChar w:fldCharType="end"/>
          </w:r>
          <w:r>
            <w:rPr>
              <w:color w:val="auto"/>
              <w:sz w:val="32"/>
              <w:szCs w:val="32"/>
              <w:highlight w:val="none"/>
            </w:rPr>
            <w:fldChar w:fldCharType="end"/>
          </w:r>
        </w:p>
        <w:p w14:paraId="582F4034">
          <w:pPr>
            <w:pStyle w:val="966"/>
            <w:tabs>
              <w:tab w:val="right" w:leader="dot" w:pos="9070"/>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"_Toc28372" </w:instrText>
          </w:r>
          <w:r>
            <w:rPr>
              <w:color w:val="auto"/>
              <w:highlight w:val="none"/>
            </w:rPr>
            <w:fldChar w:fldCharType="separate"/>
          </w:r>
          <w:r>
            <w:rPr>
              <w:rFonts w:hint="eastAsia" w:ascii="宋体" w:hAnsi="宋体" w:cs="宋体"/>
              <w:color w:val="auto"/>
              <w:sz w:val="32"/>
              <w:szCs w:val="32"/>
              <w:highlight w:val="none"/>
            </w:rPr>
            <w:t>第四部分 评标办法</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_Toc28372 \h </w:instrText>
          </w:r>
          <w:r>
            <w:rPr>
              <w:color w:val="auto"/>
              <w:sz w:val="32"/>
              <w:szCs w:val="32"/>
              <w:highlight w:val="none"/>
            </w:rPr>
            <w:fldChar w:fldCharType="separate"/>
          </w:r>
          <w:r>
            <w:rPr>
              <w:color w:val="auto"/>
              <w:sz w:val="32"/>
              <w:szCs w:val="32"/>
              <w:highlight w:val="none"/>
            </w:rPr>
            <w:t>144</w:t>
          </w:r>
          <w:r>
            <w:rPr>
              <w:color w:val="auto"/>
              <w:sz w:val="32"/>
              <w:szCs w:val="32"/>
              <w:highlight w:val="none"/>
            </w:rPr>
            <w:fldChar w:fldCharType="end"/>
          </w:r>
          <w:r>
            <w:rPr>
              <w:color w:val="auto"/>
              <w:sz w:val="32"/>
              <w:szCs w:val="32"/>
              <w:highlight w:val="none"/>
            </w:rPr>
            <w:fldChar w:fldCharType="end"/>
          </w:r>
        </w:p>
        <w:p w14:paraId="50B4B346">
          <w:pPr>
            <w:pStyle w:val="966"/>
            <w:tabs>
              <w:tab w:val="right" w:leader="dot" w:pos="9070"/>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"_Toc1511" </w:instrText>
          </w:r>
          <w:r>
            <w:rPr>
              <w:color w:val="auto"/>
              <w:highlight w:val="none"/>
            </w:rPr>
            <w:fldChar w:fldCharType="separate"/>
          </w:r>
          <w:r>
            <w:rPr>
              <w:rFonts w:hint="eastAsia" w:ascii="宋体" w:hAnsi="宋体" w:cs="宋体"/>
              <w:color w:val="auto"/>
              <w:sz w:val="32"/>
              <w:szCs w:val="32"/>
              <w:highlight w:val="none"/>
            </w:rPr>
            <w:t>第五部分 拟签订的合同文本</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_Toc1511 \h </w:instrText>
          </w:r>
          <w:r>
            <w:rPr>
              <w:color w:val="auto"/>
              <w:sz w:val="32"/>
              <w:szCs w:val="32"/>
              <w:highlight w:val="none"/>
            </w:rPr>
            <w:fldChar w:fldCharType="separate"/>
          </w:r>
          <w:r>
            <w:rPr>
              <w:color w:val="auto"/>
              <w:sz w:val="32"/>
              <w:szCs w:val="32"/>
              <w:highlight w:val="none"/>
            </w:rPr>
            <w:t>166</w:t>
          </w:r>
          <w:r>
            <w:rPr>
              <w:color w:val="auto"/>
              <w:sz w:val="32"/>
              <w:szCs w:val="32"/>
              <w:highlight w:val="none"/>
            </w:rPr>
            <w:fldChar w:fldCharType="end"/>
          </w:r>
          <w:r>
            <w:rPr>
              <w:color w:val="auto"/>
              <w:sz w:val="32"/>
              <w:szCs w:val="32"/>
              <w:highlight w:val="none"/>
            </w:rPr>
            <w:fldChar w:fldCharType="end"/>
          </w:r>
        </w:p>
        <w:p w14:paraId="2E701CF6">
          <w:pPr>
            <w:pStyle w:val="966"/>
            <w:tabs>
              <w:tab w:val="right" w:leader="dot" w:pos="9070"/>
            </w:tabs>
            <w:spacing w:line="360" w:lineRule="auto"/>
            <w:rPr>
              <w:color w:val="auto"/>
              <w:highlight w:val="none"/>
            </w:rPr>
          </w:pPr>
          <w:r>
            <w:rPr>
              <w:color w:val="auto"/>
              <w:highlight w:val="none"/>
            </w:rPr>
            <w:fldChar w:fldCharType="begin"/>
          </w:r>
          <w:r>
            <w:rPr>
              <w:color w:val="auto"/>
              <w:highlight w:val="none"/>
            </w:rPr>
            <w:instrText xml:space="preserve"> HYPERLINK \l "_Toc22409" </w:instrText>
          </w:r>
          <w:r>
            <w:rPr>
              <w:color w:val="auto"/>
              <w:highlight w:val="none"/>
            </w:rPr>
            <w:fldChar w:fldCharType="separate"/>
          </w:r>
          <w:r>
            <w:rPr>
              <w:rFonts w:hint="eastAsia" w:ascii="宋体" w:hAnsi="宋体" w:cs="宋体"/>
              <w:color w:val="auto"/>
              <w:sz w:val="32"/>
              <w:szCs w:val="32"/>
              <w:highlight w:val="none"/>
            </w:rPr>
            <w:t>第六部分 应提交的有关格式范例</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_Toc22409 \h </w:instrText>
          </w:r>
          <w:r>
            <w:rPr>
              <w:color w:val="auto"/>
              <w:sz w:val="32"/>
              <w:szCs w:val="32"/>
              <w:highlight w:val="none"/>
            </w:rPr>
            <w:fldChar w:fldCharType="separate"/>
          </w:r>
          <w:r>
            <w:rPr>
              <w:color w:val="auto"/>
              <w:sz w:val="32"/>
              <w:szCs w:val="32"/>
              <w:highlight w:val="none"/>
            </w:rPr>
            <w:t>180</w:t>
          </w:r>
          <w:r>
            <w:rPr>
              <w:color w:val="auto"/>
              <w:sz w:val="32"/>
              <w:szCs w:val="32"/>
              <w:highlight w:val="none"/>
            </w:rPr>
            <w:fldChar w:fldCharType="end"/>
          </w:r>
          <w:r>
            <w:rPr>
              <w:color w:val="auto"/>
              <w:sz w:val="32"/>
              <w:szCs w:val="32"/>
              <w:highlight w:val="none"/>
            </w:rPr>
            <w:fldChar w:fldCharType="end"/>
          </w:r>
        </w:p>
        <w:p w14:paraId="226A1FD1">
          <w:pPr>
            <w:pStyle w:val="966"/>
            <w:tabs>
              <w:tab w:val="right" w:leader="dot" w:pos="9070"/>
            </w:tabs>
            <w:rPr>
              <w:color w:val="auto"/>
              <w:highlight w:val="none"/>
            </w:rPr>
          </w:pPr>
        </w:p>
        <w:p w14:paraId="7A60481D">
          <w:pPr>
            <w:rPr>
              <w:color w:val="auto"/>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pgBorders>
                <w:top w:val="none" w:sz="0" w:space="0"/>
                <w:left w:val="none" w:sz="0" w:space="0"/>
                <w:bottom w:val="none" w:sz="0" w:space="0"/>
                <w:right w:val="none" w:sz="0" w:space="0"/>
              </w:pgBorders>
              <w:cols w:space="720" w:num="1"/>
              <w:titlePg/>
              <w:docGrid w:linePitch="312" w:charSpace="0"/>
            </w:sectPr>
          </w:pPr>
          <w:r>
            <w:rPr>
              <w:color w:val="auto"/>
              <w:highlight w:val="none"/>
            </w:rPr>
            <w:fldChar w:fldCharType="end"/>
          </w:r>
        </w:p>
      </w:sdtContent>
    </w:sdt>
    <w:p w14:paraId="64D04068">
      <w:pPr>
        <w:rPr>
          <w:color w:val="auto"/>
          <w:highlight w:val="none"/>
        </w:rPr>
      </w:pPr>
    </w:p>
    <w:p w14:paraId="0956D28B">
      <w:pPr>
        <w:adjustRightInd/>
        <w:spacing w:line="360" w:lineRule="auto"/>
        <w:jc w:val="center"/>
        <w:outlineLvl w:val="0"/>
        <w:rPr>
          <w:rFonts w:ascii="宋体" w:hAnsi="宋体" w:cs="宋体"/>
          <w:b/>
          <w:color w:val="auto"/>
          <w:sz w:val="36"/>
          <w:szCs w:val="20"/>
          <w:highlight w:val="none"/>
        </w:rPr>
      </w:pPr>
      <w:bookmarkStart w:id="2" w:name="_Toc14111"/>
      <w:bookmarkStart w:id="3" w:name="第二部分"/>
      <w:bookmarkStart w:id="4" w:name="_Toc91899870"/>
      <w:bookmarkStart w:id="5" w:name="_Toc91899871"/>
      <w:r>
        <w:rPr>
          <w:rFonts w:hint="eastAsia" w:ascii="宋体" w:hAnsi="宋体" w:cs="宋体"/>
          <w:b/>
          <w:color w:val="auto"/>
          <w:sz w:val="36"/>
          <w:szCs w:val="20"/>
          <w:highlight w:val="none"/>
        </w:rPr>
        <w:t>第一部分 招标公告</w:t>
      </w:r>
      <w:bookmarkEnd w:id="2"/>
    </w:p>
    <w:p w14:paraId="4A6418E6">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项目概况</w:t>
      </w:r>
    </w:p>
    <w:p w14:paraId="21DB1551">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u w:val="single"/>
          <w:lang w:eastAsia="zh-CN"/>
        </w:rPr>
        <w:t>2024-2027年市管公园综合养管项目</w:t>
      </w:r>
      <w:r>
        <w:rPr>
          <w:rFonts w:hint="eastAsia" w:ascii="宋体" w:hAnsi="宋体" w:cs="宋体"/>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hint="eastAsia" w:ascii="宋体" w:hAnsi="宋体" w:eastAsia="宋体" w:cs="宋体"/>
          <w:snapToGrid/>
          <w:color w:val="auto"/>
          <w:kern w:val="2"/>
          <w:sz w:val="24"/>
          <w:szCs w:val="24"/>
          <w:highlight w:val="none"/>
        </w:rPr>
        <w:t>https://www.zcygov.cn/）获取（下载）招标文件，并于202</w:t>
      </w:r>
      <w:r>
        <w:rPr>
          <w:rStyle w:val="76"/>
          <w:rFonts w:hint="eastAsia" w:ascii="宋体" w:hAnsi="宋体" w:cs="宋体"/>
          <w:snapToGrid/>
          <w:color w:val="auto"/>
          <w:kern w:val="2"/>
          <w:sz w:val="24"/>
          <w:szCs w:val="24"/>
          <w:highlight w:val="none"/>
          <w:lang w:val="en-US" w:eastAsia="zh-CN"/>
        </w:rPr>
        <w:t>4</w:t>
      </w:r>
      <w:r>
        <w:rPr>
          <w:rStyle w:val="76"/>
          <w:rFonts w:hint="eastAsia" w:ascii="宋体" w:hAnsi="宋体" w:eastAsia="宋体" w:cs="宋体"/>
          <w:snapToGrid/>
          <w:color w:val="auto"/>
          <w:kern w:val="2"/>
          <w:sz w:val="24"/>
          <w:szCs w:val="24"/>
          <w:highlight w:val="none"/>
        </w:rPr>
        <w:t>年</w:t>
      </w:r>
      <w:r>
        <w:rPr>
          <w:rStyle w:val="76"/>
          <w:rFonts w:hint="eastAsia" w:ascii="宋体" w:hAnsi="宋体" w:cs="宋体"/>
          <w:snapToGrid/>
          <w:color w:val="auto"/>
          <w:kern w:val="2"/>
          <w:sz w:val="24"/>
          <w:szCs w:val="24"/>
          <w:highlight w:val="none"/>
          <w:lang w:val="en-US" w:eastAsia="zh-CN"/>
        </w:rPr>
        <w:t>08</w:t>
      </w:r>
      <w:r>
        <w:rPr>
          <w:rStyle w:val="76"/>
          <w:rFonts w:hint="eastAsia" w:ascii="宋体" w:hAnsi="宋体" w:eastAsia="宋体" w:cs="宋体"/>
          <w:snapToGrid/>
          <w:color w:val="auto"/>
          <w:kern w:val="2"/>
          <w:sz w:val="24"/>
          <w:szCs w:val="24"/>
          <w:highlight w:val="none"/>
        </w:rPr>
        <w:t>月</w:t>
      </w:r>
      <w:r>
        <w:rPr>
          <w:rStyle w:val="76"/>
          <w:rFonts w:hint="eastAsia" w:ascii="宋体" w:hAnsi="宋体" w:cs="宋体"/>
          <w:snapToGrid/>
          <w:color w:val="auto"/>
          <w:kern w:val="2"/>
          <w:sz w:val="24"/>
          <w:szCs w:val="24"/>
          <w:highlight w:val="none"/>
          <w:lang w:val="en-US" w:eastAsia="zh-CN"/>
        </w:rPr>
        <w:t>13</w:t>
      </w:r>
      <w:r>
        <w:rPr>
          <w:rStyle w:val="76"/>
          <w:rFonts w:hint="eastAsia" w:ascii="宋体" w:hAnsi="宋体" w:eastAsia="宋体" w:cs="宋体"/>
          <w:snapToGrid/>
          <w:color w:val="auto"/>
          <w:kern w:val="2"/>
          <w:sz w:val="24"/>
          <w:szCs w:val="24"/>
          <w:highlight w:val="none"/>
        </w:rPr>
        <w:t>日</w:t>
      </w:r>
      <w:r>
        <w:rPr>
          <w:rStyle w:val="76"/>
          <w:rFonts w:hint="eastAsia" w:ascii="宋体" w:hAnsi="宋体" w:cs="宋体"/>
          <w:snapToGrid/>
          <w:color w:val="auto"/>
          <w:kern w:val="2"/>
          <w:sz w:val="24"/>
          <w:szCs w:val="24"/>
          <w:highlight w:val="none"/>
          <w:lang w:val="en-US" w:eastAsia="zh-CN"/>
        </w:rPr>
        <w:t>09</w:t>
      </w:r>
      <w:r>
        <w:rPr>
          <w:rStyle w:val="76"/>
          <w:rFonts w:hint="eastAsia" w:ascii="宋体" w:hAnsi="宋体" w:eastAsia="宋体" w:cs="宋体"/>
          <w:snapToGrid/>
          <w:color w:val="auto"/>
          <w:kern w:val="2"/>
          <w:sz w:val="24"/>
          <w:szCs w:val="24"/>
          <w:highlight w:val="none"/>
        </w:rPr>
        <w:t>点</w:t>
      </w:r>
      <w:r>
        <w:rPr>
          <w:rStyle w:val="76"/>
          <w:rFonts w:hint="eastAsia" w:ascii="宋体" w:hAnsi="宋体" w:cs="宋体"/>
          <w:snapToGrid/>
          <w:color w:val="auto"/>
          <w:kern w:val="2"/>
          <w:sz w:val="24"/>
          <w:szCs w:val="24"/>
          <w:highlight w:val="none"/>
          <w:lang w:val="en-US" w:eastAsia="zh-CN"/>
        </w:rPr>
        <w:t>00</w:t>
      </w:r>
      <w:r>
        <w:rPr>
          <w:rStyle w:val="76"/>
          <w:rFonts w:hint="eastAsia" w:ascii="宋体" w:hAnsi="宋体" w:eastAsia="宋体" w:cs="宋体"/>
          <w:snapToGrid/>
          <w:color w:val="auto"/>
          <w:kern w:val="2"/>
          <w:sz w:val="24"/>
          <w:szCs w:val="24"/>
          <w:highlight w:val="none"/>
        </w:rPr>
        <w:t>分</w:t>
      </w:r>
      <w:r>
        <w:rPr>
          <w:rStyle w:val="76"/>
          <w:rFonts w:hint="eastAsia" w:ascii="宋体" w:hAnsi="宋体" w:eastAsia="宋体" w:cs="宋体"/>
          <w:bCs/>
          <w:snapToGrid/>
          <w:color w:val="auto"/>
          <w:kern w:val="2"/>
          <w:sz w:val="24"/>
          <w:szCs w:val="24"/>
          <w:highlight w:val="none"/>
        </w:rPr>
        <w:t>00秒</w:t>
      </w:r>
      <w:r>
        <w:rPr>
          <w:rStyle w:val="76"/>
          <w:rFonts w:hint="eastAsia" w:ascii="宋体" w:hAnsi="宋体" w:eastAsia="宋体" w:cs="宋体"/>
          <w:bCs/>
          <w:snapToGrid/>
          <w:color w:val="auto"/>
          <w:kern w:val="2"/>
          <w:sz w:val="24"/>
          <w:szCs w:val="24"/>
          <w:highlight w:val="none"/>
        </w:rPr>
        <w:fldChar w:fldCharType="end"/>
      </w:r>
      <w:r>
        <w:rPr>
          <w:rFonts w:hint="eastAsia" w:ascii="宋体" w:hAnsi="宋体" w:cs="宋体"/>
          <w:bCs/>
          <w:color w:val="auto"/>
          <w:sz w:val="24"/>
          <w:highlight w:val="none"/>
        </w:rPr>
        <w:t>（北京时间）前</w:t>
      </w:r>
      <w:r>
        <w:rPr>
          <w:rFonts w:hint="eastAsia" w:ascii="宋体" w:hAnsi="宋体" w:cs="宋体"/>
          <w:color w:val="auto"/>
          <w:sz w:val="24"/>
          <w:highlight w:val="none"/>
        </w:rPr>
        <w:t>递交（上传）投标文件。</w:t>
      </w:r>
    </w:p>
    <w:p w14:paraId="0CD165B8">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一、项目基本情况                                            </w:t>
      </w:r>
    </w:p>
    <w:p w14:paraId="482F17AA">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b/>
          <w:color w:val="auto"/>
          <w:sz w:val="24"/>
          <w:highlight w:val="none"/>
        </w:rPr>
        <w:t>项目编号：</w:t>
      </w:r>
      <w:r>
        <w:rPr>
          <w:rFonts w:hint="eastAsia" w:ascii="宋体" w:hAnsi="宋体" w:cs="宋体"/>
          <w:color w:val="auto"/>
          <w:sz w:val="24"/>
          <w:highlight w:val="none"/>
          <w:lang w:eastAsia="zh-CN"/>
        </w:rPr>
        <w:t>CBNB-20246487G</w:t>
      </w:r>
      <w:r>
        <w:rPr>
          <w:rFonts w:hint="eastAsia" w:ascii="宋体" w:hAnsi="宋体" w:cs="宋体"/>
          <w:color w:val="auto"/>
          <w:sz w:val="24"/>
          <w:highlight w:val="none"/>
        </w:rPr>
        <w:t xml:space="preserve">   </w:t>
      </w:r>
    </w:p>
    <w:p w14:paraId="63E70893">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项目名称：</w:t>
      </w:r>
      <w:r>
        <w:rPr>
          <w:rFonts w:hint="eastAsia" w:ascii="宋体" w:hAnsi="宋体" w:cs="宋体"/>
          <w:color w:val="auto"/>
          <w:sz w:val="24"/>
          <w:highlight w:val="none"/>
          <w:lang w:eastAsia="zh-CN"/>
        </w:rPr>
        <w:t>2024-2027年市管公园综合养管项目</w:t>
      </w:r>
    </w:p>
    <w:p w14:paraId="118CC4C6">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预算金额（元）：20383067</w:t>
      </w:r>
      <w:r>
        <w:rPr>
          <w:rFonts w:hint="eastAsia" w:ascii="宋体" w:hAnsi="宋体" w:cs="宋体"/>
          <w:b/>
          <w:color w:val="auto"/>
          <w:sz w:val="24"/>
          <w:highlight w:val="none"/>
          <w:lang w:val="en-US" w:eastAsia="zh-CN"/>
        </w:rPr>
        <w:t>.00</w:t>
      </w:r>
    </w:p>
    <w:p w14:paraId="6CD66887">
      <w:pPr>
        <w:spacing w:line="360" w:lineRule="auto"/>
        <w:ind w:firstLine="480"/>
        <w:rPr>
          <w:rFonts w:hint="default" w:ascii="宋体" w:hAnsi="宋体" w:eastAsia="宋体" w:cs="宋体"/>
          <w:color w:val="auto"/>
          <w:sz w:val="24"/>
          <w:highlight w:val="none"/>
          <w:lang w:val="en-US" w:eastAsia="zh-CN"/>
        </w:rPr>
      </w:pPr>
      <w:r>
        <w:rPr>
          <w:rFonts w:hint="eastAsia" w:ascii="宋体" w:hAnsi="宋体" w:cs="宋体"/>
          <w:b/>
          <w:color w:val="auto"/>
          <w:sz w:val="24"/>
          <w:highlight w:val="none"/>
        </w:rPr>
        <w:t>最高限价（元）：20383067</w:t>
      </w:r>
      <w:r>
        <w:rPr>
          <w:rFonts w:hint="eastAsia" w:ascii="宋体" w:hAnsi="宋体" w:cs="宋体"/>
          <w:b/>
          <w:color w:val="auto"/>
          <w:sz w:val="24"/>
          <w:highlight w:val="none"/>
          <w:lang w:val="en-US" w:eastAsia="zh-CN"/>
        </w:rPr>
        <w:t>.00</w:t>
      </w:r>
    </w:p>
    <w:p w14:paraId="529E0829">
      <w:pPr>
        <w:spacing w:line="360" w:lineRule="auto"/>
        <w:ind w:firstLine="480"/>
        <w:rPr>
          <w:rFonts w:hint="eastAsia" w:ascii="宋体" w:hAnsi="宋体" w:cs="宋体"/>
          <w:snapToGrid w:val="0"/>
          <w:color w:val="auto"/>
          <w:kern w:val="28"/>
          <w:sz w:val="24"/>
          <w:szCs w:val="20"/>
          <w:highlight w:val="none"/>
        </w:rPr>
      </w:pPr>
      <w:r>
        <w:rPr>
          <w:rFonts w:hint="eastAsia" w:ascii="宋体" w:hAnsi="宋体" w:cs="宋体"/>
          <w:b/>
          <w:bCs/>
          <w:snapToGrid w:val="0"/>
          <w:color w:val="auto"/>
          <w:kern w:val="28"/>
          <w:sz w:val="24"/>
          <w:szCs w:val="20"/>
          <w:highlight w:val="none"/>
        </w:rPr>
        <w:t>采购需求：</w:t>
      </w:r>
    </w:p>
    <w:p w14:paraId="5AB972DC">
      <w:pPr>
        <w:spacing w:line="360" w:lineRule="auto"/>
        <w:ind w:left="210" w:leftChars="100" w:firstLine="480"/>
        <w:rPr>
          <w:rFonts w:ascii="宋体" w:hAnsi="宋体" w:cs="宋体"/>
          <w:b/>
          <w:bCs/>
          <w:snapToGrid w:val="0"/>
          <w:color w:val="auto"/>
          <w:kern w:val="28"/>
          <w:sz w:val="24"/>
          <w:szCs w:val="20"/>
          <w:highlight w:val="none"/>
        </w:rPr>
      </w:pPr>
      <w:r>
        <w:rPr>
          <w:rFonts w:hint="eastAsia" w:ascii="宋体" w:hAnsi="宋体" w:cs="宋体"/>
          <w:b/>
          <w:bCs/>
          <w:snapToGrid w:val="0"/>
          <w:color w:val="auto"/>
          <w:kern w:val="28"/>
          <w:sz w:val="24"/>
          <w:szCs w:val="20"/>
          <w:highlight w:val="none"/>
        </w:rPr>
        <w:t>标项一：</w:t>
      </w:r>
    </w:p>
    <w:p w14:paraId="58FC5DDD">
      <w:pPr>
        <w:spacing w:line="360" w:lineRule="auto"/>
        <w:ind w:left="210" w:leftChars="100" w:firstLine="480"/>
        <w:rPr>
          <w:rFonts w:hint="eastAsia" w:ascii="宋体" w:hAnsi="宋体" w:eastAsia="宋体" w:cs="宋体"/>
          <w:snapToGrid w:val="0"/>
          <w:color w:val="auto"/>
          <w:kern w:val="28"/>
          <w:sz w:val="24"/>
          <w:szCs w:val="20"/>
          <w:highlight w:val="none"/>
          <w:lang w:eastAsia="zh-CN"/>
        </w:rPr>
      </w:pPr>
      <w:r>
        <w:rPr>
          <w:rFonts w:hint="eastAsia" w:ascii="宋体" w:hAnsi="宋体" w:cs="宋体"/>
          <w:snapToGrid w:val="0"/>
          <w:color w:val="auto"/>
          <w:kern w:val="28"/>
          <w:sz w:val="24"/>
          <w:szCs w:val="20"/>
          <w:highlight w:val="none"/>
        </w:rPr>
        <w:t>标项名称：日湖公园</w:t>
      </w:r>
      <w:r>
        <w:rPr>
          <w:rFonts w:hint="default" w:ascii="宋体" w:hAnsi="宋体" w:cs="宋体"/>
          <w:snapToGrid w:val="0"/>
          <w:color w:val="auto"/>
          <w:kern w:val="28"/>
          <w:sz w:val="24"/>
          <w:szCs w:val="20"/>
          <w:highlight w:val="none"/>
          <w:lang w:val="en-US"/>
        </w:rPr>
        <w:t>综合养管</w:t>
      </w:r>
    </w:p>
    <w:p w14:paraId="6734D987">
      <w:pPr>
        <w:spacing w:line="360" w:lineRule="auto"/>
        <w:ind w:left="210" w:leftChars="100" w:firstLine="480"/>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数量：1项</w:t>
      </w:r>
    </w:p>
    <w:p w14:paraId="151D55CC">
      <w:pPr>
        <w:spacing w:line="360" w:lineRule="auto"/>
        <w:ind w:left="210" w:leftChars="100" w:firstLine="480"/>
        <w:rPr>
          <w:rFonts w:hint="default" w:ascii="宋体" w:hAnsi="宋体" w:eastAsia="宋体" w:cs="宋体"/>
          <w:snapToGrid w:val="0"/>
          <w:color w:val="auto"/>
          <w:kern w:val="28"/>
          <w:sz w:val="24"/>
          <w:szCs w:val="20"/>
          <w:highlight w:val="none"/>
          <w:lang w:val="en-US" w:eastAsia="zh-CN"/>
        </w:rPr>
      </w:pPr>
      <w:r>
        <w:rPr>
          <w:rFonts w:hint="eastAsia" w:ascii="宋体" w:hAnsi="宋体" w:cs="宋体"/>
          <w:snapToGrid w:val="0"/>
          <w:color w:val="auto"/>
          <w:kern w:val="28"/>
          <w:sz w:val="24"/>
          <w:szCs w:val="20"/>
          <w:highlight w:val="none"/>
        </w:rPr>
        <w:t>预算金额（元）:9787985</w:t>
      </w:r>
      <w:r>
        <w:rPr>
          <w:rFonts w:hint="eastAsia" w:ascii="宋体" w:hAnsi="宋体" w:cs="宋体"/>
          <w:snapToGrid w:val="0"/>
          <w:color w:val="auto"/>
          <w:kern w:val="28"/>
          <w:sz w:val="24"/>
          <w:szCs w:val="20"/>
          <w:highlight w:val="none"/>
          <w:lang w:val="en-US" w:eastAsia="zh-CN"/>
        </w:rPr>
        <w:t>.00</w:t>
      </w:r>
    </w:p>
    <w:p w14:paraId="296733B3">
      <w:pPr>
        <w:pStyle w:val="7"/>
        <w:spacing w:line="360" w:lineRule="auto"/>
        <w:ind w:left="210" w:leftChars="100" w:firstLine="480"/>
        <w:rPr>
          <w:rFonts w:hAnsi="宋体" w:cs="宋体"/>
          <w:bCs/>
          <w:snapToGrid/>
          <w:color w:val="auto"/>
          <w:kern w:val="2"/>
          <w:sz w:val="24"/>
          <w:szCs w:val="24"/>
          <w:highlight w:val="none"/>
        </w:rPr>
      </w:pPr>
      <w:r>
        <w:rPr>
          <w:rFonts w:hint="eastAsia" w:hAnsi="宋体" w:cs="宋体"/>
          <w:color w:val="auto"/>
          <w:sz w:val="24"/>
          <w:highlight w:val="none"/>
        </w:rPr>
        <w:t>简要规格描述或项目基本概况介绍、用途：按一级绿地养护标准做好</w:t>
      </w:r>
      <w:r>
        <w:rPr>
          <w:rFonts w:hint="eastAsia" w:hAnsi="宋体" w:cs="宋体"/>
          <w:color w:val="auto"/>
          <w:sz w:val="24"/>
          <w:highlight w:val="none"/>
          <w:lang w:val="en-US" w:eastAsia="zh-CN"/>
        </w:rPr>
        <w:t>该标段</w:t>
      </w:r>
      <w:r>
        <w:rPr>
          <w:rFonts w:hint="eastAsia" w:hAnsi="宋体" w:cs="宋体"/>
          <w:color w:val="auto"/>
          <w:sz w:val="24"/>
          <w:highlight w:val="none"/>
        </w:rPr>
        <w:t>设施量范围内的绿化养护和保洁、设施维护和零星项目、治安巡视以及协助采购人完成其他工作等，根据应急措施预案，落实相应工作安排</w:t>
      </w:r>
      <w:r>
        <w:rPr>
          <w:rFonts w:hint="eastAsia" w:ascii="宋体" w:hAnsi="宋体" w:eastAsia="宋体" w:cs="宋体"/>
          <w:color w:val="auto"/>
          <w:sz w:val="24"/>
          <w:highlight w:val="none"/>
        </w:rPr>
        <w:t>等；</w:t>
      </w:r>
      <w:r>
        <w:rPr>
          <w:rFonts w:hint="eastAsia" w:asciiTheme="minorEastAsia" w:hAnsiTheme="minorEastAsia" w:eastAsiaTheme="minorEastAsia"/>
          <w:snapToGrid/>
          <w:color w:val="auto"/>
          <w:kern w:val="2"/>
          <w:sz w:val="24"/>
          <w:szCs w:val="24"/>
          <w:highlight w:val="none"/>
        </w:rPr>
        <w:t>具体以招标文件第三部分采购需求为准，供应商可点击本公告下方“浏览采购文件”查看采购需求。</w:t>
      </w:r>
    </w:p>
    <w:p w14:paraId="4074674A">
      <w:pPr>
        <w:pStyle w:val="7"/>
        <w:spacing w:line="360" w:lineRule="auto"/>
        <w:ind w:left="210" w:leftChars="100" w:firstLine="480"/>
        <w:rPr>
          <w:rFonts w:hint="eastAsia" w:ascii="宋体" w:hAnsi="宋体" w:eastAsia="宋体" w:cs="宋体"/>
          <w:snapToGrid w:val="0"/>
          <w:color w:val="auto"/>
          <w:kern w:val="28"/>
          <w:sz w:val="24"/>
          <w:szCs w:val="20"/>
          <w:highlight w:val="none"/>
          <w:lang w:val="en-US" w:eastAsia="zh-CN" w:bidi="ar-SA"/>
        </w:rPr>
      </w:pPr>
      <w:r>
        <w:rPr>
          <w:rFonts w:hint="eastAsia" w:ascii="宋体" w:hAnsi="宋体" w:cs="宋体"/>
          <w:snapToGrid w:val="0"/>
          <w:color w:val="auto"/>
          <w:kern w:val="28"/>
          <w:sz w:val="24"/>
          <w:szCs w:val="20"/>
          <w:highlight w:val="none"/>
        </w:rPr>
        <w:t>备</w:t>
      </w:r>
      <w:r>
        <w:rPr>
          <w:rFonts w:hint="eastAsia" w:ascii="宋体" w:hAnsi="宋体" w:eastAsia="宋体" w:cs="宋体"/>
          <w:snapToGrid w:val="0"/>
          <w:color w:val="auto"/>
          <w:kern w:val="28"/>
          <w:sz w:val="24"/>
          <w:szCs w:val="20"/>
          <w:highlight w:val="none"/>
          <w:lang w:val="en-US" w:eastAsia="zh-CN" w:bidi="ar-SA"/>
        </w:rPr>
        <w:t>注：（1）养管范围：日湖公园占地面积</w:t>
      </w:r>
      <w:r>
        <w:rPr>
          <w:rFonts w:hint="eastAsia" w:hAnsi="宋体" w:cs="宋体"/>
          <w:snapToGrid w:val="0"/>
          <w:color w:val="auto"/>
          <w:kern w:val="28"/>
          <w:sz w:val="24"/>
          <w:szCs w:val="20"/>
          <w:highlight w:val="none"/>
          <w:lang w:val="en-US" w:eastAsia="zh-CN" w:bidi="ar-SA"/>
        </w:rPr>
        <w:t>约为32.3498万平方米</w:t>
      </w:r>
      <w:r>
        <w:rPr>
          <w:rFonts w:hint="eastAsia" w:ascii="宋体" w:hAnsi="宋体" w:eastAsia="宋体" w:cs="宋体"/>
          <w:snapToGrid w:val="0"/>
          <w:color w:val="auto"/>
          <w:kern w:val="28"/>
          <w:sz w:val="24"/>
          <w:szCs w:val="20"/>
          <w:highlight w:val="none"/>
          <w:lang w:val="en-US" w:eastAsia="zh-CN" w:bidi="ar-SA"/>
        </w:rPr>
        <w:t>。（</w:t>
      </w:r>
      <w:r>
        <w:rPr>
          <w:rFonts w:hint="eastAsia" w:hAnsi="宋体" w:cs="宋体"/>
          <w:snapToGrid w:val="0"/>
          <w:color w:val="auto"/>
          <w:kern w:val="28"/>
          <w:sz w:val="24"/>
          <w:szCs w:val="20"/>
          <w:highlight w:val="none"/>
          <w:lang w:val="en-US" w:eastAsia="zh-CN" w:bidi="ar-SA"/>
        </w:rPr>
        <w:t>2</w:t>
      </w:r>
      <w:r>
        <w:rPr>
          <w:rFonts w:hint="eastAsia" w:ascii="宋体" w:hAnsi="宋体" w:eastAsia="宋体" w:cs="宋体"/>
          <w:snapToGrid w:val="0"/>
          <w:color w:val="auto"/>
          <w:kern w:val="28"/>
          <w:sz w:val="24"/>
          <w:szCs w:val="20"/>
          <w:highlight w:val="none"/>
          <w:lang w:val="en-US" w:eastAsia="zh-CN" w:bidi="ar-SA"/>
        </w:rPr>
        <w:t>）本标项预算为年度采购预算。</w:t>
      </w:r>
    </w:p>
    <w:p w14:paraId="2547990E">
      <w:pPr>
        <w:spacing w:line="360" w:lineRule="auto"/>
        <w:ind w:left="210" w:leftChars="100" w:firstLine="480"/>
        <w:rPr>
          <w:rFonts w:ascii="宋体" w:hAnsi="宋体" w:cs="宋体"/>
          <w:snapToGrid w:val="0"/>
          <w:color w:val="auto"/>
          <w:kern w:val="28"/>
          <w:sz w:val="24"/>
          <w:szCs w:val="20"/>
          <w:highlight w:val="none"/>
        </w:rPr>
      </w:pPr>
    </w:p>
    <w:p w14:paraId="0CD38759">
      <w:pPr>
        <w:spacing w:line="360" w:lineRule="auto"/>
        <w:ind w:left="210" w:leftChars="100" w:firstLine="480"/>
        <w:rPr>
          <w:rFonts w:ascii="宋体" w:hAnsi="宋体" w:cs="宋体"/>
          <w:b/>
          <w:bCs/>
          <w:snapToGrid w:val="0"/>
          <w:color w:val="auto"/>
          <w:kern w:val="28"/>
          <w:sz w:val="24"/>
          <w:szCs w:val="20"/>
          <w:highlight w:val="none"/>
        </w:rPr>
      </w:pPr>
      <w:r>
        <w:rPr>
          <w:rFonts w:hint="eastAsia" w:ascii="宋体" w:hAnsi="宋体" w:cs="宋体"/>
          <w:b/>
          <w:bCs/>
          <w:snapToGrid w:val="0"/>
          <w:color w:val="auto"/>
          <w:kern w:val="28"/>
          <w:sz w:val="24"/>
          <w:szCs w:val="20"/>
          <w:highlight w:val="none"/>
        </w:rPr>
        <w:t>标项二：</w:t>
      </w:r>
    </w:p>
    <w:p w14:paraId="56371A94">
      <w:pPr>
        <w:spacing w:line="360" w:lineRule="auto"/>
        <w:ind w:left="210" w:leftChars="100" w:firstLine="480"/>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标项名</w:t>
      </w:r>
      <w:r>
        <w:rPr>
          <w:rFonts w:hint="eastAsia" w:ascii="宋体" w:hAnsi="宋体" w:eastAsia="宋体" w:cs="宋体"/>
          <w:snapToGrid w:val="0"/>
          <w:color w:val="auto"/>
          <w:kern w:val="28"/>
          <w:sz w:val="24"/>
          <w:szCs w:val="20"/>
          <w:highlight w:val="none"/>
          <w:lang w:val="en-US" w:eastAsia="zh-CN" w:bidi="ar-SA"/>
        </w:rPr>
        <w:t>称：绿岛公园（含园林博物馆）、青林湾公园、福民公园、临时盆景园综合养管</w:t>
      </w:r>
    </w:p>
    <w:p w14:paraId="798CEF14">
      <w:pPr>
        <w:spacing w:line="360" w:lineRule="auto"/>
        <w:ind w:left="210" w:leftChars="100" w:firstLine="480"/>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数量：1项</w:t>
      </w:r>
    </w:p>
    <w:p w14:paraId="32DDB2C2">
      <w:pPr>
        <w:spacing w:line="360" w:lineRule="auto"/>
        <w:ind w:left="210" w:leftChars="100" w:firstLine="480"/>
        <w:rPr>
          <w:rFonts w:hint="default" w:ascii="宋体" w:hAnsi="宋体" w:eastAsia="宋体" w:cs="宋体"/>
          <w:snapToGrid w:val="0"/>
          <w:color w:val="auto"/>
          <w:kern w:val="28"/>
          <w:sz w:val="24"/>
          <w:szCs w:val="20"/>
          <w:highlight w:val="none"/>
          <w:lang w:val="en-US" w:eastAsia="zh-CN"/>
        </w:rPr>
      </w:pPr>
      <w:r>
        <w:rPr>
          <w:rFonts w:hint="eastAsia" w:ascii="宋体" w:hAnsi="宋体" w:cs="宋体"/>
          <w:snapToGrid w:val="0"/>
          <w:color w:val="auto"/>
          <w:kern w:val="28"/>
          <w:sz w:val="24"/>
          <w:szCs w:val="20"/>
          <w:highlight w:val="none"/>
        </w:rPr>
        <w:t>预算金额（元）:</w:t>
      </w:r>
      <w:r>
        <w:rPr>
          <w:rFonts w:hint="eastAsia" w:ascii="宋体" w:hAnsi="宋体" w:cs="宋体"/>
          <w:color w:val="auto"/>
          <w:sz w:val="24"/>
          <w:highlight w:val="none"/>
          <w:lang w:val="en-US" w:eastAsia="zh-CN"/>
        </w:rPr>
        <w:t>5474822.00</w:t>
      </w:r>
    </w:p>
    <w:p w14:paraId="3267CDB7">
      <w:pPr>
        <w:pStyle w:val="7"/>
        <w:spacing w:line="360" w:lineRule="auto"/>
        <w:ind w:left="210" w:leftChars="100" w:firstLine="480"/>
        <w:rPr>
          <w:rFonts w:hAnsi="宋体" w:cs="宋体"/>
          <w:bCs/>
          <w:snapToGrid/>
          <w:color w:val="auto"/>
          <w:kern w:val="2"/>
          <w:sz w:val="24"/>
          <w:szCs w:val="24"/>
          <w:highlight w:val="none"/>
        </w:rPr>
      </w:pPr>
      <w:r>
        <w:rPr>
          <w:rFonts w:hint="eastAsia" w:hAnsi="宋体" w:cs="宋体"/>
          <w:color w:val="auto"/>
          <w:sz w:val="24"/>
          <w:highlight w:val="none"/>
        </w:rPr>
        <w:t>简要规格描述或项目基本概况介绍、用途：按一级绿地养护标准做好该标段设施量范围内的绿化养护和保洁、设施维护和零星项目、治安巡视以及协助采购人完成其他工作等，根据应急措施预案，落实相应工作安排</w:t>
      </w:r>
      <w:r>
        <w:rPr>
          <w:rFonts w:hint="eastAsia" w:ascii="宋体" w:hAnsi="宋体" w:eastAsia="宋体" w:cs="宋体"/>
          <w:color w:val="auto"/>
          <w:sz w:val="24"/>
          <w:highlight w:val="none"/>
        </w:rPr>
        <w:t>等；</w:t>
      </w:r>
      <w:r>
        <w:rPr>
          <w:rFonts w:hint="eastAsia" w:hAnsi="宋体" w:cs="宋体"/>
          <w:color w:val="auto"/>
          <w:sz w:val="24"/>
          <w:highlight w:val="none"/>
        </w:rPr>
        <w:t>具体以招标文件第三部分采购需求为准，供应商可点击本公告下方“浏览采购文件”查看采购需求。</w:t>
      </w:r>
    </w:p>
    <w:p w14:paraId="369F782F">
      <w:pPr>
        <w:spacing w:line="360" w:lineRule="auto"/>
        <w:ind w:left="210" w:leftChars="100" w:firstLine="480"/>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备注：</w:t>
      </w:r>
      <w:r>
        <w:rPr>
          <w:rFonts w:hint="eastAsia" w:ascii="宋体" w:hAnsi="宋体" w:eastAsia="宋体" w:cs="宋体"/>
          <w:snapToGrid w:val="0"/>
          <w:color w:val="auto"/>
          <w:kern w:val="28"/>
          <w:sz w:val="24"/>
          <w:szCs w:val="20"/>
          <w:highlight w:val="none"/>
          <w:lang w:val="en-US" w:eastAsia="zh-CN" w:bidi="ar-SA"/>
        </w:rPr>
        <w:t>（1）养管范围：临时盆景园</w:t>
      </w:r>
      <w:r>
        <w:rPr>
          <w:rFonts w:hint="eastAsia" w:ascii="宋体" w:hAnsi="宋体" w:cs="宋体"/>
          <w:snapToGrid w:val="0"/>
          <w:color w:val="auto"/>
          <w:kern w:val="28"/>
          <w:sz w:val="24"/>
          <w:szCs w:val="20"/>
          <w:highlight w:val="none"/>
          <w:lang w:val="en-US" w:eastAsia="zh-CN" w:bidi="ar-SA"/>
        </w:rPr>
        <w:t>6700平方米</w:t>
      </w:r>
      <w:r>
        <w:rPr>
          <w:rFonts w:hint="eastAsia" w:ascii="宋体" w:hAnsi="宋体" w:eastAsia="宋体" w:cs="宋体"/>
          <w:snapToGrid w:val="0"/>
          <w:color w:val="auto"/>
          <w:kern w:val="28"/>
          <w:sz w:val="24"/>
          <w:szCs w:val="20"/>
          <w:highlight w:val="none"/>
          <w:lang w:val="en-US" w:eastAsia="zh-CN" w:bidi="ar-SA"/>
        </w:rPr>
        <w:t>（实际养护面积约5000平方米）；绿岛公园（含园林博物馆）占地面积60150平方米（其中棋苑1181平方米，不在服务范围）；福民公园占地面积19997平方米；青林湾公园占地面积39709平方米。（</w:t>
      </w:r>
      <w:r>
        <w:rPr>
          <w:rFonts w:hint="eastAsia" w:ascii="宋体" w:hAnsi="宋体" w:cs="宋体"/>
          <w:snapToGrid w:val="0"/>
          <w:color w:val="auto"/>
          <w:kern w:val="28"/>
          <w:sz w:val="24"/>
          <w:szCs w:val="20"/>
          <w:highlight w:val="none"/>
          <w:lang w:val="en-US" w:eastAsia="zh-CN" w:bidi="ar-SA"/>
        </w:rPr>
        <w:t>2</w:t>
      </w:r>
      <w:r>
        <w:rPr>
          <w:rFonts w:hint="eastAsia" w:ascii="宋体" w:hAnsi="宋体" w:eastAsia="宋体" w:cs="宋体"/>
          <w:snapToGrid w:val="0"/>
          <w:color w:val="auto"/>
          <w:kern w:val="28"/>
          <w:sz w:val="24"/>
          <w:szCs w:val="20"/>
          <w:highlight w:val="none"/>
          <w:lang w:val="en-US" w:eastAsia="zh-CN" w:bidi="ar-SA"/>
        </w:rPr>
        <w:t>）本标项预算为年度采购预算。</w:t>
      </w:r>
    </w:p>
    <w:p w14:paraId="0BDE52F1">
      <w:pPr>
        <w:spacing w:line="360" w:lineRule="auto"/>
        <w:ind w:left="210" w:leftChars="100" w:firstLine="480"/>
        <w:rPr>
          <w:rFonts w:hint="eastAsia" w:ascii="宋体" w:hAnsi="宋体" w:cs="宋体"/>
          <w:b/>
          <w:bCs/>
          <w:snapToGrid w:val="0"/>
          <w:color w:val="auto"/>
          <w:kern w:val="28"/>
          <w:sz w:val="24"/>
          <w:szCs w:val="20"/>
          <w:highlight w:val="none"/>
        </w:rPr>
      </w:pPr>
    </w:p>
    <w:p w14:paraId="557DE730">
      <w:pPr>
        <w:spacing w:line="360" w:lineRule="auto"/>
        <w:ind w:left="210" w:leftChars="100" w:firstLine="480"/>
        <w:rPr>
          <w:rFonts w:ascii="宋体" w:hAnsi="宋体" w:cs="宋体"/>
          <w:b/>
          <w:bCs/>
          <w:snapToGrid w:val="0"/>
          <w:color w:val="auto"/>
          <w:kern w:val="28"/>
          <w:sz w:val="24"/>
          <w:szCs w:val="20"/>
          <w:highlight w:val="none"/>
        </w:rPr>
      </w:pPr>
      <w:r>
        <w:rPr>
          <w:rFonts w:hint="eastAsia" w:ascii="宋体" w:hAnsi="宋体" w:cs="宋体"/>
          <w:b/>
          <w:bCs/>
          <w:snapToGrid w:val="0"/>
          <w:color w:val="auto"/>
          <w:kern w:val="28"/>
          <w:sz w:val="24"/>
          <w:szCs w:val="20"/>
          <w:highlight w:val="none"/>
        </w:rPr>
        <w:t>标项</w:t>
      </w:r>
      <w:r>
        <w:rPr>
          <w:rFonts w:hint="eastAsia" w:ascii="宋体" w:hAnsi="宋体" w:cs="宋体"/>
          <w:b/>
          <w:bCs/>
          <w:snapToGrid w:val="0"/>
          <w:color w:val="auto"/>
          <w:kern w:val="28"/>
          <w:sz w:val="24"/>
          <w:szCs w:val="20"/>
          <w:highlight w:val="none"/>
          <w:lang w:val="en-US" w:eastAsia="zh-CN"/>
        </w:rPr>
        <w:t>三</w:t>
      </w:r>
      <w:r>
        <w:rPr>
          <w:rFonts w:hint="eastAsia" w:ascii="宋体" w:hAnsi="宋体" w:cs="宋体"/>
          <w:b/>
          <w:bCs/>
          <w:snapToGrid w:val="0"/>
          <w:color w:val="auto"/>
          <w:kern w:val="28"/>
          <w:sz w:val="24"/>
          <w:szCs w:val="20"/>
          <w:highlight w:val="none"/>
        </w:rPr>
        <w:t>：</w:t>
      </w:r>
    </w:p>
    <w:p w14:paraId="51D5A4B8">
      <w:pPr>
        <w:spacing w:line="360" w:lineRule="auto"/>
        <w:ind w:left="210" w:leftChars="100" w:firstLine="480"/>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标项名</w:t>
      </w:r>
      <w:r>
        <w:rPr>
          <w:rFonts w:hint="eastAsia" w:ascii="宋体" w:hAnsi="宋体" w:eastAsia="宋体" w:cs="宋体"/>
          <w:snapToGrid w:val="0"/>
          <w:color w:val="auto"/>
          <w:kern w:val="28"/>
          <w:sz w:val="24"/>
          <w:szCs w:val="20"/>
          <w:highlight w:val="none"/>
          <w:lang w:val="en-US" w:eastAsia="zh-CN" w:bidi="ar-SA"/>
        </w:rPr>
        <w:t>称：儿童公园综合养管</w:t>
      </w:r>
    </w:p>
    <w:p w14:paraId="4603EE0E">
      <w:pPr>
        <w:spacing w:line="360" w:lineRule="auto"/>
        <w:ind w:left="210" w:leftChars="100" w:firstLine="480"/>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数量：1项</w:t>
      </w:r>
    </w:p>
    <w:p w14:paraId="6EC347B9">
      <w:pPr>
        <w:spacing w:line="360" w:lineRule="auto"/>
        <w:ind w:left="210" w:leftChars="100" w:firstLine="480"/>
        <w:rPr>
          <w:rFonts w:hint="default" w:ascii="宋体" w:hAnsi="宋体" w:eastAsia="宋体" w:cs="宋体"/>
          <w:snapToGrid w:val="0"/>
          <w:color w:val="auto"/>
          <w:kern w:val="28"/>
          <w:sz w:val="24"/>
          <w:szCs w:val="20"/>
          <w:highlight w:val="none"/>
          <w:lang w:val="en-US" w:eastAsia="zh-CN"/>
        </w:rPr>
      </w:pPr>
      <w:r>
        <w:rPr>
          <w:rFonts w:hint="eastAsia" w:ascii="宋体" w:hAnsi="宋体" w:cs="宋体"/>
          <w:snapToGrid w:val="0"/>
          <w:color w:val="auto"/>
          <w:kern w:val="28"/>
          <w:sz w:val="24"/>
          <w:szCs w:val="20"/>
          <w:highlight w:val="none"/>
        </w:rPr>
        <w:t>预算金额（元）:</w:t>
      </w:r>
      <w:r>
        <w:rPr>
          <w:rFonts w:hint="eastAsia" w:ascii="宋体" w:hAnsi="宋体" w:cs="宋体"/>
          <w:color w:val="auto"/>
          <w:sz w:val="24"/>
          <w:highlight w:val="none"/>
          <w:lang w:val="en-US" w:eastAsia="zh-CN"/>
        </w:rPr>
        <w:t>5120260.00</w:t>
      </w:r>
    </w:p>
    <w:p w14:paraId="0C2A4CB5">
      <w:pPr>
        <w:pStyle w:val="7"/>
        <w:spacing w:line="360" w:lineRule="auto"/>
        <w:ind w:left="210" w:leftChars="100" w:firstLine="480"/>
        <w:rPr>
          <w:rFonts w:hAnsi="宋体" w:cs="宋体"/>
          <w:bCs/>
          <w:snapToGrid/>
          <w:color w:val="auto"/>
          <w:kern w:val="2"/>
          <w:sz w:val="24"/>
          <w:szCs w:val="24"/>
          <w:highlight w:val="none"/>
        </w:rPr>
      </w:pPr>
      <w:r>
        <w:rPr>
          <w:rFonts w:hint="eastAsia" w:hAnsi="宋体" w:cs="宋体"/>
          <w:color w:val="auto"/>
          <w:sz w:val="24"/>
          <w:highlight w:val="none"/>
        </w:rPr>
        <w:t>简要规格描述或项目基本概况介绍、用途：按一级绿地养护标准做好该标段设施量范围内的绿化养护和保洁、设施维护和零星项目、治安巡视以及协助采购人完成其他工作等，根据应急措施预案，落实相应工作安排</w:t>
      </w:r>
      <w:r>
        <w:rPr>
          <w:rFonts w:hint="eastAsia" w:ascii="宋体" w:hAnsi="宋体" w:eastAsia="宋体" w:cs="宋体"/>
          <w:color w:val="auto"/>
          <w:sz w:val="24"/>
          <w:highlight w:val="none"/>
        </w:rPr>
        <w:t>等；</w:t>
      </w:r>
      <w:r>
        <w:rPr>
          <w:rFonts w:hint="eastAsia" w:hAnsi="宋体" w:cs="宋体"/>
          <w:color w:val="auto"/>
          <w:sz w:val="24"/>
          <w:highlight w:val="none"/>
        </w:rPr>
        <w:t>具体以招标文件第三部分采购需求为准，供应商可点击本公告下方“浏览采购文件”查看采购需求。</w:t>
      </w:r>
    </w:p>
    <w:p w14:paraId="35D6F0D0">
      <w:pPr>
        <w:pStyle w:val="130"/>
        <w:ind w:firstLine="482"/>
        <w:rPr>
          <w:rFonts w:hint="eastAsia" w:ascii="宋体" w:hAnsi="宋体" w:cs="宋体"/>
          <w:b/>
          <w:color w:val="auto"/>
          <w:highlight w:val="none"/>
        </w:rPr>
      </w:pPr>
      <w:r>
        <w:rPr>
          <w:rFonts w:hint="eastAsia" w:ascii="宋体" w:hAnsi="宋体" w:cs="宋体"/>
          <w:snapToGrid w:val="0"/>
          <w:color w:val="auto"/>
          <w:kern w:val="28"/>
          <w:sz w:val="24"/>
          <w:szCs w:val="20"/>
          <w:highlight w:val="none"/>
        </w:rPr>
        <w:t>备注：</w:t>
      </w:r>
      <w:r>
        <w:rPr>
          <w:rFonts w:hint="eastAsia" w:ascii="宋体" w:hAnsi="宋体" w:eastAsia="宋体" w:cs="宋体"/>
          <w:snapToGrid w:val="0"/>
          <w:color w:val="auto"/>
          <w:kern w:val="28"/>
          <w:sz w:val="24"/>
          <w:szCs w:val="20"/>
          <w:highlight w:val="none"/>
          <w:lang w:val="en-US" w:eastAsia="zh-CN" w:bidi="ar-SA"/>
        </w:rPr>
        <w:t>（1）养管范围：儿童公园占地面积约为8.90万平方米。（</w:t>
      </w:r>
      <w:r>
        <w:rPr>
          <w:rFonts w:hint="eastAsia" w:ascii="宋体" w:hAnsi="宋体" w:cs="宋体"/>
          <w:snapToGrid w:val="0"/>
          <w:color w:val="auto"/>
          <w:kern w:val="28"/>
          <w:sz w:val="24"/>
          <w:szCs w:val="20"/>
          <w:highlight w:val="none"/>
          <w:lang w:val="en-US" w:eastAsia="zh-CN" w:bidi="ar-SA"/>
        </w:rPr>
        <w:t>2</w:t>
      </w:r>
      <w:r>
        <w:rPr>
          <w:rFonts w:hint="eastAsia" w:ascii="宋体" w:hAnsi="宋体" w:eastAsia="宋体" w:cs="宋体"/>
          <w:snapToGrid w:val="0"/>
          <w:color w:val="auto"/>
          <w:kern w:val="28"/>
          <w:sz w:val="24"/>
          <w:szCs w:val="20"/>
          <w:highlight w:val="none"/>
          <w:lang w:val="en-US" w:eastAsia="zh-CN" w:bidi="ar-SA"/>
        </w:rPr>
        <w:t>）本标项预算为年度采购预算。</w:t>
      </w:r>
    </w:p>
    <w:p w14:paraId="6123F66B">
      <w:pPr>
        <w:pStyle w:val="130"/>
        <w:ind w:firstLine="482"/>
        <w:rPr>
          <w:rFonts w:hint="eastAsia" w:ascii="宋体" w:hAnsi="宋体" w:cs="宋体"/>
          <w:b/>
          <w:color w:val="auto"/>
          <w:highlight w:val="none"/>
        </w:rPr>
      </w:pPr>
      <w:r>
        <w:rPr>
          <w:rFonts w:hint="eastAsia" w:ascii="宋体" w:hAnsi="宋体" w:cs="宋体"/>
          <w:b/>
          <w:color w:val="auto"/>
          <w:highlight w:val="none"/>
        </w:rPr>
        <w:t>合同履约期限：</w:t>
      </w:r>
    </w:p>
    <w:p w14:paraId="0AA7ADC9">
      <w:pPr>
        <w:pStyle w:val="130"/>
        <w:ind w:firstLine="482"/>
        <w:rPr>
          <w:rFonts w:hint="eastAsia" w:ascii="宋体" w:hAnsi="宋体" w:cs="宋体"/>
          <w:color w:val="auto"/>
          <w:szCs w:val="21"/>
          <w:highlight w:val="none"/>
        </w:rPr>
      </w:pPr>
      <w:r>
        <w:rPr>
          <w:rFonts w:hint="eastAsia" w:ascii="宋体" w:hAnsi="宋体" w:cs="宋体"/>
          <w:color w:val="auto"/>
          <w:szCs w:val="21"/>
          <w:highlight w:val="none"/>
        </w:rPr>
        <w:t>标项 1、2，服务期为三年，合同一年一签。采购人根据中标人在合同履约期内按照履约、考核等情况决定是否续签。（若因政策调整、养管模式调整、公园提升改造等原因需要重新进行招标的，采购人有权终止合同）。</w:t>
      </w:r>
    </w:p>
    <w:p w14:paraId="4A5297EF">
      <w:pPr>
        <w:pStyle w:val="130"/>
        <w:ind w:firstLine="482"/>
        <w:rPr>
          <w:rFonts w:hint="eastAsia" w:ascii="宋体" w:hAnsi="宋体" w:cs="宋体"/>
          <w:color w:val="auto"/>
          <w:szCs w:val="21"/>
          <w:highlight w:val="none"/>
        </w:rPr>
      </w:pPr>
      <w:r>
        <w:rPr>
          <w:rFonts w:hint="eastAsia" w:ascii="宋体" w:hAnsi="宋体" w:cs="宋体"/>
          <w:color w:val="auto"/>
          <w:szCs w:val="21"/>
          <w:highlight w:val="none"/>
        </w:rPr>
        <w:t xml:space="preserve">标项 </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，服务期为三年，合同一年一签</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第一轮的合同服务时间自2024年11月22日起同步至标项1,2的合同履约完毕之日止。</w:t>
      </w:r>
      <w:r>
        <w:rPr>
          <w:rFonts w:hint="eastAsia" w:ascii="宋体" w:hAnsi="宋体" w:cs="宋体"/>
          <w:color w:val="auto"/>
          <w:szCs w:val="21"/>
          <w:highlight w:val="none"/>
        </w:rPr>
        <w:t>采购人根据中标人在合同履约期内按照履约、考核等情况决定是否续签。（若因政策调整、养管模式调整、公园提升改造等原因需要重新进行招标的，采购人有权终止合同）。</w:t>
      </w:r>
    </w:p>
    <w:p w14:paraId="62CC796B">
      <w:pPr>
        <w:pStyle w:val="7"/>
        <w:spacing w:line="360" w:lineRule="auto"/>
        <w:ind w:firstLine="480"/>
        <w:rPr>
          <w:rFonts w:hAnsi="宋体" w:cs="宋体"/>
          <w:b/>
          <w:color w:val="auto"/>
          <w:highlight w:val="none"/>
        </w:rPr>
      </w:pPr>
      <w:r>
        <w:rPr>
          <w:rFonts w:hint="eastAsia" w:hAnsi="宋体" w:cs="宋体"/>
          <w:b/>
          <w:color w:val="auto"/>
          <w:sz w:val="24"/>
          <w:highlight w:val="none"/>
        </w:rPr>
        <w:t>本项目接受联合体投标：</w:t>
      </w:r>
      <w:sdt>
        <w:sdtPr>
          <w:rPr>
            <w:rFonts w:hAnsi="宋体" w:cs="宋体"/>
            <w:color w:val="auto"/>
            <w:kern w:val="0"/>
            <w:sz w:val="24"/>
            <w:highlight w:val="none"/>
          </w:rPr>
          <w:id w:val="-441836950"/>
          <w14:checkbox>
            <w14:checked w14:val="0"/>
            <w14:checkedState w14:val="00FE" w14:font="Wingdings"/>
            <w14:uncheckedState w14:val="2610" w14:font="MS Gothic"/>
          </w14:checkbox>
        </w:sdtPr>
        <w:sdtEndPr>
          <w:rPr>
            <w:rFonts w:hAnsi="宋体" w:cs="宋体"/>
            <w:color w:val="auto"/>
            <w:kern w:val="0"/>
            <w:sz w:val="24"/>
            <w:highlight w:val="none"/>
          </w:rPr>
        </w:sdtEndPr>
        <w:sdtContent>
          <w:r>
            <w:rPr>
              <w:rFonts w:ascii="MS Gothic" w:hAnsi="MS Gothic" w:eastAsia="宋体" w:cs="宋体"/>
              <w:snapToGrid w:val="0"/>
              <w:color w:val="auto"/>
              <w:kern w:val="0"/>
              <w:sz w:val="24"/>
              <w:szCs w:val="20"/>
              <w:highlight w:val="none"/>
              <w:lang w:val="en-US" w:eastAsia="zh-CN" w:bidi="ar-SA"/>
            </w:rPr>
            <w:t>☐</w:t>
          </w:r>
        </w:sdtContent>
      </w:sdt>
      <w:r>
        <w:rPr>
          <w:rFonts w:hint="eastAsia" w:hAnsi="宋体" w:cs="宋体"/>
          <w:b/>
          <w:color w:val="auto"/>
          <w:sz w:val="24"/>
          <w:highlight w:val="none"/>
        </w:rPr>
        <w:t>是；</w:t>
      </w:r>
      <w:sdt>
        <w:sdtPr>
          <w:rPr>
            <w:rFonts w:hAnsi="宋体" w:cs="宋体"/>
            <w:color w:val="auto"/>
            <w:kern w:val="0"/>
            <w:sz w:val="24"/>
            <w:highlight w:val="none"/>
          </w:rPr>
          <w:id w:val="-1591624199"/>
          <w14:checkbox>
            <w14:checked w14:val="1"/>
            <w14:checkedState w14:val="00FE" w14:font="Wingdings"/>
            <w14:uncheckedState w14:val="2610" w14:font="MS Gothic"/>
          </w14:checkbox>
        </w:sdtPr>
        <w:sdtEndPr>
          <w:rPr>
            <w:rFonts w:hAnsi="宋体" w:cs="宋体"/>
            <w:color w:val="auto"/>
            <w:kern w:val="0"/>
            <w:sz w:val="24"/>
            <w:highlight w:val="none"/>
          </w:rPr>
        </w:sdtEndPr>
        <w:sdtContent>
          <w:r>
            <w:rPr>
              <w:rFonts w:ascii="Wingdings" w:hAnsi="Wingdings" w:eastAsia="宋体" w:cs="Segoe UI Symbol"/>
              <w:snapToGrid w:val="0"/>
              <w:color w:val="auto"/>
              <w:kern w:val="0"/>
              <w:sz w:val="24"/>
              <w:szCs w:val="20"/>
              <w:highlight w:val="none"/>
              <w:lang w:val="en-US" w:eastAsia="zh-CN" w:bidi="ar-SA"/>
            </w:rPr>
            <w:t>þ</w:t>
          </w:r>
        </w:sdtContent>
      </w:sdt>
      <w:r>
        <w:rPr>
          <w:rFonts w:hint="eastAsia" w:hAnsi="宋体" w:cs="宋体"/>
          <w:b/>
          <w:color w:val="auto"/>
          <w:sz w:val="24"/>
          <w:highlight w:val="none"/>
        </w:rPr>
        <w:t>否</w:t>
      </w:r>
      <w:r>
        <w:rPr>
          <w:rFonts w:hint="eastAsia" w:hAnsi="宋体" w:cs="宋体"/>
          <w:color w:val="auto"/>
          <w:kern w:val="0"/>
          <w:sz w:val="24"/>
          <w:highlight w:val="none"/>
        </w:rPr>
        <w:t>。</w:t>
      </w:r>
    </w:p>
    <w:p w14:paraId="439DFEF5">
      <w:pPr>
        <w:spacing w:line="360" w:lineRule="auto"/>
        <w:rPr>
          <w:rFonts w:ascii="宋体" w:hAnsi="宋体" w:cs="宋体"/>
          <w:b/>
          <w:color w:val="auto"/>
          <w:sz w:val="24"/>
          <w:highlight w:val="none"/>
        </w:rPr>
      </w:pPr>
      <w:r>
        <w:rPr>
          <w:rFonts w:hint="eastAsia" w:ascii="宋体" w:hAnsi="宋体" w:cs="宋体"/>
          <w:b/>
          <w:color w:val="auto"/>
          <w:sz w:val="24"/>
          <w:highlight w:val="none"/>
        </w:rPr>
        <w:t>二、申请人的资格要求：</w:t>
      </w:r>
    </w:p>
    <w:p w14:paraId="730A8B18">
      <w:pPr>
        <w:spacing w:line="360" w:lineRule="auto"/>
        <w:ind w:firstLine="480"/>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246A10DE">
      <w:pPr>
        <w:spacing w:line="360" w:lineRule="auto"/>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 xml:space="preserve">    </w:t>
      </w:r>
      <w:r>
        <w:rPr>
          <w:rFonts w:ascii="宋体" w:hAnsi="宋体" w:cs="宋体"/>
          <w:snapToGrid w:val="0"/>
          <w:color w:val="auto"/>
          <w:kern w:val="28"/>
          <w:sz w:val="24"/>
          <w:szCs w:val="20"/>
          <w:highlight w:val="none"/>
        </w:rPr>
        <w:t>2</w:t>
      </w:r>
      <w:r>
        <w:rPr>
          <w:rFonts w:hint="eastAsia" w:ascii="宋体" w:hAnsi="宋体" w:cs="宋体"/>
          <w:snapToGrid w:val="0"/>
          <w:color w:val="auto"/>
          <w:kern w:val="28"/>
          <w:sz w:val="24"/>
          <w:szCs w:val="20"/>
          <w:highlight w:val="none"/>
        </w:rPr>
        <w:t>.</w:t>
      </w:r>
      <w:r>
        <w:rPr>
          <w:rFonts w:hint="eastAsia"/>
          <w:color w:val="auto"/>
          <w:highlight w:val="none"/>
        </w:rPr>
        <w:t xml:space="preserve"> </w:t>
      </w:r>
      <w:r>
        <w:rPr>
          <w:rFonts w:hint="eastAsia" w:ascii="宋体" w:hAnsi="宋体" w:cs="宋体"/>
          <w:snapToGrid w:val="0"/>
          <w:color w:val="auto"/>
          <w:kern w:val="28"/>
          <w:sz w:val="24"/>
          <w:szCs w:val="20"/>
          <w:highlight w:val="none"/>
        </w:rPr>
        <w:t>以联合体形式投标的，提供联合协议；</w:t>
      </w:r>
    </w:p>
    <w:p w14:paraId="56170632">
      <w:pPr>
        <w:spacing w:line="360" w:lineRule="auto"/>
        <w:ind w:firstLine="480" w:firstLineChars="200"/>
        <w:rPr>
          <w:rFonts w:ascii="宋体" w:hAnsi="宋体" w:cs="宋体"/>
          <w:snapToGrid w:val="0"/>
          <w:color w:val="auto"/>
          <w:kern w:val="28"/>
          <w:sz w:val="24"/>
          <w:szCs w:val="20"/>
          <w:highlight w:val="none"/>
        </w:rPr>
      </w:pPr>
      <w:r>
        <w:rPr>
          <w:rFonts w:ascii="宋体" w:hAnsi="宋体" w:cs="宋体"/>
          <w:snapToGrid w:val="0"/>
          <w:color w:val="auto"/>
          <w:kern w:val="28"/>
          <w:sz w:val="24"/>
          <w:szCs w:val="20"/>
          <w:highlight w:val="none"/>
        </w:rPr>
        <w:t>3</w:t>
      </w:r>
      <w:r>
        <w:rPr>
          <w:rFonts w:hint="eastAsia" w:ascii="宋体" w:hAnsi="宋体" w:cs="宋体"/>
          <w:snapToGrid w:val="0"/>
          <w:color w:val="auto"/>
          <w:kern w:val="28"/>
          <w:sz w:val="24"/>
          <w:szCs w:val="20"/>
          <w:highlight w:val="none"/>
        </w:rPr>
        <w:t>.落实政府采购政策需满足的资格要求：</w:t>
      </w:r>
    </w:p>
    <w:p w14:paraId="7FC9152E">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92861692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sz w:val="24"/>
          <w:highlight w:val="none"/>
        </w:rPr>
        <w:t>无</w:t>
      </w:r>
      <w:r>
        <w:rPr>
          <w:rFonts w:hint="eastAsia" w:ascii="宋体" w:hAnsi="宋体" w:cs="宋体"/>
          <w:snapToGrid w:val="0"/>
          <w:color w:val="auto"/>
          <w:kern w:val="28"/>
          <w:sz w:val="24"/>
          <w:szCs w:val="20"/>
          <w:highlight w:val="none"/>
        </w:rPr>
        <w:t>；</w:t>
      </w:r>
    </w:p>
    <w:p w14:paraId="70FD7A72">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024704304"/>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eastAsia="MS Gothic" w:cs="宋体"/>
              <w:color w:val="auto"/>
              <w:kern w:val="0"/>
              <w:sz w:val="24"/>
              <w:highlight w:val="none"/>
            </w:rPr>
            <w:t></w:t>
          </w:r>
        </w:sdtContent>
      </w:sdt>
      <w:r>
        <w:rPr>
          <w:rFonts w:hint="eastAsia" w:ascii="宋体" w:hAnsi="宋体" w:cs="宋体"/>
          <w:color w:val="auto"/>
          <w:kern w:val="0"/>
          <w:sz w:val="24"/>
          <w:highlight w:val="none"/>
        </w:rPr>
        <w:t>专</w:t>
      </w:r>
      <w:r>
        <w:rPr>
          <w:rFonts w:hint="eastAsia" w:ascii="宋体" w:hAnsi="宋体" w:cs="宋体"/>
          <w:color w:val="auto"/>
          <w:sz w:val="24"/>
          <w:highlight w:val="none"/>
        </w:rPr>
        <w:t>门面向中小企业</w:t>
      </w:r>
    </w:p>
    <w:p w14:paraId="0B31E776">
      <w:pPr>
        <w:spacing w:line="360" w:lineRule="auto"/>
        <w:ind w:firstLine="897" w:firstLineChars="374"/>
        <w:rPr>
          <w:rFonts w:ascii="宋体" w:hAnsi="宋体" w:cs="宋体"/>
          <w:color w:val="auto"/>
          <w:sz w:val="24"/>
          <w:highlight w:val="none"/>
        </w:rPr>
      </w:pPr>
      <w:sdt>
        <w:sdtPr>
          <w:rPr>
            <w:rFonts w:hint="eastAsia" w:ascii="宋体" w:hAnsi="宋体" w:cs="宋体"/>
            <w:color w:val="auto"/>
            <w:kern w:val="0"/>
            <w:sz w:val="24"/>
            <w:highlight w:val="none"/>
          </w:rPr>
          <w:id w:val="-333685401"/>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eastAsia="MS Gothic" w:cs="宋体"/>
              <w:color w:val="auto"/>
              <w:kern w:val="0"/>
              <w:sz w:val="24"/>
              <w:highlight w:val="none"/>
            </w:rPr>
            <w:t></w:t>
          </w:r>
        </w:sdtContent>
      </w:sdt>
      <w:r>
        <w:rPr>
          <w:rFonts w:hint="eastAsia" w:ascii="宋体" w:hAnsi="宋体" w:cs="宋体"/>
          <w:color w:val="auto"/>
          <w:sz w:val="24"/>
          <w:highlight w:val="none"/>
        </w:rPr>
        <w:t>服务全部由符合政策要求的中小企业承接，提供中小企业声明函；</w:t>
      </w:r>
    </w:p>
    <w:p w14:paraId="0B921AE8">
      <w:pPr>
        <w:spacing w:line="360" w:lineRule="auto"/>
        <w:ind w:firstLine="897" w:firstLineChars="374"/>
        <w:rPr>
          <w:rFonts w:ascii="宋体" w:hAnsi="宋体" w:cs="宋体"/>
          <w:color w:val="auto"/>
          <w:sz w:val="24"/>
          <w:highlight w:val="none"/>
        </w:rPr>
      </w:pPr>
      <w:sdt>
        <w:sdtPr>
          <w:rPr>
            <w:rFonts w:hint="eastAsia" w:ascii="宋体" w:hAnsi="宋体" w:cs="宋体"/>
            <w:color w:val="auto"/>
            <w:kern w:val="0"/>
            <w:sz w:val="24"/>
            <w:highlight w:val="none"/>
          </w:rPr>
          <w:id w:val="-2141025358"/>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服务全部由符合政策要求的小微企业承接，提供中小企业声明函；</w:t>
      </w:r>
    </w:p>
    <w:p w14:paraId="6807CBFC">
      <w:pPr>
        <w:rPr>
          <w:rFonts w:ascii="宋体" w:hAnsi="宋体" w:cs="宋体"/>
          <w:color w:val="auto"/>
          <w:highlight w:val="none"/>
        </w:rPr>
      </w:pPr>
    </w:p>
    <w:p w14:paraId="1C407CD7">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98560779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cs="宋体"/>
              <w:color w:val="auto"/>
              <w:kern w:val="0"/>
              <w:sz w:val="24"/>
              <w:highlight w:val="none"/>
            </w:rPr>
            <w:t>☐</w:t>
          </w:r>
        </w:sdtContent>
      </w:sdt>
      <w:r>
        <w:rPr>
          <w:rFonts w:hint="eastAsia" w:ascii="宋体" w:hAnsi="宋体" w:cs="宋体"/>
          <w:color w:val="auto"/>
          <w:sz w:val="24"/>
          <w:highlight w:val="none"/>
        </w:rPr>
        <w:t>要求以联合体形式参加，提供联合协议和中小企业声明函，联合协议中中小企业合同金额应当达到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auto"/>
          <w:sz w:val="24"/>
          <w:highlight w:val="none"/>
        </w:rPr>
        <w:t>；</w:t>
      </w:r>
    </w:p>
    <w:p w14:paraId="6A6B8FBE">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3463064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要求合同分包，提供分包意向协议和中小企业声明函，分包意向协议中中小企业合同金额应当达到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sz w:val="24"/>
          <w:highlight w:val="none"/>
        </w:rPr>
        <w:t>；</w:t>
      </w:r>
    </w:p>
    <w:p w14:paraId="2EA1FBFD">
      <w:pPr>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color w:val="auto"/>
          <w:sz w:val="24"/>
          <w:highlight w:val="none"/>
          <w:lang w:val="en-US" w:eastAsia="zh-CN"/>
        </w:rPr>
        <w:t>无</w:t>
      </w:r>
      <w:r>
        <w:rPr>
          <w:rFonts w:hint="eastAsia" w:ascii="宋体" w:hAnsi="宋体" w:cs="宋体"/>
          <w:color w:val="auto"/>
          <w:sz w:val="24"/>
          <w:highlight w:val="none"/>
        </w:rPr>
        <w:t>。</w:t>
      </w:r>
    </w:p>
    <w:p w14:paraId="55584597">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69394F5">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三、获取招标文件 </w:t>
      </w:r>
    </w:p>
    <w:p w14:paraId="0B9FB5AB">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时间：</w:t>
      </w:r>
      <w:r>
        <w:rPr>
          <w:rFonts w:hint="eastAsia" w:ascii="宋体" w:hAnsi="宋体" w:cs="宋体"/>
          <w:color w:val="auto"/>
          <w:sz w:val="24"/>
          <w:highlight w:val="none"/>
          <w:u w:val="single"/>
          <w:lang w:eastAsia="zh-CN"/>
        </w:rPr>
        <w:t>2024</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07</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23</w:t>
      </w:r>
      <w:r>
        <w:rPr>
          <w:rFonts w:hint="eastAsia" w:ascii="宋体" w:hAnsi="宋体" w:cs="宋体"/>
          <w:color w:val="auto"/>
          <w:sz w:val="24"/>
          <w:highlight w:val="none"/>
          <w:u w:val="single"/>
        </w:rPr>
        <w:t>日</w:t>
      </w:r>
      <w:r>
        <w:rPr>
          <w:rFonts w:hint="eastAsia" w:ascii="宋体" w:hAnsi="宋体" w:cs="宋体"/>
          <w:color w:val="auto"/>
          <w:sz w:val="24"/>
          <w:highlight w:val="none"/>
        </w:rPr>
        <w:t>至</w:t>
      </w:r>
      <w:r>
        <w:rPr>
          <w:rFonts w:hint="eastAsia" w:ascii="宋体" w:hAnsi="宋体" w:cs="宋体"/>
          <w:color w:val="auto"/>
          <w:sz w:val="24"/>
          <w:highlight w:val="none"/>
          <w:u w:val="single"/>
          <w:lang w:eastAsia="zh-CN"/>
        </w:rPr>
        <w:t>2024</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07</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31</w:t>
      </w:r>
      <w:r>
        <w:rPr>
          <w:rFonts w:hint="eastAsia" w:ascii="宋体" w:hAnsi="宋体" w:cs="宋体"/>
          <w:color w:val="auto"/>
          <w:sz w:val="24"/>
          <w:highlight w:val="none"/>
          <w:u w:val="single"/>
        </w:rPr>
        <w:t>日</w:t>
      </w:r>
      <w:r>
        <w:rPr>
          <w:rFonts w:hint="eastAsia" w:ascii="宋体" w:hAnsi="宋体" w:cs="宋体"/>
          <w:color w:val="auto"/>
          <w:sz w:val="24"/>
          <w:highlight w:val="none"/>
        </w:rPr>
        <w:t>，每天上午00:00至12:00，下午12:00至23:59（北京时间，线上获取法定节假日均可，线下获取文件法定节假日除外）</w:t>
      </w:r>
    </w:p>
    <w:p w14:paraId="027FE398">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 xml:space="preserve">政采云平台（https://www.zcygov.cn/） </w:t>
      </w:r>
    </w:p>
    <w:p w14:paraId="76EB4E3B">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方式：</w:t>
      </w:r>
      <w:r>
        <w:rPr>
          <w:rFonts w:hint="eastAsia" w:ascii="宋体" w:hAnsi="宋体" w:cs="宋体"/>
          <w:color w:val="auto"/>
          <w:sz w:val="24"/>
          <w:highlight w:val="none"/>
        </w:rPr>
        <w:t xml:space="preserve">供应商登录政采云平台https://www.zcygov.cn/在线申请获取采购文件（进入“项目采购”应用，在获取采购文件菜单中选择项目，申请获取采购文件）。 </w:t>
      </w:r>
    </w:p>
    <w:p w14:paraId="2CEE151F">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售价（元）：</w:t>
      </w:r>
      <w:r>
        <w:rPr>
          <w:rFonts w:hint="eastAsia" w:ascii="宋体" w:hAnsi="宋体" w:cs="宋体"/>
          <w:color w:val="auto"/>
          <w:sz w:val="24"/>
          <w:highlight w:val="none"/>
        </w:rPr>
        <w:t xml:space="preserve">0 </w:t>
      </w:r>
      <w:r>
        <w:rPr>
          <w:rFonts w:hint="eastAsia" w:ascii="宋体" w:hAnsi="宋体" w:cs="宋体"/>
          <w:color w:val="auto"/>
          <w:sz w:val="24"/>
          <w:highlight w:val="none"/>
        </w:rPr>
        <w:tab/>
      </w:r>
    </w:p>
    <w:p w14:paraId="2BFA7653">
      <w:pPr>
        <w:spacing w:line="360" w:lineRule="auto"/>
        <w:rPr>
          <w:rFonts w:ascii="宋体" w:hAnsi="宋体" w:cs="宋体"/>
          <w:b/>
          <w:color w:val="auto"/>
          <w:sz w:val="24"/>
          <w:highlight w:val="none"/>
        </w:rPr>
      </w:pPr>
      <w:r>
        <w:rPr>
          <w:rFonts w:hint="eastAsia" w:ascii="宋体" w:hAnsi="宋体" w:cs="宋体"/>
          <w:b/>
          <w:color w:val="auto"/>
          <w:sz w:val="24"/>
          <w:highlight w:val="none"/>
        </w:rPr>
        <w:t>四、提交投标文件截止时间、开标时间和地点</w:t>
      </w:r>
    </w:p>
    <w:p w14:paraId="75BB943D">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提交投标文件截止时间：</w:t>
      </w:r>
      <w:r>
        <w:rPr>
          <w:rFonts w:hint="eastAsia" w:ascii="宋体" w:hAnsi="宋体" w:cs="宋体"/>
          <w:color w:val="auto"/>
          <w:sz w:val="24"/>
          <w:highlight w:val="none"/>
          <w:u w:val="single"/>
        </w:rPr>
        <w:t xml:space="preserve"> 20</w:t>
      </w:r>
      <w:r>
        <w:rPr>
          <w:rFonts w:hint="eastAsia" w:ascii="宋体" w:hAnsi="宋体" w:cs="宋体"/>
          <w:color w:val="auto"/>
          <w:sz w:val="24"/>
          <w:highlight w:val="none"/>
          <w:u w:val="single"/>
          <w:lang w:val="en-US" w:eastAsia="zh-CN"/>
        </w:rPr>
        <w:t>24</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08</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13</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09</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00</w:t>
      </w:r>
      <w:r>
        <w:rPr>
          <w:rFonts w:hint="eastAsia" w:ascii="宋体" w:hAnsi="宋体" w:cs="宋体"/>
          <w:color w:val="auto"/>
          <w:sz w:val="24"/>
          <w:highlight w:val="none"/>
          <w:u w:val="single"/>
        </w:rPr>
        <w:t>分00秒</w:t>
      </w:r>
      <w:r>
        <w:rPr>
          <w:rFonts w:hint="eastAsia" w:ascii="宋体" w:hAnsi="宋体" w:cs="宋体"/>
          <w:bCs/>
          <w:color w:val="auto"/>
          <w:sz w:val="24"/>
          <w:highlight w:val="none"/>
          <w:u w:val="single"/>
        </w:rPr>
        <w:t xml:space="preserve"> </w:t>
      </w:r>
      <w:r>
        <w:rPr>
          <w:rFonts w:hint="eastAsia" w:ascii="宋体" w:hAnsi="宋体" w:cs="宋体"/>
          <w:color w:val="auto"/>
          <w:sz w:val="24"/>
          <w:highlight w:val="none"/>
        </w:rPr>
        <w:t>（北京时间）</w:t>
      </w:r>
    </w:p>
    <w:p w14:paraId="3C296562">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投标地点（网址）：</w:t>
      </w:r>
      <w:r>
        <w:rPr>
          <w:rFonts w:hint="eastAsia" w:ascii="宋体" w:hAnsi="宋体" w:cs="宋体"/>
          <w:color w:val="auto"/>
          <w:sz w:val="24"/>
          <w:highlight w:val="none"/>
        </w:rPr>
        <w:t xml:space="preserve">政采云平台（https://www.zcygov.cn/） </w:t>
      </w:r>
    </w:p>
    <w:p w14:paraId="0EB500D4">
      <w:pPr>
        <w:spacing w:line="360" w:lineRule="auto"/>
        <w:ind w:firstLine="482" w:firstLineChars="200"/>
        <w:rPr>
          <w:rFonts w:ascii="宋体" w:hAnsi="宋体" w:cs="宋体"/>
          <w:bCs/>
          <w:color w:val="auto"/>
          <w:sz w:val="24"/>
          <w:highlight w:val="none"/>
          <w:u w:val="single"/>
        </w:rPr>
      </w:pPr>
      <w:r>
        <w:rPr>
          <w:rFonts w:hint="eastAsia" w:ascii="宋体" w:hAnsi="宋体" w:cs="宋体"/>
          <w:b/>
          <w:color w:val="auto"/>
          <w:sz w:val="24"/>
          <w:highlight w:val="none"/>
        </w:rPr>
        <w:t>开标时间：</w:t>
      </w:r>
      <w:r>
        <w:rPr>
          <w:rFonts w:hint="eastAsia" w:ascii="宋体" w:hAnsi="宋体" w:cs="宋体"/>
          <w:color w:val="auto"/>
          <w:sz w:val="24"/>
          <w:highlight w:val="none"/>
          <w:u w:val="single"/>
        </w:rPr>
        <w:t>20</w:t>
      </w:r>
      <w:r>
        <w:rPr>
          <w:rFonts w:hint="eastAsia" w:ascii="宋体" w:hAnsi="宋体" w:cs="宋体"/>
          <w:color w:val="auto"/>
          <w:sz w:val="24"/>
          <w:highlight w:val="none"/>
          <w:u w:val="single"/>
          <w:lang w:val="en-US" w:eastAsia="zh-CN"/>
        </w:rPr>
        <w:t>24</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08</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13</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09</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00</w:t>
      </w:r>
      <w:r>
        <w:rPr>
          <w:rFonts w:hint="eastAsia" w:ascii="宋体" w:hAnsi="宋体" w:cs="宋体"/>
          <w:color w:val="auto"/>
          <w:sz w:val="24"/>
          <w:highlight w:val="none"/>
          <w:u w:val="single"/>
        </w:rPr>
        <w:t>分00秒</w:t>
      </w:r>
      <w:r>
        <w:rPr>
          <w:rFonts w:hint="eastAsia" w:ascii="宋体" w:hAnsi="宋体" w:cs="宋体"/>
          <w:bCs/>
          <w:color w:val="auto"/>
          <w:sz w:val="24"/>
          <w:highlight w:val="none"/>
          <w:u w:val="single"/>
        </w:rPr>
        <w:t xml:space="preserve">  </w:t>
      </w:r>
    </w:p>
    <w:p w14:paraId="79831A55">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开标地点（网址）：</w:t>
      </w:r>
      <w:r>
        <w:rPr>
          <w:rFonts w:hint="eastAsia" w:ascii="宋体" w:hAnsi="宋体" w:cs="宋体"/>
          <w:color w:val="auto"/>
          <w:sz w:val="24"/>
          <w:highlight w:val="none"/>
        </w:rPr>
        <w:t>政采云平台（https://www.zcygov.cn/）</w:t>
      </w:r>
    </w:p>
    <w:p w14:paraId="0FB64945">
      <w:pPr>
        <w:spacing w:line="360" w:lineRule="auto"/>
        <w:rPr>
          <w:rFonts w:ascii="宋体" w:hAnsi="宋体" w:cs="宋体"/>
          <w:color w:val="auto"/>
          <w:sz w:val="24"/>
          <w:highlight w:val="none"/>
        </w:rPr>
      </w:pPr>
      <w:r>
        <w:rPr>
          <w:rFonts w:hint="eastAsia" w:ascii="宋体" w:hAnsi="宋体" w:cs="宋体"/>
          <w:b/>
          <w:color w:val="auto"/>
          <w:sz w:val="24"/>
          <w:highlight w:val="none"/>
        </w:rPr>
        <w:t xml:space="preserve">五、公告期限 </w:t>
      </w:r>
    </w:p>
    <w:p w14:paraId="2E27F7D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自本公告发布之日起5个工作日。</w:t>
      </w:r>
    </w:p>
    <w:p w14:paraId="0020B3C9">
      <w:pPr>
        <w:spacing w:line="360" w:lineRule="auto"/>
        <w:rPr>
          <w:rFonts w:ascii="宋体" w:hAnsi="宋体" w:cs="宋体"/>
          <w:b/>
          <w:color w:val="auto"/>
          <w:sz w:val="24"/>
          <w:highlight w:val="none"/>
        </w:rPr>
      </w:pPr>
      <w:r>
        <w:rPr>
          <w:rFonts w:hint="eastAsia" w:ascii="宋体" w:hAnsi="宋体" w:cs="宋体"/>
          <w:b/>
          <w:color w:val="auto"/>
          <w:sz w:val="24"/>
          <w:highlight w:val="none"/>
        </w:rPr>
        <w:t>六、其他补充事宜</w:t>
      </w:r>
    </w:p>
    <w:p w14:paraId="033F049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1.</w:t>
      </w:r>
      <w:r>
        <w:rPr>
          <w:rFonts w:ascii="宋体" w:hAnsi="宋体" w:cs="宋体"/>
          <w:color w:val="auto"/>
          <w:sz w:val="24"/>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color w:val="auto"/>
          <w:sz w:val="24"/>
          <w:highlight w:val="none"/>
        </w:rPr>
        <w:t>。</w:t>
      </w:r>
    </w:p>
    <w:p w14:paraId="51627A7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978A3B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08410D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4）本招标公告中二、申请人的资格要求：第一条中的“重大税收违法案件当事人名单”即为“重大税收违法失信主体”。</w:t>
      </w:r>
    </w:p>
    <w:p w14:paraId="30B0A0A1">
      <w:pPr>
        <w:spacing w:line="360" w:lineRule="auto"/>
        <w:rPr>
          <w:rFonts w:ascii="宋体" w:hAnsi="宋体" w:cs="宋体"/>
          <w:b/>
          <w:color w:val="auto"/>
          <w:sz w:val="24"/>
          <w:highlight w:val="none"/>
        </w:rPr>
      </w:pPr>
      <w:r>
        <w:rPr>
          <w:rFonts w:hint="eastAsia" w:ascii="宋体" w:hAnsi="宋体" w:cs="宋体"/>
          <w:b/>
          <w:color w:val="auto"/>
          <w:sz w:val="24"/>
          <w:highlight w:val="none"/>
        </w:rPr>
        <w:t>七、对本次采购提出询问、质疑、投诉，请按以下方式联系</w:t>
      </w:r>
    </w:p>
    <w:p w14:paraId="09D4C848">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1.采购人信息</w:t>
      </w:r>
    </w:p>
    <w:p w14:paraId="50EB1242">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名    称：</w:t>
      </w:r>
      <w:r>
        <w:rPr>
          <w:rFonts w:hint="eastAsia" w:ascii="宋体" w:hAnsi="宋体" w:cs="宋体"/>
          <w:color w:val="auto"/>
          <w:sz w:val="24"/>
          <w:highlight w:val="none"/>
          <w:lang w:eastAsia="zh-CN"/>
        </w:rPr>
        <w:t>宁波市园林绿化中心</w:t>
      </w:r>
      <w:r>
        <w:rPr>
          <w:rFonts w:hint="eastAsia" w:ascii="宋体" w:hAnsi="宋体" w:cs="宋体"/>
          <w:color w:val="auto"/>
          <w:sz w:val="24"/>
          <w:highlight w:val="none"/>
        </w:rPr>
        <w:t xml:space="preserve"> </w:t>
      </w:r>
    </w:p>
    <w:p w14:paraId="09FA7756">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地    址：宁波市海曙区公园路188号      </w:t>
      </w:r>
    </w:p>
    <w:p w14:paraId="23FC4425">
      <w:pPr>
        <w:spacing w:line="360" w:lineRule="auto"/>
        <w:rPr>
          <w:rFonts w:hint="eastAsia" w:ascii="宋体" w:hAnsi="宋体" w:eastAsia="宋体" w:cs="宋体"/>
          <w:color w:val="auto"/>
          <w:sz w:val="24"/>
          <w:highlight w:val="none"/>
        </w:rPr>
      </w:pPr>
      <w:r>
        <w:rPr>
          <w:rFonts w:hint="eastAsia" w:ascii="宋体" w:hAnsi="宋体" w:cs="宋体"/>
          <w:color w:val="auto"/>
          <w:sz w:val="24"/>
          <w:highlight w:val="none"/>
        </w:rPr>
        <w:t xml:space="preserve">    </w:t>
      </w:r>
      <w:r>
        <w:rPr>
          <w:rFonts w:hint="eastAsia" w:ascii="宋体" w:hAnsi="宋体" w:eastAsia="宋体" w:cs="宋体"/>
          <w:color w:val="auto"/>
          <w:sz w:val="24"/>
          <w:highlight w:val="none"/>
        </w:rPr>
        <w:t>传    真： 0574-</w:t>
      </w:r>
      <w:r>
        <w:rPr>
          <w:rFonts w:hint="eastAsia" w:ascii="宋体" w:hAnsi="宋体" w:eastAsia="宋体" w:cs="宋体"/>
          <w:color w:val="auto"/>
          <w:sz w:val="24"/>
          <w:highlight w:val="none"/>
          <w:lang w:val="en-US" w:eastAsia="zh-CN"/>
        </w:rPr>
        <w:t>87362055</w:t>
      </w:r>
    </w:p>
    <w:p w14:paraId="2BC3CF8C">
      <w:pPr>
        <w:spacing w:line="360" w:lineRule="auto"/>
        <w:rPr>
          <w:rFonts w:hint="eastAsia" w:ascii="宋体" w:hAnsi="宋体" w:eastAsia="宋体" w:cs="宋体"/>
          <w:color w:val="auto"/>
          <w:sz w:val="24"/>
          <w:highlight w:val="none"/>
        </w:rPr>
      </w:pPr>
      <w:r>
        <w:rPr>
          <w:rFonts w:hint="eastAsia" w:ascii="宋体" w:hAnsi="宋体" w:cs="宋体"/>
          <w:color w:val="auto"/>
          <w:sz w:val="24"/>
          <w:highlight w:val="none"/>
        </w:rPr>
        <w:t xml:space="preserve">    </w:t>
      </w:r>
      <w:r>
        <w:rPr>
          <w:rFonts w:hint="eastAsia" w:ascii="宋体" w:hAnsi="宋体" w:eastAsia="宋体" w:cs="宋体"/>
          <w:color w:val="auto"/>
          <w:sz w:val="24"/>
          <w:highlight w:val="none"/>
        </w:rPr>
        <w:t>项目联系人（询问）：</w:t>
      </w:r>
      <w:r>
        <w:rPr>
          <w:rFonts w:hint="eastAsia" w:ascii="宋体" w:hAnsi="宋体" w:eastAsia="宋体" w:cs="宋体"/>
          <w:color w:val="auto"/>
          <w:sz w:val="24"/>
          <w:highlight w:val="none"/>
          <w:lang w:val="en-US" w:eastAsia="zh-CN"/>
        </w:rPr>
        <w:t>张</w:t>
      </w:r>
      <w:r>
        <w:rPr>
          <w:rFonts w:hint="eastAsia" w:ascii="宋体" w:hAnsi="宋体" w:eastAsia="宋体" w:cs="宋体"/>
          <w:color w:val="auto"/>
          <w:sz w:val="24"/>
          <w:highlight w:val="none"/>
        </w:rPr>
        <w:t xml:space="preserve">工 </w:t>
      </w:r>
    </w:p>
    <w:p w14:paraId="3B221AAF">
      <w:pPr>
        <w:spacing w:line="360" w:lineRule="auto"/>
        <w:rPr>
          <w:rFonts w:hint="eastAsia" w:ascii="宋体" w:hAnsi="宋体" w:eastAsia="宋体" w:cs="宋体"/>
          <w:color w:val="auto"/>
          <w:sz w:val="24"/>
          <w:highlight w:val="none"/>
        </w:rPr>
      </w:pPr>
      <w:r>
        <w:rPr>
          <w:rFonts w:hint="eastAsia" w:ascii="宋体" w:hAnsi="宋体" w:cs="宋体"/>
          <w:color w:val="auto"/>
          <w:sz w:val="24"/>
          <w:highlight w:val="none"/>
        </w:rPr>
        <w:t xml:space="preserve">    </w:t>
      </w:r>
      <w:r>
        <w:rPr>
          <w:rFonts w:hint="eastAsia" w:ascii="宋体" w:hAnsi="宋体" w:eastAsia="宋体" w:cs="宋体"/>
          <w:color w:val="auto"/>
          <w:sz w:val="24"/>
          <w:highlight w:val="none"/>
        </w:rPr>
        <w:t>项目联系方式（询问）：0574-</w:t>
      </w:r>
      <w:r>
        <w:rPr>
          <w:rFonts w:hint="eastAsia" w:ascii="宋体" w:hAnsi="宋体" w:eastAsia="宋体" w:cs="宋体"/>
          <w:color w:val="auto"/>
          <w:sz w:val="24"/>
          <w:highlight w:val="none"/>
          <w:lang w:val="en-US" w:eastAsia="zh-CN"/>
        </w:rPr>
        <w:t>87361971</w:t>
      </w:r>
      <w:r>
        <w:rPr>
          <w:rFonts w:hint="eastAsia" w:ascii="宋体" w:hAnsi="宋体" w:eastAsia="宋体" w:cs="宋体"/>
          <w:color w:val="auto"/>
          <w:sz w:val="24"/>
          <w:highlight w:val="none"/>
        </w:rPr>
        <w:t xml:space="preserve"> </w:t>
      </w:r>
    </w:p>
    <w:p w14:paraId="25882013">
      <w:pPr>
        <w:spacing w:line="360" w:lineRule="auto"/>
        <w:rPr>
          <w:rFonts w:hint="eastAsia" w:ascii="宋体" w:hAnsi="宋体" w:eastAsia="宋体" w:cs="宋体"/>
          <w:color w:val="auto"/>
          <w:sz w:val="24"/>
          <w:highlight w:val="none"/>
        </w:rPr>
      </w:pPr>
      <w:r>
        <w:rPr>
          <w:rFonts w:hint="eastAsia" w:ascii="宋体" w:hAnsi="宋体" w:cs="宋体"/>
          <w:color w:val="auto"/>
          <w:sz w:val="24"/>
          <w:highlight w:val="none"/>
        </w:rPr>
        <w:t xml:space="preserve">    </w:t>
      </w:r>
      <w:r>
        <w:rPr>
          <w:rFonts w:hint="eastAsia" w:ascii="宋体" w:hAnsi="宋体" w:eastAsia="宋体" w:cs="宋体"/>
          <w:color w:val="auto"/>
          <w:sz w:val="24"/>
          <w:highlight w:val="none"/>
        </w:rPr>
        <w:t xml:space="preserve">质疑联系人：俞工 </w:t>
      </w:r>
    </w:p>
    <w:p w14:paraId="1B4AC6C5">
      <w:pPr>
        <w:spacing w:line="360" w:lineRule="auto"/>
        <w:rPr>
          <w:rFonts w:hint="eastAsia" w:ascii="宋体" w:hAnsi="宋体" w:eastAsia="宋体" w:cs="宋体"/>
          <w:color w:val="auto"/>
          <w:sz w:val="24"/>
          <w:highlight w:val="none"/>
        </w:rPr>
      </w:pPr>
      <w:r>
        <w:rPr>
          <w:rFonts w:hint="eastAsia" w:ascii="宋体" w:hAnsi="宋体" w:cs="宋体"/>
          <w:color w:val="auto"/>
          <w:sz w:val="24"/>
          <w:highlight w:val="none"/>
        </w:rPr>
        <w:t xml:space="preserve">    </w:t>
      </w:r>
      <w:r>
        <w:rPr>
          <w:rFonts w:hint="eastAsia" w:ascii="宋体" w:hAnsi="宋体" w:eastAsia="宋体" w:cs="宋体"/>
          <w:color w:val="auto"/>
          <w:sz w:val="24"/>
          <w:highlight w:val="none"/>
        </w:rPr>
        <w:t>质疑联系方式：0574-87362073</w:t>
      </w:r>
    </w:p>
    <w:p w14:paraId="753C8ECC">
      <w:pPr>
        <w:spacing w:line="360" w:lineRule="auto"/>
        <w:ind w:firstLine="480"/>
        <w:rPr>
          <w:rFonts w:ascii="宋体" w:hAnsi="宋体" w:cs="宋体"/>
          <w:color w:val="auto"/>
          <w:sz w:val="24"/>
          <w:highlight w:val="none"/>
        </w:rPr>
      </w:pPr>
    </w:p>
    <w:p w14:paraId="7C5BE525">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 xml:space="preserve">2.采购代理机构信息            </w:t>
      </w:r>
    </w:p>
    <w:p w14:paraId="6CA055BB">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名    称：宁波中基国际招标有限公司</w:t>
      </w:r>
    </w:p>
    <w:p w14:paraId="4A771D12">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地    址：宁波市鄞州区天童南路666号中基大厦19楼</w:t>
      </w:r>
    </w:p>
    <w:p w14:paraId="01D45A2F">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传    真：0574-87425373 </w:t>
      </w:r>
    </w:p>
    <w:p w14:paraId="35FC680A">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 xml:space="preserve">    项目联系人（询问）：王莹巧</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张嘉城</w:t>
      </w:r>
    </w:p>
    <w:p w14:paraId="00F55A57">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 xml:space="preserve">    项目联系方式（询问）：0574-87425583</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87425569</w:t>
      </w:r>
    </w:p>
    <w:p w14:paraId="343ED188">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质疑联系人：周旭坤 </w:t>
      </w:r>
    </w:p>
    <w:p w14:paraId="0C024453">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质疑联系方式：0574-87426203</w:t>
      </w:r>
    </w:p>
    <w:p w14:paraId="571E128A">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3.同级政府采购监督管理部门            </w:t>
      </w:r>
    </w:p>
    <w:p w14:paraId="64E7B0FB">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 xml:space="preserve">名    称：宁波市财政局政府采购监管处             </w:t>
      </w:r>
    </w:p>
    <w:p w14:paraId="50726939">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 xml:space="preserve">地    址：宁波市海曙区中山西路19号            </w:t>
      </w:r>
    </w:p>
    <w:p w14:paraId="52934315">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 xml:space="preserve">传    真：/           </w:t>
      </w:r>
    </w:p>
    <w:p w14:paraId="69A74F96">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联系人：李老师</w:t>
      </w:r>
    </w:p>
    <w:p w14:paraId="771AD908">
      <w:pPr>
        <w:spacing w:line="360" w:lineRule="auto"/>
        <w:ind w:firstLine="480"/>
        <w:rPr>
          <w:rFonts w:ascii="宋体" w:hAnsi="宋体" w:cs="宋体"/>
          <w:color w:val="auto"/>
          <w:sz w:val="24"/>
          <w:highlight w:val="none"/>
        </w:rPr>
      </w:pPr>
      <w:bookmarkStart w:id="6" w:name="_Toc23675"/>
      <w:r>
        <w:rPr>
          <w:rFonts w:hint="eastAsia" w:ascii="宋体" w:hAnsi="宋体" w:cs="宋体"/>
          <w:color w:val="auto"/>
          <w:sz w:val="24"/>
          <w:highlight w:val="none"/>
        </w:rPr>
        <w:t>投诉电话：0574-89388042</w:t>
      </w:r>
      <w:bookmarkEnd w:id="6"/>
      <w:r>
        <w:rPr>
          <w:rFonts w:hint="eastAsia" w:ascii="宋体" w:hAnsi="宋体" w:cs="宋体"/>
          <w:color w:val="auto"/>
          <w:sz w:val="24"/>
          <w:highlight w:val="none"/>
        </w:rPr>
        <w:t xml:space="preserve"> </w:t>
      </w:r>
    </w:p>
    <w:p w14:paraId="69AEDFB1">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 xml:space="preserve"> </w:t>
      </w:r>
    </w:p>
    <w:p w14:paraId="5B446CE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若对项目采购电子交易系统操作有疑问，可登录政采云（https://www.zcygov.cn/），点击右侧咨询小采，获取采小蜜智能服务管家帮助，或拨打政采云服务热线95763获取热线服务帮助。</w:t>
      </w:r>
    </w:p>
    <w:p w14:paraId="5C41C08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CA问题联系电话（人工）：汇信CA 400-888-4636；天谷CA 400-087-8198。</w:t>
      </w:r>
    </w:p>
    <w:p w14:paraId="042EB3E3">
      <w:pPr>
        <w:widowControl/>
        <w:adjustRightInd/>
        <w:jc w:val="left"/>
        <w:rPr>
          <w:rFonts w:ascii="宋体" w:hAnsi="宋体" w:cs="宋体"/>
          <w:b/>
          <w:color w:val="auto"/>
          <w:sz w:val="36"/>
          <w:szCs w:val="20"/>
          <w:highlight w:val="none"/>
        </w:rPr>
      </w:pPr>
      <w:r>
        <w:rPr>
          <w:rFonts w:ascii="宋体" w:hAnsi="宋体" w:cs="宋体"/>
          <w:b/>
          <w:color w:val="auto"/>
          <w:sz w:val="36"/>
          <w:szCs w:val="20"/>
          <w:highlight w:val="none"/>
        </w:rPr>
        <w:br w:type="page"/>
      </w:r>
    </w:p>
    <w:p w14:paraId="6D56A540">
      <w:pPr>
        <w:adjustRightInd/>
        <w:spacing w:line="360" w:lineRule="auto"/>
        <w:jc w:val="center"/>
        <w:outlineLvl w:val="0"/>
        <w:rPr>
          <w:rFonts w:ascii="宋体" w:hAnsi="宋体" w:cs="宋体"/>
          <w:b/>
          <w:color w:val="auto"/>
          <w:sz w:val="36"/>
          <w:szCs w:val="20"/>
          <w:highlight w:val="none"/>
        </w:rPr>
      </w:pPr>
      <w:bookmarkStart w:id="7" w:name="_Toc28848"/>
      <w:r>
        <w:rPr>
          <w:rFonts w:hint="eastAsia" w:ascii="宋体" w:hAnsi="宋体" w:cs="宋体"/>
          <w:b/>
          <w:color w:val="auto"/>
          <w:sz w:val="36"/>
          <w:szCs w:val="20"/>
          <w:highlight w:val="none"/>
        </w:rPr>
        <w:t>第二部分</w:t>
      </w:r>
      <w:bookmarkEnd w:id="3"/>
      <w:r>
        <w:rPr>
          <w:rFonts w:hint="eastAsia" w:ascii="宋体" w:hAnsi="宋体" w:cs="宋体"/>
          <w:b/>
          <w:color w:val="auto"/>
          <w:sz w:val="36"/>
          <w:szCs w:val="20"/>
          <w:highlight w:val="none"/>
        </w:rPr>
        <w:t xml:space="preserve"> 投标人须知</w:t>
      </w:r>
      <w:bookmarkEnd w:id="4"/>
      <w:bookmarkEnd w:id="7"/>
    </w:p>
    <w:p w14:paraId="43CC7043">
      <w:pPr>
        <w:adjustRightInd/>
        <w:spacing w:line="360" w:lineRule="auto"/>
        <w:ind w:firstLine="3845" w:firstLineChars="1197"/>
        <w:rPr>
          <w:rFonts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62"/>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2C488B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62F09491">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7A62AAAC">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690E8A62">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本项目的特别规定</w:t>
            </w:r>
          </w:p>
        </w:tc>
      </w:tr>
      <w:tr w14:paraId="41765B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43"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4D1AFBF6">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1434E31E">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项目属性</w:t>
            </w:r>
          </w:p>
        </w:tc>
        <w:tc>
          <w:tcPr>
            <w:tcW w:w="6095" w:type="dxa"/>
            <w:tcBorders>
              <w:top w:val="single" w:color="000000" w:sz="8" w:space="0"/>
              <w:left w:val="single" w:color="000000" w:sz="2" w:space="0"/>
              <w:bottom w:val="single" w:color="000000" w:sz="8" w:space="0"/>
              <w:right w:val="single" w:color="000000" w:sz="8" w:space="0"/>
            </w:tcBorders>
            <w:vAlign w:val="center"/>
          </w:tcPr>
          <w:p w14:paraId="0A5A8405">
            <w:pPr>
              <w:spacing w:line="360" w:lineRule="auto"/>
              <w:rPr>
                <w:rFonts w:ascii="宋体" w:hAnsi="宋体" w:cs="宋体"/>
                <w:color w:val="auto"/>
                <w:sz w:val="24"/>
                <w:highlight w:val="none"/>
              </w:rPr>
            </w:pPr>
            <w:r>
              <w:rPr>
                <w:rFonts w:hint="eastAsia" w:ascii="宋体" w:hAnsi="宋体" w:cs="宋体"/>
                <w:color w:val="auto"/>
                <w:sz w:val="24"/>
                <w:highlight w:val="none"/>
              </w:rPr>
              <w:t>服务类。</w:t>
            </w:r>
          </w:p>
        </w:tc>
      </w:tr>
      <w:tr w14:paraId="06F162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7650E6B7">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490AD569">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3A48F43E">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标项1：</w:t>
            </w:r>
          </w:p>
          <w:p w14:paraId="0F3A41DC">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eastAsia="zh-CN"/>
              </w:rPr>
              <w:t>日湖公园综合养管</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rPr>
              <w:t>其他未列明行业</w:t>
            </w:r>
            <w:r>
              <w:rPr>
                <w:rFonts w:hint="eastAsia" w:ascii="宋体" w:hAnsi="宋体" w:cs="宋体"/>
                <w:color w:val="auto"/>
                <w:kern w:val="0"/>
                <w:sz w:val="24"/>
                <w:highlight w:val="none"/>
              </w:rPr>
              <w:t>；</w:t>
            </w:r>
          </w:p>
          <w:p w14:paraId="0F3F7240">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标项</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rPr>
              <w:t>：</w:t>
            </w:r>
          </w:p>
          <w:p w14:paraId="698A629F">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rPr>
              <w:t>绿岛公园（含园林博物馆）、青林湾公园、福民公园、临时盆景园综合养管</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rPr>
              <w:t>其他未列明行业</w:t>
            </w:r>
            <w:r>
              <w:rPr>
                <w:rFonts w:hint="eastAsia" w:ascii="宋体" w:hAnsi="宋体" w:cs="宋体"/>
                <w:color w:val="auto"/>
                <w:kern w:val="0"/>
                <w:sz w:val="24"/>
                <w:highlight w:val="none"/>
              </w:rPr>
              <w:t>；</w:t>
            </w:r>
          </w:p>
          <w:p w14:paraId="79E924A0">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标项</w:t>
            </w:r>
            <w:r>
              <w:rPr>
                <w:rFonts w:hint="eastAsia" w:ascii="宋体" w:hAnsi="宋体" w:cs="宋体"/>
                <w:color w:val="auto"/>
                <w:kern w:val="0"/>
                <w:sz w:val="24"/>
                <w:highlight w:val="none"/>
                <w:lang w:val="en-US" w:eastAsia="zh-CN"/>
              </w:rPr>
              <w:t>3</w:t>
            </w:r>
            <w:r>
              <w:rPr>
                <w:rFonts w:hint="eastAsia" w:ascii="宋体" w:hAnsi="宋体" w:cs="宋体"/>
                <w:color w:val="auto"/>
                <w:kern w:val="0"/>
                <w:sz w:val="24"/>
                <w:highlight w:val="none"/>
              </w:rPr>
              <w:t>：</w:t>
            </w:r>
          </w:p>
          <w:p w14:paraId="461043A3">
            <w:pPr>
              <w:pStyle w:val="25"/>
              <w:rPr>
                <w:rFonts w:hint="eastAsia" w:ascii="宋体" w:hAnsi="宋体" w:cs="宋体"/>
                <w:color w:val="auto"/>
                <w:kern w:val="0"/>
                <w:sz w:val="24"/>
                <w:highlight w:val="none"/>
              </w:rPr>
            </w:pP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rPr>
              <w:t>儿童公园综合养管</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rPr>
              <w:t>其他未列明行业</w:t>
            </w:r>
            <w:r>
              <w:rPr>
                <w:rFonts w:hint="eastAsia" w:ascii="宋体" w:hAnsi="宋体" w:cs="宋体"/>
                <w:color w:val="auto"/>
                <w:kern w:val="0"/>
                <w:sz w:val="24"/>
                <w:highlight w:val="none"/>
              </w:rPr>
              <w:t>；</w:t>
            </w:r>
          </w:p>
          <w:p w14:paraId="1BF62C93">
            <w:pPr>
              <w:pStyle w:val="26"/>
              <w:ind w:left="0" w:leftChars="0" w:firstLine="0" w:firstLineChars="0"/>
              <w:rPr>
                <w:rFonts w:hint="default" w:eastAsia="宋体"/>
                <w:highlight w:val="none"/>
                <w:lang w:val="en-US" w:eastAsia="zh-CN"/>
              </w:rPr>
            </w:pPr>
            <w:r>
              <w:rPr>
                <w:rFonts w:hint="eastAsia"/>
                <w:b/>
                <w:bCs/>
                <w:highlight w:val="none"/>
                <w:lang w:val="en-US" w:eastAsia="zh-CN"/>
              </w:rPr>
              <w:t>注：本项目专门面向中小企业采购。</w:t>
            </w:r>
          </w:p>
        </w:tc>
      </w:tr>
      <w:tr w14:paraId="694907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279D97AF">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0D813C32">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是否允许采购进口产品（本项目不</w:t>
            </w:r>
            <w:r>
              <w:rPr>
                <w:rFonts w:hint="eastAsia" w:ascii="宋体" w:hAnsi="宋体" w:cs="宋体"/>
                <w:b/>
                <w:color w:val="auto"/>
                <w:sz w:val="24"/>
                <w:highlight w:val="none"/>
                <w:lang w:val="en-US" w:eastAsia="zh-CN"/>
              </w:rPr>
              <w:t>适用</w:t>
            </w:r>
            <w:r>
              <w:rPr>
                <w:rFonts w:hint="eastAsia" w:ascii="宋体" w:hAnsi="宋体" w:cs="宋体"/>
                <w:b/>
                <w:color w:val="auto"/>
                <w:sz w:val="24"/>
                <w:highlight w:val="none"/>
              </w:rPr>
              <w:t>）</w:t>
            </w:r>
          </w:p>
        </w:tc>
        <w:tc>
          <w:tcPr>
            <w:tcW w:w="6095" w:type="dxa"/>
            <w:tcBorders>
              <w:top w:val="single" w:color="000000" w:sz="8" w:space="0"/>
              <w:left w:val="single" w:color="000000" w:sz="2" w:space="0"/>
              <w:bottom w:val="single" w:color="000000" w:sz="8" w:space="0"/>
              <w:right w:val="single" w:color="000000" w:sz="8" w:space="0"/>
            </w:tcBorders>
            <w:vAlign w:val="center"/>
          </w:tcPr>
          <w:p w14:paraId="61751D12">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828425707"/>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cs="宋体"/>
                <w:color w:val="auto"/>
                <w:kern w:val="0"/>
                <w:sz w:val="24"/>
                <w:highlight w:val="none"/>
              </w:rPr>
              <w:t>本项目不允许采购进口产品。</w:t>
            </w:r>
          </w:p>
          <w:p w14:paraId="365652C5">
            <w:pPr>
              <w:spacing w:line="360" w:lineRule="auto"/>
              <w:rPr>
                <w:rFonts w:ascii="宋体" w:hAnsi="宋体" w:cs="宋体"/>
                <w:color w:val="auto"/>
                <w:highlight w:val="none"/>
              </w:rPr>
            </w:pPr>
            <w:sdt>
              <w:sdtPr>
                <w:rPr>
                  <w:rFonts w:hint="eastAsia" w:ascii="宋体" w:hAnsi="宋体" w:cs="宋体"/>
                  <w:color w:val="auto"/>
                  <w:kern w:val="0"/>
                  <w:sz w:val="24"/>
                  <w:highlight w:val="none"/>
                </w:rPr>
                <w:id w:val="-5285282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可以就</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采购进口产品。</w:t>
            </w:r>
          </w:p>
        </w:tc>
      </w:tr>
      <w:tr w14:paraId="30734D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0516C37C">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73D854EA">
            <w:pPr>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361AC351">
            <w:pPr>
              <w:spacing w:line="360" w:lineRule="auto"/>
              <w:rPr>
                <w:rFonts w:hint="eastAsia" w:ascii="宋体" w:hAnsi="宋体" w:cs="宋体"/>
                <w:color w:val="auto"/>
                <w:sz w:val="24"/>
                <w:highlight w:val="none"/>
              </w:rPr>
            </w:pPr>
            <w:sdt>
              <w:sdtPr>
                <w:rPr>
                  <w:rFonts w:hint="eastAsia" w:ascii="宋体" w:hAnsi="宋体" w:cs="宋体"/>
                  <w:color w:val="auto"/>
                  <w:kern w:val="0"/>
                  <w:sz w:val="24"/>
                  <w:highlight w:val="none"/>
                </w:rPr>
                <w:id w:val="-1477286927"/>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kern w:val="0"/>
                <w:sz w:val="24"/>
                <w:highlight w:val="none"/>
              </w:rPr>
              <w:t xml:space="preserve"> A</w:t>
            </w:r>
            <w:r>
              <w:rPr>
                <w:rFonts w:hint="eastAsia" w:ascii="宋体" w:hAnsi="宋体" w:cs="宋体"/>
                <w:color w:val="auto"/>
                <w:sz w:val="24"/>
                <w:highlight w:val="none"/>
              </w:rPr>
              <w:t>同意将非主体、非关键性的</w:t>
            </w:r>
            <w:r>
              <w:rPr>
                <w:rFonts w:hint="eastAsia" w:ascii="宋体" w:hAnsi="宋体" w:cs="宋体"/>
                <w:color w:val="auto"/>
                <w:sz w:val="24"/>
                <w:highlight w:val="none"/>
                <w:u w:val="single"/>
              </w:rPr>
              <w:t xml:space="preserve"> 四害消杀（含白蚁）</w:t>
            </w:r>
            <w:r>
              <w:rPr>
                <w:rFonts w:hint="eastAsia" w:ascii="宋体" w:hAnsi="宋体" w:cs="宋体"/>
                <w:color w:val="auto"/>
                <w:sz w:val="24"/>
                <w:highlight w:val="none"/>
                <w:u w:val="single"/>
                <w:lang w:eastAsia="zh-CN"/>
              </w:rPr>
              <w:t>、</w:t>
            </w:r>
            <w:r>
              <w:rPr>
                <w:rFonts w:hint="eastAsia" w:ascii="宋体" w:hAnsi="宋体" w:cs="宋体"/>
                <w:color w:val="auto"/>
                <w:sz w:val="24"/>
                <w:highlight w:val="none"/>
                <w:u w:val="single"/>
              </w:rPr>
              <w:t>外来入侵物种防治</w:t>
            </w:r>
            <w:r>
              <w:rPr>
                <w:rFonts w:hint="eastAsia" w:ascii="宋体" w:hAnsi="宋体" w:cs="宋体"/>
                <w:color w:val="auto"/>
                <w:sz w:val="24"/>
                <w:highlight w:val="none"/>
                <w:u w:val="single"/>
                <w:lang w:eastAsia="zh-CN"/>
              </w:rPr>
              <w:t>、</w:t>
            </w:r>
            <w:r>
              <w:rPr>
                <w:rFonts w:hint="eastAsia" w:ascii="宋体" w:hAnsi="宋体" w:cs="宋体"/>
                <w:color w:val="auto"/>
                <w:sz w:val="24"/>
                <w:highlight w:val="none"/>
                <w:u w:val="single"/>
              </w:rPr>
              <w:t>专业设备检修（如泵站设施）</w:t>
            </w:r>
            <w:r>
              <w:rPr>
                <w:rFonts w:hint="eastAsia" w:ascii="宋体" w:hAnsi="宋体" w:cs="宋体"/>
                <w:color w:val="auto"/>
                <w:sz w:val="24"/>
                <w:highlight w:val="none"/>
                <w:u w:val="single"/>
                <w:lang w:eastAsia="zh-CN"/>
              </w:rPr>
              <w:t>、</w:t>
            </w:r>
            <w:r>
              <w:rPr>
                <w:rFonts w:hint="eastAsia" w:ascii="宋体" w:hAnsi="宋体" w:cs="宋体"/>
                <w:color w:val="auto"/>
                <w:sz w:val="24"/>
                <w:highlight w:val="none"/>
                <w:u w:val="single"/>
                <w:lang w:val="en-US" w:eastAsia="zh-CN"/>
              </w:rPr>
              <w:t>自动售卖机运营等</w:t>
            </w:r>
            <w:r>
              <w:rPr>
                <w:rFonts w:hint="eastAsia" w:ascii="宋体" w:hAnsi="宋体" w:cs="宋体"/>
                <w:color w:val="auto"/>
                <w:sz w:val="24"/>
                <w:highlight w:val="none"/>
              </w:rPr>
              <w:t>工作分包。</w:t>
            </w:r>
          </w:p>
          <w:p w14:paraId="12D03BA7">
            <w:pPr>
              <w:spacing w:line="360" w:lineRule="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投标人应在投标文件中载明分包承担主体，分包承担主体应当具备相应的资质条件且不得再次分包。</w:t>
            </w:r>
          </w:p>
          <w:p w14:paraId="36907432">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276331357"/>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cs="宋体"/>
                <w:color w:val="auto"/>
                <w:kern w:val="0"/>
                <w:sz w:val="24"/>
                <w:highlight w:val="none"/>
              </w:rPr>
              <w:t xml:space="preserve"> B</w:t>
            </w:r>
            <w:r>
              <w:rPr>
                <w:rFonts w:hint="eastAsia" w:ascii="宋体" w:hAnsi="宋体" w:cs="宋体"/>
                <w:color w:val="auto"/>
                <w:sz w:val="24"/>
                <w:highlight w:val="none"/>
              </w:rPr>
              <w:t>不同意分包。</w:t>
            </w:r>
          </w:p>
        </w:tc>
      </w:tr>
      <w:tr w14:paraId="529099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59"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44B01107">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330E9C28">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5780DDE5">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212966419"/>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eastAsia="MS Gothic" w:cs="宋体"/>
                    <w:color w:val="auto"/>
                    <w:kern w:val="0"/>
                    <w:sz w:val="24"/>
                    <w:highlight w:val="none"/>
                  </w:rPr>
                  <w:t></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14:paraId="4E8EB635">
            <w:pPr>
              <w:spacing w:line="360" w:lineRule="auto"/>
              <w:rPr>
                <w:rFonts w:ascii="宋体" w:hAnsi="宋体" w:cs="宋体"/>
                <w:color w:val="auto"/>
                <w:sz w:val="24"/>
                <w:szCs w:val="20"/>
                <w:highlight w:val="none"/>
              </w:rPr>
            </w:pPr>
            <w:sdt>
              <w:sdtPr>
                <w:rPr>
                  <w:rFonts w:hint="eastAsia" w:ascii="宋体" w:hAnsi="宋体" w:cs="宋体"/>
                  <w:color w:val="auto"/>
                  <w:kern w:val="0"/>
                  <w:sz w:val="24"/>
                  <w:highlight w:val="none"/>
                </w:rPr>
                <w:id w:val="-99980297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B组织，</w:t>
            </w:r>
            <w:r>
              <w:rPr>
                <w:rFonts w:hint="eastAsia" w:ascii="宋体" w:hAnsi="宋体" w:cs="宋体"/>
                <w:color w:val="auto"/>
                <w:sz w:val="24"/>
                <w:highlight w:val="none"/>
              </w:rPr>
              <w:t>时间：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，联系方式：</w:t>
            </w:r>
            <w:r>
              <w:rPr>
                <w:rFonts w:hint="eastAsia" w:ascii="宋体" w:hAnsi="宋体" w:cs="宋体"/>
                <w:color w:val="auto"/>
                <w:sz w:val="24"/>
                <w:highlight w:val="none"/>
                <w:u w:val="single"/>
              </w:rPr>
              <w:t xml:space="preserve">      </w:t>
            </w:r>
            <w:r>
              <w:rPr>
                <w:rFonts w:hint="eastAsia" w:ascii="宋体" w:hAnsi="宋体" w:cs="宋体"/>
                <w:color w:val="auto"/>
                <w:sz w:val="24"/>
                <w:szCs w:val="20"/>
                <w:highlight w:val="none"/>
              </w:rPr>
              <w:t>。</w:t>
            </w:r>
          </w:p>
        </w:tc>
      </w:tr>
      <w:tr w14:paraId="0F6FD5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441F821B">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6C416D68">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594A7679">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63994648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eastAsia="MS Gothic" w:cs="宋体"/>
                    <w:color w:val="auto"/>
                    <w:kern w:val="0"/>
                    <w:sz w:val="24"/>
                    <w:highlight w:val="none"/>
                  </w:rPr>
                  <w:t></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不要求提供。</w:t>
            </w:r>
          </w:p>
          <w:p w14:paraId="1AFC93AF">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026831988"/>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kern w:val="0"/>
                <w:sz w:val="24"/>
                <w:highlight w:val="none"/>
              </w:rPr>
              <w:t>B要求提供，</w:t>
            </w:r>
          </w:p>
          <w:p w14:paraId="4813A064">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snapToGrid w:val="0"/>
                <w:color w:val="auto"/>
                <w:kern w:val="28"/>
                <w:sz w:val="24"/>
                <w:highlight w:val="none"/>
              </w:rPr>
              <w:t>样品：</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7CBE286A">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snapToGrid w:val="0"/>
                <w:color w:val="auto"/>
                <w:kern w:val="28"/>
                <w:sz w:val="24"/>
                <w:highlight w:val="none"/>
              </w:rPr>
              <w:t>样品制作的标准和要求：</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35C898F7">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（3）样品的评审方法以及评审标准</w:t>
            </w:r>
            <w:r>
              <w:rPr>
                <w:rFonts w:hint="eastAsia" w:ascii="宋体" w:hAnsi="宋体" w:cs="宋体"/>
                <w:snapToGrid w:val="0"/>
                <w:color w:val="auto"/>
                <w:kern w:val="28"/>
                <w:sz w:val="24"/>
                <w:highlight w:val="none"/>
              </w:rPr>
              <w:t>：详见</w:t>
            </w:r>
            <w:r>
              <w:rPr>
                <w:rFonts w:hint="eastAsia" w:ascii="宋体" w:hAnsi="宋体" w:cs="宋体"/>
                <w:color w:val="auto"/>
                <w:sz w:val="24"/>
                <w:highlight w:val="none"/>
                <w:u w:val="single"/>
              </w:rPr>
              <w:t>评标办法</w:t>
            </w:r>
            <w:r>
              <w:rPr>
                <w:rFonts w:hint="eastAsia" w:ascii="宋体" w:hAnsi="宋体" w:cs="宋体"/>
                <w:color w:val="auto"/>
                <w:kern w:val="0"/>
                <w:sz w:val="24"/>
                <w:highlight w:val="none"/>
              </w:rPr>
              <w:t>；</w:t>
            </w:r>
          </w:p>
          <w:p w14:paraId="7473E3E0">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（4）是否需要随样品提交检测报告：</w:t>
            </w:r>
            <w:sdt>
              <w:sdtPr>
                <w:rPr>
                  <w:rFonts w:hint="eastAsia" w:ascii="宋体" w:hAnsi="宋体" w:cs="宋体"/>
                  <w:color w:val="auto"/>
                  <w:kern w:val="0"/>
                  <w:sz w:val="24"/>
                  <w:highlight w:val="none"/>
                </w:rPr>
                <w:id w:val="130342145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kern w:val="0"/>
                <w:sz w:val="24"/>
                <w:highlight w:val="none"/>
              </w:rPr>
              <w:t>否；</w:t>
            </w:r>
            <w:sdt>
              <w:sdtPr>
                <w:rPr>
                  <w:rFonts w:hint="eastAsia" w:ascii="宋体" w:hAnsi="宋体" w:cs="宋体"/>
                  <w:color w:val="auto"/>
                  <w:kern w:val="0"/>
                  <w:sz w:val="24"/>
                  <w:highlight w:val="none"/>
                </w:rPr>
                <w:id w:val="162172843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是，检测机构的要求</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；检测内容</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0A2CF14B">
            <w:pPr>
              <w:spacing w:line="360" w:lineRule="auto"/>
              <w:rPr>
                <w:rFonts w:ascii="宋体" w:hAnsi="宋体" w:cs="宋体"/>
                <w:color w:val="auto"/>
                <w:sz w:val="24"/>
                <w:highlight w:val="none"/>
              </w:rPr>
            </w:pPr>
            <w:r>
              <w:rPr>
                <w:rFonts w:hint="eastAsia" w:ascii="宋体" w:hAnsi="宋体" w:cs="宋体"/>
                <w:color w:val="auto"/>
                <w:sz w:val="24"/>
                <w:highlight w:val="none"/>
              </w:rPr>
              <w:t>（5）提供样品的时间：</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；联系人</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28"/>
                <w:sz w:val="24"/>
                <w:highlight w:val="none"/>
              </w:rPr>
              <w:t>联系电话：</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。请投标人在上述时间内提供样品并按规定位置安装完毕。超过截止时间的，采购人或采购代理机构将不予接收，并将清场并封闭样品现场。</w:t>
            </w:r>
          </w:p>
          <w:p w14:paraId="2381E8A4">
            <w:pPr>
              <w:spacing w:line="360" w:lineRule="auto"/>
              <w:rPr>
                <w:rFonts w:ascii="宋体" w:hAnsi="宋体" w:cs="宋体"/>
                <w:color w:val="auto"/>
                <w:sz w:val="24"/>
                <w:highlight w:val="none"/>
              </w:rPr>
            </w:pPr>
            <w:r>
              <w:rPr>
                <w:rFonts w:hint="eastAsia" w:ascii="宋体" w:hAnsi="宋体" w:cs="宋体"/>
                <w:color w:val="auto"/>
                <w:sz w:val="24"/>
                <w:highlight w:val="none"/>
              </w:rPr>
              <w:t>（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3AC97D28">
            <w:pPr>
              <w:spacing w:line="360" w:lineRule="auto"/>
              <w:rPr>
                <w:rFonts w:ascii="宋体" w:hAnsi="宋体" w:cs="宋体"/>
                <w:b/>
                <w:color w:val="auto"/>
                <w:sz w:val="24"/>
                <w:highlight w:val="none"/>
              </w:rPr>
            </w:pPr>
            <w:r>
              <w:rPr>
                <w:rFonts w:hint="eastAsia" w:ascii="宋体" w:hAnsi="宋体" w:cs="宋体"/>
                <w:color w:val="auto"/>
                <w:sz w:val="24"/>
                <w:highlight w:val="none"/>
              </w:rPr>
              <w:t>（7）制作、运输、安装和保管样品所发生的一切费用由投标人自理。</w:t>
            </w:r>
          </w:p>
        </w:tc>
      </w:tr>
      <w:tr w14:paraId="1023DE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7854DC1A">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42BE8492">
            <w:pPr>
              <w:snapToGrid w:val="0"/>
              <w:spacing w:line="360" w:lineRule="auto"/>
              <w:jc w:val="center"/>
              <w:rPr>
                <w:rFonts w:ascii="宋体" w:hAnsi="宋体" w:cs="宋体"/>
                <w:bCs/>
                <w:color w:val="auto"/>
                <w:sz w:val="24"/>
                <w:highlight w:val="none"/>
              </w:rPr>
            </w:pPr>
            <w:r>
              <w:rPr>
                <w:rFonts w:hint="eastAsia" w:ascii="宋体" w:hAnsi="宋体" w:cs="宋体"/>
                <w:b/>
                <w:color w:val="auto"/>
                <w:sz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48663F12">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859348549"/>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eastAsia="MS Gothic" w:cs="宋体"/>
                    <w:color w:val="auto"/>
                    <w:kern w:val="0"/>
                    <w:sz w:val="24"/>
                    <w:highlight w:val="none"/>
                  </w:rPr>
                  <w:t></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14:paraId="6744C215">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174071719"/>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B组织。</w:t>
            </w:r>
          </w:p>
          <w:p w14:paraId="47FE45A8">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（1）在评标时安排每个投标人进行方案讲解演示。每个投标人时间不超过</w:t>
            </w:r>
            <w:r>
              <w:rPr>
                <w:rFonts w:hint="eastAsia" w:ascii="宋体" w:hAnsi="宋体" w:cs="宋体"/>
                <w:color w:val="auto"/>
                <w:kern w:val="0"/>
                <w:sz w:val="24"/>
                <w:highlight w:val="none"/>
                <w:u w:val="single"/>
              </w:rPr>
              <w:t>20（编制时可根据项目情况进行调整）</w:t>
            </w:r>
            <w:r>
              <w:rPr>
                <w:rFonts w:hint="eastAsia" w:ascii="宋体" w:hAnsi="宋体" w:cs="宋体"/>
                <w:color w:val="auto"/>
                <w:kern w:val="0"/>
                <w:sz w:val="24"/>
                <w:highlight w:val="none"/>
              </w:rPr>
              <w:t>分钟，讲解次序以投标文件解密时间先后次序为准，讲解演示人员不超过</w:t>
            </w:r>
            <w:r>
              <w:rPr>
                <w:rFonts w:hint="eastAsia" w:ascii="宋体" w:hAnsi="宋体" w:cs="宋体"/>
                <w:color w:val="auto"/>
                <w:kern w:val="0"/>
                <w:sz w:val="24"/>
                <w:highlight w:val="none"/>
                <w:u w:val="single"/>
              </w:rPr>
              <w:t>3（编制时可根据项目情况进行调整）</w:t>
            </w:r>
            <w:r>
              <w:rPr>
                <w:rFonts w:hint="eastAsia" w:ascii="宋体" w:hAnsi="宋体" w:cs="宋体"/>
                <w:color w:val="auto"/>
                <w:kern w:val="0"/>
                <w:sz w:val="24"/>
                <w:highlight w:val="none"/>
              </w:rPr>
              <w:t>人。讲解演示结束后按要求解答评标委员会提问。</w:t>
            </w:r>
          </w:p>
          <w:p w14:paraId="0FE7E755">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（2）方案讲解演示可选择以下其中一种方式：</w:t>
            </w:r>
          </w:p>
          <w:p w14:paraId="64E6D310">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方式一：政采云平台在线讲解演示。政采云平台在线讲解需投标人根据政采云平台操作要求做好准备工作，提前完善软硬件配置环境。</w:t>
            </w:r>
          </w:p>
          <w:p w14:paraId="211DE27A">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方式二：交易中心现场讲解演示。现场讲解地点为</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，讲解演示所用电脑等设备由投标人自备。现场讲解演示人员进场时提供讲解人员名单（加盖公章或授权代表签名）及身份证明，否则不得讲解演示。</w:t>
            </w:r>
          </w:p>
          <w:p w14:paraId="36B74834">
            <w:pPr>
              <w:snapToGrid w:val="0"/>
              <w:spacing w:line="360" w:lineRule="auto"/>
              <w:rPr>
                <w:rFonts w:ascii="宋体" w:hAnsi="宋体" w:cs="宋体"/>
                <w:b/>
                <w:color w:val="auto"/>
                <w:kern w:val="0"/>
                <w:sz w:val="24"/>
                <w:highlight w:val="none"/>
                <w:lang w:val="zh-CN"/>
              </w:rPr>
            </w:pPr>
            <w:r>
              <w:rPr>
                <w:rFonts w:hint="eastAsia" w:ascii="宋体" w:hAnsi="宋体" w:cs="宋体"/>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50DEE5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vAlign w:val="center"/>
          </w:tcPr>
          <w:p w14:paraId="239AAF5B">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14:paraId="6575701D">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41D6F838">
            <w:pPr>
              <w:spacing w:line="360" w:lineRule="auto"/>
              <w:rPr>
                <w:rFonts w:ascii="宋体" w:hAnsi="宋体" w:cs="宋体"/>
                <w:color w:val="auto"/>
                <w:sz w:val="24"/>
                <w:highlight w:val="none"/>
              </w:rPr>
            </w:pPr>
            <w:r>
              <w:rPr>
                <w:rFonts w:hint="eastAsia" w:ascii="宋体" w:hAnsi="宋体" w:cs="宋体"/>
                <w:color w:val="auto"/>
                <w:sz w:val="24"/>
                <w:highlight w:val="none"/>
              </w:rPr>
              <w:t>（1）资格证明文件：见招标文件第二部分11.1。</w:t>
            </w:r>
          </w:p>
          <w:p w14:paraId="321728DB">
            <w:pPr>
              <w:spacing w:line="360" w:lineRule="auto"/>
              <w:rPr>
                <w:rFonts w:ascii="宋体" w:hAnsi="宋体" w:cs="宋体"/>
                <w:snapToGrid w:val="0"/>
                <w:color w:val="auto"/>
                <w:kern w:val="0"/>
                <w:szCs w:val="21"/>
                <w:highlight w:val="none"/>
              </w:rPr>
            </w:pPr>
            <w:r>
              <w:rPr>
                <w:rFonts w:hint="eastAsia" w:ascii="宋体" w:hAnsi="宋体" w:cs="宋体"/>
                <w:color w:val="auto"/>
                <w:kern w:val="0"/>
                <w:sz w:val="24"/>
                <w:highlight w:val="none"/>
                <w:lang w:val="zh-CN"/>
              </w:rPr>
              <w:t>投标人未提供有效的资格证明文件的，视为投标人不具备招标文件中规定的资格要求，投标无效。</w:t>
            </w:r>
          </w:p>
        </w:tc>
      </w:tr>
      <w:tr w14:paraId="07C00A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vMerge w:val="continue"/>
            <w:tcBorders>
              <w:left w:val="single" w:color="auto" w:sz="4" w:space="0"/>
              <w:bottom w:val="single" w:color="auto" w:sz="4" w:space="0"/>
              <w:right w:val="single" w:color="auto" w:sz="4" w:space="0"/>
            </w:tcBorders>
            <w:vAlign w:val="center"/>
          </w:tcPr>
          <w:p w14:paraId="4D2B4FD5">
            <w:pPr>
              <w:snapToGrid w:val="0"/>
              <w:spacing w:line="360" w:lineRule="auto"/>
              <w:jc w:val="center"/>
              <w:rPr>
                <w:rFonts w:ascii="宋体" w:hAnsi="宋体" w:cs="宋体"/>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14:paraId="2864C755">
            <w:pPr>
              <w:snapToGrid w:val="0"/>
              <w:spacing w:line="360" w:lineRule="auto"/>
              <w:jc w:val="center"/>
              <w:rPr>
                <w:rFonts w:ascii="宋体" w:hAnsi="宋体" w:cs="宋体"/>
                <w:b/>
                <w:color w:val="auto"/>
                <w:sz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779D031D">
            <w:pPr>
              <w:spacing w:line="360" w:lineRule="auto"/>
              <w:rPr>
                <w:rFonts w:ascii="宋体" w:hAnsi="宋体" w:cs="宋体"/>
                <w:color w:val="auto"/>
                <w:sz w:val="24"/>
                <w:highlight w:val="none"/>
              </w:rPr>
            </w:pPr>
            <w:r>
              <w:rPr>
                <w:rFonts w:hint="eastAsia" w:ascii="宋体" w:hAnsi="宋体" w:cs="宋体"/>
                <w:color w:val="auto"/>
                <w:sz w:val="24"/>
                <w:highlight w:val="none"/>
              </w:rPr>
              <w:t>（2）资信证明文件：根据招标文件第四部分评标标准提供。</w:t>
            </w:r>
          </w:p>
        </w:tc>
      </w:tr>
      <w:tr w14:paraId="44FA76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3B4D7008">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54C05550">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636FD162">
            <w:pPr>
              <w:snapToGrid w:val="0"/>
              <w:spacing w:line="360" w:lineRule="auto"/>
              <w:rPr>
                <w:rFonts w:ascii="宋体" w:hAnsi="宋体" w:cs="宋体"/>
                <w:color w:val="auto"/>
                <w:highlight w:val="none"/>
              </w:rPr>
            </w:pPr>
            <w:r>
              <w:rPr>
                <w:rFonts w:hint="eastAsia" w:ascii="宋体" w:hAnsi="宋体" w:cs="宋体"/>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4D4578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259"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1F303D3B">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10</w:t>
            </w:r>
          </w:p>
        </w:tc>
        <w:tc>
          <w:tcPr>
            <w:tcW w:w="1843" w:type="dxa"/>
            <w:vMerge w:val="restart"/>
            <w:tcBorders>
              <w:top w:val="single" w:color="000000" w:sz="8" w:space="0"/>
              <w:left w:val="single" w:color="000000" w:sz="2" w:space="0"/>
              <w:right w:val="single" w:color="000000" w:sz="8" w:space="0"/>
            </w:tcBorders>
            <w:vAlign w:val="center"/>
          </w:tcPr>
          <w:p w14:paraId="37622FDE">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25380BD6">
            <w:pPr>
              <w:snapToGrid w:val="0"/>
              <w:spacing w:line="360" w:lineRule="auto"/>
              <w:jc w:val="left"/>
              <w:rPr>
                <w:rFonts w:hint="eastAsia" w:ascii="宋体" w:hAnsi="宋体" w:cs="宋体"/>
                <w:b/>
                <w:bCs/>
                <w:color w:val="auto"/>
                <w:sz w:val="24"/>
                <w:highlight w:val="none"/>
              </w:rPr>
            </w:pPr>
            <w:r>
              <w:rPr>
                <w:rFonts w:hint="eastAsia" w:ascii="宋体" w:hAnsi="宋体" w:cs="宋体"/>
                <w:color w:val="auto"/>
                <w:kern w:val="0"/>
                <w:sz w:val="24"/>
                <w:highlight w:val="none"/>
                <w:lang w:val="zh-CN"/>
              </w:rPr>
              <w:t>有关本项目实施所需的所有费用（含税费）均计入报价。</w:t>
            </w:r>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p>
          <w:p w14:paraId="3A1BF15B">
            <w:pPr>
              <w:snapToGrid w:val="0"/>
              <w:spacing w:line="360" w:lineRule="auto"/>
              <w:jc w:val="left"/>
              <w:rPr>
                <w:rFonts w:hint="eastAsia" w:ascii="宋体" w:hAnsi="宋体" w:cs="宋体"/>
                <w:b/>
                <w:bCs/>
                <w:color w:val="auto"/>
                <w:sz w:val="24"/>
                <w:highlight w:val="none"/>
              </w:rPr>
            </w:pPr>
            <w:r>
              <w:rPr>
                <w:rFonts w:hint="eastAsia" w:ascii="宋体" w:hAnsi="宋体" w:cs="宋体"/>
                <w:b/>
                <w:bCs/>
                <w:color w:val="auto"/>
                <w:sz w:val="24"/>
                <w:highlight w:val="none"/>
              </w:rPr>
              <w:t>本项目采用人民币报价。统一采用下浮率报价，</w:t>
            </w:r>
            <w:r>
              <w:rPr>
                <w:rFonts w:hint="eastAsia" w:ascii="宋体" w:hAnsi="宋体" w:cs="宋体"/>
                <w:b/>
                <w:bCs/>
                <w:color w:val="auto"/>
                <w:sz w:val="24"/>
                <w:highlight w:val="none"/>
                <w:lang w:eastAsia="zh-CN"/>
              </w:rPr>
              <w:t>投标人</w:t>
            </w:r>
            <w:r>
              <w:rPr>
                <w:rFonts w:hint="eastAsia" w:ascii="宋体" w:hAnsi="宋体" w:cs="宋体"/>
                <w:b/>
                <w:bCs/>
                <w:color w:val="auto"/>
                <w:sz w:val="24"/>
                <w:highlight w:val="none"/>
              </w:rPr>
              <w:t>不得上浮报价。（注：下浮格式为“下浮XX%”）。各</w:t>
            </w:r>
            <w:r>
              <w:rPr>
                <w:rFonts w:hint="eastAsia" w:ascii="宋体" w:hAnsi="宋体" w:cs="宋体"/>
                <w:b/>
                <w:bCs/>
                <w:color w:val="auto"/>
                <w:sz w:val="24"/>
                <w:highlight w:val="none"/>
                <w:lang w:eastAsia="zh-CN"/>
              </w:rPr>
              <w:t>投标人</w:t>
            </w:r>
            <w:r>
              <w:rPr>
                <w:rFonts w:hint="eastAsia" w:ascii="宋体" w:hAnsi="宋体" w:cs="宋体"/>
                <w:b/>
                <w:bCs/>
                <w:color w:val="auto"/>
                <w:sz w:val="24"/>
                <w:highlight w:val="none"/>
              </w:rPr>
              <w:t>请务必仔细阅读招标文件和考核内容，酌情报价。</w:t>
            </w:r>
          </w:p>
          <w:p w14:paraId="460A6AE0">
            <w:pPr>
              <w:snapToGrid w:val="0"/>
              <w:spacing w:line="360" w:lineRule="auto"/>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招标文件未列明，而投标人认为必需的费用也需列入报价。本项目的报价是履行合同的最终价格，应包含本项目采购需求和服务要求的一切费用，所有工作人员工资｛包括人员基本工资、各类福利和补贴（如高温补贴、加班补贴等）、社保、人身意外保险等｝，人员工作服，所有作业机械、工具维护费用（购置从事本项目必备的通讯、器械等装备的费用），管理设备分摊及固定资产折旧，行政办公费用，各类绿化播种、养护、管理费用、苗木补植和修复费用，垃圾的分类、清运及处置费用，防汛防台等应急费用，管理费（包括管理人员工资、人员培训费、其他管理费），税金，利润，规费，组织措施费，其他费用（保安员病重或因公致伤、残、死亡时发生的全部费用）等其他一切完成本项目公园养护综合管理服务所需的一切费用。</w:t>
            </w:r>
          </w:p>
          <w:p w14:paraId="7D18A495">
            <w:pPr>
              <w:snapToGrid w:val="0"/>
              <w:spacing w:line="360" w:lineRule="auto"/>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如遇政府最低工资标准、社保基数调整等情况，投标人应自行考虑风险，中标下浮率不予调整，由投标人自行调整人员工资或社保基数等，确保用工合法。</w:t>
            </w:r>
          </w:p>
          <w:p w14:paraId="72CA6138">
            <w:pPr>
              <w:snapToGrid w:val="0"/>
              <w:spacing w:line="360" w:lineRule="auto"/>
              <w:jc w:val="left"/>
              <w:rPr>
                <w:rFonts w:ascii="宋体" w:hAnsi="宋体" w:cs="宋体"/>
                <w:color w:val="auto"/>
                <w:sz w:val="24"/>
                <w:highlight w:val="none"/>
              </w:rPr>
            </w:pPr>
            <w:r>
              <w:rPr>
                <w:rFonts w:hint="eastAsia" w:ascii="宋体" w:hAnsi="宋体" w:cs="宋体"/>
                <w:color w:val="auto"/>
                <w:kern w:val="0"/>
                <w:sz w:val="24"/>
                <w:highlight w:val="none"/>
                <w:lang w:val="zh-CN"/>
              </w:rPr>
              <w:t>合同履行期间，中标人不得以任何理由要求增加费用。</w:t>
            </w:r>
          </w:p>
        </w:tc>
      </w:tr>
      <w:tr w14:paraId="0DBFF6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337343C6">
            <w:pPr>
              <w:snapToGrid w:val="0"/>
              <w:spacing w:line="360" w:lineRule="auto"/>
              <w:jc w:val="center"/>
              <w:rPr>
                <w:rFonts w:hint="eastAsia" w:ascii="宋体" w:hAnsi="宋体" w:cs="宋体"/>
                <w:color w:val="auto"/>
                <w:sz w:val="24"/>
                <w:highlight w:val="none"/>
              </w:rPr>
            </w:pPr>
          </w:p>
        </w:tc>
        <w:tc>
          <w:tcPr>
            <w:tcW w:w="1843" w:type="dxa"/>
            <w:vMerge w:val="continue"/>
            <w:tcBorders>
              <w:left w:val="single" w:color="000000" w:sz="2" w:space="0"/>
              <w:bottom w:val="single" w:color="000000" w:sz="8" w:space="0"/>
              <w:right w:val="single" w:color="000000" w:sz="8" w:space="0"/>
            </w:tcBorders>
            <w:vAlign w:val="center"/>
          </w:tcPr>
          <w:p w14:paraId="2C22DE56">
            <w:pPr>
              <w:snapToGrid w:val="0"/>
              <w:spacing w:line="360" w:lineRule="auto"/>
              <w:jc w:val="center"/>
              <w:rPr>
                <w:rFonts w:hint="eastAsia" w:ascii="宋体" w:hAnsi="宋体" w:cs="宋体"/>
                <w:b/>
                <w:color w:val="auto"/>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7516F746">
            <w:pPr>
              <w:snapToGrid w:val="0"/>
              <w:spacing w:line="360" w:lineRule="auto"/>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投标报价出现下列情形的，投标无效：</w:t>
            </w:r>
          </w:p>
          <w:p w14:paraId="06D4E8DC">
            <w:pPr>
              <w:snapToGrid w:val="0"/>
              <w:spacing w:line="360" w:lineRule="auto"/>
              <w:ind w:firstLine="241" w:firstLineChars="100"/>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投标文件出现不是唯一的、有选择性投标报价的；</w:t>
            </w:r>
          </w:p>
          <w:p w14:paraId="7B873C20">
            <w:pPr>
              <w:snapToGrid w:val="0"/>
              <w:spacing w:line="360" w:lineRule="auto"/>
              <w:ind w:firstLine="241" w:firstLineChars="100"/>
              <w:jc w:val="left"/>
              <w:rPr>
                <w:rFonts w:ascii="宋体" w:hAnsi="宋体" w:cs="宋体"/>
                <w:color w:val="auto"/>
                <w:kern w:val="0"/>
                <w:sz w:val="24"/>
                <w:highlight w:val="none"/>
                <w:lang w:val="zh-CN"/>
              </w:rPr>
            </w:pPr>
            <w:r>
              <w:rPr>
                <w:rFonts w:hint="eastAsia" w:ascii="宋体" w:hAnsi="宋体" w:cs="宋体"/>
                <w:b/>
                <w:color w:val="auto"/>
                <w:kern w:val="0"/>
                <w:sz w:val="24"/>
                <w:highlight w:val="none"/>
                <w:lang w:val="en-US" w:eastAsia="zh-CN"/>
              </w:rPr>
              <w:t>投标</w:t>
            </w:r>
            <w:r>
              <w:rPr>
                <w:rFonts w:hint="eastAsia" w:ascii="宋体" w:hAnsi="宋体" w:cs="宋体"/>
                <w:b/>
                <w:color w:val="auto"/>
                <w:kern w:val="0"/>
                <w:sz w:val="24"/>
                <w:highlight w:val="none"/>
                <w:lang w:val="zh-CN"/>
              </w:rPr>
              <w:t>报价</w:t>
            </w:r>
            <w:r>
              <w:rPr>
                <w:rFonts w:hint="eastAsia" w:ascii="宋体" w:hAnsi="宋体" w:cs="宋体"/>
                <w:b/>
                <w:color w:val="auto"/>
                <w:kern w:val="0"/>
                <w:sz w:val="24"/>
                <w:highlight w:val="none"/>
                <w:lang w:val="en-US" w:eastAsia="zh-CN"/>
              </w:rPr>
              <w:t>为上浮报价</w:t>
            </w:r>
            <w:r>
              <w:rPr>
                <w:rFonts w:hint="eastAsia" w:ascii="宋体" w:hAnsi="宋体" w:cs="宋体"/>
                <w:b/>
                <w:color w:val="auto"/>
                <w:kern w:val="0"/>
                <w:sz w:val="24"/>
                <w:highlight w:val="none"/>
                <w:lang w:val="zh-CN"/>
              </w:rPr>
              <w:t>的；</w:t>
            </w:r>
          </w:p>
          <w:p w14:paraId="39414EAA">
            <w:pPr>
              <w:spacing w:line="360" w:lineRule="auto"/>
              <w:ind w:firstLine="241" w:firstLineChars="100"/>
              <w:rPr>
                <w:rFonts w:hint="eastAsia" w:ascii="宋体" w:hAnsi="宋体" w:cs="宋体"/>
                <w:b/>
                <w:color w:val="auto"/>
                <w:kern w:val="0"/>
                <w:sz w:val="24"/>
                <w:highlight w:val="none"/>
              </w:rPr>
            </w:pPr>
            <w:r>
              <w:rPr>
                <w:rFonts w:hint="eastAsia" w:ascii="宋体" w:hAnsi="宋体" w:cs="宋体"/>
                <w:b/>
                <w:bCs w:val="0"/>
                <w:color w:val="auto"/>
                <w:kern w:val="0"/>
                <w:sz w:val="24"/>
                <w:highlight w:val="none"/>
                <w:lang w:val="en-US" w:eastAsia="zh-CN"/>
              </w:rPr>
              <w:t>投标</w:t>
            </w:r>
            <w:r>
              <w:rPr>
                <w:rFonts w:hint="eastAsia" w:ascii="宋体" w:hAnsi="宋体" w:cs="宋体"/>
                <w:b/>
                <w:color w:val="auto"/>
                <w:kern w:val="0"/>
                <w:sz w:val="24"/>
                <w:highlight w:val="none"/>
              </w:rPr>
              <w:t>报价</w:t>
            </w:r>
            <w:r>
              <w:rPr>
                <w:rFonts w:hint="eastAsia" w:ascii="宋体" w:hAnsi="宋体" w:cs="宋体"/>
                <w:b/>
                <w:color w:val="auto"/>
                <w:kern w:val="0"/>
                <w:sz w:val="24"/>
                <w:highlight w:val="none"/>
                <w:lang w:val="en-US" w:eastAsia="zh-CN"/>
              </w:rPr>
              <w:t>下浮率</w:t>
            </w:r>
            <w:r>
              <w:rPr>
                <w:rFonts w:hint="eastAsia" w:ascii="宋体" w:hAnsi="宋体" w:cs="宋体"/>
                <w:b/>
                <w:color w:val="auto"/>
                <w:kern w:val="0"/>
                <w:sz w:val="24"/>
                <w:highlight w:val="none"/>
              </w:rPr>
              <w:t>明显</w:t>
            </w:r>
            <w:r>
              <w:rPr>
                <w:rFonts w:hint="eastAsia" w:ascii="宋体" w:hAnsi="宋体" w:cs="宋体"/>
                <w:b/>
                <w:color w:val="auto"/>
                <w:kern w:val="0"/>
                <w:sz w:val="24"/>
                <w:highlight w:val="none"/>
                <w:lang w:val="en-US" w:eastAsia="zh-CN"/>
              </w:rPr>
              <w:t>高</w:t>
            </w:r>
            <w:r>
              <w:rPr>
                <w:rFonts w:hint="eastAsia" w:ascii="宋体" w:hAnsi="宋体" w:cs="宋体"/>
                <w:b/>
                <w:color w:val="auto"/>
                <w:kern w:val="0"/>
                <w:sz w:val="24"/>
                <w:highlight w:val="none"/>
              </w:rPr>
              <w:t>于其他通过符合性审查投标人的报价，有可能影响产品质量或者不能诚信履约的，未能按要求提供书面说明或者提交相关证明材料证明其报价合理性的；投标人对根据修正原则修正后的报价不确认的</w:t>
            </w:r>
            <w:r>
              <w:rPr>
                <w:rFonts w:hint="eastAsia" w:ascii="宋体" w:hAnsi="宋体" w:cs="宋体"/>
                <w:b/>
                <w:color w:val="auto"/>
                <w:sz w:val="24"/>
                <w:highlight w:val="none"/>
              </w:rPr>
              <w:t>。</w:t>
            </w:r>
          </w:p>
        </w:tc>
      </w:tr>
      <w:tr w14:paraId="794406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000000" w:sz="8" w:space="0"/>
              <w:right w:val="single" w:color="000000" w:sz="2" w:space="0"/>
            </w:tcBorders>
            <w:vAlign w:val="center"/>
          </w:tcPr>
          <w:p w14:paraId="505E2D0F">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11</w:t>
            </w:r>
          </w:p>
        </w:tc>
        <w:tc>
          <w:tcPr>
            <w:tcW w:w="1843" w:type="dxa"/>
            <w:tcBorders>
              <w:top w:val="single" w:color="000000" w:sz="8" w:space="0"/>
              <w:left w:val="single" w:color="000000" w:sz="2" w:space="0"/>
              <w:right w:val="single" w:color="000000" w:sz="8" w:space="0"/>
            </w:tcBorders>
            <w:vAlign w:val="center"/>
          </w:tcPr>
          <w:p w14:paraId="67AC8385">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中小企业信用融资</w:t>
            </w:r>
          </w:p>
        </w:tc>
        <w:tc>
          <w:tcPr>
            <w:tcW w:w="6095" w:type="dxa"/>
            <w:tcBorders>
              <w:top w:val="single" w:color="000000" w:sz="8" w:space="0"/>
              <w:left w:val="single" w:color="000000" w:sz="2" w:space="0"/>
              <w:right w:val="single" w:color="000000" w:sz="8" w:space="0"/>
            </w:tcBorders>
            <w:vAlign w:val="center"/>
          </w:tcPr>
          <w:p w14:paraId="5E8A2D4B">
            <w:pPr>
              <w:spacing w:line="360" w:lineRule="auto"/>
              <w:ind w:firstLine="480" w:firstLineChars="200"/>
              <w:rPr>
                <w:rFonts w:ascii="宋体" w:hAnsi="宋体" w:cs="宋体"/>
                <w:color w:val="auto"/>
                <w:sz w:val="24"/>
                <w:highlight w:val="none"/>
              </w:rPr>
            </w:pPr>
            <w:r>
              <w:rPr>
                <w:rFonts w:hint="eastAsia" w:ascii="宋体" w:hAnsi="宋体" w:cs="宋体"/>
                <w:snapToGrid w:val="0"/>
                <w:color w:val="auto"/>
                <w:kern w:val="28"/>
                <w:sz w:val="24"/>
                <w:highlight w:val="none"/>
                <w:lang w:eastAsia="zh-CN"/>
              </w:rPr>
              <w:t>投标人</w:t>
            </w:r>
            <w:r>
              <w:rPr>
                <w:rFonts w:hint="eastAsia" w:ascii="宋体" w:hAnsi="宋体" w:cs="宋体"/>
                <w:snapToGrid w:val="0"/>
                <w:color w:val="auto"/>
                <w:kern w:val="28"/>
                <w:sz w:val="24"/>
                <w:highlight w:val="none"/>
              </w:rPr>
              <w:t>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479614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635B8936">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254A8D99">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 xml:space="preserve">备份投标文件送达时间、地点和签收人员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696B3010">
            <w:pPr>
              <w:pStyle w:val="35"/>
              <w:spacing w:line="360" w:lineRule="auto"/>
              <w:rPr>
                <w:rFonts w:hAnsi="宋体" w:cs="宋体"/>
                <w:color w:val="auto"/>
                <w:sz w:val="24"/>
                <w:szCs w:val="24"/>
                <w:highlight w:val="none"/>
              </w:rPr>
            </w:pPr>
            <w:r>
              <w:rPr>
                <w:rFonts w:hint="eastAsia" w:hAnsi="宋体" w:cs="宋体"/>
                <w:color w:val="auto"/>
                <w:sz w:val="24"/>
                <w:highlight w:val="none"/>
              </w:rPr>
              <w:t>（1）</w:t>
            </w:r>
            <w:r>
              <w:rPr>
                <w:rFonts w:hint="eastAsia" w:hAnsi="宋体" w:cs="宋体"/>
                <w:color w:val="auto"/>
                <w:sz w:val="24"/>
                <w:szCs w:val="24"/>
                <w:highlight w:val="none"/>
              </w:rPr>
              <w:t>直接提交备份投标文件的：</w:t>
            </w:r>
          </w:p>
          <w:p w14:paraId="4F8F1214">
            <w:pPr>
              <w:pStyle w:val="35"/>
              <w:spacing w:line="360" w:lineRule="auto"/>
              <w:rPr>
                <w:rFonts w:hAnsi="宋体" w:cs="宋体"/>
                <w:color w:val="auto"/>
                <w:sz w:val="24"/>
                <w:szCs w:val="24"/>
                <w:highlight w:val="none"/>
              </w:rPr>
            </w:pPr>
            <w:r>
              <w:rPr>
                <w:rFonts w:hint="eastAsia" w:hAnsi="宋体" w:cs="宋体"/>
                <w:color w:val="auto"/>
                <w:kern w:val="28"/>
                <w:sz w:val="24"/>
                <w:szCs w:val="24"/>
                <w:highlight w:val="none"/>
              </w:rPr>
              <w:t>备份投标文件送达地点：</w:t>
            </w:r>
            <w:r>
              <w:rPr>
                <w:rFonts w:hint="eastAsia" w:hAnsi="宋体" w:cs="宋体"/>
                <w:color w:val="auto"/>
                <w:kern w:val="28"/>
                <w:sz w:val="24"/>
                <w:szCs w:val="24"/>
                <w:highlight w:val="none"/>
                <w:u w:val="single"/>
              </w:rPr>
              <w:t>中基招标会议中心开标室（宁波市鄞州区天童南路666号中基大厦1楼）。</w:t>
            </w:r>
          </w:p>
          <w:p w14:paraId="5626D46C">
            <w:pPr>
              <w:pStyle w:val="35"/>
              <w:spacing w:line="360" w:lineRule="auto"/>
              <w:rPr>
                <w:rFonts w:hAnsi="宋体" w:cs="宋体"/>
                <w:color w:val="auto"/>
                <w:sz w:val="24"/>
                <w:szCs w:val="24"/>
                <w:highlight w:val="none"/>
              </w:rPr>
            </w:pPr>
            <w:r>
              <w:rPr>
                <w:rFonts w:hint="eastAsia" w:hAnsi="宋体" w:cs="宋体"/>
                <w:color w:val="auto"/>
                <w:kern w:val="28"/>
                <w:sz w:val="24"/>
                <w:szCs w:val="24"/>
                <w:highlight w:val="none"/>
              </w:rPr>
              <w:t>（2）</w:t>
            </w:r>
            <w:r>
              <w:rPr>
                <w:rFonts w:hint="eastAsia" w:hAnsi="宋体" w:cs="宋体"/>
                <w:color w:val="auto"/>
                <w:sz w:val="24"/>
                <w:szCs w:val="24"/>
                <w:highlight w:val="none"/>
              </w:rPr>
              <w:t>以邮政快递方式递交备份投标文件的：</w:t>
            </w:r>
          </w:p>
          <w:p w14:paraId="29705F0F">
            <w:pPr>
              <w:pStyle w:val="35"/>
              <w:spacing w:line="360" w:lineRule="auto"/>
              <w:rPr>
                <w:rFonts w:hAnsi="宋体" w:cs="宋体"/>
                <w:color w:val="auto"/>
                <w:kern w:val="28"/>
                <w:sz w:val="24"/>
                <w:szCs w:val="24"/>
                <w:highlight w:val="none"/>
              </w:rPr>
            </w:pPr>
            <w:r>
              <w:rPr>
                <w:rFonts w:hint="eastAsia" w:hAnsi="宋体" w:cs="宋体"/>
                <w:snapToGrid/>
                <w:color w:val="auto"/>
                <w:sz w:val="24"/>
                <w:szCs w:val="24"/>
                <w:highlight w:val="none"/>
              </w:rPr>
              <w:t>备份投标文件送达</w:t>
            </w:r>
            <w:r>
              <w:rPr>
                <w:rFonts w:hint="eastAsia" w:hAnsi="宋体" w:cs="宋体"/>
                <w:color w:val="auto"/>
                <w:sz w:val="24"/>
                <w:szCs w:val="24"/>
                <w:highlight w:val="none"/>
              </w:rPr>
              <w:t>截止时间：</w:t>
            </w:r>
            <w:r>
              <w:rPr>
                <w:rFonts w:hint="eastAsia" w:hAnsi="宋体" w:cs="宋体"/>
                <w:color w:val="auto"/>
                <w:sz w:val="24"/>
                <w:szCs w:val="24"/>
                <w:highlight w:val="none"/>
                <w:u w:val="single"/>
              </w:rPr>
              <w:t>开标时间前一个工作日的16:00止。</w:t>
            </w:r>
          </w:p>
          <w:p w14:paraId="0CA462F8">
            <w:pPr>
              <w:pStyle w:val="35"/>
              <w:spacing w:line="360" w:lineRule="auto"/>
              <w:rPr>
                <w:rFonts w:hAnsi="宋体" w:cs="宋体"/>
                <w:color w:val="auto"/>
                <w:kern w:val="28"/>
                <w:sz w:val="24"/>
                <w:highlight w:val="none"/>
              </w:rPr>
            </w:pPr>
            <w:r>
              <w:rPr>
                <w:rFonts w:hint="eastAsia" w:hAnsi="宋体" w:cs="宋体"/>
                <w:color w:val="auto"/>
                <w:kern w:val="28"/>
                <w:sz w:val="24"/>
                <w:szCs w:val="24"/>
                <w:highlight w:val="none"/>
              </w:rPr>
              <w:t>备份投标文件送达地点：</w:t>
            </w:r>
            <w:r>
              <w:rPr>
                <w:rFonts w:hint="eastAsia" w:hAnsi="宋体" w:cs="宋体"/>
                <w:color w:val="auto"/>
                <w:sz w:val="24"/>
                <w:highlight w:val="none"/>
                <w:u w:val="single"/>
              </w:rPr>
              <w:t xml:space="preserve">宁波市鄞州区天童南路666号中基大厦19楼业务六部 </w:t>
            </w:r>
            <w:r>
              <w:rPr>
                <w:rFonts w:hint="eastAsia" w:hAnsi="宋体" w:cs="宋体"/>
                <w:color w:val="auto"/>
                <w:kern w:val="28"/>
                <w:sz w:val="24"/>
                <w:szCs w:val="24"/>
                <w:highlight w:val="none"/>
              </w:rPr>
              <w:t>；备份投标文件签收人员联系电话：</w:t>
            </w:r>
            <w:r>
              <w:rPr>
                <w:rFonts w:hint="eastAsia" w:hAnsi="宋体" w:cs="宋体"/>
                <w:color w:val="auto"/>
                <w:sz w:val="24"/>
                <w:highlight w:val="none"/>
                <w:u w:val="single"/>
              </w:rPr>
              <w:t xml:space="preserve"> </w:t>
            </w:r>
            <w:r>
              <w:rPr>
                <w:rFonts w:hint="eastAsia" w:hAnsi="宋体" w:cs="宋体"/>
                <w:color w:val="auto"/>
                <w:sz w:val="24"/>
                <w:highlight w:val="none"/>
                <w:u w:val="single"/>
                <w:lang w:val="en-US" w:eastAsia="zh-CN"/>
              </w:rPr>
              <w:t>18606688727</w:t>
            </w:r>
            <w:r>
              <w:rPr>
                <w:rFonts w:hint="eastAsia" w:hAnsi="宋体" w:cs="宋体"/>
                <w:color w:val="auto"/>
                <w:sz w:val="24"/>
                <w:szCs w:val="24"/>
                <w:highlight w:val="none"/>
              </w:rPr>
              <w:t>。</w:t>
            </w:r>
            <w:r>
              <w:rPr>
                <w:rFonts w:hint="eastAsia" w:hAnsi="宋体" w:cs="宋体"/>
                <w:b/>
                <w:color w:val="auto"/>
                <w:sz w:val="24"/>
                <w:szCs w:val="24"/>
                <w:highlight w:val="none"/>
              </w:rPr>
              <w:t>采购人、采购代理机构不强制或变相强制投标人提交备份投标文件。</w:t>
            </w:r>
          </w:p>
        </w:tc>
      </w:tr>
      <w:tr w14:paraId="197638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vAlign w:val="center"/>
          </w:tcPr>
          <w:p w14:paraId="3C4AE26B">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13</w:t>
            </w:r>
          </w:p>
        </w:tc>
        <w:tc>
          <w:tcPr>
            <w:tcW w:w="1843" w:type="dxa"/>
            <w:vMerge w:val="restart"/>
            <w:tcBorders>
              <w:top w:val="single" w:color="000000" w:sz="8" w:space="0"/>
              <w:left w:val="single" w:color="000000" w:sz="2" w:space="0"/>
              <w:right w:val="single" w:color="000000" w:sz="8" w:space="0"/>
            </w:tcBorders>
            <w:vAlign w:val="center"/>
          </w:tcPr>
          <w:p w14:paraId="7498FF52">
            <w:pPr>
              <w:snapToGrid w:val="0"/>
              <w:spacing w:line="360" w:lineRule="auto"/>
              <w:jc w:val="center"/>
              <w:rPr>
                <w:rFonts w:hint="eastAsia" w:ascii="宋体" w:hAnsi="宋体" w:cs="宋体" w:eastAsiaTheme="minorEastAsia"/>
                <w:b/>
                <w:color w:val="auto"/>
                <w:sz w:val="24"/>
                <w:highlight w:val="none"/>
                <w:lang w:eastAsia="zh-CN"/>
              </w:rPr>
            </w:pPr>
            <w:r>
              <w:rPr>
                <w:rFonts w:hint="eastAsia" w:cs="仿宋_GB2312" w:asciiTheme="minorEastAsia" w:hAnsiTheme="minorEastAsia" w:eastAsiaTheme="minorEastAsia"/>
                <w:b/>
                <w:color w:val="auto"/>
                <w:sz w:val="24"/>
                <w:highlight w:val="none"/>
              </w:rPr>
              <w:t>特别说明</w:t>
            </w:r>
            <w:r>
              <w:rPr>
                <w:rFonts w:hint="eastAsia" w:cs="仿宋_GB2312" w:asciiTheme="minorEastAsia" w:hAnsiTheme="minorEastAsia" w:eastAsiaTheme="minorEastAsia"/>
                <w:b/>
                <w:color w:val="auto"/>
                <w:sz w:val="24"/>
                <w:highlight w:val="none"/>
                <w:lang w:eastAsia="zh-CN"/>
              </w:rPr>
              <w:t>（</w:t>
            </w:r>
            <w:r>
              <w:rPr>
                <w:rFonts w:hint="eastAsia" w:cs="仿宋_GB2312" w:asciiTheme="minorEastAsia" w:hAnsiTheme="minorEastAsia" w:eastAsiaTheme="minorEastAsia"/>
                <w:b/>
                <w:color w:val="auto"/>
                <w:sz w:val="24"/>
                <w:highlight w:val="none"/>
                <w:lang w:val="en-US" w:eastAsia="zh-CN"/>
              </w:rPr>
              <w:t>本项目不采用</w:t>
            </w:r>
            <w:r>
              <w:rPr>
                <w:rFonts w:hint="eastAsia" w:cs="仿宋_GB2312" w:asciiTheme="minorEastAsia" w:hAnsiTheme="minorEastAsia" w:eastAsiaTheme="minorEastAsia"/>
                <w:b/>
                <w:color w:val="auto"/>
                <w:sz w:val="24"/>
                <w:highlight w:val="none"/>
                <w:lang w:eastAsia="zh-CN"/>
              </w:rPr>
              <w:t>）</w:t>
            </w:r>
          </w:p>
        </w:tc>
        <w:tc>
          <w:tcPr>
            <w:tcW w:w="6095" w:type="dxa"/>
            <w:tcBorders>
              <w:top w:val="single" w:color="000000" w:sz="8" w:space="0"/>
              <w:left w:val="single" w:color="000000" w:sz="2" w:space="0"/>
              <w:bottom w:val="single" w:color="000000" w:sz="8" w:space="0"/>
              <w:right w:val="single" w:color="000000" w:sz="8" w:space="0"/>
            </w:tcBorders>
            <w:vAlign w:val="center"/>
          </w:tcPr>
          <w:p w14:paraId="0A5497D6">
            <w:pPr>
              <w:spacing w:line="360" w:lineRule="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联合体投标的，联合体各方分别提供与联合体协议中规定的分工内容相应的业绩证明材料，业绩数量以提供材料较少的一方为准。</w:t>
            </w:r>
          </w:p>
        </w:tc>
      </w:tr>
      <w:tr w14:paraId="7DA970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bottom w:val="single" w:color="auto" w:sz="4" w:space="0"/>
              <w:right w:val="single" w:color="000000" w:sz="2" w:space="0"/>
            </w:tcBorders>
          </w:tcPr>
          <w:p w14:paraId="209DF2AB">
            <w:pPr>
              <w:snapToGrid w:val="0"/>
              <w:spacing w:line="360" w:lineRule="auto"/>
              <w:jc w:val="center"/>
              <w:rPr>
                <w:rFonts w:ascii="宋体" w:hAnsi="宋体" w:cs="宋体"/>
                <w:color w:val="auto"/>
                <w:sz w:val="24"/>
                <w:highlight w:val="none"/>
              </w:rPr>
            </w:pPr>
          </w:p>
        </w:tc>
        <w:tc>
          <w:tcPr>
            <w:tcW w:w="1843" w:type="dxa"/>
            <w:vMerge w:val="continue"/>
            <w:tcBorders>
              <w:left w:val="single" w:color="000000" w:sz="2" w:space="0"/>
              <w:bottom w:val="single" w:color="auto" w:sz="4" w:space="0"/>
              <w:right w:val="single" w:color="000000" w:sz="8" w:space="0"/>
            </w:tcBorders>
            <w:vAlign w:val="center"/>
          </w:tcPr>
          <w:p w14:paraId="576A833D">
            <w:pPr>
              <w:snapToGrid w:val="0"/>
              <w:spacing w:line="360" w:lineRule="auto"/>
              <w:jc w:val="center"/>
              <w:rPr>
                <w:rFonts w:ascii="宋体" w:hAnsi="宋体" w:cs="宋体"/>
                <w:b/>
                <w:color w:val="auto"/>
                <w:sz w:val="24"/>
                <w:highlight w:val="none"/>
              </w:rPr>
            </w:pPr>
          </w:p>
        </w:tc>
        <w:tc>
          <w:tcPr>
            <w:tcW w:w="6095" w:type="dxa"/>
            <w:tcBorders>
              <w:top w:val="single" w:color="000000" w:sz="8" w:space="0"/>
              <w:left w:val="single" w:color="000000" w:sz="2" w:space="0"/>
              <w:bottom w:val="single" w:color="auto" w:sz="4" w:space="0"/>
              <w:right w:val="single" w:color="000000" w:sz="8" w:space="0"/>
            </w:tcBorders>
            <w:vAlign w:val="center"/>
          </w:tcPr>
          <w:p w14:paraId="22DD075D">
            <w:pPr>
              <w:spacing w:line="360" w:lineRule="auto"/>
              <w:rPr>
                <w:rFonts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1816336663"/>
                <w14:checkbox>
                  <w14:checked w14:val="0"/>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ascii="MS Mincho" w:hAnsi="MS Mincho" w:eastAsia="MS Mincho" w:cs="MS Mincho"/>
                    <w:color w:val="auto"/>
                    <w:kern w:val="0"/>
                    <w:sz w:val="24"/>
                    <w:highlight w:val="none"/>
                  </w:rPr>
                  <w:t>☐</w:t>
                </w:r>
              </w:sdtContent>
            </w:sdt>
            <w:r>
              <w:rPr>
                <w:rFonts w:hint="eastAsia" w:ascii="宋体" w:hAnsi="宋体" w:cs="宋体"/>
                <w:snapToGrid w:val="0"/>
                <w:color w:val="auto"/>
                <w:kern w:val="28"/>
                <w:sz w:val="24"/>
                <w:highlight w:val="none"/>
              </w:rPr>
              <w:t>联合体投标的，联合体各方均需按招标文件第四部分评标标准要求提供资信证明文件，否则视为不符合相关要求。</w:t>
            </w:r>
          </w:p>
          <w:p w14:paraId="238363ED">
            <w:pPr>
              <w:spacing w:line="360" w:lineRule="auto"/>
              <w:rPr>
                <w:rFonts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232311894"/>
                <w14:checkbox>
                  <w14:checked w14:val="0"/>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ascii="MS Gothic" w:hAnsi="MS Gothic" w:cs="Arial" w:eastAsiaTheme="minorEastAsia"/>
                    <w:color w:val="auto"/>
                    <w:kern w:val="0"/>
                    <w:sz w:val="24"/>
                    <w:szCs w:val="24"/>
                    <w:highlight w:val="none"/>
                    <w:lang w:val="en-US" w:eastAsia="zh-CN" w:bidi="ar-SA"/>
                  </w:rPr>
                  <w:t>☐</w:t>
                </w:r>
              </w:sdtContent>
            </w:sdt>
            <w:r>
              <w:rPr>
                <w:rFonts w:hint="eastAsia" w:ascii="宋体" w:hAnsi="宋体" w:cs="宋体"/>
                <w:snapToGrid w:val="0"/>
                <w:color w:val="auto"/>
                <w:kern w:val="28"/>
                <w:sz w:val="24"/>
                <w:highlight w:val="none"/>
              </w:rPr>
              <w:t>联合体投标的，联合体中有一方或者联合体成员根据分工按招标文件第四部分评标标准要求提供资信证明文件的，视为符合了相关要求。</w:t>
            </w:r>
          </w:p>
        </w:tc>
      </w:tr>
      <w:tr w14:paraId="377611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E6A6979">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14</w:t>
            </w:r>
          </w:p>
        </w:tc>
        <w:tc>
          <w:tcPr>
            <w:tcW w:w="1843" w:type="dxa"/>
            <w:tcBorders>
              <w:top w:val="single" w:color="auto" w:sz="4" w:space="0"/>
              <w:left w:val="single" w:color="auto" w:sz="4" w:space="0"/>
              <w:bottom w:val="single" w:color="auto" w:sz="4" w:space="0"/>
              <w:right w:val="single" w:color="auto" w:sz="4" w:space="0"/>
            </w:tcBorders>
            <w:vAlign w:val="center"/>
          </w:tcPr>
          <w:p w14:paraId="736D9D62">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中标服务费</w:t>
            </w:r>
          </w:p>
        </w:tc>
        <w:tc>
          <w:tcPr>
            <w:tcW w:w="6095" w:type="dxa"/>
            <w:tcBorders>
              <w:top w:val="single" w:color="auto" w:sz="4" w:space="0"/>
              <w:left w:val="single" w:color="auto" w:sz="4" w:space="0"/>
              <w:bottom w:val="single" w:color="auto" w:sz="4" w:space="0"/>
              <w:right w:val="single" w:color="auto" w:sz="4" w:space="0"/>
            </w:tcBorders>
            <w:vAlign w:val="center"/>
          </w:tcPr>
          <w:p w14:paraId="5E8A1B24">
            <w:pPr>
              <w:rPr>
                <w:rFonts w:ascii="宋体" w:hAnsi="宋体" w:cs="Arial"/>
                <w:color w:val="auto"/>
                <w:kern w:val="0"/>
                <w:sz w:val="24"/>
                <w:highlight w:val="none"/>
              </w:rPr>
            </w:pPr>
            <w:r>
              <w:rPr>
                <w:rFonts w:hint="eastAsia" w:ascii="宋体" w:hAnsi="宋体" w:cs="Arial"/>
                <w:color w:val="auto"/>
                <w:kern w:val="0"/>
                <w:sz w:val="24"/>
                <w:highlight w:val="none"/>
              </w:rPr>
              <w:t>中标服务费的收取标准：采购代理机构按照</w:t>
            </w:r>
            <w:r>
              <w:rPr>
                <w:rFonts w:hint="eastAsia" w:ascii="宋体" w:hAnsi="宋体" w:cs="Arial"/>
                <w:color w:val="auto"/>
                <w:kern w:val="0"/>
                <w:sz w:val="24"/>
                <w:highlight w:val="none"/>
                <w:lang w:val="en-US" w:eastAsia="zh-CN"/>
              </w:rPr>
              <w:t>各标项预算金额</w:t>
            </w:r>
            <w:r>
              <w:rPr>
                <w:rFonts w:hint="eastAsia" w:ascii="宋体" w:hAnsi="宋体" w:cs="Arial"/>
                <w:color w:val="auto"/>
                <w:kern w:val="0"/>
                <w:sz w:val="24"/>
                <w:highlight w:val="none"/>
              </w:rPr>
              <w:t>，根据下表服务招标标准</w:t>
            </w:r>
            <w:r>
              <w:rPr>
                <w:rFonts w:hint="eastAsia" w:ascii="宋体" w:hAnsi="宋体" w:cs="Arial"/>
                <w:color w:val="auto"/>
                <w:kern w:val="0"/>
                <w:sz w:val="24"/>
                <w:highlight w:val="none"/>
                <w:lang w:val="en-US" w:eastAsia="zh-CN"/>
              </w:rPr>
              <w:t>的85%</w:t>
            </w:r>
            <w:r>
              <w:rPr>
                <w:rFonts w:hint="eastAsia" w:ascii="宋体" w:hAnsi="宋体" w:cs="Arial"/>
                <w:color w:val="auto"/>
                <w:kern w:val="0"/>
                <w:sz w:val="24"/>
                <w:highlight w:val="none"/>
              </w:rPr>
              <w:t>向中标人收取中标服务费。</w:t>
            </w:r>
          </w:p>
          <w:tbl>
            <w:tblPr>
              <w:tblStyle w:val="62"/>
              <w:tblW w:w="59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3385"/>
              <w:gridCol w:w="830"/>
              <w:gridCol w:w="850"/>
              <w:gridCol w:w="884"/>
            </w:tblGrid>
            <w:tr w14:paraId="4E922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72" w:hRule="atLeast"/>
                <w:jc w:val="center"/>
              </w:trPr>
              <w:tc>
                <w:tcPr>
                  <w:tcW w:w="3385" w:type="dxa"/>
                  <w:tcBorders>
                    <w:tl2br w:val="single" w:color="auto" w:sz="4" w:space="0"/>
                  </w:tcBorders>
                  <w:tcMar>
                    <w:top w:w="30" w:type="dxa"/>
                    <w:left w:w="150" w:type="dxa"/>
                    <w:bottom w:w="30" w:type="dxa"/>
                    <w:right w:w="150" w:type="dxa"/>
                  </w:tcMar>
                  <w:vAlign w:val="center"/>
                  <mc:AlternateContent>
                    <mc:Choice Requires="wpsCustomData">
                      <wpsCustomData:diagonals>
                        <wpsCustomData:diagonal from="30000" to="15700">
                          <wpsCustomData:border w:val="single" w:color="auto" w:sz="4" w:space="0"/>
                        </wpsCustomData:diagonal>
                        <wpsCustomData:diagonal from="10000" to="30000">
                          <wpsCustomData:border w:val="single" w:color="auto" w:sz="4" w:space="0"/>
                        </wpsCustomData:diagonal>
                      </wpsCustomData:diagonals>
                    </mc:Choice>
                  </mc:AlternateContent>
                </w:tcPr>
                <w:p w14:paraId="5FD71C90">
                  <w:pPr>
                    <w:adjustRightInd/>
                    <w:snapToGrid w:val="0"/>
                    <w:jc w:val="left"/>
                    <mc:AlternateContent>
                      <mc:Choice Requires="wpsCustomData">
                        <wpsCustomData:diagonalParaType/>
                      </mc:Choice>
                    </mc:AlternateContent>
                    <w:rPr>
                      <w:rFonts w:ascii="宋体" w:hAnsi="宋体" w:cs="宋体"/>
                      <w:color w:val="auto"/>
                      <w:szCs w:val="21"/>
                      <w:highlight w:val="none"/>
                      <w:lang w:bidi="ar"/>
                    </w:rPr>
                  </w:pPr>
                  <w:r>
                    <w:rPr>
                      <w:rFonts w:hint="eastAsia" w:ascii="宋体" w:hAnsi="宋体" w:cs="宋体"/>
                      <w:color w:val="auto"/>
                      <w:szCs w:val="21"/>
                      <w:highlight w:val="none"/>
                      <w:lang w:bidi="ar"/>
                    </w:rPr>
                    <w:t>金额（万元）</w:t>
                  </w:r>
                </w:p>
                <w:p w14:paraId="59DA33AC">
                  <w:pPr>
                    <w:adjustRightInd/>
                    <w:snapToGrid w:val="0"/>
                    <w:jc w:val="left"/>
                    <w:rPr>
                      <w:rFonts w:ascii="宋体" w:hAnsi="宋体" w:cs="宋体"/>
                      <w:color w:val="auto"/>
                      <w:szCs w:val="21"/>
                      <w:highlight w:val="none"/>
                      <w:lang w:bidi="ar"/>
                    </w:rPr>
                  </w:pPr>
                  <w:r>
                    <w:rPr>
                      <w:rFonts w:hint="eastAsia" w:ascii="宋体" w:hAnsi="宋体" w:cs="宋体"/>
                      <w:color w:val="auto"/>
                      <w:szCs w:val="21"/>
                      <w:highlight w:val="none"/>
                      <w:lang w:bidi="ar"/>
                    </w:rPr>
                    <w:t>费率</w:t>
                  </w:r>
                </w:p>
                <w:p w14:paraId="2C1D8832">
                  <w:pPr>
                    <w:adjustRightInd/>
                    <w:snapToGrid w:val="0"/>
                    <w:spacing w:line="240" w:lineRule="auto"/>
                    <w:jc w:val="right"/>
                    <mc:AlternateContent>
                      <mc:Choice Requires="wpsCustomData">
                        <wpsCustomData:diagonalParaType/>
                      </mc:Choice>
                    </mc:AlternateContent>
                    <w:rPr>
                      <w:rFonts w:ascii="宋体" w:hAnsi="宋体" w:cs="宋体"/>
                      <w:color w:val="auto"/>
                      <w:szCs w:val="21"/>
                      <w:highlight w:val="none"/>
                      <w:lang w:bidi="ar"/>
                    </w:rPr>
                  </w:pPr>
                </w:p>
                <w:p w14:paraId="4A4A48F5">
                  <w:pPr>
                    <w:adjustRightInd/>
                    <w:jc w:val="right"/>
                    <w:rPr>
                      <w:rFonts w:ascii="宋体" w:hAnsi="宋体" w:cs="宋体"/>
                      <w:color w:val="auto"/>
                      <w:szCs w:val="21"/>
                      <w:highlight w:val="none"/>
                      <w:lang w:bidi="ar"/>
                    </w:rPr>
                  </w:pPr>
                  <w:r>
                    <w:rPr>
                      <w:rFonts w:hint="eastAsia" w:ascii="宋体" w:hAnsi="宋体" w:cs="宋体"/>
                      <w:color w:val="auto"/>
                      <w:szCs w:val="21"/>
                      <w:highlight w:val="none"/>
                      <w:lang w:bidi="ar"/>
                    </w:rPr>
                    <w:t>服务类型</w:t>
                  </w:r>
                </w:p>
              </w:tc>
              <w:tc>
                <w:tcPr>
                  <w:tcW w:w="830" w:type="dxa"/>
                  <w:tcMar>
                    <w:top w:w="30" w:type="dxa"/>
                    <w:left w:w="150" w:type="dxa"/>
                    <w:bottom w:w="30" w:type="dxa"/>
                    <w:right w:w="150" w:type="dxa"/>
                  </w:tcMar>
                  <w:vAlign w:val="center"/>
                </w:tcPr>
                <w:p w14:paraId="64C1AF5A">
                  <w:pPr>
                    <w:adjustRightInd/>
                    <w:jc w:val="center"/>
                    <w:rPr>
                      <w:rFonts w:ascii="宋体" w:hAnsi="宋体" w:cs="宋体"/>
                      <w:color w:val="auto"/>
                      <w:szCs w:val="21"/>
                      <w:highlight w:val="none"/>
                      <w:lang w:bidi="ar"/>
                    </w:rPr>
                  </w:pPr>
                  <w:r>
                    <w:rPr>
                      <w:rFonts w:hint="eastAsia" w:ascii="宋体" w:hAnsi="宋体" w:cs="宋体"/>
                      <w:color w:val="auto"/>
                      <w:szCs w:val="21"/>
                      <w:highlight w:val="none"/>
                      <w:lang w:bidi="ar"/>
                    </w:rPr>
                    <w:t>货物招标</w:t>
                  </w:r>
                </w:p>
              </w:tc>
              <w:tc>
                <w:tcPr>
                  <w:tcW w:w="850" w:type="dxa"/>
                  <w:tcMar>
                    <w:top w:w="30" w:type="dxa"/>
                    <w:left w:w="150" w:type="dxa"/>
                    <w:bottom w:w="30" w:type="dxa"/>
                    <w:right w:w="150" w:type="dxa"/>
                  </w:tcMar>
                  <w:vAlign w:val="center"/>
                </w:tcPr>
                <w:p w14:paraId="3CD11606">
                  <w:pPr>
                    <w:adjustRightInd/>
                    <w:jc w:val="center"/>
                    <w:rPr>
                      <w:rFonts w:ascii="宋体" w:hAnsi="宋体" w:cs="宋体"/>
                      <w:color w:val="auto"/>
                      <w:szCs w:val="21"/>
                      <w:highlight w:val="none"/>
                      <w:lang w:bidi="ar"/>
                    </w:rPr>
                  </w:pPr>
                  <w:r>
                    <w:rPr>
                      <w:rFonts w:hint="eastAsia" w:ascii="宋体" w:hAnsi="宋体" w:cs="宋体"/>
                      <w:color w:val="auto"/>
                      <w:szCs w:val="21"/>
                      <w:highlight w:val="none"/>
                      <w:lang w:bidi="ar"/>
                    </w:rPr>
                    <w:t>服务招标</w:t>
                  </w:r>
                </w:p>
              </w:tc>
              <w:tc>
                <w:tcPr>
                  <w:tcW w:w="884" w:type="dxa"/>
                  <w:tcMar>
                    <w:top w:w="30" w:type="dxa"/>
                    <w:left w:w="150" w:type="dxa"/>
                    <w:bottom w:w="30" w:type="dxa"/>
                    <w:right w:w="150" w:type="dxa"/>
                  </w:tcMar>
                  <w:vAlign w:val="center"/>
                </w:tcPr>
                <w:p w14:paraId="2930E88E">
                  <w:pPr>
                    <w:adjustRightInd/>
                    <w:rPr>
                      <w:rFonts w:hint="eastAsia" w:ascii="宋体" w:hAnsi="宋体" w:cs="宋体"/>
                      <w:color w:val="auto"/>
                      <w:szCs w:val="21"/>
                      <w:highlight w:val="none"/>
                      <w:lang w:bidi="ar"/>
                    </w:rPr>
                  </w:pPr>
                  <w:r>
                    <w:rPr>
                      <w:rFonts w:hint="eastAsia" w:ascii="宋体" w:hAnsi="宋体" w:cs="宋体"/>
                      <w:color w:val="auto"/>
                      <w:szCs w:val="21"/>
                      <w:highlight w:val="none"/>
                      <w:lang w:bidi="ar"/>
                    </w:rPr>
                    <w:t>工程</w:t>
                  </w:r>
                </w:p>
                <w:p w14:paraId="10086FC0">
                  <w:pPr>
                    <w:adjustRightInd/>
                    <w:rPr>
                      <w:rFonts w:ascii="宋体" w:hAnsi="宋体" w:cs="宋体"/>
                      <w:color w:val="auto"/>
                      <w:szCs w:val="21"/>
                      <w:highlight w:val="none"/>
                      <w:lang w:bidi="ar"/>
                    </w:rPr>
                  </w:pPr>
                  <w:r>
                    <w:rPr>
                      <w:rFonts w:hint="eastAsia" w:ascii="宋体" w:hAnsi="宋体" w:cs="宋体"/>
                      <w:color w:val="auto"/>
                      <w:szCs w:val="21"/>
                      <w:highlight w:val="none"/>
                      <w:lang w:bidi="ar"/>
                    </w:rPr>
                    <w:t>招标</w:t>
                  </w:r>
                </w:p>
              </w:tc>
            </w:tr>
            <w:tr w14:paraId="7D3C7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6" w:hRule="atLeast"/>
                <w:jc w:val="center"/>
              </w:trPr>
              <w:tc>
                <w:tcPr>
                  <w:tcW w:w="3385" w:type="dxa"/>
                  <w:tcMar>
                    <w:top w:w="30" w:type="dxa"/>
                    <w:left w:w="150" w:type="dxa"/>
                    <w:bottom w:w="30" w:type="dxa"/>
                    <w:right w:w="150" w:type="dxa"/>
                  </w:tcMar>
                  <w:vAlign w:val="center"/>
                </w:tcPr>
                <w:p w14:paraId="4A5C4C12">
                  <w:pPr>
                    <w:adjustRightInd/>
                    <w:jc w:val="center"/>
                    <w:rPr>
                      <w:rFonts w:ascii="宋体" w:hAnsi="宋体" w:cs="宋体"/>
                      <w:color w:val="auto"/>
                      <w:szCs w:val="21"/>
                      <w:highlight w:val="none"/>
                      <w:lang w:bidi="ar"/>
                    </w:rPr>
                  </w:pPr>
                  <w:r>
                    <w:rPr>
                      <w:rFonts w:hint="eastAsia" w:ascii="宋体" w:hAnsi="宋体" w:cs="宋体"/>
                      <w:color w:val="auto"/>
                      <w:szCs w:val="21"/>
                      <w:highlight w:val="none"/>
                      <w:lang w:bidi="ar"/>
                    </w:rPr>
                    <w:t>100以下</w:t>
                  </w:r>
                </w:p>
              </w:tc>
              <w:tc>
                <w:tcPr>
                  <w:tcW w:w="830" w:type="dxa"/>
                  <w:tcMar>
                    <w:top w:w="30" w:type="dxa"/>
                    <w:left w:w="150" w:type="dxa"/>
                    <w:bottom w:w="30" w:type="dxa"/>
                    <w:right w:w="150" w:type="dxa"/>
                  </w:tcMar>
                  <w:vAlign w:val="center"/>
                </w:tcPr>
                <w:p w14:paraId="7BFAB3E2">
                  <w:pPr>
                    <w:adjustRightInd/>
                    <w:jc w:val="center"/>
                    <w:rPr>
                      <w:rFonts w:ascii="宋体" w:hAnsi="宋体" w:cs="宋体"/>
                      <w:color w:val="auto"/>
                      <w:szCs w:val="21"/>
                      <w:highlight w:val="none"/>
                      <w:lang w:bidi="ar"/>
                    </w:rPr>
                  </w:pPr>
                  <w:r>
                    <w:rPr>
                      <w:rFonts w:hint="eastAsia" w:ascii="宋体" w:hAnsi="宋体" w:cs="宋体"/>
                      <w:color w:val="auto"/>
                      <w:szCs w:val="21"/>
                      <w:highlight w:val="none"/>
                      <w:lang w:bidi="ar"/>
                    </w:rPr>
                    <w:t>1.5%</w:t>
                  </w:r>
                </w:p>
              </w:tc>
              <w:tc>
                <w:tcPr>
                  <w:tcW w:w="850" w:type="dxa"/>
                  <w:tcMar>
                    <w:top w:w="30" w:type="dxa"/>
                    <w:left w:w="150" w:type="dxa"/>
                    <w:bottom w:w="30" w:type="dxa"/>
                    <w:right w:w="150" w:type="dxa"/>
                  </w:tcMar>
                  <w:vAlign w:val="center"/>
                </w:tcPr>
                <w:p w14:paraId="7BAADA0E">
                  <w:pPr>
                    <w:adjustRightInd/>
                    <w:jc w:val="center"/>
                    <w:rPr>
                      <w:rFonts w:ascii="宋体" w:hAnsi="宋体" w:cs="宋体"/>
                      <w:color w:val="auto"/>
                      <w:szCs w:val="21"/>
                      <w:highlight w:val="none"/>
                      <w:lang w:bidi="ar"/>
                    </w:rPr>
                  </w:pPr>
                  <w:r>
                    <w:rPr>
                      <w:rFonts w:hint="eastAsia" w:ascii="宋体" w:hAnsi="宋体" w:cs="宋体"/>
                      <w:color w:val="auto"/>
                      <w:szCs w:val="21"/>
                      <w:highlight w:val="none"/>
                      <w:lang w:bidi="ar"/>
                    </w:rPr>
                    <w:t>1.5%</w:t>
                  </w:r>
                </w:p>
              </w:tc>
              <w:tc>
                <w:tcPr>
                  <w:tcW w:w="884" w:type="dxa"/>
                  <w:tcMar>
                    <w:top w:w="30" w:type="dxa"/>
                    <w:left w:w="150" w:type="dxa"/>
                    <w:bottom w:w="30" w:type="dxa"/>
                    <w:right w:w="150" w:type="dxa"/>
                  </w:tcMar>
                  <w:vAlign w:val="center"/>
                </w:tcPr>
                <w:p w14:paraId="7F189E08">
                  <w:pPr>
                    <w:adjustRightInd/>
                    <w:jc w:val="center"/>
                    <w:rPr>
                      <w:rFonts w:ascii="宋体" w:hAnsi="宋体" w:cs="宋体"/>
                      <w:color w:val="auto"/>
                      <w:szCs w:val="21"/>
                      <w:highlight w:val="none"/>
                      <w:lang w:bidi="ar"/>
                    </w:rPr>
                  </w:pPr>
                  <w:r>
                    <w:rPr>
                      <w:rFonts w:hint="eastAsia" w:ascii="宋体" w:hAnsi="宋体" w:cs="宋体"/>
                      <w:color w:val="auto"/>
                      <w:szCs w:val="21"/>
                      <w:highlight w:val="none"/>
                      <w:lang w:bidi="ar"/>
                    </w:rPr>
                    <w:t>1.0%</w:t>
                  </w:r>
                </w:p>
              </w:tc>
            </w:tr>
            <w:tr w14:paraId="57B3A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6" w:hRule="atLeast"/>
                <w:jc w:val="center"/>
              </w:trPr>
              <w:tc>
                <w:tcPr>
                  <w:tcW w:w="3385" w:type="dxa"/>
                  <w:tcMar>
                    <w:top w:w="30" w:type="dxa"/>
                    <w:left w:w="150" w:type="dxa"/>
                    <w:bottom w:w="30" w:type="dxa"/>
                    <w:right w:w="150" w:type="dxa"/>
                  </w:tcMar>
                  <w:vAlign w:val="center"/>
                </w:tcPr>
                <w:p w14:paraId="7D434A05">
                  <w:pPr>
                    <w:adjustRightInd/>
                    <w:jc w:val="center"/>
                    <w:rPr>
                      <w:rFonts w:ascii="宋体" w:hAnsi="宋体" w:cs="宋体"/>
                      <w:color w:val="auto"/>
                      <w:szCs w:val="21"/>
                      <w:highlight w:val="none"/>
                      <w:lang w:bidi="ar"/>
                    </w:rPr>
                  </w:pPr>
                  <w:r>
                    <w:rPr>
                      <w:rFonts w:hint="eastAsia" w:ascii="宋体" w:hAnsi="宋体" w:cs="宋体"/>
                      <w:color w:val="auto"/>
                      <w:szCs w:val="21"/>
                      <w:highlight w:val="none"/>
                      <w:lang w:bidi="ar"/>
                    </w:rPr>
                    <w:t>100-500</w:t>
                  </w:r>
                </w:p>
              </w:tc>
              <w:tc>
                <w:tcPr>
                  <w:tcW w:w="830" w:type="dxa"/>
                  <w:tcMar>
                    <w:top w:w="30" w:type="dxa"/>
                    <w:left w:w="150" w:type="dxa"/>
                    <w:bottom w:w="30" w:type="dxa"/>
                    <w:right w:w="150" w:type="dxa"/>
                  </w:tcMar>
                  <w:vAlign w:val="center"/>
                </w:tcPr>
                <w:p w14:paraId="34D3415F">
                  <w:pPr>
                    <w:adjustRightInd/>
                    <w:jc w:val="center"/>
                    <w:rPr>
                      <w:rFonts w:ascii="宋体" w:hAnsi="宋体" w:cs="宋体"/>
                      <w:color w:val="auto"/>
                      <w:szCs w:val="21"/>
                      <w:highlight w:val="none"/>
                      <w:lang w:bidi="ar"/>
                    </w:rPr>
                  </w:pPr>
                  <w:r>
                    <w:rPr>
                      <w:rFonts w:hint="eastAsia" w:ascii="宋体" w:hAnsi="宋体" w:cs="宋体"/>
                      <w:color w:val="auto"/>
                      <w:szCs w:val="21"/>
                      <w:highlight w:val="none"/>
                      <w:lang w:bidi="ar"/>
                    </w:rPr>
                    <w:t>1.1%</w:t>
                  </w:r>
                </w:p>
              </w:tc>
              <w:tc>
                <w:tcPr>
                  <w:tcW w:w="850" w:type="dxa"/>
                  <w:tcMar>
                    <w:top w:w="30" w:type="dxa"/>
                    <w:left w:w="150" w:type="dxa"/>
                    <w:bottom w:w="30" w:type="dxa"/>
                    <w:right w:w="150" w:type="dxa"/>
                  </w:tcMar>
                  <w:vAlign w:val="center"/>
                </w:tcPr>
                <w:p w14:paraId="7EFF537C">
                  <w:pPr>
                    <w:adjustRightInd/>
                    <w:jc w:val="center"/>
                    <w:rPr>
                      <w:rFonts w:ascii="宋体" w:hAnsi="宋体" w:cs="宋体"/>
                      <w:color w:val="auto"/>
                      <w:szCs w:val="21"/>
                      <w:highlight w:val="none"/>
                      <w:lang w:bidi="ar"/>
                    </w:rPr>
                  </w:pPr>
                  <w:r>
                    <w:rPr>
                      <w:rFonts w:hint="eastAsia" w:ascii="宋体" w:hAnsi="宋体" w:cs="宋体"/>
                      <w:color w:val="auto"/>
                      <w:szCs w:val="21"/>
                      <w:highlight w:val="none"/>
                      <w:lang w:bidi="ar"/>
                    </w:rPr>
                    <w:t>0.8%</w:t>
                  </w:r>
                </w:p>
              </w:tc>
              <w:tc>
                <w:tcPr>
                  <w:tcW w:w="884" w:type="dxa"/>
                  <w:tcMar>
                    <w:top w:w="30" w:type="dxa"/>
                    <w:left w:w="150" w:type="dxa"/>
                    <w:bottom w:w="30" w:type="dxa"/>
                    <w:right w:w="150" w:type="dxa"/>
                  </w:tcMar>
                  <w:vAlign w:val="center"/>
                </w:tcPr>
                <w:p w14:paraId="4F1CF0A9">
                  <w:pPr>
                    <w:adjustRightInd/>
                    <w:jc w:val="center"/>
                    <w:rPr>
                      <w:rFonts w:ascii="宋体" w:hAnsi="宋体" w:cs="宋体"/>
                      <w:color w:val="auto"/>
                      <w:szCs w:val="21"/>
                      <w:highlight w:val="none"/>
                      <w:lang w:bidi="ar"/>
                    </w:rPr>
                  </w:pPr>
                  <w:r>
                    <w:rPr>
                      <w:rFonts w:hint="eastAsia" w:ascii="宋体" w:hAnsi="宋体" w:cs="宋体"/>
                      <w:color w:val="auto"/>
                      <w:szCs w:val="21"/>
                      <w:highlight w:val="none"/>
                      <w:lang w:bidi="ar"/>
                    </w:rPr>
                    <w:t>0.7%</w:t>
                  </w:r>
                </w:p>
              </w:tc>
            </w:tr>
            <w:tr w14:paraId="6642C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6" w:hRule="atLeast"/>
                <w:jc w:val="center"/>
              </w:trPr>
              <w:tc>
                <w:tcPr>
                  <w:tcW w:w="3385" w:type="dxa"/>
                  <w:tcMar>
                    <w:top w:w="30" w:type="dxa"/>
                    <w:left w:w="150" w:type="dxa"/>
                    <w:bottom w:w="30" w:type="dxa"/>
                    <w:right w:w="150" w:type="dxa"/>
                  </w:tcMar>
                  <w:vAlign w:val="center"/>
                </w:tcPr>
                <w:p w14:paraId="51B046FF">
                  <w:pPr>
                    <w:adjustRightInd/>
                    <w:jc w:val="center"/>
                    <w:rPr>
                      <w:rFonts w:ascii="宋体" w:hAnsi="宋体" w:cs="宋体"/>
                      <w:color w:val="auto"/>
                      <w:szCs w:val="21"/>
                      <w:highlight w:val="none"/>
                      <w:lang w:bidi="ar"/>
                    </w:rPr>
                  </w:pPr>
                  <w:r>
                    <w:rPr>
                      <w:rFonts w:hint="eastAsia" w:ascii="宋体" w:hAnsi="宋体" w:cs="宋体"/>
                      <w:color w:val="auto"/>
                      <w:szCs w:val="21"/>
                      <w:highlight w:val="none"/>
                      <w:lang w:bidi="ar"/>
                    </w:rPr>
                    <w:t>500-1000</w:t>
                  </w:r>
                </w:p>
              </w:tc>
              <w:tc>
                <w:tcPr>
                  <w:tcW w:w="830" w:type="dxa"/>
                  <w:tcMar>
                    <w:top w:w="30" w:type="dxa"/>
                    <w:left w:w="150" w:type="dxa"/>
                    <w:bottom w:w="30" w:type="dxa"/>
                    <w:right w:w="150" w:type="dxa"/>
                  </w:tcMar>
                  <w:vAlign w:val="center"/>
                </w:tcPr>
                <w:p w14:paraId="57A2F66D">
                  <w:pPr>
                    <w:adjustRightInd/>
                    <w:jc w:val="center"/>
                    <w:rPr>
                      <w:rFonts w:ascii="宋体" w:hAnsi="宋体" w:cs="宋体"/>
                      <w:color w:val="auto"/>
                      <w:szCs w:val="21"/>
                      <w:highlight w:val="none"/>
                      <w:lang w:bidi="ar"/>
                    </w:rPr>
                  </w:pPr>
                  <w:r>
                    <w:rPr>
                      <w:rFonts w:hint="eastAsia" w:ascii="宋体" w:hAnsi="宋体" w:cs="宋体"/>
                      <w:color w:val="auto"/>
                      <w:szCs w:val="21"/>
                      <w:highlight w:val="none"/>
                      <w:lang w:bidi="ar"/>
                    </w:rPr>
                    <w:t>0.8%</w:t>
                  </w:r>
                </w:p>
              </w:tc>
              <w:tc>
                <w:tcPr>
                  <w:tcW w:w="850" w:type="dxa"/>
                  <w:tcMar>
                    <w:top w:w="30" w:type="dxa"/>
                    <w:left w:w="150" w:type="dxa"/>
                    <w:bottom w:w="30" w:type="dxa"/>
                    <w:right w:w="150" w:type="dxa"/>
                  </w:tcMar>
                  <w:vAlign w:val="center"/>
                </w:tcPr>
                <w:p w14:paraId="137EEB07">
                  <w:pPr>
                    <w:adjustRightInd/>
                    <w:jc w:val="center"/>
                    <w:rPr>
                      <w:rFonts w:ascii="宋体" w:hAnsi="宋体" w:cs="宋体"/>
                      <w:color w:val="auto"/>
                      <w:szCs w:val="21"/>
                      <w:highlight w:val="none"/>
                      <w:lang w:bidi="ar"/>
                    </w:rPr>
                  </w:pPr>
                  <w:r>
                    <w:rPr>
                      <w:rFonts w:hint="eastAsia" w:ascii="宋体" w:hAnsi="宋体" w:cs="宋体"/>
                      <w:color w:val="auto"/>
                      <w:szCs w:val="21"/>
                      <w:highlight w:val="none"/>
                      <w:lang w:bidi="ar"/>
                    </w:rPr>
                    <w:t>0.45%</w:t>
                  </w:r>
                </w:p>
              </w:tc>
              <w:tc>
                <w:tcPr>
                  <w:tcW w:w="884" w:type="dxa"/>
                  <w:tcMar>
                    <w:top w:w="30" w:type="dxa"/>
                    <w:left w:w="150" w:type="dxa"/>
                    <w:bottom w:w="30" w:type="dxa"/>
                    <w:right w:w="150" w:type="dxa"/>
                  </w:tcMar>
                  <w:vAlign w:val="center"/>
                </w:tcPr>
                <w:p w14:paraId="342E22D7">
                  <w:pPr>
                    <w:adjustRightInd/>
                    <w:jc w:val="center"/>
                    <w:rPr>
                      <w:rFonts w:ascii="宋体" w:hAnsi="宋体" w:cs="宋体"/>
                      <w:color w:val="auto"/>
                      <w:szCs w:val="21"/>
                      <w:highlight w:val="none"/>
                      <w:lang w:bidi="ar"/>
                    </w:rPr>
                  </w:pPr>
                  <w:r>
                    <w:rPr>
                      <w:rFonts w:hint="eastAsia" w:ascii="宋体" w:hAnsi="宋体" w:cs="宋体"/>
                      <w:color w:val="auto"/>
                      <w:szCs w:val="21"/>
                      <w:highlight w:val="none"/>
                      <w:lang w:bidi="ar"/>
                    </w:rPr>
                    <w:t>0.55%</w:t>
                  </w:r>
                </w:p>
              </w:tc>
            </w:tr>
            <w:tr w14:paraId="328DA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6" w:hRule="atLeast"/>
                <w:jc w:val="center"/>
              </w:trPr>
              <w:tc>
                <w:tcPr>
                  <w:tcW w:w="3385" w:type="dxa"/>
                  <w:tcMar>
                    <w:top w:w="30" w:type="dxa"/>
                    <w:left w:w="150" w:type="dxa"/>
                    <w:bottom w:w="30" w:type="dxa"/>
                    <w:right w:w="150" w:type="dxa"/>
                  </w:tcMar>
                  <w:vAlign w:val="center"/>
                </w:tcPr>
                <w:p w14:paraId="0424A2E8">
                  <w:pPr>
                    <w:adjustRightInd/>
                    <w:jc w:val="center"/>
                    <w:rPr>
                      <w:rFonts w:ascii="宋体" w:hAnsi="宋体" w:cs="宋体"/>
                      <w:color w:val="auto"/>
                      <w:szCs w:val="21"/>
                      <w:highlight w:val="none"/>
                      <w:lang w:bidi="ar"/>
                    </w:rPr>
                  </w:pPr>
                  <w:r>
                    <w:rPr>
                      <w:rFonts w:hint="eastAsia" w:ascii="宋体" w:hAnsi="宋体" w:cs="宋体"/>
                      <w:color w:val="auto"/>
                      <w:szCs w:val="21"/>
                      <w:highlight w:val="none"/>
                      <w:lang w:bidi="ar"/>
                    </w:rPr>
                    <w:t>1000-5000</w:t>
                  </w:r>
                </w:p>
              </w:tc>
              <w:tc>
                <w:tcPr>
                  <w:tcW w:w="830" w:type="dxa"/>
                  <w:tcMar>
                    <w:top w:w="30" w:type="dxa"/>
                    <w:left w:w="150" w:type="dxa"/>
                    <w:bottom w:w="30" w:type="dxa"/>
                    <w:right w:w="150" w:type="dxa"/>
                  </w:tcMar>
                  <w:vAlign w:val="center"/>
                </w:tcPr>
                <w:p w14:paraId="06AC9DB4">
                  <w:pPr>
                    <w:adjustRightInd/>
                    <w:jc w:val="center"/>
                    <w:rPr>
                      <w:rFonts w:ascii="宋体" w:hAnsi="宋体" w:cs="宋体"/>
                      <w:color w:val="auto"/>
                      <w:szCs w:val="21"/>
                      <w:highlight w:val="none"/>
                      <w:lang w:bidi="ar"/>
                    </w:rPr>
                  </w:pPr>
                  <w:r>
                    <w:rPr>
                      <w:rFonts w:hint="eastAsia" w:ascii="宋体" w:hAnsi="宋体" w:cs="宋体"/>
                      <w:color w:val="auto"/>
                      <w:szCs w:val="21"/>
                      <w:highlight w:val="none"/>
                      <w:lang w:bidi="ar"/>
                    </w:rPr>
                    <w:t>0.5%</w:t>
                  </w:r>
                </w:p>
              </w:tc>
              <w:tc>
                <w:tcPr>
                  <w:tcW w:w="850" w:type="dxa"/>
                  <w:tcMar>
                    <w:top w:w="30" w:type="dxa"/>
                    <w:left w:w="150" w:type="dxa"/>
                    <w:bottom w:w="30" w:type="dxa"/>
                    <w:right w:w="150" w:type="dxa"/>
                  </w:tcMar>
                  <w:vAlign w:val="center"/>
                </w:tcPr>
                <w:p w14:paraId="1405AE5F">
                  <w:pPr>
                    <w:adjustRightInd/>
                    <w:jc w:val="center"/>
                    <w:rPr>
                      <w:rFonts w:ascii="宋体" w:hAnsi="宋体" w:cs="宋体"/>
                      <w:color w:val="auto"/>
                      <w:szCs w:val="21"/>
                      <w:highlight w:val="none"/>
                      <w:lang w:bidi="ar"/>
                    </w:rPr>
                  </w:pPr>
                  <w:r>
                    <w:rPr>
                      <w:rFonts w:hint="eastAsia" w:ascii="宋体" w:hAnsi="宋体" w:cs="宋体"/>
                      <w:color w:val="auto"/>
                      <w:szCs w:val="21"/>
                      <w:highlight w:val="none"/>
                      <w:lang w:bidi="ar"/>
                    </w:rPr>
                    <w:t>0.25%</w:t>
                  </w:r>
                </w:p>
              </w:tc>
              <w:tc>
                <w:tcPr>
                  <w:tcW w:w="884" w:type="dxa"/>
                  <w:tcMar>
                    <w:top w:w="30" w:type="dxa"/>
                    <w:left w:w="150" w:type="dxa"/>
                    <w:bottom w:w="30" w:type="dxa"/>
                    <w:right w:w="150" w:type="dxa"/>
                  </w:tcMar>
                  <w:vAlign w:val="center"/>
                </w:tcPr>
                <w:p w14:paraId="3519FEE9">
                  <w:pPr>
                    <w:adjustRightInd/>
                    <w:jc w:val="center"/>
                    <w:rPr>
                      <w:rFonts w:ascii="宋体" w:hAnsi="宋体" w:cs="宋体"/>
                      <w:color w:val="auto"/>
                      <w:szCs w:val="21"/>
                      <w:highlight w:val="none"/>
                      <w:lang w:bidi="ar"/>
                    </w:rPr>
                  </w:pPr>
                  <w:r>
                    <w:rPr>
                      <w:rFonts w:hint="eastAsia" w:ascii="宋体" w:hAnsi="宋体" w:cs="宋体"/>
                      <w:color w:val="auto"/>
                      <w:szCs w:val="21"/>
                      <w:highlight w:val="none"/>
                      <w:lang w:bidi="ar"/>
                    </w:rPr>
                    <w:t>0.35%</w:t>
                  </w:r>
                </w:p>
              </w:tc>
            </w:tr>
          </w:tbl>
          <w:p w14:paraId="66F0D2A9">
            <w:pPr>
              <w:rPr>
                <w:rFonts w:ascii="宋体" w:hAnsi="宋体" w:cs="Arial"/>
                <w:color w:val="auto"/>
                <w:kern w:val="0"/>
                <w:sz w:val="24"/>
                <w:highlight w:val="none"/>
              </w:rPr>
            </w:pPr>
            <w:r>
              <w:rPr>
                <w:rFonts w:hint="eastAsia" w:ascii="宋体" w:hAnsi="宋体" w:cs="Arial"/>
                <w:color w:val="auto"/>
                <w:kern w:val="0"/>
                <w:sz w:val="24"/>
                <w:highlight w:val="none"/>
              </w:rPr>
              <w:t>备注：（1）招标代理服务费按差额定率累进法计算；（2）招标代理服务费只收现金、银行票汇款、电汇款。汇入以下账户：</w:t>
            </w:r>
          </w:p>
          <w:p w14:paraId="31D05996">
            <w:pPr>
              <w:rPr>
                <w:rFonts w:ascii="宋体" w:hAnsi="宋体" w:cs="Arial"/>
                <w:color w:val="auto"/>
                <w:kern w:val="0"/>
                <w:sz w:val="24"/>
                <w:highlight w:val="none"/>
              </w:rPr>
            </w:pPr>
            <w:r>
              <w:rPr>
                <w:rFonts w:hint="eastAsia" w:ascii="宋体" w:hAnsi="宋体" w:cs="Arial"/>
                <w:color w:val="auto"/>
                <w:kern w:val="0"/>
                <w:sz w:val="24"/>
                <w:highlight w:val="none"/>
              </w:rPr>
              <w:t>开户银行： 宁波银行科技支行</w:t>
            </w:r>
          </w:p>
          <w:p w14:paraId="76C67B5A">
            <w:pPr>
              <w:rPr>
                <w:rFonts w:ascii="宋体" w:hAnsi="宋体" w:cs="Arial"/>
                <w:color w:val="auto"/>
                <w:kern w:val="0"/>
                <w:sz w:val="24"/>
                <w:highlight w:val="none"/>
              </w:rPr>
            </w:pPr>
            <w:r>
              <w:rPr>
                <w:rFonts w:hint="eastAsia" w:ascii="宋体" w:hAnsi="宋体" w:cs="Arial"/>
                <w:color w:val="auto"/>
                <w:kern w:val="0"/>
                <w:sz w:val="24"/>
                <w:highlight w:val="none"/>
              </w:rPr>
              <w:t>账    号： 31010122000005488</w:t>
            </w:r>
          </w:p>
          <w:p w14:paraId="3DBC1E5F">
            <w:pPr>
              <w:rPr>
                <w:rFonts w:ascii="宋体" w:hAnsi="宋体" w:cs="Arial"/>
                <w:color w:val="auto"/>
                <w:kern w:val="0"/>
                <w:sz w:val="24"/>
                <w:highlight w:val="none"/>
              </w:rPr>
            </w:pPr>
            <w:r>
              <w:rPr>
                <w:rFonts w:hint="eastAsia" w:ascii="宋体" w:hAnsi="宋体" w:cs="Arial"/>
                <w:color w:val="auto"/>
                <w:kern w:val="0"/>
                <w:sz w:val="24"/>
                <w:highlight w:val="none"/>
              </w:rPr>
              <w:t>户    名： 宁波中基国际招标有限公司</w:t>
            </w:r>
          </w:p>
          <w:p w14:paraId="0B64E60C">
            <w:pPr>
              <w:rPr>
                <w:rFonts w:cs="Arial" w:asciiTheme="minorEastAsia" w:hAnsiTheme="minorEastAsia" w:eastAsiaTheme="minorEastAsia"/>
                <w:color w:val="auto"/>
                <w:kern w:val="0"/>
                <w:sz w:val="24"/>
                <w:highlight w:val="none"/>
              </w:rPr>
            </w:pPr>
            <w:r>
              <w:rPr>
                <w:rFonts w:hint="eastAsia" w:ascii="宋体" w:hAnsi="宋体" w:cs="Arial"/>
                <w:color w:val="auto"/>
                <w:kern w:val="0"/>
                <w:sz w:val="24"/>
                <w:highlight w:val="none"/>
              </w:rPr>
              <w:t>注：中标人接到本公司通知后5个工作日内向本采购代理机构领取中标通知书（根据中标人需求可采用邮寄或到采购代理机构现场领取）。</w:t>
            </w:r>
          </w:p>
        </w:tc>
      </w:tr>
    </w:tbl>
    <w:p w14:paraId="316ED321">
      <w:pPr>
        <w:snapToGrid w:val="0"/>
        <w:spacing w:line="360" w:lineRule="auto"/>
        <w:jc w:val="center"/>
        <w:rPr>
          <w:rFonts w:ascii="宋体" w:hAnsi="宋体" w:cs="宋体"/>
          <w:b/>
          <w:color w:val="auto"/>
          <w:sz w:val="32"/>
          <w:szCs w:val="20"/>
          <w:highlight w:val="none"/>
        </w:rPr>
      </w:pPr>
    </w:p>
    <w:bookmarkEnd w:id="5"/>
    <w:p w14:paraId="5E9D8DC6">
      <w:pPr>
        <w:adjustRightInd/>
        <w:spacing w:line="360" w:lineRule="auto"/>
        <w:ind w:firstLine="3845" w:firstLineChars="1197"/>
        <w:outlineLvl w:val="1"/>
        <w:rPr>
          <w:rFonts w:ascii="宋体" w:hAnsi="宋体" w:cs="宋体"/>
          <w:b/>
          <w:color w:val="auto"/>
          <w:sz w:val="32"/>
          <w:szCs w:val="20"/>
          <w:highlight w:val="none"/>
        </w:rPr>
      </w:pPr>
      <w:bookmarkStart w:id="8" w:name="第三部分"/>
      <w:bookmarkStart w:id="9" w:name="_Toc164416483"/>
      <w:r>
        <w:rPr>
          <w:rFonts w:hint="eastAsia" w:ascii="宋体" w:hAnsi="宋体" w:cs="宋体"/>
          <w:b/>
          <w:color w:val="auto"/>
          <w:sz w:val="32"/>
          <w:szCs w:val="20"/>
          <w:highlight w:val="none"/>
        </w:rPr>
        <w:t>一、总则</w:t>
      </w:r>
    </w:p>
    <w:p w14:paraId="5A7E57A5">
      <w:pPr>
        <w:snapToGrid w:val="0"/>
        <w:spacing w:line="360" w:lineRule="auto"/>
        <w:ind w:firstLine="361" w:firstLineChars="150"/>
        <w:jc w:val="left"/>
        <w:rPr>
          <w:rFonts w:ascii="宋体" w:hAnsi="宋体" w:cs="宋体"/>
          <w:b/>
          <w:color w:val="auto"/>
          <w:sz w:val="24"/>
          <w:highlight w:val="none"/>
        </w:rPr>
      </w:pPr>
      <w:r>
        <w:rPr>
          <w:rFonts w:hint="eastAsia" w:ascii="宋体" w:hAnsi="宋体" w:cs="宋体"/>
          <w:b/>
          <w:color w:val="auto"/>
          <w:sz w:val="24"/>
          <w:highlight w:val="none"/>
        </w:rPr>
        <w:t>1. 适用范围</w:t>
      </w:r>
    </w:p>
    <w:p w14:paraId="2130632B">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本招标文件适用于该项目的招标、投标、开标、资格审查及信用信息查询、评标、定标、合同、验收等行为（法律、法规另有规定的，从其规定）。</w:t>
      </w:r>
    </w:p>
    <w:p w14:paraId="1D3623E5">
      <w:pPr>
        <w:adjustRightInd/>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   2.定义</w:t>
      </w:r>
    </w:p>
    <w:p w14:paraId="35F72BC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 “采购人”系指招标公告中载明的本项目的采购人。</w:t>
      </w:r>
    </w:p>
    <w:p w14:paraId="20E822C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 “采购代理机构”系指招标公告中载明的本项目的采购代理机构。</w:t>
      </w:r>
    </w:p>
    <w:p w14:paraId="73FF20B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 “投标人”系指是指响应招标、参加投标竞争的法人、其他组织或者自然人。</w:t>
      </w:r>
    </w:p>
    <w:p w14:paraId="080A010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 “负责人”系指法人企业的法定负责人，或其他组织为法律、行政法规规定代表单位行使职权的主要负责人，或自然人本人。</w:t>
      </w:r>
    </w:p>
    <w:p w14:paraId="43F4B78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108AC4C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2.6“电子交易平台”系指本项目政府采购活动所依托的政府采购云平台（https://www.zcygov.cn/）。</w:t>
      </w:r>
    </w:p>
    <w:p w14:paraId="7C7E26F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 “▲” 系指实质性要求条款，“</w:t>
      </w:r>
      <w:sdt>
        <w:sdtPr>
          <w:rPr>
            <w:rFonts w:hint="eastAsia" w:ascii="宋体" w:hAnsi="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sz w:val="24"/>
          <w:highlight w:val="none"/>
        </w:rPr>
        <w:t>” 系指适用本项目的要求，“</w:t>
      </w:r>
      <w:sdt>
        <w:sdtPr>
          <w:rPr>
            <w:rFonts w:hint="eastAsia" w:ascii="宋体" w:hAnsi="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 系指不适用本项目的要求。</w:t>
      </w:r>
    </w:p>
    <w:p w14:paraId="7DB0FFA9">
      <w:pPr>
        <w:spacing w:line="360" w:lineRule="auto"/>
        <w:ind w:firstLine="241" w:firstLineChars="100"/>
        <w:rPr>
          <w:rFonts w:ascii="宋体" w:hAnsi="宋体" w:cs="宋体"/>
          <w:b/>
          <w:color w:val="auto"/>
          <w:sz w:val="24"/>
          <w:highlight w:val="none"/>
        </w:rPr>
      </w:pPr>
      <w:r>
        <w:rPr>
          <w:rFonts w:hint="eastAsia" w:ascii="宋体" w:hAnsi="宋体" w:cs="宋体"/>
          <w:b/>
          <w:color w:val="auto"/>
          <w:sz w:val="24"/>
          <w:highlight w:val="none"/>
        </w:rPr>
        <w:t>3.</w:t>
      </w:r>
      <w:r>
        <w:rPr>
          <w:rFonts w:hint="eastAsia" w:ascii="宋体" w:hAnsi="宋体" w:cs="宋体"/>
          <w:color w:val="auto"/>
          <w:highlight w:val="none"/>
        </w:rPr>
        <w:t xml:space="preserve"> </w:t>
      </w:r>
      <w:r>
        <w:rPr>
          <w:rFonts w:hint="eastAsia" w:ascii="宋体" w:hAnsi="宋体" w:cs="宋体"/>
          <w:b/>
          <w:color w:val="auto"/>
          <w:sz w:val="24"/>
          <w:highlight w:val="none"/>
        </w:rPr>
        <w:t>采购项目需要落实的政府采购政策</w:t>
      </w:r>
    </w:p>
    <w:p w14:paraId="6ADE10B7">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3.1 支持绿色发展</w:t>
      </w:r>
    </w:p>
    <w:p w14:paraId="59D8EB04">
      <w:pPr>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3.</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3C94080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.2 修缮、装修类项目采购建材的，采购人应将绿色建筑和绿色建材性能、指标等作为实质性条件纳入招标文件和合同。</w:t>
      </w:r>
    </w:p>
    <w:p w14:paraId="3E0A902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.3为助力打好污染防治攻坚战，推广使用绿色包装，政府采购货物、工程和服务项目中涉及商品包装和快递包装的，</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0F881ACC">
      <w:pPr>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3.</w:t>
      </w:r>
      <w:r>
        <w:rPr>
          <w:rFonts w:hint="eastAsia" w:ascii="宋体" w:hAnsi="宋体" w:cs="宋体"/>
          <w:color w:val="auto"/>
          <w:sz w:val="24"/>
          <w:highlight w:val="none"/>
          <w:lang w:val="en-US" w:eastAsia="zh-CN"/>
        </w:rPr>
        <w:t>1</w:t>
      </w:r>
      <w:r>
        <w:rPr>
          <w:rFonts w:ascii="宋体" w:hAnsi="宋体" w:cs="宋体"/>
          <w:color w:val="auto"/>
          <w:sz w:val="24"/>
          <w:highlight w:val="none"/>
        </w:rPr>
        <w:t xml:space="preserve">.4 </w:t>
      </w:r>
      <w:r>
        <w:rPr>
          <w:rFonts w:hint="eastAsia" w:ascii="宋体" w:hAnsi="宋体" w:cs="宋体"/>
          <w:color w:val="auto"/>
          <w:sz w:val="24"/>
          <w:highlight w:val="none"/>
        </w:rPr>
        <w:t>鼓励</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在参加政府采购过程中开展绿色设计、选择绿色材料、打造绿色制造工艺、开展绿色运输、做好废弃产品回收处理，实现产品全周期的绿色环保。鼓励采购单位对其提高预付款比例、免收履约保证金。</w:t>
      </w:r>
    </w:p>
    <w:p w14:paraId="20004B94">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支持中小企业发展</w:t>
      </w:r>
    </w:p>
    <w:p w14:paraId="50C4475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.1中小企业，是指在中华人民共和国境内依法设立，依据国务院批准的中小企业划分标准确定的中型企业、小型企业和微型企业，但与大企业的负责人为同一人，或者与大企业存在直接控股、管理关系的除外。</w:t>
      </w:r>
    </w:p>
    <w:p w14:paraId="283F426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14:paraId="6E2D3486">
      <w:pPr>
        <w:widowControl/>
        <w:spacing w:line="360" w:lineRule="auto"/>
        <w:ind w:firstLine="480" w:firstLineChars="200"/>
        <w:jc w:val="left"/>
        <w:rPr>
          <w:rFonts w:ascii="宋体" w:hAnsi="宋体" w:cs="宋体"/>
          <w:color w:val="auto"/>
          <w:kern w:val="0"/>
          <w:sz w:val="24"/>
          <w:highlight w:val="none"/>
        </w:rPr>
      </w:pPr>
      <w:r>
        <w:rPr>
          <w:rFonts w:ascii="宋体" w:hAnsi="宋体" w:cs="宋体"/>
          <w:bCs/>
          <w:color w:val="auto"/>
          <w:sz w:val="24"/>
          <w:highlight w:val="none"/>
        </w:rPr>
        <w:t>3.</w:t>
      </w:r>
      <w:r>
        <w:rPr>
          <w:rFonts w:hint="eastAsia" w:ascii="宋体" w:hAnsi="宋体" w:cs="宋体"/>
          <w:bCs/>
          <w:color w:val="auto"/>
          <w:sz w:val="24"/>
          <w:highlight w:val="none"/>
          <w:lang w:val="en-US" w:eastAsia="zh-CN"/>
        </w:rPr>
        <w:t>2</w:t>
      </w:r>
      <w:r>
        <w:rPr>
          <w:rFonts w:ascii="宋体" w:hAnsi="宋体" w:cs="宋体"/>
          <w:bCs/>
          <w:color w:val="auto"/>
          <w:sz w:val="24"/>
          <w:highlight w:val="none"/>
        </w:rPr>
        <w:t>.2</w:t>
      </w:r>
      <w:r>
        <w:rPr>
          <w:rFonts w:hint="eastAsia" w:ascii="宋体" w:hAnsi="宋体" w:cs="宋体"/>
          <w:color w:val="auto"/>
          <w:kern w:val="0"/>
          <w:sz w:val="24"/>
          <w:highlight w:val="none"/>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14:paraId="11486B25">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14:paraId="5544AC4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3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4B68143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.4符合《关于促进残疾人就业政府采购政策的通知》（财库〔2017〕141号）规定的条件并提供《残疾人福利性单位声明函》（附件1）的残疾人福利性单位视同小型、微型企业；</w:t>
      </w:r>
    </w:p>
    <w:p w14:paraId="3B9DFD5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5符合《关于政府采购支持监狱企业发展有关问题的通知》（财库[2014]68号）规定的监狱企业并提供由省级以上监狱管理局、戒毒管理局（含新疆生产建设兵团）出具的属于监狱企业证明文件的，视同为小型、微型企业。</w:t>
      </w:r>
    </w:p>
    <w:p w14:paraId="0A09CD5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4C332E8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.7中小企业享受扶持政策获得政府采购合同的，小微企业不得将合同分包给大中型企业，中型企业不得将合同分包给大型企业。</w:t>
      </w:r>
    </w:p>
    <w:p w14:paraId="2E7640BA">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sz w:val="24"/>
          <w:highlight w:val="none"/>
          <w:lang w:val="en-US" w:eastAsia="zh-CN"/>
        </w:rPr>
        <w:t>3</w:t>
      </w:r>
      <w:r>
        <w:rPr>
          <w:rFonts w:hint="eastAsia" w:ascii="宋体" w:hAnsi="宋体" w:cs="宋体"/>
          <w:bCs/>
          <w:color w:val="auto"/>
          <w:sz w:val="24"/>
          <w:highlight w:val="none"/>
        </w:rPr>
        <w:t>支持创新发展</w:t>
      </w:r>
    </w:p>
    <w:p w14:paraId="1A62DF8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.1 采购人优先采购被认定为首台套产品和“制造精品”的自主创新产品。</w:t>
      </w:r>
    </w:p>
    <w:p w14:paraId="579822B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.2首台套产品被纳入《首台套产品推广应用指导目录》之日起</w:t>
      </w:r>
      <w:r>
        <w:rPr>
          <w:rFonts w:ascii="宋体" w:hAnsi="宋体" w:cs="宋体"/>
          <w:color w:val="auto"/>
          <w:sz w:val="24"/>
          <w:highlight w:val="none"/>
        </w:rPr>
        <w:t>3</w:t>
      </w:r>
      <w:r>
        <w:rPr>
          <w:rFonts w:hint="eastAsia" w:ascii="宋体" w:hAnsi="宋体" w:cs="宋体"/>
          <w:color w:val="auto"/>
          <w:sz w:val="24"/>
          <w:highlight w:val="none"/>
        </w:rPr>
        <w:t>年内，以及产品核心技术高于国内领先水平，并具有明晰自主知识产权的“制造精品”产品，自认定之日起2年内视同已具备相应销售业绩，参加政府采购活动时业绩分值为满分。</w:t>
      </w:r>
    </w:p>
    <w:p w14:paraId="75B1A0DE">
      <w:pPr>
        <w:spacing w:line="360" w:lineRule="auto"/>
        <w:rPr>
          <w:rFonts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平等对待内外资企业和符合条件的破产重整企业</w:t>
      </w:r>
    </w:p>
    <w:p w14:paraId="10A7DCD2">
      <w:pPr>
        <w:spacing w:line="360" w:lineRule="auto"/>
        <w:ind w:firstLine="240" w:firstLineChars="100"/>
        <w:rPr>
          <w:rFonts w:ascii="宋体" w:hAnsi="宋体" w:cs="宋体"/>
          <w:b/>
          <w:color w:val="auto"/>
          <w:sz w:val="24"/>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r>
        <w:rPr>
          <w:rFonts w:hint="eastAsia" w:ascii="宋体" w:hAnsi="宋体" w:cs="宋体"/>
          <w:color w:val="auto"/>
          <w:sz w:val="24"/>
          <w:highlight w:val="none"/>
        </w:rPr>
        <w:cr/>
      </w:r>
      <w:r>
        <w:rPr>
          <w:rFonts w:hint="eastAsia" w:ascii="宋体" w:hAnsi="宋体" w:cs="宋体"/>
          <w:color w:val="auto"/>
          <w:sz w:val="24"/>
          <w:highlight w:val="none"/>
        </w:rPr>
        <w:t xml:space="preserve">  </w:t>
      </w:r>
      <w:r>
        <w:rPr>
          <w:rFonts w:hint="eastAsia" w:ascii="宋体" w:hAnsi="宋体" w:cs="宋体"/>
          <w:b/>
          <w:color w:val="auto"/>
          <w:sz w:val="24"/>
          <w:highlight w:val="none"/>
        </w:rPr>
        <w:t>4. 询问、质疑、投诉</w:t>
      </w:r>
    </w:p>
    <w:p w14:paraId="6C2A8162">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4.1在线询问、质疑、投诉。根据《浙江省财政厅关于进一步促进政府采购公平竞争打造最优营商环境的通知》（浙财采监（2021）22号）文件关于“健全行政裁决机制”要求，鼓励投标人在线提起询问，路径为：政采云－项目采购－询问质疑投诉－询问列表；鼓励投标人在线提起质疑，路径为：政采云－项目采购－询问质疑投诉－质疑列表。质疑投标人对在线质疑答复不满意的，可在线提起投诉，路径为：浙江政府服务网－政府采购投诉处理－在线办理。</w:t>
      </w:r>
    </w:p>
    <w:p w14:paraId="1B2301AE">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4.2供应商询问</w:t>
      </w:r>
    </w:p>
    <w:p w14:paraId="6A7F89D4">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CA93012">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4.3供应商质疑</w:t>
      </w:r>
    </w:p>
    <w:p w14:paraId="4E053A31">
      <w:pPr>
        <w:pStyle w:val="35"/>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.1提出质疑的供应商应当是参与所质疑项目采购活动的供应商。潜在供应商已依法获取其可质疑的招标文件的，可以对该文件提出质疑。</w:t>
      </w:r>
    </w:p>
    <w:p w14:paraId="59D5BCAB">
      <w:pPr>
        <w:pStyle w:val="35"/>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768049BD">
      <w:pPr>
        <w:pStyle w:val="7"/>
        <w:spacing w:line="360" w:lineRule="auto"/>
        <w:ind w:firstLine="480" w:firstLineChars="200"/>
        <w:rPr>
          <w:rFonts w:hAnsi="宋体" w:cs="宋体"/>
          <w:snapToGrid/>
          <w:color w:val="auto"/>
          <w:kern w:val="2"/>
          <w:sz w:val="24"/>
          <w:highlight w:val="none"/>
        </w:rPr>
      </w:pPr>
      <w:r>
        <w:rPr>
          <w:rFonts w:hint="eastAsia" w:hAnsi="宋体" w:cs="宋体"/>
          <w:snapToGrid/>
          <w:color w:val="auto"/>
          <w:kern w:val="2"/>
          <w:sz w:val="24"/>
          <w:highlight w:val="none"/>
        </w:rPr>
        <w:t>4.3.2.1对招标文件提出质疑的，质疑期限为供应商获得招标文件之日或者招标文件公告期限届满之日起计算。</w:t>
      </w:r>
    </w:p>
    <w:p w14:paraId="5420BC5B">
      <w:pPr>
        <w:pStyle w:val="35"/>
        <w:spacing w:line="360" w:lineRule="auto"/>
        <w:ind w:left="479" w:leftChars="228"/>
        <w:rPr>
          <w:rFonts w:hAnsi="宋体" w:cs="宋体"/>
          <w:color w:val="auto"/>
          <w:sz w:val="24"/>
          <w:highlight w:val="none"/>
        </w:rPr>
      </w:pPr>
      <w:r>
        <w:rPr>
          <w:rFonts w:hint="eastAsia" w:hAnsi="宋体" w:cs="宋体"/>
          <w:color w:val="auto"/>
          <w:sz w:val="24"/>
          <w:highlight w:val="none"/>
        </w:rPr>
        <w:t>4.3.2.2对采购过程提出质疑的，质疑期限为各采购程序环节结束之日起计算。4.3.2.3对采购结果提出质疑的，质疑期限自采购结果公告期限届满之日起计算。</w:t>
      </w:r>
    </w:p>
    <w:p w14:paraId="5CB2B04C">
      <w:pPr>
        <w:pStyle w:val="35"/>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4.3.3</w:t>
      </w:r>
      <w:r>
        <w:rPr>
          <w:rFonts w:hint="eastAsia" w:hAnsi="宋体" w:cs="宋体"/>
          <w:color w:val="auto"/>
          <w:sz w:val="24"/>
          <w:highlight w:val="none"/>
        </w:rPr>
        <w:t>供应商提出质疑应当提交质疑函和必要的证明材料。质疑函应当包括下列内容：</w:t>
      </w:r>
    </w:p>
    <w:p w14:paraId="66F5A3B1">
      <w:pPr>
        <w:pStyle w:val="35"/>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4.3.3.1供应商的姓名或者名称、地址、邮编、联系人及联系电话；</w:t>
      </w:r>
    </w:p>
    <w:p w14:paraId="4FFE7020">
      <w:pPr>
        <w:pStyle w:val="35"/>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4.3.3.2质疑项目的名称、编号；</w:t>
      </w:r>
    </w:p>
    <w:p w14:paraId="1D60DC57">
      <w:pPr>
        <w:pStyle w:val="35"/>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4.3.3.3具体、明确的质疑事项和与质疑事项相关的请求；</w:t>
      </w:r>
    </w:p>
    <w:p w14:paraId="0FBE2FAD">
      <w:pPr>
        <w:pStyle w:val="35"/>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4.3.3.4事实依据；</w:t>
      </w:r>
    </w:p>
    <w:p w14:paraId="6DC424D0">
      <w:pPr>
        <w:pStyle w:val="35"/>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4.3.3.5必要的法律依据；</w:t>
      </w:r>
    </w:p>
    <w:p w14:paraId="27C6E42B">
      <w:pPr>
        <w:pStyle w:val="35"/>
        <w:spacing w:line="360" w:lineRule="auto"/>
        <w:ind w:firstLine="960" w:firstLineChars="400"/>
        <w:rPr>
          <w:rFonts w:hAnsi="宋体" w:cs="宋体"/>
          <w:color w:val="auto"/>
          <w:kern w:val="0"/>
          <w:sz w:val="24"/>
          <w:highlight w:val="none"/>
          <w:lang w:val="zh-CN"/>
        </w:rPr>
      </w:pPr>
      <w:r>
        <w:rPr>
          <w:rFonts w:hint="eastAsia" w:hAnsi="宋体" w:cs="宋体"/>
          <w:color w:val="auto"/>
          <w:kern w:val="0"/>
          <w:sz w:val="24"/>
          <w:highlight w:val="none"/>
          <w:lang w:val="zh-CN"/>
        </w:rPr>
        <w:t>4.3.3.6提出质疑的日期。</w:t>
      </w:r>
    </w:p>
    <w:p w14:paraId="1CC5B016">
      <w:pPr>
        <w:pStyle w:val="887"/>
        <w:snapToGrid w:val="0"/>
        <w:spacing w:after="240" w:afterAutospacing="0" w:line="360" w:lineRule="auto"/>
        <w:ind w:firstLine="400"/>
        <w:contextualSpacing/>
        <w:rPr>
          <w:color w:val="auto"/>
          <w:highlight w:val="none"/>
        </w:rPr>
      </w:pPr>
      <w:r>
        <w:rPr>
          <w:rFonts w:hint="eastAsia"/>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1DFD8CDB">
      <w:pPr>
        <w:pStyle w:val="887"/>
        <w:snapToGrid w:val="0"/>
        <w:spacing w:after="240" w:afterAutospacing="0" w:line="360" w:lineRule="auto"/>
        <w:ind w:firstLine="400"/>
        <w:contextualSpacing/>
        <w:rPr>
          <w:color w:val="auto"/>
          <w:highlight w:val="none"/>
        </w:rPr>
      </w:pPr>
      <w:r>
        <w:rPr>
          <w:rFonts w:hint="eastAsia"/>
          <w:color w:val="auto"/>
          <w:highlight w:val="none"/>
        </w:rPr>
        <w:t>质疑函范本及制作说明详见附件2。</w:t>
      </w:r>
    </w:p>
    <w:p w14:paraId="362E5086">
      <w:pPr>
        <w:pStyle w:val="887"/>
        <w:snapToGrid w:val="0"/>
        <w:spacing w:after="240" w:afterAutospacing="0" w:line="360" w:lineRule="auto"/>
        <w:ind w:firstLine="400"/>
        <w:contextualSpacing/>
        <w:rPr>
          <w:color w:val="auto"/>
          <w:highlight w:val="none"/>
        </w:rPr>
      </w:pPr>
      <w:r>
        <w:rPr>
          <w:rFonts w:hint="eastAsia"/>
          <w:color w:val="auto"/>
          <w:highlight w:val="none"/>
        </w:rPr>
        <w:t>4.3.4对同一采购程序环节的质疑，供应商须在法定质疑期内一次性提出。</w:t>
      </w:r>
    </w:p>
    <w:p w14:paraId="1E5C2EA1">
      <w:pPr>
        <w:pStyle w:val="887"/>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.5采购人或者采购代理机构应当在收到供应商的书面质疑后七个工作日内作出答复，并以书面形式通知质疑供应商和其他与质疑处理结果有利害关系的政府采购当事人，但答复的内容不得涉及商业秘密。</w:t>
      </w:r>
      <w:r>
        <w:rPr>
          <w:rFonts w:hint="eastAsia" w:asciiTheme="minorEastAsia" w:hAnsiTheme="minorEastAsia" w:eastAsiaTheme="minorEastAsia"/>
          <w:color w:val="auto"/>
          <w:highlight w:val="none"/>
        </w:rPr>
        <w:t>根据《浙江省财政厅关于进一步加强政府采购公平竞争打造最优营商环境的通知》（浙财采监〔</w:t>
      </w:r>
      <w:r>
        <w:rPr>
          <w:rFonts w:asciiTheme="minorEastAsia" w:hAnsiTheme="minorEastAsia" w:eastAsiaTheme="minorEastAsia"/>
          <w:color w:val="auto"/>
          <w:highlight w:val="none"/>
        </w:rPr>
        <w:t>2021〕</w:t>
      </w:r>
      <w:r>
        <w:rPr>
          <w:rFonts w:hint="eastAsia" w:asciiTheme="minorEastAsia" w:hAnsiTheme="minorEastAsia" w:eastAsiaTheme="minorEastAsia"/>
          <w:color w:val="auto"/>
          <w:highlight w:val="none"/>
        </w:rPr>
        <w:t>22</w:t>
      </w:r>
      <w:r>
        <w:rPr>
          <w:rFonts w:asciiTheme="minorEastAsia" w:hAnsiTheme="minorEastAsia" w:eastAsiaTheme="minorEastAsia"/>
          <w:color w:val="auto"/>
          <w:highlight w:val="none"/>
        </w:rPr>
        <w:t>号）</w:t>
      </w:r>
      <w:r>
        <w:rPr>
          <w:rFonts w:hint="eastAsia" w:asciiTheme="minorEastAsia" w:hAnsiTheme="minorEastAsia" w:eastAsiaTheme="minorEastAsia"/>
          <w:color w:val="auto"/>
          <w:highlight w:val="none"/>
        </w:rPr>
        <w:t>，</w:t>
      </w:r>
      <w:r>
        <w:rPr>
          <w:rFonts w:hint="eastAsia"/>
          <w:color w:val="auto"/>
          <w:highlight w:val="none"/>
        </w:rPr>
        <w:t>采购人或者采购代理机构在质疑回复后5个工作日内，在浙江政府采购网的“其他公告”栏目公开质疑答复，答复内容应当完整。质疑函作为附件上传。</w:t>
      </w:r>
    </w:p>
    <w:p w14:paraId="1EF57985">
      <w:pPr>
        <w:pStyle w:val="887"/>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.6询问或者质疑事项可能影响采购结果的，采购人应当暂停签订合同，已经签订合同的，应当中止履行合同。</w:t>
      </w:r>
    </w:p>
    <w:p w14:paraId="2FDAC76A">
      <w:pPr>
        <w:pStyle w:val="887"/>
        <w:snapToGrid w:val="0"/>
        <w:spacing w:after="240" w:afterAutospacing="0" w:line="360" w:lineRule="auto"/>
        <w:ind w:firstLine="480" w:firstLineChars="200"/>
        <w:contextualSpacing/>
        <w:rPr>
          <w:color w:val="auto"/>
          <w:highlight w:val="none"/>
          <w:lang w:val="zh-CN"/>
        </w:rPr>
      </w:pPr>
      <w:r>
        <w:rPr>
          <w:rFonts w:hint="eastAsia"/>
          <w:color w:val="auto"/>
          <w:highlight w:val="none"/>
          <w:lang w:val="zh-CN"/>
        </w:rPr>
        <w:t>4.4供应商投诉</w:t>
      </w:r>
    </w:p>
    <w:p w14:paraId="395A4854">
      <w:pPr>
        <w:pStyle w:val="887"/>
        <w:snapToGrid w:val="0"/>
        <w:spacing w:after="240" w:afterAutospacing="0" w:line="360" w:lineRule="auto"/>
        <w:ind w:firstLine="400"/>
        <w:contextualSpacing/>
        <w:rPr>
          <w:color w:val="auto"/>
          <w:highlight w:val="none"/>
        </w:rPr>
      </w:pPr>
      <w:r>
        <w:rPr>
          <w:rFonts w:hint="eastAsia"/>
          <w:color w:val="auto"/>
          <w:highlight w:val="none"/>
        </w:rPr>
        <w:t>4.4.1质疑供应商对采购人、采购代理机构的答复不满意或者采购人、采购代理机构未在规定的时间内作出答复的，可以在答复期满后十五个工作日内向同级政府采购监督管理部门提出投诉。</w:t>
      </w:r>
    </w:p>
    <w:p w14:paraId="29365F3F">
      <w:pPr>
        <w:pStyle w:val="887"/>
        <w:snapToGrid w:val="0"/>
        <w:spacing w:after="240" w:afterAutospacing="0" w:line="360" w:lineRule="auto"/>
        <w:ind w:firstLine="400"/>
        <w:contextualSpacing/>
        <w:rPr>
          <w:color w:val="auto"/>
          <w:highlight w:val="none"/>
        </w:rPr>
      </w:pPr>
      <w:r>
        <w:rPr>
          <w:rFonts w:hint="eastAsia"/>
          <w:color w:val="auto"/>
          <w:highlight w:val="none"/>
        </w:rPr>
        <w:t>4.4.</w:t>
      </w:r>
      <w:r>
        <w:rPr>
          <w:rFonts w:hint="eastAsia"/>
          <w:color w:val="auto"/>
          <w:highlight w:val="none"/>
          <w:lang w:val="zh-CN"/>
        </w:rPr>
        <w:t>2</w:t>
      </w:r>
      <w:r>
        <w:rPr>
          <w:rFonts w:hint="eastAsia"/>
          <w:color w:val="auto"/>
          <w:highlight w:val="none"/>
        </w:rPr>
        <w:t>供应商投诉的事项不得超出已质疑事项的范围，基于质疑答复内容提出的投诉事项除外。</w:t>
      </w:r>
    </w:p>
    <w:p w14:paraId="5CCFBBC3">
      <w:pPr>
        <w:pStyle w:val="887"/>
        <w:snapToGrid w:val="0"/>
        <w:spacing w:after="240" w:afterAutospacing="0" w:line="360" w:lineRule="auto"/>
        <w:ind w:firstLine="400"/>
        <w:contextualSpacing/>
        <w:rPr>
          <w:color w:val="auto"/>
          <w:highlight w:val="none"/>
        </w:rPr>
      </w:pPr>
      <w:r>
        <w:rPr>
          <w:rFonts w:hint="eastAsia"/>
          <w:color w:val="auto"/>
          <w:highlight w:val="none"/>
        </w:rPr>
        <w:t>4.4.3供应商投诉应当有明确的请求和必要的证明材料。</w:t>
      </w:r>
    </w:p>
    <w:p w14:paraId="01522132">
      <w:pPr>
        <w:pStyle w:val="887"/>
        <w:snapToGrid w:val="0"/>
        <w:spacing w:after="240" w:afterAutospacing="0" w:line="360" w:lineRule="auto"/>
        <w:ind w:firstLine="400"/>
        <w:contextualSpacing/>
        <w:rPr>
          <w:color w:val="auto"/>
          <w:highlight w:val="none"/>
        </w:rPr>
      </w:pPr>
      <w:r>
        <w:rPr>
          <w:rFonts w:hint="eastAsia"/>
          <w:color w:val="auto"/>
          <w:highlight w:val="none"/>
        </w:rPr>
        <w:t>4.4.4以联合体形式参加政府采购活动的，其投诉应当由组成联合体的所有供应商共同提出。</w:t>
      </w:r>
    </w:p>
    <w:p w14:paraId="217CF5BE">
      <w:pPr>
        <w:pStyle w:val="887"/>
        <w:snapToGrid w:val="0"/>
        <w:spacing w:after="240" w:afterAutospacing="0" w:line="360" w:lineRule="auto"/>
        <w:ind w:firstLine="400"/>
        <w:contextualSpacing/>
        <w:rPr>
          <w:color w:val="auto"/>
          <w:highlight w:val="none"/>
        </w:rPr>
      </w:pPr>
      <w:r>
        <w:rPr>
          <w:rFonts w:hint="eastAsia"/>
          <w:color w:val="auto"/>
          <w:highlight w:val="none"/>
        </w:rPr>
        <w:t>4.4.5投诉材料可寄送至：宁波市政府采购管理办公室，地址：宁波市海曙区中山西路19号，收件人：李老师，电话：0574-89388042。</w:t>
      </w:r>
    </w:p>
    <w:p w14:paraId="3C384AAF">
      <w:pPr>
        <w:pStyle w:val="130"/>
        <w:snapToGrid w:val="0"/>
        <w:spacing w:before="0"/>
        <w:ind w:firstLine="360"/>
        <w:rPr>
          <w:rFonts w:ascii="宋体" w:hAnsi="宋体" w:cs="宋体"/>
          <w:color w:val="auto"/>
          <w:sz w:val="18"/>
          <w:szCs w:val="18"/>
          <w:highlight w:val="none"/>
        </w:rPr>
      </w:pPr>
    </w:p>
    <w:p w14:paraId="61375788">
      <w:pPr>
        <w:adjustRightInd/>
        <w:spacing w:line="360" w:lineRule="auto"/>
        <w:jc w:val="center"/>
        <w:outlineLvl w:val="1"/>
        <w:rPr>
          <w:rFonts w:ascii="宋体" w:hAnsi="宋体" w:cs="宋体"/>
          <w:b/>
          <w:color w:val="auto"/>
          <w:sz w:val="32"/>
          <w:szCs w:val="20"/>
          <w:highlight w:val="none"/>
        </w:rPr>
      </w:pPr>
      <w:r>
        <w:rPr>
          <w:rFonts w:hint="eastAsia" w:ascii="宋体" w:hAnsi="宋体" w:cs="宋体"/>
          <w:b/>
          <w:color w:val="auto"/>
          <w:sz w:val="32"/>
          <w:szCs w:val="20"/>
          <w:highlight w:val="none"/>
        </w:rPr>
        <w:t>二、招标文件的构成、澄清、修改</w:t>
      </w:r>
    </w:p>
    <w:p w14:paraId="6ACE09D0">
      <w:pPr>
        <w:pStyle w:val="35"/>
        <w:spacing w:line="360" w:lineRule="auto"/>
        <w:rPr>
          <w:rFonts w:hAnsi="宋体" w:cs="宋体"/>
          <w:b/>
          <w:color w:val="auto"/>
          <w:sz w:val="24"/>
          <w:szCs w:val="24"/>
          <w:highlight w:val="none"/>
        </w:rPr>
      </w:pPr>
      <w:r>
        <w:rPr>
          <w:rFonts w:hint="eastAsia" w:hAnsi="宋体" w:cs="宋体"/>
          <w:b/>
          <w:color w:val="auto"/>
          <w:sz w:val="24"/>
          <w:szCs w:val="24"/>
          <w:highlight w:val="none"/>
        </w:rPr>
        <w:t>5．招标文件的构成</w:t>
      </w:r>
    </w:p>
    <w:p w14:paraId="25BF9892">
      <w:pPr>
        <w:pStyle w:val="35"/>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5.1 招标文件包括下列文件及附件：</w:t>
      </w:r>
    </w:p>
    <w:p w14:paraId="29AA5841">
      <w:pPr>
        <w:pStyle w:val="35"/>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5.1.1招标公告；</w:t>
      </w:r>
    </w:p>
    <w:p w14:paraId="212F7830">
      <w:pPr>
        <w:pStyle w:val="35"/>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5.1.2投标人须知；</w:t>
      </w:r>
    </w:p>
    <w:p w14:paraId="509205F5">
      <w:pPr>
        <w:pStyle w:val="35"/>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5.1.3采购需求；</w:t>
      </w:r>
    </w:p>
    <w:p w14:paraId="06026E9E">
      <w:pPr>
        <w:pStyle w:val="35"/>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5.1.4评标办法；</w:t>
      </w:r>
    </w:p>
    <w:p w14:paraId="26BD530B">
      <w:pPr>
        <w:pStyle w:val="35"/>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5.1.5拟签订的合同文本；</w:t>
      </w:r>
    </w:p>
    <w:p w14:paraId="65806C1F">
      <w:pPr>
        <w:pStyle w:val="35"/>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highlight w:val="none"/>
        </w:rPr>
        <w:t>5.1.6</w:t>
      </w:r>
      <w:r>
        <w:rPr>
          <w:rFonts w:hint="eastAsia" w:hAnsi="宋体" w:cs="宋体"/>
          <w:color w:val="auto"/>
          <w:sz w:val="24"/>
          <w:szCs w:val="24"/>
          <w:highlight w:val="none"/>
        </w:rPr>
        <w:t>应提交的有关格式范例。</w:t>
      </w:r>
    </w:p>
    <w:p w14:paraId="53FC85E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5.2与本项目有关的</w:t>
      </w:r>
      <w:r>
        <w:rPr>
          <w:rFonts w:hint="eastAsia" w:ascii="宋体" w:hAnsi="宋体" w:cs="宋体"/>
          <w:bCs/>
          <w:color w:val="auto"/>
          <w:sz w:val="24"/>
          <w:highlight w:val="none"/>
        </w:rPr>
        <w:t>澄清或者修改的内容为招标文件的组成部分</w:t>
      </w:r>
      <w:r>
        <w:rPr>
          <w:rFonts w:hint="eastAsia" w:ascii="宋体" w:hAnsi="宋体" w:cs="宋体"/>
          <w:color w:val="auto"/>
          <w:sz w:val="24"/>
          <w:highlight w:val="none"/>
        </w:rPr>
        <w:t>。</w:t>
      </w:r>
    </w:p>
    <w:p w14:paraId="0A7BF581">
      <w:pPr>
        <w:pStyle w:val="35"/>
        <w:spacing w:line="360" w:lineRule="auto"/>
        <w:rPr>
          <w:rFonts w:hAnsi="宋体" w:cs="宋体"/>
          <w:b/>
          <w:color w:val="auto"/>
          <w:sz w:val="24"/>
          <w:szCs w:val="24"/>
          <w:highlight w:val="none"/>
        </w:rPr>
      </w:pPr>
      <w:r>
        <w:rPr>
          <w:rFonts w:hint="eastAsia" w:hAnsi="宋体" w:cs="宋体"/>
          <w:b/>
          <w:color w:val="auto"/>
          <w:sz w:val="24"/>
          <w:szCs w:val="24"/>
          <w:highlight w:val="none"/>
        </w:rPr>
        <w:t>6. 招标文件的澄清、修改</w:t>
      </w:r>
    </w:p>
    <w:p w14:paraId="5A2C1193">
      <w:pPr>
        <w:pStyle w:val="130"/>
        <w:snapToGrid w:val="0"/>
        <w:spacing w:before="0"/>
        <w:ind w:firstLine="480"/>
        <w:rPr>
          <w:rFonts w:ascii="宋体" w:hAnsi="宋体" w:cs="宋体"/>
          <w:color w:val="auto"/>
          <w:highlight w:val="none"/>
        </w:rPr>
      </w:pPr>
      <w:r>
        <w:rPr>
          <w:rFonts w:hint="eastAsia" w:ascii="宋体" w:hAnsi="宋体" w:cs="宋体"/>
          <w:color w:val="auto"/>
          <w:highlight w:val="none"/>
        </w:rPr>
        <w:t>6.1已获取招标文件的潜在投标人，若有问题需要澄清，应于投标截止时间前，以书面形式向采购代理机构提出。</w:t>
      </w:r>
    </w:p>
    <w:p w14:paraId="76F34ADF">
      <w:pPr>
        <w:pStyle w:val="130"/>
        <w:snapToGrid w:val="0"/>
        <w:spacing w:before="0"/>
        <w:ind w:firstLine="480"/>
        <w:rPr>
          <w:rFonts w:ascii="宋体" w:hAnsi="宋体" w:cs="宋体"/>
          <w:color w:val="auto"/>
          <w:highlight w:val="none"/>
        </w:rPr>
      </w:pPr>
      <w:r>
        <w:rPr>
          <w:rFonts w:hint="eastAsia" w:ascii="宋体" w:hAnsi="宋体" w:cs="宋体"/>
          <w:color w:val="auto"/>
          <w:highlight w:val="none"/>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5DA20DAF">
      <w:pPr>
        <w:pStyle w:val="25"/>
        <w:rPr>
          <w:rFonts w:hAnsi="宋体" w:cs="宋体"/>
          <w:color w:val="auto"/>
          <w:sz w:val="18"/>
          <w:szCs w:val="18"/>
          <w:highlight w:val="none"/>
          <w:lang w:val="en-US"/>
        </w:rPr>
      </w:pPr>
      <w:r>
        <w:rPr>
          <w:rFonts w:hint="eastAsia" w:hAnsi="宋体" w:cs="宋体"/>
          <w:color w:val="auto"/>
          <w:szCs w:val="24"/>
          <w:highlight w:val="none"/>
          <w:lang w:val="en-US"/>
        </w:rPr>
        <w:t xml:space="preserve">    </w:t>
      </w:r>
    </w:p>
    <w:p w14:paraId="62C33198">
      <w:pPr>
        <w:adjustRightInd/>
        <w:spacing w:line="360" w:lineRule="auto"/>
        <w:jc w:val="center"/>
        <w:outlineLvl w:val="1"/>
        <w:rPr>
          <w:rFonts w:ascii="宋体" w:hAnsi="宋体" w:cs="宋体"/>
          <w:b/>
          <w:color w:val="auto"/>
          <w:sz w:val="30"/>
          <w:szCs w:val="20"/>
          <w:highlight w:val="none"/>
        </w:rPr>
      </w:pPr>
      <w:r>
        <w:rPr>
          <w:rFonts w:hint="eastAsia" w:ascii="宋体" w:hAnsi="宋体" w:cs="宋体"/>
          <w:b/>
          <w:color w:val="auto"/>
          <w:sz w:val="30"/>
          <w:szCs w:val="20"/>
          <w:highlight w:val="none"/>
        </w:rPr>
        <w:t>三、投标</w:t>
      </w:r>
    </w:p>
    <w:p w14:paraId="29542DEC">
      <w:pPr>
        <w:pStyle w:val="35"/>
        <w:spacing w:line="360" w:lineRule="auto"/>
        <w:rPr>
          <w:rFonts w:hAnsi="宋体" w:cs="宋体"/>
          <w:b/>
          <w:color w:val="auto"/>
          <w:sz w:val="24"/>
          <w:szCs w:val="24"/>
          <w:highlight w:val="none"/>
        </w:rPr>
      </w:pPr>
      <w:r>
        <w:rPr>
          <w:rFonts w:hint="eastAsia" w:hAnsi="宋体" w:cs="宋体"/>
          <w:b/>
          <w:color w:val="auto"/>
          <w:sz w:val="24"/>
          <w:szCs w:val="24"/>
          <w:highlight w:val="none"/>
        </w:rPr>
        <w:t>7. 招标文件的获取</w:t>
      </w:r>
    </w:p>
    <w:p w14:paraId="6CF03715">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详见招标公告中获取招标文件的时间期限、地点、方式及招标文件售价。</w:t>
      </w:r>
    </w:p>
    <w:p w14:paraId="455D142D">
      <w:pPr>
        <w:pStyle w:val="35"/>
        <w:spacing w:line="360" w:lineRule="auto"/>
        <w:rPr>
          <w:rFonts w:hAnsi="宋体" w:cs="宋体"/>
          <w:b/>
          <w:color w:val="auto"/>
          <w:sz w:val="24"/>
          <w:szCs w:val="24"/>
          <w:highlight w:val="none"/>
        </w:rPr>
      </w:pPr>
      <w:r>
        <w:rPr>
          <w:rFonts w:hint="eastAsia" w:hAnsi="宋体" w:cs="宋体"/>
          <w:b/>
          <w:color w:val="auto"/>
          <w:sz w:val="24"/>
          <w:szCs w:val="24"/>
          <w:highlight w:val="none"/>
        </w:rPr>
        <w:t>8.开标前答疑会或现场考察</w:t>
      </w:r>
    </w:p>
    <w:p w14:paraId="321F3B2F">
      <w:pPr>
        <w:pStyle w:val="35"/>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采购人组织潜在投标人现场考察或者召开开标前答疑会的，潜在投标人按第二部分投标人须知前附表的规定参加现场考察或者开标前答疑会。</w:t>
      </w:r>
    </w:p>
    <w:p w14:paraId="3F0AC158">
      <w:pPr>
        <w:pStyle w:val="35"/>
        <w:spacing w:line="360" w:lineRule="auto"/>
        <w:rPr>
          <w:rFonts w:hAnsi="宋体" w:cs="宋体"/>
          <w:b/>
          <w:color w:val="auto"/>
          <w:szCs w:val="24"/>
          <w:highlight w:val="none"/>
        </w:rPr>
      </w:pPr>
      <w:r>
        <w:rPr>
          <w:rFonts w:hint="eastAsia" w:hAnsi="宋体" w:cs="宋体"/>
          <w:b/>
          <w:color w:val="auto"/>
          <w:kern w:val="28"/>
          <w:sz w:val="24"/>
          <w:szCs w:val="24"/>
          <w:highlight w:val="none"/>
        </w:rPr>
        <w:t>9.投标保证金</w:t>
      </w:r>
    </w:p>
    <w:p w14:paraId="73DD7423">
      <w:pPr>
        <w:pStyle w:val="7"/>
        <w:spacing w:line="360" w:lineRule="auto"/>
        <w:ind w:firstLine="470" w:firstLineChars="196"/>
        <w:rPr>
          <w:rFonts w:hAnsi="宋体" w:cs="宋体"/>
          <w:color w:val="auto"/>
          <w:sz w:val="24"/>
          <w:highlight w:val="none"/>
        </w:rPr>
      </w:pPr>
      <w:r>
        <w:rPr>
          <w:rFonts w:hint="eastAsia" w:hAnsi="宋体" w:cs="宋体"/>
          <w:color w:val="auto"/>
          <w:sz w:val="24"/>
          <w:highlight w:val="none"/>
        </w:rPr>
        <w:t>本项目不需缴纳投标保证金。</w:t>
      </w:r>
    </w:p>
    <w:p w14:paraId="733C0412">
      <w:pPr>
        <w:pStyle w:val="35"/>
        <w:spacing w:line="360" w:lineRule="auto"/>
        <w:rPr>
          <w:rFonts w:hAnsi="宋体" w:cs="宋体"/>
          <w:b/>
          <w:color w:val="auto"/>
          <w:sz w:val="24"/>
          <w:szCs w:val="24"/>
          <w:highlight w:val="none"/>
        </w:rPr>
      </w:pPr>
      <w:r>
        <w:rPr>
          <w:rFonts w:hint="eastAsia" w:hAnsi="宋体" w:cs="宋体"/>
          <w:b/>
          <w:color w:val="auto"/>
          <w:sz w:val="24"/>
          <w:szCs w:val="24"/>
          <w:highlight w:val="none"/>
        </w:rPr>
        <w:t>10. 投标文件的语言</w:t>
      </w:r>
    </w:p>
    <w:p w14:paraId="1AFC19D2">
      <w:pPr>
        <w:autoSpaceDE w:val="0"/>
        <w:autoSpaceDN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投标文件及投标人与采购有关的来往通知、函件和文件均应使用中文。</w:t>
      </w:r>
    </w:p>
    <w:p w14:paraId="1E4B3F1C">
      <w:pPr>
        <w:pStyle w:val="35"/>
        <w:spacing w:line="360" w:lineRule="auto"/>
        <w:rPr>
          <w:rFonts w:hAnsi="宋体" w:cs="宋体"/>
          <w:b/>
          <w:color w:val="auto"/>
          <w:sz w:val="24"/>
          <w:szCs w:val="24"/>
          <w:highlight w:val="none"/>
        </w:rPr>
      </w:pPr>
      <w:r>
        <w:rPr>
          <w:rFonts w:hint="eastAsia" w:hAnsi="宋体" w:cs="宋体"/>
          <w:b/>
          <w:color w:val="auto"/>
          <w:sz w:val="24"/>
          <w:szCs w:val="24"/>
          <w:highlight w:val="none"/>
        </w:rPr>
        <w:t>11. 投标文件的组成</w:t>
      </w:r>
    </w:p>
    <w:p w14:paraId="72FA708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11.1</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14:paraId="4E6C8D85">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11.1.1符合参加政府采购活动应当具备的一般条件的承诺函；</w:t>
      </w:r>
    </w:p>
    <w:p w14:paraId="1301031C">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1.1.2</w:t>
      </w:r>
      <w:r>
        <w:rPr>
          <w:rFonts w:hint="eastAsia" w:ascii="宋体" w:hAnsi="宋体" w:cs="宋体"/>
          <w:snapToGrid w:val="0"/>
          <w:color w:val="auto"/>
          <w:kern w:val="28"/>
          <w:sz w:val="24"/>
          <w:szCs w:val="20"/>
          <w:highlight w:val="none"/>
        </w:rPr>
        <w:t>联合协议（如果有）；</w:t>
      </w:r>
    </w:p>
    <w:p w14:paraId="7CF5B0F3">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6A5486A8">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5146CB1A">
      <w:pPr>
        <w:snapToGrid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156174E7">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11.2.1投标函；</w:t>
      </w:r>
      <w:r>
        <w:rPr>
          <w:rFonts w:hint="eastAsia" w:ascii="宋体" w:hAnsi="宋体" w:cs="宋体"/>
          <w:color w:val="auto"/>
          <w:sz w:val="24"/>
          <w:highlight w:val="none"/>
          <w:lang w:val="zh-CN"/>
        </w:rPr>
        <w:t xml:space="preserve"> </w:t>
      </w:r>
    </w:p>
    <w:p w14:paraId="326DECCC">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11.2.2授权委托书或法定代表人（单位负责人、自然人本人）身份证明；</w:t>
      </w:r>
    </w:p>
    <w:p w14:paraId="7B62E4BC">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1296351F">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02B0CD2B">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065E8F3B">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6</w:t>
      </w:r>
      <w:r>
        <w:rPr>
          <w:rFonts w:hint="eastAsia" w:ascii="宋体" w:hAnsi="宋体" w:cs="宋体"/>
          <w:color w:val="auto"/>
          <w:sz w:val="24"/>
          <w:highlight w:val="none"/>
        </w:rPr>
        <w:t>商务技术偏离表；</w:t>
      </w:r>
    </w:p>
    <w:p w14:paraId="7A8B6E11">
      <w:pPr>
        <w:snapToGrid w:val="0"/>
        <w:spacing w:line="360" w:lineRule="auto"/>
        <w:ind w:firstLine="960" w:firstLineChars="4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7</w:t>
      </w:r>
      <w:r>
        <w:rPr>
          <w:rFonts w:hint="eastAsia" w:ascii="宋体" w:hAnsi="宋体" w:cs="宋体"/>
          <w:color w:val="auto"/>
          <w:sz w:val="24"/>
          <w:highlight w:val="none"/>
          <w:lang w:val="zh-CN"/>
        </w:rPr>
        <w:t>政府采购供应商廉洁自律承诺书；</w:t>
      </w:r>
    </w:p>
    <w:p w14:paraId="08C34115">
      <w:pPr>
        <w:snapToGrid w:val="0"/>
        <w:spacing w:line="360" w:lineRule="auto"/>
        <w:ind w:firstLine="480" w:firstLineChars="200"/>
        <w:rPr>
          <w:rFonts w:ascii="宋体" w:hAnsi="宋体" w:cs="宋体"/>
          <w:color w:val="auto"/>
          <w:sz w:val="24"/>
          <w:highlight w:val="none"/>
          <w:u w:val="single"/>
          <w:lang w:val="zh-CN"/>
        </w:rPr>
      </w:pPr>
      <w:r>
        <w:rPr>
          <w:rFonts w:hint="eastAsia" w:ascii="宋体" w:hAnsi="宋体" w:cs="宋体"/>
          <w:color w:val="auto"/>
          <w:kern w:val="0"/>
          <w:sz w:val="24"/>
          <w:highlight w:val="none"/>
          <w:lang w:val="zh-CN"/>
        </w:rPr>
        <w:t>11.</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14:paraId="4AA15EEF">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11.3.1开标一览表（报价表）；</w:t>
      </w:r>
    </w:p>
    <w:p w14:paraId="290ECA92">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11.3.2中小企业声明函。</w:t>
      </w:r>
    </w:p>
    <w:p w14:paraId="78E4BE7B">
      <w:pPr>
        <w:spacing w:line="360" w:lineRule="auto"/>
        <w:ind w:firstLine="723" w:firstLineChars="300"/>
        <w:rPr>
          <w:rFonts w:ascii="宋体" w:hAnsi="宋体" w:cs="宋体"/>
          <w:b/>
          <w:color w:val="auto"/>
          <w:sz w:val="24"/>
          <w:highlight w:val="none"/>
        </w:rPr>
      </w:pPr>
      <w:r>
        <w:rPr>
          <w:rFonts w:hint="eastAsia" w:ascii="宋体" w:hAnsi="宋体" w:cs="宋体"/>
          <w:b/>
          <w:color w:val="auto"/>
          <w:sz w:val="24"/>
          <w:highlight w:val="none"/>
        </w:rPr>
        <w:t>投标文件含有采购人不能接受的附加条件的，投标无效；</w:t>
      </w:r>
    </w:p>
    <w:p w14:paraId="68896CAE">
      <w:pPr>
        <w:spacing w:line="360" w:lineRule="auto"/>
        <w:ind w:firstLine="723" w:firstLineChars="300"/>
        <w:rPr>
          <w:rFonts w:ascii="宋体" w:hAnsi="宋体" w:cs="宋体"/>
          <w:b/>
          <w:color w:val="auto"/>
          <w:sz w:val="24"/>
          <w:szCs w:val="21"/>
          <w:highlight w:val="none"/>
        </w:rPr>
      </w:pPr>
      <w:r>
        <w:rPr>
          <w:rFonts w:hint="eastAsia" w:ascii="宋体" w:hAnsi="宋体" w:cs="宋体"/>
          <w:b/>
          <w:color w:val="auto"/>
          <w:sz w:val="24"/>
          <w:highlight w:val="none"/>
        </w:rPr>
        <w:t>投标人提供虚假材料投标的，投标无效。</w:t>
      </w:r>
    </w:p>
    <w:p w14:paraId="61AB8790">
      <w:pPr>
        <w:pStyle w:val="130"/>
        <w:snapToGrid w:val="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12</w:t>
      </w:r>
      <w:r>
        <w:rPr>
          <w:rFonts w:hint="eastAsia" w:ascii="宋体" w:hAnsi="宋体" w:cs="宋体"/>
          <w:b/>
          <w:color w:val="auto"/>
          <w:kern w:val="0"/>
          <w:szCs w:val="24"/>
          <w:highlight w:val="none"/>
          <w:lang w:val="zh-CN"/>
        </w:rPr>
        <w:t xml:space="preserve">. </w:t>
      </w:r>
      <w:r>
        <w:rPr>
          <w:rFonts w:hint="eastAsia" w:ascii="宋体" w:hAnsi="宋体" w:cs="宋体"/>
          <w:b/>
          <w:color w:val="auto"/>
          <w:szCs w:val="24"/>
          <w:highlight w:val="none"/>
        </w:rPr>
        <w:t>投标文件的编制</w:t>
      </w:r>
    </w:p>
    <w:p w14:paraId="501B682D">
      <w:pPr>
        <w:spacing w:line="360" w:lineRule="auto"/>
        <w:ind w:firstLine="480" w:firstLineChars="200"/>
        <w:rPr>
          <w:rFonts w:ascii="宋体" w:hAnsi="宋体" w:cs="宋体"/>
          <w:b/>
          <w:color w:val="auto"/>
          <w:sz w:val="24"/>
          <w:highlight w:val="none"/>
        </w:rPr>
      </w:pPr>
      <w:r>
        <w:rPr>
          <w:rFonts w:hint="eastAsia" w:ascii="宋体" w:hAnsi="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534435E">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1A8025E3">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325F3169">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13.投标文件的签署、盖章</w:t>
      </w:r>
    </w:p>
    <w:p w14:paraId="685E1245">
      <w:pPr>
        <w:pStyle w:val="130"/>
        <w:snapToGrid w:val="0"/>
        <w:spacing w:before="0"/>
        <w:ind w:firstLine="480"/>
        <w:rPr>
          <w:rFonts w:ascii="宋体" w:hAnsi="宋体" w:cs="宋体"/>
          <w:b/>
          <w:color w:val="auto"/>
          <w:highlight w:val="none"/>
        </w:rPr>
      </w:pPr>
      <w:r>
        <w:rPr>
          <w:rFonts w:hint="eastAsia" w:ascii="宋体" w:hAnsi="宋体" w:cs="宋体"/>
          <w:color w:val="auto"/>
          <w:szCs w:val="24"/>
          <w:highlight w:val="none"/>
        </w:rPr>
        <w:t>13.1投标文件按照招标文件第六部分格式要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▲投标人的投标文件未按照招标文件要求签署、盖章的，其投标无效</w:t>
      </w:r>
      <w:r>
        <w:rPr>
          <w:rFonts w:hint="eastAsia" w:ascii="宋体" w:hAnsi="宋体" w:cs="宋体"/>
          <w:color w:val="auto"/>
          <w:szCs w:val="24"/>
          <w:highlight w:val="none"/>
        </w:rPr>
        <w:t>。</w:t>
      </w:r>
    </w:p>
    <w:p w14:paraId="36C6A50E">
      <w:pPr>
        <w:pStyle w:val="130"/>
        <w:snapToGrid w:val="0"/>
        <w:spacing w:before="0"/>
        <w:ind w:firstLine="480"/>
        <w:rPr>
          <w:rFonts w:ascii="宋体" w:hAnsi="宋体" w:cs="宋体"/>
          <w:color w:val="auto"/>
          <w:highlight w:val="none"/>
        </w:rPr>
      </w:pPr>
      <w:r>
        <w:rPr>
          <w:rFonts w:hint="eastAsia" w:ascii="宋体" w:hAnsi="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198C45C3">
      <w:pPr>
        <w:pStyle w:val="130"/>
        <w:snapToGrid w:val="0"/>
        <w:spacing w:before="0"/>
        <w:ind w:firstLine="480"/>
        <w:rPr>
          <w:rFonts w:ascii="宋体" w:hAnsi="宋体" w:cs="宋体"/>
          <w:color w:val="auto"/>
          <w:szCs w:val="24"/>
          <w:highlight w:val="none"/>
        </w:rPr>
      </w:pPr>
      <w:r>
        <w:rPr>
          <w:rFonts w:hint="eastAsia" w:ascii="宋体" w:hAnsi="宋体" w:cs="宋体"/>
          <w:color w:val="auto"/>
          <w:highlight w:val="none"/>
        </w:rPr>
        <w:t>13.3招标文件对投标文件签署、盖章的要求适用于电子签名。</w:t>
      </w:r>
    </w:p>
    <w:p w14:paraId="3A54DB5E">
      <w:pPr>
        <w:pStyle w:val="13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14. 投标文件的提交、补充、修改、撤回</w:t>
      </w:r>
    </w:p>
    <w:p w14:paraId="60135084">
      <w:pPr>
        <w:pStyle w:val="130"/>
        <w:ind w:firstLine="480"/>
        <w:rPr>
          <w:rFonts w:ascii="宋体" w:hAnsi="宋体" w:cs="宋体"/>
          <w:color w:val="auto"/>
          <w:szCs w:val="24"/>
          <w:highlight w:val="none"/>
        </w:rPr>
      </w:pPr>
      <w:r>
        <w:rPr>
          <w:rFonts w:hint="eastAsia" w:ascii="宋体" w:hAnsi="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B01616A">
      <w:pPr>
        <w:pStyle w:val="130"/>
        <w:spacing w:before="0"/>
        <w:ind w:firstLine="480"/>
        <w:rPr>
          <w:rFonts w:ascii="宋体" w:hAnsi="宋体" w:cs="宋体"/>
          <w:color w:val="auto"/>
          <w:szCs w:val="24"/>
          <w:highlight w:val="none"/>
        </w:rPr>
      </w:pPr>
      <w:r>
        <w:rPr>
          <w:rFonts w:hint="eastAsia" w:ascii="宋体" w:hAnsi="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1C225EF4">
      <w:pPr>
        <w:pStyle w:val="130"/>
        <w:spacing w:before="0"/>
        <w:ind w:firstLine="480"/>
        <w:rPr>
          <w:rFonts w:ascii="宋体" w:hAnsi="宋体" w:cs="宋体"/>
          <w:color w:val="auto"/>
          <w:szCs w:val="24"/>
          <w:highlight w:val="none"/>
        </w:rPr>
      </w:pPr>
      <w:r>
        <w:rPr>
          <w:rFonts w:hint="eastAsia" w:ascii="宋体" w:hAnsi="宋体" w:cs="宋体"/>
          <w:color w:val="auto"/>
          <w:szCs w:val="24"/>
          <w:highlight w:val="none"/>
        </w:rPr>
        <w:t>14.3采购人、采购代理机构可以视情况延长投标文件提交的截止时间。在上述情况下，采购代理机构与投标人以前在投标截止期方面的全部权利、责任和义务，将适用于延长至新的投标截止期。</w:t>
      </w:r>
    </w:p>
    <w:p w14:paraId="007DEEB6">
      <w:pPr>
        <w:pStyle w:val="35"/>
        <w:spacing w:line="360" w:lineRule="auto"/>
        <w:rPr>
          <w:rFonts w:hAnsi="宋体" w:cs="宋体"/>
          <w:b/>
          <w:color w:val="auto"/>
          <w:sz w:val="24"/>
          <w:szCs w:val="24"/>
          <w:highlight w:val="none"/>
        </w:rPr>
      </w:pPr>
      <w:r>
        <w:rPr>
          <w:rFonts w:hint="eastAsia" w:hAnsi="宋体" w:cs="宋体"/>
          <w:b/>
          <w:color w:val="auto"/>
          <w:sz w:val="24"/>
          <w:szCs w:val="24"/>
          <w:highlight w:val="none"/>
        </w:rPr>
        <w:t>15.备份投标文件</w:t>
      </w:r>
    </w:p>
    <w:p w14:paraId="411ABC8D">
      <w:pPr>
        <w:pStyle w:val="35"/>
        <w:spacing w:line="360" w:lineRule="auto"/>
        <w:ind w:firstLine="360" w:firstLineChars="150"/>
        <w:rPr>
          <w:rFonts w:hAnsi="宋体" w:cs="宋体"/>
          <w:b/>
          <w:color w:val="auto"/>
          <w:sz w:val="24"/>
          <w:szCs w:val="24"/>
          <w:highlight w:val="none"/>
        </w:rPr>
      </w:pPr>
      <w:r>
        <w:rPr>
          <w:rFonts w:hint="eastAsia" w:hAnsi="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hAnsi="宋体" w:cs="宋体"/>
          <w:b/>
          <w:color w:val="auto"/>
          <w:sz w:val="24"/>
          <w:szCs w:val="24"/>
          <w:highlight w:val="none"/>
        </w:rPr>
        <w:t>但采购人、采购代理机构不强制或变相强制投标人提交备份投标文件。</w:t>
      </w:r>
    </w:p>
    <w:p w14:paraId="697581CB">
      <w:pPr>
        <w:pStyle w:val="35"/>
        <w:spacing w:line="360" w:lineRule="auto"/>
        <w:ind w:firstLine="480" w:firstLineChars="200"/>
        <w:rPr>
          <w:rFonts w:hAnsi="宋体" w:cs="宋体"/>
          <w:b/>
          <w:color w:val="auto"/>
          <w:sz w:val="24"/>
          <w:szCs w:val="24"/>
          <w:highlight w:val="none"/>
        </w:rPr>
      </w:pPr>
      <w:r>
        <w:rPr>
          <w:rFonts w:hint="eastAsia" w:hAnsi="宋体" w:cs="宋体"/>
          <w:color w:val="auto"/>
          <w:sz w:val="24"/>
          <w:szCs w:val="24"/>
          <w:highlight w:val="none"/>
        </w:rPr>
        <w:t>15.2备份投标文件须在“政采云投标客户端”制作生成，并储存在</w:t>
      </w:r>
      <w:r>
        <w:rPr>
          <w:rFonts w:hint="eastAsia" w:hAnsi="宋体" w:cs="宋体"/>
          <w:color w:val="auto"/>
          <w:sz w:val="24"/>
          <w:highlight w:val="none"/>
        </w:rPr>
        <w:t>U盘</w:t>
      </w:r>
      <w:r>
        <w:rPr>
          <w:rFonts w:hint="eastAsia" w:hAnsi="宋体"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auto"/>
          <w:sz w:val="24"/>
          <w:highlight w:val="none"/>
        </w:rPr>
        <w:t>不符合上述制作、</w:t>
      </w:r>
      <w:r>
        <w:rPr>
          <w:rFonts w:hint="eastAsia" w:hAnsi="宋体" w:cs="宋体"/>
          <w:b/>
          <w:color w:val="auto"/>
          <w:sz w:val="24"/>
          <w:szCs w:val="24"/>
          <w:highlight w:val="none"/>
        </w:rPr>
        <w:t>存储、密封规定的备份投标文件将被视为无效或者被拒绝接收。</w:t>
      </w:r>
    </w:p>
    <w:p w14:paraId="29143FB0">
      <w:pPr>
        <w:pStyle w:val="35"/>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15.3直接提交备份投标文件的，投标人应于投标截止时间前在</w:t>
      </w:r>
      <w:r>
        <w:rPr>
          <w:rFonts w:hint="eastAsia" w:hAnsi="宋体" w:cs="宋体"/>
          <w:snapToGrid/>
          <w:color w:val="auto"/>
          <w:sz w:val="24"/>
          <w:szCs w:val="24"/>
          <w:highlight w:val="none"/>
        </w:rPr>
        <w:t>招标文件第二部分投标人须知前附表规定的备份投标文件送达地点</w:t>
      </w:r>
      <w:r>
        <w:rPr>
          <w:rFonts w:hint="eastAsia" w:hAnsi="宋体" w:cs="宋体"/>
          <w:color w:val="auto"/>
          <w:sz w:val="24"/>
          <w:szCs w:val="24"/>
          <w:highlight w:val="none"/>
        </w:rPr>
        <w:t>将备份投标文件提交给采购代理机构，采购代理机构将拒绝接受逾期送达的备份投标文件。</w:t>
      </w:r>
    </w:p>
    <w:p w14:paraId="2B10CC72">
      <w:pPr>
        <w:pStyle w:val="35"/>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15.4以邮政快递方式递交备份投标文件的，投标人应先将备份投标文件按要求密封和标记，再进行邮政快递包装后邮寄。备份投标文件须在</w:t>
      </w:r>
      <w:r>
        <w:rPr>
          <w:rFonts w:hint="eastAsia" w:hAnsi="宋体" w:cs="宋体"/>
          <w:snapToGrid/>
          <w:color w:val="auto"/>
          <w:sz w:val="24"/>
          <w:szCs w:val="24"/>
          <w:highlight w:val="none"/>
        </w:rPr>
        <w:t>第二部分投标人须知前附表规定的备份投标文件送达</w:t>
      </w:r>
      <w:r>
        <w:rPr>
          <w:rFonts w:hint="eastAsia" w:hAnsi="宋体" w:cs="宋体"/>
          <w:color w:val="auto"/>
          <w:sz w:val="24"/>
          <w:szCs w:val="24"/>
          <w:highlight w:val="none"/>
        </w:rPr>
        <w:t>截止时间之前送达</w:t>
      </w:r>
      <w:r>
        <w:rPr>
          <w:rFonts w:hint="eastAsia" w:hAnsi="宋体" w:cs="宋体"/>
          <w:snapToGrid/>
          <w:color w:val="auto"/>
          <w:sz w:val="24"/>
          <w:szCs w:val="24"/>
          <w:highlight w:val="none"/>
        </w:rPr>
        <w:t>招标文件第二部分投标人须知前附表规定的备份投标文件送达地点；</w:t>
      </w:r>
      <w:r>
        <w:rPr>
          <w:rFonts w:hint="eastAsia" w:hAnsi="宋体" w:cs="宋体"/>
          <w:color w:val="auto"/>
          <w:sz w:val="24"/>
          <w:szCs w:val="24"/>
          <w:highlight w:val="none"/>
        </w:rPr>
        <w:t>送达时间以签收人签收时间为准。采购代理机构将拒绝接受逾期送达的备份投标文件。邮寄过程中，电子备份投标文件发生泄露、遗失、损坏或延期送达等情况的，由投标人自行负责。</w:t>
      </w:r>
    </w:p>
    <w:p w14:paraId="37FC4944">
      <w:pPr>
        <w:pStyle w:val="35"/>
        <w:spacing w:line="360" w:lineRule="auto"/>
        <w:ind w:firstLine="479" w:firstLineChars="199"/>
        <w:rPr>
          <w:rFonts w:hAnsi="宋体" w:cs="宋体"/>
          <w:b/>
          <w:color w:val="auto"/>
          <w:sz w:val="24"/>
          <w:szCs w:val="24"/>
          <w:highlight w:val="none"/>
        </w:rPr>
      </w:pPr>
      <w:r>
        <w:rPr>
          <w:rFonts w:hint="eastAsia" w:hAnsi="宋体" w:cs="宋体"/>
          <w:b/>
          <w:color w:val="auto"/>
          <w:sz w:val="24"/>
          <w:szCs w:val="24"/>
          <w:highlight w:val="none"/>
        </w:rPr>
        <w:t>15.5投标人仅提交备份投标文件，未在电子交易平台传输递交投标文件的，投标无效。</w:t>
      </w:r>
    </w:p>
    <w:p w14:paraId="1734F873">
      <w:pPr>
        <w:pStyle w:val="13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16.投标文件的无效处理</w:t>
      </w:r>
    </w:p>
    <w:p w14:paraId="1DD5BE58">
      <w:pPr>
        <w:pStyle w:val="3"/>
        <w:spacing w:line="360" w:lineRule="auto"/>
        <w:ind w:firstLine="360" w:firstLineChars="150"/>
        <w:rPr>
          <w:rFonts w:cs="宋体"/>
          <w:color w:val="auto"/>
          <w:szCs w:val="21"/>
          <w:highlight w:val="none"/>
        </w:rPr>
      </w:pPr>
      <w:r>
        <w:rPr>
          <w:rFonts w:hint="eastAsia" w:cs="宋体"/>
          <w:color w:val="auto"/>
          <w:szCs w:val="21"/>
          <w:highlight w:val="none"/>
        </w:rPr>
        <w:t>有招标文件第四部分</w:t>
      </w:r>
      <w:r>
        <w:rPr>
          <w:rFonts w:cs="宋体"/>
          <w:color w:val="auto"/>
          <w:szCs w:val="21"/>
          <w:highlight w:val="none"/>
        </w:rPr>
        <w:t>4.2规定</w:t>
      </w:r>
      <w:r>
        <w:rPr>
          <w:rFonts w:hint="eastAsia" w:cs="宋体"/>
          <w:color w:val="auto"/>
          <w:szCs w:val="21"/>
          <w:highlight w:val="none"/>
        </w:rPr>
        <w:t>的情形之一的，投标无效：</w:t>
      </w:r>
    </w:p>
    <w:p w14:paraId="1990D6CB">
      <w:pPr>
        <w:pStyle w:val="13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17.投标有效期</w:t>
      </w:r>
    </w:p>
    <w:p w14:paraId="1200E331">
      <w:pPr>
        <w:spacing w:line="360" w:lineRule="auto"/>
        <w:ind w:firstLine="480" w:firstLineChars="200"/>
        <w:rPr>
          <w:rFonts w:ascii="宋体" w:hAnsi="宋体" w:cs="宋体"/>
          <w:b/>
          <w:color w:val="auto"/>
          <w:sz w:val="24"/>
          <w:szCs w:val="21"/>
          <w:highlight w:val="none"/>
        </w:rPr>
      </w:pPr>
      <w:r>
        <w:rPr>
          <w:rFonts w:hint="eastAsia" w:ascii="宋体" w:hAnsi="宋体" w:cs="宋体"/>
          <w:color w:val="auto"/>
          <w:sz w:val="24"/>
          <w:szCs w:val="20"/>
          <w:highlight w:val="none"/>
        </w:rPr>
        <w:t>17.1投标有效期为从提交投标文件的截止之日起90天。▲</w:t>
      </w:r>
      <w:r>
        <w:rPr>
          <w:rFonts w:hint="eastAsia" w:ascii="宋体" w:hAnsi="宋体" w:cs="宋体"/>
          <w:b/>
          <w:color w:val="auto"/>
          <w:sz w:val="24"/>
          <w:szCs w:val="20"/>
          <w:highlight w:val="none"/>
        </w:rPr>
        <w:t>投标人的投标文件中承</w:t>
      </w:r>
      <w:r>
        <w:rPr>
          <w:rFonts w:hint="eastAsia" w:ascii="宋体" w:hAnsi="宋体" w:cs="宋体"/>
          <w:b/>
          <w:color w:val="auto"/>
          <w:sz w:val="24"/>
          <w:szCs w:val="21"/>
          <w:highlight w:val="none"/>
        </w:rPr>
        <w:t>诺的投标有效期少于招标文件中载明的投标有效期的，投标无效。</w:t>
      </w:r>
    </w:p>
    <w:p w14:paraId="672081D1">
      <w:pPr>
        <w:pStyle w:val="130"/>
        <w:spacing w:before="0"/>
        <w:ind w:firstLine="480"/>
        <w:rPr>
          <w:rFonts w:ascii="宋体" w:hAnsi="宋体" w:cs="宋体"/>
          <w:color w:val="auto"/>
          <w:highlight w:val="none"/>
        </w:rPr>
      </w:pPr>
      <w:r>
        <w:rPr>
          <w:rFonts w:hint="eastAsia" w:ascii="宋体" w:hAnsi="宋体" w:cs="宋体"/>
          <w:color w:val="auto"/>
          <w:highlight w:val="none"/>
        </w:rPr>
        <w:t>17.2投标文件合格投递后，自投标截止日期起，在投标有效期内有效。</w:t>
      </w:r>
    </w:p>
    <w:p w14:paraId="2B54B90B">
      <w:pPr>
        <w:pStyle w:val="130"/>
        <w:spacing w:before="0"/>
        <w:ind w:firstLine="480"/>
        <w:rPr>
          <w:rFonts w:ascii="宋体" w:hAnsi="宋体" w:cs="宋体"/>
          <w:color w:val="auto"/>
          <w:highlight w:val="none"/>
        </w:rPr>
      </w:pPr>
      <w:r>
        <w:rPr>
          <w:rFonts w:hint="eastAsia" w:ascii="宋体" w:hAnsi="宋体" w:cs="宋体"/>
          <w:color w:val="auto"/>
          <w:highlight w:val="none"/>
        </w:rPr>
        <w:t>17.3在原定投标有效期满之前，如果出现特殊情况，采购代理机构可以以书面形式通知投标人延长投标有效期。投标人同意延长的，不得要求或被允许修改其投标文件，投标人拒绝延长的，其投标无效。</w:t>
      </w:r>
    </w:p>
    <w:p w14:paraId="3030EF9F">
      <w:pPr>
        <w:pStyle w:val="130"/>
        <w:spacing w:before="0"/>
        <w:ind w:firstLine="643"/>
        <w:rPr>
          <w:rFonts w:ascii="宋体" w:hAnsi="宋体" w:cs="宋体"/>
          <w:b/>
          <w:color w:val="auto"/>
          <w:sz w:val="32"/>
          <w:highlight w:val="none"/>
        </w:rPr>
      </w:pPr>
    </w:p>
    <w:p w14:paraId="4FBC6996">
      <w:pPr>
        <w:pStyle w:val="130"/>
        <w:spacing w:before="0"/>
        <w:ind w:firstLine="1928" w:firstLineChars="600"/>
        <w:outlineLvl w:val="1"/>
        <w:rPr>
          <w:rFonts w:ascii="宋体" w:hAnsi="宋体" w:cs="宋体"/>
          <w:b/>
          <w:color w:val="auto"/>
          <w:sz w:val="32"/>
          <w:highlight w:val="none"/>
        </w:rPr>
      </w:pPr>
      <w:r>
        <w:rPr>
          <w:rFonts w:hint="eastAsia" w:ascii="宋体" w:hAnsi="宋体" w:cs="宋体"/>
          <w:b/>
          <w:color w:val="auto"/>
          <w:sz w:val="32"/>
          <w:highlight w:val="none"/>
        </w:rPr>
        <w:t>四、开标、资格审查与信用信息查询</w:t>
      </w:r>
    </w:p>
    <w:p w14:paraId="2104BC57">
      <w:pPr>
        <w:pStyle w:val="555"/>
        <w:spacing w:before="0" w:line="360" w:lineRule="auto"/>
        <w:ind w:left="0" w:firstLine="241" w:firstLineChars="100"/>
        <w:contextualSpacing/>
        <w:rPr>
          <w:rFonts w:ascii="宋体" w:hAnsi="宋体" w:cs="宋体"/>
          <w:color w:val="auto"/>
          <w:sz w:val="24"/>
          <w:highlight w:val="none"/>
        </w:rPr>
      </w:pPr>
      <w:r>
        <w:rPr>
          <w:rFonts w:hint="eastAsia" w:ascii="宋体" w:hAnsi="宋体" w:cs="宋体"/>
          <w:b/>
          <w:color w:val="auto"/>
          <w:sz w:val="24"/>
          <w:szCs w:val="24"/>
          <w:highlight w:val="none"/>
        </w:rPr>
        <w:t>18.开标</w:t>
      </w:r>
      <w:r>
        <w:rPr>
          <w:rFonts w:hint="eastAsia" w:ascii="宋体" w:hAnsi="宋体" w:cs="宋体"/>
          <w:color w:val="auto"/>
          <w:sz w:val="24"/>
          <w:highlight w:val="none"/>
        </w:rPr>
        <w:t xml:space="preserve"> </w:t>
      </w:r>
    </w:p>
    <w:p w14:paraId="6FBBAC3F">
      <w:pPr>
        <w:pStyle w:val="555"/>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18.1采购代理机构按照招标文件规定的时间通过电子交易平台组织开标，所有投标人均应当准时在线参加。投标人不足3家的，不得开标。</w:t>
      </w:r>
    </w:p>
    <w:p w14:paraId="17C7BE32">
      <w:pPr>
        <w:pStyle w:val="555"/>
        <w:spacing w:before="0" w:line="360" w:lineRule="auto"/>
        <w:ind w:left="0" w:firstLine="240" w:firstLineChars="100"/>
        <w:contextualSpacing/>
        <w:rPr>
          <w:rFonts w:ascii="宋体" w:hAnsi="宋体" w:cs="宋体"/>
          <w:color w:val="auto"/>
          <w:sz w:val="24"/>
          <w:highlight w:val="none"/>
        </w:rPr>
      </w:pPr>
      <w:r>
        <w:rPr>
          <w:rFonts w:hint="eastAsia" w:ascii="宋体" w:hAnsi="宋体" w:cs="宋体"/>
          <w:color w:val="auto"/>
          <w:sz w:val="24"/>
          <w:highlight w:val="none"/>
        </w:rPr>
        <w:t>　18.2开标时，电子交易平台按开标时间自动提取所有投标文件。采购代理机构依托电子交易平台发起开始解密指令，投标人按照平台提示和招标文件的规定在半小时内完成在线解密。</w:t>
      </w:r>
    </w:p>
    <w:p w14:paraId="2E57080F">
      <w:pPr>
        <w:pStyle w:val="555"/>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18.2.1具体开标程序：</w:t>
      </w:r>
    </w:p>
    <w:p w14:paraId="070301B3">
      <w:pPr>
        <w:pStyle w:val="555"/>
        <w:spacing w:before="0" w:line="360" w:lineRule="auto"/>
        <w:ind w:left="0" w:firstLine="240" w:firstLineChars="100"/>
        <w:contextualSpacing/>
        <w:rPr>
          <w:rFonts w:ascii="宋体" w:hAnsi="宋体" w:cs="宋体"/>
          <w:color w:val="auto"/>
          <w:sz w:val="24"/>
          <w:highlight w:val="none"/>
        </w:rPr>
      </w:pPr>
      <w:r>
        <w:rPr>
          <w:rFonts w:hint="eastAsia" w:ascii="宋体" w:hAnsi="宋体" w:cs="宋体"/>
          <w:color w:val="auto"/>
          <w:sz w:val="24"/>
          <w:highlight w:val="none"/>
        </w:rPr>
        <w:t>　（1）投标截止时间后，供应商登录政府采购云平台，用“项目采购－开标评标”功能对电子投标文件进行在线解密，在线解密电子投标文件时间为开标时间后30分钟内。</w:t>
      </w:r>
    </w:p>
    <w:p w14:paraId="297F3FE3">
      <w:pPr>
        <w:pStyle w:val="555"/>
        <w:spacing w:before="0" w:line="360" w:lineRule="auto"/>
        <w:ind w:left="0" w:firstLine="240" w:firstLineChars="100"/>
        <w:contextualSpacing/>
        <w:rPr>
          <w:rFonts w:ascii="宋体" w:hAnsi="宋体" w:cs="宋体"/>
          <w:color w:val="auto"/>
          <w:sz w:val="24"/>
          <w:highlight w:val="none"/>
        </w:rPr>
      </w:pPr>
      <w:r>
        <w:rPr>
          <w:rFonts w:hint="eastAsia" w:ascii="宋体" w:hAnsi="宋体" w:cs="宋体"/>
          <w:color w:val="auto"/>
          <w:sz w:val="24"/>
          <w:highlight w:val="none"/>
        </w:rPr>
        <w:t>　（2）在政府采购云平台开启已解密供应商的“资格文件、商务技术文件、报价文件”，并做开标记录；</w:t>
      </w:r>
    </w:p>
    <w:p w14:paraId="7A02E983">
      <w:pPr>
        <w:pStyle w:val="555"/>
        <w:spacing w:before="0" w:line="360" w:lineRule="auto"/>
        <w:ind w:left="0" w:firstLine="240" w:firstLineChars="100"/>
        <w:contextualSpacing/>
        <w:rPr>
          <w:rFonts w:ascii="宋体" w:hAnsi="宋体" w:cs="宋体"/>
          <w:color w:val="auto"/>
          <w:sz w:val="24"/>
          <w:highlight w:val="none"/>
        </w:rPr>
      </w:pPr>
      <w:r>
        <w:rPr>
          <w:rFonts w:hint="eastAsia" w:ascii="宋体" w:hAnsi="宋体" w:cs="宋体"/>
          <w:color w:val="auto"/>
          <w:sz w:val="24"/>
          <w:highlight w:val="none"/>
        </w:rPr>
        <w:t>　（3）在政府采购云平台公布评审结果。</w:t>
      </w:r>
    </w:p>
    <w:p w14:paraId="1E7FFFB5">
      <w:pPr>
        <w:pStyle w:val="555"/>
        <w:spacing w:before="0" w:line="360" w:lineRule="auto"/>
        <w:ind w:left="0" w:firstLine="240" w:firstLineChars="100"/>
        <w:contextualSpacing/>
        <w:rPr>
          <w:rFonts w:ascii="宋体" w:hAnsi="宋体" w:cs="宋体"/>
          <w:color w:val="auto"/>
          <w:sz w:val="24"/>
          <w:highlight w:val="none"/>
        </w:rPr>
      </w:pPr>
      <w:r>
        <w:rPr>
          <w:rFonts w:hint="eastAsia" w:ascii="宋体" w:hAnsi="宋体" w:cs="宋体"/>
          <w:color w:val="auto"/>
          <w:sz w:val="24"/>
          <w:highlight w:val="none"/>
        </w:rPr>
        <w:t>　（4）开标会议结束。</w:t>
      </w:r>
    </w:p>
    <w:p w14:paraId="5E19820B">
      <w:pPr>
        <w:pStyle w:val="555"/>
        <w:spacing w:before="0" w:line="360" w:lineRule="auto"/>
        <w:ind w:left="0" w:firstLine="240" w:firstLineChars="100"/>
        <w:contextualSpacing/>
        <w:rPr>
          <w:rFonts w:ascii="宋体" w:hAnsi="宋体" w:cs="宋体"/>
          <w:b/>
          <w:color w:val="auto"/>
          <w:sz w:val="24"/>
          <w:highlight w:val="none"/>
        </w:rPr>
      </w:pPr>
      <w:r>
        <w:rPr>
          <w:rFonts w:hint="eastAsia" w:ascii="宋体" w:hAnsi="宋体" w:cs="宋体"/>
          <w:color w:val="auto"/>
          <w:sz w:val="24"/>
          <w:highlight w:val="none"/>
        </w:rPr>
        <w:t>　18.3</w:t>
      </w:r>
      <w:r>
        <w:rPr>
          <w:rFonts w:hint="eastAsia" w:ascii="宋体" w:hAnsi="宋体" w:cs="宋体"/>
          <w:b/>
          <w:color w:val="auto"/>
          <w:sz w:val="24"/>
          <w:highlight w:val="none"/>
        </w:rPr>
        <w:t>投标文件未按时解密，投标人提供了备份投标文件的，以备份投标文件作为依据，否则视为投标文件撤回。投标文件已按时解密的，备份投标文件自动失效。</w:t>
      </w:r>
    </w:p>
    <w:p w14:paraId="01BA3597">
      <w:pPr>
        <w:widowControl/>
        <w:spacing w:before="100" w:beforeAutospacing="1" w:after="240" w:line="360" w:lineRule="auto"/>
        <w:jc w:val="left"/>
        <w:rPr>
          <w:rFonts w:ascii="宋体" w:hAnsi="宋体" w:cs="宋体"/>
          <w:b/>
          <w:color w:val="auto"/>
          <w:sz w:val="24"/>
          <w:szCs w:val="20"/>
          <w:highlight w:val="none"/>
        </w:rPr>
      </w:pPr>
      <w:r>
        <w:rPr>
          <w:rFonts w:hint="eastAsia" w:ascii="宋体" w:hAnsi="宋体" w:cs="宋体"/>
          <w:b/>
          <w:color w:val="auto"/>
          <w:sz w:val="24"/>
          <w:szCs w:val="20"/>
          <w:highlight w:val="none"/>
        </w:rPr>
        <w:t>　19、资格审查</w:t>
      </w:r>
    </w:p>
    <w:p w14:paraId="4BC94B74">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19.1</w:t>
      </w:r>
      <w:r>
        <w:rPr>
          <w:rFonts w:hint="eastAsia" w:ascii="宋体" w:hAnsi="宋体" w:cs="宋体"/>
          <w:color w:val="auto"/>
          <w:sz w:val="24"/>
          <w:highlight w:val="none"/>
        </w:rPr>
        <w:t>采购人或采购代理机构依据法律法规和招标文件的规定，对投标人的资格进行审查。</w:t>
      </w:r>
    </w:p>
    <w:p w14:paraId="2BB242DA">
      <w:pPr>
        <w:pStyle w:val="130"/>
        <w:spacing w:before="0"/>
        <w:ind w:firstLine="480"/>
        <w:rPr>
          <w:rFonts w:ascii="宋体" w:hAnsi="宋体" w:cs="宋体"/>
          <w:color w:val="auto"/>
          <w:highlight w:val="none"/>
        </w:rPr>
      </w:pPr>
      <w:r>
        <w:rPr>
          <w:rFonts w:hint="eastAsia" w:ascii="宋体" w:hAnsi="宋体" w:cs="宋体"/>
          <w:color w:val="auto"/>
          <w:kern w:val="0"/>
          <w:szCs w:val="24"/>
          <w:highlight w:val="none"/>
        </w:rPr>
        <w:t>19.2投标人未按照招标文件要求提供与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投标人不具备招标文件中规定的资格要求，其投标无效。</w:t>
      </w:r>
    </w:p>
    <w:p w14:paraId="21D37818">
      <w:pPr>
        <w:pStyle w:val="130"/>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rPr>
        <w:t>3对未通过资格审查的投标人，采购人或采购代理机构告知其未通过的原因。</w:t>
      </w:r>
    </w:p>
    <w:p w14:paraId="62862024">
      <w:pPr>
        <w:pStyle w:val="130"/>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rPr>
        <w:t>4合格投标人不足3家的，不再评标。</w:t>
      </w:r>
    </w:p>
    <w:p w14:paraId="348F04D8">
      <w:pPr>
        <w:pStyle w:val="13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20、信用信息查询</w:t>
      </w:r>
    </w:p>
    <w:p w14:paraId="2E8664F5">
      <w:pPr>
        <w:pStyle w:val="130"/>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20.1信用信息查询渠道及截止时间：采购代理机构将在资格审查时通过“信用中国”网站（www.creditchina.gov.cn)、中国政府采购网（www.ccgp.gov.cn）渠道查询投标人接受资格时的信用记录。</w:t>
      </w:r>
    </w:p>
    <w:p w14:paraId="359E25A3">
      <w:pPr>
        <w:pStyle w:val="130"/>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20.2信用信息查询记录和证据留存的具体方式：现场查询的投标人的信用记录、查询结果经确认后将与采购文件一起存档。</w:t>
      </w:r>
    </w:p>
    <w:p w14:paraId="625D1377">
      <w:pPr>
        <w:pStyle w:val="130"/>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20.3信用信息的使用规则：经查询列入失信被执行人名单、重大税收违法案件当事人名单（</w:t>
      </w:r>
      <w:r>
        <w:rPr>
          <w:rFonts w:hint="eastAsia" w:ascii="宋体" w:hAnsi="宋体" w:cs="宋体"/>
          <w:color w:val="auto"/>
          <w:highlight w:val="none"/>
        </w:rPr>
        <w:t>重大税收违法失信主体</w:t>
      </w:r>
      <w:r>
        <w:rPr>
          <w:rFonts w:hint="eastAsia" w:ascii="宋体" w:hAnsi="宋体" w:cs="宋体"/>
          <w:color w:val="auto"/>
          <w:kern w:val="0"/>
          <w:szCs w:val="24"/>
          <w:highlight w:val="none"/>
        </w:rPr>
        <w:t>）、政府采购严重违法失信行为记录名单的投标人将被拒绝参与政府采购活动。</w:t>
      </w:r>
    </w:p>
    <w:p w14:paraId="3E9A3FD7">
      <w:pPr>
        <w:pStyle w:val="130"/>
        <w:spacing w:before="0"/>
        <w:ind w:firstLine="480"/>
        <w:rPr>
          <w:rFonts w:ascii="宋体" w:hAnsi="宋体" w:cs="宋体"/>
          <w:color w:val="auto"/>
          <w:highlight w:val="none"/>
        </w:rPr>
      </w:pPr>
      <w:r>
        <w:rPr>
          <w:rFonts w:hint="eastAsia" w:ascii="宋体" w:hAnsi="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14:paraId="6638DF1D">
      <w:pPr>
        <w:pStyle w:val="130"/>
        <w:spacing w:before="0"/>
        <w:ind w:firstLine="0" w:firstLineChars="0"/>
        <w:rPr>
          <w:rFonts w:ascii="宋体" w:hAnsi="宋体" w:cs="宋体"/>
          <w:color w:val="auto"/>
          <w:kern w:val="0"/>
          <w:szCs w:val="24"/>
          <w:highlight w:val="none"/>
        </w:rPr>
      </w:pPr>
    </w:p>
    <w:p w14:paraId="25F119EE">
      <w:pPr>
        <w:snapToGrid w:val="0"/>
        <w:spacing w:line="360" w:lineRule="auto"/>
        <w:jc w:val="center"/>
        <w:outlineLvl w:val="1"/>
        <w:rPr>
          <w:rFonts w:ascii="宋体" w:hAnsi="宋体" w:cs="宋体"/>
          <w:b/>
          <w:color w:val="auto"/>
          <w:sz w:val="36"/>
          <w:szCs w:val="36"/>
          <w:highlight w:val="none"/>
        </w:rPr>
      </w:pPr>
      <w:r>
        <w:rPr>
          <w:rFonts w:hint="eastAsia" w:ascii="宋体" w:hAnsi="宋体" w:cs="宋体"/>
          <w:b/>
          <w:color w:val="auto"/>
          <w:sz w:val="36"/>
          <w:szCs w:val="36"/>
          <w:highlight w:val="none"/>
        </w:rPr>
        <w:t>五、评标</w:t>
      </w:r>
    </w:p>
    <w:p w14:paraId="6D490911">
      <w:pPr>
        <w:spacing w:line="360" w:lineRule="auto"/>
        <w:rPr>
          <w:rFonts w:ascii="宋体" w:hAnsi="宋体" w:cs="宋体"/>
          <w:b/>
          <w:color w:val="auto"/>
          <w:sz w:val="24"/>
          <w:highlight w:val="none"/>
        </w:rPr>
      </w:pPr>
      <w:bookmarkStart w:id="10" w:name="_Toc91899903"/>
      <w:r>
        <w:rPr>
          <w:rFonts w:hint="eastAsia" w:ascii="宋体" w:hAnsi="宋体" w:cs="宋体"/>
          <w:b/>
          <w:color w:val="auto"/>
          <w:sz w:val="24"/>
          <w:highlight w:val="none"/>
        </w:rPr>
        <w:t>21.</w:t>
      </w:r>
      <w:r>
        <w:rPr>
          <w:rFonts w:hint="eastAsia" w:ascii="宋体" w:hAnsi="宋体" w:cs="宋体"/>
          <w:color w:val="auto"/>
          <w:highlight w:val="none"/>
        </w:rPr>
        <w:t xml:space="preserve"> </w:t>
      </w:r>
      <w:r>
        <w:rPr>
          <w:rFonts w:hint="eastAsia" w:ascii="宋体" w:hAnsi="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highlight w:val="none"/>
        </w:rPr>
        <w:t>详见招标文件第四部分评标办法。</w:t>
      </w:r>
    </w:p>
    <w:p w14:paraId="7C6C3CBA">
      <w:pPr>
        <w:spacing w:line="360" w:lineRule="auto"/>
        <w:rPr>
          <w:rFonts w:ascii="宋体" w:hAnsi="宋体" w:cs="宋体"/>
          <w:b/>
          <w:color w:val="auto"/>
          <w:sz w:val="24"/>
          <w:highlight w:val="none"/>
        </w:rPr>
      </w:pPr>
    </w:p>
    <w:p w14:paraId="6797EC9E">
      <w:pPr>
        <w:snapToGrid w:val="0"/>
        <w:spacing w:line="360" w:lineRule="auto"/>
        <w:jc w:val="center"/>
        <w:outlineLvl w:val="1"/>
        <w:rPr>
          <w:rFonts w:ascii="宋体" w:hAnsi="宋体" w:cs="宋体"/>
          <w:b/>
          <w:color w:val="auto"/>
          <w:sz w:val="36"/>
          <w:szCs w:val="36"/>
          <w:highlight w:val="none"/>
        </w:rPr>
      </w:pPr>
      <w:r>
        <w:rPr>
          <w:rFonts w:hint="eastAsia" w:ascii="宋体" w:hAnsi="宋体" w:cs="宋体"/>
          <w:b/>
          <w:color w:val="auto"/>
          <w:sz w:val="36"/>
          <w:szCs w:val="36"/>
          <w:highlight w:val="none"/>
        </w:rPr>
        <w:t>六、定 标</w:t>
      </w:r>
    </w:p>
    <w:p w14:paraId="47F98395">
      <w:pPr>
        <w:pStyle w:val="3"/>
        <w:spacing w:line="360" w:lineRule="auto"/>
        <w:ind w:left="479" w:hanging="479" w:hangingChars="199"/>
        <w:rPr>
          <w:rFonts w:cs="宋体"/>
          <w:b/>
          <w:color w:val="auto"/>
          <w:highlight w:val="none"/>
        </w:rPr>
      </w:pPr>
      <w:r>
        <w:rPr>
          <w:rFonts w:hint="eastAsia" w:cs="宋体"/>
          <w:b/>
          <w:color w:val="auto"/>
          <w:highlight w:val="none"/>
        </w:rPr>
        <w:t>22. 确定中标供应商（按评审后得分由高到低顺序，</w:t>
      </w:r>
      <w:r>
        <w:rPr>
          <w:rFonts w:hint="eastAsia" w:cs="宋体"/>
          <w:b/>
          <w:color w:val="auto"/>
          <w:highlight w:val="none"/>
          <w:lang w:val="en-US" w:eastAsia="zh-CN"/>
        </w:rPr>
        <w:t>各标项各</w:t>
      </w:r>
      <w:r>
        <w:rPr>
          <w:rFonts w:hint="eastAsia" w:cs="宋体"/>
          <w:b/>
          <w:color w:val="auto"/>
          <w:highlight w:val="none"/>
        </w:rPr>
        <w:t>确定1名中标人。）</w:t>
      </w:r>
    </w:p>
    <w:p w14:paraId="4C5E4F9E">
      <w:pPr>
        <w:pStyle w:val="130"/>
        <w:snapToGrid w:val="0"/>
        <w:spacing w:before="0"/>
        <w:ind w:firstLine="480"/>
        <w:rPr>
          <w:rFonts w:ascii="宋体" w:hAnsi="宋体" w:cs="宋体"/>
          <w:b/>
          <w:color w:val="auto"/>
          <w:szCs w:val="24"/>
          <w:highlight w:val="none"/>
        </w:rPr>
      </w:pPr>
      <w:r>
        <w:rPr>
          <w:rFonts w:hint="eastAsia" w:ascii="宋体" w:hAnsi="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5个工作日内在线确定中标或者成交供应商。中标、成交通知书和中标、成交结果公告应当在规定时间内同时发出。</w:t>
      </w:r>
    </w:p>
    <w:p w14:paraId="7038DD08">
      <w:pPr>
        <w:pStyle w:val="130"/>
        <w:snapToGrid w:val="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23. 中标通知与中标结果公告</w:t>
      </w:r>
    </w:p>
    <w:p w14:paraId="4CC6F1D7">
      <w:pPr>
        <w:widowControl/>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23.1自中标人确定之日起2个工作日内，采购代理机构通过电子交易平台向中标人发出中标通知书，同时编制发布采购结果公告。</w:t>
      </w:r>
    </w:p>
    <w:p w14:paraId="226080C8">
      <w:pPr>
        <w:widowControl/>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23.2中标结果公告内容包括采购人及其委托的采购代理机构的名称、地址、联系方式，项目名称和项目编号，中标人名称、地址和中标金额，主要中标标的的名称、服务范围、服务要求、服务时间、服务标准，开标记录、</w:t>
      </w:r>
      <w:bookmarkStart w:id="11" w:name="_Hlk101184471"/>
      <w:r>
        <w:rPr>
          <w:rFonts w:hint="eastAsia" w:ascii="宋体" w:hAnsi="宋体" w:cs="宋体"/>
          <w:color w:val="auto"/>
          <w:sz w:val="24"/>
          <w:highlight w:val="none"/>
        </w:rPr>
        <w:t>资格审查情况、评审专家抽取规则、符合性审查情况、</w:t>
      </w:r>
      <w:bookmarkEnd w:id="11"/>
      <w:r>
        <w:rPr>
          <w:rFonts w:hint="eastAsia" w:ascii="宋体" w:hAnsi="宋体" w:cs="宋体"/>
          <w:color w:val="auto"/>
          <w:sz w:val="24"/>
          <w:highlight w:val="none"/>
        </w:rPr>
        <w:t>未中标情况说明、中标公告期限以及评审专家名单、评分汇总及明细。</w:t>
      </w:r>
    </w:p>
    <w:p w14:paraId="0E9E1B23">
      <w:pPr>
        <w:widowControl/>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23.3公告期限为1个工作日。</w:t>
      </w:r>
    </w:p>
    <w:p w14:paraId="38431C2B">
      <w:pPr>
        <w:snapToGrid w:val="0"/>
        <w:spacing w:line="360" w:lineRule="auto"/>
        <w:ind w:left="120" w:leftChars="57" w:firstLine="482" w:firstLineChars="150"/>
        <w:jc w:val="center"/>
        <w:rPr>
          <w:rFonts w:ascii="宋体" w:hAnsi="宋体" w:cs="宋体"/>
          <w:b/>
          <w:color w:val="auto"/>
          <w:sz w:val="32"/>
          <w:highlight w:val="none"/>
        </w:rPr>
      </w:pPr>
    </w:p>
    <w:p w14:paraId="4C63BF09">
      <w:pPr>
        <w:snapToGrid w:val="0"/>
        <w:spacing w:line="360" w:lineRule="auto"/>
        <w:ind w:left="120" w:leftChars="57" w:firstLine="482" w:firstLineChars="150"/>
        <w:jc w:val="center"/>
        <w:outlineLvl w:val="1"/>
        <w:rPr>
          <w:rFonts w:ascii="宋体" w:hAnsi="宋体" w:cs="宋体"/>
          <w:b/>
          <w:color w:val="auto"/>
          <w:sz w:val="32"/>
          <w:highlight w:val="none"/>
        </w:rPr>
      </w:pPr>
      <w:r>
        <w:rPr>
          <w:rFonts w:hint="eastAsia" w:ascii="宋体" w:hAnsi="宋体" w:cs="宋体"/>
          <w:b/>
          <w:color w:val="auto"/>
          <w:sz w:val="32"/>
          <w:highlight w:val="none"/>
        </w:rPr>
        <w:t>七、合同授予</w:t>
      </w:r>
    </w:p>
    <w:p w14:paraId="7A818D13">
      <w:pPr>
        <w:pStyle w:val="3"/>
        <w:spacing w:line="360" w:lineRule="auto"/>
        <w:ind w:left="479" w:hanging="479" w:hangingChars="199"/>
        <w:rPr>
          <w:rFonts w:cs="宋体"/>
          <w:b/>
          <w:color w:val="auto"/>
          <w:highlight w:val="none"/>
        </w:rPr>
      </w:pPr>
      <w:r>
        <w:rPr>
          <w:rFonts w:hint="eastAsia" w:cs="宋体"/>
          <w:b/>
          <w:color w:val="auto"/>
          <w:highlight w:val="none"/>
        </w:rPr>
        <w:t xml:space="preserve">24. </w:t>
      </w:r>
      <w:r>
        <w:rPr>
          <w:rFonts w:hint="eastAsia" w:cs="宋体"/>
          <w:color w:val="auto"/>
          <w:highlight w:val="none"/>
        </w:rPr>
        <w:t>合同主要条款详见第五部分拟签订的合同文本。</w:t>
      </w:r>
    </w:p>
    <w:p w14:paraId="76346ED5">
      <w:pPr>
        <w:pStyle w:val="3"/>
        <w:spacing w:line="360" w:lineRule="auto"/>
        <w:ind w:left="479" w:hanging="479" w:hangingChars="199"/>
        <w:rPr>
          <w:rFonts w:cs="宋体"/>
          <w:b/>
          <w:color w:val="auto"/>
          <w:highlight w:val="none"/>
        </w:rPr>
      </w:pPr>
      <w:r>
        <w:rPr>
          <w:rFonts w:hint="eastAsia" w:cs="宋体"/>
          <w:b/>
          <w:color w:val="auto"/>
          <w:highlight w:val="none"/>
        </w:rPr>
        <w:t>25. 合同的签订</w:t>
      </w:r>
    </w:p>
    <w:p w14:paraId="57CD32A3">
      <w:pPr>
        <w:widowControl/>
        <w:spacing w:line="360" w:lineRule="auto"/>
        <w:ind w:firstLine="480"/>
        <w:jc w:val="left"/>
        <w:rPr>
          <w:rFonts w:ascii="宋体" w:hAnsi="宋体" w:cs="宋体"/>
          <w:color w:val="auto"/>
          <w:kern w:val="0"/>
          <w:sz w:val="24"/>
          <w:highlight w:val="none"/>
        </w:rPr>
      </w:pPr>
      <w:r>
        <w:rPr>
          <w:rFonts w:hint="eastAsia" w:ascii="宋体" w:hAnsi="宋体" w:cs="宋体"/>
          <w:color w:val="auto"/>
          <w:sz w:val="24"/>
          <w:highlight w:val="none"/>
        </w:rPr>
        <w:t>25.1</w:t>
      </w:r>
      <w:r>
        <w:rPr>
          <w:rFonts w:hint="eastAsia" w:ascii="宋体" w:hAnsi="宋体" w:cs="宋体"/>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w:t>
      </w:r>
    </w:p>
    <w:p w14:paraId="2C8FF6E5">
      <w:pPr>
        <w:pStyle w:val="130"/>
        <w:snapToGrid w:val="0"/>
        <w:spacing w:before="0"/>
        <w:ind w:firstLine="480"/>
        <w:rPr>
          <w:rFonts w:ascii="宋体" w:hAnsi="宋体" w:cs="宋体"/>
          <w:color w:val="auto"/>
          <w:kern w:val="0"/>
          <w:highlight w:val="none"/>
        </w:rPr>
      </w:pPr>
      <w:r>
        <w:rPr>
          <w:rFonts w:hint="eastAsia" w:ascii="宋体" w:hAnsi="宋体" w:cs="宋体"/>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5C3453E2">
      <w:pPr>
        <w:pStyle w:val="130"/>
        <w:snapToGrid w:val="0"/>
        <w:spacing w:before="0"/>
        <w:ind w:firstLine="480"/>
        <w:rPr>
          <w:rFonts w:ascii="宋体" w:hAnsi="宋体" w:cs="宋体"/>
          <w:color w:val="auto"/>
          <w:highlight w:val="none"/>
        </w:rPr>
      </w:pPr>
      <w:r>
        <w:rPr>
          <w:rFonts w:hint="eastAsia" w:ascii="宋体" w:hAnsi="宋体" w:cs="宋体"/>
          <w:color w:val="auto"/>
          <w:highlight w:val="none"/>
        </w:rPr>
        <w:t>25.3如签订合同并生效后，供应商无故拒绝或延期，除按照合同条款处理外，列入不良行为记录一次，并给予通报。</w:t>
      </w:r>
    </w:p>
    <w:p w14:paraId="0E9B09D2">
      <w:pPr>
        <w:pStyle w:val="130"/>
        <w:snapToGrid w:val="0"/>
        <w:spacing w:before="0"/>
        <w:ind w:firstLine="480"/>
        <w:rPr>
          <w:rFonts w:ascii="宋体" w:hAnsi="宋体" w:cs="宋体"/>
          <w:color w:val="auto"/>
          <w:highlight w:val="none"/>
        </w:rPr>
      </w:pPr>
      <w:r>
        <w:rPr>
          <w:rFonts w:hint="eastAsia" w:ascii="宋体" w:hAnsi="宋体" w:cs="宋体"/>
          <w:color w:val="auto"/>
          <w:highlight w:val="none"/>
        </w:rPr>
        <w:t>25.4中标供应商拒绝与采购人签订合同的，采购人可以按照评审报告推荐的中标或者成交候选人名单排序，确定下一候选人为中标供应商，也可以重新开展政府采购活动。</w:t>
      </w:r>
    </w:p>
    <w:p w14:paraId="17AA331F">
      <w:pPr>
        <w:pStyle w:val="130"/>
        <w:snapToGrid w:val="0"/>
        <w:spacing w:before="0" w:after="120"/>
        <w:ind w:firstLine="480"/>
        <w:rPr>
          <w:rFonts w:ascii="宋体" w:hAnsi="宋体" w:cs="宋体"/>
          <w:color w:val="auto"/>
          <w:highlight w:val="none"/>
        </w:rPr>
      </w:pPr>
      <w:r>
        <w:rPr>
          <w:rFonts w:hint="eastAsia" w:ascii="宋体" w:hAnsi="宋体" w:cs="宋体"/>
          <w:color w:val="auto"/>
          <w:highlight w:val="none"/>
        </w:rPr>
        <w:t>25.5采购合同由采购人与中标供应商根据招标文件、投标文件等内容签订并备案。（由采购人自行选择线上签订或线下签订）</w:t>
      </w:r>
    </w:p>
    <w:p w14:paraId="6F415449">
      <w:pPr>
        <w:pStyle w:val="3"/>
        <w:spacing w:line="360" w:lineRule="auto"/>
        <w:ind w:left="479" w:hanging="479" w:hangingChars="199"/>
        <w:rPr>
          <w:rFonts w:cs="宋体"/>
          <w:b/>
          <w:color w:val="auto"/>
          <w:highlight w:val="none"/>
        </w:rPr>
      </w:pPr>
      <w:r>
        <w:rPr>
          <w:rFonts w:hint="eastAsia" w:cs="宋体"/>
          <w:b/>
          <w:color w:val="auto"/>
          <w:highlight w:val="none"/>
        </w:rPr>
        <w:t>26. 履约保证金</w:t>
      </w:r>
    </w:p>
    <w:p w14:paraId="6E40E93B">
      <w:pPr>
        <w:tabs>
          <w:tab w:val="left" w:pos="0"/>
        </w:tabs>
        <w:spacing w:line="360" w:lineRule="auto"/>
        <w:ind w:firstLine="482"/>
        <w:rPr>
          <w:rFonts w:ascii="宋体" w:hAnsi="宋体" w:cs="宋体"/>
          <w:color w:val="auto"/>
          <w:sz w:val="24"/>
          <w:highlight w:val="none"/>
        </w:rPr>
      </w:pPr>
      <w:r>
        <w:rPr>
          <w:rFonts w:hint="eastAsia" w:ascii="宋体" w:hAnsi="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auto"/>
          <w:sz w:val="24"/>
          <w:highlight w:val="none"/>
        </w:rPr>
        <w:t>。履约保证金的数额不得超过政府采购合同金额的</w:t>
      </w:r>
      <w:r>
        <w:rPr>
          <w:rFonts w:ascii="宋体" w:hAnsi="宋体" w:cs="宋体"/>
          <w:color w:val="auto"/>
          <w:sz w:val="24"/>
          <w:highlight w:val="none"/>
        </w:rPr>
        <w:t>1</w:t>
      </w:r>
      <w:r>
        <w:rPr>
          <w:rFonts w:hint="eastAsia" w:ascii="宋体" w:hAnsi="宋体" w:cs="宋体"/>
          <w:color w:val="auto"/>
          <w:sz w:val="24"/>
          <w:highlight w:val="none"/>
        </w:rPr>
        <w:t>%，鼓励根据项目特点、供应商诚信等因素免收履约保证金或降低缴纳比例。鼓励和支持供应商以银行、保险公司出具的保函形式提供履约保证金。采购人不得拒收履约保函，项目验收结束后应及时退还，</w:t>
      </w:r>
      <w:r>
        <w:rPr>
          <w:rFonts w:ascii="宋体" w:hAnsi="宋体" w:cs="宋体"/>
          <w:color w:val="auto"/>
          <w:sz w:val="24"/>
          <w:highlight w:val="none"/>
        </w:rPr>
        <w:t>延迟退还的，应当按照合同约定和法律规定承担相应的赔偿责任</w:t>
      </w:r>
      <w:r>
        <w:rPr>
          <w:rFonts w:hint="eastAsia" w:ascii="宋体" w:hAnsi="宋体" w:cs="宋体"/>
          <w:color w:val="auto"/>
          <w:sz w:val="24"/>
          <w:highlight w:val="none"/>
        </w:rPr>
        <w:t>。</w:t>
      </w:r>
    </w:p>
    <w:p w14:paraId="18B339CE">
      <w:pPr>
        <w:tabs>
          <w:tab w:val="left" w:pos="0"/>
        </w:tabs>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37ACC32B">
      <w:pPr>
        <w:rPr>
          <w:color w:val="auto"/>
          <w:highlight w:val="none"/>
        </w:rPr>
      </w:pPr>
      <w:r>
        <w:rPr>
          <w:rFonts w:ascii="宋体" w:hAnsi="宋体"/>
          <w:b/>
          <w:bCs/>
          <w:color w:val="auto"/>
          <w:sz w:val="24"/>
          <w:szCs w:val="32"/>
          <w:highlight w:val="none"/>
        </w:rPr>
        <w:t>27.预付款</w:t>
      </w:r>
    </w:p>
    <w:p w14:paraId="2EF7510B">
      <w:pPr>
        <w:adjustRightInd/>
        <w:spacing w:line="360" w:lineRule="auto"/>
        <w:ind w:firstLine="480" w:firstLineChars="200"/>
        <w:rPr>
          <w:color w:val="auto"/>
          <w:highlight w:val="none"/>
        </w:rPr>
      </w:pPr>
      <w:r>
        <w:rPr>
          <w:rFonts w:hint="eastAsia" w:ascii="宋体" w:hAnsi="宋体" w:cs="宋体"/>
          <w:color w:val="auto"/>
          <w:sz w:val="24"/>
          <w:highlight w:val="none"/>
        </w:rPr>
        <w:t>采购单位应当在政府采购合同中约定预付款，对中小企业合同预付款比例原则上不低于合同金额的</w:t>
      </w:r>
      <w:r>
        <w:rPr>
          <w:rFonts w:ascii="宋体" w:hAnsi="宋体" w:cs="宋体"/>
          <w:color w:val="auto"/>
          <w:sz w:val="24"/>
          <w:highlight w:val="none"/>
        </w:rPr>
        <w:t>40</w:t>
      </w:r>
      <w:r>
        <w:rPr>
          <w:rFonts w:hint="eastAsia" w:ascii="宋体" w:hAnsi="宋体" w:cs="宋体"/>
          <w:color w:val="auto"/>
          <w:sz w:val="24"/>
          <w:highlight w:val="none"/>
        </w:rPr>
        <w:t>%，不高于合同金额的</w:t>
      </w:r>
      <w:r>
        <w:rPr>
          <w:rFonts w:ascii="宋体" w:hAnsi="宋体" w:cs="宋体"/>
          <w:color w:val="auto"/>
          <w:sz w:val="24"/>
          <w:highlight w:val="none"/>
        </w:rPr>
        <w:t>70%；项目分年安排预算的，每年预付款比例</w:t>
      </w:r>
      <w:r>
        <w:rPr>
          <w:rFonts w:hint="eastAsia" w:ascii="宋体" w:hAnsi="宋体" w:cs="宋体"/>
          <w:color w:val="auto"/>
          <w:sz w:val="24"/>
          <w:highlight w:val="none"/>
        </w:rPr>
        <w:t>不低于</w:t>
      </w:r>
      <w:r>
        <w:rPr>
          <w:rFonts w:ascii="宋体" w:hAnsi="宋体" w:cs="宋体"/>
          <w:color w:val="auto"/>
          <w:sz w:val="24"/>
          <w:highlight w:val="none"/>
        </w:rPr>
        <w:t>项目年度计划支付资金额的40</w:t>
      </w:r>
      <w:r>
        <w:rPr>
          <w:rFonts w:hint="eastAsia" w:ascii="宋体" w:hAnsi="宋体" w:cs="宋体"/>
          <w:color w:val="auto"/>
          <w:sz w:val="24"/>
          <w:highlight w:val="none"/>
        </w:rPr>
        <w:t>%，不高于合同金额的</w:t>
      </w:r>
      <w:r>
        <w:rPr>
          <w:rFonts w:ascii="宋体" w:hAnsi="宋体" w:cs="宋体"/>
          <w:color w:val="auto"/>
          <w:sz w:val="24"/>
          <w:highlight w:val="none"/>
        </w:rPr>
        <w:t>70%；采购项目实施以人工投入为主的，</w:t>
      </w:r>
      <w:r>
        <w:rPr>
          <w:rFonts w:hint="eastAsia" w:ascii="宋体" w:hAnsi="宋体" w:cs="宋体"/>
          <w:color w:val="auto"/>
          <w:sz w:val="24"/>
          <w:highlight w:val="none"/>
        </w:rPr>
        <w:t>可适当降低预付款比例，但不得低于</w:t>
      </w:r>
      <w:r>
        <w:rPr>
          <w:rFonts w:ascii="宋体" w:hAnsi="宋体" w:cs="宋体"/>
          <w:color w:val="auto"/>
          <w:sz w:val="24"/>
          <w:highlight w:val="none"/>
        </w:rPr>
        <w:t>20%。对供应商为大型企业的项目或者以人工投入为主且实行按月定期结算支付款项的项目，预付款可低于上述比例或者不约定预付款。在签订合同时，</w:t>
      </w:r>
      <w:r>
        <w:rPr>
          <w:rFonts w:hint="eastAsia" w:ascii="宋体" w:hAnsi="宋体" w:cs="宋体"/>
          <w:color w:val="auto"/>
          <w:sz w:val="24"/>
          <w:highlight w:val="none"/>
        </w:rPr>
        <w:t>供应商</w:t>
      </w:r>
      <w:r>
        <w:rPr>
          <w:rFonts w:ascii="宋体" w:hAnsi="宋体" w:cs="宋体"/>
          <w:color w:val="auto"/>
          <w:sz w:val="24"/>
          <w:highlight w:val="none"/>
        </w:rPr>
        <w:t>明确表示无需预付款或者主动要求降低预付款比例的，</w:t>
      </w:r>
      <w:r>
        <w:rPr>
          <w:rFonts w:hint="eastAsia" w:ascii="宋体" w:hAnsi="宋体" w:cs="宋体"/>
          <w:color w:val="auto"/>
          <w:sz w:val="24"/>
          <w:highlight w:val="none"/>
        </w:rPr>
        <w:t>采购单位</w:t>
      </w:r>
      <w:r>
        <w:rPr>
          <w:rFonts w:ascii="宋体" w:hAnsi="宋体" w:cs="宋体"/>
          <w:color w:val="auto"/>
          <w:sz w:val="24"/>
          <w:highlight w:val="none"/>
        </w:rPr>
        <w:t>可不适用前述规定。</w:t>
      </w:r>
      <w:r>
        <w:rPr>
          <w:rFonts w:hint="eastAsia" w:ascii="宋体" w:hAnsi="宋体" w:cs="宋体"/>
          <w:color w:val="auto"/>
          <w:sz w:val="24"/>
          <w:highlight w:val="none"/>
        </w:rPr>
        <w:t>采购单位</w:t>
      </w:r>
      <w:r>
        <w:rPr>
          <w:rFonts w:ascii="宋体" w:hAnsi="宋体" w:cs="宋体"/>
          <w:color w:val="auto"/>
          <w:sz w:val="24"/>
          <w:highlight w:val="none"/>
        </w:rPr>
        <w:t>根据项目特点、供应商诚信等因素，可以要求</w:t>
      </w:r>
      <w:r>
        <w:rPr>
          <w:rFonts w:hint="eastAsia" w:ascii="宋体" w:hAnsi="宋体" w:cs="宋体"/>
          <w:color w:val="auto"/>
          <w:sz w:val="24"/>
          <w:highlight w:val="none"/>
        </w:rPr>
        <w:t>供应商</w:t>
      </w:r>
      <w:r>
        <w:rPr>
          <w:rFonts w:ascii="宋体" w:hAnsi="宋体" w:cs="宋体"/>
          <w:color w:val="auto"/>
          <w:sz w:val="24"/>
          <w:highlight w:val="none"/>
        </w:rPr>
        <w:t>提交银行、保险公司等金融机构出具的预付款保函或其他担保措施。政府采购预付款应在合同生效以及具备实施条件后</w:t>
      </w:r>
      <w:r>
        <w:rPr>
          <w:rFonts w:hint="eastAsia" w:ascii="宋体" w:hAnsi="宋体" w:cs="宋体"/>
          <w:color w:val="auto"/>
          <w:sz w:val="24"/>
          <w:highlight w:val="none"/>
        </w:rPr>
        <w:t>7</w:t>
      </w:r>
      <w:r>
        <w:rPr>
          <w:rFonts w:ascii="宋体" w:hAnsi="宋体" w:cs="宋体"/>
          <w:color w:val="auto"/>
          <w:sz w:val="24"/>
          <w:highlight w:val="none"/>
        </w:rPr>
        <w:t>个工作日内支付。</w:t>
      </w:r>
      <w:r>
        <w:rPr>
          <w:rFonts w:hint="eastAsia" w:ascii="宋体" w:hAnsi="宋体" w:cs="宋体"/>
          <w:color w:val="auto"/>
          <w:sz w:val="24"/>
          <w:highlight w:val="none"/>
        </w:rPr>
        <w:t>政府采购工程以及与工程建设有关的货物、服务，采用招标方式采购的，预付款从其相关规定。供应商可登录政采云前台大厅选择金融服务</w:t>
      </w:r>
      <w:r>
        <w:rPr>
          <w:rFonts w:ascii="宋体" w:hAnsi="宋体" w:cs="宋体"/>
          <w:color w:val="auto"/>
          <w:sz w:val="24"/>
          <w:highlight w:val="none"/>
        </w:rPr>
        <w:t xml:space="preserve"> - </w:t>
      </w:r>
      <w:r>
        <w:rPr>
          <w:rFonts w:hint="eastAsia" w:ascii="宋体" w:hAnsi="宋体" w:cs="宋体"/>
          <w:color w:val="auto"/>
          <w:sz w:val="24"/>
          <w:highlight w:val="none"/>
        </w:rPr>
        <w:t>【保函保险服务】出具预付款保函，具体步骤：选择产品—填写供应商信息—选择中标项目—确认信息—等待保险</w:t>
      </w:r>
      <w:r>
        <w:rPr>
          <w:rFonts w:ascii="宋体" w:hAnsi="宋体" w:cs="宋体"/>
          <w:color w:val="auto"/>
          <w:sz w:val="24"/>
          <w:highlight w:val="none"/>
        </w:rPr>
        <w:t>/保函受理—确认保单—支付保费—成功出单。政</w:t>
      </w:r>
      <w:r>
        <w:rPr>
          <w:rFonts w:hint="eastAsia" w:ascii="宋体" w:hAnsi="宋体" w:cs="宋体"/>
          <w:color w:val="auto"/>
          <w:sz w:val="24"/>
          <w:highlight w:val="none"/>
        </w:rPr>
        <w:t>采云金融专线</w:t>
      </w:r>
      <w:r>
        <w:rPr>
          <w:rFonts w:ascii="宋体" w:hAnsi="宋体" w:cs="宋体"/>
          <w:color w:val="auto"/>
          <w:sz w:val="24"/>
          <w:highlight w:val="none"/>
        </w:rPr>
        <w:t>400-903-9583。</w:t>
      </w:r>
    </w:p>
    <w:p w14:paraId="49043EC4">
      <w:pPr>
        <w:rPr>
          <w:color w:val="auto"/>
          <w:highlight w:val="none"/>
        </w:rPr>
      </w:pPr>
    </w:p>
    <w:p w14:paraId="57BEF4C6">
      <w:pPr>
        <w:snapToGrid w:val="0"/>
        <w:spacing w:line="360" w:lineRule="auto"/>
        <w:ind w:firstLine="3357" w:firstLineChars="1045"/>
        <w:rPr>
          <w:rFonts w:ascii="宋体" w:hAnsi="宋体" w:cs="宋体"/>
          <w:b/>
          <w:color w:val="auto"/>
          <w:sz w:val="32"/>
          <w:highlight w:val="none"/>
        </w:rPr>
      </w:pPr>
    </w:p>
    <w:p w14:paraId="2D0FDAB7">
      <w:pPr>
        <w:snapToGrid w:val="0"/>
        <w:spacing w:line="360" w:lineRule="auto"/>
        <w:ind w:firstLine="3357" w:firstLineChars="1045"/>
        <w:outlineLvl w:val="1"/>
        <w:rPr>
          <w:rFonts w:ascii="宋体" w:hAnsi="宋体" w:cs="宋体"/>
          <w:b/>
          <w:color w:val="auto"/>
          <w:sz w:val="24"/>
          <w:highlight w:val="none"/>
        </w:rPr>
      </w:pPr>
      <w:r>
        <w:rPr>
          <w:rFonts w:hint="eastAsia" w:ascii="宋体" w:hAnsi="宋体" w:cs="宋体"/>
          <w:b/>
          <w:color w:val="auto"/>
          <w:sz w:val="32"/>
          <w:highlight w:val="none"/>
        </w:rPr>
        <w:t>八、电子交易活动的中止</w:t>
      </w:r>
    </w:p>
    <w:p w14:paraId="26CC4A49">
      <w:pPr>
        <w:pStyle w:val="130"/>
        <w:snapToGrid w:val="0"/>
        <w:spacing w:before="0"/>
        <w:ind w:firstLine="0" w:firstLineChars="0"/>
        <w:rPr>
          <w:rFonts w:ascii="宋体" w:hAnsi="宋体" w:cs="宋体"/>
          <w:color w:val="auto"/>
          <w:highlight w:val="none"/>
        </w:rPr>
      </w:pPr>
      <w:r>
        <w:rPr>
          <w:rFonts w:ascii="宋体" w:hAnsi="宋体" w:cs="宋体"/>
          <w:b/>
          <w:bCs/>
          <w:color w:val="auto"/>
          <w:highlight w:val="none"/>
        </w:rPr>
        <w:t>2</w:t>
      </w:r>
      <w:r>
        <w:rPr>
          <w:rFonts w:ascii="宋体" w:hAnsi="宋体" w:cs="宋体"/>
          <w:b/>
          <w:bCs/>
          <w:color w:val="auto"/>
          <w:szCs w:val="24"/>
          <w:highlight w:val="none"/>
        </w:rPr>
        <w:t>8</w:t>
      </w:r>
      <w:r>
        <w:rPr>
          <w:rFonts w:hint="eastAsia" w:ascii="宋体" w:hAnsi="宋体" w:cs="宋体"/>
          <w:b/>
          <w:color w:val="auto"/>
          <w:szCs w:val="24"/>
          <w:highlight w:val="none"/>
        </w:rPr>
        <w:t>. 电子交易活动的中止。</w:t>
      </w:r>
      <w:r>
        <w:rPr>
          <w:rFonts w:hint="eastAsia" w:ascii="宋体" w:hAnsi="宋体" w:cs="宋体"/>
          <w:color w:val="auto"/>
          <w:highlight w:val="none"/>
        </w:rPr>
        <w:t>采购过程中出现以下情形，导致电子交易平台无法正常运行，或者无法保证电子交易的公平、公正和安全时，采购代理机构可中止电子交易活动：</w:t>
      </w:r>
    </w:p>
    <w:p w14:paraId="5A23AB0E">
      <w:pPr>
        <w:pStyle w:val="130"/>
        <w:snapToGrid w:val="0"/>
        <w:spacing w:before="0"/>
        <w:ind w:firstLine="480"/>
        <w:rPr>
          <w:rFonts w:ascii="宋体" w:hAnsi="宋体" w:cs="宋体"/>
          <w:color w:val="auto"/>
          <w:highlight w:val="none"/>
        </w:rPr>
      </w:pPr>
      <w:r>
        <w:rPr>
          <w:rFonts w:hint="eastAsia" w:ascii="宋体" w:hAnsi="宋体" w:cs="宋体"/>
          <w:color w:val="auto"/>
          <w:highlight w:val="none"/>
        </w:rPr>
        <w:t xml:space="preserve">28.1电子交易平台发生故障而无法登录访问的； </w:t>
      </w:r>
    </w:p>
    <w:p w14:paraId="2266FE94">
      <w:pPr>
        <w:pStyle w:val="130"/>
        <w:snapToGrid w:val="0"/>
        <w:spacing w:before="0"/>
        <w:ind w:firstLine="480"/>
        <w:rPr>
          <w:rFonts w:ascii="宋体" w:hAnsi="宋体" w:cs="宋体"/>
          <w:color w:val="auto"/>
          <w:highlight w:val="none"/>
        </w:rPr>
      </w:pPr>
      <w:r>
        <w:rPr>
          <w:rFonts w:hint="eastAsia" w:ascii="宋体" w:hAnsi="宋体" w:cs="宋体"/>
          <w:color w:val="auto"/>
          <w:highlight w:val="none"/>
        </w:rPr>
        <w:t>28.2电子交易平台应用或数据库出现错误，不能进行正常操作的；</w:t>
      </w:r>
    </w:p>
    <w:p w14:paraId="5FC64518">
      <w:pPr>
        <w:pStyle w:val="130"/>
        <w:snapToGrid w:val="0"/>
        <w:spacing w:before="0"/>
        <w:ind w:firstLine="480"/>
        <w:rPr>
          <w:rFonts w:ascii="宋体" w:hAnsi="宋体" w:cs="宋体"/>
          <w:color w:val="auto"/>
          <w:highlight w:val="none"/>
        </w:rPr>
      </w:pPr>
      <w:r>
        <w:rPr>
          <w:rFonts w:hint="eastAsia" w:ascii="宋体" w:hAnsi="宋体" w:cs="宋体"/>
          <w:color w:val="auto"/>
          <w:highlight w:val="none"/>
        </w:rPr>
        <w:t>28.3电子交易平台发现严重安全漏洞，有潜在泄密危险的；</w:t>
      </w:r>
    </w:p>
    <w:p w14:paraId="020016F5">
      <w:pPr>
        <w:pStyle w:val="130"/>
        <w:snapToGrid w:val="0"/>
        <w:spacing w:before="0"/>
        <w:ind w:firstLine="480"/>
        <w:rPr>
          <w:rFonts w:ascii="宋体" w:hAnsi="宋体" w:cs="宋体"/>
          <w:color w:val="auto"/>
          <w:highlight w:val="none"/>
        </w:rPr>
      </w:pPr>
      <w:r>
        <w:rPr>
          <w:rFonts w:hint="eastAsia" w:ascii="宋体" w:hAnsi="宋体" w:cs="宋体"/>
          <w:color w:val="auto"/>
          <w:highlight w:val="none"/>
        </w:rPr>
        <w:t xml:space="preserve">28.4病毒发作导致不能进行正常操作的； </w:t>
      </w:r>
    </w:p>
    <w:p w14:paraId="3E85A9CF">
      <w:pPr>
        <w:pStyle w:val="130"/>
        <w:snapToGrid w:val="0"/>
        <w:spacing w:before="0"/>
        <w:ind w:firstLine="480"/>
        <w:rPr>
          <w:rFonts w:ascii="宋体" w:hAnsi="宋体" w:cs="宋体"/>
          <w:color w:val="auto"/>
          <w:highlight w:val="none"/>
        </w:rPr>
      </w:pPr>
      <w:r>
        <w:rPr>
          <w:rFonts w:hint="eastAsia" w:ascii="宋体" w:hAnsi="宋体" w:cs="宋体"/>
          <w:color w:val="auto"/>
          <w:highlight w:val="none"/>
        </w:rPr>
        <w:t>28.5其他无法保证电子交易的公平、公正和安全的情况。</w:t>
      </w:r>
    </w:p>
    <w:p w14:paraId="5D5DED7F">
      <w:pPr>
        <w:pStyle w:val="130"/>
        <w:snapToGrid w:val="0"/>
        <w:spacing w:before="0"/>
        <w:ind w:firstLine="0" w:firstLineChars="0"/>
        <w:rPr>
          <w:rFonts w:ascii="宋体" w:hAnsi="宋体" w:cs="宋体"/>
          <w:color w:val="auto"/>
          <w:highlight w:val="none"/>
        </w:rPr>
      </w:pPr>
      <w:r>
        <w:rPr>
          <w:rFonts w:hint="eastAsia" w:ascii="宋体" w:hAnsi="宋体" w:cs="宋体"/>
          <w:color w:val="auto"/>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31EEA9C2">
      <w:pPr>
        <w:tabs>
          <w:tab w:val="left" w:pos="0"/>
        </w:tabs>
        <w:spacing w:line="360" w:lineRule="auto"/>
        <w:ind w:firstLine="480"/>
        <w:rPr>
          <w:rFonts w:ascii="宋体" w:hAnsi="宋体" w:cs="宋体"/>
          <w:color w:val="auto"/>
          <w:sz w:val="24"/>
          <w:highlight w:val="none"/>
        </w:rPr>
      </w:pPr>
    </w:p>
    <w:p w14:paraId="0FE33515">
      <w:pPr>
        <w:snapToGrid w:val="0"/>
        <w:spacing w:line="360" w:lineRule="auto"/>
        <w:ind w:left="120" w:leftChars="57" w:firstLine="482" w:firstLineChars="150"/>
        <w:jc w:val="center"/>
        <w:outlineLvl w:val="1"/>
        <w:rPr>
          <w:rFonts w:ascii="宋体" w:hAnsi="宋体" w:cs="宋体"/>
          <w:b/>
          <w:color w:val="auto"/>
          <w:sz w:val="32"/>
          <w:highlight w:val="none"/>
        </w:rPr>
      </w:pPr>
      <w:r>
        <w:rPr>
          <w:rFonts w:hint="eastAsia" w:ascii="宋体" w:hAnsi="宋体" w:cs="宋体"/>
          <w:b/>
          <w:color w:val="auto"/>
          <w:sz w:val="32"/>
          <w:highlight w:val="none"/>
        </w:rPr>
        <w:t>九、验收</w:t>
      </w:r>
    </w:p>
    <w:p w14:paraId="52A3D7B1">
      <w:pPr>
        <w:pStyle w:val="3"/>
        <w:spacing w:line="360" w:lineRule="auto"/>
        <w:ind w:firstLine="0" w:firstLineChars="0"/>
        <w:rPr>
          <w:rFonts w:cs="宋体"/>
          <w:b/>
          <w:color w:val="auto"/>
          <w:highlight w:val="none"/>
        </w:rPr>
      </w:pPr>
      <w:r>
        <w:rPr>
          <w:rFonts w:hint="eastAsia" w:cs="宋体"/>
          <w:b/>
          <w:color w:val="auto"/>
          <w:highlight w:val="none"/>
        </w:rPr>
        <w:t>30.验收</w:t>
      </w:r>
    </w:p>
    <w:p w14:paraId="3F4B570C">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064993E0">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30.2采购人可以邀请参加本项目的其他投标人或者第三方机构参与验收。参与验收的投标人或者第三方机构的意见作为验收书的参考资料一并存档。</w:t>
      </w:r>
    </w:p>
    <w:p w14:paraId="40B56EA1">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FADBBD9">
      <w:pPr>
        <w:tabs>
          <w:tab w:val="left" w:pos="0"/>
        </w:tabs>
        <w:spacing w:line="360" w:lineRule="auto"/>
        <w:ind w:firstLine="480"/>
        <w:rPr>
          <w:rFonts w:ascii="宋体" w:hAnsi="宋体" w:cs="宋体"/>
          <w:color w:val="auto"/>
          <w:sz w:val="18"/>
          <w:szCs w:val="18"/>
          <w:highlight w:val="none"/>
        </w:rPr>
      </w:pPr>
      <w:r>
        <w:rPr>
          <w:rFonts w:hint="eastAsia" w:ascii="宋体" w:hAnsi="宋体" w:cs="宋体"/>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0"/>
    <w:p w14:paraId="4896A894">
      <w:pPr>
        <w:tabs>
          <w:tab w:val="left" w:pos="0"/>
        </w:tabs>
        <w:spacing w:line="360" w:lineRule="auto"/>
        <w:ind w:firstLine="480"/>
        <w:rPr>
          <w:rFonts w:ascii="宋体" w:hAnsi="宋体" w:cs="宋体"/>
          <w:color w:val="auto"/>
          <w:kern w:val="0"/>
          <w:sz w:val="24"/>
          <w:highlight w:val="none"/>
        </w:rPr>
        <w:sectPr>
          <w:footerReference r:id="rId9" w:type="first"/>
          <w:footerReference r:id="rId8" w:type="default"/>
          <w:pgSz w:w="11906" w:h="16838"/>
          <w:pgMar w:top="680" w:right="1418" w:bottom="468" w:left="1418" w:header="851" w:footer="992" w:gutter="0"/>
          <w:pgBorders>
            <w:top w:val="none" w:sz="0" w:space="0"/>
            <w:left w:val="none" w:sz="0" w:space="0"/>
            <w:bottom w:val="none" w:sz="0" w:space="0"/>
            <w:right w:val="none" w:sz="0" w:space="0"/>
          </w:pgBorders>
          <w:pgNumType w:fmt="decimal" w:start="1"/>
          <w:cols w:space="720" w:num="1"/>
          <w:titlePg/>
          <w:docGrid w:linePitch="312" w:charSpace="0"/>
        </w:sectPr>
      </w:pPr>
      <w:bookmarkStart w:id="12" w:name="_Hlt68057669"/>
      <w:bookmarkEnd w:id="12"/>
      <w:bookmarkStart w:id="13" w:name="_Hlt74729768"/>
      <w:bookmarkEnd w:id="13"/>
      <w:bookmarkStart w:id="14" w:name="_Hlt74707468"/>
      <w:bookmarkEnd w:id="14"/>
      <w:bookmarkStart w:id="15" w:name="_Hlt74714665"/>
      <w:bookmarkEnd w:id="15"/>
      <w:bookmarkStart w:id="16" w:name="_Hlt75236011"/>
      <w:bookmarkEnd w:id="16"/>
      <w:bookmarkStart w:id="17" w:name="_Hlt68072990"/>
      <w:bookmarkEnd w:id="17"/>
      <w:bookmarkStart w:id="18" w:name="_Hlt75236101"/>
      <w:bookmarkEnd w:id="18"/>
      <w:bookmarkStart w:id="19" w:name="_Hlt68073093"/>
      <w:bookmarkEnd w:id="19"/>
      <w:bookmarkStart w:id="20" w:name="_Hlt68403820"/>
      <w:bookmarkEnd w:id="20"/>
      <w:bookmarkStart w:id="21" w:name="_Hlt74730295"/>
      <w:bookmarkEnd w:id="21"/>
      <w:bookmarkStart w:id="22" w:name="_Hlt68072998"/>
      <w:bookmarkEnd w:id="22"/>
      <w:bookmarkStart w:id="23" w:name="_Hlt75236290"/>
      <w:bookmarkEnd w:id="23"/>
    </w:p>
    <w:bookmarkEnd w:id="8"/>
    <w:bookmarkEnd w:id="9"/>
    <w:p w14:paraId="03CC926A">
      <w:pPr>
        <w:spacing w:line="360" w:lineRule="auto"/>
        <w:jc w:val="center"/>
        <w:outlineLvl w:val="0"/>
        <w:rPr>
          <w:rFonts w:ascii="宋体" w:hAnsi="宋体" w:cs="宋体"/>
          <w:b/>
          <w:color w:val="auto"/>
          <w:sz w:val="36"/>
          <w:szCs w:val="36"/>
          <w:highlight w:val="none"/>
        </w:rPr>
      </w:pPr>
      <w:bookmarkStart w:id="24" w:name="_Toc24290"/>
      <w:bookmarkStart w:id="25" w:name="第四部分"/>
      <w:r>
        <w:rPr>
          <w:rFonts w:hint="eastAsia" w:ascii="宋体" w:hAnsi="宋体" w:cs="宋体"/>
          <w:b/>
          <w:color w:val="auto"/>
          <w:sz w:val="36"/>
          <w:szCs w:val="36"/>
          <w:highlight w:val="none"/>
        </w:rPr>
        <w:t>第三部分 采购需求</w:t>
      </w:r>
      <w:bookmarkEnd w:id="24"/>
    </w:p>
    <w:p w14:paraId="3330AA04">
      <w:pPr>
        <w:adjustRightInd/>
        <w:spacing w:line="360" w:lineRule="auto"/>
        <w:ind w:firstLine="3830" w:firstLineChars="1197"/>
        <w:rPr>
          <w:rFonts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62"/>
        <w:tblW w:w="86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2318"/>
        <w:gridCol w:w="5630"/>
      </w:tblGrid>
      <w:tr w14:paraId="62B3C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01" w:type="dxa"/>
            <w:vAlign w:val="center"/>
          </w:tcPr>
          <w:p w14:paraId="2280AF33">
            <w:pPr>
              <w:adjustRightInd/>
              <w:spacing w:line="336"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2318" w:type="dxa"/>
            <w:vAlign w:val="center"/>
          </w:tcPr>
          <w:p w14:paraId="55BB343F">
            <w:pPr>
              <w:adjustRightInd/>
              <w:spacing w:line="336" w:lineRule="auto"/>
              <w:jc w:val="center"/>
              <w:rPr>
                <w:rFonts w:ascii="宋体" w:hAnsi="宋体" w:cs="宋体"/>
                <w:b/>
                <w:color w:val="auto"/>
                <w:sz w:val="24"/>
                <w:highlight w:val="none"/>
              </w:rPr>
            </w:pPr>
            <w:r>
              <w:rPr>
                <w:rFonts w:hint="eastAsia" w:ascii="宋体" w:hAnsi="宋体" w:cs="宋体"/>
                <w:b/>
                <w:color w:val="auto"/>
                <w:sz w:val="24"/>
                <w:highlight w:val="none"/>
              </w:rPr>
              <w:t>项目</w:t>
            </w:r>
          </w:p>
        </w:tc>
        <w:tc>
          <w:tcPr>
            <w:tcW w:w="5630" w:type="dxa"/>
            <w:vAlign w:val="center"/>
          </w:tcPr>
          <w:p w14:paraId="6412E680">
            <w:pPr>
              <w:adjustRightInd/>
              <w:spacing w:line="336" w:lineRule="auto"/>
              <w:jc w:val="center"/>
              <w:rPr>
                <w:rFonts w:ascii="宋体" w:hAnsi="宋体" w:cs="宋体"/>
                <w:b/>
                <w:color w:val="auto"/>
                <w:sz w:val="24"/>
                <w:highlight w:val="none"/>
              </w:rPr>
            </w:pPr>
            <w:r>
              <w:rPr>
                <w:rFonts w:hint="eastAsia" w:ascii="宋体" w:hAnsi="宋体" w:cs="宋体"/>
                <w:b/>
                <w:color w:val="auto"/>
                <w:sz w:val="24"/>
                <w:highlight w:val="none"/>
              </w:rPr>
              <w:t>采购需求内容</w:t>
            </w:r>
          </w:p>
        </w:tc>
      </w:tr>
      <w:tr w14:paraId="52851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01" w:type="dxa"/>
            <w:vAlign w:val="center"/>
          </w:tcPr>
          <w:p w14:paraId="7A077A20">
            <w:pPr>
              <w:adjustRightInd/>
              <w:spacing w:line="336"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2318" w:type="dxa"/>
            <w:vAlign w:val="center"/>
          </w:tcPr>
          <w:p w14:paraId="02C15488">
            <w:pPr>
              <w:adjustRightInd/>
              <w:spacing w:line="336" w:lineRule="auto"/>
              <w:jc w:val="left"/>
              <w:rPr>
                <w:rFonts w:ascii="宋体" w:hAnsi="宋体" w:cs="宋体"/>
                <w:color w:val="auto"/>
                <w:sz w:val="24"/>
                <w:highlight w:val="none"/>
              </w:rPr>
            </w:pPr>
            <w:r>
              <w:rPr>
                <w:rFonts w:hint="eastAsia" w:ascii="宋体" w:hAnsi="宋体" w:cs="宋体"/>
                <w:color w:val="auto"/>
                <w:sz w:val="24"/>
                <w:highlight w:val="none"/>
              </w:rPr>
              <w:t>采购内容</w:t>
            </w:r>
          </w:p>
        </w:tc>
        <w:tc>
          <w:tcPr>
            <w:tcW w:w="5630" w:type="dxa"/>
            <w:vAlign w:val="center"/>
          </w:tcPr>
          <w:p w14:paraId="3B1F20B3">
            <w:pPr>
              <w:adjustRightInd/>
              <w:spacing w:line="336" w:lineRule="auto"/>
              <w:rPr>
                <w:rFonts w:ascii="宋体" w:hAnsi="宋体" w:cs="宋体"/>
                <w:color w:val="auto"/>
                <w:sz w:val="24"/>
                <w:highlight w:val="none"/>
              </w:rPr>
            </w:pPr>
            <w:r>
              <w:rPr>
                <w:rFonts w:hint="eastAsia" w:ascii="宋体" w:hAnsi="宋体" w:cs="宋体"/>
                <w:bCs/>
                <w:color w:val="auto"/>
                <w:sz w:val="24"/>
                <w:highlight w:val="none"/>
              </w:rPr>
              <w:t>详见</w:t>
            </w:r>
            <w:r>
              <w:rPr>
                <w:rFonts w:hint="eastAsia" w:ascii="宋体" w:hAnsi="宋体" w:cs="宋体"/>
                <w:color w:val="auto"/>
                <w:sz w:val="24"/>
                <w:highlight w:val="none"/>
              </w:rPr>
              <w:t>本部分内容</w:t>
            </w:r>
          </w:p>
        </w:tc>
      </w:tr>
      <w:tr w14:paraId="27B13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01" w:type="dxa"/>
            <w:vAlign w:val="center"/>
          </w:tcPr>
          <w:p w14:paraId="28240DE2">
            <w:pPr>
              <w:adjustRightInd/>
              <w:spacing w:line="336"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2318" w:type="dxa"/>
            <w:vAlign w:val="center"/>
          </w:tcPr>
          <w:p w14:paraId="0CBE83E6">
            <w:pPr>
              <w:adjustRightInd/>
              <w:spacing w:line="336" w:lineRule="auto"/>
              <w:jc w:val="left"/>
              <w:rPr>
                <w:rFonts w:ascii="宋体" w:hAnsi="宋体" w:cs="宋体"/>
                <w:color w:val="auto"/>
                <w:sz w:val="24"/>
                <w:highlight w:val="none"/>
              </w:rPr>
            </w:pPr>
            <w:r>
              <w:rPr>
                <w:rFonts w:hint="eastAsia" w:ascii="宋体" w:hAnsi="宋体" w:cs="宋体"/>
                <w:color w:val="auto"/>
                <w:sz w:val="24"/>
                <w:highlight w:val="none"/>
              </w:rPr>
              <w:t>单位及数量</w:t>
            </w:r>
          </w:p>
        </w:tc>
        <w:tc>
          <w:tcPr>
            <w:tcW w:w="5630" w:type="dxa"/>
            <w:vAlign w:val="center"/>
          </w:tcPr>
          <w:p w14:paraId="46B14C15">
            <w:pPr>
              <w:adjustRightInd/>
              <w:spacing w:line="336" w:lineRule="auto"/>
              <w:rPr>
                <w:rFonts w:ascii="宋体" w:hAnsi="宋体" w:cs="宋体"/>
                <w:color w:val="auto"/>
                <w:sz w:val="24"/>
                <w:highlight w:val="none"/>
              </w:rPr>
            </w:pPr>
            <w:r>
              <w:rPr>
                <w:rFonts w:hint="eastAsia" w:ascii="宋体" w:hAnsi="宋体" w:cs="宋体"/>
                <w:bCs/>
                <w:color w:val="auto"/>
                <w:sz w:val="24"/>
                <w:highlight w:val="none"/>
              </w:rPr>
              <w:t>详见第一部分 招标公告</w:t>
            </w:r>
          </w:p>
        </w:tc>
      </w:tr>
      <w:tr w14:paraId="363D9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701" w:type="dxa"/>
            <w:vAlign w:val="center"/>
          </w:tcPr>
          <w:p w14:paraId="10A85E8E">
            <w:pPr>
              <w:adjustRightInd/>
              <w:spacing w:line="336" w:lineRule="auto"/>
              <w:jc w:val="center"/>
              <w:rPr>
                <w:rFonts w:ascii="宋体" w:hAnsi="宋体" w:cs="宋体"/>
                <w:color w:val="auto"/>
                <w:sz w:val="24"/>
                <w:highlight w:val="none"/>
              </w:rPr>
            </w:pPr>
            <w:r>
              <w:rPr>
                <w:rFonts w:hint="eastAsia" w:ascii="宋体" w:hAnsi="宋体" w:cs="宋体"/>
                <w:color w:val="auto"/>
                <w:sz w:val="24"/>
                <w:highlight w:val="none"/>
              </w:rPr>
              <w:t>3</w:t>
            </w:r>
          </w:p>
        </w:tc>
        <w:tc>
          <w:tcPr>
            <w:tcW w:w="2318" w:type="dxa"/>
            <w:vAlign w:val="center"/>
          </w:tcPr>
          <w:p w14:paraId="1E5922FE">
            <w:pPr>
              <w:adjustRightInd/>
              <w:spacing w:line="336" w:lineRule="auto"/>
              <w:jc w:val="left"/>
              <w:textAlignment w:val="baseline"/>
              <w:rPr>
                <w:rFonts w:ascii="宋体" w:hAnsi="宋体" w:cs="宋体"/>
                <w:color w:val="auto"/>
                <w:sz w:val="24"/>
                <w:highlight w:val="none"/>
              </w:rPr>
            </w:pPr>
            <w:r>
              <w:rPr>
                <w:rFonts w:hint="eastAsia" w:ascii="宋体" w:hAnsi="宋体" w:cs="宋体"/>
                <w:color w:val="auto"/>
                <w:sz w:val="24"/>
                <w:highlight w:val="none"/>
              </w:rPr>
              <w:t>交付或者实施的时间和地点</w:t>
            </w:r>
          </w:p>
        </w:tc>
        <w:tc>
          <w:tcPr>
            <w:tcW w:w="5630" w:type="dxa"/>
            <w:vAlign w:val="center"/>
          </w:tcPr>
          <w:p w14:paraId="2FEFFB2C">
            <w:pPr>
              <w:numPr>
                <w:ilvl w:val="0"/>
                <w:numId w:val="1"/>
              </w:numPr>
              <w:adjustRightInd/>
              <w:spacing w:line="336" w:lineRule="auto"/>
              <w:rPr>
                <w:rFonts w:ascii="宋体" w:hAnsi="宋体" w:cs="宋体"/>
                <w:color w:val="auto"/>
                <w:sz w:val="24"/>
                <w:highlight w:val="none"/>
              </w:rPr>
            </w:pPr>
            <w:r>
              <w:rPr>
                <w:rFonts w:hint="eastAsia" w:ascii="宋体" w:hAnsi="宋体" w:cs="宋体"/>
                <w:color w:val="auto"/>
                <w:sz w:val="24"/>
                <w:highlight w:val="none"/>
              </w:rPr>
              <w:t>合同履约期限：详见第一部分 招标公告</w:t>
            </w:r>
          </w:p>
          <w:p w14:paraId="168E93AC">
            <w:pPr>
              <w:numPr>
                <w:ilvl w:val="0"/>
                <w:numId w:val="1"/>
              </w:numPr>
              <w:adjustRightInd/>
              <w:spacing w:line="336" w:lineRule="auto"/>
              <w:rPr>
                <w:rFonts w:ascii="宋体" w:hAnsi="宋体" w:cs="宋体"/>
                <w:color w:val="auto"/>
                <w:sz w:val="24"/>
                <w:highlight w:val="none"/>
              </w:rPr>
            </w:pPr>
            <w:r>
              <w:rPr>
                <w:rFonts w:hint="eastAsia" w:ascii="宋体" w:hAnsi="宋体" w:cs="宋体"/>
                <w:color w:val="auto"/>
                <w:sz w:val="24"/>
                <w:highlight w:val="none"/>
              </w:rPr>
              <w:t>实施地点：详见本部分内容</w:t>
            </w:r>
          </w:p>
        </w:tc>
      </w:tr>
      <w:tr w14:paraId="761E1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01" w:type="dxa"/>
            <w:vAlign w:val="center"/>
          </w:tcPr>
          <w:p w14:paraId="2F239D13">
            <w:pPr>
              <w:adjustRightInd/>
              <w:spacing w:line="336" w:lineRule="auto"/>
              <w:jc w:val="center"/>
              <w:rPr>
                <w:rFonts w:ascii="宋体" w:hAnsi="宋体" w:cs="宋体"/>
                <w:color w:val="auto"/>
                <w:sz w:val="24"/>
                <w:highlight w:val="none"/>
              </w:rPr>
            </w:pPr>
            <w:r>
              <w:rPr>
                <w:rFonts w:hint="eastAsia" w:ascii="宋体" w:hAnsi="宋体" w:cs="宋体"/>
                <w:color w:val="auto"/>
                <w:sz w:val="24"/>
                <w:highlight w:val="none"/>
              </w:rPr>
              <w:t>4</w:t>
            </w:r>
          </w:p>
        </w:tc>
        <w:tc>
          <w:tcPr>
            <w:tcW w:w="2318" w:type="dxa"/>
            <w:vAlign w:val="center"/>
          </w:tcPr>
          <w:p w14:paraId="543825CB">
            <w:pPr>
              <w:adjustRightInd/>
              <w:spacing w:line="336" w:lineRule="auto"/>
              <w:jc w:val="left"/>
              <w:textAlignment w:val="baseline"/>
              <w:rPr>
                <w:rFonts w:ascii="宋体" w:hAnsi="宋体" w:cs="宋体"/>
                <w:color w:val="auto"/>
                <w:sz w:val="24"/>
                <w:highlight w:val="none"/>
              </w:rPr>
            </w:pPr>
            <w:r>
              <w:rPr>
                <w:rFonts w:hint="eastAsia" w:ascii="宋体" w:hAnsi="宋体" w:cs="宋体"/>
                <w:color w:val="auto"/>
                <w:sz w:val="24"/>
                <w:highlight w:val="none"/>
              </w:rPr>
              <w:t>需实现的功能或者目标</w:t>
            </w:r>
          </w:p>
        </w:tc>
        <w:tc>
          <w:tcPr>
            <w:tcW w:w="5630" w:type="dxa"/>
            <w:vAlign w:val="center"/>
          </w:tcPr>
          <w:p w14:paraId="44A25571">
            <w:pPr>
              <w:adjustRightInd/>
              <w:spacing w:line="336" w:lineRule="auto"/>
              <w:jc w:val="left"/>
              <w:rPr>
                <w:rFonts w:ascii="宋体" w:hAnsi="宋体" w:cs="宋体"/>
                <w:color w:val="auto"/>
                <w:sz w:val="24"/>
                <w:highlight w:val="none"/>
              </w:rPr>
            </w:pPr>
            <w:r>
              <w:rPr>
                <w:rFonts w:hint="eastAsia" w:ascii="宋体" w:hAnsi="宋体" w:cs="宋体"/>
                <w:color w:val="auto"/>
                <w:sz w:val="24"/>
                <w:highlight w:val="none"/>
              </w:rPr>
              <w:t>详见本部分内容</w:t>
            </w:r>
          </w:p>
        </w:tc>
      </w:tr>
      <w:tr w14:paraId="59824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1" w:type="dxa"/>
            <w:vAlign w:val="center"/>
          </w:tcPr>
          <w:p w14:paraId="5DDB6E8C">
            <w:pPr>
              <w:adjustRightInd/>
              <w:spacing w:line="336" w:lineRule="auto"/>
              <w:jc w:val="center"/>
              <w:rPr>
                <w:rFonts w:ascii="宋体" w:hAnsi="宋体" w:cs="宋体"/>
                <w:color w:val="auto"/>
                <w:sz w:val="24"/>
                <w:highlight w:val="none"/>
              </w:rPr>
            </w:pPr>
            <w:r>
              <w:rPr>
                <w:rFonts w:hint="eastAsia" w:ascii="宋体" w:hAnsi="宋体" w:cs="宋体"/>
                <w:color w:val="auto"/>
                <w:sz w:val="24"/>
                <w:highlight w:val="none"/>
              </w:rPr>
              <w:t>5</w:t>
            </w:r>
          </w:p>
        </w:tc>
        <w:tc>
          <w:tcPr>
            <w:tcW w:w="2318" w:type="dxa"/>
            <w:vAlign w:val="center"/>
          </w:tcPr>
          <w:p w14:paraId="1074ACEC">
            <w:pPr>
              <w:adjustRightInd/>
              <w:spacing w:line="336" w:lineRule="auto"/>
              <w:jc w:val="left"/>
              <w:textAlignment w:val="baseline"/>
              <w:rPr>
                <w:rFonts w:ascii="宋体" w:hAnsi="宋体" w:cs="宋体"/>
                <w:color w:val="auto"/>
                <w:sz w:val="24"/>
                <w:highlight w:val="none"/>
              </w:rPr>
            </w:pPr>
            <w:r>
              <w:rPr>
                <w:rFonts w:hint="eastAsia" w:ascii="宋体" w:hAnsi="宋体" w:cs="宋体"/>
                <w:color w:val="auto"/>
                <w:sz w:val="24"/>
                <w:highlight w:val="none"/>
              </w:rPr>
              <w:t>执行的国家相关标准、行业标准、地方标准或者其他标准、规范</w:t>
            </w:r>
          </w:p>
        </w:tc>
        <w:tc>
          <w:tcPr>
            <w:tcW w:w="5630" w:type="dxa"/>
            <w:vAlign w:val="center"/>
          </w:tcPr>
          <w:p w14:paraId="03660C2C">
            <w:pPr>
              <w:adjustRightInd/>
              <w:spacing w:line="336" w:lineRule="auto"/>
              <w:rPr>
                <w:rFonts w:ascii="宋体" w:hAnsi="宋体" w:cs="宋体"/>
                <w:color w:val="auto"/>
                <w:sz w:val="24"/>
                <w:highlight w:val="none"/>
              </w:rPr>
            </w:pPr>
            <w:r>
              <w:rPr>
                <w:rFonts w:hint="eastAsia" w:ascii="宋体" w:hAnsi="宋体" w:cs="宋体"/>
                <w:color w:val="auto"/>
                <w:sz w:val="24"/>
                <w:highlight w:val="none"/>
              </w:rPr>
              <w:t>详见本部分内容</w:t>
            </w:r>
          </w:p>
        </w:tc>
      </w:tr>
      <w:tr w14:paraId="40438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01" w:type="dxa"/>
            <w:vAlign w:val="center"/>
          </w:tcPr>
          <w:p w14:paraId="29F8B068">
            <w:pPr>
              <w:adjustRightInd/>
              <w:spacing w:line="336" w:lineRule="auto"/>
              <w:jc w:val="center"/>
              <w:rPr>
                <w:rFonts w:ascii="宋体" w:hAnsi="宋体" w:cs="宋体"/>
                <w:color w:val="auto"/>
                <w:sz w:val="24"/>
                <w:highlight w:val="none"/>
              </w:rPr>
            </w:pPr>
            <w:r>
              <w:rPr>
                <w:rFonts w:hint="eastAsia" w:ascii="宋体" w:hAnsi="宋体" w:cs="宋体"/>
                <w:color w:val="auto"/>
                <w:sz w:val="24"/>
                <w:highlight w:val="none"/>
              </w:rPr>
              <w:t>6</w:t>
            </w:r>
          </w:p>
        </w:tc>
        <w:tc>
          <w:tcPr>
            <w:tcW w:w="2318" w:type="dxa"/>
            <w:vAlign w:val="center"/>
          </w:tcPr>
          <w:p w14:paraId="15AB3553">
            <w:pPr>
              <w:adjustRightInd/>
              <w:spacing w:line="336" w:lineRule="auto"/>
              <w:jc w:val="left"/>
              <w:rPr>
                <w:rFonts w:ascii="宋体" w:hAnsi="宋体" w:cs="宋体"/>
                <w:color w:val="auto"/>
                <w:sz w:val="24"/>
                <w:highlight w:val="none"/>
              </w:rPr>
            </w:pPr>
            <w:r>
              <w:rPr>
                <w:rFonts w:hint="eastAsia" w:ascii="宋体" w:hAnsi="宋体" w:cs="宋体"/>
                <w:color w:val="auto"/>
                <w:sz w:val="24"/>
                <w:highlight w:val="none"/>
              </w:rPr>
              <w:t>技术规格要求</w:t>
            </w:r>
          </w:p>
        </w:tc>
        <w:tc>
          <w:tcPr>
            <w:tcW w:w="5630" w:type="dxa"/>
            <w:vAlign w:val="center"/>
          </w:tcPr>
          <w:p w14:paraId="16E5D2CD">
            <w:pPr>
              <w:adjustRightInd/>
              <w:spacing w:line="336" w:lineRule="auto"/>
              <w:jc w:val="left"/>
              <w:rPr>
                <w:rFonts w:ascii="宋体" w:hAnsi="宋体" w:cs="宋体"/>
                <w:color w:val="auto"/>
                <w:sz w:val="24"/>
                <w:highlight w:val="none"/>
              </w:rPr>
            </w:pPr>
            <w:r>
              <w:rPr>
                <w:rFonts w:hint="eastAsia" w:ascii="宋体" w:hAnsi="宋体" w:cs="宋体"/>
                <w:color w:val="auto"/>
                <w:sz w:val="24"/>
                <w:highlight w:val="none"/>
              </w:rPr>
              <w:t>详见本部分内容</w:t>
            </w:r>
          </w:p>
        </w:tc>
      </w:tr>
      <w:tr w14:paraId="0BC37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01" w:type="dxa"/>
            <w:vAlign w:val="center"/>
          </w:tcPr>
          <w:p w14:paraId="31E817AC">
            <w:pPr>
              <w:adjustRightInd/>
              <w:spacing w:line="336" w:lineRule="auto"/>
              <w:jc w:val="center"/>
              <w:rPr>
                <w:rFonts w:ascii="宋体" w:hAnsi="宋体" w:cs="宋体"/>
                <w:color w:val="auto"/>
                <w:sz w:val="24"/>
                <w:highlight w:val="none"/>
              </w:rPr>
            </w:pPr>
            <w:r>
              <w:rPr>
                <w:rFonts w:hint="eastAsia" w:ascii="宋体" w:hAnsi="宋体" w:cs="宋体"/>
                <w:color w:val="auto"/>
                <w:sz w:val="24"/>
                <w:highlight w:val="none"/>
              </w:rPr>
              <w:t>7</w:t>
            </w:r>
          </w:p>
        </w:tc>
        <w:tc>
          <w:tcPr>
            <w:tcW w:w="2318" w:type="dxa"/>
            <w:vAlign w:val="center"/>
          </w:tcPr>
          <w:p w14:paraId="32D1FF87">
            <w:pPr>
              <w:adjustRightInd/>
              <w:spacing w:line="336" w:lineRule="auto"/>
              <w:jc w:val="left"/>
              <w:rPr>
                <w:rFonts w:ascii="宋体" w:hAnsi="宋体" w:cs="宋体"/>
                <w:color w:val="auto"/>
                <w:sz w:val="24"/>
                <w:highlight w:val="none"/>
              </w:rPr>
            </w:pPr>
            <w:r>
              <w:rPr>
                <w:rFonts w:hint="eastAsia" w:ascii="宋体" w:hAnsi="宋体" w:cs="宋体"/>
                <w:color w:val="auto"/>
                <w:sz w:val="24"/>
                <w:highlight w:val="none"/>
              </w:rPr>
              <w:t>物理特性要求</w:t>
            </w:r>
          </w:p>
        </w:tc>
        <w:tc>
          <w:tcPr>
            <w:tcW w:w="5630" w:type="dxa"/>
            <w:vAlign w:val="center"/>
          </w:tcPr>
          <w:p w14:paraId="7C27D266">
            <w:pPr>
              <w:adjustRightInd/>
              <w:spacing w:line="336" w:lineRule="auto"/>
              <w:jc w:val="left"/>
              <w:rPr>
                <w:rFonts w:ascii="宋体" w:hAnsi="宋体" w:cs="宋体"/>
                <w:color w:val="auto"/>
                <w:sz w:val="24"/>
                <w:highlight w:val="none"/>
              </w:rPr>
            </w:pPr>
            <w:r>
              <w:rPr>
                <w:rFonts w:hint="eastAsia" w:ascii="宋体" w:hAnsi="宋体" w:cs="宋体"/>
                <w:color w:val="auto"/>
                <w:sz w:val="24"/>
                <w:highlight w:val="none"/>
              </w:rPr>
              <w:t>无</w:t>
            </w:r>
          </w:p>
        </w:tc>
      </w:tr>
      <w:tr w14:paraId="652E3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01" w:type="dxa"/>
            <w:vAlign w:val="center"/>
          </w:tcPr>
          <w:p w14:paraId="0DB04542">
            <w:pPr>
              <w:adjustRightInd/>
              <w:spacing w:line="336" w:lineRule="auto"/>
              <w:jc w:val="center"/>
              <w:rPr>
                <w:rFonts w:ascii="宋体" w:hAnsi="宋体" w:cs="宋体"/>
                <w:color w:val="auto"/>
                <w:sz w:val="24"/>
                <w:highlight w:val="none"/>
              </w:rPr>
            </w:pPr>
            <w:r>
              <w:rPr>
                <w:rFonts w:hint="eastAsia" w:ascii="宋体" w:hAnsi="宋体" w:cs="宋体"/>
                <w:color w:val="auto"/>
                <w:sz w:val="24"/>
                <w:highlight w:val="none"/>
              </w:rPr>
              <w:t>8</w:t>
            </w:r>
          </w:p>
        </w:tc>
        <w:tc>
          <w:tcPr>
            <w:tcW w:w="2318" w:type="dxa"/>
            <w:vAlign w:val="center"/>
          </w:tcPr>
          <w:p w14:paraId="4D7025B1">
            <w:pPr>
              <w:adjustRightInd/>
              <w:spacing w:line="336" w:lineRule="auto"/>
              <w:jc w:val="left"/>
              <w:rPr>
                <w:rFonts w:ascii="宋体" w:hAnsi="宋体" w:cs="宋体"/>
                <w:color w:val="auto"/>
                <w:sz w:val="24"/>
                <w:highlight w:val="none"/>
              </w:rPr>
            </w:pPr>
            <w:r>
              <w:rPr>
                <w:rFonts w:hint="eastAsia" w:ascii="宋体" w:hAnsi="宋体" w:cs="宋体"/>
                <w:color w:val="auto"/>
                <w:sz w:val="24"/>
                <w:highlight w:val="none"/>
              </w:rPr>
              <w:t>质量、安全要求</w:t>
            </w:r>
          </w:p>
        </w:tc>
        <w:tc>
          <w:tcPr>
            <w:tcW w:w="5630" w:type="dxa"/>
            <w:vAlign w:val="center"/>
          </w:tcPr>
          <w:p w14:paraId="27941EBA">
            <w:pPr>
              <w:adjustRightInd/>
              <w:spacing w:line="336" w:lineRule="auto"/>
              <w:jc w:val="left"/>
              <w:rPr>
                <w:rFonts w:ascii="宋体" w:hAnsi="宋体" w:cs="宋体"/>
                <w:color w:val="auto"/>
                <w:sz w:val="24"/>
                <w:highlight w:val="none"/>
              </w:rPr>
            </w:pPr>
            <w:r>
              <w:rPr>
                <w:rFonts w:hint="eastAsia" w:ascii="宋体" w:hAnsi="宋体" w:cs="宋体"/>
                <w:color w:val="auto"/>
                <w:sz w:val="24"/>
                <w:highlight w:val="none"/>
              </w:rPr>
              <w:t>（1）质量要求：详见本部分内容。</w:t>
            </w:r>
          </w:p>
          <w:p w14:paraId="7D35C985">
            <w:pPr>
              <w:adjustRightInd/>
              <w:spacing w:line="336" w:lineRule="auto"/>
              <w:jc w:val="left"/>
              <w:rPr>
                <w:rFonts w:ascii="宋体" w:hAnsi="宋体" w:cs="宋体"/>
                <w:color w:val="auto"/>
                <w:sz w:val="24"/>
                <w:highlight w:val="none"/>
              </w:rPr>
            </w:pPr>
            <w:r>
              <w:rPr>
                <w:rFonts w:hint="eastAsia" w:ascii="宋体" w:hAnsi="宋体" w:cs="宋体"/>
                <w:color w:val="auto"/>
                <w:sz w:val="24"/>
                <w:highlight w:val="none"/>
              </w:rPr>
              <w:t>（2）安全要求：合格</w:t>
            </w:r>
          </w:p>
        </w:tc>
      </w:tr>
      <w:tr w14:paraId="40DF2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01" w:type="dxa"/>
            <w:vAlign w:val="center"/>
          </w:tcPr>
          <w:p w14:paraId="204A72D7">
            <w:pPr>
              <w:adjustRightInd/>
              <w:spacing w:line="336" w:lineRule="auto"/>
              <w:jc w:val="center"/>
              <w:rPr>
                <w:rFonts w:ascii="宋体" w:hAnsi="宋体" w:cs="宋体"/>
                <w:color w:val="auto"/>
                <w:sz w:val="24"/>
                <w:highlight w:val="none"/>
              </w:rPr>
            </w:pPr>
            <w:r>
              <w:rPr>
                <w:rFonts w:hint="eastAsia" w:ascii="宋体" w:hAnsi="宋体" w:cs="宋体"/>
                <w:color w:val="auto"/>
                <w:sz w:val="24"/>
                <w:highlight w:val="none"/>
              </w:rPr>
              <w:t>9</w:t>
            </w:r>
          </w:p>
        </w:tc>
        <w:tc>
          <w:tcPr>
            <w:tcW w:w="2318" w:type="dxa"/>
            <w:vAlign w:val="center"/>
          </w:tcPr>
          <w:p w14:paraId="563A3DF0">
            <w:pPr>
              <w:adjustRightInd/>
              <w:spacing w:line="336" w:lineRule="auto"/>
              <w:jc w:val="left"/>
              <w:rPr>
                <w:rFonts w:ascii="宋体" w:hAnsi="宋体" w:cs="宋体"/>
                <w:color w:val="auto"/>
                <w:sz w:val="24"/>
                <w:highlight w:val="none"/>
              </w:rPr>
            </w:pPr>
            <w:r>
              <w:rPr>
                <w:rFonts w:hint="eastAsia" w:ascii="宋体" w:hAnsi="宋体" w:cs="宋体"/>
                <w:color w:val="auto"/>
                <w:sz w:val="24"/>
                <w:highlight w:val="none"/>
              </w:rPr>
              <w:t>验收标准</w:t>
            </w:r>
          </w:p>
        </w:tc>
        <w:tc>
          <w:tcPr>
            <w:tcW w:w="5630" w:type="dxa"/>
            <w:vAlign w:val="center"/>
          </w:tcPr>
          <w:p w14:paraId="646FC945">
            <w:pPr>
              <w:adjustRightInd/>
              <w:spacing w:line="336" w:lineRule="auto"/>
              <w:jc w:val="left"/>
              <w:rPr>
                <w:rFonts w:ascii="宋体" w:hAnsi="宋体" w:cs="宋体"/>
                <w:color w:val="auto"/>
                <w:sz w:val="24"/>
                <w:highlight w:val="none"/>
              </w:rPr>
            </w:pPr>
            <w:r>
              <w:rPr>
                <w:rFonts w:hint="eastAsia" w:ascii="宋体" w:hAnsi="宋体" w:cs="宋体"/>
                <w:bCs/>
                <w:color w:val="auto"/>
                <w:sz w:val="24"/>
                <w:highlight w:val="none"/>
              </w:rPr>
              <w:t>按照中标人提供的投标文件及中标人和采购人签订的政府采购合同为标准进行验收。</w:t>
            </w:r>
          </w:p>
        </w:tc>
      </w:tr>
      <w:tr w14:paraId="7EE36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01" w:type="dxa"/>
            <w:vAlign w:val="center"/>
          </w:tcPr>
          <w:p w14:paraId="53A07BC7">
            <w:pPr>
              <w:adjustRightInd/>
              <w:spacing w:line="336" w:lineRule="auto"/>
              <w:jc w:val="center"/>
              <w:rPr>
                <w:rFonts w:ascii="宋体" w:hAnsi="宋体" w:cs="宋体"/>
                <w:color w:val="auto"/>
                <w:sz w:val="24"/>
                <w:highlight w:val="none"/>
              </w:rPr>
            </w:pPr>
            <w:r>
              <w:rPr>
                <w:rFonts w:hint="eastAsia" w:ascii="宋体" w:hAnsi="宋体" w:cs="宋体"/>
                <w:color w:val="auto"/>
                <w:sz w:val="24"/>
                <w:highlight w:val="none"/>
              </w:rPr>
              <w:t>10</w:t>
            </w:r>
          </w:p>
        </w:tc>
        <w:tc>
          <w:tcPr>
            <w:tcW w:w="2318" w:type="dxa"/>
            <w:vAlign w:val="center"/>
          </w:tcPr>
          <w:p w14:paraId="72FC618C">
            <w:pPr>
              <w:adjustRightInd/>
              <w:spacing w:line="336" w:lineRule="auto"/>
              <w:jc w:val="left"/>
              <w:rPr>
                <w:rFonts w:ascii="宋体" w:hAnsi="宋体" w:cs="宋体"/>
                <w:color w:val="auto"/>
                <w:sz w:val="24"/>
                <w:highlight w:val="none"/>
              </w:rPr>
            </w:pPr>
            <w:r>
              <w:rPr>
                <w:rFonts w:hint="eastAsia" w:ascii="宋体" w:hAnsi="宋体" w:cs="宋体"/>
                <w:color w:val="auto"/>
                <w:sz w:val="24"/>
                <w:highlight w:val="none"/>
              </w:rPr>
              <w:t>现场踏勘</w:t>
            </w:r>
          </w:p>
        </w:tc>
        <w:tc>
          <w:tcPr>
            <w:tcW w:w="5630" w:type="dxa"/>
            <w:vAlign w:val="center"/>
          </w:tcPr>
          <w:p w14:paraId="3AE028DB">
            <w:pPr>
              <w:adjustRightInd/>
              <w:spacing w:line="336" w:lineRule="auto"/>
              <w:rPr>
                <w:rFonts w:ascii="宋体" w:hAnsi="宋体" w:cs="宋体"/>
                <w:color w:val="auto"/>
                <w:sz w:val="24"/>
                <w:highlight w:val="none"/>
              </w:rPr>
            </w:pPr>
            <w:r>
              <w:rPr>
                <w:rFonts w:hint="eastAsia" w:ascii="宋体" w:hAnsi="宋体" w:cs="宋体"/>
                <w:color w:val="auto"/>
                <w:sz w:val="24"/>
                <w:highlight w:val="none"/>
              </w:rPr>
              <w:t>本项目不统一组织现场勘察，供应商可自行对本项目现场和周围环境进行勘察。勘察现场所发生的费用由供应商自己承担。不论何种原因所造成，在勘察过程中，供应商自行对由此次踏勘现场而造成的死亡、人身伤害、财产损失、损害以及任何其他损失、损害和引起的费用和开支承担责任。</w:t>
            </w:r>
          </w:p>
        </w:tc>
      </w:tr>
    </w:tbl>
    <w:p w14:paraId="0D74CF8C">
      <w:pPr>
        <w:widowControl/>
        <w:adjustRightInd/>
        <w:spacing w:line="360" w:lineRule="auto"/>
        <w:jc w:val="center"/>
        <w:outlineLvl w:val="1"/>
        <w:rPr>
          <w:rFonts w:hint="eastAsia" w:ascii="宋体" w:hAnsi="宋体" w:eastAsia="宋体" w:cs="宋体"/>
          <w:b/>
          <w:color w:val="auto"/>
          <w:kern w:val="0"/>
          <w:sz w:val="24"/>
          <w:szCs w:val="24"/>
          <w:highlight w:val="none"/>
          <w:lang w:val="en-US" w:eastAsia="zh-CN"/>
        </w:rPr>
      </w:pPr>
      <w:r>
        <w:rPr>
          <w:rFonts w:hint="eastAsia" w:ascii="宋体" w:hAnsi="宋体" w:cs="宋体"/>
          <w:b/>
          <w:color w:val="auto"/>
          <w:kern w:val="0"/>
          <w:szCs w:val="21"/>
          <w:highlight w:val="none"/>
        </w:rPr>
        <w:br w:type="page"/>
      </w:r>
      <w:r>
        <w:rPr>
          <w:rFonts w:hint="eastAsia" w:ascii="宋体" w:hAnsi="宋体" w:eastAsia="宋体" w:cs="宋体"/>
          <w:b/>
          <w:color w:val="auto"/>
          <w:kern w:val="0"/>
          <w:sz w:val="24"/>
          <w:szCs w:val="24"/>
          <w:highlight w:val="none"/>
          <w:lang w:val="en-US" w:eastAsia="zh-CN"/>
        </w:rPr>
        <w:t>标项1 日湖公园</w:t>
      </w:r>
    </w:p>
    <w:p w14:paraId="0C0B24AB">
      <w:pPr>
        <w:widowControl/>
        <w:adjustRightInd/>
        <w:spacing w:line="360" w:lineRule="auto"/>
        <w:jc w:val="left"/>
        <w:outlineLvl w:val="1"/>
        <w:rPr>
          <w:rFonts w:ascii="宋体" w:hAnsi="宋体" w:eastAsia="宋体" w:cs="宋体"/>
          <w:b/>
          <w:color w:val="auto"/>
          <w:kern w:val="0"/>
          <w:sz w:val="24"/>
          <w:highlight w:val="none"/>
        </w:rPr>
      </w:pPr>
      <w:r>
        <w:rPr>
          <w:rFonts w:hint="eastAsia" w:ascii="宋体" w:hAnsi="宋体" w:eastAsia="宋体" w:cs="宋体"/>
          <w:b/>
          <w:color w:val="auto"/>
          <w:kern w:val="0"/>
          <w:szCs w:val="21"/>
          <w:highlight w:val="none"/>
        </w:rPr>
        <w:t>▲</w:t>
      </w:r>
      <w:r>
        <w:rPr>
          <w:rFonts w:hint="eastAsia" w:ascii="宋体" w:hAnsi="宋体" w:eastAsia="宋体" w:cs="宋体"/>
          <w:b/>
          <w:color w:val="auto"/>
          <w:kern w:val="0"/>
          <w:sz w:val="24"/>
          <w:highlight w:val="none"/>
        </w:rPr>
        <w:t>一、重要商务要求一览表</w:t>
      </w:r>
    </w:p>
    <w:tbl>
      <w:tblPr>
        <w:tblStyle w:val="6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2"/>
        <w:gridCol w:w="1582"/>
        <w:gridCol w:w="6567"/>
      </w:tblGrid>
      <w:tr w14:paraId="04A125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42" w:type="dxa"/>
            <w:tcBorders>
              <w:top w:val="single" w:color="auto" w:sz="4" w:space="0"/>
              <w:left w:val="single" w:color="auto" w:sz="4" w:space="0"/>
              <w:bottom w:val="single" w:color="auto" w:sz="4" w:space="0"/>
              <w:right w:val="single" w:color="auto" w:sz="4" w:space="0"/>
            </w:tcBorders>
            <w:vAlign w:val="center"/>
          </w:tcPr>
          <w:p w14:paraId="12062D5F">
            <w:pPr>
              <w:adjustRightInd/>
              <w:spacing w:line="360" w:lineRule="auto"/>
              <w:contextualSpacing/>
              <w:jc w:val="center"/>
              <w:rPr>
                <w:rFonts w:ascii="宋体" w:hAnsi="宋体" w:eastAsia="宋体" w:cs="宋体"/>
                <w:b/>
                <w:bCs/>
                <w:color w:val="auto"/>
                <w:sz w:val="24"/>
                <w:highlight w:val="none"/>
              </w:rPr>
            </w:pPr>
            <w:r>
              <w:rPr>
                <w:rFonts w:hint="eastAsia" w:ascii="宋体" w:hAnsi="宋体" w:eastAsia="宋体" w:cs="宋体"/>
                <w:b/>
                <w:bCs/>
                <w:color w:val="auto"/>
                <w:sz w:val="24"/>
                <w:highlight w:val="none"/>
              </w:rPr>
              <w:t>序号</w:t>
            </w:r>
          </w:p>
        </w:tc>
        <w:tc>
          <w:tcPr>
            <w:tcW w:w="1582" w:type="dxa"/>
            <w:tcBorders>
              <w:top w:val="single" w:color="auto" w:sz="4" w:space="0"/>
              <w:left w:val="single" w:color="auto" w:sz="4" w:space="0"/>
              <w:bottom w:val="single" w:color="auto" w:sz="4" w:space="0"/>
              <w:right w:val="single" w:color="auto" w:sz="4" w:space="0"/>
            </w:tcBorders>
            <w:vAlign w:val="center"/>
          </w:tcPr>
          <w:p w14:paraId="101ED750">
            <w:pPr>
              <w:adjustRightInd/>
              <w:spacing w:line="360" w:lineRule="auto"/>
              <w:contextualSpacing/>
              <w:jc w:val="center"/>
              <w:rPr>
                <w:rFonts w:ascii="宋体" w:hAnsi="宋体" w:eastAsia="宋体" w:cs="宋体"/>
                <w:b/>
                <w:bCs/>
                <w:color w:val="auto"/>
                <w:sz w:val="24"/>
                <w:highlight w:val="none"/>
              </w:rPr>
            </w:pPr>
            <w:r>
              <w:rPr>
                <w:rFonts w:hint="eastAsia" w:ascii="宋体" w:hAnsi="宋体" w:eastAsia="宋体" w:cs="宋体"/>
                <w:b/>
                <w:bCs/>
                <w:color w:val="auto"/>
                <w:sz w:val="24"/>
                <w:highlight w:val="none"/>
              </w:rPr>
              <w:t>项目</w:t>
            </w:r>
          </w:p>
        </w:tc>
        <w:tc>
          <w:tcPr>
            <w:tcW w:w="6567" w:type="dxa"/>
            <w:tcBorders>
              <w:top w:val="single" w:color="auto" w:sz="4" w:space="0"/>
              <w:left w:val="single" w:color="auto" w:sz="4" w:space="0"/>
              <w:bottom w:val="single" w:color="auto" w:sz="4" w:space="0"/>
              <w:right w:val="single" w:color="auto" w:sz="4" w:space="0"/>
            </w:tcBorders>
            <w:vAlign w:val="center"/>
          </w:tcPr>
          <w:p w14:paraId="5681D09B">
            <w:pPr>
              <w:adjustRightInd/>
              <w:spacing w:line="360" w:lineRule="auto"/>
              <w:contextualSpacing/>
              <w:jc w:val="center"/>
              <w:rPr>
                <w:rFonts w:ascii="宋体" w:hAnsi="宋体" w:eastAsia="宋体" w:cs="宋体"/>
                <w:b/>
                <w:bCs/>
                <w:color w:val="auto"/>
                <w:sz w:val="24"/>
                <w:highlight w:val="none"/>
              </w:rPr>
            </w:pPr>
            <w:r>
              <w:rPr>
                <w:rFonts w:hint="eastAsia" w:ascii="宋体" w:hAnsi="宋体" w:eastAsia="宋体" w:cs="宋体"/>
                <w:b/>
                <w:bCs/>
                <w:color w:val="auto"/>
                <w:sz w:val="24"/>
                <w:highlight w:val="none"/>
              </w:rPr>
              <w:t>要 求</w:t>
            </w:r>
          </w:p>
        </w:tc>
      </w:tr>
      <w:tr w14:paraId="6DA0CD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42" w:type="dxa"/>
            <w:tcBorders>
              <w:top w:val="single" w:color="auto" w:sz="4" w:space="0"/>
              <w:left w:val="single" w:color="auto" w:sz="4" w:space="0"/>
              <w:bottom w:val="single" w:color="auto" w:sz="4" w:space="0"/>
              <w:right w:val="single" w:color="auto" w:sz="4" w:space="0"/>
            </w:tcBorders>
            <w:vAlign w:val="center"/>
          </w:tcPr>
          <w:p w14:paraId="394C086F">
            <w:pPr>
              <w:adjustRightInd/>
              <w:spacing w:line="360" w:lineRule="auto"/>
              <w:contextualSpacing/>
              <w:jc w:val="center"/>
              <w:rPr>
                <w:rFonts w:ascii="宋体" w:hAnsi="宋体" w:eastAsia="宋体" w:cs="宋体"/>
                <w:color w:val="auto"/>
                <w:sz w:val="24"/>
                <w:highlight w:val="none"/>
              </w:rPr>
            </w:pPr>
            <w:r>
              <w:rPr>
                <w:rFonts w:hint="eastAsia" w:ascii="宋体" w:hAnsi="宋体" w:eastAsia="宋体" w:cs="宋体"/>
                <w:color w:val="auto"/>
                <w:sz w:val="24"/>
                <w:highlight w:val="none"/>
              </w:rPr>
              <w:t>1</w:t>
            </w:r>
          </w:p>
        </w:tc>
        <w:tc>
          <w:tcPr>
            <w:tcW w:w="1582" w:type="dxa"/>
            <w:tcBorders>
              <w:top w:val="single" w:color="auto" w:sz="4" w:space="0"/>
              <w:left w:val="single" w:color="auto" w:sz="4" w:space="0"/>
              <w:bottom w:val="single" w:color="auto" w:sz="4" w:space="0"/>
              <w:right w:val="single" w:color="auto" w:sz="4" w:space="0"/>
            </w:tcBorders>
            <w:vAlign w:val="center"/>
          </w:tcPr>
          <w:p w14:paraId="70807A10">
            <w:pPr>
              <w:adjustRightInd/>
              <w:spacing w:line="360" w:lineRule="auto"/>
              <w:contextualSpacing/>
              <w:jc w:val="center"/>
              <w:rPr>
                <w:rFonts w:ascii="宋体" w:hAnsi="宋体" w:eastAsia="宋体" w:cs="宋体"/>
                <w:color w:val="auto"/>
                <w:sz w:val="24"/>
                <w:highlight w:val="none"/>
              </w:rPr>
            </w:pPr>
            <w:r>
              <w:rPr>
                <w:rFonts w:hint="eastAsia" w:ascii="宋体" w:hAnsi="宋体" w:eastAsia="宋体" w:cs="宋体"/>
                <w:color w:val="auto"/>
                <w:sz w:val="24"/>
                <w:highlight w:val="none"/>
              </w:rPr>
              <w:t>服务期限</w:t>
            </w:r>
          </w:p>
        </w:tc>
        <w:tc>
          <w:tcPr>
            <w:tcW w:w="6567" w:type="dxa"/>
            <w:tcBorders>
              <w:top w:val="single" w:color="auto" w:sz="4" w:space="0"/>
              <w:left w:val="single" w:color="auto" w:sz="4" w:space="0"/>
              <w:bottom w:val="single" w:color="auto" w:sz="4" w:space="0"/>
              <w:right w:val="single" w:color="auto" w:sz="4" w:space="0"/>
            </w:tcBorders>
            <w:vAlign w:val="center"/>
          </w:tcPr>
          <w:p w14:paraId="6AEEAE7D">
            <w:pPr>
              <w:adjustRightInd/>
              <w:spacing w:line="360" w:lineRule="auto"/>
              <w:contextualSpacing/>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详见第一部分 招标公告</w:t>
            </w:r>
          </w:p>
        </w:tc>
      </w:tr>
      <w:tr w14:paraId="6F5343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42" w:type="dxa"/>
            <w:tcBorders>
              <w:top w:val="single" w:color="auto" w:sz="4" w:space="0"/>
              <w:left w:val="single" w:color="auto" w:sz="4" w:space="0"/>
              <w:bottom w:val="single" w:color="auto" w:sz="4" w:space="0"/>
              <w:right w:val="single" w:color="auto" w:sz="4" w:space="0"/>
            </w:tcBorders>
            <w:vAlign w:val="center"/>
          </w:tcPr>
          <w:p w14:paraId="4F9797B4">
            <w:pPr>
              <w:adjustRightInd/>
              <w:spacing w:line="360" w:lineRule="auto"/>
              <w:contextualSpacing/>
              <w:jc w:val="center"/>
              <w:rPr>
                <w:rFonts w:ascii="宋体" w:hAnsi="宋体" w:eastAsia="宋体" w:cs="宋体"/>
                <w:color w:val="auto"/>
                <w:sz w:val="24"/>
                <w:highlight w:val="none"/>
              </w:rPr>
            </w:pPr>
            <w:r>
              <w:rPr>
                <w:rFonts w:hint="eastAsia" w:ascii="宋体" w:hAnsi="宋体" w:eastAsia="宋体" w:cs="宋体"/>
                <w:color w:val="auto"/>
                <w:sz w:val="24"/>
                <w:highlight w:val="none"/>
              </w:rPr>
              <w:t>2</w:t>
            </w:r>
          </w:p>
        </w:tc>
        <w:tc>
          <w:tcPr>
            <w:tcW w:w="1582" w:type="dxa"/>
            <w:tcBorders>
              <w:top w:val="single" w:color="auto" w:sz="4" w:space="0"/>
              <w:left w:val="single" w:color="auto" w:sz="4" w:space="0"/>
              <w:bottom w:val="single" w:color="auto" w:sz="4" w:space="0"/>
              <w:right w:val="single" w:color="auto" w:sz="4" w:space="0"/>
            </w:tcBorders>
            <w:vAlign w:val="center"/>
          </w:tcPr>
          <w:p w14:paraId="08952D8A">
            <w:pPr>
              <w:adjustRightInd/>
              <w:spacing w:line="360" w:lineRule="auto"/>
              <w:contextualSpacing/>
              <w:jc w:val="center"/>
              <w:rPr>
                <w:rFonts w:ascii="宋体" w:hAnsi="宋体" w:eastAsia="宋体" w:cs="宋体"/>
                <w:color w:val="auto"/>
                <w:sz w:val="24"/>
                <w:highlight w:val="none"/>
              </w:rPr>
            </w:pPr>
            <w:r>
              <w:rPr>
                <w:rFonts w:hint="eastAsia" w:ascii="宋体" w:hAnsi="宋体" w:eastAsia="宋体" w:cs="宋体"/>
                <w:color w:val="auto"/>
                <w:sz w:val="24"/>
                <w:highlight w:val="none"/>
              </w:rPr>
              <w:t>服务地点</w:t>
            </w:r>
          </w:p>
        </w:tc>
        <w:tc>
          <w:tcPr>
            <w:tcW w:w="6567" w:type="dxa"/>
            <w:tcBorders>
              <w:top w:val="single" w:color="auto" w:sz="4" w:space="0"/>
              <w:left w:val="single" w:color="auto" w:sz="4" w:space="0"/>
              <w:bottom w:val="single" w:color="auto" w:sz="4" w:space="0"/>
              <w:right w:val="single" w:color="auto" w:sz="4" w:space="0"/>
            </w:tcBorders>
            <w:vAlign w:val="center"/>
          </w:tcPr>
          <w:p w14:paraId="06EE70AF">
            <w:pPr>
              <w:adjustRightInd/>
              <w:spacing w:line="360" w:lineRule="auto"/>
              <w:contextualSpacing/>
              <w:rPr>
                <w:rFonts w:ascii="宋体" w:hAnsi="宋体" w:eastAsia="宋体" w:cs="宋体"/>
                <w:bCs/>
                <w:color w:val="auto"/>
                <w:sz w:val="24"/>
                <w:highlight w:val="none"/>
              </w:rPr>
            </w:pPr>
            <w:r>
              <w:rPr>
                <w:rFonts w:hint="eastAsia" w:ascii="宋体" w:hAnsi="宋体" w:eastAsia="宋体" w:cs="宋体"/>
                <w:color w:val="auto"/>
                <w:sz w:val="24"/>
                <w:highlight w:val="none"/>
              </w:rPr>
              <w:t>宁波市范围内采购人指定地点。</w:t>
            </w:r>
          </w:p>
        </w:tc>
      </w:tr>
      <w:tr w14:paraId="5A2D8C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42" w:type="dxa"/>
            <w:tcBorders>
              <w:top w:val="single" w:color="auto" w:sz="4" w:space="0"/>
              <w:left w:val="single" w:color="auto" w:sz="4" w:space="0"/>
              <w:bottom w:val="single" w:color="auto" w:sz="4" w:space="0"/>
              <w:right w:val="single" w:color="auto" w:sz="4" w:space="0"/>
            </w:tcBorders>
            <w:vAlign w:val="center"/>
          </w:tcPr>
          <w:p w14:paraId="6A6F5966">
            <w:pPr>
              <w:adjustRightInd/>
              <w:spacing w:line="360" w:lineRule="auto"/>
              <w:contextualSpacing/>
              <w:jc w:val="center"/>
              <w:rPr>
                <w:rFonts w:ascii="宋体" w:hAnsi="宋体" w:eastAsia="宋体" w:cs="宋体"/>
                <w:color w:val="auto"/>
                <w:sz w:val="24"/>
                <w:highlight w:val="none"/>
              </w:rPr>
            </w:pPr>
            <w:r>
              <w:rPr>
                <w:rFonts w:hint="eastAsia" w:ascii="宋体" w:hAnsi="宋体" w:eastAsia="宋体" w:cs="宋体"/>
                <w:color w:val="auto"/>
                <w:sz w:val="24"/>
                <w:highlight w:val="none"/>
              </w:rPr>
              <w:t>3</w:t>
            </w:r>
          </w:p>
        </w:tc>
        <w:tc>
          <w:tcPr>
            <w:tcW w:w="1582" w:type="dxa"/>
            <w:tcBorders>
              <w:top w:val="single" w:color="auto" w:sz="4" w:space="0"/>
              <w:left w:val="single" w:color="auto" w:sz="4" w:space="0"/>
              <w:bottom w:val="single" w:color="auto" w:sz="4" w:space="0"/>
              <w:right w:val="single" w:color="auto" w:sz="4" w:space="0"/>
            </w:tcBorders>
            <w:vAlign w:val="center"/>
          </w:tcPr>
          <w:p w14:paraId="177D785D">
            <w:pPr>
              <w:adjustRightInd/>
              <w:spacing w:line="360" w:lineRule="auto"/>
              <w:contextualSpacing/>
              <w:jc w:val="center"/>
              <w:rPr>
                <w:rFonts w:ascii="宋体" w:hAnsi="宋体" w:eastAsia="宋体" w:cs="宋体"/>
                <w:color w:val="auto"/>
                <w:sz w:val="24"/>
                <w:highlight w:val="none"/>
              </w:rPr>
            </w:pPr>
            <w:r>
              <w:rPr>
                <w:rFonts w:hint="eastAsia" w:ascii="宋体" w:hAnsi="宋体" w:eastAsia="宋体" w:cs="宋体"/>
                <w:color w:val="auto"/>
                <w:sz w:val="24"/>
                <w:highlight w:val="none"/>
              </w:rPr>
              <w:t>付款方式</w:t>
            </w:r>
          </w:p>
        </w:tc>
        <w:tc>
          <w:tcPr>
            <w:tcW w:w="6567" w:type="dxa"/>
            <w:tcBorders>
              <w:top w:val="single" w:color="auto" w:sz="4" w:space="0"/>
              <w:left w:val="single" w:color="auto" w:sz="4" w:space="0"/>
              <w:bottom w:val="single" w:color="auto" w:sz="4" w:space="0"/>
              <w:right w:val="single" w:color="auto" w:sz="4" w:space="0"/>
            </w:tcBorders>
            <w:vAlign w:val="center"/>
          </w:tcPr>
          <w:p w14:paraId="574E3F08">
            <w:pPr>
              <w:autoSpaceDE w:val="0"/>
              <w:autoSpaceDN w:val="0"/>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合同生效以及具备实施条件后7个工作日内支付</w:t>
            </w:r>
            <w:r>
              <w:rPr>
                <w:rFonts w:hint="eastAsia" w:ascii="宋体" w:hAnsi="宋体" w:eastAsia="宋体" w:cs="宋体"/>
                <w:color w:val="auto"/>
                <w:sz w:val="24"/>
                <w:highlight w:val="none"/>
                <w:lang w:val="en-US" w:eastAsia="zh-CN"/>
              </w:rPr>
              <w:t>年度合同金额</w:t>
            </w:r>
            <w:r>
              <w:rPr>
                <w:rFonts w:hint="eastAsia" w:ascii="宋体" w:hAnsi="宋体" w:eastAsia="宋体" w:cs="宋体"/>
                <w:color w:val="auto"/>
                <w:sz w:val="24"/>
                <w:highlight w:val="none"/>
              </w:rPr>
              <w:t>（含固定支付和按实结算部分）40%的预付款；预付款从首次支付的养护经费开始抵扣，直至扣完为止。</w:t>
            </w:r>
          </w:p>
          <w:p w14:paraId="0E70266A">
            <w:pPr>
              <w:autoSpaceDE w:val="0"/>
              <w:autoSpaceDN w:val="0"/>
              <w:spacing w:line="360" w:lineRule="auto"/>
              <w:contextualSpacing/>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本项目养护经费支付包含“固定支付”和“按实结算”两种</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具体经费分类详见附件 设施量清单及编制说明</w:t>
            </w:r>
            <w:r>
              <w:rPr>
                <w:rFonts w:hint="eastAsia" w:ascii="宋体" w:hAnsi="宋体" w:eastAsia="宋体" w:cs="宋体"/>
                <w:color w:val="auto"/>
                <w:sz w:val="24"/>
                <w:highlight w:val="none"/>
                <w:lang w:eastAsia="zh-CN"/>
              </w:rPr>
              <w:t>）：</w:t>
            </w:r>
          </w:p>
          <w:p w14:paraId="5BB89917">
            <w:pPr>
              <w:autoSpaceDE w:val="0"/>
              <w:autoSpaceDN w:val="0"/>
              <w:spacing w:line="360" w:lineRule="auto"/>
              <w:contextualSpacing/>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①</w:t>
            </w:r>
            <w:r>
              <w:rPr>
                <w:rFonts w:hint="eastAsia" w:ascii="宋体" w:hAnsi="宋体" w:eastAsia="宋体" w:cs="宋体"/>
                <w:color w:val="auto"/>
                <w:sz w:val="24"/>
                <w:highlight w:val="none"/>
              </w:rPr>
              <w:t>固定部分</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第</w:t>
            </w:r>
            <w:r>
              <w:rPr>
                <w:rFonts w:hint="eastAsia" w:ascii="宋体" w:hAnsi="宋体" w:eastAsia="宋体" w:cs="宋体"/>
                <w:color w:val="auto"/>
                <w:sz w:val="24"/>
                <w:highlight w:val="none"/>
              </w:rPr>
              <w:t>6个月考核完成且收到发票后7个工作日内支付至50%（同步扣除第1-6月考核扣罚费用）</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并结合中标下浮率结算；第9个月考核完成且收到发票后7个工作日支付至75%（同步扣除第7-9月考核扣罚费用），并结合中标下浮率结算；12个月考核完成且收到发票后7个工作日后支付至100%（同步扣除第10-12月考核扣罚费用），并结合中标下浮率结算</w:t>
            </w:r>
            <w:r>
              <w:rPr>
                <w:rFonts w:hint="eastAsia" w:ascii="宋体" w:hAnsi="宋体" w:eastAsia="宋体" w:cs="宋体"/>
                <w:color w:val="auto"/>
                <w:sz w:val="24"/>
                <w:highlight w:val="none"/>
                <w:lang w:eastAsia="zh-CN"/>
              </w:rPr>
              <w:t>。</w:t>
            </w:r>
          </w:p>
          <w:p w14:paraId="0002AAEF">
            <w:pPr>
              <w:autoSpaceDE w:val="0"/>
              <w:autoSpaceDN w:val="0"/>
              <w:spacing w:line="360" w:lineRule="auto"/>
              <w:contextualSpacing/>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②</w:t>
            </w:r>
            <w:r>
              <w:rPr>
                <w:rFonts w:hint="eastAsia" w:ascii="宋体" w:hAnsi="宋体" w:eastAsia="宋体" w:cs="宋体"/>
                <w:color w:val="auto"/>
                <w:sz w:val="24"/>
                <w:highlight w:val="none"/>
              </w:rPr>
              <w:t>按实</w:t>
            </w:r>
            <w:r>
              <w:rPr>
                <w:rFonts w:hint="eastAsia" w:ascii="宋体" w:hAnsi="宋体" w:eastAsia="宋体" w:cs="宋体"/>
                <w:color w:val="auto"/>
                <w:sz w:val="24"/>
                <w:highlight w:val="none"/>
                <w:lang w:val="en-US" w:eastAsia="zh-CN"/>
              </w:rPr>
              <w:t>结算</w:t>
            </w:r>
            <w:r>
              <w:rPr>
                <w:rFonts w:hint="eastAsia" w:ascii="宋体" w:hAnsi="宋体" w:eastAsia="宋体" w:cs="宋体"/>
                <w:color w:val="auto"/>
                <w:sz w:val="24"/>
                <w:highlight w:val="none"/>
              </w:rPr>
              <w:t>部分</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在固定部分支付时同步支付</w:t>
            </w:r>
            <w:r>
              <w:rPr>
                <w:rFonts w:hint="eastAsia" w:ascii="宋体" w:hAnsi="宋体" w:eastAsia="宋体" w:cs="宋体"/>
                <w:color w:val="auto"/>
                <w:sz w:val="24"/>
                <w:highlight w:val="none"/>
                <w:lang w:eastAsia="zh-CN"/>
              </w:rPr>
              <w:t>，实际完成量支付进度款至已完成工作量金额（经第三方咨询单位审核金额）的85%，并结合中标下浮率，按实结算，合同期满后支付至审核价的100%，并结合中标下浮率，按实结算。实际发生金额对应核减相关费用（中标人投标文件有核减部分内容报价明细的则根据报价明细扣除，否则按照整体中标下浮比率对该部分费用进行扣除），报价明细</w:t>
            </w:r>
            <w:r>
              <w:rPr>
                <w:rFonts w:hint="eastAsia" w:ascii="宋体" w:hAnsi="宋体" w:eastAsia="宋体" w:cs="宋体"/>
                <w:color w:val="auto"/>
                <w:sz w:val="24"/>
                <w:highlight w:val="none"/>
                <w:lang w:val="en-US" w:eastAsia="zh-CN"/>
              </w:rPr>
              <w:t>和招标文件都没有提及的部分则参考</w:t>
            </w:r>
            <w:r>
              <w:rPr>
                <w:rFonts w:hint="eastAsia" w:ascii="宋体" w:hAnsi="宋体" w:eastAsia="宋体" w:cs="宋体"/>
                <w:color w:val="auto"/>
                <w:sz w:val="24"/>
                <w:highlight w:val="none"/>
                <w:lang w:eastAsia="zh-CN"/>
              </w:rPr>
              <w:t>公布的市场信息价</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lang w:eastAsia="zh-CN"/>
              </w:rPr>
              <w:t>市场询价</w:t>
            </w:r>
            <w:r>
              <w:rPr>
                <w:rFonts w:hint="eastAsia" w:ascii="宋体" w:hAnsi="宋体" w:eastAsia="宋体" w:cs="宋体"/>
                <w:color w:val="auto"/>
                <w:sz w:val="24"/>
                <w:highlight w:val="none"/>
                <w:lang w:val="en-US" w:eastAsia="zh-CN"/>
              </w:rPr>
              <w:t>进行核定，</w:t>
            </w:r>
            <w:r>
              <w:rPr>
                <w:rFonts w:hint="eastAsia" w:ascii="宋体" w:hAnsi="宋体" w:eastAsia="宋体" w:cs="宋体"/>
                <w:color w:val="auto"/>
                <w:sz w:val="24"/>
                <w:highlight w:val="none"/>
                <w:lang w:eastAsia="zh-CN"/>
              </w:rPr>
              <w:t>中标人需提供能证明实际发生金额的相关资料由采购人审核确认，实施内容涉及外聘人工、机械、材料的由采购人相关业务部门审核确认。</w:t>
            </w:r>
          </w:p>
        </w:tc>
      </w:tr>
      <w:tr w14:paraId="66930C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42" w:type="dxa"/>
            <w:tcBorders>
              <w:top w:val="single" w:color="auto" w:sz="4" w:space="0"/>
              <w:left w:val="single" w:color="auto" w:sz="4" w:space="0"/>
              <w:bottom w:val="single" w:color="auto" w:sz="4" w:space="0"/>
              <w:right w:val="single" w:color="auto" w:sz="4" w:space="0"/>
            </w:tcBorders>
            <w:vAlign w:val="center"/>
          </w:tcPr>
          <w:p w14:paraId="5BD0D245">
            <w:pPr>
              <w:adjustRightInd/>
              <w:spacing w:line="360" w:lineRule="auto"/>
              <w:contextualSpacing/>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4</w:t>
            </w:r>
          </w:p>
        </w:tc>
        <w:tc>
          <w:tcPr>
            <w:tcW w:w="1582" w:type="dxa"/>
            <w:tcBorders>
              <w:top w:val="single" w:color="auto" w:sz="4" w:space="0"/>
              <w:left w:val="single" w:color="auto" w:sz="4" w:space="0"/>
              <w:bottom w:val="single" w:color="auto" w:sz="4" w:space="0"/>
              <w:right w:val="single" w:color="auto" w:sz="4" w:space="0"/>
            </w:tcBorders>
            <w:vAlign w:val="center"/>
          </w:tcPr>
          <w:p w14:paraId="1205E567">
            <w:pPr>
              <w:adjustRightInd/>
              <w:spacing w:line="360" w:lineRule="auto"/>
              <w:contextualSpacing/>
              <w:jc w:val="center"/>
              <w:rPr>
                <w:rFonts w:ascii="宋体" w:hAnsi="宋体" w:eastAsia="宋体" w:cs="宋体"/>
                <w:color w:val="auto"/>
                <w:sz w:val="24"/>
                <w:highlight w:val="none"/>
              </w:rPr>
            </w:pPr>
            <w:r>
              <w:rPr>
                <w:rFonts w:hint="eastAsia" w:ascii="宋体" w:hAnsi="宋体" w:eastAsia="宋体" w:cs="宋体"/>
                <w:color w:val="auto"/>
                <w:sz w:val="24"/>
                <w:highlight w:val="none"/>
              </w:rPr>
              <w:t>履约保证金</w:t>
            </w:r>
          </w:p>
        </w:tc>
        <w:tc>
          <w:tcPr>
            <w:tcW w:w="6567" w:type="dxa"/>
            <w:tcBorders>
              <w:top w:val="single" w:color="auto" w:sz="4" w:space="0"/>
              <w:left w:val="single" w:color="auto" w:sz="4" w:space="0"/>
              <w:bottom w:val="single" w:color="auto" w:sz="4" w:space="0"/>
              <w:right w:val="single" w:color="auto" w:sz="4" w:space="0"/>
            </w:tcBorders>
            <w:vAlign w:val="center"/>
          </w:tcPr>
          <w:p w14:paraId="23BD295F">
            <w:pPr>
              <w:adjustRightInd/>
              <w:spacing w:line="360" w:lineRule="auto"/>
              <w:contextualSpacing/>
              <w:rPr>
                <w:rFonts w:ascii="宋体" w:hAnsi="宋体" w:eastAsia="宋体" w:cs="宋体"/>
                <w:color w:val="auto"/>
                <w:sz w:val="24"/>
                <w:highlight w:val="none"/>
              </w:rPr>
            </w:pPr>
            <w:r>
              <w:rPr>
                <w:rFonts w:hint="eastAsia" w:ascii="宋体" w:hAnsi="宋体" w:eastAsia="宋体" w:cs="宋体"/>
                <w:color w:val="auto"/>
                <w:sz w:val="24"/>
                <w:highlight w:val="none"/>
              </w:rPr>
              <w:t>无。</w:t>
            </w:r>
          </w:p>
        </w:tc>
      </w:tr>
      <w:tr w14:paraId="72944C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42" w:type="dxa"/>
            <w:tcBorders>
              <w:top w:val="single" w:color="auto" w:sz="4" w:space="0"/>
              <w:left w:val="single" w:color="auto" w:sz="4" w:space="0"/>
              <w:bottom w:val="single" w:color="auto" w:sz="4" w:space="0"/>
              <w:right w:val="single" w:color="auto" w:sz="4" w:space="0"/>
            </w:tcBorders>
            <w:vAlign w:val="center"/>
          </w:tcPr>
          <w:p w14:paraId="01CABA04">
            <w:pPr>
              <w:adjustRightInd/>
              <w:spacing w:line="360" w:lineRule="auto"/>
              <w:contextualSpacing/>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w:t>
            </w:r>
          </w:p>
        </w:tc>
        <w:tc>
          <w:tcPr>
            <w:tcW w:w="1582" w:type="dxa"/>
            <w:tcBorders>
              <w:top w:val="single" w:color="auto" w:sz="4" w:space="0"/>
              <w:left w:val="single" w:color="auto" w:sz="4" w:space="0"/>
              <w:bottom w:val="single" w:color="auto" w:sz="4" w:space="0"/>
              <w:right w:val="single" w:color="auto" w:sz="4" w:space="0"/>
            </w:tcBorders>
            <w:vAlign w:val="center"/>
          </w:tcPr>
          <w:p w14:paraId="316D9723">
            <w:pPr>
              <w:adjustRightInd/>
              <w:spacing w:line="360" w:lineRule="auto"/>
              <w:contextualSpacing/>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违约责任</w:t>
            </w:r>
          </w:p>
        </w:tc>
        <w:tc>
          <w:tcPr>
            <w:tcW w:w="6567" w:type="dxa"/>
            <w:tcBorders>
              <w:top w:val="single" w:color="auto" w:sz="4" w:space="0"/>
              <w:left w:val="single" w:color="auto" w:sz="4" w:space="0"/>
              <w:bottom w:val="single" w:color="auto" w:sz="4" w:space="0"/>
              <w:right w:val="single" w:color="auto" w:sz="4" w:space="0"/>
            </w:tcBorders>
            <w:vAlign w:val="center"/>
          </w:tcPr>
          <w:p w14:paraId="5E69975B">
            <w:pPr>
              <w:spacing w:line="312"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中标</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履行本项目发生以下情形的，按照下列规定执行。同时，采购</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有权调整以下现有违约责任或增加相关违约责任。出现下列情形之一的，按照中标价的5%支付违约金，并承担相应的责任。</w:t>
            </w:r>
          </w:p>
          <w:p w14:paraId="1AA13F1E">
            <w:pPr>
              <w:spacing w:line="312"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①</w:t>
            </w:r>
            <w:r>
              <w:rPr>
                <w:rFonts w:hint="eastAsia" w:ascii="宋体" w:hAnsi="宋体" w:eastAsia="宋体" w:cs="宋体"/>
                <w:color w:val="auto"/>
                <w:sz w:val="24"/>
                <w:highlight w:val="none"/>
              </w:rPr>
              <w:t>合同履行期间，中标</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未落实安全防火、防风、防灾和安全生产措施，发生安全事故或者环境污染事故</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中标</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lang w:val="en-US" w:eastAsia="zh-CN"/>
              </w:rPr>
              <w:t>负全责</w:t>
            </w:r>
            <w:r>
              <w:rPr>
                <w:rFonts w:hint="eastAsia" w:ascii="宋体" w:hAnsi="宋体" w:eastAsia="宋体" w:cs="宋体"/>
                <w:color w:val="auto"/>
                <w:sz w:val="24"/>
                <w:highlight w:val="none"/>
              </w:rPr>
              <w:t>。发生1人以上（含1人）死亡（自然死亡除外）或3人以上（含3人）重伤，并负主要责任的，采购</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有权单方解除合同，而无须向中标</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支付任何费用或承担其他的任何责任，预付款未使用完的进行扣回。</w:t>
            </w:r>
          </w:p>
          <w:p w14:paraId="3F1263B0">
            <w:pPr>
              <w:spacing w:line="312"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②</w:t>
            </w:r>
            <w:r>
              <w:rPr>
                <w:rFonts w:hint="eastAsia" w:ascii="宋体" w:hAnsi="宋体" w:eastAsia="宋体" w:cs="宋体"/>
                <w:color w:val="auto"/>
                <w:sz w:val="24"/>
                <w:highlight w:val="none"/>
              </w:rPr>
              <w:t>合同履行期间，中标</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因违反劳动管理方面的</w:t>
            </w:r>
            <w:r>
              <w:rPr>
                <w:rFonts w:hint="eastAsia" w:ascii="宋体" w:hAnsi="宋体" w:eastAsia="宋体" w:cs="宋体"/>
                <w:color w:val="auto"/>
                <w:sz w:val="24"/>
                <w:highlight w:val="none"/>
                <w:lang w:eastAsia="zh-CN"/>
              </w:rPr>
              <w:t>法律法规</w:t>
            </w:r>
            <w:r>
              <w:rPr>
                <w:rFonts w:hint="eastAsia" w:ascii="宋体" w:hAnsi="宋体" w:eastAsia="宋体" w:cs="宋体"/>
                <w:color w:val="auto"/>
                <w:sz w:val="24"/>
                <w:highlight w:val="none"/>
              </w:rPr>
              <w:t>、规章及其他一般规范性文件的规定引起10人以上劳资纠纷案件败诉或10人以上歇工事件的，采购</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有权单方解除合同，而无须向中标</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支付任何费用或承担其他的任何责任，由此产生的经济损失和法律责任均全部由中标</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承担，预付款未使用完的进行扣回。</w:t>
            </w:r>
          </w:p>
          <w:p w14:paraId="2E795D1B">
            <w:pPr>
              <w:spacing w:line="312"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③</w:t>
            </w:r>
            <w:r>
              <w:rPr>
                <w:rFonts w:hint="eastAsia" w:ascii="宋体" w:hAnsi="宋体" w:eastAsia="宋体" w:cs="宋体"/>
                <w:color w:val="auto"/>
                <w:sz w:val="24"/>
                <w:highlight w:val="none"/>
              </w:rPr>
              <w:t>合同履行期间，将公园委托管理的房屋建筑或场地挪作他用或违规用于经营性行为。</w:t>
            </w:r>
          </w:p>
          <w:p w14:paraId="3B72FE2D">
            <w:pPr>
              <w:spacing w:line="312"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④</w:t>
            </w:r>
            <w:r>
              <w:rPr>
                <w:rFonts w:hint="eastAsia" w:ascii="宋体" w:hAnsi="宋体" w:eastAsia="宋体" w:cs="宋体"/>
                <w:color w:val="auto"/>
                <w:sz w:val="24"/>
                <w:highlight w:val="none"/>
              </w:rPr>
              <w:t>在台风季节、暴雨等抢险救灾情况下，不服从采购</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和政府三防指挥机构的统一指挥和调度等。</w:t>
            </w:r>
          </w:p>
          <w:p w14:paraId="541A904C">
            <w:pPr>
              <w:spacing w:line="312"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有以下情形之一的，采购</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有权终止合同，合同期届满未续约或提前终止，中标</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不按时移交，按每日2万元的标准向采购</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支付违约金</w:t>
            </w:r>
            <w:r>
              <w:rPr>
                <w:rFonts w:hint="eastAsia" w:ascii="宋体" w:hAnsi="宋体" w:eastAsia="宋体" w:cs="宋体"/>
                <w:color w:val="auto"/>
                <w:sz w:val="24"/>
                <w:highlight w:val="none"/>
                <w:lang w:eastAsia="zh-CN"/>
              </w:rPr>
              <w:t>：</w:t>
            </w:r>
          </w:p>
          <w:p w14:paraId="2C0D3D11">
            <w:pPr>
              <w:spacing w:line="312"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①</w:t>
            </w:r>
            <w:r>
              <w:rPr>
                <w:rFonts w:hint="eastAsia" w:ascii="宋体" w:hAnsi="宋体" w:eastAsia="宋体" w:cs="宋体"/>
                <w:color w:val="auto"/>
                <w:sz w:val="24"/>
                <w:highlight w:val="none"/>
              </w:rPr>
              <w:t>中标</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擅自将承包的服务转包或分包给第三人的，采购</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有权终止合同。</w:t>
            </w:r>
          </w:p>
          <w:p w14:paraId="3B65BB22">
            <w:pPr>
              <w:spacing w:line="312"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②</w:t>
            </w:r>
            <w:r>
              <w:rPr>
                <w:rFonts w:hint="eastAsia" w:ascii="宋体" w:hAnsi="宋体" w:eastAsia="宋体" w:cs="宋体"/>
                <w:color w:val="auto"/>
                <w:sz w:val="24"/>
                <w:highlight w:val="none"/>
              </w:rPr>
              <w:t>中标</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累计</w:t>
            </w:r>
            <w:r>
              <w:rPr>
                <w:rFonts w:hint="eastAsia" w:ascii="宋体" w:hAnsi="宋体" w:eastAsia="宋体" w:cs="宋体"/>
                <w:color w:val="auto"/>
                <w:sz w:val="24"/>
                <w:highlight w:val="none"/>
                <w:lang w:val="en-US" w:eastAsia="zh-CN"/>
              </w:rPr>
              <w:t>扣罚</w:t>
            </w:r>
            <w:r>
              <w:rPr>
                <w:rFonts w:hint="eastAsia" w:ascii="宋体" w:hAnsi="宋体" w:eastAsia="宋体" w:cs="宋体"/>
                <w:color w:val="auto"/>
                <w:sz w:val="24"/>
                <w:highlight w:val="none"/>
              </w:rPr>
              <w:t>达到当年</w:t>
            </w:r>
            <w:r>
              <w:rPr>
                <w:rFonts w:hint="eastAsia" w:ascii="宋体" w:hAnsi="宋体" w:eastAsia="宋体" w:cs="宋体"/>
                <w:color w:val="auto"/>
                <w:sz w:val="24"/>
                <w:highlight w:val="none"/>
                <w:lang w:val="en-US" w:eastAsia="zh-CN"/>
              </w:rPr>
              <w:t>固定支付部分</w:t>
            </w:r>
            <w:r>
              <w:rPr>
                <w:rFonts w:hint="eastAsia" w:ascii="宋体" w:hAnsi="宋体" w:eastAsia="宋体" w:cs="宋体"/>
                <w:color w:val="auto"/>
                <w:sz w:val="24"/>
                <w:highlight w:val="none"/>
              </w:rPr>
              <w:t>服务费10％以上（含10%），采购</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有权终止合同。</w:t>
            </w:r>
          </w:p>
          <w:p w14:paraId="58172054">
            <w:pPr>
              <w:spacing w:line="312"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③</w:t>
            </w:r>
            <w:r>
              <w:rPr>
                <w:rFonts w:hint="eastAsia" w:ascii="宋体" w:hAnsi="宋体" w:eastAsia="宋体" w:cs="宋体"/>
                <w:color w:val="auto"/>
                <w:sz w:val="24"/>
                <w:highlight w:val="none"/>
              </w:rPr>
              <w:t>合同期内，中标</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lang w:val="en-US" w:eastAsia="zh-CN"/>
              </w:rPr>
              <w:t>累计二</w:t>
            </w:r>
            <w:r>
              <w:rPr>
                <w:rFonts w:hint="eastAsia" w:ascii="宋体" w:hAnsi="宋体" w:eastAsia="宋体" w:cs="宋体"/>
                <w:color w:val="auto"/>
                <w:sz w:val="24"/>
                <w:highlight w:val="none"/>
              </w:rPr>
              <w:t>次及以上</w:t>
            </w:r>
            <w:r>
              <w:rPr>
                <w:rFonts w:hint="eastAsia" w:ascii="宋体" w:hAnsi="宋体" w:eastAsia="宋体" w:cs="宋体"/>
                <w:color w:val="auto"/>
                <w:sz w:val="24"/>
                <w:highlight w:val="none"/>
                <w:lang w:val="en-US" w:eastAsia="zh-CN"/>
              </w:rPr>
              <w:t>月度</w:t>
            </w:r>
            <w:r>
              <w:rPr>
                <w:rFonts w:hint="eastAsia" w:ascii="宋体" w:hAnsi="宋体" w:eastAsia="宋体" w:cs="宋体"/>
                <w:color w:val="auto"/>
                <w:sz w:val="24"/>
                <w:highlight w:val="none"/>
              </w:rPr>
              <w:t>综合考核评分为不合格，采购</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有权终止合同。</w:t>
            </w:r>
          </w:p>
          <w:p w14:paraId="3C119E42">
            <w:pPr>
              <w:spacing w:line="312"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④</w:t>
            </w:r>
            <w:r>
              <w:rPr>
                <w:rFonts w:hint="eastAsia" w:ascii="宋体" w:hAnsi="宋体" w:eastAsia="宋体" w:cs="宋体"/>
                <w:color w:val="auto"/>
                <w:sz w:val="24"/>
                <w:highlight w:val="none"/>
              </w:rPr>
              <w:t>经核实，中标</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有弄虚</w:t>
            </w:r>
            <w:r>
              <w:rPr>
                <w:rFonts w:hint="eastAsia" w:ascii="宋体" w:hAnsi="宋体" w:eastAsia="宋体" w:cs="宋体"/>
                <w:color w:val="auto"/>
                <w:sz w:val="24"/>
                <w:highlight w:val="none"/>
                <w:lang w:eastAsia="zh-CN"/>
              </w:rPr>
              <w:t>作</w:t>
            </w:r>
            <w:r>
              <w:rPr>
                <w:rFonts w:hint="eastAsia" w:ascii="宋体" w:hAnsi="宋体" w:eastAsia="宋体" w:cs="宋体"/>
                <w:color w:val="auto"/>
                <w:sz w:val="24"/>
                <w:highlight w:val="none"/>
              </w:rPr>
              <w:t>假等行为，采购</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有权终止合同。</w:t>
            </w:r>
          </w:p>
          <w:p w14:paraId="09A38AFC">
            <w:pPr>
              <w:spacing w:line="312"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⑤</w:t>
            </w:r>
            <w:r>
              <w:rPr>
                <w:rFonts w:hint="eastAsia" w:ascii="宋体" w:hAnsi="宋体" w:eastAsia="宋体" w:cs="宋体"/>
                <w:color w:val="auto"/>
                <w:sz w:val="24"/>
                <w:highlight w:val="none"/>
              </w:rPr>
              <w:t>中标</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违反</w:t>
            </w:r>
            <w:r>
              <w:rPr>
                <w:rFonts w:hint="eastAsia" w:ascii="宋体" w:hAnsi="宋体" w:eastAsia="宋体" w:cs="宋体"/>
                <w:color w:val="auto"/>
                <w:sz w:val="24"/>
                <w:highlight w:val="none"/>
                <w:lang w:eastAsia="zh-CN"/>
              </w:rPr>
              <w:t>法律法规</w:t>
            </w:r>
            <w:r>
              <w:rPr>
                <w:rFonts w:hint="eastAsia" w:ascii="宋体" w:hAnsi="宋体" w:eastAsia="宋体" w:cs="宋体"/>
                <w:color w:val="auto"/>
                <w:sz w:val="24"/>
                <w:highlight w:val="none"/>
              </w:rPr>
              <w:t>、规章、合同、招标文件</w:t>
            </w:r>
            <w:r>
              <w:rPr>
                <w:rFonts w:hint="eastAsia" w:ascii="宋体" w:hAnsi="宋体" w:eastAsia="宋体" w:cs="宋体"/>
                <w:color w:val="auto"/>
                <w:sz w:val="24"/>
                <w:highlight w:val="none"/>
                <w:lang w:eastAsia="zh-CN"/>
              </w:rPr>
              <w:t>等其他</w:t>
            </w:r>
            <w:r>
              <w:rPr>
                <w:rFonts w:hint="eastAsia" w:ascii="宋体" w:hAnsi="宋体" w:eastAsia="宋体" w:cs="宋体"/>
                <w:color w:val="auto"/>
                <w:sz w:val="24"/>
                <w:highlight w:val="none"/>
              </w:rPr>
              <w:t>相关规范性文件</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严重损害</w:t>
            </w:r>
            <w:r>
              <w:rPr>
                <w:rFonts w:hint="eastAsia" w:ascii="宋体" w:hAnsi="宋体" w:eastAsia="宋体" w:cs="宋体"/>
                <w:color w:val="auto"/>
                <w:sz w:val="24"/>
                <w:highlight w:val="none"/>
                <w:lang w:eastAsia="zh-CN"/>
              </w:rPr>
              <w:t>采购人</w:t>
            </w:r>
            <w:r>
              <w:rPr>
                <w:rFonts w:hint="eastAsia" w:ascii="宋体" w:hAnsi="宋体" w:eastAsia="宋体" w:cs="宋体"/>
                <w:color w:val="auto"/>
                <w:sz w:val="24"/>
                <w:highlight w:val="none"/>
              </w:rPr>
              <w:t>利益或社会公众利益等造成本项目无法履行。</w:t>
            </w:r>
          </w:p>
        </w:tc>
      </w:tr>
    </w:tbl>
    <w:p w14:paraId="040186A1">
      <w:pPr>
        <w:widowControl/>
        <w:adjustRightInd/>
        <w:spacing w:line="360" w:lineRule="auto"/>
        <w:jc w:val="left"/>
        <w:outlineLvl w:val="1"/>
        <w:rPr>
          <w:rFonts w:hint="default"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rPr>
        <w:t>二、</w:t>
      </w:r>
      <w:r>
        <w:rPr>
          <w:rFonts w:hint="eastAsia" w:ascii="宋体" w:hAnsi="宋体" w:eastAsia="宋体" w:cs="宋体"/>
          <w:b/>
          <w:color w:val="auto"/>
          <w:kern w:val="0"/>
          <w:sz w:val="24"/>
          <w:highlight w:val="none"/>
          <w:lang w:val="en-US" w:eastAsia="zh-CN"/>
        </w:rPr>
        <w:t>项目概况</w:t>
      </w:r>
    </w:p>
    <w:p w14:paraId="221E5125">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日湖公园位于江北区外滩街道，总占地面积约为323498㎡，公园敞开式，24小时开放。日湖公园位于宁波市江北区，公园目前有6个主要出入口，园路面积约15206㎡，水域面积约154697㎡，绿化面积128221.7㎡，</w:t>
      </w:r>
      <w:r>
        <w:rPr>
          <w:rFonts w:hint="eastAsia" w:ascii="宋体" w:hAnsi="宋体" w:eastAsia="宋体" w:cs="宋体"/>
          <w:bCs/>
          <w:color w:val="auto"/>
          <w:kern w:val="0"/>
          <w:sz w:val="24"/>
          <w:highlight w:val="none"/>
          <w:lang w:eastAsia="zh-CN"/>
        </w:rPr>
        <w:t>公厕</w:t>
      </w:r>
      <w:r>
        <w:rPr>
          <w:rFonts w:hint="eastAsia" w:ascii="宋体" w:hAnsi="宋体" w:eastAsia="宋体" w:cs="宋体"/>
          <w:bCs/>
          <w:color w:val="auto"/>
          <w:kern w:val="0"/>
          <w:sz w:val="24"/>
          <w:highlight w:val="none"/>
        </w:rPr>
        <w:t>5座，建有儿童活动区、观鱼池、九曲连桥、大草坪、花境等设施，园内溪流潺潺，鸟鸣花香，园林小品精致优雅，是一个融生态、文化、康体、休闲于一体，格调高雅兼具时代特色的新型城市公园。</w:t>
      </w:r>
    </w:p>
    <w:p w14:paraId="320E14A9">
      <w:pPr>
        <w:widowControl/>
        <w:tabs>
          <w:tab w:val="left" w:pos="851"/>
        </w:tabs>
        <w:adjustRightInd/>
        <w:spacing w:line="360" w:lineRule="auto"/>
        <w:ind w:firstLine="480" w:firstLineChars="200"/>
        <w:rPr>
          <w:rFonts w:hint="default" w:ascii="宋体" w:hAnsi="宋体" w:eastAsia="宋体" w:cs="宋体"/>
          <w:b/>
          <w:bCs w:val="0"/>
          <w:color w:val="auto"/>
          <w:kern w:val="0"/>
          <w:sz w:val="24"/>
          <w:highlight w:val="none"/>
          <w:lang w:val="en-US" w:eastAsia="zh-CN"/>
        </w:rPr>
      </w:pPr>
    </w:p>
    <w:p w14:paraId="1F31CB58">
      <w:pPr>
        <w:widowControl/>
        <w:tabs>
          <w:tab w:val="left" w:pos="851"/>
        </w:tabs>
        <w:adjustRightInd/>
        <w:spacing w:line="360" w:lineRule="auto"/>
        <w:outlineLvl w:val="1"/>
        <w:rPr>
          <w:rFonts w:ascii="宋体" w:hAnsi="宋体" w:eastAsia="宋体" w:cs="宋体"/>
          <w:b/>
          <w:color w:val="auto"/>
          <w:kern w:val="0"/>
          <w:sz w:val="24"/>
          <w:highlight w:val="none"/>
        </w:rPr>
      </w:pPr>
      <w:r>
        <w:rPr>
          <w:rFonts w:hint="eastAsia" w:ascii="宋体" w:hAnsi="宋体" w:eastAsia="宋体" w:cs="宋体"/>
          <w:b/>
          <w:color w:val="auto"/>
          <w:kern w:val="0"/>
          <w:sz w:val="24"/>
          <w:highlight w:val="none"/>
        </w:rPr>
        <w:t>三、主要服务内容</w:t>
      </w:r>
    </w:p>
    <w:p w14:paraId="77DD1412">
      <w:pPr>
        <w:widowControl w:val="0"/>
        <w:numPr>
          <w:ilvl w:val="0"/>
          <w:numId w:val="0"/>
        </w:numPr>
        <w:adjustRightInd/>
        <w:spacing w:line="580" w:lineRule="exact"/>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 w:val="0"/>
          <w:bCs/>
          <w:color w:val="auto"/>
          <w:kern w:val="0"/>
          <w:sz w:val="24"/>
          <w:szCs w:val="24"/>
          <w:highlight w:val="none"/>
          <w:lang w:val="en-US" w:eastAsia="zh-CN" w:bidi="ar-SA"/>
        </w:rPr>
        <w:t>公园综合管理服务主要实施内容：1.固定结算部分：绿化养护、保洁（含水域、公厕）、安保服务、四害消杀（含白蚁防治）、外来入侵物种防范、游客服务等，还包括其他配合公园开展的各项管理服务、各类活动保障、完善应急预案体系、落实极端气候防护、组建应急抢险队伍等相关保障内容。2：按实结算部分：零星设施维护修缮更新（包括管理设施、公共服务设施</w:t>
      </w:r>
      <w:r>
        <w:rPr>
          <w:rFonts w:hint="eastAsia" w:ascii="宋体" w:hAnsi="宋体" w:cs="宋体"/>
          <w:b w:val="0"/>
          <w:bCs/>
          <w:color w:val="auto"/>
          <w:kern w:val="0"/>
          <w:sz w:val="24"/>
          <w:szCs w:val="24"/>
          <w:highlight w:val="none"/>
          <w:lang w:val="en-US" w:eastAsia="zh-CN" w:bidi="ar-SA"/>
        </w:rPr>
        <w:t>、网络安全设施</w:t>
      </w:r>
      <w:r>
        <w:rPr>
          <w:rFonts w:hint="eastAsia" w:ascii="宋体" w:hAnsi="宋体" w:eastAsia="宋体" w:cs="宋体"/>
          <w:b w:val="0"/>
          <w:bCs/>
          <w:color w:val="auto"/>
          <w:kern w:val="0"/>
          <w:sz w:val="24"/>
          <w:szCs w:val="24"/>
          <w:highlight w:val="none"/>
          <w:lang w:val="en-US" w:eastAsia="zh-CN" w:bidi="ar-SA"/>
        </w:rPr>
        <w:t>等）；景观环境提升（包括绿化景观环境提升或服务设施类提升、新优品种或特色苗木引入、水质提升等）；节日活动氛围营造布置；不可预期的增派人员或机械设备；因管理需要按实结算的材料、物资，各类专业服务等。</w:t>
      </w:r>
    </w:p>
    <w:p w14:paraId="1AF21526">
      <w:pPr>
        <w:widowControl/>
        <w:tabs>
          <w:tab w:val="left" w:pos="851"/>
        </w:tabs>
        <w:adjustRightInd/>
        <w:spacing w:line="360" w:lineRule="auto"/>
        <w:outlineLvl w:val="1"/>
        <w:rPr>
          <w:rFonts w:hint="default"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四、具体服务要求</w:t>
      </w:r>
    </w:p>
    <w:p w14:paraId="70A7EB39">
      <w:pPr>
        <w:widowControl/>
        <w:tabs>
          <w:tab w:val="left" w:pos="851"/>
        </w:tabs>
        <w:adjustRightInd/>
        <w:spacing w:line="360" w:lineRule="auto"/>
        <w:ind w:firstLine="480" w:firstLineChars="200"/>
        <w:rPr>
          <w:rFonts w:hint="default"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（一）总体管理要求</w:t>
      </w:r>
    </w:p>
    <w:tbl>
      <w:tblPr>
        <w:tblStyle w:val="62"/>
        <w:tblW w:w="93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7608"/>
        <w:gridCol w:w="929"/>
      </w:tblGrid>
      <w:tr w14:paraId="13CB0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blHeader/>
        </w:trPr>
        <w:tc>
          <w:tcPr>
            <w:tcW w:w="813" w:type="dxa"/>
            <w:vAlign w:val="center"/>
          </w:tcPr>
          <w:p w14:paraId="6BF0D3C4">
            <w:pPr>
              <w:widowControl w:val="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类别</w:t>
            </w:r>
          </w:p>
        </w:tc>
        <w:tc>
          <w:tcPr>
            <w:tcW w:w="7608" w:type="dxa"/>
            <w:vAlign w:val="center"/>
          </w:tcPr>
          <w:p w14:paraId="1CFDC041">
            <w:pPr>
              <w:widowControl w:val="0"/>
              <w:ind w:firstLine="480" w:firstLineChars="20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管理要求</w:t>
            </w:r>
          </w:p>
        </w:tc>
        <w:tc>
          <w:tcPr>
            <w:tcW w:w="929" w:type="dxa"/>
            <w:vAlign w:val="center"/>
          </w:tcPr>
          <w:p w14:paraId="1394705F">
            <w:pPr>
              <w:widowControl w:val="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备注</w:t>
            </w:r>
          </w:p>
        </w:tc>
      </w:tr>
      <w:tr w14:paraId="3778B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13" w:type="dxa"/>
            <w:vAlign w:val="center"/>
          </w:tcPr>
          <w:p w14:paraId="7AC20E5A">
            <w:pPr>
              <w:widowControl w:val="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合同执行</w:t>
            </w:r>
          </w:p>
        </w:tc>
        <w:tc>
          <w:tcPr>
            <w:tcW w:w="7608" w:type="dxa"/>
            <w:vAlign w:val="center"/>
          </w:tcPr>
          <w:p w14:paraId="2C5A3A0D">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1.中标人应具有完善的管理机构，管理人员职责明确、管理制度健全、日常运作规范。（中标人需提供公司规范运作的相关管理制度和资料）。</w:t>
            </w:r>
          </w:p>
          <w:p w14:paraId="4A72F71A">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2.中标人进场之日开始启动全面的摸底工作，提出项目可行的组织实施方案。</w:t>
            </w:r>
          </w:p>
          <w:p w14:paraId="1B7623D8">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3.中标人应建立质量控制体系，对服务状况进行有效监控，每季度向采购人报一份履约自查报告。</w:t>
            </w:r>
          </w:p>
          <w:p w14:paraId="484A4A38">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4.中标人需根据实际需要自行购置确保项目正常运行的办公、管理、维修、养护所需工具、设备、车辆等资产，并承担所需办公、管理、维修、养护的日常费用、人员工资及法定税费等。</w:t>
            </w:r>
          </w:p>
          <w:p w14:paraId="6CE31949">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5.中标人应设置专门的咨询投诉电话（应在公园公厕、标识牌等明显位置标注）受理游客和其他单位的咨询、投诉、意见反馈，并保证得到有效解决，如果是采购人或监管部门的检查、考核或书面整改通知书，则须在5个工作日内整改，并给予采购人书面回复。</w:t>
            </w:r>
          </w:p>
          <w:p w14:paraId="3CDF3C6B">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6.中标人应根据公园管理水平和科技不断发展的情况，自行引进先进的、有效的管理理念和采用更先进、更有效的管理方式和设备。</w:t>
            </w:r>
          </w:p>
          <w:p w14:paraId="52556BA8">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7.中标人应当按照法律法规、规章和其他规范性文件的规定开展各项工作。因重大活动、应急事件、突发事件等需要，中标人必须无条件地完成采购人交办的突击工作。</w:t>
            </w:r>
          </w:p>
          <w:p w14:paraId="7ABC4614">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8.在公园管辖区域内有重大活动或接待任务情况下，中标人应服从采购人的统一指挥和调动，并配备充足的安保和服务力量。</w:t>
            </w:r>
          </w:p>
          <w:p w14:paraId="5EF90EA4">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9.中标人不得发生拖欠员工工资、劳资纠纷、罢工停工、人员工伤等事件。员工正常工作时间工资（不包括加班费、高温补贴及其他福利）不低于投标承诺的工资水平</w:t>
            </w:r>
            <w:r>
              <w:rPr>
                <w:rFonts w:hint="eastAsia" w:ascii="宋体" w:hAnsi="宋体" w:eastAsia="宋体" w:cs="宋体"/>
                <w:bCs/>
                <w:color w:val="auto"/>
                <w:kern w:val="0"/>
                <w:sz w:val="24"/>
                <w:highlight w:val="none"/>
                <w:lang w:val="en-US" w:eastAsia="zh-CN"/>
              </w:rPr>
              <w:t>及宁波市本级的最低工资（按市人社局发布的最新最低工资规定）</w:t>
            </w:r>
            <w:r>
              <w:rPr>
                <w:rFonts w:hint="eastAsia" w:ascii="宋体" w:hAnsi="宋体" w:eastAsia="宋体" w:cs="宋体"/>
                <w:bCs/>
                <w:color w:val="auto"/>
                <w:kern w:val="0"/>
                <w:sz w:val="24"/>
                <w:highlight w:val="none"/>
                <w:lang w:eastAsia="zh-CN"/>
              </w:rPr>
              <w:t>。</w:t>
            </w:r>
          </w:p>
          <w:p w14:paraId="6E07023D">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10.中标人必须遵守《劳动法》相关规定为员工购买相关社会保险，同时须为全体服务于本项目的人员办理每人最低赔付额度为人民币</w:t>
            </w:r>
            <w:r>
              <w:rPr>
                <w:rFonts w:hint="eastAsia" w:ascii="宋体" w:hAnsi="宋体" w:cs="宋体"/>
                <w:bCs/>
                <w:color w:val="auto"/>
                <w:kern w:val="0"/>
                <w:sz w:val="24"/>
                <w:highlight w:val="none"/>
                <w:lang w:eastAsia="zh-CN"/>
              </w:rPr>
              <w:t>100万</w:t>
            </w:r>
            <w:r>
              <w:rPr>
                <w:rFonts w:hint="eastAsia" w:ascii="宋体" w:hAnsi="宋体" w:eastAsia="宋体" w:cs="宋体"/>
                <w:bCs/>
                <w:color w:val="auto"/>
                <w:kern w:val="0"/>
                <w:sz w:val="24"/>
                <w:highlight w:val="none"/>
                <w:lang w:eastAsia="zh-CN"/>
              </w:rPr>
              <w:t>元的人身意外商业保险，并负责办理社会保险和商业保险的理赔手续和发放保险金。</w:t>
            </w:r>
          </w:p>
          <w:p w14:paraId="19113BC9">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11.本项目将纳入智慧园林管理系统，中标人必须按要求配合使用，使用中</w:t>
            </w:r>
            <w:r>
              <w:rPr>
                <w:rFonts w:hint="eastAsia" w:ascii="宋体" w:hAnsi="宋体" w:eastAsia="宋体" w:cs="宋体"/>
                <w:bCs/>
                <w:color w:val="auto"/>
                <w:kern w:val="0"/>
                <w:sz w:val="24"/>
                <w:highlight w:val="none"/>
                <w:lang w:val="en-US" w:eastAsia="zh-CN"/>
              </w:rPr>
              <w:t>可能</w:t>
            </w:r>
            <w:r>
              <w:rPr>
                <w:rFonts w:hint="eastAsia" w:ascii="宋体" w:hAnsi="宋体" w:eastAsia="宋体" w:cs="宋体"/>
                <w:bCs/>
                <w:color w:val="auto"/>
                <w:kern w:val="0"/>
                <w:sz w:val="24"/>
                <w:highlight w:val="none"/>
                <w:lang w:eastAsia="zh-CN"/>
              </w:rPr>
              <w:t>产生的智能工牌等设备购置相关费用均由中标人无条件承担。</w:t>
            </w:r>
          </w:p>
          <w:p w14:paraId="11F92AE5">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12.合同期内，中标人服务不达标，采购人有权</w:t>
            </w:r>
            <w:r>
              <w:rPr>
                <w:rFonts w:hint="eastAsia" w:ascii="宋体" w:hAnsi="宋体" w:eastAsia="宋体" w:cs="宋体"/>
                <w:bCs/>
                <w:color w:val="auto"/>
                <w:kern w:val="0"/>
                <w:sz w:val="24"/>
                <w:highlight w:val="none"/>
                <w:lang w:val="en-US" w:eastAsia="zh-CN"/>
              </w:rPr>
              <w:t>终止</w:t>
            </w:r>
            <w:r>
              <w:rPr>
                <w:rFonts w:hint="eastAsia" w:ascii="宋体" w:hAnsi="宋体" w:eastAsia="宋体" w:cs="宋体"/>
                <w:bCs/>
                <w:color w:val="auto"/>
                <w:kern w:val="0"/>
                <w:sz w:val="24"/>
                <w:highlight w:val="none"/>
                <w:lang w:eastAsia="zh-CN"/>
              </w:rPr>
              <w:t>合同。</w:t>
            </w:r>
          </w:p>
          <w:p w14:paraId="5C9471E9">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Cs/>
                <w:color w:val="auto"/>
                <w:kern w:val="0"/>
                <w:sz w:val="24"/>
                <w:highlight w:val="none"/>
                <w:lang w:eastAsia="zh-CN"/>
              </w:rPr>
              <w:t>13.由中标人负责管理维护的专用设施如仓库、工具间、值班休息室等禁止挪作他用。</w:t>
            </w:r>
          </w:p>
        </w:tc>
        <w:tc>
          <w:tcPr>
            <w:tcW w:w="929" w:type="dxa"/>
            <w:vMerge w:val="restart"/>
            <w:vAlign w:val="center"/>
          </w:tcPr>
          <w:p w14:paraId="39E77656">
            <w:pPr>
              <w:widowControl w:val="0"/>
              <w:jc w:val="center"/>
              <w:rPr>
                <w:rFonts w:hint="eastAsia" w:ascii="宋体" w:hAnsi="宋体" w:eastAsia="宋体" w:cs="宋体"/>
                <w:bCs/>
                <w:color w:val="auto"/>
                <w:sz w:val="24"/>
                <w:szCs w:val="24"/>
                <w:highlight w:val="none"/>
              </w:rPr>
            </w:pPr>
            <w:r>
              <w:rPr>
                <w:rFonts w:hint="eastAsia" w:ascii="宋体" w:hAnsi="宋体" w:eastAsia="宋体" w:cs="宋体"/>
                <w:b/>
                <w:color w:val="auto"/>
                <w:sz w:val="24"/>
                <w:szCs w:val="24"/>
                <w:highlight w:val="none"/>
              </w:rPr>
              <w:t>达到招标文件、合同及相关部门要求。</w:t>
            </w:r>
          </w:p>
        </w:tc>
      </w:tr>
      <w:tr w14:paraId="4E3EB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813" w:type="dxa"/>
            <w:vAlign w:val="center"/>
          </w:tcPr>
          <w:p w14:paraId="3A4AE13A">
            <w:pPr>
              <w:widowControl w:val="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人员管理</w:t>
            </w:r>
          </w:p>
        </w:tc>
        <w:tc>
          <w:tcPr>
            <w:tcW w:w="7608" w:type="dxa"/>
            <w:vAlign w:val="center"/>
          </w:tcPr>
          <w:p w14:paraId="2FF2E7D3">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1.中标人应在合同签订后10天内将项目管理团队成员名单以及执业资格证书和职称证书的复印件，车辆行驶证的复印件并加盖公章提交给采购人。其他人员有资质要求的也需要提供相关资格证书复印件。</w:t>
            </w:r>
          </w:p>
          <w:p w14:paraId="18E40AF0">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2.人员考勤达到合同规定要求（要求</w:t>
            </w:r>
            <w:r>
              <w:rPr>
                <w:rFonts w:hint="eastAsia" w:ascii="宋体" w:hAnsi="宋体" w:eastAsia="宋体" w:cs="宋体"/>
                <w:bCs/>
                <w:color w:val="auto"/>
                <w:kern w:val="0"/>
                <w:sz w:val="24"/>
                <w:highlight w:val="none"/>
                <w:lang w:val="en-US" w:eastAsia="zh-CN"/>
              </w:rPr>
              <w:t>中标人采用</w:t>
            </w:r>
            <w:r>
              <w:rPr>
                <w:rFonts w:hint="eastAsia" w:ascii="宋体" w:hAnsi="宋体" w:eastAsia="宋体" w:cs="宋体"/>
                <w:bCs/>
                <w:color w:val="auto"/>
                <w:kern w:val="0"/>
                <w:sz w:val="24"/>
                <w:highlight w:val="none"/>
                <w:lang w:eastAsia="zh-CN"/>
              </w:rPr>
              <w:t>人脸识别仪打卡数据、钉钉打卡或其他考勤方式），在管理服务期间，采购人将根据名单和证件对现场服务人员进行抽查，发现未按招标文件和合同要求到场服务的，中标人应根据招标文件和合同有关条款承担违约责任。</w:t>
            </w:r>
          </w:p>
          <w:p w14:paraId="0C4B489E">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3.投标人一旦中标，投标</w:t>
            </w:r>
            <w:r>
              <w:rPr>
                <w:rFonts w:hint="eastAsia" w:ascii="宋体" w:hAnsi="宋体" w:eastAsia="宋体" w:cs="宋体"/>
                <w:bCs/>
                <w:color w:val="auto"/>
                <w:kern w:val="0"/>
                <w:sz w:val="24"/>
                <w:highlight w:val="none"/>
                <w:lang w:val="en-US" w:eastAsia="zh-CN"/>
              </w:rPr>
              <w:t>文件中列明的</w:t>
            </w:r>
            <w:r>
              <w:rPr>
                <w:rFonts w:hint="eastAsia" w:ascii="宋体" w:hAnsi="宋体" w:eastAsia="宋体" w:cs="宋体"/>
                <w:bCs/>
                <w:color w:val="auto"/>
                <w:kern w:val="0"/>
                <w:sz w:val="24"/>
                <w:highlight w:val="none"/>
                <w:lang w:eastAsia="zh-CN"/>
              </w:rPr>
              <w:t>项目负责人原则上不可更换，即为该项目的项目负责人；如确需更换，项目负责人必须不低于投标时的要求，并经采购人书面同意。</w:t>
            </w:r>
          </w:p>
          <w:p w14:paraId="0B99FB85">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4.中标人必须与员工签订书面劳动合同并遵守《劳动法》相关规定。</w:t>
            </w:r>
          </w:p>
          <w:p w14:paraId="0BEC7702">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5</w:t>
            </w:r>
            <w:r>
              <w:rPr>
                <w:rFonts w:hint="eastAsia" w:ascii="宋体" w:hAnsi="宋体" w:eastAsia="宋体" w:cs="宋体"/>
                <w:bCs/>
                <w:color w:val="auto"/>
                <w:kern w:val="0"/>
                <w:sz w:val="24"/>
                <w:highlight w:val="none"/>
                <w:lang w:eastAsia="zh-CN"/>
              </w:rPr>
              <w:t>.在服务期限内，中标人须服从公园的指挥和合理调整。相关人员不称职、不符合公园的要求，公园有权要求更换。</w:t>
            </w:r>
          </w:p>
          <w:p w14:paraId="53763772">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6</w:t>
            </w:r>
            <w:r>
              <w:rPr>
                <w:rFonts w:hint="eastAsia" w:ascii="宋体" w:hAnsi="宋体" w:eastAsia="宋体" w:cs="宋体"/>
                <w:bCs/>
                <w:color w:val="auto"/>
                <w:kern w:val="0"/>
                <w:sz w:val="24"/>
                <w:highlight w:val="none"/>
                <w:lang w:eastAsia="zh-CN"/>
              </w:rPr>
              <w:t>.工作人员进行工作时必须按要求统一工作服。一线员工着装样式，按《宁波市园林绿化行业养护作业服装技术指引》的样式标准制作，同时保证服饰材质适用工作需求，包含不限于工作鞋、工作帽、全套服装、反光衣等。</w:t>
            </w:r>
          </w:p>
          <w:p w14:paraId="79BE067F">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bCs/>
                <w:color w:val="auto"/>
                <w:kern w:val="0"/>
                <w:sz w:val="24"/>
                <w:highlight w:val="none"/>
                <w:lang w:val="en-US" w:eastAsia="zh-CN"/>
              </w:rPr>
              <w:t>7</w:t>
            </w:r>
            <w:r>
              <w:rPr>
                <w:rFonts w:hint="eastAsia" w:ascii="宋体" w:hAnsi="宋体" w:eastAsia="宋体" w:cs="宋体"/>
                <w:bCs/>
                <w:color w:val="auto"/>
                <w:kern w:val="0"/>
                <w:sz w:val="24"/>
                <w:highlight w:val="none"/>
                <w:lang w:eastAsia="zh-CN"/>
              </w:rPr>
              <w:t>.中标人原则上自行解决员工的生活基地，包括上下班的交通工具。</w:t>
            </w:r>
          </w:p>
        </w:tc>
        <w:tc>
          <w:tcPr>
            <w:tcW w:w="929" w:type="dxa"/>
            <w:vMerge w:val="continue"/>
            <w:vAlign w:val="center"/>
          </w:tcPr>
          <w:p w14:paraId="45A4C8E7">
            <w:pPr>
              <w:widowControl w:val="0"/>
              <w:ind w:firstLine="480" w:firstLineChars="200"/>
              <w:jc w:val="left"/>
              <w:rPr>
                <w:rFonts w:hint="eastAsia" w:ascii="宋体" w:hAnsi="宋体" w:eastAsia="宋体" w:cs="宋体"/>
                <w:bCs/>
                <w:color w:val="auto"/>
                <w:sz w:val="24"/>
                <w:szCs w:val="24"/>
                <w:highlight w:val="none"/>
              </w:rPr>
            </w:pPr>
          </w:p>
        </w:tc>
      </w:tr>
      <w:tr w14:paraId="07B29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7" w:hRule="atLeast"/>
        </w:trPr>
        <w:tc>
          <w:tcPr>
            <w:tcW w:w="813" w:type="dxa"/>
            <w:vAlign w:val="center"/>
          </w:tcPr>
          <w:p w14:paraId="6E95824A">
            <w:pPr>
              <w:widowControl w:val="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机械设备管理</w:t>
            </w:r>
          </w:p>
        </w:tc>
        <w:tc>
          <w:tcPr>
            <w:tcW w:w="7608" w:type="dxa"/>
            <w:vAlign w:val="center"/>
          </w:tcPr>
          <w:p w14:paraId="0C309891">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1.机械设备按合同要求的种类及数量配备或提供。</w:t>
            </w:r>
          </w:p>
          <w:p w14:paraId="741FED9F">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2</w:t>
            </w:r>
            <w:r>
              <w:rPr>
                <w:rFonts w:hint="eastAsia" w:ascii="宋体" w:hAnsi="宋体" w:eastAsia="宋体" w:cs="宋体"/>
                <w:bCs/>
                <w:color w:val="auto"/>
                <w:kern w:val="0"/>
                <w:sz w:val="24"/>
                <w:highlight w:val="none"/>
                <w:lang w:eastAsia="zh-CN"/>
              </w:rPr>
              <w:t>.</w:t>
            </w:r>
            <w:r>
              <w:rPr>
                <w:rFonts w:hint="eastAsia" w:ascii="宋体" w:hAnsi="宋体" w:eastAsia="宋体" w:cs="宋体"/>
                <w:bCs/>
                <w:color w:val="auto"/>
                <w:kern w:val="0"/>
                <w:sz w:val="24"/>
                <w:highlight w:val="none"/>
                <w:lang w:val="en-US" w:eastAsia="zh-CN"/>
              </w:rPr>
              <w:t>相关作业车辆应</w:t>
            </w:r>
            <w:r>
              <w:rPr>
                <w:rFonts w:hint="eastAsia" w:ascii="宋体" w:hAnsi="宋体" w:eastAsia="宋体" w:cs="宋体"/>
                <w:bCs/>
                <w:color w:val="auto"/>
                <w:kern w:val="0"/>
                <w:sz w:val="24"/>
                <w:highlight w:val="none"/>
                <w:lang w:eastAsia="zh-CN"/>
              </w:rPr>
              <w:t>符合环保要求，通过年检取得车管部门合格检验标志。</w:t>
            </w:r>
          </w:p>
          <w:p w14:paraId="705ABABD">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3</w:t>
            </w:r>
            <w:r>
              <w:rPr>
                <w:rFonts w:hint="eastAsia" w:ascii="宋体" w:hAnsi="宋体" w:eastAsia="宋体" w:cs="宋体"/>
                <w:bCs/>
                <w:color w:val="auto"/>
                <w:kern w:val="0"/>
                <w:sz w:val="24"/>
                <w:highlight w:val="none"/>
                <w:lang w:eastAsia="zh-CN"/>
              </w:rPr>
              <w:t>.作业工具使用完成后正确摆放，并保持干净整洁。作业车辆在园区规定地方停放。</w:t>
            </w:r>
          </w:p>
          <w:p w14:paraId="67C7F247">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4</w:t>
            </w:r>
            <w:r>
              <w:rPr>
                <w:rFonts w:hint="eastAsia" w:ascii="宋体" w:hAnsi="宋体" w:eastAsia="宋体" w:cs="宋体"/>
                <w:bCs/>
                <w:color w:val="auto"/>
                <w:kern w:val="0"/>
                <w:sz w:val="24"/>
                <w:highlight w:val="none"/>
                <w:lang w:eastAsia="zh-CN"/>
              </w:rPr>
              <w:t>.设备应专用于本项目服务，做好日常检查和定期保养，及时上报有关问题和故障，做好设备管理清单和运行日志。</w:t>
            </w:r>
          </w:p>
          <w:p w14:paraId="270E7FCC">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5</w:t>
            </w:r>
            <w:r>
              <w:rPr>
                <w:rFonts w:hint="eastAsia" w:ascii="宋体" w:hAnsi="宋体" w:eastAsia="宋体" w:cs="宋体"/>
                <w:bCs/>
                <w:color w:val="auto"/>
                <w:kern w:val="0"/>
                <w:sz w:val="24"/>
                <w:highlight w:val="none"/>
                <w:lang w:eastAsia="zh-CN"/>
              </w:rPr>
              <w:t>.由于采购人特殊要求更换机械设备时，中标人须无条件配合采购人进行更换。</w:t>
            </w:r>
          </w:p>
        </w:tc>
        <w:tc>
          <w:tcPr>
            <w:tcW w:w="929" w:type="dxa"/>
            <w:vMerge w:val="continue"/>
            <w:vAlign w:val="center"/>
          </w:tcPr>
          <w:p w14:paraId="2F7F3A21">
            <w:pPr>
              <w:widowControl w:val="0"/>
              <w:ind w:firstLine="480" w:firstLineChars="200"/>
              <w:jc w:val="left"/>
              <w:rPr>
                <w:rFonts w:hint="eastAsia" w:ascii="宋体" w:hAnsi="宋体" w:eastAsia="宋体" w:cs="宋体"/>
                <w:bCs/>
                <w:color w:val="auto"/>
                <w:sz w:val="24"/>
                <w:szCs w:val="24"/>
                <w:highlight w:val="none"/>
              </w:rPr>
            </w:pPr>
          </w:p>
        </w:tc>
      </w:tr>
      <w:tr w14:paraId="3427E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3" w:type="dxa"/>
            <w:vAlign w:val="center"/>
          </w:tcPr>
          <w:p w14:paraId="3CFE8AED">
            <w:pPr>
              <w:widowControl w:val="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台账管理</w:t>
            </w:r>
          </w:p>
        </w:tc>
        <w:tc>
          <w:tcPr>
            <w:tcW w:w="7608" w:type="dxa"/>
            <w:vAlign w:val="center"/>
          </w:tcPr>
          <w:p w14:paraId="068543A8">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1.</w:t>
            </w:r>
            <w:r>
              <w:rPr>
                <w:rFonts w:hint="eastAsia" w:ascii="宋体" w:hAnsi="宋体" w:eastAsia="宋体" w:cs="宋体"/>
                <w:bCs/>
                <w:color w:val="auto"/>
                <w:kern w:val="0"/>
                <w:sz w:val="24"/>
                <w:highlight w:val="none"/>
                <w:lang w:eastAsia="zh-CN"/>
              </w:rPr>
              <w:t>中标人必须建立日常管理规章制度，服务规范、设备操作规范及应急响应制度等，健全各种设备、设施的运行维护计划、记录及管理内容的基础档案。</w:t>
            </w:r>
          </w:p>
          <w:p w14:paraId="00973745">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2.</w:t>
            </w:r>
            <w:r>
              <w:rPr>
                <w:rFonts w:hint="eastAsia" w:ascii="宋体" w:hAnsi="宋体" w:eastAsia="宋体" w:cs="宋体"/>
                <w:bCs/>
                <w:color w:val="auto"/>
                <w:kern w:val="0"/>
                <w:sz w:val="24"/>
                <w:highlight w:val="none"/>
                <w:lang w:eastAsia="zh-CN"/>
              </w:rPr>
              <w:t>中标人必须建立公园档案，及时记录，按时上报月报、年度总结。公园档案资料包括：日常养护台账、人员考核台账、日常巡查及整改记录、安全管理台账、设施管理台账、生活垃圾分类管理台账等。</w:t>
            </w:r>
          </w:p>
          <w:p w14:paraId="392B62FE">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3.</w:t>
            </w:r>
            <w:r>
              <w:rPr>
                <w:rFonts w:hint="eastAsia" w:ascii="宋体" w:hAnsi="宋体" w:eastAsia="宋体" w:cs="宋体"/>
                <w:bCs/>
                <w:color w:val="auto"/>
                <w:kern w:val="0"/>
                <w:sz w:val="24"/>
                <w:highlight w:val="none"/>
                <w:lang w:eastAsia="zh-CN"/>
              </w:rPr>
              <w:t>公园管理维护中涉及的文件、台账均需要归档，并分别用纸质、电子版保存，由专人负责管理，按要求对文件、台账资料进行备案。</w:t>
            </w:r>
          </w:p>
        </w:tc>
        <w:tc>
          <w:tcPr>
            <w:tcW w:w="929" w:type="dxa"/>
            <w:vMerge w:val="continue"/>
            <w:vAlign w:val="center"/>
          </w:tcPr>
          <w:p w14:paraId="7DD09BA9">
            <w:pPr>
              <w:widowControl w:val="0"/>
              <w:ind w:firstLine="480" w:firstLineChars="200"/>
              <w:jc w:val="left"/>
              <w:rPr>
                <w:rFonts w:hint="eastAsia" w:ascii="宋体" w:hAnsi="宋体" w:eastAsia="宋体" w:cs="宋体"/>
                <w:bCs/>
                <w:color w:val="auto"/>
                <w:sz w:val="24"/>
                <w:szCs w:val="24"/>
                <w:highlight w:val="none"/>
              </w:rPr>
            </w:pPr>
          </w:p>
        </w:tc>
      </w:tr>
      <w:tr w14:paraId="4535C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813" w:type="dxa"/>
            <w:vAlign w:val="center"/>
          </w:tcPr>
          <w:p w14:paraId="027A5290">
            <w:pPr>
              <w:widowControl w:val="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安全文明</w:t>
            </w:r>
          </w:p>
        </w:tc>
        <w:tc>
          <w:tcPr>
            <w:tcW w:w="7608" w:type="dxa"/>
            <w:vAlign w:val="center"/>
          </w:tcPr>
          <w:p w14:paraId="365F3F5A">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1.</w:t>
            </w:r>
            <w:r>
              <w:rPr>
                <w:rFonts w:hint="eastAsia" w:ascii="宋体" w:hAnsi="宋体" w:eastAsia="宋体" w:cs="宋体"/>
                <w:bCs/>
                <w:color w:val="auto"/>
                <w:kern w:val="0"/>
                <w:sz w:val="24"/>
                <w:highlight w:val="none"/>
                <w:lang w:eastAsia="zh-CN"/>
              </w:rPr>
              <w:t>做好所有员工的安全生产教育，中标人员工上班期间或下班发生的一切人身伤亡事故责任均由中标人自行负责。</w:t>
            </w:r>
          </w:p>
          <w:p w14:paraId="6A5AAAC8">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2.</w:t>
            </w:r>
            <w:r>
              <w:rPr>
                <w:rFonts w:hint="eastAsia" w:ascii="宋体" w:hAnsi="宋体" w:eastAsia="宋体" w:cs="宋体"/>
                <w:bCs/>
                <w:color w:val="auto"/>
                <w:kern w:val="0"/>
                <w:sz w:val="24"/>
                <w:highlight w:val="none"/>
                <w:lang w:eastAsia="zh-CN"/>
              </w:rPr>
              <w:t>中标人须落实文明服务措施，如应急维修作业前放置好安全围挡、安全标志、警示标线、温馨提示等。</w:t>
            </w:r>
          </w:p>
          <w:p w14:paraId="3F650F68">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cs="宋体"/>
                <w:bCs/>
                <w:color w:val="auto"/>
                <w:kern w:val="0"/>
                <w:sz w:val="24"/>
                <w:highlight w:val="none"/>
                <w:lang w:val="en-US" w:eastAsia="zh-CN"/>
              </w:rPr>
              <w:t>3.</w:t>
            </w:r>
            <w:r>
              <w:rPr>
                <w:rFonts w:hint="eastAsia" w:ascii="宋体" w:hAnsi="宋体" w:eastAsia="宋体" w:cs="宋体"/>
                <w:bCs/>
                <w:color w:val="auto"/>
                <w:kern w:val="0"/>
                <w:sz w:val="24"/>
                <w:highlight w:val="none"/>
                <w:lang w:eastAsia="zh-CN"/>
              </w:rPr>
              <w:t>若因中标人原因导致采购人或者入园游客发生伤亡事故的，中标人必须第一时间进行应急处理并上报给采购人，一切责任和损失由中标人承担。</w:t>
            </w:r>
          </w:p>
          <w:p w14:paraId="19E102C3">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cs="宋体"/>
                <w:bCs/>
                <w:color w:val="auto"/>
                <w:kern w:val="0"/>
                <w:sz w:val="24"/>
                <w:highlight w:val="none"/>
                <w:lang w:val="en-US" w:eastAsia="zh-CN"/>
              </w:rPr>
              <w:t>4</w:t>
            </w:r>
            <w:r>
              <w:rPr>
                <w:rFonts w:hint="eastAsia" w:ascii="宋体" w:hAnsi="宋体" w:eastAsia="宋体" w:cs="宋体"/>
                <w:bCs/>
                <w:color w:val="auto"/>
                <w:kern w:val="0"/>
                <w:sz w:val="24"/>
                <w:highlight w:val="none"/>
                <w:lang w:val="en-US" w:eastAsia="zh-CN"/>
              </w:rPr>
              <w:t>.</w:t>
            </w:r>
            <w:r>
              <w:rPr>
                <w:rFonts w:hint="eastAsia" w:ascii="宋体" w:hAnsi="宋体" w:eastAsia="宋体" w:cs="宋体"/>
                <w:bCs/>
                <w:color w:val="auto"/>
                <w:kern w:val="0"/>
                <w:sz w:val="24"/>
                <w:highlight w:val="none"/>
                <w:lang w:eastAsia="zh-CN"/>
              </w:rPr>
              <w:t>中标人进行日常消杀、病虫害防治等工作时，使用药物必须为国家规定“三证”（农药登记证、生产许可证、产品标准证）齐全的药物，不得使用国家及省市相关部门明令禁止使用的有毒有害药物，在消杀前提前报管理单位，并提前</w:t>
            </w:r>
            <w:r>
              <w:rPr>
                <w:rFonts w:hint="eastAsia" w:ascii="宋体" w:hAnsi="宋体" w:eastAsia="宋体" w:cs="宋体"/>
                <w:bCs/>
                <w:color w:val="auto"/>
                <w:kern w:val="0"/>
                <w:sz w:val="24"/>
                <w:highlight w:val="none"/>
                <w:lang w:val="en-US" w:eastAsia="zh-CN"/>
              </w:rPr>
              <w:t>1</w:t>
            </w:r>
            <w:r>
              <w:rPr>
                <w:rFonts w:hint="eastAsia" w:ascii="宋体" w:hAnsi="宋体" w:eastAsia="宋体" w:cs="宋体"/>
                <w:bCs/>
                <w:color w:val="auto"/>
                <w:kern w:val="0"/>
                <w:sz w:val="24"/>
                <w:highlight w:val="none"/>
                <w:lang w:eastAsia="zh-CN"/>
              </w:rPr>
              <w:t>日在公园主出入口放置提示牌，在消杀时在园路沿线设置警示牌，并做好安全防护措施，杜绝污染环境事故发生，如发生安全事故或者环境污染事故，中标人承担一切经济及法律责任。</w:t>
            </w:r>
          </w:p>
          <w:p w14:paraId="1E16402C">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cs="宋体"/>
                <w:bCs/>
                <w:color w:val="auto"/>
                <w:kern w:val="0"/>
                <w:sz w:val="24"/>
                <w:highlight w:val="none"/>
                <w:lang w:val="en-US" w:eastAsia="zh-CN"/>
              </w:rPr>
              <w:t>5</w:t>
            </w:r>
            <w:r>
              <w:rPr>
                <w:rFonts w:hint="eastAsia" w:ascii="宋体" w:hAnsi="宋体" w:eastAsia="宋体" w:cs="宋体"/>
                <w:bCs/>
                <w:color w:val="auto"/>
                <w:kern w:val="0"/>
                <w:sz w:val="24"/>
                <w:highlight w:val="none"/>
                <w:lang w:val="en-US" w:eastAsia="zh-CN"/>
              </w:rPr>
              <w:t>.</w:t>
            </w:r>
            <w:r>
              <w:rPr>
                <w:rFonts w:hint="eastAsia" w:ascii="宋体" w:hAnsi="宋体" w:eastAsia="宋体" w:cs="宋体"/>
                <w:bCs/>
                <w:color w:val="auto"/>
                <w:kern w:val="0"/>
                <w:sz w:val="24"/>
                <w:highlight w:val="none"/>
                <w:lang w:eastAsia="zh-CN"/>
              </w:rPr>
              <w:t>对破坏绿化、违法占用或超范围占用绿地的行为及时采取措施制止或上报。</w:t>
            </w:r>
          </w:p>
          <w:p w14:paraId="1360BEFB">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cs="宋体"/>
                <w:bCs/>
                <w:color w:val="auto"/>
                <w:kern w:val="0"/>
                <w:sz w:val="24"/>
                <w:highlight w:val="none"/>
                <w:lang w:val="en-US" w:eastAsia="zh-CN"/>
              </w:rPr>
              <w:t>6</w:t>
            </w:r>
            <w:r>
              <w:rPr>
                <w:rFonts w:hint="eastAsia" w:ascii="宋体" w:hAnsi="宋体" w:eastAsia="宋体" w:cs="宋体"/>
                <w:bCs/>
                <w:color w:val="auto"/>
                <w:kern w:val="0"/>
                <w:sz w:val="24"/>
                <w:highlight w:val="none"/>
                <w:lang w:val="en-US" w:eastAsia="zh-CN"/>
              </w:rPr>
              <w:t>.</w:t>
            </w:r>
            <w:r>
              <w:rPr>
                <w:rFonts w:hint="eastAsia" w:ascii="宋体" w:hAnsi="宋体" w:eastAsia="宋体" w:cs="宋体"/>
                <w:bCs/>
                <w:color w:val="auto"/>
                <w:kern w:val="0"/>
                <w:sz w:val="24"/>
                <w:highlight w:val="none"/>
                <w:lang w:eastAsia="zh-CN"/>
              </w:rPr>
              <w:t>对绿地改造工程或其他占用单位的不文明施工行为及时制止、纠正，如无围挡、围挡不规范、污染路面等。</w:t>
            </w:r>
          </w:p>
          <w:p w14:paraId="548D7B93">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cs="宋体"/>
                <w:bCs/>
                <w:color w:val="auto"/>
                <w:kern w:val="0"/>
                <w:sz w:val="24"/>
                <w:highlight w:val="none"/>
                <w:lang w:val="en-US" w:eastAsia="zh-CN"/>
              </w:rPr>
              <w:t>7</w:t>
            </w:r>
            <w:r>
              <w:rPr>
                <w:rFonts w:hint="eastAsia" w:ascii="宋体" w:hAnsi="宋体" w:eastAsia="宋体" w:cs="宋体"/>
                <w:bCs/>
                <w:color w:val="auto"/>
                <w:kern w:val="0"/>
                <w:sz w:val="24"/>
                <w:highlight w:val="none"/>
                <w:lang w:val="en-US" w:eastAsia="zh-CN"/>
              </w:rPr>
              <w:t>.</w:t>
            </w:r>
            <w:r>
              <w:rPr>
                <w:rFonts w:hint="eastAsia" w:ascii="宋体" w:hAnsi="宋体" w:eastAsia="宋体" w:cs="宋体"/>
                <w:bCs/>
                <w:color w:val="auto"/>
                <w:kern w:val="0"/>
                <w:sz w:val="24"/>
                <w:highlight w:val="none"/>
                <w:lang w:eastAsia="zh-CN"/>
              </w:rPr>
              <w:t>对突发事件造成的绿地损坏及时恢复。</w:t>
            </w:r>
          </w:p>
        </w:tc>
        <w:tc>
          <w:tcPr>
            <w:tcW w:w="929" w:type="dxa"/>
            <w:vMerge w:val="continue"/>
            <w:vAlign w:val="center"/>
          </w:tcPr>
          <w:p w14:paraId="1AA5F665">
            <w:pPr>
              <w:widowControl w:val="0"/>
              <w:ind w:firstLine="480" w:firstLineChars="200"/>
              <w:jc w:val="left"/>
              <w:rPr>
                <w:rFonts w:hint="eastAsia" w:ascii="宋体" w:hAnsi="宋体" w:eastAsia="宋体" w:cs="宋体"/>
                <w:bCs/>
                <w:color w:val="auto"/>
                <w:sz w:val="24"/>
                <w:szCs w:val="24"/>
                <w:highlight w:val="none"/>
              </w:rPr>
            </w:pPr>
          </w:p>
        </w:tc>
      </w:tr>
      <w:tr w14:paraId="1F8FC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813" w:type="dxa"/>
            <w:vAlign w:val="center"/>
          </w:tcPr>
          <w:p w14:paraId="57BCEAE6">
            <w:pPr>
              <w:widowControl w:val="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响应程度</w:t>
            </w:r>
          </w:p>
        </w:tc>
        <w:tc>
          <w:tcPr>
            <w:tcW w:w="7608" w:type="dxa"/>
            <w:vAlign w:val="center"/>
          </w:tcPr>
          <w:p w14:paraId="55202266">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1</w:t>
            </w:r>
            <w:r>
              <w:rPr>
                <w:rFonts w:hint="eastAsia" w:ascii="宋体" w:hAnsi="宋体" w:eastAsia="宋体" w:cs="宋体"/>
                <w:bCs/>
                <w:color w:val="auto"/>
                <w:kern w:val="0"/>
                <w:sz w:val="24"/>
                <w:highlight w:val="none"/>
                <w:lang w:eastAsia="zh-CN"/>
              </w:rPr>
              <w:t>.积极配合</w:t>
            </w:r>
            <w:r>
              <w:rPr>
                <w:rFonts w:hint="eastAsia" w:ascii="宋体" w:hAnsi="宋体" w:eastAsia="宋体" w:cs="宋体"/>
                <w:bCs/>
                <w:color w:val="auto"/>
                <w:kern w:val="0"/>
                <w:sz w:val="24"/>
                <w:highlight w:val="none"/>
                <w:lang w:val="en-US" w:eastAsia="zh-CN"/>
              </w:rPr>
              <w:t>采购人</w:t>
            </w:r>
            <w:r>
              <w:rPr>
                <w:rFonts w:hint="eastAsia" w:ascii="宋体" w:hAnsi="宋体" w:eastAsia="宋体" w:cs="宋体"/>
                <w:bCs/>
                <w:color w:val="auto"/>
                <w:kern w:val="0"/>
                <w:sz w:val="24"/>
                <w:highlight w:val="none"/>
                <w:lang w:eastAsia="zh-CN"/>
              </w:rPr>
              <w:t>推进各项工作，推广使用新优品种，主动应用新技术、新机械、新设备投入日常养护管理当中。</w:t>
            </w:r>
          </w:p>
          <w:p w14:paraId="115A3D76">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2</w:t>
            </w:r>
            <w:r>
              <w:rPr>
                <w:rFonts w:hint="eastAsia" w:ascii="宋体" w:hAnsi="宋体" w:eastAsia="宋体" w:cs="宋体"/>
                <w:bCs/>
                <w:color w:val="auto"/>
                <w:kern w:val="0"/>
                <w:sz w:val="24"/>
                <w:highlight w:val="none"/>
                <w:lang w:eastAsia="zh-CN"/>
              </w:rPr>
              <w:t>.在</w:t>
            </w:r>
            <w:r>
              <w:rPr>
                <w:rFonts w:hint="eastAsia" w:ascii="宋体" w:hAnsi="宋体" w:eastAsia="宋体" w:cs="宋体"/>
                <w:bCs/>
                <w:color w:val="auto"/>
                <w:kern w:val="0"/>
                <w:sz w:val="24"/>
                <w:highlight w:val="none"/>
                <w:lang w:val="en-US" w:eastAsia="zh-CN"/>
              </w:rPr>
              <w:t>合同签订之日起30日内</w:t>
            </w:r>
            <w:r>
              <w:rPr>
                <w:rFonts w:hint="eastAsia" w:ascii="宋体" w:hAnsi="宋体" w:eastAsia="宋体" w:cs="宋体"/>
                <w:bCs/>
                <w:color w:val="auto"/>
                <w:kern w:val="0"/>
                <w:sz w:val="24"/>
                <w:highlight w:val="none"/>
                <w:lang w:eastAsia="zh-CN"/>
              </w:rPr>
              <w:t>完成合同始止过渡期的服务及人员交接。</w:t>
            </w:r>
          </w:p>
          <w:p w14:paraId="50FC0A85">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3</w:t>
            </w:r>
            <w:r>
              <w:rPr>
                <w:rFonts w:hint="eastAsia" w:ascii="宋体" w:hAnsi="宋体" w:eastAsia="宋体" w:cs="宋体"/>
                <w:bCs/>
                <w:color w:val="auto"/>
                <w:kern w:val="0"/>
                <w:sz w:val="24"/>
                <w:highlight w:val="none"/>
                <w:lang w:eastAsia="zh-CN"/>
              </w:rPr>
              <w:t>.因工作需要召集的各种会议（或者有关指令），中标人相关人员要按会议要求准时参加。</w:t>
            </w:r>
          </w:p>
          <w:p w14:paraId="47E07544">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4</w:t>
            </w:r>
            <w:r>
              <w:rPr>
                <w:rFonts w:hint="eastAsia" w:ascii="宋体" w:hAnsi="宋体" w:eastAsia="宋体" w:cs="宋体"/>
                <w:bCs/>
                <w:color w:val="auto"/>
                <w:kern w:val="0"/>
                <w:sz w:val="24"/>
                <w:highlight w:val="none"/>
                <w:lang w:eastAsia="zh-CN"/>
              </w:rPr>
              <w:t>.相关检查发现的问题、上级领导巡查及社会投诉信访问题、媒体曝光的问题及时整改。</w:t>
            </w:r>
          </w:p>
          <w:p w14:paraId="4B6EEFDF">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5</w:t>
            </w:r>
            <w:r>
              <w:rPr>
                <w:rFonts w:hint="eastAsia" w:ascii="宋体" w:hAnsi="宋体" w:eastAsia="宋体" w:cs="宋体"/>
                <w:bCs/>
                <w:color w:val="auto"/>
                <w:kern w:val="0"/>
                <w:sz w:val="24"/>
                <w:highlight w:val="none"/>
                <w:lang w:eastAsia="zh-CN"/>
              </w:rPr>
              <w:t>.迎检任务或突发事件处理的工作到位、措施得力、保障到位。</w:t>
            </w:r>
          </w:p>
        </w:tc>
        <w:tc>
          <w:tcPr>
            <w:tcW w:w="929" w:type="dxa"/>
            <w:vMerge w:val="continue"/>
            <w:vAlign w:val="center"/>
          </w:tcPr>
          <w:p w14:paraId="0BBE5F1E">
            <w:pPr>
              <w:widowControl w:val="0"/>
              <w:ind w:firstLine="480" w:firstLineChars="200"/>
              <w:jc w:val="left"/>
              <w:rPr>
                <w:rFonts w:hint="eastAsia" w:ascii="宋体" w:hAnsi="宋体" w:eastAsia="宋体" w:cs="宋体"/>
                <w:bCs/>
                <w:color w:val="auto"/>
                <w:sz w:val="24"/>
                <w:szCs w:val="24"/>
                <w:highlight w:val="none"/>
              </w:rPr>
            </w:pPr>
          </w:p>
        </w:tc>
      </w:tr>
      <w:tr w14:paraId="13B28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13" w:type="dxa"/>
            <w:vAlign w:val="center"/>
          </w:tcPr>
          <w:p w14:paraId="62F121B1">
            <w:pPr>
              <w:widowControl w:val="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工作计划及培训</w:t>
            </w:r>
          </w:p>
        </w:tc>
        <w:tc>
          <w:tcPr>
            <w:tcW w:w="7608" w:type="dxa"/>
            <w:vAlign w:val="center"/>
          </w:tcPr>
          <w:p w14:paraId="4815D8FE">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1.</w:t>
            </w:r>
            <w:r>
              <w:rPr>
                <w:rFonts w:hint="eastAsia" w:ascii="宋体" w:hAnsi="宋体" w:eastAsia="宋体" w:cs="宋体"/>
                <w:bCs/>
                <w:color w:val="auto"/>
                <w:kern w:val="0"/>
                <w:sz w:val="24"/>
                <w:highlight w:val="none"/>
                <w:lang w:eastAsia="zh-CN"/>
              </w:rPr>
              <w:t>中标人应完善培训体系，编写各项作业规程，制定培训计划，使一线岗位熟练掌握并切实遵守。培训体系中必须包括夏季水域安全管理、公园应急疏散、设施管理等内容。</w:t>
            </w:r>
          </w:p>
          <w:p w14:paraId="538EC9BC">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2.对新入职员工进行岗前培训，包括但不限于本项目招标文件及其附件、投标文件等其他管理需求应注意的相关内容。每个季度开展专项安全或专业技能培训，危险作业对相关作业人员进行岗前安全培训。如发生安全事故， 中标人负责事故处理的一切费用。</w:t>
            </w:r>
          </w:p>
          <w:p w14:paraId="3BFB7231">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3.按要求制定作业计划、工作方案、应急预案等报</w:t>
            </w:r>
            <w:r>
              <w:rPr>
                <w:rFonts w:hint="eastAsia" w:ascii="宋体" w:hAnsi="宋体" w:eastAsia="宋体" w:cs="宋体"/>
                <w:bCs/>
                <w:color w:val="auto"/>
                <w:kern w:val="0"/>
                <w:sz w:val="24"/>
                <w:highlight w:val="none"/>
                <w:lang w:val="en-US" w:eastAsia="zh-CN"/>
              </w:rPr>
              <w:t>采购人</w:t>
            </w:r>
            <w:r>
              <w:rPr>
                <w:rFonts w:hint="eastAsia" w:ascii="宋体" w:hAnsi="宋体" w:eastAsia="宋体" w:cs="宋体"/>
                <w:bCs/>
                <w:color w:val="auto"/>
                <w:kern w:val="0"/>
                <w:sz w:val="24"/>
                <w:highlight w:val="none"/>
                <w:lang w:eastAsia="zh-CN"/>
              </w:rPr>
              <w:t>审核。</w:t>
            </w:r>
          </w:p>
          <w:p w14:paraId="268359AE">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4</w:t>
            </w:r>
            <w:r>
              <w:rPr>
                <w:rFonts w:hint="eastAsia" w:ascii="宋体" w:hAnsi="宋体" w:cs="宋体"/>
                <w:bCs/>
                <w:color w:val="auto"/>
                <w:kern w:val="0"/>
                <w:sz w:val="24"/>
                <w:highlight w:val="none"/>
                <w:lang w:eastAsia="zh-CN"/>
              </w:rPr>
              <w:t>.</w:t>
            </w:r>
            <w:r>
              <w:rPr>
                <w:rFonts w:hint="eastAsia" w:ascii="宋体" w:hAnsi="宋体" w:cs="宋体"/>
                <w:bCs/>
                <w:color w:val="auto"/>
                <w:kern w:val="0"/>
                <w:sz w:val="24"/>
                <w:highlight w:val="none"/>
                <w:lang w:val="en-US" w:eastAsia="zh-CN"/>
              </w:rPr>
              <w:t>工作培训</w:t>
            </w:r>
            <w:r>
              <w:rPr>
                <w:rFonts w:hint="eastAsia" w:ascii="宋体" w:hAnsi="宋体" w:eastAsia="宋体" w:cs="宋体"/>
                <w:bCs/>
                <w:color w:val="auto"/>
                <w:kern w:val="0"/>
                <w:sz w:val="24"/>
                <w:highlight w:val="none"/>
                <w:lang w:eastAsia="zh-CN"/>
              </w:rPr>
              <w:t>每季度不少于一次（与应急响应演练二选一）。</w:t>
            </w:r>
          </w:p>
        </w:tc>
        <w:tc>
          <w:tcPr>
            <w:tcW w:w="929" w:type="dxa"/>
            <w:vMerge w:val="continue"/>
            <w:vAlign w:val="center"/>
          </w:tcPr>
          <w:p w14:paraId="57AE6576">
            <w:pPr>
              <w:widowControl w:val="0"/>
              <w:ind w:firstLine="480" w:firstLineChars="200"/>
              <w:jc w:val="left"/>
              <w:rPr>
                <w:rFonts w:hint="eastAsia" w:ascii="宋体" w:hAnsi="宋体" w:eastAsia="宋体" w:cs="宋体"/>
                <w:bCs/>
                <w:color w:val="auto"/>
                <w:sz w:val="24"/>
                <w:szCs w:val="24"/>
                <w:highlight w:val="none"/>
              </w:rPr>
            </w:pPr>
          </w:p>
        </w:tc>
      </w:tr>
      <w:tr w14:paraId="1FB9D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13" w:type="dxa"/>
            <w:vAlign w:val="center"/>
          </w:tcPr>
          <w:p w14:paraId="11C41003">
            <w:pPr>
              <w:jc w:val="center"/>
              <w:rPr>
                <w:rFonts w:hint="eastAsia" w:ascii="宋体" w:hAnsi="宋体" w:eastAsia="宋体" w:cs="宋体"/>
                <w:b/>
                <w:color w:val="auto"/>
                <w:sz w:val="24"/>
                <w:szCs w:val="24"/>
                <w:highlight w:val="none"/>
              </w:rPr>
            </w:pPr>
            <w:r>
              <w:rPr>
                <w:rFonts w:hint="eastAsia" w:ascii="宋体" w:hAnsi="宋体" w:eastAsia="宋体" w:cs="宋体"/>
                <w:b/>
                <w:bCs w:val="0"/>
                <w:color w:val="auto"/>
                <w:sz w:val="24"/>
                <w:szCs w:val="24"/>
                <w:highlight w:val="none"/>
              </w:rPr>
              <w:t>应急响应</w:t>
            </w:r>
          </w:p>
        </w:tc>
        <w:tc>
          <w:tcPr>
            <w:tcW w:w="7608" w:type="dxa"/>
            <w:vAlign w:val="center"/>
          </w:tcPr>
          <w:p w14:paraId="7FA4A90C">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1.</w:t>
            </w:r>
            <w:r>
              <w:rPr>
                <w:rFonts w:hint="eastAsia" w:ascii="宋体" w:hAnsi="宋体" w:eastAsia="宋体" w:cs="宋体"/>
                <w:bCs/>
                <w:color w:val="auto"/>
                <w:kern w:val="0"/>
                <w:sz w:val="24"/>
                <w:highlight w:val="none"/>
                <w:lang w:eastAsia="zh-CN"/>
              </w:rPr>
              <w:t>在台风、洪涝、雨雪冰冻等特殊天气情况下，公园全范围加强防御措施，设立明显警示标志，禁止行人进入危险区段；做好园内的设施设备安全保护；提前针对绿化合理修剪，加固护树设施；对排水沟渠进行清理疏通。</w:t>
            </w:r>
          </w:p>
          <w:p w14:paraId="3F64CE59">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2.</w:t>
            </w:r>
            <w:r>
              <w:rPr>
                <w:rFonts w:hint="eastAsia" w:ascii="宋体" w:hAnsi="宋体" w:eastAsia="宋体" w:cs="宋体"/>
                <w:bCs/>
                <w:color w:val="auto"/>
                <w:kern w:val="0"/>
                <w:sz w:val="24"/>
                <w:highlight w:val="none"/>
                <w:lang w:eastAsia="zh-CN"/>
              </w:rPr>
              <w:t>中标人必须及时巡查、发现和及时消除园内安全隐患，精心看护园内绿地及绿地上设施设备，做好三防及火灾等防范工作，在重大灾害时需及时调度增派人员、车辆和机械满足需要，对灾害引起的破坏及时清理修复。</w:t>
            </w:r>
          </w:p>
          <w:p w14:paraId="6A34D2E4">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3.</w:t>
            </w:r>
            <w:r>
              <w:rPr>
                <w:rFonts w:hint="eastAsia" w:ascii="宋体" w:hAnsi="宋体" w:eastAsia="宋体" w:cs="宋体"/>
                <w:bCs/>
                <w:color w:val="auto"/>
                <w:kern w:val="0"/>
                <w:sz w:val="24"/>
                <w:highlight w:val="none"/>
                <w:lang w:eastAsia="zh-CN"/>
              </w:rPr>
              <w:t>中标人必须结合公园实际情况，制定应对台风、洪涝、雨雪冰冻、消防、突发公共事件的应急预案。</w:t>
            </w:r>
          </w:p>
          <w:p w14:paraId="12A50289">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4.</w:t>
            </w:r>
            <w:r>
              <w:rPr>
                <w:rFonts w:hint="eastAsia" w:ascii="宋体" w:hAnsi="宋体" w:eastAsia="宋体" w:cs="宋体"/>
                <w:bCs/>
                <w:color w:val="auto"/>
                <w:kern w:val="0"/>
                <w:sz w:val="24"/>
                <w:highlight w:val="none"/>
                <w:lang w:eastAsia="zh-CN"/>
              </w:rPr>
              <w:t>中标人根据应急抢险工作预案、建立应急机制，组织一支应急队伍</w:t>
            </w:r>
            <w:r>
              <w:rPr>
                <w:rFonts w:hint="eastAsia" w:ascii="宋体" w:hAnsi="宋体" w:eastAsia="宋体" w:cs="宋体"/>
                <w:bCs/>
                <w:color w:val="auto"/>
                <w:kern w:val="0"/>
                <w:sz w:val="24"/>
                <w:highlight w:val="none"/>
                <w:lang w:val="en-US" w:eastAsia="zh-CN"/>
              </w:rPr>
              <w:t>不少于10人</w:t>
            </w:r>
            <w:r>
              <w:rPr>
                <w:rFonts w:hint="eastAsia" w:ascii="宋体" w:hAnsi="宋体" w:eastAsia="宋体" w:cs="宋体"/>
                <w:bCs/>
                <w:color w:val="auto"/>
                <w:kern w:val="0"/>
                <w:sz w:val="24"/>
                <w:highlight w:val="none"/>
                <w:lang w:eastAsia="zh-CN"/>
              </w:rPr>
              <w:t>，遇到台风、洪涝、雨雪冰冻等抢险救灾或机动应急事项时，无条件服从指挥并开展不限于</w:t>
            </w:r>
            <w:r>
              <w:rPr>
                <w:rFonts w:hint="eastAsia" w:ascii="宋体" w:hAnsi="宋体" w:eastAsia="宋体" w:cs="宋体"/>
                <w:bCs/>
                <w:color w:val="auto"/>
                <w:kern w:val="0"/>
                <w:sz w:val="24"/>
                <w:highlight w:val="none"/>
                <w:lang w:val="en-US" w:eastAsia="zh-CN"/>
              </w:rPr>
              <w:t>本标项</w:t>
            </w:r>
            <w:r>
              <w:rPr>
                <w:rFonts w:hint="eastAsia" w:ascii="宋体" w:hAnsi="宋体" w:eastAsia="宋体" w:cs="宋体"/>
                <w:bCs/>
                <w:color w:val="auto"/>
                <w:kern w:val="0"/>
                <w:sz w:val="24"/>
                <w:highlight w:val="none"/>
                <w:lang w:eastAsia="zh-CN"/>
              </w:rPr>
              <w:t>公园场地的抢险救灾等工作。</w:t>
            </w:r>
            <w:r>
              <w:rPr>
                <w:rFonts w:hint="eastAsia" w:ascii="宋体" w:hAnsi="宋体" w:eastAsia="宋体" w:cs="宋体"/>
                <w:bCs/>
                <w:color w:val="auto"/>
                <w:kern w:val="0"/>
                <w:sz w:val="24"/>
                <w:highlight w:val="none"/>
                <w:lang w:val="en-US" w:eastAsia="zh-CN"/>
              </w:rPr>
              <w:t>该队伍进行支援任务时，应配备有接送车辆，携带完成当次任务的必要装备，做好后勤保障工作。该队伍执行任务时不能影响公园正常运行。</w:t>
            </w:r>
          </w:p>
          <w:p w14:paraId="51652AE2">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5.</w:t>
            </w:r>
            <w:r>
              <w:rPr>
                <w:rFonts w:hint="eastAsia" w:ascii="宋体" w:hAnsi="宋体" w:eastAsia="宋体" w:cs="宋体"/>
                <w:bCs/>
                <w:color w:val="auto"/>
                <w:kern w:val="0"/>
                <w:sz w:val="24"/>
                <w:highlight w:val="none"/>
                <w:lang w:eastAsia="zh-CN"/>
              </w:rPr>
              <w:t>中标人要求定期开展应急抢险技能培训和实操练习，涉及高空作业、机械设备使用等要求应急队伍成员必须具备相关操作或资格证书，要求应急队伍成员能熟练掌握抢险的基本技能。</w:t>
            </w:r>
          </w:p>
          <w:p w14:paraId="1FB40B8D">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6.应急响应演练每季度不少于一次（与培训二选一）。</w:t>
            </w:r>
          </w:p>
        </w:tc>
        <w:tc>
          <w:tcPr>
            <w:tcW w:w="929" w:type="dxa"/>
            <w:vAlign w:val="center"/>
          </w:tcPr>
          <w:p w14:paraId="225B7E63">
            <w:pPr>
              <w:widowControl w:val="0"/>
              <w:ind w:firstLine="480" w:firstLineChars="200"/>
              <w:jc w:val="left"/>
              <w:rPr>
                <w:rFonts w:hint="eastAsia" w:ascii="宋体" w:hAnsi="宋体" w:eastAsia="宋体" w:cs="宋体"/>
                <w:bCs/>
                <w:color w:val="auto"/>
                <w:sz w:val="24"/>
                <w:szCs w:val="24"/>
                <w:highlight w:val="none"/>
              </w:rPr>
            </w:pPr>
          </w:p>
        </w:tc>
      </w:tr>
      <w:tr w14:paraId="053E9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13" w:type="dxa"/>
            <w:vAlign w:val="center"/>
          </w:tcPr>
          <w:p w14:paraId="12265EC4">
            <w:pPr>
              <w:jc w:val="center"/>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关于核减经费</w:t>
            </w:r>
          </w:p>
        </w:tc>
        <w:tc>
          <w:tcPr>
            <w:tcW w:w="7608" w:type="dxa"/>
            <w:vAlign w:val="center"/>
          </w:tcPr>
          <w:p w14:paraId="4B7F28B5">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合同期内，若公园绿地、公厕等设施等因市政基础建设等</w:t>
            </w:r>
            <w:r>
              <w:rPr>
                <w:rFonts w:hint="eastAsia" w:ascii="宋体" w:hAnsi="宋体" w:eastAsia="宋体" w:cs="宋体"/>
                <w:bCs/>
                <w:color w:val="auto"/>
                <w:kern w:val="0"/>
                <w:sz w:val="24"/>
                <w:highlight w:val="none"/>
                <w:lang w:val="en-US" w:eastAsia="zh-CN"/>
              </w:rPr>
              <w:t>原因</w:t>
            </w:r>
            <w:r>
              <w:rPr>
                <w:rFonts w:hint="eastAsia" w:ascii="宋体" w:hAnsi="宋体" w:eastAsia="宋体" w:cs="宋体"/>
                <w:bCs/>
                <w:color w:val="auto"/>
                <w:kern w:val="0"/>
                <w:sz w:val="24"/>
                <w:highlight w:val="none"/>
                <w:lang w:eastAsia="zh-CN"/>
              </w:rPr>
              <w:t>发生外单位借、占用问题，中标人必须无条件配合采购人开展相关经费核减工作，在不影响公园正常运营前提下，由中标人向</w:t>
            </w:r>
            <w:r>
              <w:rPr>
                <w:rFonts w:hint="eastAsia" w:ascii="宋体" w:hAnsi="宋体" w:eastAsia="宋体" w:cs="宋体"/>
                <w:bCs/>
                <w:color w:val="auto"/>
                <w:kern w:val="0"/>
                <w:sz w:val="24"/>
                <w:highlight w:val="none"/>
                <w:lang w:val="en-US" w:eastAsia="zh-CN"/>
              </w:rPr>
              <w:t>采购人</w:t>
            </w:r>
            <w:r>
              <w:rPr>
                <w:rFonts w:hint="eastAsia" w:ascii="宋体" w:hAnsi="宋体" w:eastAsia="宋体" w:cs="宋体"/>
                <w:bCs/>
                <w:color w:val="auto"/>
                <w:kern w:val="0"/>
                <w:sz w:val="24"/>
                <w:highlight w:val="none"/>
                <w:lang w:eastAsia="zh-CN"/>
              </w:rPr>
              <w:t>提交核减费用明细，经采购人审核，双方协商一致</w:t>
            </w:r>
            <w:r>
              <w:rPr>
                <w:rFonts w:hint="eastAsia" w:ascii="宋体" w:hAnsi="宋体" w:eastAsia="宋体" w:cs="宋体"/>
                <w:bCs/>
                <w:color w:val="auto"/>
                <w:kern w:val="0"/>
                <w:sz w:val="24"/>
                <w:highlight w:val="none"/>
                <w:lang w:val="en-US" w:eastAsia="zh-CN"/>
              </w:rPr>
              <w:t>后，通过养护联系单方式</w:t>
            </w:r>
            <w:r>
              <w:rPr>
                <w:rFonts w:hint="eastAsia" w:ascii="宋体" w:hAnsi="宋体" w:eastAsia="宋体" w:cs="宋体"/>
                <w:bCs/>
                <w:color w:val="auto"/>
                <w:kern w:val="0"/>
                <w:sz w:val="24"/>
                <w:highlight w:val="none"/>
                <w:lang w:eastAsia="zh-CN"/>
              </w:rPr>
              <w:t>进行核减。</w:t>
            </w:r>
          </w:p>
        </w:tc>
        <w:tc>
          <w:tcPr>
            <w:tcW w:w="929" w:type="dxa"/>
            <w:vAlign w:val="center"/>
          </w:tcPr>
          <w:p w14:paraId="33654D7C">
            <w:pPr>
              <w:widowControl w:val="0"/>
              <w:ind w:firstLine="480" w:firstLineChars="200"/>
              <w:jc w:val="left"/>
              <w:rPr>
                <w:rFonts w:hint="eastAsia" w:ascii="宋体" w:hAnsi="宋体" w:eastAsia="宋体" w:cs="宋体"/>
                <w:bCs/>
                <w:color w:val="auto"/>
                <w:sz w:val="24"/>
                <w:szCs w:val="24"/>
                <w:highlight w:val="none"/>
              </w:rPr>
            </w:pPr>
          </w:p>
        </w:tc>
      </w:tr>
      <w:tr w14:paraId="1A95D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5" w:hRule="atLeast"/>
        </w:trPr>
        <w:tc>
          <w:tcPr>
            <w:tcW w:w="813" w:type="dxa"/>
            <w:vAlign w:val="center"/>
          </w:tcPr>
          <w:p w14:paraId="1CDD3E2F">
            <w:pPr>
              <w:jc w:val="center"/>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本项目主要执行及参照的相关标准或规范性文件</w:t>
            </w:r>
          </w:p>
        </w:tc>
        <w:tc>
          <w:tcPr>
            <w:tcW w:w="7608" w:type="dxa"/>
            <w:vAlign w:val="center"/>
          </w:tcPr>
          <w:p w14:paraId="23BD06FD">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1.</w:t>
            </w:r>
            <w:r>
              <w:rPr>
                <w:rFonts w:hint="eastAsia" w:ascii="宋体" w:hAnsi="宋体" w:eastAsia="宋体" w:cs="宋体"/>
                <w:bCs/>
                <w:color w:val="auto"/>
                <w:kern w:val="0"/>
                <w:sz w:val="24"/>
                <w:highlight w:val="none"/>
                <w:lang w:eastAsia="zh-CN"/>
              </w:rPr>
              <w:t>《公园服务基本要求》（GBT 38584-2020）</w:t>
            </w:r>
          </w:p>
          <w:p w14:paraId="3F0EA117">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2.</w:t>
            </w:r>
            <w:r>
              <w:rPr>
                <w:rFonts w:hint="eastAsia" w:ascii="宋体" w:hAnsi="宋体" w:eastAsia="宋体" w:cs="宋体"/>
                <w:bCs/>
                <w:color w:val="auto"/>
                <w:kern w:val="0"/>
                <w:sz w:val="24"/>
                <w:highlight w:val="none"/>
                <w:lang w:eastAsia="zh-CN"/>
              </w:rPr>
              <w:t>《城市绿地养护技术规范》（DB3302</w:t>
            </w:r>
            <w:r>
              <w:rPr>
                <w:rFonts w:hint="eastAsia" w:ascii="宋体" w:hAnsi="宋体" w:eastAsia="宋体" w:cs="宋体"/>
                <w:bCs/>
                <w:color w:val="auto"/>
                <w:kern w:val="0"/>
                <w:sz w:val="24"/>
                <w:highlight w:val="none"/>
                <w:lang w:val="en-US" w:eastAsia="zh-CN"/>
              </w:rPr>
              <w:t>/</w:t>
            </w:r>
            <w:r>
              <w:rPr>
                <w:rFonts w:hint="eastAsia" w:ascii="宋体" w:hAnsi="宋体" w:eastAsia="宋体" w:cs="宋体"/>
                <w:bCs/>
                <w:color w:val="auto"/>
                <w:kern w:val="0"/>
                <w:sz w:val="24"/>
                <w:highlight w:val="none"/>
                <w:lang w:eastAsia="zh-CN"/>
              </w:rPr>
              <w:t>T1117-2020）</w:t>
            </w:r>
          </w:p>
          <w:p w14:paraId="2DE98786">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3.</w:t>
            </w:r>
            <w:r>
              <w:rPr>
                <w:rFonts w:hint="eastAsia" w:ascii="宋体" w:hAnsi="宋体" w:eastAsia="宋体" w:cs="宋体"/>
                <w:bCs/>
                <w:color w:val="auto"/>
                <w:kern w:val="0"/>
                <w:sz w:val="24"/>
                <w:highlight w:val="none"/>
                <w:lang w:eastAsia="zh-CN"/>
              </w:rPr>
              <w:t>《宁波市城区绿地养护管理综合考核办法》（</w:t>
            </w:r>
            <w:r>
              <w:rPr>
                <w:rFonts w:hint="eastAsia" w:ascii="宋体" w:hAnsi="宋体" w:eastAsia="宋体" w:cs="宋体"/>
                <w:bCs/>
                <w:color w:val="auto"/>
                <w:kern w:val="0"/>
                <w:sz w:val="24"/>
                <w:highlight w:val="none"/>
                <w:lang w:val="en-US" w:eastAsia="zh-CN"/>
              </w:rPr>
              <w:t>2022</w:t>
            </w:r>
            <w:r>
              <w:rPr>
                <w:rFonts w:hint="eastAsia" w:ascii="宋体" w:hAnsi="宋体" w:eastAsia="宋体" w:cs="宋体"/>
                <w:bCs/>
                <w:color w:val="auto"/>
                <w:kern w:val="0"/>
                <w:sz w:val="24"/>
                <w:highlight w:val="none"/>
                <w:lang w:eastAsia="zh-CN"/>
              </w:rPr>
              <w:t>）</w:t>
            </w:r>
          </w:p>
          <w:p w14:paraId="6277D540">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注：</w:t>
            </w:r>
          </w:p>
          <w:p w14:paraId="771B08C8">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1.包括且不限于列举文件范围，相关文件如有调整，则按调整后的标准执行。</w:t>
            </w:r>
          </w:p>
          <w:p w14:paraId="41B9C3E0">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2.若相关标准规范相关内容或要求有冲突或不一致时，按较严格的执行。</w:t>
            </w:r>
          </w:p>
          <w:p w14:paraId="5BD41DAD">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3.</w:t>
            </w:r>
            <w:r>
              <w:rPr>
                <w:rFonts w:hint="eastAsia" w:ascii="宋体" w:hAnsi="宋体" w:eastAsia="宋体" w:cs="宋体"/>
                <w:bCs/>
                <w:color w:val="auto"/>
                <w:kern w:val="0"/>
                <w:sz w:val="24"/>
                <w:highlight w:val="none"/>
                <w:lang w:eastAsia="zh-CN"/>
              </w:rPr>
              <w:t>相关文件如有调整，则按调整后的标准执行；本合同规定的考核及评分标准自调整之日起开始实施。</w:t>
            </w:r>
          </w:p>
        </w:tc>
        <w:tc>
          <w:tcPr>
            <w:tcW w:w="929" w:type="dxa"/>
            <w:vAlign w:val="center"/>
          </w:tcPr>
          <w:p w14:paraId="5A8F0604">
            <w:pPr>
              <w:jc w:val="left"/>
              <w:rPr>
                <w:rFonts w:hint="eastAsia" w:ascii="宋体" w:hAnsi="宋体" w:eastAsia="宋体" w:cs="宋体"/>
                <w:bCs/>
                <w:color w:val="auto"/>
                <w:sz w:val="24"/>
                <w:szCs w:val="24"/>
                <w:highlight w:val="none"/>
              </w:rPr>
            </w:pPr>
          </w:p>
        </w:tc>
      </w:tr>
    </w:tbl>
    <w:p w14:paraId="62BB8CA9">
      <w:pPr>
        <w:widowControl/>
        <w:tabs>
          <w:tab w:val="left" w:pos="851"/>
        </w:tabs>
        <w:adjustRightInd/>
        <w:spacing w:line="360" w:lineRule="auto"/>
        <w:ind w:firstLine="480" w:firstLineChars="200"/>
        <w:rPr>
          <w:rFonts w:hint="default"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（二）服务质量要求</w:t>
      </w:r>
    </w:p>
    <w:tbl>
      <w:tblPr>
        <w:tblStyle w:val="62"/>
        <w:tblW w:w="93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263"/>
        <w:gridCol w:w="4106"/>
        <w:gridCol w:w="3317"/>
      </w:tblGrid>
      <w:tr w14:paraId="42E0E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923" w:type="dxa"/>
            <w:gridSpan w:val="2"/>
            <w:noWrap w:val="0"/>
            <w:vAlign w:val="center"/>
          </w:tcPr>
          <w:p w14:paraId="4CFC8002">
            <w:pPr>
              <w:widowControl/>
              <w:autoSpaceDE w:val="0"/>
              <w:autoSpaceDN w:val="0"/>
              <w:spacing w:beforeLines="50"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类别</w:t>
            </w:r>
          </w:p>
        </w:tc>
        <w:tc>
          <w:tcPr>
            <w:tcW w:w="4106" w:type="dxa"/>
            <w:noWrap w:val="0"/>
            <w:vAlign w:val="top"/>
          </w:tcPr>
          <w:p w14:paraId="7EBFA00F">
            <w:pPr>
              <w:widowControl/>
              <w:autoSpaceDE w:val="0"/>
              <w:autoSpaceDN w:val="0"/>
              <w:spacing w:beforeLines="50"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管理服务</w:t>
            </w:r>
            <w:r>
              <w:rPr>
                <w:rFonts w:hint="eastAsia" w:ascii="宋体" w:hAnsi="宋体" w:eastAsia="宋体" w:cs="宋体"/>
                <w:b/>
                <w:bCs/>
                <w:color w:val="auto"/>
                <w:sz w:val="24"/>
                <w:szCs w:val="24"/>
                <w:highlight w:val="none"/>
              </w:rPr>
              <w:t>要求</w:t>
            </w:r>
          </w:p>
        </w:tc>
        <w:tc>
          <w:tcPr>
            <w:tcW w:w="3317" w:type="dxa"/>
            <w:noWrap w:val="0"/>
            <w:vAlign w:val="top"/>
          </w:tcPr>
          <w:p w14:paraId="3E3DBD50">
            <w:pPr>
              <w:widowControl/>
              <w:autoSpaceDE w:val="0"/>
              <w:autoSpaceDN w:val="0"/>
              <w:spacing w:beforeLines="50"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质量要求</w:t>
            </w:r>
          </w:p>
        </w:tc>
      </w:tr>
      <w:tr w14:paraId="7A055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923" w:type="dxa"/>
            <w:gridSpan w:val="2"/>
            <w:tcBorders>
              <w:bottom w:val="single" w:color="auto" w:sz="4" w:space="0"/>
            </w:tcBorders>
            <w:noWrap w:val="0"/>
            <w:vAlign w:val="center"/>
          </w:tcPr>
          <w:p w14:paraId="469EAA86">
            <w:pPr>
              <w:keepNext w:val="0"/>
              <w:keepLines w:val="0"/>
              <w:pageBreakBefore w:val="0"/>
              <w:widowControl/>
              <w:kinsoku/>
              <w:wordWrap/>
              <w:overflowPunct/>
              <w:topLinePunct w:val="0"/>
              <w:autoSpaceDE w:val="0"/>
              <w:autoSpaceDN w:val="0"/>
              <w:bidi w:val="0"/>
              <w:adjustRightInd/>
              <w:snapToGrid/>
              <w:spacing w:line="24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绿化养护</w:t>
            </w:r>
          </w:p>
        </w:tc>
        <w:tc>
          <w:tcPr>
            <w:tcW w:w="4106" w:type="dxa"/>
            <w:noWrap w:val="0"/>
            <w:vAlign w:val="center"/>
          </w:tcPr>
          <w:p w14:paraId="4E5FF515">
            <w:pPr>
              <w:numPr>
                <w:ilvl w:val="3"/>
                <w:numId w:val="0"/>
              </w:numPr>
              <w:spacing w:before="50" w:after="50"/>
              <w:outlineLvl w:val="9"/>
              <w:rPr>
                <w:rFonts w:hint="eastAsia" w:ascii="宋体" w:hAnsi="宋体" w:eastAsia="宋体" w:cs="宋体"/>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严格按照《城市绿地养护技术规范》（DB3302/T1117-2020）做好质保期内的绿化养护工作。</w:t>
            </w:r>
          </w:p>
        </w:tc>
        <w:tc>
          <w:tcPr>
            <w:tcW w:w="3317" w:type="dxa"/>
            <w:noWrap w:val="0"/>
            <w:vAlign w:val="center"/>
          </w:tcPr>
          <w:p w14:paraId="2D7948F4">
            <w:pPr>
              <w:numPr>
                <w:ilvl w:val="3"/>
                <w:numId w:val="0"/>
              </w:numPr>
              <w:spacing w:before="50" w:after="50"/>
              <w:jc w:val="left"/>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养护质量达到《城市绿地养护质量等级标准》</w:t>
            </w:r>
            <w:r>
              <w:rPr>
                <w:rFonts w:hint="eastAsia" w:ascii="宋体" w:hAnsi="宋体" w:eastAsia="宋体" w:cs="宋体"/>
                <w:b w:val="0"/>
                <w:bCs/>
                <w:color w:val="auto"/>
                <w:sz w:val="24"/>
                <w:szCs w:val="24"/>
                <w:highlight w:val="none"/>
                <w:lang w:val="en-US" w:eastAsia="zh-CN"/>
              </w:rPr>
              <w:t>（DB3302/T 1016—2018）</w:t>
            </w:r>
            <w:r>
              <w:rPr>
                <w:rFonts w:hint="eastAsia" w:ascii="宋体" w:hAnsi="宋体" w:eastAsia="宋体" w:cs="宋体"/>
                <w:color w:val="auto"/>
                <w:sz w:val="24"/>
                <w:szCs w:val="24"/>
                <w:highlight w:val="none"/>
                <w:lang w:val="en-US" w:eastAsia="zh-CN"/>
              </w:rPr>
              <w:t>中一级公园绿地养护质量标准。</w:t>
            </w:r>
          </w:p>
        </w:tc>
      </w:tr>
      <w:tr w14:paraId="6FD95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20" w:hRule="atLeast"/>
          <w:tblHeader/>
          <w:jc w:val="center"/>
        </w:trPr>
        <w:tc>
          <w:tcPr>
            <w:tcW w:w="660" w:type="dxa"/>
            <w:vMerge w:val="restart"/>
            <w:noWrap w:val="0"/>
            <w:vAlign w:val="center"/>
          </w:tcPr>
          <w:p w14:paraId="3BEBD20D">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公园深度</w:t>
            </w:r>
            <w:r>
              <w:rPr>
                <w:rFonts w:hint="eastAsia" w:ascii="宋体" w:hAnsi="宋体" w:eastAsia="宋体" w:cs="宋体"/>
                <w:b/>
                <w:bCs/>
                <w:color w:val="auto"/>
                <w:sz w:val="24"/>
                <w:szCs w:val="24"/>
                <w:highlight w:val="none"/>
                <w:lang w:eastAsia="zh-CN"/>
              </w:rPr>
              <w:t>保洁</w:t>
            </w:r>
          </w:p>
        </w:tc>
        <w:tc>
          <w:tcPr>
            <w:tcW w:w="1263" w:type="dxa"/>
            <w:noWrap w:val="0"/>
            <w:vAlign w:val="center"/>
          </w:tcPr>
          <w:p w14:paraId="60A8D588">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城市家具</w:t>
            </w:r>
          </w:p>
        </w:tc>
        <w:tc>
          <w:tcPr>
            <w:tcW w:w="4106" w:type="dxa"/>
            <w:noWrap w:val="0"/>
            <w:vAlign w:val="center"/>
          </w:tcPr>
          <w:p w14:paraId="45C74657">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每日循环擦拭园椅、石凳（花坛边缘）</w:t>
            </w:r>
            <w:r>
              <w:rPr>
                <w:rFonts w:hint="eastAsia" w:ascii="宋体" w:hAnsi="宋体" w:eastAsia="宋体" w:cs="宋体"/>
                <w:color w:val="auto"/>
                <w:sz w:val="24"/>
                <w:szCs w:val="24"/>
                <w:highlight w:val="none"/>
                <w:lang w:eastAsia="zh-CN"/>
              </w:rPr>
              <w:t>，游乐设施；</w:t>
            </w:r>
            <w:r>
              <w:rPr>
                <w:rFonts w:hint="eastAsia" w:ascii="宋体" w:hAnsi="宋体" w:eastAsia="宋体" w:cs="宋体"/>
                <w:color w:val="auto"/>
                <w:sz w:val="24"/>
                <w:szCs w:val="24"/>
                <w:highlight w:val="none"/>
              </w:rPr>
              <w:t>每日</w:t>
            </w:r>
            <w:r>
              <w:rPr>
                <w:rFonts w:hint="eastAsia" w:ascii="宋体" w:hAnsi="宋体" w:eastAsia="宋体" w:cs="宋体"/>
                <w:color w:val="auto"/>
                <w:sz w:val="24"/>
                <w:szCs w:val="24"/>
                <w:highlight w:val="none"/>
                <w:lang w:val="en-US" w:eastAsia="zh-CN"/>
              </w:rPr>
              <w:t>2次</w:t>
            </w:r>
            <w:r>
              <w:rPr>
                <w:rFonts w:hint="eastAsia" w:ascii="宋体" w:hAnsi="宋体" w:eastAsia="宋体" w:cs="宋体"/>
                <w:color w:val="auto"/>
                <w:sz w:val="24"/>
                <w:szCs w:val="24"/>
                <w:highlight w:val="none"/>
              </w:rPr>
              <w:t>擦拭果壳箱箱体</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早中晚各1次清理果壳箱垃圾</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每日</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次擦拭指示牌、配电箱</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智慧杆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每日</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次擦拭不锈钢、木质栏杆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每日</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次擦拭雕塑小品</w:t>
            </w:r>
            <w:r>
              <w:rPr>
                <w:rFonts w:hint="eastAsia" w:ascii="宋体" w:hAnsi="宋体" w:eastAsia="宋体" w:cs="宋体"/>
                <w:color w:val="auto"/>
                <w:sz w:val="24"/>
                <w:szCs w:val="24"/>
                <w:highlight w:val="none"/>
                <w:lang w:val="en-US" w:eastAsia="zh-CN"/>
              </w:rPr>
              <w:t>等</w:t>
            </w:r>
            <w:r>
              <w:rPr>
                <w:rFonts w:hint="eastAsia" w:ascii="宋体" w:hAnsi="宋体" w:eastAsia="宋体" w:cs="宋体"/>
                <w:color w:val="auto"/>
                <w:sz w:val="24"/>
                <w:szCs w:val="24"/>
                <w:highlight w:val="none"/>
                <w:lang w:eastAsia="zh-CN"/>
              </w:rPr>
              <w:t>。</w:t>
            </w:r>
          </w:p>
        </w:tc>
        <w:tc>
          <w:tcPr>
            <w:tcW w:w="3317" w:type="dxa"/>
            <w:noWrap w:val="0"/>
            <w:vAlign w:val="center"/>
          </w:tcPr>
          <w:p w14:paraId="19380E33">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无明显灰尘和污渍，手摸无污迹感，凳上积水及时清理干净，无蜘蛛网等</w:t>
            </w:r>
            <w:r>
              <w:rPr>
                <w:rFonts w:hint="eastAsia" w:ascii="宋体" w:hAnsi="宋体" w:eastAsia="宋体" w:cs="宋体"/>
                <w:color w:val="auto"/>
                <w:sz w:val="24"/>
                <w:szCs w:val="24"/>
                <w:highlight w:val="none"/>
                <w:lang w:eastAsia="zh-CN"/>
              </w:rPr>
              <w:t>，作业时间内</w:t>
            </w:r>
            <w:r>
              <w:rPr>
                <w:rFonts w:hint="eastAsia" w:ascii="宋体" w:hAnsi="宋体" w:eastAsia="宋体" w:cs="宋体"/>
                <w:color w:val="auto"/>
                <w:kern w:val="0"/>
                <w:sz w:val="24"/>
                <w:szCs w:val="24"/>
                <w:highlight w:val="none"/>
                <w:lang w:eastAsia="zh-CN" w:bidi="ar"/>
              </w:rPr>
              <w:t>垃圾</w:t>
            </w:r>
            <w:r>
              <w:rPr>
                <w:rFonts w:hint="eastAsia" w:ascii="宋体" w:hAnsi="宋体" w:eastAsia="宋体" w:cs="宋体"/>
                <w:color w:val="auto"/>
                <w:kern w:val="0"/>
                <w:sz w:val="24"/>
                <w:szCs w:val="24"/>
                <w:highlight w:val="none"/>
                <w:lang w:bidi="ar"/>
              </w:rPr>
              <w:t>停留时间不超过30分钟</w:t>
            </w:r>
            <w:r>
              <w:rPr>
                <w:rFonts w:hint="eastAsia" w:ascii="宋体" w:hAnsi="宋体" w:eastAsia="宋体" w:cs="宋体"/>
                <w:color w:val="auto"/>
                <w:kern w:val="0"/>
                <w:sz w:val="24"/>
                <w:szCs w:val="24"/>
                <w:highlight w:val="none"/>
                <w:lang w:eastAsia="zh-CN" w:bidi="ar"/>
              </w:rPr>
              <w:t>。</w:t>
            </w:r>
          </w:p>
        </w:tc>
      </w:tr>
      <w:tr w14:paraId="396D4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660" w:type="dxa"/>
            <w:vMerge w:val="continue"/>
            <w:noWrap w:val="0"/>
            <w:vAlign w:val="center"/>
          </w:tcPr>
          <w:p w14:paraId="14DE6F90">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rPr>
            </w:pPr>
          </w:p>
        </w:tc>
        <w:tc>
          <w:tcPr>
            <w:tcW w:w="1263" w:type="dxa"/>
            <w:noWrap w:val="0"/>
            <w:vAlign w:val="center"/>
          </w:tcPr>
          <w:p w14:paraId="3597CB5C">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铺装路面</w:t>
            </w:r>
          </w:p>
        </w:tc>
        <w:tc>
          <w:tcPr>
            <w:tcW w:w="4106" w:type="dxa"/>
            <w:noWrap w:val="0"/>
            <w:vAlign w:val="top"/>
          </w:tcPr>
          <w:p w14:paraId="71200D49">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每日7点前全面清扫</w:t>
            </w:r>
            <w:r>
              <w:rPr>
                <w:rFonts w:hint="eastAsia" w:ascii="宋体" w:hAnsi="宋体" w:eastAsia="宋体" w:cs="宋体"/>
                <w:color w:val="auto"/>
                <w:sz w:val="24"/>
                <w:szCs w:val="24"/>
                <w:highlight w:val="none"/>
                <w:lang w:eastAsia="zh-CN"/>
              </w:rPr>
              <w:t>园路、</w:t>
            </w:r>
            <w:r>
              <w:rPr>
                <w:rFonts w:hint="eastAsia" w:ascii="宋体" w:hAnsi="宋体" w:eastAsia="宋体" w:cs="宋体"/>
                <w:color w:val="auto"/>
                <w:sz w:val="24"/>
                <w:szCs w:val="24"/>
                <w:highlight w:val="none"/>
              </w:rPr>
              <w:t>铺装可见垃圾，7点后人工巡检</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每日</w:t>
            </w:r>
            <w:r>
              <w:rPr>
                <w:rFonts w:hint="eastAsia" w:ascii="宋体" w:hAnsi="宋体" w:eastAsia="宋体" w:cs="宋体"/>
                <w:color w:val="auto"/>
                <w:sz w:val="24"/>
                <w:szCs w:val="24"/>
                <w:highlight w:val="none"/>
                <w:lang w:eastAsia="zh-CN"/>
              </w:rPr>
              <w:t>主园路、</w:t>
            </w:r>
            <w:r>
              <w:rPr>
                <w:rFonts w:hint="eastAsia" w:ascii="宋体" w:hAnsi="宋体" w:eastAsia="宋体" w:cs="宋体"/>
                <w:color w:val="auto"/>
                <w:sz w:val="24"/>
                <w:szCs w:val="24"/>
                <w:highlight w:val="none"/>
              </w:rPr>
              <w:t>广场铺装循环清扫</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每日</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次清扫</w:t>
            </w:r>
            <w:r>
              <w:rPr>
                <w:rFonts w:hint="eastAsia" w:ascii="宋体" w:hAnsi="宋体" w:eastAsia="宋体" w:cs="宋体"/>
                <w:color w:val="auto"/>
                <w:sz w:val="24"/>
                <w:szCs w:val="24"/>
                <w:highlight w:val="none"/>
                <w:lang w:eastAsia="zh-CN"/>
              </w:rPr>
              <w:t>次要</w:t>
            </w:r>
            <w:r>
              <w:rPr>
                <w:rFonts w:hint="eastAsia" w:ascii="宋体" w:hAnsi="宋体" w:eastAsia="宋体" w:cs="宋体"/>
                <w:color w:val="auto"/>
                <w:sz w:val="24"/>
                <w:szCs w:val="24"/>
                <w:highlight w:val="none"/>
              </w:rPr>
              <w:t>园路</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每周</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次冲洗</w:t>
            </w:r>
            <w:r>
              <w:rPr>
                <w:rFonts w:hint="eastAsia" w:ascii="宋体" w:hAnsi="宋体" w:eastAsia="宋体" w:cs="宋体"/>
                <w:color w:val="auto"/>
                <w:sz w:val="24"/>
                <w:szCs w:val="24"/>
                <w:highlight w:val="none"/>
                <w:lang w:eastAsia="zh-CN"/>
              </w:rPr>
              <w:t>园内主要铺装广场；</w:t>
            </w:r>
            <w:r>
              <w:rPr>
                <w:rFonts w:hint="eastAsia" w:ascii="宋体" w:hAnsi="宋体" w:eastAsia="宋体" w:cs="宋体"/>
                <w:color w:val="auto"/>
                <w:sz w:val="24"/>
                <w:szCs w:val="24"/>
                <w:highlight w:val="none"/>
              </w:rPr>
              <w:t>每月</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次深度清洗铺装园路</w:t>
            </w:r>
            <w:r>
              <w:rPr>
                <w:rFonts w:hint="eastAsia" w:ascii="宋体" w:hAnsi="宋体" w:eastAsia="宋体" w:cs="宋体"/>
                <w:color w:val="auto"/>
                <w:sz w:val="24"/>
                <w:szCs w:val="24"/>
                <w:highlight w:val="none"/>
                <w:lang w:eastAsia="zh-CN"/>
              </w:rPr>
              <w:t>。</w:t>
            </w:r>
          </w:p>
        </w:tc>
        <w:tc>
          <w:tcPr>
            <w:tcW w:w="3317" w:type="dxa"/>
            <w:noWrap w:val="0"/>
            <w:vAlign w:val="center"/>
          </w:tcPr>
          <w:p w14:paraId="5B3044B7">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铺装见本色，地面无污渍、无垃圾、无积泥、无青苔，接缝无杂草</w:t>
            </w:r>
            <w:r>
              <w:rPr>
                <w:rFonts w:hint="eastAsia" w:ascii="宋体" w:hAnsi="宋体" w:eastAsia="宋体" w:cs="宋体"/>
                <w:color w:val="auto"/>
                <w:sz w:val="24"/>
                <w:szCs w:val="24"/>
                <w:highlight w:val="none"/>
                <w:lang w:eastAsia="zh-CN"/>
              </w:rPr>
              <w:t>，作业时间内</w:t>
            </w:r>
            <w:r>
              <w:rPr>
                <w:rFonts w:hint="eastAsia" w:ascii="宋体" w:hAnsi="宋体" w:eastAsia="宋体" w:cs="宋体"/>
                <w:color w:val="auto"/>
                <w:kern w:val="0"/>
                <w:sz w:val="24"/>
                <w:szCs w:val="24"/>
                <w:highlight w:val="none"/>
                <w:lang w:eastAsia="zh-CN" w:bidi="ar"/>
              </w:rPr>
              <w:t>垃圾</w:t>
            </w:r>
            <w:r>
              <w:rPr>
                <w:rFonts w:hint="eastAsia" w:ascii="宋体" w:hAnsi="宋体" w:eastAsia="宋体" w:cs="宋体"/>
                <w:color w:val="auto"/>
                <w:kern w:val="0"/>
                <w:sz w:val="24"/>
                <w:szCs w:val="24"/>
                <w:highlight w:val="none"/>
                <w:lang w:bidi="ar"/>
              </w:rPr>
              <w:t>停留时间不超过30分钟</w:t>
            </w:r>
            <w:r>
              <w:rPr>
                <w:rFonts w:hint="eastAsia" w:ascii="宋体" w:hAnsi="宋体" w:eastAsia="宋体" w:cs="宋体"/>
                <w:color w:val="auto"/>
                <w:kern w:val="0"/>
                <w:sz w:val="24"/>
                <w:szCs w:val="24"/>
                <w:highlight w:val="none"/>
                <w:lang w:eastAsia="zh-CN" w:bidi="ar"/>
              </w:rPr>
              <w:t>。</w:t>
            </w:r>
          </w:p>
        </w:tc>
      </w:tr>
      <w:tr w14:paraId="0BC45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660" w:type="dxa"/>
            <w:vMerge w:val="continue"/>
            <w:noWrap w:val="0"/>
            <w:vAlign w:val="center"/>
          </w:tcPr>
          <w:p w14:paraId="4159E89F">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rPr>
            </w:pPr>
          </w:p>
        </w:tc>
        <w:tc>
          <w:tcPr>
            <w:tcW w:w="1263" w:type="dxa"/>
            <w:noWrap w:val="0"/>
            <w:vAlign w:val="center"/>
          </w:tcPr>
          <w:p w14:paraId="668D7667">
            <w:pPr>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建构筑物</w:t>
            </w:r>
          </w:p>
        </w:tc>
        <w:tc>
          <w:tcPr>
            <w:tcW w:w="4106" w:type="dxa"/>
            <w:noWrap w:val="0"/>
            <w:vAlign w:val="top"/>
          </w:tcPr>
          <w:p w14:paraId="47545DCA">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每日</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次清理蜘蛛网</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每月</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次屋顶清理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每月</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次冲洗青石栏杆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每周</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次清洁亭、廊、立柱</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每月</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次清洁玻璃顶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每3个月</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次清理房屋立面</w:t>
            </w:r>
            <w:r>
              <w:rPr>
                <w:rFonts w:hint="eastAsia" w:ascii="宋体" w:hAnsi="宋体" w:eastAsia="宋体" w:cs="宋体"/>
                <w:color w:val="auto"/>
                <w:sz w:val="24"/>
                <w:szCs w:val="24"/>
                <w:highlight w:val="none"/>
                <w:lang w:eastAsia="zh-CN"/>
              </w:rPr>
              <w:t>。</w:t>
            </w:r>
          </w:p>
        </w:tc>
        <w:tc>
          <w:tcPr>
            <w:tcW w:w="3317" w:type="dxa"/>
            <w:noWrap w:val="0"/>
            <w:vAlign w:val="top"/>
          </w:tcPr>
          <w:p w14:paraId="602C3F89">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无蜘蛛网、无积尘、无青苔、无</w:t>
            </w:r>
            <w:r>
              <w:rPr>
                <w:rFonts w:hint="eastAsia" w:ascii="宋体" w:hAnsi="宋体" w:eastAsia="宋体" w:cs="宋体"/>
                <w:color w:val="auto"/>
                <w:sz w:val="24"/>
                <w:szCs w:val="24"/>
                <w:highlight w:val="none"/>
                <w:lang w:eastAsia="zh-CN"/>
              </w:rPr>
              <w:t>污渍</w:t>
            </w:r>
            <w:r>
              <w:rPr>
                <w:rFonts w:hint="eastAsia" w:ascii="宋体" w:hAnsi="宋体" w:eastAsia="宋体" w:cs="宋体"/>
                <w:color w:val="auto"/>
                <w:sz w:val="24"/>
                <w:szCs w:val="24"/>
                <w:highlight w:val="none"/>
              </w:rPr>
              <w:t>，石材见本色</w:t>
            </w:r>
            <w:r>
              <w:rPr>
                <w:rFonts w:hint="eastAsia" w:ascii="宋体" w:hAnsi="宋体" w:eastAsia="宋体" w:cs="宋体"/>
                <w:color w:val="auto"/>
                <w:sz w:val="24"/>
                <w:szCs w:val="24"/>
                <w:highlight w:val="none"/>
                <w:lang w:eastAsia="zh-CN"/>
              </w:rPr>
              <w:t>，作业时间内</w:t>
            </w:r>
            <w:r>
              <w:rPr>
                <w:rFonts w:hint="eastAsia" w:ascii="宋体" w:hAnsi="宋体" w:eastAsia="宋体" w:cs="宋体"/>
                <w:color w:val="auto"/>
                <w:kern w:val="0"/>
                <w:sz w:val="24"/>
                <w:szCs w:val="24"/>
                <w:highlight w:val="none"/>
                <w:lang w:eastAsia="zh-CN" w:bidi="ar"/>
              </w:rPr>
              <w:t>垃圾</w:t>
            </w:r>
            <w:r>
              <w:rPr>
                <w:rFonts w:hint="eastAsia" w:ascii="宋体" w:hAnsi="宋体" w:eastAsia="宋体" w:cs="宋体"/>
                <w:color w:val="auto"/>
                <w:kern w:val="0"/>
                <w:sz w:val="24"/>
                <w:szCs w:val="24"/>
                <w:highlight w:val="none"/>
                <w:lang w:bidi="ar"/>
              </w:rPr>
              <w:t>停留时间不超过30 分钟</w:t>
            </w:r>
            <w:r>
              <w:rPr>
                <w:rFonts w:hint="eastAsia" w:ascii="宋体" w:hAnsi="宋体" w:eastAsia="宋体" w:cs="宋体"/>
                <w:color w:val="auto"/>
                <w:kern w:val="0"/>
                <w:sz w:val="24"/>
                <w:szCs w:val="24"/>
                <w:highlight w:val="none"/>
                <w:lang w:eastAsia="zh-CN" w:bidi="ar"/>
              </w:rPr>
              <w:t>。</w:t>
            </w:r>
          </w:p>
        </w:tc>
      </w:tr>
      <w:tr w14:paraId="41358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660" w:type="dxa"/>
            <w:vMerge w:val="continue"/>
            <w:noWrap w:val="0"/>
            <w:vAlign w:val="center"/>
          </w:tcPr>
          <w:p w14:paraId="26ACC91B">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rPr>
            </w:pPr>
          </w:p>
        </w:tc>
        <w:tc>
          <w:tcPr>
            <w:tcW w:w="1263" w:type="dxa"/>
            <w:noWrap w:val="0"/>
            <w:vAlign w:val="center"/>
          </w:tcPr>
          <w:p w14:paraId="24474DE1">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绿化保洁</w:t>
            </w:r>
          </w:p>
        </w:tc>
        <w:tc>
          <w:tcPr>
            <w:tcW w:w="4106" w:type="dxa"/>
            <w:noWrap w:val="0"/>
            <w:vAlign w:val="center"/>
          </w:tcPr>
          <w:p w14:paraId="29AD0226">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每日循环</w:t>
            </w:r>
            <w:r>
              <w:rPr>
                <w:rFonts w:hint="eastAsia" w:ascii="宋体" w:hAnsi="宋体" w:eastAsia="宋体" w:cs="宋体"/>
                <w:color w:val="auto"/>
                <w:sz w:val="24"/>
                <w:szCs w:val="24"/>
                <w:highlight w:val="none"/>
                <w:lang w:eastAsia="zh-CN"/>
              </w:rPr>
              <w:t>清理</w:t>
            </w:r>
            <w:r>
              <w:rPr>
                <w:rFonts w:hint="eastAsia" w:ascii="宋体" w:hAnsi="宋体" w:eastAsia="宋体" w:cs="宋体"/>
                <w:color w:val="auto"/>
                <w:sz w:val="24"/>
                <w:szCs w:val="24"/>
                <w:highlight w:val="none"/>
              </w:rPr>
              <w:t>绿地内白色垃圾、烟蒂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枯枝</w:t>
            </w:r>
            <w:r>
              <w:rPr>
                <w:rFonts w:hint="eastAsia" w:ascii="宋体" w:hAnsi="宋体" w:eastAsia="宋体" w:cs="宋体"/>
                <w:color w:val="auto"/>
                <w:sz w:val="24"/>
                <w:szCs w:val="24"/>
                <w:highlight w:val="none"/>
                <w:lang w:eastAsia="zh-CN"/>
              </w:rPr>
              <w:t>等，</w:t>
            </w:r>
            <w:r>
              <w:rPr>
                <w:rFonts w:hint="eastAsia" w:ascii="宋体" w:hAnsi="宋体" w:eastAsia="宋体" w:cs="宋体"/>
                <w:color w:val="auto"/>
                <w:sz w:val="24"/>
                <w:szCs w:val="24"/>
                <w:highlight w:val="none"/>
              </w:rPr>
              <w:t>每月</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次清理雨水沟、窨井落叶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ab/>
            </w:r>
          </w:p>
        </w:tc>
        <w:tc>
          <w:tcPr>
            <w:tcW w:w="3317" w:type="dxa"/>
            <w:noWrap w:val="0"/>
            <w:vAlign w:val="top"/>
          </w:tcPr>
          <w:p w14:paraId="3CAD1CE5">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绿化整洁、完好，绿地无杂物、垃圾</w:t>
            </w:r>
            <w:r>
              <w:rPr>
                <w:rFonts w:hint="eastAsia" w:ascii="宋体" w:hAnsi="宋体" w:eastAsia="宋体" w:cs="宋体"/>
                <w:color w:val="auto"/>
                <w:sz w:val="24"/>
                <w:szCs w:val="24"/>
                <w:highlight w:val="none"/>
                <w:lang w:eastAsia="zh-CN"/>
              </w:rPr>
              <w:t>及其他</w:t>
            </w:r>
            <w:r>
              <w:rPr>
                <w:rFonts w:hint="eastAsia" w:ascii="宋体" w:hAnsi="宋体" w:eastAsia="宋体" w:cs="宋体"/>
                <w:color w:val="auto"/>
                <w:sz w:val="24"/>
                <w:szCs w:val="24"/>
                <w:highlight w:val="none"/>
              </w:rPr>
              <w:t>废弃物</w:t>
            </w:r>
            <w:r>
              <w:rPr>
                <w:rFonts w:hint="eastAsia" w:ascii="宋体" w:hAnsi="宋体" w:eastAsia="宋体" w:cs="宋体"/>
                <w:color w:val="auto"/>
                <w:sz w:val="24"/>
                <w:szCs w:val="24"/>
                <w:highlight w:val="none"/>
                <w:lang w:eastAsia="zh-CN"/>
              </w:rPr>
              <w:t>，作业时间内</w:t>
            </w:r>
            <w:r>
              <w:rPr>
                <w:rFonts w:hint="eastAsia" w:ascii="宋体" w:hAnsi="宋体" w:eastAsia="宋体" w:cs="宋体"/>
                <w:color w:val="auto"/>
                <w:kern w:val="0"/>
                <w:sz w:val="24"/>
                <w:szCs w:val="24"/>
                <w:highlight w:val="none"/>
                <w:lang w:bidi="ar"/>
              </w:rPr>
              <w:t>垃圾停留时间不超过 30 分钟</w:t>
            </w:r>
            <w:r>
              <w:rPr>
                <w:rFonts w:hint="eastAsia" w:ascii="宋体" w:hAnsi="宋体" w:eastAsia="宋体" w:cs="宋体"/>
                <w:color w:val="auto"/>
                <w:kern w:val="0"/>
                <w:sz w:val="24"/>
                <w:szCs w:val="24"/>
                <w:highlight w:val="none"/>
                <w:lang w:eastAsia="zh-CN" w:bidi="ar"/>
              </w:rPr>
              <w:t>。</w:t>
            </w:r>
          </w:p>
        </w:tc>
      </w:tr>
      <w:tr w14:paraId="64603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660" w:type="dxa"/>
            <w:vMerge w:val="continue"/>
            <w:noWrap w:val="0"/>
            <w:vAlign w:val="center"/>
          </w:tcPr>
          <w:p w14:paraId="10733957">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rPr>
            </w:pPr>
          </w:p>
        </w:tc>
        <w:tc>
          <w:tcPr>
            <w:tcW w:w="1263" w:type="dxa"/>
            <w:noWrap w:val="0"/>
            <w:vAlign w:val="center"/>
          </w:tcPr>
          <w:p w14:paraId="3D43997A">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垃圾分类及清运</w:t>
            </w:r>
          </w:p>
        </w:tc>
        <w:tc>
          <w:tcPr>
            <w:tcW w:w="4106" w:type="dxa"/>
            <w:noWrap w:val="0"/>
            <w:vAlign w:val="top"/>
          </w:tcPr>
          <w:p w14:paraId="7CCBC892">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产生的垃圾进行分类减量处理，尽可能循环利用，错峰时间作业进行垃圾归集和运输，确保</w:t>
            </w:r>
            <w:r>
              <w:rPr>
                <w:rFonts w:hint="eastAsia" w:ascii="宋体" w:hAnsi="宋体" w:eastAsia="宋体" w:cs="宋体"/>
                <w:color w:val="auto"/>
                <w:sz w:val="24"/>
                <w:szCs w:val="24"/>
                <w:highlight w:val="none"/>
                <w:lang w:eastAsia="zh-CN"/>
              </w:rPr>
              <w:t>园内每日</w:t>
            </w:r>
            <w:r>
              <w:rPr>
                <w:rFonts w:hint="eastAsia" w:ascii="宋体" w:hAnsi="宋体" w:eastAsia="宋体" w:cs="宋体"/>
                <w:color w:val="auto"/>
                <w:sz w:val="24"/>
                <w:szCs w:val="24"/>
                <w:highlight w:val="none"/>
              </w:rPr>
              <w:t>8:00-18:00无垃圾堆放，不得在绿地及路旁遗留垃圾。由于台风、暴雨等不可抗力因素无条件增加垃圾清运任务。垃圾清运要求实行日产日清，垃圾车辆每天擦洗，保洁车辆需有醒目警示标志</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垃圾</w:t>
            </w:r>
            <w:r>
              <w:rPr>
                <w:rFonts w:hint="eastAsia" w:ascii="宋体" w:hAnsi="宋体" w:eastAsia="宋体" w:cs="宋体"/>
                <w:color w:val="auto"/>
                <w:sz w:val="24"/>
                <w:szCs w:val="24"/>
                <w:highlight w:val="none"/>
                <w:lang w:eastAsia="zh-CN"/>
              </w:rPr>
              <w:t>车</w:t>
            </w:r>
            <w:r>
              <w:rPr>
                <w:rFonts w:hint="eastAsia" w:ascii="宋体" w:hAnsi="宋体" w:eastAsia="宋体" w:cs="宋体"/>
                <w:color w:val="auto"/>
                <w:sz w:val="24"/>
                <w:szCs w:val="24"/>
                <w:highlight w:val="none"/>
              </w:rPr>
              <w:t>严禁停放在草坪、地被植物上。</w:t>
            </w:r>
          </w:p>
        </w:tc>
        <w:tc>
          <w:tcPr>
            <w:tcW w:w="3317" w:type="dxa"/>
            <w:noWrap w:val="0"/>
            <w:vAlign w:val="center"/>
          </w:tcPr>
          <w:p w14:paraId="15DED256">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确保垃圾收集设施清洁、正常，规范安全使用，</w:t>
            </w:r>
            <w:r>
              <w:rPr>
                <w:rFonts w:hint="eastAsia" w:ascii="宋体" w:hAnsi="宋体" w:eastAsia="宋体" w:cs="宋体"/>
                <w:color w:val="auto"/>
                <w:sz w:val="24"/>
                <w:szCs w:val="24"/>
                <w:highlight w:val="none"/>
                <w:lang w:eastAsia="zh-CN"/>
              </w:rPr>
              <w:t>垃圾车</w:t>
            </w:r>
            <w:r>
              <w:rPr>
                <w:rFonts w:hint="eastAsia" w:ascii="宋体" w:hAnsi="宋体" w:eastAsia="宋体" w:cs="宋体"/>
                <w:color w:val="auto"/>
                <w:sz w:val="24"/>
                <w:szCs w:val="24"/>
                <w:highlight w:val="none"/>
              </w:rPr>
              <w:t>运输无滴漏撒情况</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无污迹，车外无吊挂杂物，车辆无破损</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垃圾车</w:t>
            </w:r>
            <w:r>
              <w:rPr>
                <w:rFonts w:hint="eastAsia" w:ascii="宋体" w:hAnsi="宋体" w:eastAsia="宋体" w:cs="宋体"/>
                <w:color w:val="auto"/>
                <w:sz w:val="24"/>
                <w:szCs w:val="24"/>
                <w:highlight w:val="none"/>
                <w:lang w:eastAsia="zh-CN"/>
              </w:rPr>
              <w:t>、保洁作业车定点停放规范，无乱停放现象。</w:t>
            </w:r>
          </w:p>
        </w:tc>
      </w:tr>
      <w:tr w14:paraId="1D4B6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923" w:type="dxa"/>
            <w:gridSpan w:val="2"/>
            <w:noWrap w:val="0"/>
            <w:vAlign w:val="center"/>
          </w:tcPr>
          <w:p w14:paraId="7C3ACBA0">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公厕</w:t>
            </w:r>
            <w:r>
              <w:rPr>
                <w:rFonts w:hint="eastAsia" w:ascii="宋体" w:hAnsi="宋体" w:eastAsia="宋体" w:cs="宋体"/>
                <w:b/>
                <w:bCs/>
                <w:color w:val="auto"/>
                <w:sz w:val="24"/>
                <w:szCs w:val="24"/>
                <w:highlight w:val="none"/>
                <w:lang w:eastAsia="zh-CN"/>
              </w:rPr>
              <w:t>管理</w:t>
            </w:r>
          </w:p>
        </w:tc>
        <w:tc>
          <w:tcPr>
            <w:tcW w:w="4106" w:type="dxa"/>
            <w:noWrap w:val="0"/>
            <w:vAlign w:val="center"/>
          </w:tcPr>
          <w:p w14:paraId="18EF99F7">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按照《公共厕所保洁与服务规范》（DB3302T1081-201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 xml:space="preserve">）标准。确保精细化保洁质量，促进长效常态管理。  </w:t>
            </w:r>
          </w:p>
        </w:tc>
        <w:tc>
          <w:tcPr>
            <w:tcW w:w="3317" w:type="dxa"/>
            <w:noWrap w:val="0"/>
            <w:vAlign w:val="center"/>
          </w:tcPr>
          <w:p w14:paraId="741B8027">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做到公厕干净整洁无异味、设施设备正常使用、</w:t>
            </w:r>
            <w:r>
              <w:rPr>
                <w:rFonts w:hint="eastAsia" w:ascii="宋体" w:hAnsi="宋体" w:eastAsia="宋体" w:cs="宋体"/>
                <w:color w:val="auto"/>
                <w:sz w:val="24"/>
                <w:szCs w:val="24"/>
                <w:highlight w:val="none"/>
              </w:rPr>
              <w:t>免费厕纸和洗手液</w:t>
            </w:r>
            <w:r>
              <w:rPr>
                <w:rFonts w:hint="eastAsia" w:ascii="宋体" w:hAnsi="宋体" w:eastAsia="宋体" w:cs="宋体"/>
                <w:color w:val="auto"/>
                <w:sz w:val="24"/>
                <w:szCs w:val="24"/>
                <w:highlight w:val="none"/>
                <w:lang w:eastAsia="zh-CN"/>
              </w:rPr>
              <w:t>补充及时，</w:t>
            </w:r>
            <w:r>
              <w:rPr>
                <w:rFonts w:hint="eastAsia" w:ascii="宋体" w:hAnsi="宋体" w:eastAsia="宋体" w:cs="宋体"/>
                <w:color w:val="auto"/>
                <w:sz w:val="24"/>
                <w:szCs w:val="24"/>
                <w:highlight w:val="none"/>
                <w:lang w:val="en-US" w:eastAsia="zh-CN"/>
              </w:rPr>
              <w:t>11-3月提供热水洗手</w:t>
            </w:r>
            <w:r>
              <w:rPr>
                <w:rFonts w:hint="eastAsia" w:ascii="宋体" w:hAnsi="宋体" w:eastAsia="宋体" w:cs="宋体"/>
                <w:color w:val="auto"/>
                <w:kern w:val="0"/>
                <w:sz w:val="24"/>
                <w:szCs w:val="24"/>
                <w:highlight w:val="none"/>
                <w:lang w:bidi="ar"/>
              </w:rPr>
              <w:t xml:space="preserve">。 </w:t>
            </w:r>
          </w:p>
        </w:tc>
      </w:tr>
      <w:tr w14:paraId="4481A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923" w:type="dxa"/>
            <w:gridSpan w:val="2"/>
            <w:noWrap w:val="0"/>
            <w:vAlign w:val="center"/>
          </w:tcPr>
          <w:p w14:paraId="0732C14F">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绿化垃圾</w:t>
            </w:r>
          </w:p>
          <w:p w14:paraId="391987E5">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资源利用</w:t>
            </w:r>
          </w:p>
        </w:tc>
        <w:tc>
          <w:tcPr>
            <w:tcW w:w="4106" w:type="dxa"/>
            <w:noWrap w:val="0"/>
            <w:vAlign w:val="center"/>
          </w:tcPr>
          <w:p w14:paraId="5EFFF796">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中标人应与具备园林绿化垃圾资源化终端处置能力（非中转）的企业签订收运处置协议，规范运输，确保园林绿化垃圾进行资源化利用。后续若</w:t>
            </w:r>
            <w:r>
              <w:rPr>
                <w:rFonts w:hint="eastAsia" w:ascii="宋体" w:hAnsi="宋体" w:cs="宋体"/>
                <w:color w:val="auto"/>
                <w:sz w:val="24"/>
                <w:szCs w:val="24"/>
                <w:highlight w:val="none"/>
                <w:lang w:val="en-US" w:eastAsia="zh-CN"/>
              </w:rPr>
              <w:t>相关</w:t>
            </w:r>
            <w:r>
              <w:rPr>
                <w:rFonts w:hint="eastAsia" w:ascii="宋体" w:hAnsi="宋体" w:eastAsia="宋体" w:cs="宋体"/>
                <w:color w:val="auto"/>
                <w:sz w:val="24"/>
                <w:szCs w:val="24"/>
                <w:highlight w:val="none"/>
              </w:rPr>
              <w:t>部门出台相关管理规范，则按相关规范执行。</w:t>
            </w:r>
          </w:p>
        </w:tc>
        <w:tc>
          <w:tcPr>
            <w:tcW w:w="3317" w:type="dxa"/>
            <w:noWrap w:val="0"/>
            <w:vAlign w:val="center"/>
          </w:tcPr>
          <w:p w14:paraId="5D3B1E92">
            <w:pPr>
              <w:jc w:val="both"/>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资源化利用后的产物要按比例5%返回用于公园日常养护。</w:t>
            </w:r>
          </w:p>
        </w:tc>
      </w:tr>
      <w:tr w14:paraId="19E8B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923" w:type="dxa"/>
            <w:gridSpan w:val="2"/>
            <w:noWrap w:val="0"/>
            <w:vAlign w:val="center"/>
          </w:tcPr>
          <w:p w14:paraId="3C83C2D8">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lang w:eastAsia="zh-CN"/>
              </w:rPr>
              <w:t>水体保洁</w:t>
            </w:r>
          </w:p>
        </w:tc>
        <w:tc>
          <w:tcPr>
            <w:tcW w:w="4106" w:type="dxa"/>
            <w:noWrap w:val="0"/>
            <w:vAlign w:val="center"/>
          </w:tcPr>
          <w:p w14:paraId="0499DC36">
            <w:pPr>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及时打捞断草、树叶</w:t>
            </w:r>
            <w:r>
              <w:rPr>
                <w:rFonts w:hint="eastAsia" w:ascii="宋体" w:hAnsi="宋体" w:eastAsia="宋体" w:cs="宋体"/>
                <w:color w:val="auto"/>
                <w:sz w:val="24"/>
                <w:szCs w:val="24"/>
                <w:highlight w:val="none"/>
                <w:lang w:eastAsia="zh-CN"/>
              </w:rPr>
              <w:t>、垃圾等水</w:t>
            </w:r>
            <w:r>
              <w:rPr>
                <w:rFonts w:hint="eastAsia" w:ascii="宋体" w:hAnsi="宋体" w:eastAsia="宋体" w:cs="宋体"/>
                <w:color w:val="auto"/>
                <w:sz w:val="24"/>
                <w:szCs w:val="24"/>
                <w:highlight w:val="none"/>
              </w:rPr>
              <w:t>面漂浮物</w:t>
            </w:r>
            <w:r>
              <w:rPr>
                <w:rFonts w:hint="eastAsia" w:ascii="宋体" w:hAnsi="宋体" w:eastAsia="宋体" w:cs="宋体"/>
                <w:color w:val="auto"/>
                <w:sz w:val="24"/>
                <w:szCs w:val="24"/>
                <w:highlight w:val="none"/>
                <w:lang w:eastAsia="zh-CN"/>
              </w:rPr>
              <w:t>，及时清理青苔，及时应对处理水质各类问题。每年外湖水域投放净化水质的鱼苗数不少于</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万尾（花鲢、白鲢各</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万尾，单条鱼苗重量在200g以内）。</w:t>
            </w:r>
          </w:p>
        </w:tc>
        <w:tc>
          <w:tcPr>
            <w:tcW w:w="3317" w:type="dxa"/>
            <w:noWrap w:val="0"/>
            <w:vAlign w:val="center"/>
          </w:tcPr>
          <w:p w14:paraId="349AFB20">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保持水面清洁，</w:t>
            </w:r>
            <w:r>
              <w:rPr>
                <w:rFonts w:hint="eastAsia" w:ascii="宋体" w:hAnsi="宋体" w:eastAsia="宋体" w:cs="宋体"/>
                <w:color w:val="auto"/>
                <w:sz w:val="24"/>
                <w:szCs w:val="24"/>
                <w:highlight w:val="none"/>
              </w:rPr>
              <w:t>水体长期维持无黑臭和无大面积蓝绿藻爆发等情况。</w:t>
            </w:r>
          </w:p>
        </w:tc>
      </w:tr>
      <w:tr w14:paraId="59E96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923" w:type="dxa"/>
            <w:gridSpan w:val="2"/>
            <w:noWrap w:val="0"/>
            <w:vAlign w:val="center"/>
          </w:tcPr>
          <w:p w14:paraId="0F072A21">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设施维护</w:t>
            </w:r>
          </w:p>
        </w:tc>
        <w:tc>
          <w:tcPr>
            <w:tcW w:w="4106" w:type="dxa"/>
            <w:noWrap w:val="0"/>
            <w:vAlign w:val="center"/>
          </w:tcPr>
          <w:p w14:paraId="73B98AA7">
            <w:pPr>
              <w:widowControl w:val="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lang w:eastAsia="zh-CN"/>
              </w:rPr>
              <w:t>中标人</w:t>
            </w:r>
            <w:r>
              <w:rPr>
                <w:rFonts w:hint="eastAsia" w:ascii="宋体" w:hAnsi="宋体" w:eastAsia="宋体" w:cs="宋体"/>
                <w:bCs/>
                <w:color w:val="auto"/>
                <w:sz w:val="24"/>
                <w:szCs w:val="24"/>
                <w:highlight w:val="none"/>
              </w:rPr>
              <w:t>每周对公园设施定期巡检，并按要求填写巡检记录表。</w:t>
            </w:r>
          </w:p>
          <w:p w14:paraId="68D08D6B">
            <w:pPr>
              <w:widowControl w:val="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故障响应：（1）特殊或重要设备的，如监控系统，</w:t>
            </w:r>
            <w:r>
              <w:rPr>
                <w:rFonts w:hint="eastAsia" w:ascii="宋体" w:hAnsi="宋体" w:eastAsia="宋体" w:cs="宋体"/>
                <w:bCs/>
                <w:color w:val="auto"/>
                <w:sz w:val="24"/>
                <w:szCs w:val="24"/>
                <w:highlight w:val="none"/>
                <w:lang w:eastAsia="zh-CN"/>
              </w:rPr>
              <w:t>中标人</w:t>
            </w:r>
            <w:r>
              <w:rPr>
                <w:rFonts w:hint="eastAsia" w:ascii="宋体" w:hAnsi="宋体" w:eastAsia="宋体" w:cs="宋体"/>
                <w:bCs/>
                <w:color w:val="auto"/>
                <w:sz w:val="24"/>
                <w:szCs w:val="24"/>
                <w:highlight w:val="none"/>
              </w:rPr>
              <w:t>在接到公园电话或书面的检修通知后，必须1小时响应，一般故障技术人员4小时内到达现场，重大事故（8个以上摄像头不能正常工作）技术人员2小时内到达现场进行处理。（2）其他故障的，必须24小时内响应。</w:t>
            </w:r>
          </w:p>
          <w:p w14:paraId="1A1D2665">
            <w:pPr>
              <w:widowControl w:val="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.维修过程中要按要求进行安全文明作业。</w:t>
            </w:r>
          </w:p>
          <w:p w14:paraId="07BD5C1F">
            <w:pPr>
              <w:widowControl w:val="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.维修作业无正当理由必须按照</w:t>
            </w:r>
            <w:r>
              <w:rPr>
                <w:rFonts w:hint="eastAsia" w:ascii="宋体" w:hAnsi="宋体" w:eastAsia="宋体" w:cs="宋体"/>
                <w:bCs/>
                <w:color w:val="auto"/>
                <w:sz w:val="24"/>
                <w:szCs w:val="24"/>
                <w:highlight w:val="none"/>
                <w:lang w:eastAsia="zh-CN"/>
              </w:rPr>
              <w:t>采购人</w:t>
            </w:r>
            <w:r>
              <w:rPr>
                <w:rFonts w:hint="eastAsia" w:ascii="宋体" w:hAnsi="宋体" w:eastAsia="宋体" w:cs="宋体"/>
                <w:bCs/>
                <w:color w:val="auto"/>
                <w:sz w:val="24"/>
                <w:szCs w:val="24"/>
                <w:highlight w:val="none"/>
              </w:rPr>
              <w:t>指令期限内完工。</w:t>
            </w:r>
          </w:p>
          <w:p w14:paraId="1F2B0607">
            <w:pPr>
              <w:widowControl w:val="0"/>
              <w:rPr>
                <w:rFonts w:hint="default" w:ascii="宋体" w:hAnsi="宋体" w:eastAsia="宋体" w:cs="宋体"/>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5.</w:t>
            </w:r>
            <w:r>
              <w:rPr>
                <w:rFonts w:hint="eastAsia" w:eastAsia="宋体"/>
                <w:color w:val="auto"/>
                <w:highlight w:val="none"/>
                <w:lang w:val="en-US" w:eastAsia="zh-CN"/>
              </w:rPr>
              <w:t>加强公园网络安全维护巡查，确保公园安全网络不受入侵。</w:t>
            </w:r>
          </w:p>
        </w:tc>
        <w:tc>
          <w:tcPr>
            <w:tcW w:w="3317" w:type="dxa"/>
            <w:noWrap w:val="0"/>
            <w:vAlign w:val="center"/>
          </w:tcPr>
          <w:p w14:paraId="0C47A3FB">
            <w:pPr>
              <w:jc w:val="both"/>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eastAsia="zh-CN"/>
              </w:rPr>
              <w:t>园内</w:t>
            </w:r>
            <w:r>
              <w:rPr>
                <w:rFonts w:hint="eastAsia" w:ascii="宋体" w:hAnsi="宋体" w:eastAsia="宋体" w:cs="宋体"/>
                <w:bCs/>
                <w:color w:val="auto"/>
                <w:sz w:val="24"/>
                <w:szCs w:val="24"/>
                <w:highlight w:val="none"/>
              </w:rPr>
              <w:t>设施完好率达100</w:t>
            </w:r>
            <w:r>
              <w:rPr>
                <w:rFonts w:hint="eastAsia" w:ascii="宋体" w:hAnsi="宋体" w:eastAsia="宋体" w:cs="宋体"/>
                <w:bCs/>
                <w:color w:val="auto"/>
                <w:sz w:val="24"/>
                <w:szCs w:val="24"/>
                <w:highlight w:val="none"/>
                <w:lang w:val="en-US" w:eastAsia="zh-CN"/>
              </w:rPr>
              <w:t>%，设施破损、设备故障后能快速响应处理。</w:t>
            </w:r>
          </w:p>
        </w:tc>
      </w:tr>
      <w:tr w14:paraId="59257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923" w:type="dxa"/>
            <w:gridSpan w:val="2"/>
            <w:noWrap w:val="0"/>
            <w:vAlign w:val="center"/>
          </w:tcPr>
          <w:p w14:paraId="0C0A3762">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公园绿地</w:t>
            </w:r>
          </w:p>
          <w:p w14:paraId="493E4DAD">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开放共享</w:t>
            </w:r>
          </w:p>
        </w:tc>
        <w:tc>
          <w:tcPr>
            <w:tcW w:w="4106" w:type="dxa"/>
            <w:noWrap w:val="0"/>
            <w:vAlign w:val="center"/>
          </w:tcPr>
          <w:p w14:paraId="36B43901">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根据《宁波市城市公园绿地开放共享试点工作实施方案》和《宁波市公园绿地开放共享管理指引（试行）》，做好共享草坪养护管理，加大垃圾清运频次，完善配套服务设施，劝阻不文明行为，完善应急处理预案，做好人流安全管理。</w:t>
            </w:r>
          </w:p>
        </w:tc>
        <w:tc>
          <w:tcPr>
            <w:tcW w:w="3317" w:type="dxa"/>
            <w:noWrap w:val="0"/>
            <w:vAlign w:val="center"/>
          </w:tcPr>
          <w:p w14:paraId="035136E7">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达到《宁波市城市公园绿地开放共享试点工作实施方案》和《宁波市公园绿地开放共享管理指引（试行）》相关质量要求。</w:t>
            </w:r>
          </w:p>
        </w:tc>
      </w:tr>
      <w:tr w14:paraId="268E5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923" w:type="dxa"/>
            <w:gridSpan w:val="2"/>
            <w:noWrap w:val="0"/>
            <w:vAlign w:val="center"/>
          </w:tcPr>
          <w:p w14:paraId="17F0355E">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公园分级分类</w:t>
            </w:r>
          </w:p>
        </w:tc>
        <w:tc>
          <w:tcPr>
            <w:tcW w:w="4106" w:type="dxa"/>
            <w:noWrap w:val="0"/>
            <w:vAlign w:val="center"/>
          </w:tcPr>
          <w:p w14:paraId="678FC1BF">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根据《宁波市城市管理局关于进一步做好宁波市城市公园分级分类管理和园长制工作的通知》《宁波市城市公园分级评分标准》做好绿化养护、设施维护、清卫保洁及园容园貌提升、文明游园和服务管理、园艺景观、设施服务、科普和文化展示等内容。</w:t>
            </w:r>
          </w:p>
        </w:tc>
        <w:tc>
          <w:tcPr>
            <w:tcW w:w="3317" w:type="dxa"/>
            <w:noWrap w:val="0"/>
            <w:vAlign w:val="center"/>
          </w:tcPr>
          <w:p w14:paraId="53AF6A0E">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根据《宁波市城市公园分级评分标准》，达到五星级公园标准，被降星或摘星的，采购人有权无条件解除合同，相关责任和损失由中标人承担。</w:t>
            </w:r>
          </w:p>
        </w:tc>
      </w:tr>
      <w:tr w14:paraId="6C0B2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923" w:type="dxa"/>
            <w:gridSpan w:val="2"/>
            <w:noWrap w:val="0"/>
            <w:vAlign w:val="center"/>
          </w:tcPr>
          <w:p w14:paraId="2B766F6C">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安全管理</w:t>
            </w:r>
          </w:p>
        </w:tc>
        <w:tc>
          <w:tcPr>
            <w:tcW w:w="4106" w:type="dxa"/>
            <w:noWrap w:val="0"/>
            <w:vAlign w:val="center"/>
          </w:tcPr>
          <w:p w14:paraId="662D38BA">
            <w:pP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做好公园治安、消防、防盗、反恐防暴、防灾害事故等安全防范工作，保护采购人及入园游客的人身及财产安全，承担公园应急救援，维护游园秩序，对不文明行为及时劝导、说明、纠正，高度警惕各类违法行为苗头，及时发现并配合公安部门制（防）止打架斗殴、敲诈勒索、盗抢诈骗等各类治安或刑事案件。</w:t>
            </w:r>
            <w:r>
              <w:rPr>
                <w:rFonts w:hint="eastAsia" w:ascii="宋体" w:hAnsi="宋体" w:eastAsia="宋体" w:cs="宋体"/>
                <w:color w:val="auto"/>
                <w:sz w:val="24"/>
                <w:szCs w:val="24"/>
                <w:highlight w:val="none"/>
                <w:lang w:val="en-US" w:eastAsia="zh-CN"/>
              </w:rPr>
              <w:t>相关责任由中标人承担。</w:t>
            </w:r>
          </w:p>
        </w:tc>
        <w:tc>
          <w:tcPr>
            <w:tcW w:w="3317" w:type="dxa"/>
            <w:noWrap w:val="0"/>
            <w:vAlign w:val="center"/>
          </w:tcPr>
          <w:p w14:paraId="44F6A9D2">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园内安全，游园秩序井然，无不文明现象、无安全事故</w:t>
            </w:r>
          </w:p>
        </w:tc>
      </w:tr>
      <w:tr w14:paraId="6FA38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923" w:type="dxa"/>
            <w:gridSpan w:val="2"/>
            <w:noWrap w:val="0"/>
            <w:vAlign w:val="center"/>
          </w:tcPr>
          <w:p w14:paraId="626F7092">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lang w:eastAsia="zh-CN"/>
              </w:rPr>
              <w:t>极端气候防护</w:t>
            </w:r>
          </w:p>
        </w:tc>
        <w:tc>
          <w:tcPr>
            <w:tcW w:w="4106" w:type="dxa"/>
            <w:noWrap w:val="0"/>
            <w:vAlign w:val="center"/>
          </w:tcPr>
          <w:p w14:paraId="6451B4E5">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预先做好防汛防台防涝以及冰冻雪灾的应急预案和物资准备工作，梅雨、台风季节随时进行安全巡查，发现险情及时处理。</w:t>
            </w:r>
            <w:r>
              <w:rPr>
                <w:rFonts w:hint="eastAsia" w:ascii="宋体" w:hAnsi="宋体" w:eastAsia="宋体" w:cs="宋体"/>
                <w:color w:val="auto"/>
                <w:sz w:val="24"/>
                <w:szCs w:val="24"/>
                <w:highlight w:val="none"/>
                <w:lang w:eastAsia="zh-CN"/>
              </w:rPr>
              <w:t>在</w:t>
            </w:r>
            <w:r>
              <w:rPr>
                <w:rFonts w:hint="eastAsia" w:ascii="宋体" w:hAnsi="宋体" w:eastAsia="宋体" w:cs="宋体"/>
                <w:color w:val="auto"/>
                <w:sz w:val="24"/>
                <w:szCs w:val="24"/>
                <w:highlight w:val="none"/>
              </w:rPr>
              <w:t>台风季节</w:t>
            </w:r>
            <w:r>
              <w:rPr>
                <w:rFonts w:hint="eastAsia" w:ascii="宋体" w:hAnsi="宋体" w:eastAsia="宋体" w:cs="宋体"/>
                <w:color w:val="auto"/>
                <w:sz w:val="24"/>
                <w:szCs w:val="24"/>
                <w:highlight w:val="none"/>
                <w:lang w:eastAsia="zh-CN"/>
              </w:rPr>
              <w:t>做好</w:t>
            </w:r>
            <w:r>
              <w:rPr>
                <w:rFonts w:hint="eastAsia" w:ascii="宋体" w:hAnsi="宋体" w:eastAsia="宋体" w:cs="宋体"/>
                <w:color w:val="auto"/>
                <w:sz w:val="24"/>
                <w:szCs w:val="24"/>
                <w:highlight w:val="none"/>
              </w:rPr>
              <w:t>对高大乔木和抗风能力较差的树种</w:t>
            </w:r>
            <w:r>
              <w:rPr>
                <w:rFonts w:hint="eastAsia" w:ascii="宋体" w:hAnsi="宋体" w:eastAsia="宋体" w:cs="宋体"/>
                <w:color w:val="auto"/>
                <w:sz w:val="24"/>
                <w:szCs w:val="24"/>
                <w:highlight w:val="none"/>
                <w:lang w:eastAsia="zh-CN"/>
              </w:rPr>
              <w:t>的</w:t>
            </w:r>
            <w:r>
              <w:rPr>
                <w:rFonts w:hint="eastAsia" w:ascii="宋体" w:hAnsi="宋体" w:eastAsia="宋体" w:cs="宋体"/>
                <w:color w:val="auto"/>
                <w:sz w:val="24"/>
                <w:szCs w:val="24"/>
                <w:highlight w:val="none"/>
              </w:rPr>
              <w:t>疏枝、</w:t>
            </w:r>
            <w:r>
              <w:rPr>
                <w:rFonts w:hint="eastAsia" w:ascii="宋体" w:hAnsi="宋体" w:eastAsia="宋体" w:cs="宋体"/>
                <w:color w:val="auto"/>
                <w:sz w:val="24"/>
                <w:szCs w:val="24"/>
                <w:highlight w:val="none"/>
                <w:lang w:eastAsia="zh-CN"/>
              </w:rPr>
              <w:t>支撑</w:t>
            </w:r>
            <w:r>
              <w:rPr>
                <w:rFonts w:hint="eastAsia" w:ascii="宋体" w:hAnsi="宋体" w:eastAsia="宋体" w:cs="宋体"/>
                <w:color w:val="auto"/>
                <w:sz w:val="24"/>
                <w:szCs w:val="24"/>
                <w:highlight w:val="none"/>
              </w:rPr>
              <w:t>等加固工作，发生水涝后及时对植物进行排水、遮阴和修剪，冰冻雪灾时对植物进行草包绑扎等防冻措施，并组织人力物力配合做好灾后恢复工作。</w:t>
            </w:r>
          </w:p>
        </w:tc>
        <w:tc>
          <w:tcPr>
            <w:tcW w:w="3317" w:type="dxa"/>
            <w:noWrap w:val="0"/>
            <w:vAlign w:val="center"/>
          </w:tcPr>
          <w:p w14:paraId="5B1633F7">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及时</w:t>
            </w:r>
            <w:r>
              <w:rPr>
                <w:rFonts w:hint="eastAsia" w:ascii="宋体" w:hAnsi="宋体" w:eastAsia="宋体" w:cs="宋体"/>
                <w:color w:val="auto"/>
                <w:sz w:val="24"/>
                <w:szCs w:val="24"/>
                <w:highlight w:val="none"/>
              </w:rPr>
              <w:t>做好</w:t>
            </w:r>
            <w:r>
              <w:rPr>
                <w:rFonts w:hint="eastAsia" w:ascii="宋体" w:hAnsi="宋体" w:eastAsia="宋体" w:cs="宋体"/>
                <w:color w:val="auto"/>
                <w:sz w:val="24"/>
                <w:szCs w:val="24"/>
                <w:highlight w:val="none"/>
                <w:lang w:eastAsia="zh-CN"/>
              </w:rPr>
              <w:t>各项防护</w:t>
            </w:r>
            <w:r>
              <w:rPr>
                <w:rFonts w:hint="eastAsia" w:ascii="宋体" w:hAnsi="宋体" w:eastAsia="宋体" w:cs="宋体"/>
                <w:color w:val="auto"/>
                <w:sz w:val="24"/>
                <w:szCs w:val="24"/>
                <w:highlight w:val="none"/>
              </w:rPr>
              <w:t>措施</w:t>
            </w:r>
            <w:r>
              <w:rPr>
                <w:rFonts w:hint="eastAsia" w:ascii="宋体" w:hAnsi="宋体" w:eastAsia="宋体" w:cs="宋体"/>
                <w:color w:val="auto"/>
                <w:sz w:val="24"/>
                <w:szCs w:val="24"/>
                <w:highlight w:val="none"/>
                <w:lang w:eastAsia="zh-CN"/>
              </w:rPr>
              <w:t>，确保措施到位</w:t>
            </w:r>
            <w:r>
              <w:rPr>
                <w:rFonts w:hint="eastAsia" w:ascii="宋体" w:hAnsi="宋体" w:eastAsia="宋体" w:cs="宋体"/>
                <w:color w:val="auto"/>
                <w:sz w:val="24"/>
                <w:szCs w:val="24"/>
                <w:highlight w:val="none"/>
              </w:rPr>
              <w:t>，灾后</w:t>
            </w:r>
            <w:r>
              <w:rPr>
                <w:rFonts w:hint="eastAsia" w:ascii="宋体" w:hAnsi="宋体" w:eastAsia="宋体" w:cs="宋体"/>
                <w:color w:val="auto"/>
                <w:sz w:val="24"/>
                <w:szCs w:val="24"/>
                <w:highlight w:val="none"/>
                <w:lang w:eastAsia="zh-CN"/>
              </w:rPr>
              <w:t>第一时间</w:t>
            </w:r>
            <w:r>
              <w:rPr>
                <w:rFonts w:hint="eastAsia" w:ascii="宋体" w:hAnsi="宋体" w:eastAsia="宋体" w:cs="宋体"/>
                <w:color w:val="auto"/>
                <w:sz w:val="24"/>
                <w:szCs w:val="24"/>
                <w:highlight w:val="none"/>
              </w:rPr>
              <w:t>做好恢复工作。</w:t>
            </w:r>
          </w:p>
        </w:tc>
      </w:tr>
      <w:tr w14:paraId="580CD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923" w:type="dxa"/>
            <w:gridSpan w:val="2"/>
            <w:noWrap w:val="0"/>
            <w:vAlign w:val="center"/>
          </w:tcPr>
          <w:p w14:paraId="27ECF851">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rPr>
              <w:t>安全生产</w:t>
            </w:r>
          </w:p>
        </w:tc>
        <w:tc>
          <w:tcPr>
            <w:tcW w:w="4106" w:type="dxa"/>
            <w:noWrap w:val="0"/>
            <w:vAlign w:val="center"/>
          </w:tcPr>
          <w:p w14:paraId="48E8CCE2">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做好安全生产和安全文明作业。督促</w:t>
            </w:r>
            <w:r>
              <w:rPr>
                <w:rFonts w:hint="eastAsia" w:ascii="宋体" w:hAnsi="宋体" w:eastAsia="宋体" w:cs="宋体"/>
                <w:color w:val="auto"/>
                <w:sz w:val="24"/>
                <w:szCs w:val="24"/>
                <w:highlight w:val="none"/>
                <w:lang w:eastAsia="zh-CN"/>
              </w:rPr>
              <w:t>原施工单位</w:t>
            </w:r>
            <w:r>
              <w:rPr>
                <w:rFonts w:hint="eastAsia" w:ascii="宋体" w:hAnsi="宋体" w:eastAsia="宋体" w:cs="宋体"/>
                <w:color w:val="auto"/>
                <w:sz w:val="24"/>
                <w:szCs w:val="24"/>
                <w:highlight w:val="none"/>
              </w:rPr>
              <w:t>安全规范操作</w:t>
            </w:r>
            <w:r>
              <w:rPr>
                <w:rFonts w:hint="eastAsia" w:ascii="宋体" w:hAnsi="宋体" w:eastAsia="宋体" w:cs="宋体"/>
                <w:color w:val="auto"/>
                <w:sz w:val="24"/>
                <w:szCs w:val="24"/>
                <w:highlight w:val="none"/>
                <w:lang w:eastAsia="zh-CN"/>
              </w:rPr>
              <w:t>机械设备及安全使用农药化肥、汽油等物资</w:t>
            </w:r>
            <w:r>
              <w:rPr>
                <w:rFonts w:hint="eastAsia" w:ascii="宋体" w:hAnsi="宋体" w:eastAsia="宋体" w:cs="宋体"/>
                <w:color w:val="auto"/>
                <w:sz w:val="24"/>
                <w:szCs w:val="24"/>
                <w:highlight w:val="none"/>
              </w:rPr>
              <w:t>；对于高温等特殊天气，做好作业人员的劳动保障措施。</w:t>
            </w:r>
          </w:p>
        </w:tc>
        <w:tc>
          <w:tcPr>
            <w:tcW w:w="3317" w:type="dxa"/>
            <w:noWrap w:val="0"/>
            <w:vAlign w:val="center"/>
          </w:tcPr>
          <w:p w14:paraId="6E5EF14E">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全年不发生</w:t>
            </w:r>
            <w:r>
              <w:rPr>
                <w:rFonts w:hint="eastAsia" w:ascii="宋体" w:hAnsi="宋体" w:eastAsia="宋体" w:cs="宋体"/>
                <w:color w:val="auto"/>
                <w:sz w:val="24"/>
                <w:szCs w:val="24"/>
                <w:highlight w:val="none"/>
                <w:lang w:eastAsia="zh-CN"/>
              </w:rPr>
              <w:t>各类</w:t>
            </w:r>
            <w:r>
              <w:rPr>
                <w:rFonts w:hint="eastAsia" w:ascii="宋体" w:hAnsi="宋体" w:eastAsia="宋体" w:cs="宋体"/>
                <w:color w:val="auto"/>
                <w:sz w:val="24"/>
                <w:szCs w:val="24"/>
                <w:highlight w:val="none"/>
              </w:rPr>
              <w:t>安全责任事故。</w:t>
            </w:r>
          </w:p>
        </w:tc>
      </w:tr>
      <w:tr w14:paraId="521FF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923" w:type="dxa"/>
            <w:gridSpan w:val="2"/>
            <w:noWrap w:val="0"/>
            <w:vAlign w:val="center"/>
          </w:tcPr>
          <w:p w14:paraId="0D53B28C">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四害消杀</w:t>
            </w:r>
          </w:p>
        </w:tc>
        <w:tc>
          <w:tcPr>
            <w:tcW w:w="4106" w:type="dxa"/>
            <w:noWrap w:val="0"/>
            <w:vAlign w:val="center"/>
          </w:tcPr>
          <w:p w14:paraId="13681F28">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每月不少于</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次，每次防治人员不少于2人，使用的药品“三证”齐全。</w:t>
            </w:r>
          </w:p>
        </w:tc>
        <w:tc>
          <w:tcPr>
            <w:tcW w:w="3317" w:type="dxa"/>
            <w:vMerge w:val="restart"/>
            <w:noWrap w:val="0"/>
            <w:vAlign w:val="center"/>
          </w:tcPr>
          <w:p w14:paraId="00887698">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四害消杀效果达到国家C级标准，符合爱卫部门相关要求；白蚁防治做到不发生伤人事件，不危害园内建筑、植物等，符合爱卫部门相关要求。</w:t>
            </w:r>
          </w:p>
        </w:tc>
      </w:tr>
      <w:tr w14:paraId="62E8D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923" w:type="dxa"/>
            <w:gridSpan w:val="2"/>
            <w:noWrap w:val="0"/>
            <w:vAlign w:val="center"/>
          </w:tcPr>
          <w:p w14:paraId="2DC85840">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白蚁防治</w:t>
            </w:r>
          </w:p>
        </w:tc>
        <w:tc>
          <w:tcPr>
            <w:tcW w:w="4106" w:type="dxa"/>
            <w:noWrap w:val="0"/>
            <w:vAlign w:val="center"/>
          </w:tcPr>
          <w:p w14:paraId="4E961DF6">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及时发现及时处理，使用的药品“三证”齐全。</w:t>
            </w:r>
          </w:p>
        </w:tc>
        <w:tc>
          <w:tcPr>
            <w:tcW w:w="3317" w:type="dxa"/>
            <w:vMerge w:val="continue"/>
            <w:noWrap w:val="0"/>
            <w:vAlign w:val="center"/>
          </w:tcPr>
          <w:p w14:paraId="14AB4043">
            <w:pPr>
              <w:rPr>
                <w:rFonts w:hint="eastAsia" w:ascii="宋体" w:hAnsi="宋体" w:eastAsia="宋体" w:cs="宋体"/>
                <w:color w:val="auto"/>
                <w:sz w:val="24"/>
                <w:szCs w:val="24"/>
                <w:highlight w:val="none"/>
              </w:rPr>
            </w:pPr>
          </w:p>
        </w:tc>
      </w:tr>
      <w:tr w14:paraId="7C946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923" w:type="dxa"/>
            <w:gridSpan w:val="2"/>
            <w:noWrap w:val="0"/>
            <w:vAlign w:val="center"/>
          </w:tcPr>
          <w:p w14:paraId="242220B5">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val="0"/>
                <w:color w:val="auto"/>
                <w:kern w:val="0"/>
                <w:sz w:val="24"/>
                <w:szCs w:val="24"/>
                <w:highlight w:val="none"/>
                <w:lang w:val="en-US" w:eastAsia="zh-CN" w:bidi="ar-SA"/>
              </w:rPr>
            </w:pPr>
            <w:r>
              <w:rPr>
                <w:rFonts w:hint="eastAsia" w:ascii="宋体" w:hAnsi="宋体" w:eastAsia="宋体" w:cs="宋体"/>
                <w:b/>
                <w:bCs w:val="0"/>
                <w:color w:val="auto"/>
                <w:kern w:val="0"/>
                <w:sz w:val="24"/>
                <w:szCs w:val="24"/>
                <w:highlight w:val="none"/>
                <w:lang w:val="en-US" w:eastAsia="zh-CN" w:bidi="ar-SA"/>
              </w:rPr>
              <w:t>外来入侵</w:t>
            </w:r>
          </w:p>
          <w:p w14:paraId="06B4F0A8">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val="0"/>
                <w:color w:val="auto"/>
                <w:kern w:val="0"/>
                <w:sz w:val="24"/>
                <w:szCs w:val="24"/>
                <w:highlight w:val="none"/>
                <w:lang w:val="en-US" w:eastAsia="zh-CN" w:bidi="ar-SA"/>
              </w:rPr>
              <w:t>物种防范</w:t>
            </w:r>
          </w:p>
        </w:tc>
        <w:tc>
          <w:tcPr>
            <w:tcW w:w="4106" w:type="dxa"/>
            <w:noWrap w:val="0"/>
            <w:vAlign w:val="center"/>
          </w:tcPr>
          <w:p w14:paraId="3B1E63E9">
            <w:pP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根据《重点管理外来入侵物种名录》及时进行防范，发现外来入侵物种及时上报处置。</w:t>
            </w:r>
          </w:p>
        </w:tc>
        <w:tc>
          <w:tcPr>
            <w:tcW w:w="3317" w:type="dxa"/>
            <w:noWrap w:val="0"/>
            <w:vAlign w:val="center"/>
          </w:tcPr>
          <w:p w14:paraId="4029D8EA">
            <w:pP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及时发现，及时上报处置。</w:t>
            </w:r>
          </w:p>
        </w:tc>
      </w:tr>
      <w:tr w14:paraId="438E2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923" w:type="dxa"/>
            <w:gridSpan w:val="2"/>
            <w:noWrap w:val="0"/>
            <w:vAlign w:val="center"/>
          </w:tcPr>
          <w:p w14:paraId="1E03A0A9">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节日氛围营造</w:t>
            </w:r>
          </w:p>
        </w:tc>
        <w:tc>
          <w:tcPr>
            <w:tcW w:w="4106" w:type="dxa"/>
            <w:noWrap w:val="0"/>
            <w:vAlign w:val="center"/>
          </w:tcPr>
          <w:p w14:paraId="22EC70B4">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春节、国庆等节假日，在采购人指定的范围进行相关的花卉布置，并根据要求悬挂国旗、灯笼等。</w:t>
            </w:r>
            <w:r>
              <w:rPr>
                <w:rFonts w:hint="eastAsia" w:ascii="宋体" w:hAnsi="宋体" w:eastAsia="宋体" w:cs="宋体"/>
                <w:color w:val="auto"/>
                <w:sz w:val="24"/>
                <w:szCs w:val="24"/>
                <w:highlight w:val="none"/>
              </w:rPr>
              <w:t>节前1个月完成方案设计，节前</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天完成布置</w:t>
            </w:r>
            <w:r>
              <w:rPr>
                <w:rFonts w:hint="eastAsia" w:ascii="宋体" w:hAnsi="宋体" w:eastAsia="宋体" w:cs="宋体"/>
                <w:color w:val="auto"/>
                <w:sz w:val="24"/>
                <w:szCs w:val="24"/>
                <w:highlight w:val="none"/>
                <w:lang w:eastAsia="zh-CN"/>
              </w:rPr>
              <w:t>。</w:t>
            </w:r>
          </w:p>
        </w:tc>
        <w:tc>
          <w:tcPr>
            <w:tcW w:w="3317" w:type="dxa"/>
            <w:noWrap w:val="0"/>
            <w:vAlign w:val="center"/>
          </w:tcPr>
          <w:p w14:paraId="578F4474">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达到高标准景观效果。</w:t>
            </w:r>
          </w:p>
        </w:tc>
      </w:tr>
      <w:tr w14:paraId="34547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923" w:type="dxa"/>
            <w:gridSpan w:val="2"/>
            <w:noWrap w:val="0"/>
            <w:vAlign w:val="center"/>
          </w:tcPr>
          <w:p w14:paraId="514E2B10">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台账管理</w:t>
            </w:r>
          </w:p>
        </w:tc>
        <w:tc>
          <w:tcPr>
            <w:tcW w:w="4106" w:type="dxa"/>
            <w:noWrap w:val="0"/>
            <w:vAlign w:val="center"/>
          </w:tcPr>
          <w:p w14:paraId="6C29DF8E">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按时修订、完善、记录、整理、上报各类管理台账</w:t>
            </w:r>
            <w:r>
              <w:rPr>
                <w:rFonts w:hint="eastAsia" w:ascii="宋体" w:hAnsi="宋体" w:eastAsia="宋体" w:cs="宋体"/>
                <w:color w:val="auto"/>
                <w:sz w:val="24"/>
                <w:szCs w:val="24"/>
                <w:highlight w:val="none"/>
                <w:lang w:eastAsia="zh-CN"/>
              </w:rPr>
              <w:t>。</w:t>
            </w:r>
          </w:p>
        </w:tc>
        <w:tc>
          <w:tcPr>
            <w:tcW w:w="3317" w:type="dxa"/>
            <w:noWrap w:val="0"/>
            <w:vAlign w:val="center"/>
          </w:tcPr>
          <w:p w14:paraId="1F06C22E">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确保</w:t>
            </w:r>
            <w:r>
              <w:rPr>
                <w:rFonts w:hint="eastAsia" w:ascii="宋体" w:hAnsi="宋体" w:eastAsia="宋体" w:cs="宋体"/>
                <w:color w:val="auto"/>
                <w:sz w:val="24"/>
                <w:szCs w:val="24"/>
                <w:highlight w:val="none"/>
                <w:lang w:eastAsia="zh-CN"/>
              </w:rPr>
              <w:t>根据采购人要求，</w:t>
            </w:r>
            <w:r>
              <w:rPr>
                <w:rFonts w:hint="eastAsia" w:ascii="宋体" w:hAnsi="宋体" w:eastAsia="宋体" w:cs="宋体"/>
                <w:color w:val="auto"/>
                <w:sz w:val="24"/>
                <w:szCs w:val="24"/>
                <w:highlight w:val="none"/>
              </w:rPr>
              <w:t>按时修订、完善、记录、整理、上报各类管理台账</w:t>
            </w:r>
            <w:r>
              <w:rPr>
                <w:rFonts w:hint="eastAsia" w:ascii="宋体" w:hAnsi="宋体" w:eastAsia="宋体" w:cs="宋体"/>
                <w:color w:val="auto"/>
                <w:sz w:val="24"/>
                <w:szCs w:val="24"/>
                <w:highlight w:val="none"/>
                <w:lang w:eastAsia="zh-CN"/>
              </w:rPr>
              <w:t>。</w:t>
            </w:r>
          </w:p>
        </w:tc>
      </w:tr>
    </w:tbl>
    <w:p w14:paraId="53C325CC">
      <w:pPr>
        <w:widowControl/>
        <w:tabs>
          <w:tab w:val="left" w:pos="851"/>
        </w:tabs>
        <w:adjustRightInd/>
        <w:spacing w:line="360" w:lineRule="auto"/>
        <w:ind w:firstLine="480" w:firstLineChars="200"/>
        <w:rPr>
          <w:rFonts w:hint="default"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（三）设施量清单及维护要求</w:t>
      </w:r>
    </w:p>
    <w:p w14:paraId="520B43FD">
      <w:pPr>
        <w:widowControl/>
        <w:tabs>
          <w:tab w:val="left" w:pos="851"/>
        </w:tabs>
        <w:adjustRightInd/>
        <w:spacing w:line="360" w:lineRule="auto"/>
        <w:ind w:firstLine="480" w:firstLineChars="200"/>
        <w:rPr>
          <w:rFonts w:hint="default"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（1）公共厕所</w:t>
      </w:r>
    </w:p>
    <w:tbl>
      <w:tblPr>
        <w:tblStyle w:val="62"/>
        <w:tblW w:w="96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428"/>
        <w:gridCol w:w="1604"/>
        <w:gridCol w:w="787"/>
        <w:gridCol w:w="763"/>
        <w:gridCol w:w="437"/>
        <w:gridCol w:w="463"/>
        <w:gridCol w:w="819"/>
        <w:gridCol w:w="411"/>
        <w:gridCol w:w="666"/>
        <w:gridCol w:w="668"/>
        <w:gridCol w:w="709"/>
        <w:gridCol w:w="573"/>
        <w:gridCol w:w="623"/>
      </w:tblGrid>
      <w:tr w14:paraId="54194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75" w:type="dxa"/>
            <w:vMerge w:val="restart"/>
            <w:vAlign w:val="center"/>
          </w:tcPr>
          <w:p w14:paraId="4C6342D1">
            <w:pPr>
              <w:widowControl w:val="0"/>
              <w:ind w:firstLine="0" w:firstLineChars="0"/>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公园名称</w:t>
            </w:r>
          </w:p>
        </w:tc>
        <w:tc>
          <w:tcPr>
            <w:tcW w:w="428" w:type="dxa"/>
            <w:vMerge w:val="restart"/>
            <w:vAlign w:val="center"/>
          </w:tcPr>
          <w:p w14:paraId="0A4A22EC">
            <w:pPr>
              <w:widowControl w:val="0"/>
              <w:ind w:firstLine="0" w:firstLineChars="0"/>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序号</w:t>
            </w:r>
          </w:p>
        </w:tc>
        <w:tc>
          <w:tcPr>
            <w:tcW w:w="1604" w:type="dxa"/>
            <w:vMerge w:val="restart"/>
            <w:vAlign w:val="center"/>
          </w:tcPr>
          <w:p w14:paraId="70CB416E">
            <w:pPr>
              <w:widowControl w:val="0"/>
              <w:ind w:firstLine="0" w:firstLineChars="0"/>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厕所名称</w:t>
            </w:r>
          </w:p>
        </w:tc>
        <w:tc>
          <w:tcPr>
            <w:tcW w:w="787" w:type="dxa"/>
            <w:vMerge w:val="restart"/>
            <w:vAlign w:val="center"/>
          </w:tcPr>
          <w:p w14:paraId="06468DFC">
            <w:pPr>
              <w:widowControl w:val="0"/>
              <w:ind w:firstLine="0" w:firstLineChars="0"/>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厕所总面积</w:t>
            </w:r>
          </w:p>
          <w:p w14:paraId="470F5AF4">
            <w:pPr>
              <w:widowControl w:val="0"/>
              <w:ind w:firstLine="0" w:firstLineChars="0"/>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w:t>
            </w:r>
          </w:p>
        </w:tc>
        <w:tc>
          <w:tcPr>
            <w:tcW w:w="5509" w:type="dxa"/>
            <w:gridSpan w:val="9"/>
            <w:vAlign w:val="center"/>
          </w:tcPr>
          <w:p w14:paraId="65AE3995">
            <w:pPr>
              <w:widowControl w:val="0"/>
              <w:ind w:firstLine="0" w:firstLineChars="0"/>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其中</w:t>
            </w:r>
          </w:p>
        </w:tc>
        <w:tc>
          <w:tcPr>
            <w:tcW w:w="623" w:type="dxa"/>
            <w:vMerge w:val="restart"/>
            <w:vAlign w:val="center"/>
          </w:tcPr>
          <w:p w14:paraId="0C900CBD">
            <w:pPr>
              <w:widowControl w:val="0"/>
              <w:ind w:firstLine="0" w:firstLineChars="0"/>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总蹲位数</w:t>
            </w:r>
          </w:p>
        </w:tc>
      </w:tr>
      <w:tr w14:paraId="4F1D3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675" w:type="dxa"/>
            <w:vMerge w:val="continue"/>
            <w:vAlign w:val="center"/>
          </w:tcPr>
          <w:p w14:paraId="4814389F">
            <w:pPr>
              <w:widowControl w:val="0"/>
              <w:ind w:firstLine="0" w:firstLineChars="0"/>
              <w:jc w:val="center"/>
              <w:rPr>
                <w:rFonts w:hint="eastAsia" w:ascii="宋体" w:hAnsi="宋体" w:eastAsia="宋体" w:cs="宋体"/>
                <w:b/>
                <w:bCs/>
                <w:color w:val="auto"/>
                <w:kern w:val="2"/>
                <w:sz w:val="21"/>
                <w:szCs w:val="21"/>
                <w:highlight w:val="none"/>
                <w:lang w:val="en-US" w:eastAsia="zh-CN" w:bidi="ar-SA"/>
              </w:rPr>
            </w:pPr>
          </w:p>
        </w:tc>
        <w:tc>
          <w:tcPr>
            <w:tcW w:w="428" w:type="dxa"/>
            <w:vMerge w:val="continue"/>
            <w:vAlign w:val="center"/>
          </w:tcPr>
          <w:p w14:paraId="5ECEC51E">
            <w:pPr>
              <w:widowControl w:val="0"/>
              <w:ind w:firstLine="0" w:firstLineChars="0"/>
              <w:jc w:val="center"/>
              <w:rPr>
                <w:rFonts w:hint="eastAsia" w:ascii="宋体" w:hAnsi="宋体" w:eastAsia="宋体" w:cs="宋体"/>
                <w:b/>
                <w:bCs/>
                <w:color w:val="auto"/>
                <w:kern w:val="2"/>
                <w:sz w:val="21"/>
                <w:szCs w:val="21"/>
                <w:highlight w:val="none"/>
                <w:lang w:val="en-US" w:eastAsia="zh-CN" w:bidi="ar-SA"/>
              </w:rPr>
            </w:pPr>
          </w:p>
        </w:tc>
        <w:tc>
          <w:tcPr>
            <w:tcW w:w="1604" w:type="dxa"/>
            <w:vMerge w:val="continue"/>
            <w:vAlign w:val="center"/>
          </w:tcPr>
          <w:p w14:paraId="2F5EB38E">
            <w:pPr>
              <w:widowControl w:val="0"/>
              <w:ind w:firstLine="0" w:firstLineChars="0"/>
              <w:jc w:val="center"/>
              <w:rPr>
                <w:rFonts w:hint="eastAsia" w:ascii="宋体" w:hAnsi="宋体" w:eastAsia="宋体" w:cs="宋体"/>
                <w:b/>
                <w:bCs/>
                <w:color w:val="auto"/>
                <w:kern w:val="2"/>
                <w:sz w:val="21"/>
                <w:szCs w:val="21"/>
                <w:highlight w:val="none"/>
                <w:lang w:val="en-US" w:eastAsia="zh-CN" w:bidi="ar-SA"/>
              </w:rPr>
            </w:pPr>
          </w:p>
        </w:tc>
        <w:tc>
          <w:tcPr>
            <w:tcW w:w="787" w:type="dxa"/>
            <w:vMerge w:val="continue"/>
            <w:vAlign w:val="center"/>
          </w:tcPr>
          <w:p w14:paraId="519CF130">
            <w:pPr>
              <w:widowControl w:val="0"/>
              <w:ind w:firstLine="0" w:firstLineChars="0"/>
              <w:jc w:val="center"/>
              <w:rPr>
                <w:rFonts w:hint="eastAsia" w:ascii="宋体" w:hAnsi="宋体" w:eastAsia="宋体" w:cs="宋体"/>
                <w:b/>
                <w:bCs/>
                <w:color w:val="auto"/>
                <w:kern w:val="2"/>
                <w:sz w:val="21"/>
                <w:szCs w:val="21"/>
                <w:highlight w:val="none"/>
                <w:lang w:val="en-US" w:eastAsia="zh-CN" w:bidi="ar-SA"/>
              </w:rPr>
            </w:pPr>
          </w:p>
        </w:tc>
        <w:tc>
          <w:tcPr>
            <w:tcW w:w="1663" w:type="dxa"/>
            <w:gridSpan w:val="3"/>
            <w:vAlign w:val="center"/>
          </w:tcPr>
          <w:p w14:paraId="21F1766B">
            <w:pPr>
              <w:widowControl w:val="0"/>
              <w:ind w:firstLine="0" w:firstLineChars="0"/>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男厕</w:t>
            </w:r>
          </w:p>
        </w:tc>
        <w:tc>
          <w:tcPr>
            <w:tcW w:w="1230" w:type="dxa"/>
            <w:gridSpan w:val="2"/>
            <w:vAlign w:val="center"/>
          </w:tcPr>
          <w:p w14:paraId="69E5C624">
            <w:pPr>
              <w:widowControl w:val="0"/>
              <w:ind w:firstLine="0" w:firstLineChars="0"/>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女厕</w:t>
            </w:r>
          </w:p>
        </w:tc>
        <w:tc>
          <w:tcPr>
            <w:tcW w:w="666" w:type="dxa"/>
            <w:vMerge w:val="restart"/>
            <w:vAlign w:val="center"/>
          </w:tcPr>
          <w:p w14:paraId="0A255D0E">
            <w:pPr>
              <w:widowControl w:val="0"/>
              <w:ind w:firstLine="0" w:firstLineChars="0"/>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工具房面积</w:t>
            </w:r>
          </w:p>
          <w:p w14:paraId="16CA3742">
            <w:pPr>
              <w:widowControl w:val="0"/>
              <w:ind w:firstLine="0" w:firstLineChars="0"/>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w:t>
            </w:r>
          </w:p>
        </w:tc>
        <w:tc>
          <w:tcPr>
            <w:tcW w:w="668" w:type="dxa"/>
            <w:vMerge w:val="restart"/>
            <w:vAlign w:val="center"/>
          </w:tcPr>
          <w:p w14:paraId="53FF3856">
            <w:pPr>
              <w:widowControl w:val="0"/>
              <w:ind w:firstLine="0" w:firstLineChars="0"/>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母婴室面积（㎡）</w:t>
            </w:r>
          </w:p>
        </w:tc>
        <w:tc>
          <w:tcPr>
            <w:tcW w:w="709" w:type="dxa"/>
            <w:vMerge w:val="restart"/>
            <w:vAlign w:val="center"/>
          </w:tcPr>
          <w:p w14:paraId="5FCEAECB">
            <w:pPr>
              <w:widowControl w:val="0"/>
              <w:ind w:firstLine="0" w:firstLineChars="0"/>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第三卫生间（㎡）</w:t>
            </w:r>
          </w:p>
        </w:tc>
        <w:tc>
          <w:tcPr>
            <w:tcW w:w="573" w:type="dxa"/>
            <w:vMerge w:val="restart"/>
            <w:vAlign w:val="center"/>
          </w:tcPr>
          <w:p w14:paraId="6E47F6B4">
            <w:pPr>
              <w:widowControl w:val="0"/>
              <w:ind w:firstLine="0" w:firstLineChars="0"/>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残疾人厕所（㎡）</w:t>
            </w:r>
          </w:p>
        </w:tc>
        <w:tc>
          <w:tcPr>
            <w:tcW w:w="623" w:type="dxa"/>
            <w:vMerge w:val="continue"/>
            <w:vAlign w:val="center"/>
          </w:tcPr>
          <w:p w14:paraId="13D5DF93">
            <w:pPr>
              <w:widowControl w:val="0"/>
              <w:ind w:firstLine="0" w:firstLineChars="0"/>
              <w:jc w:val="center"/>
              <w:rPr>
                <w:rFonts w:hint="eastAsia" w:ascii="宋体" w:hAnsi="宋体" w:eastAsia="宋体" w:cs="宋体"/>
                <w:b/>
                <w:bCs/>
                <w:color w:val="auto"/>
                <w:kern w:val="2"/>
                <w:sz w:val="21"/>
                <w:szCs w:val="21"/>
                <w:highlight w:val="none"/>
                <w:lang w:val="en-US" w:eastAsia="zh-CN" w:bidi="ar-SA"/>
              </w:rPr>
            </w:pPr>
          </w:p>
        </w:tc>
      </w:tr>
      <w:tr w14:paraId="1B4F9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2" w:hRule="atLeast"/>
          <w:jc w:val="center"/>
        </w:trPr>
        <w:tc>
          <w:tcPr>
            <w:tcW w:w="675" w:type="dxa"/>
            <w:vMerge w:val="continue"/>
            <w:vAlign w:val="center"/>
          </w:tcPr>
          <w:p w14:paraId="23930D5D">
            <w:pPr>
              <w:widowControl w:val="0"/>
              <w:ind w:firstLine="0" w:firstLineChars="0"/>
              <w:jc w:val="center"/>
              <w:rPr>
                <w:rFonts w:hint="eastAsia" w:ascii="宋体" w:hAnsi="宋体" w:eastAsia="宋体" w:cs="宋体"/>
                <w:b/>
                <w:bCs/>
                <w:color w:val="auto"/>
                <w:kern w:val="2"/>
                <w:sz w:val="21"/>
                <w:szCs w:val="21"/>
                <w:highlight w:val="none"/>
                <w:lang w:val="en-US" w:eastAsia="zh-CN" w:bidi="ar-SA"/>
              </w:rPr>
            </w:pPr>
          </w:p>
        </w:tc>
        <w:tc>
          <w:tcPr>
            <w:tcW w:w="428" w:type="dxa"/>
            <w:vMerge w:val="continue"/>
            <w:vAlign w:val="center"/>
          </w:tcPr>
          <w:p w14:paraId="7DA5FB82">
            <w:pPr>
              <w:widowControl w:val="0"/>
              <w:ind w:firstLine="0" w:firstLineChars="0"/>
              <w:jc w:val="center"/>
              <w:rPr>
                <w:rFonts w:hint="eastAsia" w:ascii="宋体" w:hAnsi="宋体" w:eastAsia="宋体" w:cs="宋体"/>
                <w:b/>
                <w:bCs/>
                <w:color w:val="auto"/>
                <w:kern w:val="2"/>
                <w:sz w:val="21"/>
                <w:szCs w:val="21"/>
                <w:highlight w:val="none"/>
                <w:lang w:val="en-US" w:eastAsia="zh-CN" w:bidi="ar-SA"/>
              </w:rPr>
            </w:pPr>
          </w:p>
        </w:tc>
        <w:tc>
          <w:tcPr>
            <w:tcW w:w="1604" w:type="dxa"/>
            <w:vMerge w:val="continue"/>
            <w:vAlign w:val="center"/>
          </w:tcPr>
          <w:p w14:paraId="1977BC5D">
            <w:pPr>
              <w:widowControl w:val="0"/>
              <w:ind w:firstLine="0" w:firstLineChars="0"/>
              <w:jc w:val="center"/>
              <w:rPr>
                <w:rFonts w:hint="eastAsia" w:ascii="宋体" w:hAnsi="宋体" w:eastAsia="宋体" w:cs="宋体"/>
                <w:b/>
                <w:bCs/>
                <w:color w:val="auto"/>
                <w:kern w:val="2"/>
                <w:sz w:val="21"/>
                <w:szCs w:val="21"/>
                <w:highlight w:val="none"/>
                <w:lang w:val="en-US" w:eastAsia="zh-CN" w:bidi="ar-SA"/>
              </w:rPr>
            </w:pPr>
          </w:p>
        </w:tc>
        <w:tc>
          <w:tcPr>
            <w:tcW w:w="787" w:type="dxa"/>
            <w:vMerge w:val="continue"/>
            <w:vAlign w:val="center"/>
          </w:tcPr>
          <w:p w14:paraId="3B0097E0">
            <w:pPr>
              <w:widowControl w:val="0"/>
              <w:ind w:firstLine="0" w:firstLineChars="0"/>
              <w:jc w:val="center"/>
              <w:rPr>
                <w:rFonts w:hint="eastAsia" w:ascii="宋体" w:hAnsi="宋体" w:eastAsia="宋体" w:cs="宋体"/>
                <w:b/>
                <w:bCs/>
                <w:color w:val="auto"/>
                <w:kern w:val="2"/>
                <w:sz w:val="21"/>
                <w:szCs w:val="21"/>
                <w:highlight w:val="none"/>
                <w:lang w:val="en-US" w:eastAsia="zh-CN" w:bidi="ar-SA"/>
              </w:rPr>
            </w:pPr>
          </w:p>
        </w:tc>
        <w:tc>
          <w:tcPr>
            <w:tcW w:w="763" w:type="dxa"/>
            <w:vAlign w:val="center"/>
          </w:tcPr>
          <w:p w14:paraId="30FEF061">
            <w:pPr>
              <w:widowControl w:val="0"/>
              <w:ind w:firstLine="0" w:firstLineChars="0"/>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面积（㎡）</w:t>
            </w:r>
          </w:p>
        </w:tc>
        <w:tc>
          <w:tcPr>
            <w:tcW w:w="437" w:type="dxa"/>
            <w:vAlign w:val="center"/>
          </w:tcPr>
          <w:p w14:paraId="6E35D824">
            <w:pPr>
              <w:widowControl w:val="0"/>
              <w:ind w:firstLine="0" w:firstLineChars="0"/>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小便斗（个）</w:t>
            </w:r>
          </w:p>
        </w:tc>
        <w:tc>
          <w:tcPr>
            <w:tcW w:w="463" w:type="dxa"/>
            <w:vAlign w:val="center"/>
          </w:tcPr>
          <w:p w14:paraId="68A469D9">
            <w:pPr>
              <w:widowControl w:val="0"/>
              <w:ind w:firstLine="0" w:firstLineChars="0"/>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蹲位（个）</w:t>
            </w:r>
          </w:p>
        </w:tc>
        <w:tc>
          <w:tcPr>
            <w:tcW w:w="819" w:type="dxa"/>
            <w:vAlign w:val="center"/>
          </w:tcPr>
          <w:p w14:paraId="64E3ECE6">
            <w:pPr>
              <w:widowControl w:val="0"/>
              <w:ind w:firstLine="0" w:firstLineChars="0"/>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面积（㎡）</w:t>
            </w:r>
          </w:p>
        </w:tc>
        <w:tc>
          <w:tcPr>
            <w:tcW w:w="411" w:type="dxa"/>
            <w:vAlign w:val="center"/>
          </w:tcPr>
          <w:p w14:paraId="4089BEEA">
            <w:pPr>
              <w:widowControl w:val="0"/>
              <w:ind w:firstLine="0" w:firstLineChars="0"/>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蹲位</w:t>
            </w:r>
          </w:p>
          <w:p w14:paraId="4E6DA1F0">
            <w:pPr>
              <w:widowControl w:val="0"/>
              <w:ind w:firstLine="0" w:firstLineChars="0"/>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（个）</w:t>
            </w:r>
          </w:p>
        </w:tc>
        <w:tc>
          <w:tcPr>
            <w:tcW w:w="666" w:type="dxa"/>
            <w:vMerge w:val="continue"/>
            <w:vAlign w:val="center"/>
          </w:tcPr>
          <w:p w14:paraId="4C5FB8C3">
            <w:pPr>
              <w:widowControl w:val="0"/>
              <w:ind w:firstLine="0" w:firstLineChars="0"/>
              <w:jc w:val="center"/>
              <w:rPr>
                <w:rFonts w:hint="eastAsia" w:ascii="宋体" w:hAnsi="宋体" w:eastAsia="宋体" w:cs="宋体"/>
                <w:color w:val="auto"/>
                <w:kern w:val="2"/>
                <w:sz w:val="21"/>
                <w:szCs w:val="21"/>
                <w:highlight w:val="none"/>
                <w:lang w:val="en-US" w:eastAsia="zh-CN" w:bidi="ar-SA"/>
              </w:rPr>
            </w:pPr>
          </w:p>
        </w:tc>
        <w:tc>
          <w:tcPr>
            <w:tcW w:w="668" w:type="dxa"/>
            <w:vMerge w:val="continue"/>
            <w:vAlign w:val="center"/>
          </w:tcPr>
          <w:p w14:paraId="32AF8FB5">
            <w:pPr>
              <w:widowControl w:val="0"/>
              <w:ind w:firstLine="0" w:firstLineChars="0"/>
              <w:jc w:val="center"/>
              <w:rPr>
                <w:rFonts w:hint="eastAsia" w:ascii="宋体" w:hAnsi="宋体" w:eastAsia="宋体" w:cs="宋体"/>
                <w:color w:val="auto"/>
                <w:kern w:val="2"/>
                <w:sz w:val="21"/>
                <w:szCs w:val="21"/>
                <w:highlight w:val="none"/>
                <w:lang w:val="en-US" w:eastAsia="zh-CN" w:bidi="ar-SA"/>
              </w:rPr>
            </w:pPr>
          </w:p>
        </w:tc>
        <w:tc>
          <w:tcPr>
            <w:tcW w:w="709" w:type="dxa"/>
            <w:vMerge w:val="continue"/>
            <w:vAlign w:val="center"/>
          </w:tcPr>
          <w:p w14:paraId="26286F8E">
            <w:pPr>
              <w:widowControl w:val="0"/>
              <w:ind w:firstLine="0" w:firstLineChars="0"/>
              <w:jc w:val="center"/>
              <w:rPr>
                <w:rFonts w:hint="eastAsia" w:ascii="宋体" w:hAnsi="宋体" w:eastAsia="宋体" w:cs="宋体"/>
                <w:color w:val="auto"/>
                <w:kern w:val="2"/>
                <w:sz w:val="21"/>
                <w:szCs w:val="21"/>
                <w:highlight w:val="none"/>
                <w:lang w:val="en-US" w:eastAsia="zh-CN" w:bidi="ar-SA"/>
              </w:rPr>
            </w:pPr>
          </w:p>
        </w:tc>
        <w:tc>
          <w:tcPr>
            <w:tcW w:w="573" w:type="dxa"/>
            <w:vMerge w:val="continue"/>
            <w:vAlign w:val="center"/>
          </w:tcPr>
          <w:p w14:paraId="5A594AEC">
            <w:pPr>
              <w:widowControl w:val="0"/>
              <w:ind w:firstLine="0" w:firstLineChars="0"/>
              <w:jc w:val="center"/>
              <w:rPr>
                <w:rFonts w:hint="eastAsia" w:ascii="宋体" w:hAnsi="宋体" w:eastAsia="宋体" w:cs="宋体"/>
                <w:color w:val="auto"/>
                <w:kern w:val="2"/>
                <w:sz w:val="21"/>
                <w:szCs w:val="21"/>
                <w:highlight w:val="none"/>
                <w:lang w:val="en-US" w:eastAsia="zh-CN" w:bidi="ar-SA"/>
              </w:rPr>
            </w:pPr>
          </w:p>
        </w:tc>
        <w:tc>
          <w:tcPr>
            <w:tcW w:w="623" w:type="dxa"/>
            <w:vMerge w:val="continue"/>
            <w:vAlign w:val="center"/>
          </w:tcPr>
          <w:p w14:paraId="09F0FAEA">
            <w:pPr>
              <w:widowControl w:val="0"/>
              <w:ind w:firstLine="0" w:firstLineChars="0"/>
              <w:jc w:val="center"/>
              <w:rPr>
                <w:rFonts w:hint="eastAsia" w:ascii="宋体" w:hAnsi="宋体" w:eastAsia="宋体" w:cs="宋体"/>
                <w:color w:val="auto"/>
                <w:kern w:val="2"/>
                <w:sz w:val="21"/>
                <w:szCs w:val="21"/>
                <w:highlight w:val="none"/>
                <w:lang w:val="en-US" w:eastAsia="zh-CN" w:bidi="ar-SA"/>
              </w:rPr>
            </w:pPr>
          </w:p>
        </w:tc>
      </w:tr>
      <w:tr w14:paraId="32E45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675" w:type="dxa"/>
            <w:vMerge w:val="restart"/>
            <w:vAlign w:val="center"/>
          </w:tcPr>
          <w:p w14:paraId="3CC817EE">
            <w:pPr>
              <w:widowControl w:val="0"/>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日湖公园</w:t>
            </w:r>
          </w:p>
        </w:tc>
        <w:tc>
          <w:tcPr>
            <w:tcW w:w="428" w:type="dxa"/>
            <w:vAlign w:val="center"/>
          </w:tcPr>
          <w:p w14:paraId="5062994D">
            <w:pPr>
              <w:widowControl w:val="0"/>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w:t>
            </w:r>
          </w:p>
        </w:tc>
        <w:tc>
          <w:tcPr>
            <w:tcW w:w="1604" w:type="dxa"/>
            <w:vAlign w:val="center"/>
          </w:tcPr>
          <w:p w14:paraId="3A3CED8D">
            <w:pPr>
              <w:widowControl w:val="0"/>
              <w:spacing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广场厕所</w:t>
            </w:r>
          </w:p>
        </w:tc>
        <w:tc>
          <w:tcPr>
            <w:tcW w:w="787" w:type="dxa"/>
            <w:vAlign w:val="center"/>
          </w:tcPr>
          <w:p w14:paraId="5E354474">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216.7</w:t>
            </w:r>
          </w:p>
        </w:tc>
        <w:tc>
          <w:tcPr>
            <w:tcW w:w="763" w:type="dxa"/>
            <w:vAlign w:val="center"/>
          </w:tcPr>
          <w:p w14:paraId="55EB7415">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15.91</w:t>
            </w:r>
          </w:p>
        </w:tc>
        <w:tc>
          <w:tcPr>
            <w:tcW w:w="437" w:type="dxa"/>
            <w:vAlign w:val="center"/>
          </w:tcPr>
          <w:p w14:paraId="23DD8F75">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463" w:type="dxa"/>
            <w:vAlign w:val="center"/>
          </w:tcPr>
          <w:p w14:paraId="38B277E9">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819" w:type="dxa"/>
            <w:vAlign w:val="center"/>
          </w:tcPr>
          <w:p w14:paraId="3594FE30">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22.75</w:t>
            </w:r>
          </w:p>
        </w:tc>
        <w:tc>
          <w:tcPr>
            <w:tcW w:w="411" w:type="dxa"/>
            <w:vAlign w:val="center"/>
          </w:tcPr>
          <w:p w14:paraId="0F9CD91F">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666" w:type="dxa"/>
            <w:vAlign w:val="center"/>
          </w:tcPr>
          <w:p w14:paraId="0D4A9921">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3.06</w:t>
            </w:r>
          </w:p>
        </w:tc>
        <w:tc>
          <w:tcPr>
            <w:tcW w:w="668" w:type="dxa"/>
            <w:vAlign w:val="center"/>
          </w:tcPr>
          <w:p w14:paraId="47B9B01E">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5.98</w:t>
            </w:r>
          </w:p>
        </w:tc>
        <w:tc>
          <w:tcPr>
            <w:tcW w:w="709" w:type="dxa"/>
            <w:vAlign w:val="center"/>
          </w:tcPr>
          <w:p w14:paraId="28D633C5">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5.98</w:t>
            </w:r>
          </w:p>
        </w:tc>
        <w:tc>
          <w:tcPr>
            <w:tcW w:w="573" w:type="dxa"/>
            <w:vAlign w:val="center"/>
          </w:tcPr>
          <w:p w14:paraId="1BE1605C">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623" w:type="dxa"/>
            <w:vAlign w:val="center"/>
          </w:tcPr>
          <w:p w14:paraId="59E787B3">
            <w:pPr>
              <w:widowControl/>
              <w:adjustRightInd/>
              <w:spacing w:line="360" w:lineRule="auto"/>
              <w:ind w:firstLine="0" w:firstLine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16</w:t>
            </w:r>
          </w:p>
        </w:tc>
      </w:tr>
      <w:tr w14:paraId="39559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675" w:type="dxa"/>
            <w:vMerge w:val="continue"/>
            <w:vAlign w:val="center"/>
          </w:tcPr>
          <w:p w14:paraId="1BC1B6C5">
            <w:pPr>
              <w:widowControl w:val="0"/>
              <w:ind w:firstLine="0" w:firstLineChars="0"/>
              <w:jc w:val="center"/>
              <w:rPr>
                <w:rFonts w:hint="eastAsia" w:ascii="宋体" w:hAnsi="宋体" w:eastAsia="宋体" w:cs="宋体"/>
                <w:color w:val="auto"/>
                <w:kern w:val="2"/>
                <w:sz w:val="21"/>
                <w:szCs w:val="21"/>
                <w:highlight w:val="none"/>
                <w:lang w:val="en-US" w:eastAsia="zh-CN" w:bidi="ar-SA"/>
              </w:rPr>
            </w:pPr>
          </w:p>
        </w:tc>
        <w:tc>
          <w:tcPr>
            <w:tcW w:w="428" w:type="dxa"/>
            <w:vAlign w:val="center"/>
          </w:tcPr>
          <w:p w14:paraId="2A733BAE">
            <w:pPr>
              <w:widowControl w:val="0"/>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w:t>
            </w:r>
          </w:p>
        </w:tc>
        <w:tc>
          <w:tcPr>
            <w:tcW w:w="1604" w:type="dxa"/>
            <w:vAlign w:val="center"/>
          </w:tcPr>
          <w:p w14:paraId="05B61F7B">
            <w:pPr>
              <w:widowControl/>
              <w:adjustRightInd/>
              <w:spacing w:line="360" w:lineRule="auto"/>
              <w:ind w:firstLine="0" w:firstLineChars="0"/>
              <w:jc w:val="cente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eastAsia="zh-CN"/>
              </w:rPr>
              <w:t>湖西路厕所</w:t>
            </w:r>
          </w:p>
        </w:tc>
        <w:tc>
          <w:tcPr>
            <w:tcW w:w="787" w:type="dxa"/>
            <w:vAlign w:val="center"/>
          </w:tcPr>
          <w:p w14:paraId="4ADCF09F">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168</w:t>
            </w:r>
          </w:p>
        </w:tc>
        <w:tc>
          <w:tcPr>
            <w:tcW w:w="763" w:type="dxa"/>
            <w:vAlign w:val="center"/>
          </w:tcPr>
          <w:p w14:paraId="49508170">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12.95</w:t>
            </w:r>
          </w:p>
        </w:tc>
        <w:tc>
          <w:tcPr>
            <w:tcW w:w="437" w:type="dxa"/>
            <w:vAlign w:val="center"/>
          </w:tcPr>
          <w:p w14:paraId="6374E7F1">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463" w:type="dxa"/>
            <w:vAlign w:val="center"/>
          </w:tcPr>
          <w:p w14:paraId="2C24260C">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819" w:type="dxa"/>
            <w:vAlign w:val="center"/>
          </w:tcPr>
          <w:p w14:paraId="4A597C61">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14.85</w:t>
            </w:r>
          </w:p>
        </w:tc>
        <w:tc>
          <w:tcPr>
            <w:tcW w:w="411" w:type="dxa"/>
            <w:vAlign w:val="center"/>
          </w:tcPr>
          <w:p w14:paraId="4B26B23A">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666" w:type="dxa"/>
            <w:vAlign w:val="center"/>
          </w:tcPr>
          <w:p w14:paraId="1E88D698">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1.53</w:t>
            </w:r>
          </w:p>
        </w:tc>
        <w:tc>
          <w:tcPr>
            <w:tcW w:w="668" w:type="dxa"/>
            <w:vAlign w:val="center"/>
          </w:tcPr>
          <w:p w14:paraId="21F5175B">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6.08</w:t>
            </w:r>
          </w:p>
        </w:tc>
        <w:tc>
          <w:tcPr>
            <w:tcW w:w="709" w:type="dxa"/>
            <w:vAlign w:val="center"/>
          </w:tcPr>
          <w:p w14:paraId="71576AA2">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6.08</w:t>
            </w:r>
          </w:p>
        </w:tc>
        <w:tc>
          <w:tcPr>
            <w:tcW w:w="573" w:type="dxa"/>
            <w:vAlign w:val="center"/>
          </w:tcPr>
          <w:p w14:paraId="35815B36">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623" w:type="dxa"/>
            <w:vAlign w:val="center"/>
          </w:tcPr>
          <w:p w14:paraId="5B1CE6C5">
            <w:pPr>
              <w:widowControl/>
              <w:adjustRightInd/>
              <w:spacing w:line="360" w:lineRule="auto"/>
              <w:ind w:firstLine="0" w:firstLine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11</w:t>
            </w:r>
          </w:p>
        </w:tc>
      </w:tr>
      <w:tr w14:paraId="4B177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675" w:type="dxa"/>
            <w:vMerge w:val="continue"/>
            <w:vAlign w:val="center"/>
          </w:tcPr>
          <w:p w14:paraId="121157D9">
            <w:pPr>
              <w:widowControl w:val="0"/>
              <w:ind w:firstLine="0" w:firstLineChars="0"/>
              <w:jc w:val="center"/>
              <w:rPr>
                <w:rFonts w:hint="eastAsia" w:ascii="宋体" w:hAnsi="宋体" w:eastAsia="宋体" w:cs="宋体"/>
                <w:color w:val="auto"/>
                <w:kern w:val="2"/>
                <w:sz w:val="21"/>
                <w:szCs w:val="21"/>
                <w:highlight w:val="none"/>
                <w:lang w:val="en-US" w:eastAsia="zh-CN" w:bidi="ar-SA"/>
              </w:rPr>
            </w:pPr>
          </w:p>
        </w:tc>
        <w:tc>
          <w:tcPr>
            <w:tcW w:w="428" w:type="dxa"/>
            <w:vAlign w:val="center"/>
          </w:tcPr>
          <w:p w14:paraId="6BEE3BE3">
            <w:pPr>
              <w:widowControl w:val="0"/>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w:t>
            </w:r>
          </w:p>
        </w:tc>
        <w:tc>
          <w:tcPr>
            <w:tcW w:w="1604" w:type="dxa"/>
            <w:vAlign w:val="center"/>
          </w:tcPr>
          <w:p w14:paraId="625893B5">
            <w:pPr>
              <w:widowControl/>
              <w:adjustRightInd/>
              <w:spacing w:line="360" w:lineRule="auto"/>
              <w:ind w:firstLine="0" w:firstLineChars="0"/>
              <w:jc w:val="cente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eastAsia="zh-CN"/>
              </w:rPr>
              <w:t>沙滩厕所</w:t>
            </w:r>
          </w:p>
        </w:tc>
        <w:tc>
          <w:tcPr>
            <w:tcW w:w="787" w:type="dxa"/>
            <w:vAlign w:val="center"/>
          </w:tcPr>
          <w:p w14:paraId="7D639E8A">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w:t>
            </w:r>
          </w:p>
        </w:tc>
        <w:tc>
          <w:tcPr>
            <w:tcW w:w="763" w:type="dxa"/>
            <w:vAlign w:val="center"/>
          </w:tcPr>
          <w:p w14:paraId="722E8ED1">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16.32</w:t>
            </w:r>
          </w:p>
        </w:tc>
        <w:tc>
          <w:tcPr>
            <w:tcW w:w="437" w:type="dxa"/>
            <w:vAlign w:val="center"/>
          </w:tcPr>
          <w:p w14:paraId="049BA1A7">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463" w:type="dxa"/>
            <w:vAlign w:val="center"/>
          </w:tcPr>
          <w:p w14:paraId="6149F6F9">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819" w:type="dxa"/>
            <w:vAlign w:val="center"/>
          </w:tcPr>
          <w:p w14:paraId="19E91CD0">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15.51</w:t>
            </w:r>
          </w:p>
        </w:tc>
        <w:tc>
          <w:tcPr>
            <w:tcW w:w="411" w:type="dxa"/>
            <w:vAlign w:val="center"/>
          </w:tcPr>
          <w:p w14:paraId="73EA3B1B">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666" w:type="dxa"/>
            <w:vAlign w:val="center"/>
          </w:tcPr>
          <w:p w14:paraId="0DA3B3E5">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2.52</w:t>
            </w:r>
          </w:p>
        </w:tc>
        <w:tc>
          <w:tcPr>
            <w:tcW w:w="668" w:type="dxa"/>
            <w:vAlign w:val="center"/>
          </w:tcPr>
          <w:p w14:paraId="1410C61D">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5.94</w:t>
            </w:r>
          </w:p>
        </w:tc>
        <w:tc>
          <w:tcPr>
            <w:tcW w:w="709" w:type="dxa"/>
            <w:vAlign w:val="center"/>
          </w:tcPr>
          <w:p w14:paraId="13BEC4A5">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5.94</w:t>
            </w:r>
          </w:p>
        </w:tc>
        <w:tc>
          <w:tcPr>
            <w:tcW w:w="573" w:type="dxa"/>
            <w:vAlign w:val="center"/>
          </w:tcPr>
          <w:p w14:paraId="4AD71E0A">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623" w:type="dxa"/>
            <w:vAlign w:val="center"/>
          </w:tcPr>
          <w:p w14:paraId="5A752852">
            <w:pPr>
              <w:widowControl/>
              <w:adjustRightInd/>
              <w:spacing w:line="360" w:lineRule="auto"/>
              <w:ind w:firstLine="0" w:firstLine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12</w:t>
            </w:r>
          </w:p>
        </w:tc>
      </w:tr>
      <w:tr w14:paraId="0BBA7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75" w:type="dxa"/>
            <w:vMerge w:val="continue"/>
            <w:vAlign w:val="center"/>
          </w:tcPr>
          <w:p w14:paraId="2D6F0B19">
            <w:pPr>
              <w:widowControl w:val="0"/>
              <w:ind w:firstLine="0" w:firstLineChars="0"/>
              <w:jc w:val="center"/>
              <w:rPr>
                <w:rFonts w:hint="eastAsia" w:ascii="宋体" w:hAnsi="宋体" w:eastAsia="宋体" w:cs="宋体"/>
                <w:color w:val="auto"/>
                <w:kern w:val="2"/>
                <w:sz w:val="21"/>
                <w:szCs w:val="21"/>
                <w:highlight w:val="none"/>
                <w:lang w:val="en-US" w:eastAsia="zh-CN" w:bidi="ar-SA"/>
              </w:rPr>
            </w:pPr>
          </w:p>
        </w:tc>
        <w:tc>
          <w:tcPr>
            <w:tcW w:w="428" w:type="dxa"/>
            <w:vAlign w:val="center"/>
          </w:tcPr>
          <w:p w14:paraId="532512C6">
            <w:pPr>
              <w:widowControl w:val="0"/>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w:t>
            </w:r>
          </w:p>
        </w:tc>
        <w:tc>
          <w:tcPr>
            <w:tcW w:w="1604" w:type="dxa"/>
            <w:vAlign w:val="center"/>
          </w:tcPr>
          <w:p w14:paraId="168FE192">
            <w:pPr>
              <w:widowControl/>
              <w:adjustRightInd/>
              <w:spacing w:line="360" w:lineRule="auto"/>
              <w:ind w:firstLine="0" w:firstLineChars="0"/>
              <w:jc w:val="cente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eastAsia="zh-CN"/>
              </w:rPr>
              <w:t>环城北路厕所</w:t>
            </w:r>
          </w:p>
        </w:tc>
        <w:tc>
          <w:tcPr>
            <w:tcW w:w="787" w:type="dxa"/>
            <w:vAlign w:val="center"/>
          </w:tcPr>
          <w:p w14:paraId="309FA5FE">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144</w:t>
            </w:r>
          </w:p>
        </w:tc>
        <w:tc>
          <w:tcPr>
            <w:tcW w:w="763" w:type="dxa"/>
            <w:vAlign w:val="center"/>
          </w:tcPr>
          <w:p w14:paraId="229415CB">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18.45</w:t>
            </w:r>
          </w:p>
        </w:tc>
        <w:tc>
          <w:tcPr>
            <w:tcW w:w="437" w:type="dxa"/>
            <w:vAlign w:val="center"/>
          </w:tcPr>
          <w:p w14:paraId="110CFF5A">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463" w:type="dxa"/>
            <w:vAlign w:val="center"/>
          </w:tcPr>
          <w:p w14:paraId="026AC868">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819" w:type="dxa"/>
            <w:vAlign w:val="center"/>
          </w:tcPr>
          <w:p w14:paraId="7AED83AE">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16.24</w:t>
            </w:r>
          </w:p>
        </w:tc>
        <w:tc>
          <w:tcPr>
            <w:tcW w:w="411" w:type="dxa"/>
            <w:vAlign w:val="center"/>
          </w:tcPr>
          <w:p w14:paraId="724810C7">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666" w:type="dxa"/>
            <w:vAlign w:val="center"/>
          </w:tcPr>
          <w:p w14:paraId="0FB45C0A">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2.7</w:t>
            </w:r>
          </w:p>
        </w:tc>
        <w:tc>
          <w:tcPr>
            <w:tcW w:w="668" w:type="dxa"/>
            <w:vAlign w:val="center"/>
          </w:tcPr>
          <w:p w14:paraId="3419DD13">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5.94</w:t>
            </w:r>
          </w:p>
        </w:tc>
        <w:tc>
          <w:tcPr>
            <w:tcW w:w="709" w:type="dxa"/>
            <w:vAlign w:val="center"/>
          </w:tcPr>
          <w:p w14:paraId="6FF0FCEE">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5.94</w:t>
            </w:r>
          </w:p>
        </w:tc>
        <w:tc>
          <w:tcPr>
            <w:tcW w:w="573" w:type="dxa"/>
            <w:vAlign w:val="center"/>
          </w:tcPr>
          <w:p w14:paraId="05101573">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623" w:type="dxa"/>
            <w:vAlign w:val="center"/>
          </w:tcPr>
          <w:p w14:paraId="49F0656E">
            <w:pPr>
              <w:widowControl/>
              <w:adjustRightInd/>
              <w:spacing w:line="360" w:lineRule="auto"/>
              <w:ind w:firstLine="0" w:firstLine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15</w:t>
            </w:r>
          </w:p>
        </w:tc>
      </w:tr>
      <w:tr w14:paraId="0446D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675" w:type="dxa"/>
            <w:vMerge w:val="continue"/>
            <w:vAlign w:val="center"/>
          </w:tcPr>
          <w:p w14:paraId="0FD20BD1">
            <w:pPr>
              <w:widowControl w:val="0"/>
              <w:ind w:firstLine="0" w:firstLineChars="0"/>
              <w:jc w:val="center"/>
              <w:rPr>
                <w:rFonts w:hint="eastAsia" w:ascii="宋体" w:hAnsi="宋体" w:eastAsia="宋体" w:cs="宋体"/>
                <w:color w:val="auto"/>
                <w:kern w:val="2"/>
                <w:sz w:val="21"/>
                <w:szCs w:val="21"/>
                <w:highlight w:val="none"/>
                <w:lang w:val="en-US" w:eastAsia="zh-CN" w:bidi="ar-SA"/>
              </w:rPr>
            </w:pPr>
          </w:p>
        </w:tc>
        <w:tc>
          <w:tcPr>
            <w:tcW w:w="428" w:type="dxa"/>
            <w:vAlign w:val="center"/>
          </w:tcPr>
          <w:p w14:paraId="21E68586">
            <w:pPr>
              <w:widowControl w:val="0"/>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5</w:t>
            </w:r>
          </w:p>
        </w:tc>
        <w:tc>
          <w:tcPr>
            <w:tcW w:w="1604" w:type="dxa"/>
            <w:vAlign w:val="center"/>
          </w:tcPr>
          <w:p w14:paraId="7325F6DC">
            <w:pPr>
              <w:widowControl/>
              <w:adjustRightInd/>
              <w:spacing w:line="360" w:lineRule="auto"/>
              <w:ind w:firstLine="0" w:firstLineChars="0"/>
              <w:jc w:val="cente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eastAsia="zh-CN"/>
              </w:rPr>
              <w:t>通途路厕所</w:t>
            </w:r>
          </w:p>
        </w:tc>
        <w:tc>
          <w:tcPr>
            <w:tcW w:w="787" w:type="dxa"/>
            <w:vAlign w:val="center"/>
          </w:tcPr>
          <w:p w14:paraId="3E046699">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126</w:t>
            </w:r>
          </w:p>
        </w:tc>
        <w:tc>
          <w:tcPr>
            <w:tcW w:w="763" w:type="dxa"/>
            <w:vAlign w:val="center"/>
          </w:tcPr>
          <w:p w14:paraId="4AD8CF7B">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24.8</w:t>
            </w:r>
          </w:p>
        </w:tc>
        <w:tc>
          <w:tcPr>
            <w:tcW w:w="437" w:type="dxa"/>
            <w:vAlign w:val="center"/>
          </w:tcPr>
          <w:p w14:paraId="320DB30B">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463" w:type="dxa"/>
            <w:vAlign w:val="center"/>
          </w:tcPr>
          <w:p w14:paraId="1555A8FC">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819" w:type="dxa"/>
            <w:vAlign w:val="center"/>
          </w:tcPr>
          <w:p w14:paraId="7EC0820C">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20.4</w:t>
            </w:r>
          </w:p>
        </w:tc>
        <w:tc>
          <w:tcPr>
            <w:tcW w:w="411" w:type="dxa"/>
            <w:vAlign w:val="center"/>
          </w:tcPr>
          <w:p w14:paraId="72C56470">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666" w:type="dxa"/>
            <w:vAlign w:val="center"/>
          </w:tcPr>
          <w:p w14:paraId="4012ECA9">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3.04</w:t>
            </w:r>
          </w:p>
        </w:tc>
        <w:tc>
          <w:tcPr>
            <w:tcW w:w="668" w:type="dxa"/>
            <w:vAlign w:val="center"/>
          </w:tcPr>
          <w:p w14:paraId="11933EF9">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4.4</w:t>
            </w:r>
          </w:p>
        </w:tc>
        <w:tc>
          <w:tcPr>
            <w:tcW w:w="709" w:type="dxa"/>
            <w:vAlign w:val="center"/>
          </w:tcPr>
          <w:p w14:paraId="23B809E9">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4.4</w:t>
            </w:r>
          </w:p>
        </w:tc>
        <w:tc>
          <w:tcPr>
            <w:tcW w:w="573" w:type="dxa"/>
            <w:vAlign w:val="center"/>
          </w:tcPr>
          <w:p w14:paraId="4CE2A7E0">
            <w:pPr>
              <w:widowControl/>
              <w:adjustRightInd/>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623" w:type="dxa"/>
            <w:vAlign w:val="center"/>
          </w:tcPr>
          <w:p w14:paraId="5B12983D">
            <w:pPr>
              <w:widowControl/>
              <w:adjustRightInd/>
              <w:spacing w:line="360" w:lineRule="auto"/>
              <w:ind w:firstLine="0" w:firstLine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12</w:t>
            </w:r>
          </w:p>
        </w:tc>
      </w:tr>
      <w:tr w14:paraId="54086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75" w:type="dxa"/>
            <w:shd w:val="clear" w:color="auto" w:fill="auto"/>
            <w:vAlign w:val="center"/>
          </w:tcPr>
          <w:p w14:paraId="7AF259C9">
            <w:pPr>
              <w:widowControl w:val="0"/>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相关说明</w:t>
            </w:r>
          </w:p>
        </w:tc>
        <w:tc>
          <w:tcPr>
            <w:tcW w:w="8951" w:type="dxa"/>
            <w:gridSpan w:val="13"/>
            <w:shd w:val="clear" w:color="auto" w:fill="auto"/>
            <w:vAlign w:val="center"/>
          </w:tcPr>
          <w:p w14:paraId="763B80BE">
            <w:pPr>
              <w:widowControl w:val="0"/>
              <w:ind w:firstLine="0" w:firstLineChars="0"/>
              <w:jc w:val="both"/>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1.公厕开放时间：24小时</w:t>
            </w:r>
          </w:p>
          <w:p w14:paraId="21CE66F1">
            <w:pPr>
              <w:widowControl w:val="0"/>
              <w:ind w:firstLine="0" w:firstLineChars="0"/>
              <w:jc w:val="both"/>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2.公厕保洁时间：四月至十一月5:00—22:00，十二月至三月6:00-20:00</w:t>
            </w:r>
          </w:p>
          <w:p w14:paraId="4EA2836E">
            <w:pPr>
              <w:widowControl w:val="0"/>
              <w:ind w:firstLine="0" w:firstLineChars="0"/>
              <w:jc w:val="both"/>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3.蹲位计算：</w:t>
            </w:r>
          </w:p>
          <w:p w14:paraId="334ED1C5">
            <w:pPr>
              <w:widowControl w:val="0"/>
              <w:ind w:firstLine="0" w:firstLineChars="0"/>
              <w:jc w:val="both"/>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1）配有母婴室的公厕按每 1 个母婴室等同于 2 个厕位；</w:t>
            </w:r>
          </w:p>
          <w:p w14:paraId="264D3ED6">
            <w:pPr>
              <w:widowControl w:val="0"/>
              <w:ind w:firstLine="0" w:firstLineChars="0"/>
              <w:jc w:val="both"/>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2）配有第三卫生间的公厕按每 1 个第三卫生间等同于 3 个厕位；</w:t>
            </w:r>
          </w:p>
          <w:p w14:paraId="7197B01F">
            <w:pPr>
              <w:widowControl w:val="0"/>
              <w:ind w:firstLine="0" w:firstLineChars="0"/>
              <w:jc w:val="both"/>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3）男厕两个小便斗（包括成人及儿童）按等同于 1 个厕位。</w:t>
            </w:r>
          </w:p>
          <w:p w14:paraId="68059023">
            <w:pPr>
              <w:widowControl w:val="0"/>
              <w:ind w:firstLine="0" w:firstLineChars="0"/>
              <w:jc w:val="both"/>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4.达到四星级标准。</w:t>
            </w:r>
          </w:p>
          <w:p w14:paraId="59D4B36C">
            <w:pPr>
              <w:widowControl w:val="0"/>
              <w:ind w:firstLine="0" w:firstLineChars="0"/>
              <w:jc w:val="both"/>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5.实际合同执行过程中，若因厕所封停、改建等需要核减经费时，需根据设施量清单相应核减金额。</w:t>
            </w:r>
          </w:p>
        </w:tc>
      </w:tr>
    </w:tbl>
    <w:p w14:paraId="7FEE0548">
      <w:pPr>
        <w:widowControl/>
        <w:numPr>
          <w:ilvl w:val="0"/>
          <w:numId w:val="2"/>
        </w:numPr>
        <w:tabs>
          <w:tab w:val="left" w:pos="851"/>
        </w:tabs>
        <w:adjustRightInd/>
        <w:spacing w:line="360" w:lineRule="auto"/>
        <w:ind w:firstLine="480" w:firstLineChars="200"/>
        <w:rPr>
          <w:rFonts w:hint="eastAsia"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其他设施</w:t>
      </w:r>
    </w:p>
    <w:p w14:paraId="24F75C56">
      <w:pPr>
        <w:widowControl/>
        <w:tabs>
          <w:tab w:val="left" w:pos="851"/>
        </w:tabs>
        <w:adjustRightInd/>
        <w:spacing w:line="360" w:lineRule="auto"/>
        <w:ind w:firstLine="480" w:firstLineChars="200"/>
        <w:rPr>
          <w:rFonts w:hint="default"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其余主要管理设施量清单详见（附件</w:t>
      </w:r>
      <w:r>
        <w:rPr>
          <w:rFonts w:hint="eastAsia" w:ascii="宋体" w:hAnsi="宋体" w:cs="宋体"/>
          <w:b/>
          <w:bCs w:val="0"/>
          <w:color w:val="auto"/>
          <w:kern w:val="0"/>
          <w:sz w:val="24"/>
          <w:highlight w:val="none"/>
          <w:lang w:val="en-US" w:eastAsia="zh-CN"/>
        </w:rPr>
        <w:t xml:space="preserve"> </w:t>
      </w:r>
      <w:r>
        <w:rPr>
          <w:rFonts w:hint="eastAsia" w:ascii="宋体" w:hAnsi="宋体" w:eastAsia="宋体" w:cs="宋体"/>
          <w:b/>
          <w:bCs w:val="0"/>
          <w:color w:val="auto"/>
          <w:kern w:val="0"/>
          <w:sz w:val="24"/>
          <w:highlight w:val="none"/>
          <w:lang w:val="en-US" w:eastAsia="zh-CN"/>
        </w:rPr>
        <w:t>设施量清单及编制说明）</w:t>
      </w:r>
    </w:p>
    <w:p w14:paraId="2503CEEC">
      <w:pPr>
        <w:widowControl/>
        <w:tabs>
          <w:tab w:val="left" w:pos="851"/>
        </w:tabs>
        <w:adjustRightInd/>
        <w:spacing w:line="360" w:lineRule="auto"/>
        <w:outlineLvl w:val="1"/>
        <w:rPr>
          <w:rFonts w:ascii="宋体" w:hAnsi="宋体" w:eastAsia="宋体" w:cs="宋体"/>
          <w:b/>
          <w:color w:val="auto"/>
          <w:kern w:val="0"/>
          <w:sz w:val="24"/>
          <w:highlight w:val="none"/>
        </w:rPr>
      </w:pPr>
      <w:r>
        <w:rPr>
          <w:rFonts w:hint="eastAsia" w:ascii="宋体" w:hAnsi="宋体" w:eastAsia="宋体" w:cs="宋体"/>
          <w:b/>
          <w:color w:val="auto"/>
          <w:kern w:val="0"/>
          <w:sz w:val="24"/>
          <w:highlight w:val="none"/>
          <w:lang w:val="en-US" w:eastAsia="zh-CN"/>
        </w:rPr>
        <w:t>五</w:t>
      </w:r>
      <w:r>
        <w:rPr>
          <w:rFonts w:hint="eastAsia" w:ascii="宋体" w:hAnsi="宋体" w:eastAsia="宋体" w:cs="宋体"/>
          <w:b/>
          <w:color w:val="auto"/>
          <w:kern w:val="0"/>
          <w:sz w:val="24"/>
          <w:highlight w:val="none"/>
        </w:rPr>
        <w:t>、人员岗位配置要求</w:t>
      </w:r>
    </w:p>
    <w:p w14:paraId="2688D49A">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本项目派驻团队人员分为“管理团队”和“</w:t>
      </w:r>
      <w:r>
        <w:rPr>
          <w:rFonts w:hint="eastAsia" w:ascii="宋体" w:hAnsi="宋体" w:eastAsia="宋体" w:cs="宋体"/>
          <w:bCs/>
          <w:color w:val="auto"/>
          <w:kern w:val="0"/>
          <w:sz w:val="24"/>
          <w:highlight w:val="none"/>
          <w:lang w:eastAsia="zh-CN"/>
        </w:rPr>
        <w:t>作业</w:t>
      </w:r>
      <w:r>
        <w:rPr>
          <w:rFonts w:hint="eastAsia" w:ascii="宋体" w:hAnsi="宋体" w:eastAsia="宋体" w:cs="宋体"/>
          <w:bCs/>
          <w:color w:val="auto"/>
          <w:kern w:val="0"/>
          <w:sz w:val="24"/>
          <w:highlight w:val="none"/>
        </w:rPr>
        <w:t>队伍”。管理团队直接对</w:t>
      </w:r>
      <w:r>
        <w:rPr>
          <w:rFonts w:hint="eastAsia" w:ascii="宋体" w:hAnsi="宋体" w:eastAsia="宋体" w:cs="宋体"/>
          <w:bCs/>
          <w:color w:val="auto"/>
          <w:kern w:val="0"/>
          <w:sz w:val="24"/>
          <w:highlight w:val="none"/>
          <w:lang w:eastAsia="zh-CN"/>
        </w:rPr>
        <w:t>采购人</w:t>
      </w:r>
      <w:r>
        <w:rPr>
          <w:rFonts w:hint="eastAsia" w:ascii="宋体" w:hAnsi="宋体" w:eastAsia="宋体" w:cs="宋体"/>
          <w:bCs/>
          <w:color w:val="auto"/>
          <w:kern w:val="0"/>
          <w:sz w:val="24"/>
          <w:highlight w:val="none"/>
        </w:rPr>
        <w:t>负责，按</w:t>
      </w:r>
      <w:r>
        <w:rPr>
          <w:rFonts w:hint="eastAsia" w:ascii="宋体" w:hAnsi="宋体" w:eastAsia="宋体" w:cs="宋体"/>
          <w:bCs/>
          <w:color w:val="auto"/>
          <w:kern w:val="0"/>
          <w:sz w:val="24"/>
          <w:highlight w:val="none"/>
          <w:lang w:eastAsia="zh-CN"/>
        </w:rPr>
        <w:t>采购人管理部门</w:t>
      </w:r>
      <w:r>
        <w:rPr>
          <w:rFonts w:hint="eastAsia" w:ascii="宋体" w:hAnsi="宋体" w:eastAsia="宋体" w:cs="宋体"/>
          <w:bCs/>
          <w:color w:val="auto"/>
          <w:kern w:val="0"/>
          <w:sz w:val="24"/>
          <w:highlight w:val="none"/>
        </w:rPr>
        <w:t>要求，全面落实好本服务项目，并负责对</w:t>
      </w:r>
      <w:r>
        <w:rPr>
          <w:rFonts w:hint="eastAsia" w:ascii="宋体" w:hAnsi="宋体" w:eastAsia="宋体" w:cs="宋体"/>
          <w:bCs/>
          <w:color w:val="auto"/>
          <w:kern w:val="0"/>
          <w:sz w:val="24"/>
          <w:highlight w:val="none"/>
          <w:lang w:eastAsia="zh-CN"/>
        </w:rPr>
        <w:t>作业队伍</w:t>
      </w:r>
      <w:r>
        <w:rPr>
          <w:rFonts w:hint="eastAsia" w:ascii="宋体" w:hAnsi="宋体" w:eastAsia="宋体" w:cs="宋体"/>
          <w:bCs/>
          <w:color w:val="auto"/>
          <w:kern w:val="0"/>
          <w:sz w:val="24"/>
          <w:highlight w:val="none"/>
        </w:rPr>
        <w:t>的一线作业人员进行聘用、培训、检查、考评，确保项目运营状态和作业质量，实现各专业块状的融合、互动与协作，通过专业化运作，条块管理相结合，确保作业质量达到综合管理考核标准。</w:t>
      </w:r>
      <w:r>
        <w:rPr>
          <w:rFonts w:hint="eastAsia" w:ascii="宋体" w:hAnsi="宋体" w:eastAsia="宋体" w:cs="宋体"/>
          <w:bCs/>
          <w:color w:val="auto"/>
          <w:kern w:val="0"/>
          <w:sz w:val="24"/>
          <w:highlight w:val="none"/>
          <w:lang w:eastAsia="zh-CN"/>
        </w:rPr>
        <w:t>作业</w:t>
      </w:r>
      <w:r>
        <w:rPr>
          <w:rFonts w:hint="eastAsia" w:ascii="宋体" w:hAnsi="宋体" w:eastAsia="宋体" w:cs="宋体"/>
          <w:bCs/>
          <w:color w:val="auto"/>
          <w:kern w:val="0"/>
          <w:sz w:val="24"/>
          <w:highlight w:val="none"/>
        </w:rPr>
        <w:t>队伍对管理团队直接负责，通过专业化运作，条状管理，确保一线作业质量达到</w:t>
      </w:r>
      <w:r>
        <w:rPr>
          <w:rFonts w:hint="eastAsia" w:ascii="宋体" w:hAnsi="宋体" w:eastAsia="宋体" w:cs="宋体"/>
          <w:bCs/>
          <w:color w:val="auto"/>
          <w:kern w:val="0"/>
          <w:sz w:val="24"/>
          <w:highlight w:val="none"/>
          <w:lang w:eastAsia="zh-CN"/>
        </w:rPr>
        <w:t>采购人</w:t>
      </w:r>
      <w:r>
        <w:rPr>
          <w:rFonts w:hint="eastAsia" w:ascii="宋体" w:hAnsi="宋体" w:eastAsia="宋体" w:cs="宋体"/>
          <w:bCs/>
          <w:color w:val="auto"/>
          <w:kern w:val="0"/>
          <w:sz w:val="24"/>
          <w:highlight w:val="none"/>
        </w:rPr>
        <w:t>管理考核标准。</w:t>
      </w:r>
    </w:p>
    <w:p w14:paraId="41A0758D">
      <w:pPr>
        <w:widowControl/>
        <w:tabs>
          <w:tab w:val="left" w:pos="851"/>
        </w:tabs>
        <w:adjustRightInd/>
        <w:spacing w:line="360" w:lineRule="auto"/>
        <w:ind w:firstLine="480" w:firstLineChars="200"/>
        <w:rPr>
          <w:rFonts w:hint="eastAsia"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（一）“管理团队”主要职责及岗位设置标准</w:t>
      </w:r>
    </w:p>
    <w:tbl>
      <w:tblPr>
        <w:tblStyle w:val="62"/>
        <w:tblW w:w="94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816"/>
        <w:gridCol w:w="2930"/>
        <w:gridCol w:w="2976"/>
        <w:gridCol w:w="1883"/>
      </w:tblGrid>
      <w:tr w14:paraId="7A09D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833" w:type="dxa"/>
            <w:noWrap w:val="0"/>
            <w:vAlign w:val="center"/>
          </w:tcPr>
          <w:p w14:paraId="03F95EC7">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岗位名称</w:t>
            </w:r>
          </w:p>
        </w:tc>
        <w:tc>
          <w:tcPr>
            <w:tcW w:w="816" w:type="dxa"/>
            <w:noWrap w:val="0"/>
            <w:vAlign w:val="center"/>
          </w:tcPr>
          <w:p w14:paraId="5BB57EC3">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岗位数量</w:t>
            </w:r>
          </w:p>
        </w:tc>
        <w:tc>
          <w:tcPr>
            <w:tcW w:w="2930" w:type="dxa"/>
            <w:noWrap w:val="0"/>
            <w:vAlign w:val="center"/>
          </w:tcPr>
          <w:p w14:paraId="0C9836B6">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岗位职责</w:t>
            </w:r>
          </w:p>
        </w:tc>
        <w:tc>
          <w:tcPr>
            <w:tcW w:w="2976" w:type="dxa"/>
            <w:noWrap w:val="0"/>
            <w:vAlign w:val="center"/>
          </w:tcPr>
          <w:p w14:paraId="38EC4A93">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考勤要求</w:t>
            </w:r>
          </w:p>
        </w:tc>
        <w:tc>
          <w:tcPr>
            <w:tcW w:w="1883" w:type="dxa"/>
            <w:noWrap w:val="0"/>
            <w:vAlign w:val="center"/>
          </w:tcPr>
          <w:p w14:paraId="109753A5">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p>
        </w:tc>
      </w:tr>
      <w:tr w14:paraId="46510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833" w:type="dxa"/>
            <w:noWrap w:val="0"/>
            <w:vAlign w:val="center"/>
          </w:tcPr>
          <w:p w14:paraId="49E7F3CE">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kern w:val="0"/>
                <w:sz w:val="24"/>
                <w:szCs w:val="24"/>
                <w:highlight w:val="none"/>
                <w:lang w:eastAsia="zh-CN"/>
              </w:rPr>
              <w:t>项目负责人</w:t>
            </w:r>
          </w:p>
        </w:tc>
        <w:tc>
          <w:tcPr>
            <w:tcW w:w="816" w:type="dxa"/>
            <w:noWrap w:val="0"/>
            <w:vAlign w:val="center"/>
          </w:tcPr>
          <w:p w14:paraId="15030A20">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930" w:type="dxa"/>
            <w:noWrap w:val="0"/>
            <w:vAlign w:val="center"/>
          </w:tcPr>
          <w:p w14:paraId="78B2DC89">
            <w:pPr>
              <w:keepNext w:val="0"/>
              <w:keepLines w:val="0"/>
              <w:pageBreakBefore w:val="0"/>
              <w:kinsoku/>
              <w:wordWrap/>
              <w:overflowPunct/>
              <w:topLinePunct w:val="0"/>
              <w:autoSpaceDE/>
              <w:autoSpaceDN/>
              <w:bidi w:val="0"/>
              <w:adjustRightInd w:val="0"/>
              <w:snapToGri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负责项目整体管理。</w:t>
            </w:r>
          </w:p>
        </w:tc>
        <w:tc>
          <w:tcPr>
            <w:tcW w:w="2976" w:type="dxa"/>
            <w:noWrap w:val="0"/>
            <w:vAlign w:val="center"/>
          </w:tcPr>
          <w:p w14:paraId="0D3000B5">
            <w:pPr>
              <w:keepNext w:val="0"/>
              <w:keepLines w:val="0"/>
              <w:pageBreakBefore w:val="0"/>
              <w:kinsoku/>
              <w:wordWrap/>
              <w:overflowPunct/>
              <w:topLinePunct w:val="0"/>
              <w:autoSpaceDE/>
              <w:autoSpaceDN/>
              <w:bidi w:val="0"/>
              <w:adjustRightInd w:val="0"/>
              <w:snapToGrid/>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驻点公园，每周在岗</w:t>
            </w:r>
            <w:r>
              <w:rPr>
                <w:rFonts w:hint="eastAsia" w:ascii="宋体" w:hAnsi="宋体" w:eastAsia="宋体" w:cs="宋体"/>
                <w:color w:val="auto"/>
                <w:sz w:val="24"/>
                <w:szCs w:val="24"/>
                <w:highlight w:val="none"/>
                <w:lang w:val="en-US" w:eastAsia="zh-CN"/>
              </w:rPr>
              <w:t>5天</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重大活动、</w:t>
            </w:r>
            <w:r>
              <w:rPr>
                <w:rFonts w:hint="eastAsia" w:ascii="宋体" w:hAnsi="宋体" w:eastAsia="宋体" w:cs="宋体"/>
                <w:color w:val="auto"/>
                <w:kern w:val="0"/>
                <w:sz w:val="24"/>
                <w:szCs w:val="24"/>
                <w:highlight w:val="none"/>
              </w:rPr>
              <w:t>节假日及应急</w:t>
            </w:r>
            <w:r>
              <w:rPr>
                <w:rFonts w:hint="eastAsia" w:ascii="宋体" w:hAnsi="宋体" w:eastAsia="宋体" w:cs="宋体"/>
                <w:color w:val="auto"/>
                <w:kern w:val="0"/>
                <w:sz w:val="24"/>
                <w:szCs w:val="24"/>
                <w:highlight w:val="none"/>
                <w:lang w:eastAsia="zh-CN"/>
              </w:rPr>
              <w:t>响应</w:t>
            </w:r>
            <w:r>
              <w:rPr>
                <w:rFonts w:hint="eastAsia" w:ascii="宋体" w:hAnsi="宋体" w:eastAsia="宋体" w:cs="宋体"/>
                <w:color w:val="auto"/>
                <w:kern w:val="0"/>
                <w:sz w:val="24"/>
                <w:szCs w:val="24"/>
                <w:highlight w:val="none"/>
              </w:rPr>
              <w:t>时期需</w:t>
            </w:r>
            <w:r>
              <w:rPr>
                <w:rFonts w:hint="eastAsia" w:ascii="宋体" w:hAnsi="宋体" w:eastAsia="宋体" w:cs="宋体"/>
                <w:color w:val="auto"/>
                <w:kern w:val="0"/>
                <w:sz w:val="24"/>
                <w:szCs w:val="24"/>
                <w:highlight w:val="none"/>
                <w:lang w:eastAsia="zh-CN"/>
              </w:rPr>
              <w:t>在岗。</w:t>
            </w:r>
          </w:p>
        </w:tc>
        <w:tc>
          <w:tcPr>
            <w:tcW w:w="1883" w:type="dxa"/>
            <w:vMerge w:val="restart"/>
            <w:noWrap w:val="0"/>
            <w:vAlign w:val="center"/>
          </w:tcPr>
          <w:p w14:paraId="6ACBF267">
            <w:pPr>
              <w:keepNext w:val="0"/>
              <w:keepLines w:val="0"/>
              <w:pageBreakBefore w:val="0"/>
              <w:kinsoku/>
              <w:wordWrap/>
              <w:overflowPunct/>
              <w:topLinePunct w:val="0"/>
              <w:autoSpaceDE/>
              <w:autoSpaceDN/>
              <w:bidi w:val="0"/>
              <w:adjustRightInd w:val="0"/>
              <w:snapToGrid/>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投标</w:t>
            </w:r>
            <w:r>
              <w:rPr>
                <w:rFonts w:hint="eastAsia" w:ascii="宋体" w:hAnsi="宋体" w:eastAsia="宋体" w:cs="宋体"/>
                <w:color w:val="auto"/>
                <w:sz w:val="24"/>
                <w:szCs w:val="24"/>
                <w:highlight w:val="none"/>
                <w:lang w:eastAsia="zh-CN"/>
              </w:rPr>
              <w:t>人</w:t>
            </w:r>
            <w:r>
              <w:rPr>
                <w:rFonts w:hint="eastAsia" w:ascii="宋体" w:hAnsi="宋体" w:eastAsia="宋体" w:cs="宋体"/>
                <w:color w:val="auto"/>
                <w:sz w:val="24"/>
                <w:szCs w:val="24"/>
                <w:highlight w:val="none"/>
              </w:rPr>
              <w:t>为其缴纳的投标截止时间前3个月</w:t>
            </w:r>
            <w:r>
              <w:rPr>
                <w:rFonts w:hint="eastAsia" w:ascii="宋体" w:hAnsi="宋体" w:eastAsia="宋体" w:cs="宋体"/>
                <w:color w:val="auto"/>
                <w:sz w:val="24"/>
                <w:szCs w:val="24"/>
                <w:highlight w:val="none"/>
                <w:lang w:eastAsia="zh-CN"/>
              </w:rPr>
              <w:t>任意一月</w:t>
            </w:r>
            <w:r>
              <w:rPr>
                <w:rFonts w:hint="eastAsia" w:ascii="宋体" w:hAnsi="宋体" w:eastAsia="宋体" w:cs="宋体"/>
                <w:color w:val="auto"/>
                <w:sz w:val="24"/>
                <w:szCs w:val="24"/>
                <w:highlight w:val="none"/>
              </w:rPr>
              <w:t>的社保证明</w:t>
            </w:r>
            <w:r>
              <w:rPr>
                <w:rFonts w:hint="eastAsia" w:ascii="宋体" w:hAnsi="宋体" w:eastAsia="宋体" w:cs="宋体"/>
                <w:color w:val="auto"/>
                <w:sz w:val="24"/>
                <w:szCs w:val="24"/>
                <w:highlight w:val="none"/>
                <w:lang w:eastAsia="zh-CN"/>
              </w:rPr>
              <w:t>，编入商务技术文件中。</w:t>
            </w:r>
          </w:p>
        </w:tc>
      </w:tr>
      <w:tr w14:paraId="5CB1B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33" w:type="dxa"/>
            <w:noWrap w:val="0"/>
            <w:vAlign w:val="center"/>
          </w:tcPr>
          <w:p w14:paraId="438D36DF">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eastAsia="zh-CN"/>
              </w:rPr>
              <w:t>园容</w:t>
            </w:r>
            <w:r>
              <w:rPr>
                <w:rFonts w:hint="eastAsia" w:ascii="宋体" w:hAnsi="宋体" w:eastAsia="宋体" w:cs="宋体"/>
                <w:b/>
                <w:bCs/>
                <w:color w:val="auto"/>
                <w:kern w:val="0"/>
                <w:sz w:val="24"/>
                <w:szCs w:val="24"/>
                <w:highlight w:val="none"/>
              </w:rPr>
              <w:t>主管</w:t>
            </w:r>
          </w:p>
        </w:tc>
        <w:tc>
          <w:tcPr>
            <w:tcW w:w="816" w:type="dxa"/>
            <w:noWrap w:val="0"/>
            <w:vAlign w:val="center"/>
          </w:tcPr>
          <w:p w14:paraId="63F0132A">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p>
        </w:tc>
        <w:tc>
          <w:tcPr>
            <w:tcW w:w="2930" w:type="dxa"/>
            <w:noWrap w:val="0"/>
            <w:vAlign w:val="center"/>
          </w:tcPr>
          <w:p w14:paraId="7AB3CC3A">
            <w:pPr>
              <w:keepNext w:val="0"/>
              <w:keepLines w:val="0"/>
              <w:pageBreakBefore w:val="0"/>
              <w:kinsoku/>
              <w:wordWrap/>
              <w:overflowPunct/>
              <w:topLinePunct w:val="0"/>
              <w:autoSpaceDE/>
              <w:autoSpaceDN/>
              <w:bidi w:val="0"/>
              <w:adjustRightInd w:val="0"/>
              <w:snapToGrid/>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负责管理公园日常绿化养护、保洁等；负责公园接待保障</w:t>
            </w:r>
            <w:r>
              <w:rPr>
                <w:rFonts w:hint="eastAsia" w:ascii="宋体" w:hAnsi="宋体" w:eastAsia="宋体" w:cs="宋体"/>
                <w:color w:val="auto"/>
                <w:sz w:val="24"/>
                <w:szCs w:val="24"/>
                <w:highlight w:val="none"/>
                <w:lang w:eastAsia="zh-CN"/>
              </w:rPr>
              <w:t>。</w:t>
            </w:r>
          </w:p>
        </w:tc>
        <w:tc>
          <w:tcPr>
            <w:tcW w:w="2976" w:type="dxa"/>
            <w:noWrap w:val="0"/>
            <w:vAlign w:val="center"/>
          </w:tcPr>
          <w:p w14:paraId="72C54488">
            <w:pPr>
              <w:keepNext w:val="0"/>
              <w:keepLines w:val="0"/>
              <w:pageBreakBefore w:val="0"/>
              <w:kinsoku/>
              <w:wordWrap/>
              <w:overflowPunct/>
              <w:topLinePunct w:val="0"/>
              <w:autoSpaceDE/>
              <w:autoSpaceDN/>
              <w:bidi w:val="0"/>
              <w:adjustRightInd w:val="0"/>
              <w:snapToGrid/>
              <w:jc w:val="left"/>
              <w:textAlignment w:val="auto"/>
              <w:rPr>
                <w:rFonts w:hint="eastAsia" w:ascii="宋体" w:hAnsi="宋体" w:eastAsia="宋体" w:cs="宋体"/>
                <w:color w:val="auto"/>
                <w:sz w:val="24"/>
                <w:szCs w:val="24"/>
                <w:highlight w:val="none"/>
                <w:shd w:val="pct10" w:color="auto" w:fill="FFFFFF"/>
                <w:lang w:eastAsia="zh-CN"/>
              </w:rPr>
            </w:pPr>
            <w:r>
              <w:rPr>
                <w:rFonts w:hint="eastAsia" w:ascii="宋体" w:hAnsi="宋体" w:eastAsia="宋体" w:cs="宋体"/>
                <w:color w:val="auto"/>
                <w:kern w:val="0"/>
                <w:sz w:val="24"/>
                <w:szCs w:val="24"/>
                <w:highlight w:val="none"/>
              </w:rPr>
              <w:t>驻点公园，现场管理。</w:t>
            </w:r>
            <w:r>
              <w:rPr>
                <w:rFonts w:hint="eastAsia" w:ascii="宋体" w:hAnsi="宋体" w:eastAsia="宋体" w:cs="宋体"/>
                <w:color w:val="auto"/>
                <w:sz w:val="24"/>
                <w:szCs w:val="24"/>
                <w:highlight w:val="none"/>
              </w:rPr>
              <w:t>每周在岗</w:t>
            </w:r>
            <w:r>
              <w:rPr>
                <w:rFonts w:hint="eastAsia" w:ascii="宋体" w:hAnsi="宋体" w:eastAsia="宋体" w:cs="宋体"/>
                <w:color w:val="auto"/>
                <w:sz w:val="24"/>
                <w:szCs w:val="24"/>
                <w:highlight w:val="none"/>
                <w:lang w:val="en-US" w:eastAsia="zh-CN"/>
              </w:rPr>
              <w:t>6天</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重大活动、</w:t>
            </w:r>
            <w:r>
              <w:rPr>
                <w:rFonts w:hint="eastAsia" w:ascii="宋体" w:hAnsi="宋体" w:eastAsia="宋体" w:cs="宋体"/>
                <w:color w:val="auto"/>
                <w:kern w:val="0"/>
                <w:sz w:val="24"/>
                <w:szCs w:val="24"/>
                <w:highlight w:val="none"/>
              </w:rPr>
              <w:t>节假日及应急时期需值班</w:t>
            </w:r>
            <w:r>
              <w:rPr>
                <w:rFonts w:hint="eastAsia" w:ascii="宋体" w:hAnsi="宋体" w:eastAsia="宋体" w:cs="宋体"/>
                <w:color w:val="auto"/>
                <w:kern w:val="0"/>
                <w:sz w:val="24"/>
                <w:szCs w:val="24"/>
                <w:highlight w:val="none"/>
                <w:lang w:eastAsia="zh-CN"/>
              </w:rPr>
              <w:t>。</w:t>
            </w:r>
          </w:p>
        </w:tc>
        <w:tc>
          <w:tcPr>
            <w:tcW w:w="1883" w:type="dxa"/>
            <w:vMerge w:val="continue"/>
            <w:noWrap w:val="0"/>
            <w:vAlign w:val="top"/>
          </w:tcPr>
          <w:p w14:paraId="1125AF97">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color w:val="auto"/>
                <w:sz w:val="24"/>
                <w:szCs w:val="24"/>
                <w:highlight w:val="none"/>
              </w:rPr>
            </w:pPr>
          </w:p>
        </w:tc>
      </w:tr>
      <w:tr w14:paraId="4B99E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833" w:type="dxa"/>
            <w:noWrap w:val="0"/>
            <w:vAlign w:val="center"/>
          </w:tcPr>
          <w:p w14:paraId="2ADF3F08">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eastAsia="zh-CN"/>
              </w:rPr>
              <w:t>安全</w:t>
            </w:r>
            <w:r>
              <w:rPr>
                <w:rFonts w:hint="eastAsia" w:ascii="宋体" w:hAnsi="宋体" w:eastAsia="宋体" w:cs="宋体"/>
                <w:b/>
                <w:bCs/>
                <w:color w:val="auto"/>
                <w:kern w:val="0"/>
                <w:sz w:val="24"/>
                <w:szCs w:val="24"/>
                <w:highlight w:val="none"/>
              </w:rPr>
              <w:t>主管</w:t>
            </w:r>
          </w:p>
        </w:tc>
        <w:tc>
          <w:tcPr>
            <w:tcW w:w="816" w:type="dxa"/>
            <w:noWrap w:val="0"/>
            <w:vAlign w:val="center"/>
          </w:tcPr>
          <w:p w14:paraId="48FBAAF1">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p>
        </w:tc>
        <w:tc>
          <w:tcPr>
            <w:tcW w:w="2930" w:type="dxa"/>
            <w:noWrap w:val="0"/>
            <w:vAlign w:val="center"/>
          </w:tcPr>
          <w:p w14:paraId="08407CEC">
            <w:pPr>
              <w:keepNext w:val="0"/>
              <w:keepLines w:val="0"/>
              <w:pageBreakBefore w:val="0"/>
              <w:kinsoku/>
              <w:wordWrap/>
              <w:overflowPunct/>
              <w:topLinePunct w:val="0"/>
              <w:autoSpaceDE/>
              <w:autoSpaceDN/>
              <w:bidi w:val="0"/>
              <w:adjustRightInd w:val="0"/>
              <w:snapToGri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负责整个项目的安全保卫和安全生产管理工作</w:t>
            </w:r>
            <w:r>
              <w:rPr>
                <w:rFonts w:hint="eastAsia" w:ascii="宋体" w:hAnsi="宋体" w:eastAsia="宋体" w:cs="宋体"/>
                <w:color w:val="auto"/>
                <w:sz w:val="24"/>
                <w:szCs w:val="24"/>
                <w:highlight w:val="none"/>
                <w:lang w:eastAsia="zh-CN"/>
              </w:rPr>
              <w:t>，负责公园应急响应工作，负责公园设施维修管理。</w:t>
            </w:r>
          </w:p>
        </w:tc>
        <w:tc>
          <w:tcPr>
            <w:tcW w:w="2976" w:type="dxa"/>
            <w:noWrap w:val="0"/>
            <w:vAlign w:val="center"/>
          </w:tcPr>
          <w:p w14:paraId="4603B7E9">
            <w:pPr>
              <w:keepNext w:val="0"/>
              <w:keepLines w:val="0"/>
              <w:pageBreakBefore w:val="0"/>
              <w:kinsoku/>
              <w:wordWrap/>
              <w:overflowPunct/>
              <w:topLinePunct w:val="0"/>
              <w:autoSpaceDE/>
              <w:autoSpaceDN/>
              <w:bidi w:val="0"/>
              <w:adjustRightInd w:val="0"/>
              <w:snapToGrid/>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驻点公园，现场管理和技术指导。每周在岗</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天，</w:t>
            </w:r>
            <w:r>
              <w:rPr>
                <w:rFonts w:hint="eastAsia" w:ascii="宋体" w:hAnsi="宋体" w:eastAsia="宋体" w:cs="宋体"/>
                <w:color w:val="auto"/>
                <w:sz w:val="24"/>
                <w:szCs w:val="24"/>
                <w:highlight w:val="none"/>
                <w:lang w:eastAsia="zh-CN"/>
              </w:rPr>
              <w:t>重大活动、</w:t>
            </w:r>
            <w:r>
              <w:rPr>
                <w:rFonts w:hint="eastAsia" w:ascii="宋体" w:hAnsi="宋体" w:eastAsia="宋体" w:cs="宋体"/>
                <w:color w:val="auto"/>
                <w:sz w:val="24"/>
                <w:szCs w:val="24"/>
                <w:highlight w:val="none"/>
              </w:rPr>
              <w:t>节假日及应急时期需值班</w:t>
            </w:r>
            <w:r>
              <w:rPr>
                <w:rFonts w:hint="eastAsia" w:ascii="宋体" w:hAnsi="宋体" w:eastAsia="宋体" w:cs="宋体"/>
                <w:color w:val="auto"/>
                <w:sz w:val="24"/>
                <w:szCs w:val="24"/>
                <w:highlight w:val="none"/>
                <w:lang w:eastAsia="zh-CN"/>
              </w:rPr>
              <w:t>。</w:t>
            </w:r>
          </w:p>
        </w:tc>
        <w:tc>
          <w:tcPr>
            <w:tcW w:w="1883" w:type="dxa"/>
            <w:vMerge w:val="continue"/>
            <w:noWrap w:val="0"/>
            <w:vAlign w:val="top"/>
          </w:tcPr>
          <w:p w14:paraId="7FE93B6D">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color w:val="auto"/>
                <w:sz w:val="24"/>
                <w:szCs w:val="24"/>
                <w:highlight w:val="none"/>
              </w:rPr>
            </w:pPr>
          </w:p>
        </w:tc>
      </w:tr>
      <w:tr w14:paraId="3F017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833" w:type="dxa"/>
            <w:noWrap w:val="0"/>
            <w:vAlign w:val="center"/>
          </w:tcPr>
          <w:p w14:paraId="003ED345">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kern w:val="0"/>
                <w:sz w:val="24"/>
                <w:szCs w:val="24"/>
                <w:highlight w:val="none"/>
                <w:lang w:eastAsia="zh-CN"/>
              </w:rPr>
              <w:t>文员</w:t>
            </w:r>
          </w:p>
        </w:tc>
        <w:tc>
          <w:tcPr>
            <w:tcW w:w="816" w:type="dxa"/>
            <w:noWrap w:val="0"/>
            <w:vAlign w:val="center"/>
          </w:tcPr>
          <w:p w14:paraId="031FF9F3">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2930" w:type="dxa"/>
            <w:noWrap w:val="0"/>
            <w:vAlign w:val="center"/>
          </w:tcPr>
          <w:p w14:paraId="72D6E610">
            <w:pPr>
              <w:keepNext w:val="0"/>
              <w:keepLines w:val="0"/>
              <w:pageBreakBefore w:val="0"/>
              <w:kinsoku/>
              <w:wordWrap/>
              <w:overflowPunct/>
              <w:topLinePunct w:val="0"/>
              <w:autoSpaceDE/>
              <w:autoSpaceDN/>
              <w:bidi w:val="0"/>
              <w:adjustRightInd w:val="0"/>
              <w:snapToGrid/>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负责整个项目的台账管理及资料上报，负责公园</w:t>
            </w:r>
            <w:r>
              <w:rPr>
                <w:rFonts w:hint="eastAsia" w:ascii="宋体" w:hAnsi="宋体" w:eastAsia="宋体" w:cs="宋体"/>
                <w:color w:val="auto"/>
                <w:sz w:val="24"/>
                <w:szCs w:val="24"/>
                <w:highlight w:val="none"/>
              </w:rPr>
              <w:t>宣传和投诉处理</w:t>
            </w:r>
            <w:r>
              <w:rPr>
                <w:rFonts w:hint="eastAsia" w:ascii="宋体" w:hAnsi="宋体" w:eastAsia="宋体" w:cs="宋体"/>
                <w:color w:val="auto"/>
                <w:sz w:val="24"/>
                <w:szCs w:val="24"/>
                <w:highlight w:val="none"/>
                <w:lang w:eastAsia="zh-CN"/>
              </w:rPr>
              <w:t>。</w:t>
            </w:r>
          </w:p>
        </w:tc>
        <w:tc>
          <w:tcPr>
            <w:tcW w:w="2976" w:type="dxa"/>
            <w:noWrap w:val="0"/>
            <w:vAlign w:val="center"/>
          </w:tcPr>
          <w:p w14:paraId="38B3ED7B">
            <w:pPr>
              <w:keepNext w:val="0"/>
              <w:keepLines w:val="0"/>
              <w:pageBreakBefore w:val="0"/>
              <w:kinsoku/>
              <w:wordWrap/>
              <w:overflowPunct/>
              <w:topLinePunct w:val="0"/>
              <w:autoSpaceDE/>
              <w:autoSpaceDN/>
              <w:bidi w:val="0"/>
              <w:adjustRightInd w:val="0"/>
              <w:snapToGrid/>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驻点公园，每周在岗</w:t>
            </w:r>
            <w:r>
              <w:rPr>
                <w:rFonts w:hint="eastAsia" w:ascii="宋体" w:hAnsi="宋体" w:eastAsia="宋体" w:cs="宋体"/>
                <w:color w:val="auto"/>
                <w:sz w:val="24"/>
                <w:szCs w:val="24"/>
                <w:highlight w:val="none"/>
                <w:lang w:val="en-US" w:eastAsia="zh-CN"/>
              </w:rPr>
              <w:t>5天。</w:t>
            </w:r>
          </w:p>
        </w:tc>
        <w:tc>
          <w:tcPr>
            <w:tcW w:w="1883" w:type="dxa"/>
            <w:vMerge w:val="continue"/>
            <w:noWrap w:val="0"/>
            <w:vAlign w:val="top"/>
          </w:tcPr>
          <w:p w14:paraId="27EFB05F">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color w:val="auto"/>
                <w:sz w:val="24"/>
                <w:szCs w:val="24"/>
                <w:highlight w:val="none"/>
              </w:rPr>
            </w:pPr>
          </w:p>
        </w:tc>
      </w:tr>
      <w:tr w14:paraId="4C6A4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833" w:type="dxa"/>
            <w:noWrap w:val="0"/>
            <w:vAlign w:val="top"/>
          </w:tcPr>
          <w:p w14:paraId="2E6833E3">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小计</w:t>
            </w:r>
          </w:p>
        </w:tc>
        <w:tc>
          <w:tcPr>
            <w:tcW w:w="816" w:type="dxa"/>
            <w:noWrap w:val="0"/>
            <w:vAlign w:val="top"/>
          </w:tcPr>
          <w:p w14:paraId="540A4586">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7789" w:type="dxa"/>
            <w:gridSpan w:val="3"/>
            <w:noWrap w:val="0"/>
            <w:vAlign w:val="top"/>
          </w:tcPr>
          <w:p w14:paraId="28A69856">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color w:val="auto"/>
                <w:sz w:val="24"/>
                <w:szCs w:val="24"/>
                <w:highlight w:val="none"/>
              </w:rPr>
            </w:pPr>
          </w:p>
        </w:tc>
      </w:tr>
      <w:tr w14:paraId="4F939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833" w:type="dxa"/>
            <w:noWrap w:val="0"/>
            <w:vAlign w:val="center"/>
          </w:tcPr>
          <w:p w14:paraId="14D237BD">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kern w:val="0"/>
                <w:sz w:val="24"/>
                <w:szCs w:val="24"/>
                <w:highlight w:val="none"/>
                <w:lang w:eastAsia="zh-CN"/>
              </w:rPr>
              <w:t>主要职责</w:t>
            </w:r>
          </w:p>
          <w:p w14:paraId="0B932966">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4"/>
                <w:szCs w:val="24"/>
                <w:highlight w:val="none"/>
              </w:rPr>
            </w:pPr>
          </w:p>
        </w:tc>
        <w:tc>
          <w:tcPr>
            <w:tcW w:w="8605" w:type="dxa"/>
            <w:gridSpan w:val="4"/>
            <w:noWrap w:val="0"/>
            <w:vAlign w:val="top"/>
          </w:tcPr>
          <w:p w14:paraId="14D0A3CD">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1.对</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负责，全面开展好本服务项目；对项目提出完善性建议性意见，供</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参考，以实现本服务项目质量持续改进的目标；配合</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开展公园相关管理活动；</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要求</w:t>
            </w:r>
            <w:r>
              <w:rPr>
                <w:rFonts w:hint="eastAsia" w:ascii="宋体" w:hAnsi="宋体" w:eastAsia="宋体" w:cs="宋体"/>
                <w:color w:val="auto"/>
                <w:kern w:val="0"/>
                <w:sz w:val="24"/>
                <w:szCs w:val="24"/>
                <w:highlight w:val="none"/>
                <w:lang w:eastAsia="zh-CN"/>
              </w:rPr>
              <w:t>的其他</w:t>
            </w:r>
            <w:r>
              <w:rPr>
                <w:rFonts w:hint="eastAsia" w:ascii="宋体" w:hAnsi="宋体" w:eastAsia="宋体" w:cs="宋体"/>
                <w:color w:val="auto"/>
                <w:kern w:val="0"/>
                <w:sz w:val="24"/>
                <w:szCs w:val="24"/>
                <w:highlight w:val="none"/>
              </w:rPr>
              <w:t>与本项目服务内容有关的工作。</w:t>
            </w:r>
          </w:p>
          <w:p w14:paraId="18C57BD1">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2.对</w:t>
            </w:r>
            <w:r>
              <w:rPr>
                <w:rFonts w:hint="eastAsia" w:ascii="宋体" w:hAnsi="宋体" w:eastAsia="宋体" w:cs="宋体"/>
                <w:color w:val="auto"/>
                <w:kern w:val="0"/>
                <w:sz w:val="24"/>
                <w:szCs w:val="24"/>
                <w:highlight w:val="none"/>
                <w:lang w:eastAsia="zh-CN"/>
              </w:rPr>
              <w:t>作业队伍</w:t>
            </w:r>
            <w:r>
              <w:rPr>
                <w:rFonts w:hint="eastAsia" w:ascii="宋体" w:hAnsi="宋体" w:eastAsia="宋体" w:cs="宋体"/>
                <w:color w:val="auto"/>
                <w:kern w:val="0"/>
                <w:sz w:val="24"/>
                <w:szCs w:val="24"/>
                <w:highlight w:val="none"/>
              </w:rPr>
              <w:t>的作业人员进行全面管理，制定各项管理制度，对其开展的各专项工作进行检查、</w:t>
            </w:r>
            <w:r>
              <w:rPr>
                <w:rFonts w:hint="eastAsia" w:ascii="宋体" w:hAnsi="宋体" w:eastAsia="宋体" w:cs="宋体"/>
                <w:color w:val="auto"/>
                <w:kern w:val="0"/>
                <w:sz w:val="24"/>
                <w:szCs w:val="24"/>
                <w:highlight w:val="none"/>
                <w:lang w:eastAsia="zh-CN"/>
              </w:rPr>
              <w:t>考核</w:t>
            </w:r>
            <w:r>
              <w:rPr>
                <w:rFonts w:hint="eastAsia" w:ascii="宋体" w:hAnsi="宋体" w:eastAsia="宋体" w:cs="宋体"/>
                <w:color w:val="auto"/>
                <w:kern w:val="0"/>
                <w:sz w:val="24"/>
                <w:szCs w:val="24"/>
                <w:highlight w:val="none"/>
              </w:rPr>
              <w:t>，确保人员到位、服务质量达标；负责对</w:t>
            </w:r>
            <w:r>
              <w:rPr>
                <w:rFonts w:hint="eastAsia" w:ascii="宋体" w:hAnsi="宋体" w:eastAsia="宋体" w:cs="宋体"/>
                <w:color w:val="auto"/>
                <w:kern w:val="0"/>
                <w:sz w:val="24"/>
                <w:szCs w:val="24"/>
                <w:highlight w:val="none"/>
                <w:lang w:eastAsia="zh-CN"/>
              </w:rPr>
              <w:t>作业队伍</w:t>
            </w:r>
            <w:r>
              <w:rPr>
                <w:rFonts w:hint="eastAsia" w:ascii="宋体" w:hAnsi="宋体" w:eastAsia="宋体" w:cs="宋体"/>
                <w:color w:val="auto"/>
                <w:kern w:val="0"/>
                <w:sz w:val="24"/>
                <w:szCs w:val="24"/>
                <w:highlight w:val="none"/>
              </w:rPr>
              <w:t>人员进行聘用、人员培训、合理分工、应急演练等</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及时妥善解决好</w:t>
            </w:r>
            <w:r>
              <w:rPr>
                <w:rFonts w:hint="eastAsia" w:ascii="宋体" w:hAnsi="宋体" w:eastAsia="宋体" w:cs="宋体"/>
                <w:color w:val="auto"/>
                <w:kern w:val="0"/>
                <w:sz w:val="24"/>
                <w:szCs w:val="24"/>
                <w:highlight w:val="none"/>
                <w:lang w:eastAsia="zh-CN"/>
              </w:rPr>
              <w:t>作业队伍</w:t>
            </w:r>
            <w:r>
              <w:rPr>
                <w:rFonts w:hint="eastAsia" w:ascii="宋体" w:hAnsi="宋体" w:eastAsia="宋体" w:cs="宋体"/>
                <w:color w:val="auto"/>
                <w:kern w:val="0"/>
                <w:sz w:val="24"/>
                <w:szCs w:val="24"/>
                <w:highlight w:val="none"/>
              </w:rPr>
              <w:t>在一线作业中存在的各类问题。</w:t>
            </w:r>
          </w:p>
          <w:p w14:paraId="1950C100">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3.定期收集市民游客对公园</w:t>
            </w:r>
            <w:r>
              <w:rPr>
                <w:rFonts w:hint="eastAsia" w:ascii="宋体" w:hAnsi="宋体" w:eastAsia="宋体" w:cs="宋体"/>
                <w:color w:val="auto"/>
                <w:kern w:val="0"/>
                <w:sz w:val="24"/>
                <w:szCs w:val="24"/>
                <w:highlight w:val="none"/>
                <w:lang w:eastAsia="zh-CN"/>
              </w:rPr>
              <w:t>综合</w:t>
            </w:r>
            <w:r>
              <w:rPr>
                <w:rFonts w:hint="eastAsia" w:ascii="宋体" w:hAnsi="宋体" w:eastAsia="宋体" w:cs="宋体"/>
                <w:color w:val="auto"/>
                <w:kern w:val="0"/>
                <w:sz w:val="24"/>
                <w:szCs w:val="24"/>
                <w:highlight w:val="none"/>
              </w:rPr>
              <w:t>服务相关的各类意见和建议，对属于本服务项目服务范围内的合理意见和建议，提出相应措施方案，在工作中予以完善改进；对不属于本服务项目服务范围内的，书面整理后反馈</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，并为公园完善改进市民游客服务体验提供技术指导支持。</w:t>
            </w:r>
          </w:p>
          <w:p w14:paraId="4A248DA0">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要求完成的与本项目服务</w:t>
            </w:r>
            <w:r>
              <w:rPr>
                <w:rFonts w:hint="eastAsia" w:ascii="宋体" w:hAnsi="宋体" w:eastAsia="宋体" w:cs="宋体"/>
                <w:color w:val="auto"/>
                <w:kern w:val="0"/>
                <w:sz w:val="24"/>
                <w:szCs w:val="24"/>
                <w:highlight w:val="none"/>
                <w:lang w:eastAsia="zh-CN"/>
              </w:rPr>
              <w:t>相关的其他</w:t>
            </w:r>
            <w:r>
              <w:rPr>
                <w:rFonts w:hint="eastAsia" w:ascii="宋体" w:hAnsi="宋体" w:eastAsia="宋体" w:cs="宋体"/>
                <w:color w:val="auto"/>
                <w:kern w:val="0"/>
                <w:sz w:val="24"/>
                <w:szCs w:val="24"/>
                <w:highlight w:val="none"/>
              </w:rPr>
              <w:t xml:space="preserve">工作。 </w:t>
            </w:r>
          </w:p>
        </w:tc>
      </w:tr>
      <w:tr w14:paraId="4C793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833" w:type="dxa"/>
            <w:noWrap w:val="0"/>
            <w:vAlign w:val="center"/>
          </w:tcPr>
          <w:p w14:paraId="7032BF78">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color w:val="auto"/>
                <w:sz w:val="24"/>
                <w:szCs w:val="24"/>
                <w:highlight w:val="none"/>
              </w:rPr>
            </w:pPr>
            <w:bookmarkStart w:id="26" w:name="_Hlk23199169"/>
            <w:r>
              <w:rPr>
                <w:rFonts w:hint="eastAsia" w:ascii="宋体" w:hAnsi="宋体" w:eastAsia="宋体" w:cs="宋体"/>
                <w:b/>
                <w:bCs/>
                <w:color w:val="auto"/>
                <w:kern w:val="0"/>
                <w:sz w:val="24"/>
                <w:szCs w:val="24"/>
                <w:highlight w:val="none"/>
                <w:lang w:eastAsia="zh-CN"/>
              </w:rPr>
              <w:t>其他要求</w:t>
            </w:r>
            <w:bookmarkEnd w:id="26"/>
          </w:p>
        </w:tc>
        <w:tc>
          <w:tcPr>
            <w:tcW w:w="8605" w:type="dxa"/>
            <w:gridSpan w:val="4"/>
            <w:noWrap w:val="0"/>
            <w:vAlign w:val="top"/>
          </w:tcPr>
          <w:p w14:paraId="246E6D0C">
            <w:pPr>
              <w:keepNext w:val="0"/>
              <w:keepLines w:val="0"/>
              <w:pageBreakBefore w:val="0"/>
              <w:kinsoku/>
              <w:wordWrap/>
              <w:overflowPunct/>
              <w:topLinePunct w:val="0"/>
              <w:autoSpaceDE/>
              <w:autoSpaceDN/>
              <w:bidi w:val="0"/>
              <w:adjustRightInd w:val="0"/>
              <w:snapToGrid/>
              <w:jc w:val="left"/>
              <w:textAlignment w:val="auto"/>
              <w:rPr>
                <w:rFonts w:hint="eastAsia" w:ascii="宋体" w:hAnsi="宋体" w:eastAsia="宋体" w:cs="宋体"/>
                <w:b/>
                <w:bCs/>
                <w:color w:val="auto"/>
                <w:kern w:val="0"/>
                <w:sz w:val="24"/>
                <w:szCs w:val="24"/>
                <w:highlight w:val="none"/>
                <w:lang w:eastAsia="zh-CN"/>
              </w:rPr>
            </w:pPr>
            <w:r>
              <w:rPr>
                <w:rFonts w:hint="eastAsia" w:ascii="宋体" w:hAnsi="宋体" w:eastAsia="宋体" w:cs="宋体"/>
                <w:b w:val="0"/>
                <w:bCs w:val="0"/>
                <w:color w:val="auto"/>
                <w:kern w:val="0"/>
                <w:sz w:val="24"/>
                <w:szCs w:val="24"/>
                <w:highlight w:val="none"/>
                <w:lang w:eastAsia="zh-CN"/>
              </w:rPr>
              <w:t>中标人</w:t>
            </w:r>
            <w:r>
              <w:rPr>
                <w:rFonts w:hint="eastAsia" w:ascii="宋体" w:hAnsi="宋体" w:eastAsia="宋体" w:cs="宋体"/>
                <w:b w:val="0"/>
                <w:bCs w:val="0"/>
                <w:color w:val="auto"/>
                <w:kern w:val="0"/>
                <w:sz w:val="24"/>
                <w:szCs w:val="24"/>
                <w:highlight w:val="none"/>
              </w:rPr>
              <w:t>须按以上岗位要求建立项目管理团队，包括且不限于以上岗位，原则上不允许更换，特殊情况需</w:t>
            </w:r>
            <w:r>
              <w:rPr>
                <w:rFonts w:hint="eastAsia" w:ascii="宋体" w:hAnsi="宋体" w:eastAsia="宋体" w:cs="宋体"/>
                <w:b w:val="0"/>
                <w:bCs w:val="0"/>
                <w:color w:val="auto"/>
                <w:sz w:val="24"/>
                <w:szCs w:val="24"/>
                <w:highlight w:val="none"/>
              </w:rPr>
              <w:t>更换时须提前向</w:t>
            </w:r>
            <w:r>
              <w:rPr>
                <w:rFonts w:hint="eastAsia" w:ascii="宋体" w:hAnsi="宋体" w:eastAsia="宋体" w:cs="宋体"/>
                <w:b w:val="0"/>
                <w:bCs w:val="0"/>
                <w:color w:val="auto"/>
                <w:sz w:val="24"/>
                <w:szCs w:val="24"/>
                <w:highlight w:val="none"/>
                <w:lang w:eastAsia="zh-CN"/>
              </w:rPr>
              <w:t>采购人书面</w:t>
            </w:r>
            <w:r>
              <w:rPr>
                <w:rFonts w:hint="eastAsia" w:ascii="宋体" w:hAnsi="宋体" w:eastAsia="宋体" w:cs="宋体"/>
                <w:b w:val="0"/>
                <w:bCs w:val="0"/>
                <w:color w:val="auto"/>
                <w:sz w:val="24"/>
                <w:szCs w:val="24"/>
                <w:highlight w:val="none"/>
              </w:rPr>
              <w:t>申请，</w:t>
            </w:r>
            <w:r>
              <w:rPr>
                <w:rFonts w:hint="eastAsia" w:ascii="宋体" w:hAnsi="宋体" w:eastAsia="宋体" w:cs="宋体"/>
                <w:b w:val="0"/>
                <w:bCs w:val="0"/>
                <w:color w:val="auto"/>
                <w:sz w:val="24"/>
                <w:szCs w:val="24"/>
                <w:highlight w:val="none"/>
                <w:lang w:eastAsia="zh-CN"/>
              </w:rPr>
              <w:t>并经采购人同意</w:t>
            </w:r>
            <w:r>
              <w:rPr>
                <w:rFonts w:hint="eastAsia" w:ascii="宋体" w:hAnsi="宋体" w:eastAsia="宋体" w:cs="宋体"/>
                <w:b w:val="0"/>
                <w:bCs w:val="0"/>
                <w:color w:val="auto"/>
                <w:sz w:val="24"/>
                <w:szCs w:val="24"/>
                <w:highlight w:val="none"/>
              </w:rPr>
              <w:t>完成相应的审批手续，未经</w:t>
            </w:r>
            <w:r>
              <w:rPr>
                <w:rFonts w:hint="eastAsia" w:ascii="宋体" w:hAnsi="宋体" w:eastAsia="宋体" w:cs="宋体"/>
                <w:b w:val="0"/>
                <w:bCs w:val="0"/>
                <w:color w:val="auto"/>
                <w:sz w:val="24"/>
                <w:szCs w:val="24"/>
                <w:highlight w:val="none"/>
                <w:lang w:eastAsia="zh-CN"/>
              </w:rPr>
              <w:t>采购人</w:t>
            </w:r>
            <w:r>
              <w:rPr>
                <w:rFonts w:hint="eastAsia" w:ascii="宋体" w:hAnsi="宋体" w:eastAsia="宋体" w:cs="宋体"/>
                <w:b w:val="0"/>
                <w:bCs w:val="0"/>
                <w:color w:val="auto"/>
                <w:sz w:val="24"/>
                <w:szCs w:val="24"/>
                <w:highlight w:val="none"/>
              </w:rPr>
              <w:t>同意，擅自更换，将进行相应的扣罚。</w:t>
            </w:r>
            <w:r>
              <w:rPr>
                <w:rFonts w:hint="eastAsia" w:ascii="宋体" w:hAnsi="宋体" w:eastAsia="宋体" w:cs="宋体"/>
                <w:b w:val="0"/>
                <w:bCs w:val="0"/>
                <w:color w:val="auto"/>
                <w:kern w:val="0"/>
                <w:sz w:val="24"/>
                <w:szCs w:val="24"/>
                <w:highlight w:val="none"/>
              </w:rPr>
              <w:t>对于工作能力不能满足</w:t>
            </w:r>
            <w:r>
              <w:rPr>
                <w:rFonts w:hint="eastAsia" w:ascii="宋体" w:hAnsi="宋体" w:eastAsia="宋体" w:cs="宋体"/>
                <w:b w:val="0"/>
                <w:bCs w:val="0"/>
                <w:color w:val="auto"/>
                <w:kern w:val="0"/>
                <w:sz w:val="24"/>
                <w:szCs w:val="24"/>
                <w:highlight w:val="none"/>
                <w:lang w:eastAsia="zh-CN"/>
              </w:rPr>
              <w:t>采购人</w:t>
            </w:r>
            <w:r>
              <w:rPr>
                <w:rFonts w:hint="eastAsia" w:ascii="宋体" w:hAnsi="宋体" w:eastAsia="宋体" w:cs="宋体"/>
                <w:b w:val="0"/>
                <w:bCs w:val="0"/>
                <w:color w:val="auto"/>
                <w:kern w:val="0"/>
                <w:sz w:val="24"/>
                <w:szCs w:val="24"/>
                <w:highlight w:val="none"/>
              </w:rPr>
              <w:t>需求的，</w:t>
            </w:r>
            <w:r>
              <w:rPr>
                <w:rFonts w:hint="eastAsia" w:ascii="宋体" w:hAnsi="宋体" w:eastAsia="宋体" w:cs="宋体"/>
                <w:b w:val="0"/>
                <w:bCs w:val="0"/>
                <w:color w:val="auto"/>
                <w:kern w:val="0"/>
                <w:sz w:val="24"/>
                <w:szCs w:val="24"/>
                <w:highlight w:val="none"/>
                <w:lang w:eastAsia="zh-CN"/>
              </w:rPr>
              <w:t>采购人</w:t>
            </w:r>
            <w:r>
              <w:rPr>
                <w:rFonts w:hint="eastAsia" w:ascii="宋体" w:hAnsi="宋体" w:eastAsia="宋体" w:cs="宋体"/>
                <w:b w:val="0"/>
                <w:bCs w:val="0"/>
                <w:color w:val="auto"/>
                <w:kern w:val="0"/>
                <w:sz w:val="24"/>
                <w:szCs w:val="24"/>
                <w:highlight w:val="none"/>
              </w:rPr>
              <w:t>有权要求</w:t>
            </w:r>
            <w:r>
              <w:rPr>
                <w:rFonts w:hint="eastAsia" w:ascii="宋体" w:hAnsi="宋体" w:eastAsia="宋体" w:cs="宋体"/>
                <w:b w:val="0"/>
                <w:bCs w:val="0"/>
                <w:color w:val="auto"/>
                <w:kern w:val="0"/>
                <w:sz w:val="24"/>
                <w:szCs w:val="24"/>
                <w:highlight w:val="none"/>
                <w:lang w:eastAsia="zh-CN"/>
              </w:rPr>
              <w:t>中标人</w:t>
            </w:r>
            <w:r>
              <w:rPr>
                <w:rFonts w:hint="eastAsia" w:ascii="宋体" w:hAnsi="宋体" w:eastAsia="宋体" w:cs="宋体"/>
                <w:b w:val="0"/>
                <w:bCs w:val="0"/>
                <w:color w:val="auto"/>
                <w:kern w:val="0"/>
                <w:sz w:val="24"/>
                <w:szCs w:val="24"/>
                <w:highlight w:val="none"/>
              </w:rPr>
              <w:t>更换相应能满足工作要求的工作人员，</w:t>
            </w:r>
            <w:r>
              <w:rPr>
                <w:rFonts w:hint="eastAsia" w:ascii="宋体" w:hAnsi="宋体" w:eastAsia="宋体" w:cs="宋体"/>
                <w:b w:val="0"/>
                <w:bCs w:val="0"/>
                <w:color w:val="auto"/>
                <w:kern w:val="0"/>
                <w:sz w:val="24"/>
                <w:szCs w:val="24"/>
                <w:highlight w:val="none"/>
                <w:lang w:eastAsia="zh-CN"/>
              </w:rPr>
              <w:t>中标人</w:t>
            </w:r>
            <w:r>
              <w:rPr>
                <w:rFonts w:hint="eastAsia" w:ascii="宋体" w:hAnsi="宋体" w:eastAsia="宋体" w:cs="宋体"/>
                <w:b w:val="0"/>
                <w:bCs w:val="0"/>
                <w:color w:val="auto"/>
                <w:kern w:val="0"/>
                <w:sz w:val="24"/>
                <w:szCs w:val="24"/>
                <w:highlight w:val="none"/>
              </w:rPr>
              <w:t xml:space="preserve">需要在15日之内更换。   </w:t>
            </w:r>
          </w:p>
        </w:tc>
      </w:tr>
    </w:tbl>
    <w:p w14:paraId="61FF5355">
      <w:pPr>
        <w:widowControl/>
        <w:tabs>
          <w:tab w:val="left" w:pos="851"/>
        </w:tabs>
        <w:adjustRightInd/>
        <w:spacing w:line="360" w:lineRule="auto"/>
        <w:ind w:firstLine="480" w:firstLineChars="200"/>
        <w:rPr>
          <w:rFonts w:hint="eastAsia"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（二）“作业队伍”主要职责及岗位设置标准</w:t>
      </w:r>
    </w:p>
    <w:tbl>
      <w:tblPr>
        <w:tblStyle w:val="62"/>
        <w:tblW w:w="98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1049"/>
        <w:gridCol w:w="752"/>
        <w:gridCol w:w="2898"/>
        <w:gridCol w:w="1720"/>
        <w:gridCol w:w="1181"/>
        <w:gridCol w:w="1520"/>
      </w:tblGrid>
      <w:tr w14:paraId="32ABF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779" w:type="dxa"/>
            <w:noWrap w:val="0"/>
            <w:vAlign w:val="center"/>
          </w:tcPr>
          <w:p w14:paraId="16892078">
            <w:pPr>
              <w:widowControl/>
              <w:adjustRightInd/>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类别</w:t>
            </w:r>
          </w:p>
        </w:tc>
        <w:tc>
          <w:tcPr>
            <w:tcW w:w="1049" w:type="dxa"/>
            <w:noWrap w:val="0"/>
            <w:vAlign w:val="center"/>
          </w:tcPr>
          <w:p w14:paraId="725AB1A1">
            <w:pPr>
              <w:widowControl/>
              <w:adjustRightInd/>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岗位</w:t>
            </w:r>
          </w:p>
          <w:p w14:paraId="4F3D2478">
            <w:pPr>
              <w:widowControl/>
              <w:adjustRightInd/>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名称</w:t>
            </w:r>
          </w:p>
        </w:tc>
        <w:tc>
          <w:tcPr>
            <w:tcW w:w="752" w:type="dxa"/>
            <w:noWrap w:val="0"/>
            <w:vAlign w:val="center"/>
          </w:tcPr>
          <w:p w14:paraId="34BFE951">
            <w:pPr>
              <w:widowControl/>
              <w:adjustRightInd/>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岗位数量</w:t>
            </w:r>
          </w:p>
        </w:tc>
        <w:tc>
          <w:tcPr>
            <w:tcW w:w="2898" w:type="dxa"/>
            <w:noWrap w:val="0"/>
            <w:vAlign w:val="center"/>
          </w:tcPr>
          <w:p w14:paraId="2537E9D7">
            <w:pPr>
              <w:widowControl/>
              <w:adjustRightInd/>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岗位职责</w:t>
            </w:r>
          </w:p>
        </w:tc>
        <w:tc>
          <w:tcPr>
            <w:tcW w:w="1720" w:type="dxa"/>
            <w:noWrap w:val="0"/>
            <w:vAlign w:val="center"/>
          </w:tcPr>
          <w:p w14:paraId="7201C7CE">
            <w:pPr>
              <w:widowControl/>
              <w:adjustRightInd/>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任职条件（执业资格、年龄、工作经验等）</w:t>
            </w:r>
          </w:p>
        </w:tc>
        <w:tc>
          <w:tcPr>
            <w:tcW w:w="1181" w:type="dxa"/>
            <w:noWrap w:val="0"/>
            <w:vAlign w:val="center"/>
          </w:tcPr>
          <w:p w14:paraId="77043E6D">
            <w:pPr>
              <w:widowControl/>
              <w:adjustRightInd/>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上岗时间</w:t>
            </w:r>
          </w:p>
        </w:tc>
        <w:tc>
          <w:tcPr>
            <w:tcW w:w="1520" w:type="dxa"/>
            <w:noWrap w:val="0"/>
            <w:vAlign w:val="center"/>
          </w:tcPr>
          <w:p w14:paraId="3144FB60">
            <w:pPr>
              <w:widowControl/>
              <w:adjustRightInd/>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p>
        </w:tc>
      </w:tr>
      <w:tr w14:paraId="6E4B6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779" w:type="dxa"/>
            <w:noWrap w:val="0"/>
            <w:vAlign w:val="center"/>
          </w:tcPr>
          <w:p w14:paraId="6686FB1B">
            <w:pPr>
              <w:widowControl/>
              <w:adjustRightInd/>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绿化</w:t>
            </w:r>
          </w:p>
        </w:tc>
        <w:tc>
          <w:tcPr>
            <w:tcW w:w="1049" w:type="dxa"/>
            <w:noWrap w:val="0"/>
            <w:vAlign w:val="center"/>
          </w:tcPr>
          <w:p w14:paraId="5116191A">
            <w:pPr>
              <w:widowControl/>
              <w:adjustRightInd/>
              <w:jc w:val="center"/>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绿化</w:t>
            </w:r>
          </w:p>
          <w:p w14:paraId="4504C76B">
            <w:pPr>
              <w:widowControl/>
              <w:adjustRightInd/>
              <w:jc w:val="center"/>
              <w:rPr>
                <w:rFonts w:hint="eastAsia" w:ascii="宋体" w:hAnsi="宋体" w:eastAsia="宋体" w:cs="宋体"/>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养护</w:t>
            </w:r>
          </w:p>
        </w:tc>
        <w:tc>
          <w:tcPr>
            <w:tcW w:w="752" w:type="dxa"/>
            <w:noWrap w:val="0"/>
            <w:vAlign w:val="center"/>
          </w:tcPr>
          <w:p w14:paraId="219FA43F">
            <w:pPr>
              <w:widowControl/>
              <w:adjustRightInd/>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p>
        </w:tc>
        <w:tc>
          <w:tcPr>
            <w:tcW w:w="2898" w:type="dxa"/>
            <w:noWrap w:val="0"/>
            <w:vAlign w:val="center"/>
          </w:tcPr>
          <w:p w14:paraId="50D4BDCF">
            <w:pPr>
              <w:widowControl w:val="0"/>
              <w:ind w:firstLine="0" w:firstLineChars="0"/>
              <w:jc w:val="both"/>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负责园内植物修剪、浇水、施肥、除杂草、植物补植、植物病虫害防治防台防汛等工作；掌握绿化机械设备的使用和对使用的机具进行清洁、保养。</w:t>
            </w:r>
          </w:p>
        </w:tc>
        <w:tc>
          <w:tcPr>
            <w:tcW w:w="1720" w:type="dxa"/>
            <w:noWrap w:val="0"/>
            <w:vAlign w:val="center"/>
          </w:tcPr>
          <w:p w14:paraId="6F6A7A09">
            <w:pPr>
              <w:widowControl/>
              <w:adjustRightInd/>
              <w:jc w:val="left"/>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有相关工作经验，法定工作年龄</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且须具备人社部门或者主管部门认证的绿化工或草坪工证书</w:t>
            </w:r>
          </w:p>
        </w:tc>
        <w:tc>
          <w:tcPr>
            <w:tcW w:w="1181" w:type="dxa"/>
            <w:noWrap w:val="0"/>
            <w:vAlign w:val="center"/>
          </w:tcPr>
          <w:p w14:paraId="161E6043">
            <w:pPr>
              <w:widowControl/>
              <w:adjustRightInd/>
              <w:jc w:val="left"/>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每</w:t>
            </w:r>
            <w:r>
              <w:rPr>
                <w:rFonts w:hint="eastAsia" w:ascii="宋体" w:hAnsi="宋体" w:eastAsia="宋体" w:cs="宋体"/>
                <w:color w:val="auto"/>
                <w:sz w:val="24"/>
                <w:szCs w:val="24"/>
                <w:highlight w:val="none"/>
                <w:lang w:val="en-US" w:eastAsia="zh-CN"/>
              </w:rPr>
              <w:t>日</w:t>
            </w:r>
            <w:r>
              <w:rPr>
                <w:rFonts w:hint="eastAsia" w:ascii="宋体" w:hAnsi="宋体" w:eastAsia="宋体" w:cs="宋体"/>
                <w:color w:val="auto"/>
                <w:sz w:val="24"/>
                <w:szCs w:val="24"/>
                <w:highlight w:val="none"/>
                <w:lang w:eastAsia="zh-CN"/>
              </w:rPr>
              <w:t>在岗不少于</w:t>
            </w:r>
            <w:r>
              <w:rPr>
                <w:rFonts w:hint="eastAsia" w:ascii="宋体" w:hAnsi="宋体" w:eastAsia="宋体" w:cs="宋体"/>
                <w:color w:val="auto"/>
                <w:sz w:val="24"/>
                <w:szCs w:val="24"/>
                <w:highlight w:val="none"/>
                <w:lang w:val="en-US" w:eastAsia="zh-CN"/>
              </w:rPr>
              <w:t>8小时</w:t>
            </w:r>
          </w:p>
        </w:tc>
        <w:tc>
          <w:tcPr>
            <w:tcW w:w="1520" w:type="dxa"/>
            <w:noWrap w:val="0"/>
            <w:vAlign w:val="center"/>
          </w:tcPr>
          <w:p w14:paraId="051F3B0C">
            <w:pPr>
              <w:widowControl/>
              <w:adjustRightInd/>
              <w:jc w:val="left"/>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绿化工或草坪工证书</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允许中标人在合同签订后6个月内配足</w:t>
            </w:r>
            <w:r>
              <w:rPr>
                <w:rFonts w:hint="eastAsia" w:ascii="宋体" w:hAnsi="宋体" w:cs="宋体"/>
                <w:color w:val="auto"/>
                <w:sz w:val="24"/>
                <w:szCs w:val="24"/>
                <w:highlight w:val="none"/>
                <w:lang w:val="en-US" w:eastAsia="zh-CN"/>
              </w:rPr>
              <w:t>，否则考核后进行扣罚。</w:t>
            </w:r>
          </w:p>
        </w:tc>
      </w:tr>
      <w:tr w14:paraId="17F40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779" w:type="dxa"/>
            <w:vMerge w:val="restart"/>
            <w:noWrap w:val="0"/>
            <w:vAlign w:val="center"/>
          </w:tcPr>
          <w:p w14:paraId="25CE650D">
            <w:pPr>
              <w:widowControl/>
              <w:adjustRightInd/>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保洁</w:t>
            </w:r>
          </w:p>
        </w:tc>
        <w:tc>
          <w:tcPr>
            <w:tcW w:w="1049" w:type="dxa"/>
            <w:noWrap w:val="0"/>
            <w:vAlign w:val="center"/>
          </w:tcPr>
          <w:p w14:paraId="6A3D4D7F">
            <w:pPr>
              <w:widowControl/>
              <w:adjustRightInd/>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广场铺装深度保洁</w:t>
            </w:r>
          </w:p>
        </w:tc>
        <w:tc>
          <w:tcPr>
            <w:tcW w:w="752" w:type="dxa"/>
            <w:noWrap w:val="0"/>
            <w:vAlign w:val="center"/>
          </w:tcPr>
          <w:p w14:paraId="59170E1C">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2898" w:type="dxa"/>
            <w:noWrap w:val="0"/>
            <w:vAlign w:val="center"/>
          </w:tcPr>
          <w:p w14:paraId="7F0F86B1">
            <w:pPr>
              <w:widowControl/>
              <w:adjustRightInd/>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负责户外公共区域内广场铺装、路面、绿化的深度保洁，确保公共区域的保洁符合“席地而坐”公园的卫生标准。</w:t>
            </w:r>
          </w:p>
        </w:tc>
        <w:tc>
          <w:tcPr>
            <w:tcW w:w="1720" w:type="dxa"/>
            <w:noWrap w:val="0"/>
            <w:vAlign w:val="center"/>
          </w:tcPr>
          <w:p w14:paraId="34170576">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有相关工作经验，法定工作年龄</w:t>
            </w:r>
          </w:p>
        </w:tc>
        <w:tc>
          <w:tcPr>
            <w:tcW w:w="1181" w:type="dxa"/>
            <w:noWrap w:val="0"/>
            <w:vAlign w:val="center"/>
          </w:tcPr>
          <w:p w14:paraId="6F0956E8">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每</w:t>
            </w:r>
            <w:r>
              <w:rPr>
                <w:rFonts w:hint="eastAsia" w:ascii="宋体" w:hAnsi="宋体" w:eastAsia="宋体" w:cs="宋体"/>
                <w:color w:val="auto"/>
                <w:sz w:val="24"/>
                <w:szCs w:val="24"/>
                <w:highlight w:val="none"/>
                <w:lang w:val="en-US" w:eastAsia="zh-CN"/>
              </w:rPr>
              <w:t>日</w:t>
            </w:r>
            <w:r>
              <w:rPr>
                <w:rFonts w:hint="eastAsia" w:ascii="宋体" w:hAnsi="宋体" w:eastAsia="宋体" w:cs="宋体"/>
                <w:color w:val="auto"/>
                <w:sz w:val="24"/>
                <w:szCs w:val="24"/>
                <w:highlight w:val="none"/>
                <w:lang w:eastAsia="zh-CN"/>
              </w:rPr>
              <w:t>在岗不少于</w:t>
            </w:r>
            <w:r>
              <w:rPr>
                <w:rFonts w:hint="eastAsia" w:ascii="宋体" w:hAnsi="宋体" w:eastAsia="宋体" w:cs="宋体"/>
                <w:color w:val="auto"/>
                <w:sz w:val="24"/>
                <w:szCs w:val="24"/>
                <w:highlight w:val="none"/>
                <w:lang w:val="en-US" w:eastAsia="zh-CN"/>
              </w:rPr>
              <w:t>10小时</w:t>
            </w:r>
          </w:p>
        </w:tc>
        <w:tc>
          <w:tcPr>
            <w:tcW w:w="1520" w:type="dxa"/>
            <w:noWrap w:val="0"/>
            <w:vAlign w:val="center"/>
          </w:tcPr>
          <w:p w14:paraId="1B620F15">
            <w:pPr>
              <w:widowControl/>
              <w:adjustRightInd/>
              <w:jc w:val="left"/>
              <w:rPr>
                <w:rFonts w:hint="eastAsia" w:ascii="宋体" w:hAnsi="宋体" w:eastAsia="宋体" w:cs="宋体"/>
                <w:color w:val="auto"/>
                <w:sz w:val="24"/>
                <w:szCs w:val="24"/>
                <w:highlight w:val="none"/>
                <w:lang w:val="en-US" w:eastAsia="zh-CN"/>
              </w:rPr>
            </w:pPr>
          </w:p>
        </w:tc>
      </w:tr>
      <w:tr w14:paraId="5161B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779" w:type="dxa"/>
            <w:vMerge w:val="continue"/>
            <w:noWrap w:val="0"/>
            <w:vAlign w:val="center"/>
          </w:tcPr>
          <w:p w14:paraId="4E738942">
            <w:pPr>
              <w:widowControl/>
              <w:adjustRightInd/>
              <w:jc w:val="center"/>
              <w:rPr>
                <w:rFonts w:hint="eastAsia" w:ascii="宋体" w:hAnsi="宋体" w:eastAsia="宋体" w:cs="宋体"/>
                <w:b/>
                <w:bCs/>
                <w:color w:val="auto"/>
                <w:sz w:val="24"/>
                <w:szCs w:val="24"/>
                <w:highlight w:val="none"/>
                <w:lang w:eastAsia="zh-CN"/>
              </w:rPr>
            </w:pPr>
          </w:p>
        </w:tc>
        <w:tc>
          <w:tcPr>
            <w:tcW w:w="1049" w:type="dxa"/>
            <w:noWrap w:val="0"/>
            <w:vAlign w:val="center"/>
          </w:tcPr>
          <w:p w14:paraId="7CFDFEC6">
            <w:pPr>
              <w:widowControl/>
              <w:adjustRightInd/>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设施深度保洁</w:t>
            </w:r>
          </w:p>
        </w:tc>
        <w:tc>
          <w:tcPr>
            <w:tcW w:w="752" w:type="dxa"/>
            <w:noWrap w:val="0"/>
            <w:vAlign w:val="center"/>
          </w:tcPr>
          <w:p w14:paraId="1848EBC2">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2898" w:type="dxa"/>
            <w:noWrap w:val="0"/>
            <w:vAlign w:val="center"/>
          </w:tcPr>
          <w:p w14:paraId="0FDD157D">
            <w:pPr>
              <w:widowControl/>
              <w:adjustRightInd/>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负责户外公共区域内建构筑物、城市家具、游乐设施的深度保洁，确保公共区域的保洁符合“席地而坐”公园的卫生标准。</w:t>
            </w:r>
          </w:p>
        </w:tc>
        <w:tc>
          <w:tcPr>
            <w:tcW w:w="1720" w:type="dxa"/>
            <w:noWrap w:val="0"/>
            <w:vAlign w:val="center"/>
          </w:tcPr>
          <w:p w14:paraId="4B392F24">
            <w:pPr>
              <w:widowControl/>
              <w:adjustRightInd/>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有相关工作经验，法定工作年龄</w:t>
            </w:r>
          </w:p>
        </w:tc>
        <w:tc>
          <w:tcPr>
            <w:tcW w:w="1181" w:type="dxa"/>
            <w:noWrap w:val="0"/>
            <w:vAlign w:val="center"/>
          </w:tcPr>
          <w:p w14:paraId="5792E925">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w:t>
            </w:r>
            <w:r>
              <w:rPr>
                <w:rFonts w:hint="eastAsia" w:ascii="宋体" w:hAnsi="宋体" w:eastAsia="宋体" w:cs="宋体"/>
                <w:color w:val="auto"/>
                <w:sz w:val="24"/>
                <w:szCs w:val="24"/>
                <w:highlight w:val="none"/>
                <w:lang w:val="en-US" w:eastAsia="zh-CN"/>
              </w:rPr>
              <w:t>日</w:t>
            </w:r>
            <w:r>
              <w:rPr>
                <w:rFonts w:hint="eastAsia" w:ascii="宋体" w:hAnsi="宋体" w:eastAsia="宋体" w:cs="宋体"/>
                <w:color w:val="auto"/>
                <w:sz w:val="24"/>
                <w:szCs w:val="24"/>
                <w:highlight w:val="none"/>
                <w:lang w:eastAsia="zh-CN"/>
              </w:rPr>
              <w:t>在岗不少于</w:t>
            </w:r>
            <w:r>
              <w:rPr>
                <w:rFonts w:hint="eastAsia" w:ascii="宋体" w:hAnsi="宋体" w:eastAsia="宋体" w:cs="宋体"/>
                <w:color w:val="auto"/>
                <w:sz w:val="24"/>
                <w:szCs w:val="24"/>
                <w:highlight w:val="none"/>
                <w:lang w:val="en-US" w:eastAsia="zh-CN"/>
              </w:rPr>
              <w:t>8小时</w:t>
            </w:r>
          </w:p>
        </w:tc>
        <w:tc>
          <w:tcPr>
            <w:tcW w:w="1520" w:type="dxa"/>
            <w:noWrap w:val="0"/>
            <w:vAlign w:val="center"/>
          </w:tcPr>
          <w:p w14:paraId="72255773">
            <w:pPr>
              <w:widowControl/>
              <w:adjustRightInd/>
              <w:jc w:val="left"/>
              <w:rPr>
                <w:rFonts w:hint="eastAsia" w:ascii="宋体" w:hAnsi="宋体" w:eastAsia="宋体" w:cs="宋体"/>
                <w:color w:val="auto"/>
                <w:sz w:val="24"/>
                <w:szCs w:val="24"/>
                <w:highlight w:val="none"/>
                <w:lang w:val="en-US" w:eastAsia="zh-CN"/>
              </w:rPr>
            </w:pPr>
          </w:p>
        </w:tc>
      </w:tr>
      <w:tr w14:paraId="2CE35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779" w:type="dxa"/>
            <w:vMerge w:val="continue"/>
            <w:noWrap w:val="0"/>
            <w:vAlign w:val="center"/>
          </w:tcPr>
          <w:p w14:paraId="6936A68B">
            <w:pPr>
              <w:widowControl/>
              <w:adjustRightInd/>
              <w:jc w:val="center"/>
              <w:rPr>
                <w:rFonts w:hint="eastAsia" w:ascii="宋体" w:hAnsi="宋体" w:eastAsia="宋体" w:cs="宋体"/>
                <w:b/>
                <w:bCs/>
                <w:color w:val="auto"/>
                <w:sz w:val="24"/>
                <w:szCs w:val="24"/>
                <w:highlight w:val="none"/>
              </w:rPr>
            </w:pPr>
          </w:p>
        </w:tc>
        <w:tc>
          <w:tcPr>
            <w:tcW w:w="1049" w:type="dxa"/>
            <w:noWrap w:val="0"/>
            <w:vAlign w:val="center"/>
          </w:tcPr>
          <w:p w14:paraId="5665E9BB">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公厕</w:t>
            </w:r>
          </w:p>
          <w:p w14:paraId="208E8B38">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保洁</w:t>
            </w:r>
          </w:p>
        </w:tc>
        <w:tc>
          <w:tcPr>
            <w:tcW w:w="752" w:type="dxa"/>
            <w:noWrap w:val="0"/>
            <w:vAlign w:val="center"/>
          </w:tcPr>
          <w:p w14:paraId="6D5F763F">
            <w:pPr>
              <w:widowControl/>
              <w:adjustRightInd/>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5</w:t>
            </w:r>
          </w:p>
        </w:tc>
        <w:tc>
          <w:tcPr>
            <w:tcW w:w="2898" w:type="dxa"/>
            <w:noWrap w:val="0"/>
            <w:vAlign w:val="center"/>
          </w:tcPr>
          <w:p w14:paraId="4B047EFA">
            <w:pPr>
              <w:widowControl/>
              <w:adjustRightInd/>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负责</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公共厕所</w:t>
            </w:r>
            <w:r>
              <w:rPr>
                <w:rFonts w:hint="eastAsia" w:ascii="宋体" w:hAnsi="宋体" w:eastAsia="宋体" w:cs="宋体"/>
                <w:color w:val="auto"/>
                <w:sz w:val="24"/>
                <w:szCs w:val="24"/>
                <w:highlight w:val="none"/>
                <w:lang w:eastAsia="zh-CN"/>
              </w:rPr>
              <w:t>、母婴室等的</w:t>
            </w:r>
            <w:r>
              <w:rPr>
                <w:rFonts w:hint="eastAsia" w:ascii="宋体" w:hAnsi="宋体" w:eastAsia="宋体" w:cs="宋体"/>
                <w:color w:val="auto"/>
                <w:sz w:val="24"/>
                <w:szCs w:val="24"/>
                <w:highlight w:val="none"/>
              </w:rPr>
              <w:t>卫生保洁。</w:t>
            </w:r>
          </w:p>
        </w:tc>
        <w:tc>
          <w:tcPr>
            <w:tcW w:w="1720" w:type="dxa"/>
            <w:noWrap w:val="0"/>
            <w:vAlign w:val="center"/>
          </w:tcPr>
          <w:p w14:paraId="4EF39385">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有相关工作经验，法定工作年龄</w:t>
            </w:r>
          </w:p>
        </w:tc>
        <w:tc>
          <w:tcPr>
            <w:tcW w:w="1181" w:type="dxa"/>
            <w:noWrap w:val="0"/>
            <w:vAlign w:val="center"/>
          </w:tcPr>
          <w:p w14:paraId="123D7D83">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w:t>
            </w:r>
            <w:r>
              <w:rPr>
                <w:rFonts w:hint="eastAsia" w:ascii="宋体" w:hAnsi="宋体" w:eastAsia="宋体" w:cs="宋体"/>
                <w:color w:val="auto"/>
                <w:sz w:val="24"/>
                <w:szCs w:val="24"/>
                <w:highlight w:val="none"/>
                <w:lang w:val="en-US" w:eastAsia="zh-CN"/>
              </w:rPr>
              <w:t>日</w:t>
            </w:r>
            <w:r>
              <w:rPr>
                <w:rFonts w:hint="eastAsia" w:ascii="宋体" w:hAnsi="宋体" w:eastAsia="宋体" w:cs="宋体"/>
                <w:color w:val="auto"/>
                <w:sz w:val="24"/>
                <w:szCs w:val="24"/>
                <w:highlight w:val="none"/>
                <w:lang w:eastAsia="zh-CN"/>
              </w:rPr>
              <w:t>在岗不少于</w:t>
            </w:r>
            <w:r>
              <w:rPr>
                <w:rFonts w:hint="eastAsia" w:ascii="宋体" w:hAnsi="宋体" w:eastAsia="宋体" w:cs="宋体"/>
                <w:color w:val="auto"/>
                <w:sz w:val="24"/>
                <w:szCs w:val="24"/>
                <w:highlight w:val="none"/>
                <w:lang w:val="en-US" w:eastAsia="zh-CN"/>
              </w:rPr>
              <w:t>16小时</w:t>
            </w:r>
          </w:p>
        </w:tc>
        <w:tc>
          <w:tcPr>
            <w:tcW w:w="1520" w:type="dxa"/>
            <w:noWrap w:val="0"/>
            <w:vAlign w:val="top"/>
          </w:tcPr>
          <w:p w14:paraId="7FF026E3">
            <w:pPr>
              <w:widowControl/>
              <w:adjustRightInd/>
              <w:jc w:val="center"/>
              <w:rPr>
                <w:rFonts w:hint="eastAsia" w:ascii="宋体" w:hAnsi="宋体" w:eastAsia="宋体" w:cs="宋体"/>
                <w:color w:val="auto"/>
                <w:sz w:val="24"/>
                <w:szCs w:val="24"/>
                <w:highlight w:val="none"/>
                <w:lang w:val="en-US" w:eastAsia="zh-CN"/>
              </w:rPr>
            </w:pPr>
          </w:p>
        </w:tc>
      </w:tr>
      <w:tr w14:paraId="6AC48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6" w:hRule="atLeast"/>
          <w:jc w:val="center"/>
        </w:trPr>
        <w:tc>
          <w:tcPr>
            <w:tcW w:w="779" w:type="dxa"/>
            <w:vMerge w:val="continue"/>
            <w:noWrap w:val="0"/>
            <w:vAlign w:val="center"/>
          </w:tcPr>
          <w:p w14:paraId="4FBA76CE">
            <w:pPr>
              <w:widowControl/>
              <w:adjustRightInd/>
              <w:jc w:val="center"/>
              <w:rPr>
                <w:rFonts w:hint="eastAsia" w:ascii="宋体" w:hAnsi="宋体" w:eastAsia="宋体" w:cs="宋体"/>
                <w:b/>
                <w:bCs/>
                <w:color w:val="auto"/>
                <w:sz w:val="24"/>
                <w:szCs w:val="24"/>
                <w:highlight w:val="none"/>
              </w:rPr>
            </w:pPr>
          </w:p>
        </w:tc>
        <w:tc>
          <w:tcPr>
            <w:tcW w:w="1049" w:type="dxa"/>
            <w:noWrap w:val="0"/>
            <w:vAlign w:val="center"/>
          </w:tcPr>
          <w:p w14:paraId="002D539A">
            <w:pPr>
              <w:widowControl/>
              <w:adjustRightInd/>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水域</w:t>
            </w:r>
          </w:p>
          <w:p w14:paraId="4ECA3BD4">
            <w:pPr>
              <w:widowControl/>
              <w:adjustRightInd/>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保洁</w:t>
            </w:r>
          </w:p>
        </w:tc>
        <w:tc>
          <w:tcPr>
            <w:tcW w:w="752" w:type="dxa"/>
            <w:noWrap w:val="0"/>
            <w:vAlign w:val="center"/>
          </w:tcPr>
          <w:p w14:paraId="6D9F1F13">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2898" w:type="dxa"/>
            <w:noWrap w:val="0"/>
            <w:vAlign w:val="center"/>
          </w:tcPr>
          <w:p w14:paraId="320E8828">
            <w:pPr>
              <w:widowControl/>
              <w:adjustRightInd/>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负责公园水域保洁</w:t>
            </w:r>
          </w:p>
        </w:tc>
        <w:tc>
          <w:tcPr>
            <w:tcW w:w="1720" w:type="dxa"/>
            <w:noWrap w:val="0"/>
            <w:vAlign w:val="center"/>
          </w:tcPr>
          <w:p w14:paraId="69E812AE">
            <w:pPr>
              <w:widowControl/>
              <w:adjustRightInd/>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有相关工作经验，法定工作年龄，会游泳</w:t>
            </w:r>
          </w:p>
        </w:tc>
        <w:tc>
          <w:tcPr>
            <w:tcW w:w="1181" w:type="dxa"/>
            <w:noWrap w:val="0"/>
            <w:vAlign w:val="center"/>
          </w:tcPr>
          <w:p w14:paraId="76A107CD">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w:t>
            </w:r>
            <w:r>
              <w:rPr>
                <w:rFonts w:hint="eastAsia" w:ascii="宋体" w:hAnsi="宋体" w:eastAsia="宋体" w:cs="宋体"/>
                <w:color w:val="auto"/>
                <w:sz w:val="24"/>
                <w:szCs w:val="24"/>
                <w:highlight w:val="none"/>
                <w:lang w:val="en-US" w:eastAsia="zh-CN"/>
              </w:rPr>
              <w:t>日</w:t>
            </w:r>
            <w:r>
              <w:rPr>
                <w:rFonts w:hint="eastAsia" w:ascii="宋体" w:hAnsi="宋体" w:eastAsia="宋体" w:cs="宋体"/>
                <w:color w:val="auto"/>
                <w:sz w:val="24"/>
                <w:szCs w:val="24"/>
                <w:highlight w:val="none"/>
                <w:lang w:eastAsia="zh-CN"/>
              </w:rPr>
              <w:t>在岗不少于</w:t>
            </w:r>
            <w:r>
              <w:rPr>
                <w:rFonts w:hint="eastAsia" w:ascii="宋体" w:hAnsi="宋体" w:eastAsia="宋体" w:cs="宋体"/>
                <w:color w:val="auto"/>
                <w:sz w:val="24"/>
                <w:szCs w:val="24"/>
                <w:highlight w:val="none"/>
                <w:lang w:val="en-US" w:eastAsia="zh-CN"/>
              </w:rPr>
              <w:t>8小时</w:t>
            </w:r>
          </w:p>
        </w:tc>
        <w:tc>
          <w:tcPr>
            <w:tcW w:w="1520" w:type="dxa"/>
            <w:noWrap w:val="0"/>
            <w:vAlign w:val="top"/>
          </w:tcPr>
          <w:p w14:paraId="32D5AE1A">
            <w:pPr>
              <w:widowControl/>
              <w:adjustRightInd/>
              <w:jc w:val="center"/>
              <w:rPr>
                <w:rFonts w:hint="eastAsia" w:ascii="宋体" w:hAnsi="宋体" w:eastAsia="宋体" w:cs="宋体"/>
                <w:color w:val="auto"/>
                <w:sz w:val="24"/>
                <w:szCs w:val="24"/>
                <w:highlight w:val="none"/>
              </w:rPr>
            </w:pPr>
          </w:p>
        </w:tc>
      </w:tr>
      <w:tr w14:paraId="16F64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779" w:type="dxa"/>
            <w:vMerge w:val="restart"/>
            <w:noWrap w:val="0"/>
            <w:vAlign w:val="center"/>
          </w:tcPr>
          <w:p w14:paraId="0EFD3ED2">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安保服务</w:t>
            </w:r>
          </w:p>
        </w:tc>
        <w:tc>
          <w:tcPr>
            <w:tcW w:w="1049" w:type="dxa"/>
            <w:noWrap w:val="0"/>
            <w:vAlign w:val="center"/>
          </w:tcPr>
          <w:p w14:paraId="69321178">
            <w:pPr>
              <w:widowControl/>
              <w:adjustRightInd/>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eastAsia="zh-CN"/>
              </w:rPr>
              <w:t>保安</w:t>
            </w:r>
            <w:r>
              <w:rPr>
                <w:rFonts w:hint="eastAsia" w:ascii="宋体" w:hAnsi="宋体" w:eastAsia="宋体" w:cs="宋体"/>
                <w:color w:val="auto"/>
                <w:kern w:val="0"/>
                <w:sz w:val="24"/>
                <w:szCs w:val="24"/>
                <w:highlight w:val="none"/>
                <w:lang w:val="en-US" w:eastAsia="zh-CN"/>
              </w:rPr>
              <w:t>员（24小时）</w:t>
            </w:r>
          </w:p>
        </w:tc>
        <w:tc>
          <w:tcPr>
            <w:tcW w:w="752" w:type="dxa"/>
            <w:noWrap w:val="0"/>
            <w:vAlign w:val="center"/>
          </w:tcPr>
          <w:p w14:paraId="42340ED2">
            <w:pPr>
              <w:widowControl/>
              <w:adjustRightInd/>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6</w:t>
            </w:r>
          </w:p>
        </w:tc>
        <w:tc>
          <w:tcPr>
            <w:tcW w:w="2898" w:type="dxa"/>
            <w:vMerge w:val="restart"/>
            <w:noWrap w:val="0"/>
            <w:vAlign w:val="center"/>
          </w:tcPr>
          <w:p w14:paraId="79554F44">
            <w:pPr>
              <w:widowControl/>
              <w:adjustRightInd/>
              <w:jc w:val="both"/>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负责园区安全生产，维护园区游客秩序工作</w:t>
            </w:r>
            <w:r>
              <w:rPr>
                <w:rFonts w:hint="eastAsia" w:ascii="宋体" w:hAnsi="宋体" w:eastAsia="宋体" w:cs="宋体"/>
                <w:color w:val="auto"/>
                <w:kern w:val="0"/>
                <w:sz w:val="24"/>
                <w:szCs w:val="24"/>
                <w:highlight w:val="none"/>
                <w:lang w:eastAsia="zh-CN"/>
              </w:rPr>
              <w:t>；</w:t>
            </w:r>
            <w:r>
              <w:rPr>
                <w:rFonts w:hint="eastAsia" w:ascii="宋体" w:hAnsi="宋体" w:eastAsia="宋体" w:cs="宋体"/>
                <w:b w:val="0"/>
                <w:bCs w:val="0"/>
                <w:color w:val="auto"/>
                <w:sz w:val="24"/>
                <w:szCs w:val="24"/>
                <w:highlight w:val="none"/>
                <w:shd w:val="clear" w:color="auto" w:fill="FFFFFF"/>
                <w:lang w:val="zh-TW" w:eastAsia="zh-CN" w:bidi="zh-TW"/>
              </w:rPr>
              <w:t>负责</w:t>
            </w:r>
            <w:r>
              <w:rPr>
                <w:rFonts w:hint="eastAsia" w:ascii="宋体" w:hAnsi="宋体" w:eastAsia="宋体" w:cs="宋体"/>
                <w:b w:val="0"/>
                <w:bCs w:val="0"/>
                <w:color w:val="auto"/>
                <w:sz w:val="24"/>
                <w:szCs w:val="24"/>
                <w:highlight w:val="none"/>
                <w:shd w:val="clear" w:color="auto" w:fill="FFFFFF"/>
                <w:lang w:val="en-US" w:eastAsia="zh-CN" w:bidi="zh-TW"/>
              </w:rPr>
              <w:t>监控室24小时管理。</w:t>
            </w:r>
          </w:p>
        </w:tc>
        <w:tc>
          <w:tcPr>
            <w:tcW w:w="1720" w:type="dxa"/>
            <w:vMerge w:val="restart"/>
            <w:noWrap w:val="0"/>
            <w:vAlign w:val="center"/>
          </w:tcPr>
          <w:p w14:paraId="735937DD">
            <w:pPr>
              <w:widowControl/>
              <w:adjustRightInd/>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有相关工作经验。55</w:t>
            </w:r>
            <w:r>
              <w:rPr>
                <w:rFonts w:hint="eastAsia" w:ascii="宋体" w:hAnsi="宋体" w:eastAsia="宋体" w:cs="宋体"/>
                <w:color w:val="auto"/>
                <w:sz w:val="24"/>
                <w:szCs w:val="24"/>
                <w:highlight w:val="none"/>
                <w:lang w:val="en-US" w:eastAsia="zh-CN"/>
              </w:rPr>
              <w:t>周</w:t>
            </w:r>
            <w:r>
              <w:rPr>
                <w:rFonts w:hint="eastAsia" w:ascii="宋体" w:hAnsi="宋体" w:eastAsia="宋体" w:cs="宋体"/>
                <w:color w:val="auto"/>
                <w:sz w:val="24"/>
                <w:szCs w:val="24"/>
                <w:highlight w:val="none"/>
              </w:rPr>
              <w:t>岁</w:t>
            </w:r>
            <w:r>
              <w:rPr>
                <w:rFonts w:hint="eastAsia" w:ascii="宋体" w:hAnsi="宋体" w:eastAsia="宋体" w:cs="宋体"/>
                <w:color w:val="auto"/>
                <w:kern w:val="0"/>
                <w:sz w:val="24"/>
                <w:szCs w:val="24"/>
                <w:highlight w:val="none"/>
              </w:rPr>
              <w:t>以下。</w:t>
            </w:r>
          </w:p>
        </w:tc>
        <w:tc>
          <w:tcPr>
            <w:tcW w:w="1181" w:type="dxa"/>
            <w:noWrap w:val="0"/>
            <w:vAlign w:val="center"/>
          </w:tcPr>
          <w:p w14:paraId="229AB345">
            <w:pPr>
              <w:widowControl/>
              <w:adjustRightInd/>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每日24小时</w:t>
            </w:r>
            <w:r>
              <w:rPr>
                <w:rFonts w:hint="eastAsia" w:ascii="宋体" w:hAnsi="宋体" w:eastAsia="宋体" w:cs="宋体"/>
                <w:color w:val="auto"/>
                <w:kern w:val="0"/>
                <w:sz w:val="24"/>
                <w:szCs w:val="24"/>
                <w:highlight w:val="none"/>
              </w:rPr>
              <w:t>在岗</w:t>
            </w:r>
          </w:p>
        </w:tc>
        <w:tc>
          <w:tcPr>
            <w:tcW w:w="1520" w:type="dxa"/>
            <w:vMerge w:val="restart"/>
            <w:noWrap w:val="0"/>
            <w:vAlign w:val="center"/>
          </w:tcPr>
          <w:p w14:paraId="1685704C">
            <w:pPr>
              <w:widowControl/>
              <w:adjustRightInd/>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sz w:val="24"/>
                <w:szCs w:val="24"/>
                <w:highlight w:val="none"/>
                <w:lang w:eastAsia="zh-CN"/>
              </w:rPr>
              <w:t>每年</w:t>
            </w:r>
            <w:r>
              <w:rPr>
                <w:rFonts w:hint="eastAsia" w:ascii="宋体" w:hAnsi="宋体" w:eastAsia="宋体" w:cs="宋体"/>
                <w:color w:val="auto"/>
                <w:sz w:val="24"/>
                <w:szCs w:val="24"/>
                <w:highlight w:val="none"/>
                <w:lang w:val="en-US" w:eastAsia="zh-CN"/>
              </w:rPr>
              <w:t>6-8月</w:t>
            </w:r>
            <w:r>
              <w:rPr>
                <w:rFonts w:hint="eastAsia" w:ascii="宋体" w:hAnsi="宋体" w:eastAsia="宋体" w:cs="宋体"/>
                <w:color w:val="auto"/>
                <w:sz w:val="24"/>
                <w:szCs w:val="24"/>
                <w:highlight w:val="none"/>
                <w:lang w:eastAsia="zh-CN"/>
              </w:rPr>
              <w:t>增派</w:t>
            </w:r>
            <w:r>
              <w:rPr>
                <w:rFonts w:hint="eastAsia" w:ascii="宋体" w:hAnsi="宋体" w:eastAsia="宋体" w:cs="宋体"/>
                <w:color w:val="auto"/>
                <w:sz w:val="24"/>
                <w:szCs w:val="24"/>
                <w:highlight w:val="none"/>
                <w:lang w:val="en-US" w:eastAsia="zh-CN"/>
              </w:rPr>
              <w:t>5岗（13:00-21：00）</w:t>
            </w:r>
          </w:p>
        </w:tc>
      </w:tr>
      <w:tr w14:paraId="7EDDB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79" w:type="dxa"/>
            <w:vMerge w:val="continue"/>
            <w:noWrap w:val="0"/>
            <w:vAlign w:val="center"/>
          </w:tcPr>
          <w:p w14:paraId="2D2C97D4">
            <w:pPr>
              <w:widowControl/>
              <w:adjustRightInd/>
              <w:jc w:val="center"/>
              <w:rPr>
                <w:rFonts w:hint="eastAsia" w:ascii="宋体" w:hAnsi="宋体" w:eastAsia="宋体" w:cs="宋体"/>
                <w:b/>
                <w:bCs/>
                <w:color w:val="auto"/>
                <w:kern w:val="0"/>
                <w:sz w:val="24"/>
                <w:szCs w:val="24"/>
                <w:highlight w:val="none"/>
              </w:rPr>
            </w:pPr>
          </w:p>
        </w:tc>
        <w:tc>
          <w:tcPr>
            <w:tcW w:w="1049" w:type="dxa"/>
            <w:noWrap w:val="0"/>
            <w:vAlign w:val="center"/>
          </w:tcPr>
          <w:p w14:paraId="2E2F856D">
            <w:pPr>
              <w:widowControl/>
              <w:adjustRightInd/>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eastAsia="zh-CN"/>
              </w:rPr>
              <w:t>保安员</w:t>
            </w:r>
            <w:r>
              <w:rPr>
                <w:rFonts w:hint="eastAsia" w:ascii="宋体" w:hAnsi="宋体" w:eastAsia="宋体" w:cs="宋体"/>
                <w:color w:val="auto"/>
                <w:kern w:val="0"/>
                <w:sz w:val="24"/>
                <w:szCs w:val="24"/>
                <w:highlight w:val="none"/>
                <w:lang w:val="en-US" w:eastAsia="zh-CN"/>
              </w:rPr>
              <w:t>（16小时）</w:t>
            </w:r>
          </w:p>
        </w:tc>
        <w:tc>
          <w:tcPr>
            <w:tcW w:w="752" w:type="dxa"/>
            <w:noWrap w:val="0"/>
            <w:vAlign w:val="center"/>
          </w:tcPr>
          <w:p w14:paraId="3B48FB48">
            <w:pPr>
              <w:widowControl/>
              <w:adjustRightInd/>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6</w:t>
            </w:r>
          </w:p>
        </w:tc>
        <w:tc>
          <w:tcPr>
            <w:tcW w:w="2898" w:type="dxa"/>
            <w:vMerge w:val="continue"/>
            <w:noWrap w:val="0"/>
            <w:vAlign w:val="center"/>
          </w:tcPr>
          <w:p w14:paraId="445ACCC3">
            <w:pPr>
              <w:widowControl/>
              <w:adjustRightInd/>
              <w:jc w:val="both"/>
              <w:rPr>
                <w:rFonts w:hint="eastAsia" w:ascii="宋体" w:hAnsi="宋体" w:eastAsia="宋体" w:cs="宋体"/>
                <w:color w:val="auto"/>
                <w:kern w:val="0"/>
                <w:sz w:val="24"/>
                <w:szCs w:val="24"/>
                <w:highlight w:val="none"/>
              </w:rPr>
            </w:pPr>
          </w:p>
        </w:tc>
        <w:tc>
          <w:tcPr>
            <w:tcW w:w="1720" w:type="dxa"/>
            <w:vMerge w:val="continue"/>
            <w:noWrap w:val="0"/>
            <w:vAlign w:val="center"/>
          </w:tcPr>
          <w:p w14:paraId="67A6C656">
            <w:pPr>
              <w:widowControl/>
              <w:adjustRightInd/>
              <w:jc w:val="left"/>
              <w:rPr>
                <w:rFonts w:hint="eastAsia" w:ascii="宋体" w:hAnsi="宋体" w:eastAsia="宋体" w:cs="宋体"/>
                <w:color w:val="auto"/>
                <w:kern w:val="0"/>
                <w:sz w:val="24"/>
                <w:szCs w:val="24"/>
                <w:highlight w:val="none"/>
              </w:rPr>
            </w:pPr>
          </w:p>
        </w:tc>
        <w:tc>
          <w:tcPr>
            <w:tcW w:w="1181" w:type="dxa"/>
            <w:noWrap w:val="0"/>
            <w:vAlign w:val="center"/>
          </w:tcPr>
          <w:p w14:paraId="35A9ABD5">
            <w:pPr>
              <w:widowControl/>
              <w:adjustRightInd/>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每</w:t>
            </w:r>
            <w:r>
              <w:rPr>
                <w:rFonts w:hint="eastAsia" w:ascii="宋体" w:hAnsi="宋体" w:eastAsia="宋体" w:cs="宋体"/>
                <w:color w:val="auto"/>
                <w:kern w:val="0"/>
                <w:sz w:val="24"/>
                <w:szCs w:val="24"/>
                <w:highlight w:val="none"/>
                <w:lang w:eastAsia="zh-CN"/>
              </w:rPr>
              <w:t>日</w:t>
            </w:r>
            <w:r>
              <w:rPr>
                <w:rFonts w:hint="eastAsia" w:ascii="宋体" w:hAnsi="宋体" w:eastAsia="宋体" w:cs="宋体"/>
                <w:color w:val="auto"/>
                <w:kern w:val="0"/>
                <w:sz w:val="24"/>
                <w:szCs w:val="24"/>
                <w:highlight w:val="none"/>
                <w:lang w:val="en-US" w:eastAsia="zh-CN"/>
              </w:rPr>
              <w:t>16小时</w:t>
            </w:r>
            <w:r>
              <w:rPr>
                <w:rFonts w:hint="eastAsia" w:ascii="宋体" w:hAnsi="宋体" w:eastAsia="宋体" w:cs="宋体"/>
                <w:color w:val="auto"/>
                <w:kern w:val="0"/>
                <w:sz w:val="24"/>
                <w:szCs w:val="24"/>
                <w:highlight w:val="none"/>
              </w:rPr>
              <w:t>在岗</w:t>
            </w:r>
          </w:p>
        </w:tc>
        <w:tc>
          <w:tcPr>
            <w:tcW w:w="1520" w:type="dxa"/>
            <w:vMerge w:val="continue"/>
            <w:noWrap w:val="0"/>
            <w:vAlign w:val="center"/>
          </w:tcPr>
          <w:p w14:paraId="23AB908F">
            <w:pPr>
              <w:widowControl/>
              <w:adjustRightInd/>
              <w:jc w:val="both"/>
              <w:rPr>
                <w:rFonts w:hint="eastAsia" w:ascii="宋体" w:hAnsi="宋体" w:eastAsia="宋体" w:cs="宋体"/>
                <w:color w:val="auto"/>
                <w:kern w:val="0"/>
                <w:sz w:val="24"/>
                <w:szCs w:val="24"/>
                <w:highlight w:val="none"/>
                <w:lang w:val="en-US" w:eastAsia="zh-CN"/>
              </w:rPr>
            </w:pPr>
          </w:p>
        </w:tc>
      </w:tr>
      <w:tr w14:paraId="3409B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79" w:type="dxa"/>
            <w:vMerge w:val="continue"/>
            <w:noWrap w:val="0"/>
            <w:vAlign w:val="center"/>
          </w:tcPr>
          <w:p w14:paraId="7A666229">
            <w:pPr>
              <w:widowControl/>
              <w:adjustRightInd/>
              <w:jc w:val="center"/>
              <w:rPr>
                <w:rFonts w:hint="eastAsia" w:ascii="宋体" w:hAnsi="宋体" w:eastAsia="宋体" w:cs="宋体"/>
                <w:b/>
                <w:bCs/>
                <w:color w:val="auto"/>
                <w:kern w:val="0"/>
                <w:sz w:val="24"/>
                <w:szCs w:val="24"/>
                <w:highlight w:val="none"/>
              </w:rPr>
            </w:pPr>
          </w:p>
        </w:tc>
        <w:tc>
          <w:tcPr>
            <w:tcW w:w="1049" w:type="dxa"/>
            <w:noWrap w:val="0"/>
            <w:vAlign w:val="center"/>
          </w:tcPr>
          <w:p w14:paraId="5E43EF00">
            <w:pPr>
              <w:widowControl/>
              <w:adjustRightInd/>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监控室（</w:t>
            </w:r>
            <w:r>
              <w:rPr>
                <w:rFonts w:hint="eastAsia" w:ascii="宋体" w:hAnsi="宋体" w:eastAsia="宋体" w:cs="宋体"/>
                <w:color w:val="auto"/>
                <w:kern w:val="0"/>
                <w:sz w:val="24"/>
                <w:szCs w:val="24"/>
                <w:highlight w:val="none"/>
                <w:lang w:val="en-US" w:eastAsia="zh-CN"/>
              </w:rPr>
              <w:t>12小时</w:t>
            </w:r>
            <w:r>
              <w:rPr>
                <w:rFonts w:hint="eastAsia" w:ascii="宋体" w:hAnsi="宋体" w:eastAsia="宋体" w:cs="宋体"/>
                <w:color w:val="auto"/>
                <w:kern w:val="0"/>
                <w:sz w:val="24"/>
                <w:szCs w:val="24"/>
                <w:highlight w:val="none"/>
                <w:lang w:eastAsia="zh-CN"/>
              </w:rPr>
              <w:t>）</w:t>
            </w:r>
          </w:p>
        </w:tc>
        <w:tc>
          <w:tcPr>
            <w:tcW w:w="752" w:type="dxa"/>
            <w:noWrap w:val="0"/>
            <w:vAlign w:val="center"/>
          </w:tcPr>
          <w:p w14:paraId="72CFE44B">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2898" w:type="dxa"/>
            <w:vMerge w:val="continue"/>
            <w:noWrap w:val="0"/>
            <w:vAlign w:val="center"/>
          </w:tcPr>
          <w:p w14:paraId="6C24A2BD">
            <w:pPr>
              <w:widowControl/>
              <w:adjustRightInd/>
              <w:jc w:val="both"/>
              <w:rPr>
                <w:rFonts w:hint="eastAsia" w:ascii="宋体" w:hAnsi="宋体" w:eastAsia="宋体" w:cs="宋体"/>
                <w:color w:val="auto"/>
                <w:kern w:val="0"/>
                <w:sz w:val="24"/>
                <w:szCs w:val="24"/>
                <w:highlight w:val="none"/>
              </w:rPr>
            </w:pPr>
          </w:p>
        </w:tc>
        <w:tc>
          <w:tcPr>
            <w:tcW w:w="1720" w:type="dxa"/>
            <w:vMerge w:val="continue"/>
            <w:noWrap w:val="0"/>
            <w:vAlign w:val="center"/>
          </w:tcPr>
          <w:p w14:paraId="6867A35A">
            <w:pPr>
              <w:widowControl/>
              <w:adjustRightInd/>
              <w:jc w:val="left"/>
              <w:rPr>
                <w:rFonts w:hint="eastAsia" w:ascii="宋体" w:hAnsi="宋体" w:eastAsia="宋体" w:cs="宋体"/>
                <w:color w:val="auto"/>
                <w:kern w:val="0"/>
                <w:sz w:val="24"/>
                <w:szCs w:val="24"/>
                <w:highlight w:val="none"/>
              </w:rPr>
            </w:pPr>
          </w:p>
        </w:tc>
        <w:tc>
          <w:tcPr>
            <w:tcW w:w="1181" w:type="dxa"/>
            <w:noWrap w:val="0"/>
            <w:vAlign w:val="center"/>
          </w:tcPr>
          <w:p w14:paraId="60FB051A">
            <w:pPr>
              <w:widowControl/>
              <w:adjustRightInd/>
              <w:jc w:val="both"/>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rPr>
              <w:t>每日12小时</w:t>
            </w:r>
            <w:r>
              <w:rPr>
                <w:rFonts w:hint="eastAsia" w:ascii="宋体" w:hAnsi="宋体" w:eastAsia="宋体" w:cs="宋体"/>
                <w:color w:val="auto"/>
                <w:kern w:val="0"/>
                <w:sz w:val="24"/>
                <w:szCs w:val="24"/>
                <w:highlight w:val="none"/>
              </w:rPr>
              <w:t>在岗</w:t>
            </w:r>
          </w:p>
        </w:tc>
        <w:tc>
          <w:tcPr>
            <w:tcW w:w="1520" w:type="dxa"/>
            <w:noWrap w:val="0"/>
            <w:vAlign w:val="center"/>
          </w:tcPr>
          <w:p w14:paraId="075C5EF5">
            <w:pPr>
              <w:widowControl/>
              <w:adjustRightInd/>
              <w:jc w:val="both"/>
              <w:rPr>
                <w:rFonts w:hint="eastAsia" w:ascii="宋体" w:hAnsi="宋体" w:eastAsia="宋体" w:cs="宋体"/>
                <w:color w:val="auto"/>
                <w:kern w:val="0"/>
                <w:sz w:val="24"/>
                <w:szCs w:val="24"/>
                <w:highlight w:val="none"/>
                <w:lang w:eastAsia="zh-CN"/>
              </w:rPr>
            </w:pPr>
          </w:p>
        </w:tc>
      </w:tr>
      <w:tr w14:paraId="0918D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79" w:type="dxa"/>
            <w:noWrap w:val="0"/>
            <w:vAlign w:val="top"/>
          </w:tcPr>
          <w:p w14:paraId="204C379C">
            <w:pPr>
              <w:widowControl/>
              <w:adjustRightInd/>
              <w:jc w:val="center"/>
              <w:rPr>
                <w:rFonts w:hint="eastAsia" w:ascii="宋体" w:hAnsi="宋体" w:eastAsia="宋体" w:cs="宋体"/>
                <w:color w:val="auto"/>
                <w:kern w:val="0"/>
                <w:sz w:val="24"/>
                <w:szCs w:val="24"/>
                <w:highlight w:val="none"/>
              </w:rPr>
            </w:pPr>
          </w:p>
        </w:tc>
        <w:tc>
          <w:tcPr>
            <w:tcW w:w="1049" w:type="dxa"/>
            <w:noWrap w:val="0"/>
            <w:vAlign w:val="top"/>
          </w:tcPr>
          <w:p w14:paraId="5388C586">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小计</w:t>
            </w:r>
          </w:p>
        </w:tc>
        <w:tc>
          <w:tcPr>
            <w:tcW w:w="752" w:type="dxa"/>
            <w:noWrap w:val="0"/>
            <w:vAlign w:val="top"/>
          </w:tcPr>
          <w:p w14:paraId="6A55222C">
            <w:pPr>
              <w:widowControl/>
              <w:adjustRightInd/>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57</w:t>
            </w:r>
          </w:p>
        </w:tc>
        <w:tc>
          <w:tcPr>
            <w:tcW w:w="2898" w:type="dxa"/>
            <w:noWrap w:val="0"/>
            <w:vAlign w:val="top"/>
          </w:tcPr>
          <w:p w14:paraId="3195A8E7">
            <w:pPr>
              <w:widowControl/>
              <w:adjustRightInd/>
              <w:jc w:val="center"/>
              <w:rPr>
                <w:rFonts w:hint="eastAsia" w:ascii="宋体" w:hAnsi="宋体" w:eastAsia="宋体" w:cs="宋体"/>
                <w:color w:val="auto"/>
                <w:kern w:val="0"/>
                <w:sz w:val="24"/>
                <w:szCs w:val="24"/>
                <w:highlight w:val="none"/>
              </w:rPr>
            </w:pPr>
          </w:p>
        </w:tc>
        <w:tc>
          <w:tcPr>
            <w:tcW w:w="1720" w:type="dxa"/>
            <w:noWrap w:val="0"/>
            <w:vAlign w:val="top"/>
          </w:tcPr>
          <w:p w14:paraId="4BA186D3">
            <w:pPr>
              <w:widowControl/>
              <w:adjustRightInd/>
              <w:jc w:val="center"/>
              <w:rPr>
                <w:rFonts w:hint="eastAsia" w:ascii="宋体" w:hAnsi="宋体" w:eastAsia="宋体" w:cs="宋体"/>
                <w:color w:val="auto"/>
                <w:kern w:val="0"/>
                <w:sz w:val="24"/>
                <w:szCs w:val="24"/>
                <w:highlight w:val="none"/>
              </w:rPr>
            </w:pPr>
          </w:p>
        </w:tc>
        <w:tc>
          <w:tcPr>
            <w:tcW w:w="1181" w:type="dxa"/>
            <w:noWrap w:val="0"/>
            <w:vAlign w:val="top"/>
          </w:tcPr>
          <w:p w14:paraId="4C745047">
            <w:pPr>
              <w:widowControl/>
              <w:adjustRightInd/>
              <w:jc w:val="center"/>
              <w:rPr>
                <w:rFonts w:hint="eastAsia" w:ascii="宋体" w:hAnsi="宋体" w:eastAsia="宋体" w:cs="宋体"/>
                <w:color w:val="auto"/>
                <w:kern w:val="0"/>
                <w:sz w:val="24"/>
                <w:szCs w:val="24"/>
                <w:highlight w:val="none"/>
              </w:rPr>
            </w:pPr>
          </w:p>
        </w:tc>
        <w:tc>
          <w:tcPr>
            <w:tcW w:w="1520" w:type="dxa"/>
            <w:noWrap w:val="0"/>
            <w:vAlign w:val="top"/>
          </w:tcPr>
          <w:p w14:paraId="5F8629AD">
            <w:pPr>
              <w:widowControl/>
              <w:adjustRightInd/>
              <w:jc w:val="center"/>
              <w:rPr>
                <w:rFonts w:hint="eastAsia" w:ascii="宋体" w:hAnsi="宋体" w:eastAsia="宋体" w:cs="宋体"/>
                <w:color w:val="auto"/>
                <w:kern w:val="0"/>
                <w:sz w:val="24"/>
                <w:szCs w:val="24"/>
                <w:highlight w:val="none"/>
              </w:rPr>
            </w:pPr>
          </w:p>
        </w:tc>
      </w:tr>
      <w:tr w14:paraId="5EFAD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79" w:type="dxa"/>
            <w:noWrap w:val="0"/>
            <w:vAlign w:val="center"/>
          </w:tcPr>
          <w:p w14:paraId="013B37EC">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主要职责</w:t>
            </w:r>
          </w:p>
        </w:tc>
        <w:tc>
          <w:tcPr>
            <w:tcW w:w="9120" w:type="dxa"/>
            <w:gridSpan w:val="6"/>
            <w:noWrap w:val="0"/>
            <w:vAlign w:val="top"/>
          </w:tcPr>
          <w:p w14:paraId="287D6F75">
            <w:pPr>
              <w:widowControl/>
              <w:numPr>
                <w:ilvl w:val="0"/>
                <w:numId w:val="0"/>
              </w:numPr>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接受管理团队统一管理和专业培训，持续提升自身专业服务能力。</w:t>
            </w:r>
          </w:p>
          <w:p w14:paraId="434EA992">
            <w:pPr>
              <w:widowControl/>
              <w:numPr>
                <w:ilvl w:val="0"/>
                <w:numId w:val="0"/>
              </w:numPr>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为持续改善提升专业服务质量，根据工作需要，向“</w:t>
            </w:r>
            <w:r>
              <w:rPr>
                <w:rFonts w:hint="eastAsia" w:ascii="宋体" w:hAnsi="宋体" w:eastAsia="宋体" w:cs="宋体"/>
                <w:color w:val="auto"/>
                <w:kern w:val="0"/>
                <w:sz w:val="24"/>
                <w:szCs w:val="24"/>
                <w:highlight w:val="none"/>
                <w:lang w:eastAsia="zh-CN"/>
              </w:rPr>
              <w:t>管理团队</w:t>
            </w:r>
            <w:r>
              <w:rPr>
                <w:rFonts w:hint="eastAsia" w:ascii="宋体" w:hAnsi="宋体" w:eastAsia="宋体" w:cs="宋体"/>
                <w:color w:val="auto"/>
                <w:kern w:val="0"/>
                <w:sz w:val="24"/>
                <w:szCs w:val="24"/>
                <w:highlight w:val="none"/>
              </w:rPr>
              <w:t>”提出合理诉求。</w:t>
            </w:r>
          </w:p>
          <w:p w14:paraId="4455039C">
            <w:pPr>
              <w:widowControl/>
              <w:numPr>
                <w:ilvl w:val="0"/>
                <w:numId w:val="0"/>
              </w:numPr>
              <w:adjustRightInd/>
              <w:ind w:leftChars="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在作业过程中，为市民游客提供力所能及的便利，包括但不限于解答市民游客疑问； 听取市民游客提出的有关意见和建议及面临急需解决的问题，能立即整改的，马上解决，不能解决的代为反馈</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；遇到市民游客的不良游园行为，及时劝止，不听从的应立即向上反映，使问题得到第一时间处理；</w:t>
            </w:r>
            <w:r>
              <w:rPr>
                <w:rFonts w:hint="eastAsia" w:ascii="宋体" w:hAnsi="宋体" w:eastAsia="宋体" w:cs="宋体"/>
                <w:color w:val="auto"/>
                <w:kern w:val="0"/>
                <w:sz w:val="24"/>
                <w:szCs w:val="24"/>
                <w:highlight w:val="none"/>
                <w:lang w:eastAsia="zh-CN"/>
              </w:rPr>
              <w:t>其他突发</w:t>
            </w:r>
            <w:r>
              <w:rPr>
                <w:rFonts w:hint="eastAsia" w:ascii="宋体" w:hAnsi="宋体" w:eastAsia="宋体" w:cs="宋体"/>
                <w:color w:val="auto"/>
                <w:kern w:val="0"/>
                <w:sz w:val="24"/>
                <w:szCs w:val="24"/>
                <w:highlight w:val="none"/>
              </w:rPr>
              <w:t>现场事件的应急处置。</w:t>
            </w:r>
          </w:p>
          <w:p w14:paraId="3826B790">
            <w:pPr>
              <w:widowControl/>
              <w:numPr>
                <w:ilvl w:val="0"/>
                <w:numId w:val="0"/>
              </w:numPr>
              <w:adjustRightInd/>
              <w:ind w:leftChars="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rPr>
              <w:t>做好内部各专业服务队伍的纵向管理和横向互动协作。</w:t>
            </w:r>
          </w:p>
          <w:p w14:paraId="238422C0">
            <w:pPr>
              <w:widowControl w:val="0"/>
              <w:spacing w:after="120" w:line="240" w:lineRule="auto"/>
              <w:ind w:left="0" w:leftChars="0" w:firstLine="0" w:firstLineChars="0"/>
              <w:jc w:val="both"/>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val="0"/>
                <w:bCs/>
                <w:color w:val="auto"/>
                <w:kern w:val="0"/>
                <w:sz w:val="24"/>
                <w:szCs w:val="24"/>
                <w:highlight w:val="none"/>
                <w:lang w:val="en-US" w:eastAsia="zh-CN" w:bidi="ar-SA"/>
              </w:rPr>
              <w:t>5.做好“管理团队”和采购单位要求的与本服务项目相关的其他工作。</w:t>
            </w:r>
          </w:p>
        </w:tc>
      </w:tr>
      <w:tr w14:paraId="1E662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79" w:type="dxa"/>
            <w:noWrap w:val="0"/>
            <w:vAlign w:val="center"/>
          </w:tcPr>
          <w:p w14:paraId="3BC78A35">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具体管理要求</w:t>
            </w:r>
          </w:p>
        </w:tc>
        <w:tc>
          <w:tcPr>
            <w:tcW w:w="9120" w:type="dxa"/>
            <w:gridSpan w:val="6"/>
            <w:noWrap w:val="0"/>
            <w:vAlign w:val="top"/>
          </w:tcPr>
          <w:p w14:paraId="34AEBC03">
            <w:pPr>
              <w:keepNext w:val="0"/>
              <w:keepLines w:val="0"/>
              <w:pageBreakBefore w:val="0"/>
              <w:widowControl w:val="0"/>
              <w:numPr>
                <w:ilvl w:val="0"/>
                <w:numId w:val="0"/>
              </w:numPr>
              <w:tabs>
                <w:tab w:val="left" w:pos="742"/>
              </w:tabs>
              <w:kinsoku/>
              <w:wordWrap/>
              <w:overflowPunct/>
              <w:topLinePunct w:val="0"/>
              <w:autoSpaceDE/>
              <w:autoSpaceDN/>
              <w:bidi w:val="0"/>
              <w:adjustRightInd/>
              <w:snapToGrid/>
              <w:spacing w:before="0" w:after="0" w:line="240" w:lineRule="auto"/>
              <w:ind w:right="0" w:right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1.人员备案要求：</w:t>
            </w:r>
            <w:r>
              <w:rPr>
                <w:rFonts w:hint="eastAsia" w:ascii="宋体" w:hAnsi="宋体" w:eastAsia="宋体" w:cs="宋体"/>
                <w:color w:val="auto"/>
                <w:sz w:val="24"/>
                <w:szCs w:val="24"/>
                <w:highlight w:val="none"/>
                <w:lang w:eastAsia="zh-CN"/>
              </w:rPr>
              <w:t>中标人</w:t>
            </w:r>
            <w:r>
              <w:rPr>
                <w:rFonts w:hint="eastAsia" w:ascii="宋体" w:hAnsi="宋体" w:eastAsia="宋体" w:cs="宋体"/>
                <w:color w:val="auto"/>
                <w:sz w:val="24"/>
                <w:szCs w:val="24"/>
                <w:highlight w:val="none"/>
                <w:lang w:val="en-US" w:eastAsia="zh-CN"/>
              </w:rPr>
              <w:t>在上岗后一个月内将人员资料报采购人管理单位备案。变更前须征得采购人同意，如确需更换的（因不可抗力因素、重大疾病、死亡等原因变更的除外），在满足招标文件的要求下，更换人员需曾参加过同类项目，有工作经验，职称等于或高于被更换人员，变更后7天内完成备案。备案资料包括：人员管理规定、人员岗位表、技术人员资质证明、变更记录。</w:t>
            </w:r>
          </w:p>
          <w:p w14:paraId="35697D9E">
            <w:pPr>
              <w:keepNext w:val="0"/>
              <w:keepLines w:val="0"/>
              <w:pageBreakBefore w:val="0"/>
              <w:widowControl w:val="0"/>
              <w:numPr>
                <w:ilvl w:val="0"/>
                <w:numId w:val="0"/>
              </w:numPr>
              <w:tabs>
                <w:tab w:val="left" w:pos="741"/>
              </w:tabs>
              <w:kinsoku/>
              <w:wordWrap/>
              <w:overflowPunct/>
              <w:topLinePunct w:val="0"/>
              <w:autoSpaceDE/>
              <w:autoSpaceDN/>
              <w:bidi w:val="0"/>
              <w:adjustRightInd/>
              <w:snapToGrid/>
              <w:spacing w:before="0" w:after="0" w:line="240" w:lineRule="auto"/>
              <w:ind w:right="0" w:rightChars="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以上岗位数为每天需要开展工作的最低岗位数，要求到岗率必须100%</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在管理服务期间，采购人将根据名单对现场作业人员进行抽查，发现未按招标文件和合同要求到场服务的，中标人须根据招标文件和合同有关条款承担违约责任。</w:t>
            </w:r>
          </w:p>
          <w:p w14:paraId="06140344">
            <w:pPr>
              <w:keepNext w:val="0"/>
              <w:keepLines w:val="0"/>
              <w:pageBreakBefore w:val="0"/>
              <w:widowControl w:val="0"/>
              <w:numPr>
                <w:ilvl w:val="0"/>
                <w:numId w:val="0"/>
              </w:numPr>
              <w:kinsoku/>
              <w:wordWrap/>
              <w:overflowPunct/>
              <w:topLinePunct w:val="0"/>
              <w:bidi w:val="0"/>
              <w:adjustRightInd/>
              <w:snapToGrid/>
              <w:spacing w:line="240" w:lineRule="auto"/>
              <w:ind w:lef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中标人</w:t>
            </w:r>
            <w:r>
              <w:rPr>
                <w:rFonts w:hint="eastAsia" w:ascii="宋体" w:hAnsi="宋体" w:eastAsia="宋体" w:cs="宋体"/>
                <w:color w:val="auto"/>
                <w:sz w:val="24"/>
                <w:szCs w:val="24"/>
                <w:highlight w:val="none"/>
              </w:rPr>
              <w:t>必须严格遵守关于劳动合同、工资福利、社保、住房公积金、加班费等有关规定，做好社会治安综合治理等工作，如发生违纪、违法事件，</w:t>
            </w:r>
            <w:r>
              <w:rPr>
                <w:rFonts w:hint="eastAsia" w:ascii="宋体" w:hAnsi="宋体" w:eastAsia="宋体" w:cs="宋体"/>
                <w:color w:val="auto"/>
                <w:sz w:val="24"/>
                <w:szCs w:val="24"/>
                <w:highlight w:val="none"/>
                <w:lang w:eastAsia="zh-CN"/>
              </w:rPr>
              <w:t>中标人</w:t>
            </w:r>
            <w:r>
              <w:rPr>
                <w:rFonts w:hint="eastAsia" w:ascii="宋体" w:hAnsi="宋体" w:eastAsia="宋体" w:cs="宋体"/>
                <w:color w:val="auto"/>
                <w:sz w:val="24"/>
                <w:szCs w:val="24"/>
                <w:highlight w:val="none"/>
              </w:rPr>
              <w:t>承担一切经济责任和法律责任。</w:t>
            </w:r>
            <w:r>
              <w:rPr>
                <w:rFonts w:hint="eastAsia" w:ascii="宋体" w:hAnsi="宋体" w:eastAsia="宋体" w:cs="宋体"/>
                <w:color w:val="auto"/>
                <w:sz w:val="24"/>
                <w:szCs w:val="24"/>
                <w:highlight w:val="none"/>
                <w:lang w:eastAsia="zh-CN"/>
              </w:rPr>
              <w:t>中标人</w:t>
            </w:r>
            <w:r>
              <w:rPr>
                <w:rFonts w:hint="eastAsia" w:ascii="宋体" w:hAnsi="宋体" w:eastAsia="宋体" w:cs="宋体"/>
                <w:color w:val="auto"/>
                <w:sz w:val="24"/>
                <w:szCs w:val="24"/>
                <w:highlight w:val="none"/>
              </w:rPr>
              <w:t>不得拖欠员工工资（含加班工资）。</w:t>
            </w:r>
          </w:p>
          <w:p w14:paraId="5099267F">
            <w:pPr>
              <w:keepNext w:val="0"/>
              <w:keepLines w:val="0"/>
              <w:pageBreakBefore w:val="0"/>
              <w:widowControl w:val="0"/>
              <w:numPr>
                <w:ilvl w:val="0"/>
                <w:numId w:val="0"/>
              </w:numPr>
              <w:kinsoku/>
              <w:wordWrap/>
              <w:overflowPunct/>
              <w:topLinePunct w:val="0"/>
              <w:bidi w:val="0"/>
              <w:adjustRightInd/>
              <w:snapToGrid/>
              <w:spacing w:line="240" w:lineRule="auto"/>
              <w:ind w:lef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作业队伍</w:t>
            </w:r>
            <w:r>
              <w:rPr>
                <w:rFonts w:hint="eastAsia" w:ascii="宋体" w:hAnsi="宋体" w:eastAsia="宋体" w:cs="宋体"/>
                <w:color w:val="auto"/>
                <w:sz w:val="24"/>
                <w:szCs w:val="24"/>
                <w:highlight w:val="none"/>
              </w:rPr>
              <w:t>工作人员工资标准应参考人社</w:t>
            </w:r>
            <w:r>
              <w:rPr>
                <w:rFonts w:hint="eastAsia" w:ascii="宋体" w:hAnsi="宋体" w:eastAsia="宋体" w:cs="宋体"/>
                <w:color w:val="auto"/>
                <w:sz w:val="24"/>
                <w:szCs w:val="24"/>
                <w:highlight w:val="none"/>
                <w:lang w:eastAsia="zh-CN"/>
              </w:rPr>
              <w:t>部门</w:t>
            </w:r>
            <w:r>
              <w:rPr>
                <w:rFonts w:hint="eastAsia" w:ascii="宋体" w:hAnsi="宋体" w:eastAsia="宋体" w:cs="宋体"/>
                <w:color w:val="auto"/>
                <w:sz w:val="24"/>
                <w:szCs w:val="24"/>
                <w:highlight w:val="none"/>
              </w:rPr>
              <w:t>最新一期指导工资，以保证服务人员的稳定性、积极性和专业性。</w:t>
            </w:r>
          </w:p>
          <w:p w14:paraId="063E49E2">
            <w:pPr>
              <w:keepNext w:val="0"/>
              <w:keepLines w:val="0"/>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5.在服务期限内，中标人须服从采购人的指挥和合理调整。相关人员不称职、不符合采购人要求的，采购人有权要求更换，中标人须</w:t>
            </w:r>
            <w:r>
              <w:rPr>
                <w:rFonts w:hint="eastAsia" w:ascii="宋体" w:hAnsi="宋体" w:eastAsia="宋体" w:cs="宋体"/>
                <w:color w:val="auto"/>
                <w:sz w:val="24"/>
                <w:szCs w:val="24"/>
                <w:highlight w:val="none"/>
              </w:rPr>
              <w:t>在15日之内更换。</w:t>
            </w:r>
          </w:p>
          <w:p w14:paraId="679BA2B4">
            <w:pPr>
              <w:keepNext w:val="0"/>
              <w:keepLines w:val="0"/>
              <w:pageBreakBefore w:val="0"/>
              <w:widowControl w:val="0"/>
              <w:numPr>
                <w:ilvl w:val="0"/>
                <w:numId w:val="0"/>
              </w:numPr>
              <w:tabs>
                <w:tab w:val="left" w:pos="742"/>
              </w:tabs>
              <w:kinsoku/>
              <w:wordWrap/>
              <w:overflowPunct/>
              <w:topLinePunct w:val="0"/>
              <w:autoSpaceDE/>
              <w:autoSpaceDN/>
              <w:bidi w:val="0"/>
              <w:adjustRightInd/>
              <w:snapToGrid/>
              <w:spacing w:before="0" w:after="0" w:line="240" w:lineRule="auto"/>
              <w:ind w:right="0" w:right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6.中标人应保证该项目所有员工的年龄满足岗位设定的年龄，未设定年龄要求的应该要满足《劳动法》相关规定。</w:t>
            </w:r>
          </w:p>
          <w:p w14:paraId="3A8B2045">
            <w:pPr>
              <w:keepNext w:val="0"/>
              <w:keepLines w:val="0"/>
              <w:pageBreakBefore w:val="0"/>
              <w:widowControl w:val="0"/>
              <w:numPr>
                <w:ilvl w:val="0"/>
                <w:numId w:val="0"/>
              </w:numPr>
              <w:tabs>
                <w:tab w:val="left" w:pos="742"/>
              </w:tabs>
              <w:kinsoku/>
              <w:wordWrap/>
              <w:overflowPunct/>
              <w:topLinePunct w:val="0"/>
              <w:autoSpaceDE/>
              <w:autoSpaceDN/>
              <w:bidi w:val="0"/>
              <w:adjustRightInd/>
              <w:snapToGrid/>
              <w:spacing w:before="0" w:after="0" w:line="240" w:lineRule="auto"/>
              <w:ind w:right="0" w:right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7.工作人员进行工作时必须按要求统一工作服。相同工种必须统一着装样式，按统一设计的样式标准制作，包含不限于全套服装、工作鞋、工作帽、反光衣等。</w:t>
            </w:r>
          </w:p>
          <w:p w14:paraId="65BA1FC9">
            <w:pPr>
              <w:keepNext w:val="0"/>
              <w:keepLines w:val="0"/>
              <w:pageBreakBefore w:val="0"/>
              <w:widowControl w:val="0"/>
              <w:numPr>
                <w:ilvl w:val="0"/>
                <w:numId w:val="0"/>
              </w:numPr>
              <w:tabs>
                <w:tab w:val="left" w:pos="742"/>
              </w:tabs>
              <w:kinsoku/>
              <w:wordWrap/>
              <w:overflowPunct/>
              <w:topLinePunct w:val="0"/>
              <w:autoSpaceDE/>
              <w:autoSpaceDN/>
              <w:bidi w:val="0"/>
              <w:adjustRightInd/>
              <w:snapToGrid/>
              <w:spacing w:before="0" w:after="0" w:line="240" w:lineRule="auto"/>
              <w:ind w:right="0" w:right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8.中标人原则上自行解决员工的生活基地，包括上下班的交通工具。中标人应根据公园管理实际情况，组建应急保障队伍，除满足公园需求外，还须服从宁波市园林绿化中心统一指挥调度。</w:t>
            </w:r>
          </w:p>
          <w:p w14:paraId="5664FA6A">
            <w:pPr>
              <w:keepNext w:val="0"/>
              <w:keepLines w:val="0"/>
              <w:pageBreakBefore w:val="0"/>
              <w:widowControl w:val="0"/>
              <w:numPr>
                <w:ilvl w:val="0"/>
                <w:numId w:val="0"/>
              </w:numPr>
              <w:kinsoku/>
              <w:wordWrap/>
              <w:overflowPunct/>
              <w:topLinePunct w:val="0"/>
              <w:bidi w:val="0"/>
              <w:adjustRightInd/>
              <w:snapToGrid/>
              <w:spacing w:line="240" w:lineRule="auto"/>
              <w:ind w:lef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lang w:eastAsia="zh-CN"/>
              </w:rPr>
              <w:t>中标人</w:t>
            </w:r>
            <w:r>
              <w:rPr>
                <w:rFonts w:hint="eastAsia" w:ascii="宋体" w:hAnsi="宋体" w:eastAsia="宋体" w:cs="宋体"/>
                <w:color w:val="auto"/>
                <w:sz w:val="24"/>
                <w:szCs w:val="24"/>
                <w:highlight w:val="none"/>
              </w:rPr>
              <w:t>负责安排员工参加业务技术的培训学习，应安排岗前培训。岗位人员调整时，新进员工资格应满足岗位任职条件，方可上岗，否则按缺岗扣款。</w:t>
            </w:r>
          </w:p>
          <w:p w14:paraId="0C65DD96">
            <w:pPr>
              <w:keepNext w:val="0"/>
              <w:keepLines w:val="0"/>
              <w:pageBreakBefore w:val="0"/>
              <w:widowControl w:val="0"/>
              <w:numPr>
                <w:ilvl w:val="0"/>
                <w:numId w:val="0"/>
              </w:numPr>
              <w:kinsoku/>
              <w:wordWrap/>
              <w:overflowPunct/>
              <w:topLinePunct w:val="0"/>
              <w:bidi w:val="0"/>
              <w:adjustRightInd/>
              <w:snapToGrid/>
              <w:spacing w:line="240" w:lineRule="auto"/>
              <w:ind w:left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lang w:eastAsia="zh-CN"/>
              </w:rPr>
              <w:t>中标人应根据采购人要求在公园</w:t>
            </w:r>
            <w:r>
              <w:rPr>
                <w:rFonts w:hint="eastAsia" w:ascii="宋体" w:hAnsi="宋体" w:eastAsia="宋体" w:cs="宋体"/>
                <w:color w:val="auto"/>
                <w:sz w:val="24"/>
                <w:szCs w:val="24"/>
                <w:highlight w:val="none"/>
              </w:rPr>
              <w:t>重大活动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花展</w:t>
            </w:r>
            <w:r>
              <w:rPr>
                <w:rFonts w:hint="eastAsia" w:ascii="宋体" w:hAnsi="宋体" w:eastAsia="宋体" w:cs="宋体"/>
                <w:color w:val="auto"/>
                <w:sz w:val="24"/>
                <w:szCs w:val="24"/>
                <w:highlight w:val="none"/>
                <w:lang w:eastAsia="zh-CN"/>
              </w:rPr>
              <w:t>等期间</w:t>
            </w:r>
            <w:r>
              <w:rPr>
                <w:rFonts w:hint="eastAsia" w:ascii="宋体" w:hAnsi="宋体" w:eastAsia="宋体" w:cs="宋体"/>
                <w:color w:val="auto"/>
                <w:sz w:val="24"/>
                <w:szCs w:val="24"/>
                <w:highlight w:val="none"/>
              </w:rPr>
              <w:t>增派人员</w:t>
            </w:r>
            <w:r>
              <w:rPr>
                <w:rFonts w:hint="eastAsia" w:ascii="宋体" w:hAnsi="宋体" w:eastAsia="宋体" w:cs="宋体"/>
                <w:color w:val="auto"/>
                <w:sz w:val="24"/>
                <w:szCs w:val="24"/>
                <w:highlight w:val="none"/>
                <w:lang w:eastAsia="zh-CN"/>
              </w:rPr>
              <w:t>。</w:t>
            </w:r>
          </w:p>
          <w:p w14:paraId="33D71A8E">
            <w:pPr>
              <w:keepNext w:val="0"/>
              <w:keepLines w:val="0"/>
              <w:pageBreakBefore w:val="0"/>
              <w:widowControl w:val="0"/>
              <w:numPr>
                <w:ilvl w:val="0"/>
                <w:numId w:val="0"/>
              </w:numPr>
              <w:kinsoku/>
              <w:wordWrap/>
              <w:overflowPunct/>
              <w:topLinePunct w:val="0"/>
              <w:bidi w:val="0"/>
              <w:adjustRightInd/>
              <w:snapToGrid/>
              <w:spacing w:line="240" w:lineRule="auto"/>
              <w:ind w:lef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lang w:eastAsia="zh-CN"/>
              </w:rPr>
              <w:t>作业队伍</w:t>
            </w:r>
            <w:r>
              <w:rPr>
                <w:rFonts w:hint="eastAsia" w:ascii="宋体" w:hAnsi="宋体" w:eastAsia="宋体" w:cs="宋体"/>
                <w:color w:val="auto"/>
                <w:sz w:val="24"/>
                <w:szCs w:val="24"/>
                <w:highlight w:val="none"/>
              </w:rPr>
              <w:t>各岗位上岗时间若有调整，</w:t>
            </w:r>
            <w:r>
              <w:rPr>
                <w:rFonts w:hint="eastAsia" w:ascii="宋体" w:hAnsi="宋体" w:eastAsia="宋体" w:cs="宋体"/>
                <w:color w:val="auto"/>
                <w:sz w:val="24"/>
                <w:szCs w:val="24"/>
                <w:highlight w:val="none"/>
                <w:lang w:eastAsia="zh-CN"/>
              </w:rPr>
              <w:t>根据采购人</w:t>
            </w:r>
            <w:r>
              <w:rPr>
                <w:rFonts w:hint="eastAsia" w:ascii="宋体" w:hAnsi="宋体" w:eastAsia="宋体" w:cs="宋体"/>
                <w:color w:val="auto"/>
                <w:sz w:val="24"/>
                <w:szCs w:val="24"/>
                <w:highlight w:val="none"/>
              </w:rPr>
              <w:t>调整后的要求统一执行。</w:t>
            </w:r>
          </w:p>
          <w:p w14:paraId="5A07701A">
            <w:pPr>
              <w:widowControl/>
              <w:adjustRightInd/>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根据工作需要</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有权调整岗位及任职条件。</w:t>
            </w:r>
          </w:p>
        </w:tc>
      </w:tr>
    </w:tbl>
    <w:p w14:paraId="1111A7E7">
      <w:pPr>
        <w:widowControl/>
        <w:tabs>
          <w:tab w:val="left" w:pos="851"/>
        </w:tabs>
        <w:adjustRightInd/>
        <w:spacing w:line="360" w:lineRule="auto"/>
        <w:ind w:firstLine="480" w:firstLineChars="200"/>
        <w:rPr>
          <w:rFonts w:hint="eastAsia" w:ascii="宋体" w:hAnsi="宋体" w:cs="宋体"/>
          <w:b/>
          <w:color w:val="auto"/>
          <w:kern w:val="0"/>
          <w:sz w:val="24"/>
          <w:highlight w:val="none"/>
          <w:lang w:val="en-US" w:eastAsia="zh-CN"/>
        </w:rPr>
        <w:sectPr>
          <w:footerReference r:id="rId11" w:type="first"/>
          <w:footerReference r:id="rId10" w:type="default"/>
          <w:pgSz w:w="11906" w:h="16838"/>
          <w:pgMar w:top="1418" w:right="1287" w:bottom="1134" w:left="1621" w:header="851" w:footer="992" w:gutter="0"/>
          <w:pgBorders>
            <w:top w:val="none" w:sz="0" w:space="0"/>
            <w:left w:val="none" w:sz="0" w:space="0"/>
            <w:bottom w:val="none" w:sz="0" w:space="0"/>
            <w:right w:val="none" w:sz="0" w:space="0"/>
          </w:pgBorders>
          <w:pgNumType w:fmt="decimal"/>
          <w:cols w:space="720" w:num="1"/>
          <w:titlePg/>
          <w:docGrid w:type="linesAndChars" w:linePitch="321" w:charSpace="0"/>
        </w:sectPr>
      </w:pPr>
    </w:p>
    <w:p w14:paraId="6368F3F4">
      <w:pPr>
        <w:widowControl/>
        <w:tabs>
          <w:tab w:val="left" w:pos="851"/>
        </w:tabs>
        <w:adjustRightInd/>
        <w:spacing w:line="360" w:lineRule="auto"/>
        <w:outlineLvl w:val="1"/>
        <w:rPr>
          <w:rFonts w:ascii="宋体" w:hAnsi="宋体" w:eastAsia="宋体" w:cs="宋体"/>
          <w:b/>
          <w:color w:val="auto"/>
          <w:kern w:val="0"/>
          <w:sz w:val="24"/>
          <w:highlight w:val="none"/>
        </w:rPr>
      </w:pPr>
      <w:r>
        <w:rPr>
          <w:rFonts w:hint="eastAsia" w:ascii="宋体" w:hAnsi="宋体" w:eastAsia="宋体" w:cs="宋体"/>
          <w:b/>
          <w:color w:val="auto"/>
          <w:kern w:val="0"/>
          <w:sz w:val="24"/>
          <w:highlight w:val="none"/>
          <w:lang w:val="en-US" w:eastAsia="zh-CN"/>
        </w:rPr>
        <w:t>六</w:t>
      </w:r>
      <w:r>
        <w:rPr>
          <w:rFonts w:hint="eastAsia" w:ascii="宋体" w:hAnsi="宋体" w:eastAsia="宋体" w:cs="宋体"/>
          <w:b/>
          <w:color w:val="auto"/>
          <w:kern w:val="0"/>
          <w:sz w:val="24"/>
          <w:highlight w:val="none"/>
        </w:rPr>
        <w:t>、机械化设备配备要求</w:t>
      </w:r>
    </w:p>
    <w:p w14:paraId="12FD7D39">
      <w:pPr>
        <w:widowControl/>
        <w:tabs>
          <w:tab w:val="left" w:pos="851"/>
        </w:tabs>
        <w:adjustRightInd/>
        <w:spacing w:line="360" w:lineRule="auto"/>
        <w:outlineLvl w:val="1"/>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eastAsia="zh-CN"/>
        </w:rPr>
        <w:t>（</w:t>
      </w:r>
      <w:r>
        <w:rPr>
          <w:rFonts w:hint="eastAsia" w:ascii="宋体" w:hAnsi="宋体" w:eastAsia="宋体" w:cs="宋体"/>
          <w:b/>
          <w:color w:val="auto"/>
          <w:kern w:val="0"/>
          <w:sz w:val="24"/>
          <w:highlight w:val="none"/>
          <w:lang w:val="en-US" w:eastAsia="zh-CN"/>
        </w:rPr>
        <w:t>一</w:t>
      </w:r>
      <w:r>
        <w:rPr>
          <w:rFonts w:hint="eastAsia" w:ascii="宋体" w:hAnsi="宋体" w:eastAsia="宋体" w:cs="宋体"/>
          <w:b/>
          <w:color w:val="auto"/>
          <w:kern w:val="0"/>
          <w:sz w:val="24"/>
          <w:highlight w:val="none"/>
          <w:lang w:eastAsia="zh-CN"/>
        </w:rPr>
        <w:t>）</w:t>
      </w:r>
      <w:r>
        <w:rPr>
          <w:rFonts w:hint="eastAsia" w:ascii="宋体" w:hAnsi="宋体" w:eastAsia="宋体" w:cs="宋体"/>
          <w:b/>
          <w:color w:val="auto"/>
          <w:kern w:val="0"/>
          <w:sz w:val="24"/>
          <w:highlight w:val="none"/>
          <w:lang w:val="en-US" w:eastAsia="zh-CN"/>
        </w:rPr>
        <w:t>投标人拟投入设备最低数量要求</w:t>
      </w:r>
    </w:p>
    <w:tbl>
      <w:tblPr>
        <w:tblStyle w:val="62"/>
        <w:tblW w:w="97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487"/>
        <w:gridCol w:w="567"/>
        <w:gridCol w:w="1049"/>
        <w:gridCol w:w="765"/>
        <w:gridCol w:w="566"/>
        <w:gridCol w:w="3438"/>
        <w:gridCol w:w="1339"/>
        <w:gridCol w:w="1095"/>
      </w:tblGrid>
      <w:tr w14:paraId="03176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952" w:type="dxa"/>
            <w:gridSpan w:val="2"/>
            <w:vAlign w:val="center"/>
          </w:tcPr>
          <w:p w14:paraId="18CBF250">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类别</w:t>
            </w:r>
          </w:p>
        </w:tc>
        <w:tc>
          <w:tcPr>
            <w:tcW w:w="567" w:type="dxa"/>
            <w:vAlign w:val="center"/>
          </w:tcPr>
          <w:p w14:paraId="5940C705">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序号</w:t>
            </w:r>
          </w:p>
        </w:tc>
        <w:tc>
          <w:tcPr>
            <w:tcW w:w="1049" w:type="dxa"/>
            <w:vAlign w:val="center"/>
          </w:tcPr>
          <w:p w14:paraId="0DB2D1F6">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设备名称</w:t>
            </w:r>
          </w:p>
        </w:tc>
        <w:tc>
          <w:tcPr>
            <w:tcW w:w="765" w:type="dxa"/>
            <w:vAlign w:val="center"/>
          </w:tcPr>
          <w:p w14:paraId="0FFBF7D7">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最低数量要求</w:t>
            </w:r>
          </w:p>
        </w:tc>
        <w:tc>
          <w:tcPr>
            <w:tcW w:w="566" w:type="dxa"/>
            <w:vAlign w:val="center"/>
          </w:tcPr>
          <w:p w14:paraId="389E678D">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单位</w:t>
            </w:r>
          </w:p>
        </w:tc>
        <w:tc>
          <w:tcPr>
            <w:tcW w:w="3438" w:type="dxa"/>
            <w:vAlign w:val="center"/>
          </w:tcPr>
          <w:p w14:paraId="597A24AE">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参考样式（具体参数）</w:t>
            </w:r>
          </w:p>
        </w:tc>
        <w:tc>
          <w:tcPr>
            <w:tcW w:w="1339" w:type="dxa"/>
            <w:vAlign w:val="center"/>
          </w:tcPr>
          <w:p w14:paraId="527160DC">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使用及维护要求（使用率）</w:t>
            </w:r>
          </w:p>
        </w:tc>
        <w:tc>
          <w:tcPr>
            <w:tcW w:w="1095" w:type="dxa"/>
            <w:vAlign w:val="center"/>
          </w:tcPr>
          <w:p w14:paraId="0009B2F5">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备注</w:t>
            </w:r>
          </w:p>
        </w:tc>
      </w:tr>
      <w:tr w14:paraId="232A9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jc w:val="center"/>
        </w:trPr>
        <w:tc>
          <w:tcPr>
            <w:tcW w:w="465" w:type="dxa"/>
            <w:vMerge w:val="restart"/>
            <w:vAlign w:val="center"/>
          </w:tcPr>
          <w:p w14:paraId="5D0A5DE5">
            <w:pPr>
              <w:widowControl/>
              <w:adjustRightInd/>
              <w:jc w:val="left"/>
              <w:rPr>
                <w:rFonts w:hint="eastAsia" w:ascii="宋体" w:hAnsi="宋体" w:eastAsia="宋体" w:cs="宋体"/>
                <w:b/>
                <w:bCs/>
                <w:color w:val="auto"/>
                <w:kern w:val="0"/>
                <w:sz w:val="24"/>
                <w:szCs w:val="24"/>
                <w:highlight w:val="none"/>
              </w:rPr>
            </w:pPr>
          </w:p>
        </w:tc>
        <w:tc>
          <w:tcPr>
            <w:tcW w:w="487" w:type="dxa"/>
            <w:vMerge w:val="restart"/>
            <w:vAlign w:val="center"/>
          </w:tcPr>
          <w:p w14:paraId="7FC69C5C">
            <w:pPr>
              <w:widowControl/>
              <w:adjustRightInd/>
              <w:jc w:val="left"/>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保洁</w:t>
            </w:r>
          </w:p>
        </w:tc>
        <w:tc>
          <w:tcPr>
            <w:tcW w:w="567" w:type="dxa"/>
            <w:vAlign w:val="center"/>
          </w:tcPr>
          <w:p w14:paraId="014D0F8C">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1</w:t>
            </w:r>
          </w:p>
        </w:tc>
        <w:tc>
          <w:tcPr>
            <w:tcW w:w="1049" w:type="dxa"/>
            <w:vAlign w:val="center"/>
          </w:tcPr>
          <w:p w14:paraId="7FFAE677">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高压清洗</w:t>
            </w:r>
            <w:r>
              <w:rPr>
                <w:rFonts w:hint="eastAsia" w:ascii="宋体" w:hAnsi="宋体" w:eastAsia="宋体" w:cs="宋体"/>
                <w:color w:val="auto"/>
                <w:kern w:val="0"/>
                <w:sz w:val="24"/>
                <w:szCs w:val="24"/>
                <w:highlight w:val="none"/>
                <w:lang w:eastAsia="zh-CN"/>
              </w:rPr>
              <w:t>车</w:t>
            </w:r>
          </w:p>
        </w:tc>
        <w:tc>
          <w:tcPr>
            <w:tcW w:w="765" w:type="dxa"/>
            <w:vAlign w:val="center"/>
          </w:tcPr>
          <w:p w14:paraId="08BDB1CB">
            <w:pPr>
              <w:widowControl/>
              <w:adjustRightInd/>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　</w:t>
            </w:r>
            <w:r>
              <w:rPr>
                <w:rFonts w:hint="eastAsia" w:ascii="宋体" w:hAnsi="宋体" w:eastAsia="宋体" w:cs="宋体"/>
                <w:color w:val="auto"/>
                <w:kern w:val="0"/>
                <w:sz w:val="24"/>
                <w:szCs w:val="24"/>
                <w:highlight w:val="none"/>
                <w:lang w:val="en-US" w:eastAsia="zh-CN"/>
              </w:rPr>
              <w:t>2</w:t>
            </w:r>
          </w:p>
        </w:tc>
        <w:tc>
          <w:tcPr>
            <w:tcW w:w="566" w:type="dxa"/>
            <w:vAlign w:val="center"/>
          </w:tcPr>
          <w:p w14:paraId="1ADE0554">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台</w:t>
            </w:r>
          </w:p>
        </w:tc>
        <w:tc>
          <w:tcPr>
            <w:tcW w:w="3438" w:type="dxa"/>
            <w:vAlign w:val="center"/>
          </w:tcPr>
          <w:p w14:paraId="1A5202AA">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drawing>
                <wp:inline distT="0" distB="0" distL="114300" distR="114300">
                  <wp:extent cx="2041525" cy="1549400"/>
                  <wp:effectExtent l="0" t="0" r="15875" b="1270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32"/>
                          <a:stretch>
                            <a:fillRect/>
                          </a:stretch>
                        </pic:blipFill>
                        <pic:spPr>
                          <a:xfrm>
                            <a:off x="0" y="0"/>
                            <a:ext cx="2041525" cy="1549400"/>
                          </a:xfrm>
                          <a:prstGeom prst="rect">
                            <a:avLst/>
                          </a:prstGeom>
                          <a:noFill/>
                          <a:ln>
                            <a:noFill/>
                          </a:ln>
                        </pic:spPr>
                      </pic:pic>
                    </a:graphicData>
                  </a:graphic>
                </wp:inline>
              </w:drawing>
            </w:r>
          </w:p>
        </w:tc>
        <w:tc>
          <w:tcPr>
            <w:tcW w:w="1339" w:type="dxa"/>
            <w:vAlign w:val="center"/>
          </w:tcPr>
          <w:p w14:paraId="7A47342D">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整齐、清洁、润滑、安全、完好</w:t>
            </w:r>
          </w:p>
        </w:tc>
        <w:tc>
          <w:tcPr>
            <w:tcW w:w="1095" w:type="dxa"/>
            <w:vAlign w:val="center"/>
          </w:tcPr>
          <w:p w14:paraId="309C40AD">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用于公园</w:t>
            </w:r>
            <w:r>
              <w:rPr>
                <w:rFonts w:hint="eastAsia" w:ascii="宋体" w:hAnsi="宋体" w:eastAsia="宋体" w:cs="宋体"/>
                <w:color w:val="auto"/>
                <w:kern w:val="0"/>
                <w:sz w:val="24"/>
                <w:szCs w:val="24"/>
                <w:highlight w:val="none"/>
                <w:lang w:val="en-US" w:eastAsia="zh-CN"/>
              </w:rPr>
              <w:t>园路</w:t>
            </w:r>
            <w:r>
              <w:rPr>
                <w:rFonts w:hint="eastAsia" w:ascii="宋体" w:hAnsi="宋体" w:eastAsia="宋体" w:cs="宋体"/>
                <w:color w:val="auto"/>
                <w:kern w:val="0"/>
                <w:sz w:val="24"/>
                <w:szCs w:val="24"/>
                <w:highlight w:val="none"/>
              </w:rPr>
              <w:t>及广场地面顽固污渍及屋顶污渍的清洗。</w:t>
            </w:r>
          </w:p>
        </w:tc>
      </w:tr>
      <w:tr w14:paraId="4D1C7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65" w:type="dxa"/>
            <w:vMerge w:val="continue"/>
            <w:vAlign w:val="center"/>
          </w:tcPr>
          <w:p w14:paraId="31117F62">
            <w:pPr>
              <w:widowControl/>
              <w:adjustRightInd/>
              <w:jc w:val="left"/>
              <w:rPr>
                <w:rFonts w:hint="eastAsia" w:ascii="宋体" w:hAnsi="宋体" w:eastAsia="宋体" w:cs="宋体"/>
                <w:b/>
                <w:bCs/>
                <w:color w:val="auto"/>
                <w:kern w:val="0"/>
                <w:sz w:val="24"/>
                <w:szCs w:val="24"/>
                <w:highlight w:val="none"/>
              </w:rPr>
            </w:pPr>
          </w:p>
        </w:tc>
        <w:tc>
          <w:tcPr>
            <w:tcW w:w="487" w:type="dxa"/>
            <w:vMerge w:val="continue"/>
            <w:vAlign w:val="center"/>
          </w:tcPr>
          <w:p w14:paraId="549B2086">
            <w:pPr>
              <w:widowControl/>
              <w:adjustRightInd/>
              <w:jc w:val="left"/>
              <w:rPr>
                <w:rFonts w:hint="eastAsia" w:ascii="宋体" w:hAnsi="宋体" w:eastAsia="宋体" w:cs="宋体"/>
                <w:b/>
                <w:bCs/>
                <w:color w:val="auto"/>
                <w:kern w:val="0"/>
                <w:sz w:val="24"/>
                <w:szCs w:val="24"/>
                <w:highlight w:val="none"/>
              </w:rPr>
            </w:pPr>
          </w:p>
        </w:tc>
        <w:tc>
          <w:tcPr>
            <w:tcW w:w="567" w:type="dxa"/>
            <w:vAlign w:val="center"/>
          </w:tcPr>
          <w:p w14:paraId="3440BDE0">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2</w:t>
            </w:r>
          </w:p>
        </w:tc>
        <w:tc>
          <w:tcPr>
            <w:tcW w:w="1049" w:type="dxa"/>
            <w:vAlign w:val="center"/>
          </w:tcPr>
          <w:p w14:paraId="18F1DED7">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垃圾清运车</w:t>
            </w:r>
          </w:p>
        </w:tc>
        <w:tc>
          <w:tcPr>
            <w:tcW w:w="765" w:type="dxa"/>
            <w:vAlign w:val="center"/>
          </w:tcPr>
          <w:p w14:paraId="7C6DE3FA">
            <w:pPr>
              <w:widowControl/>
              <w:adjustRightInd/>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　</w:t>
            </w:r>
            <w:r>
              <w:rPr>
                <w:rFonts w:hint="eastAsia" w:ascii="宋体" w:hAnsi="宋体" w:eastAsia="宋体" w:cs="宋体"/>
                <w:color w:val="auto"/>
                <w:kern w:val="0"/>
                <w:sz w:val="24"/>
                <w:szCs w:val="24"/>
                <w:highlight w:val="none"/>
                <w:lang w:val="en-US" w:eastAsia="zh-CN"/>
              </w:rPr>
              <w:t>3</w:t>
            </w:r>
          </w:p>
        </w:tc>
        <w:tc>
          <w:tcPr>
            <w:tcW w:w="566" w:type="dxa"/>
            <w:vAlign w:val="center"/>
          </w:tcPr>
          <w:p w14:paraId="3C4E589C">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辆</w:t>
            </w:r>
          </w:p>
        </w:tc>
        <w:tc>
          <w:tcPr>
            <w:tcW w:w="3438" w:type="dxa"/>
            <w:vAlign w:val="center"/>
          </w:tcPr>
          <w:p w14:paraId="619E3485">
            <w:pPr>
              <w:widowControl w:val="0"/>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电动四轮车</w:t>
            </w:r>
          </w:p>
        </w:tc>
        <w:tc>
          <w:tcPr>
            <w:tcW w:w="1339" w:type="dxa"/>
            <w:vAlign w:val="center"/>
          </w:tcPr>
          <w:p w14:paraId="56658795">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整齐、清洁、润滑、安全、完好</w:t>
            </w:r>
          </w:p>
        </w:tc>
        <w:tc>
          <w:tcPr>
            <w:tcW w:w="1095" w:type="dxa"/>
            <w:vAlign w:val="center"/>
          </w:tcPr>
          <w:p w14:paraId="160FC716">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小巧轻便，用于公园内生活垃圾、绿化垃圾的清运。</w:t>
            </w:r>
          </w:p>
        </w:tc>
      </w:tr>
      <w:tr w14:paraId="4740D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465" w:type="dxa"/>
            <w:vMerge w:val="continue"/>
            <w:vAlign w:val="center"/>
          </w:tcPr>
          <w:p w14:paraId="7E71497D">
            <w:pPr>
              <w:widowControl/>
              <w:adjustRightInd/>
              <w:jc w:val="left"/>
              <w:rPr>
                <w:rFonts w:hint="eastAsia" w:ascii="宋体" w:hAnsi="宋体" w:eastAsia="宋体" w:cs="宋体"/>
                <w:b/>
                <w:bCs/>
                <w:color w:val="auto"/>
                <w:kern w:val="0"/>
                <w:sz w:val="24"/>
                <w:szCs w:val="24"/>
                <w:highlight w:val="none"/>
              </w:rPr>
            </w:pPr>
          </w:p>
        </w:tc>
        <w:tc>
          <w:tcPr>
            <w:tcW w:w="487" w:type="dxa"/>
            <w:vMerge w:val="continue"/>
            <w:vAlign w:val="center"/>
          </w:tcPr>
          <w:p w14:paraId="543A3E11">
            <w:pPr>
              <w:widowControl/>
              <w:adjustRightInd/>
              <w:jc w:val="left"/>
              <w:rPr>
                <w:rFonts w:hint="eastAsia" w:ascii="宋体" w:hAnsi="宋体" w:eastAsia="宋体" w:cs="宋体"/>
                <w:b/>
                <w:bCs/>
                <w:color w:val="auto"/>
                <w:kern w:val="0"/>
                <w:sz w:val="24"/>
                <w:szCs w:val="24"/>
                <w:highlight w:val="none"/>
              </w:rPr>
            </w:pPr>
          </w:p>
        </w:tc>
        <w:tc>
          <w:tcPr>
            <w:tcW w:w="567" w:type="dxa"/>
            <w:vAlign w:val="center"/>
          </w:tcPr>
          <w:p w14:paraId="3ED83C3E">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3</w:t>
            </w:r>
          </w:p>
        </w:tc>
        <w:tc>
          <w:tcPr>
            <w:tcW w:w="1049" w:type="dxa"/>
            <w:vAlign w:val="center"/>
          </w:tcPr>
          <w:p w14:paraId="12518065">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保洁工具车</w:t>
            </w:r>
          </w:p>
        </w:tc>
        <w:tc>
          <w:tcPr>
            <w:tcW w:w="765" w:type="dxa"/>
            <w:vAlign w:val="center"/>
          </w:tcPr>
          <w:p w14:paraId="4A6D3FBB">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7</w:t>
            </w:r>
          </w:p>
        </w:tc>
        <w:tc>
          <w:tcPr>
            <w:tcW w:w="566" w:type="dxa"/>
            <w:vAlign w:val="center"/>
          </w:tcPr>
          <w:p w14:paraId="40D305DA">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台</w:t>
            </w:r>
          </w:p>
        </w:tc>
        <w:tc>
          <w:tcPr>
            <w:tcW w:w="3438" w:type="dxa"/>
            <w:vAlign w:val="center"/>
          </w:tcPr>
          <w:p w14:paraId="6B996D0F">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小巧轻便、样式美观、功能多样实用</w:t>
            </w:r>
          </w:p>
        </w:tc>
        <w:tc>
          <w:tcPr>
            <w:tcW w:w="1339" w:type="dxa"/>
            <w:vAlign w:val="center"/>
          </w:tcPr>
          <w:p w14:paraId="5AB4F735">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整齐、清洁、润滑、安全、完好</w:t>
            </w:r>
          </w:p>
        </w:tc>
        <w:tc>
          <w:tcPr>
            <w:tcW w:w="1095" w:type="dxa"/>
            <w:vAlign w:val="center"/>
          </w:tcPr>
          <w:p w14:paraId="2626DEB1">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r>
      <w:tr w14:paraId="1456D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465" w:type="dxa"/>
            <w:vMerge w:val="continue"/>
            <w:vAlign w:val="center"/>
          </w:tcPr>
          <w:p w14:paraId="4BEE773C">
            <w:pPr>
              <w:widowControl/>
              <w:adjustRightInd/>
              <w:jc w:val="left"/>
              <w:rPr>
                <w:rFonts w:hint="eastAsia" w:ascii="宋体" w:hAnsi="宋体" w:eastAsia="宋体" w:cs="宋体"/>
                <w:b/>
                <w:bCs/>
                <w:color w:val="auto"/>
                <w:kern w:val="0"/>
                <w:sz w:val="24"/>
                <w:szCs w:val="24"/>
                <w:highlight w:val="none"/>
              </w:rPr>
            </w:pPr>
          </w:p>
        </w:tc>
        <w:tc>
          <w:tcPr>
            <w:tcW w:w="487" w:type="dxa"/>
            <w:vMerge w:val="continue"/>
            <w:vAlign w:val="center"/>
          </w:tcPr>
          <w:p w14:paraId="06279188">
            <w:pPr>
              <w:widowControl/>
              <w:adjustRightInd/>
              <w:jc w:val="left"/>
              <w:rPr>
                <w:rFonts w:hint="eastAsia" w:ascii="宋体" w:hAnsi="宋体" w:eastAsia="宋体" w:cs="宋体"/>
                <w:b/>
                <w:bCs/>
                <w:color w:val="auto"/>
                <w:kern w:val="0"/>
                <w:sz w:val="24"/>
                <w:szCs w:val="24"/>
                <w:highlight w:val="none"/>
              </w:rPr>
            </w:pPr>
          </w:p>
        </w:tc>
        <w:tc>
          <w:tcPr>
            <w:tcW w:w="567" w:type="dxa"/>
            <w:vAlign w:val="center"/>
          </w:tcPr>
          <w:p w14:paraId="31BB8AFA">
            <w:pPr>
              <w:widowControl/>
              <w:adjustRightInd/>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w:t>
            </w:r>
          </w:p>
        </w:tc>
        <w:tc>
          <w:tcPr>
            <w:tcW w:w="1049" w:type="dxa"/>
            <w:vAlign w:val="center"/>
          </w:tcPr>
          <w:p w14:paraId="752F854E">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扫地机</w:t>
            </w:r>
          </w:p>
        </w:tc>
        <w:tc>
          <w:tcPr>
            <w:tcW w:w="765" w:type="dxa"/>
            <w:vAlign w:val="center"/>
          </w:tcPr>
          <w:p w14:paraId="072146FC">
            <w:pPr>
              <w:widowControl/>
              <w:adjustRightInd/>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566" w:type="dxa"/>
            <w:vAlign w:val="center"/>
          </w:tcPr>
          <w:p w14:paraId="3B306761">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台</w:t>
            </w:r>
          </w:p>
        </w:tc>
        <w:tc>
          <w:tcPr>
            <w:tcW w:w="3438" w:type="dxa"/>
            <w:vAlign w:val="center"/>
          </w:tcPr>
          <w:p w14:paraId="63924ED6">
            <w:pPr>
              <w:widowControl/>
              <w:adjustRightInd/>
              <w:jc w:val="center"/>
              <w:rPr>
                <w:rFonts w:hint="eastAsia" w:ascii="宋体" w:hAnsi="宋体" w:eastAsia="宋体" w:cs="宋体"/>
                <w:color w:val="auto"/>
                <w:kern w:val="0"/>
                <w:sz w:val="24"/>
                <w:szCs w:val="24"/>
                <w:highlight w:val="none"/>
              </w:rPr>
            </w:pPr>
            <w:r>
              <w:rPr>
                <w:rFonts w:eastAsia="宋体"/>
                <w:color w:val="auto"/>
                <w:highlight w:val="none"/>
              </w:rPr>
              <w:drawing>
                <wp:inline distT="0" distB="0" distL="114300" distR="114300">
                  <wp:extent cx="1717040" cy="1266825"/>
                  <wp:effectExtent l="0" t="0" r="1651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3"/>
                          <a:stretch>
                            <a:fillRect/>
                          </a:stretch>
                        </pic:blipFill>
                        <pic:spPr>
                          <a:xfrm>
                            <a:off x="0" y="0"/>
                            <a:ext cx="1717040" cy="1266825"/>
                          </a:xfrm>
                          <a:prstGeom prst="rect">
                            <a:avLst/>
                          </a:prstGeom>
                          <a:noFill/>
                          <a:ln>
                            <a:noFill/>
                          </a:ln>
                        </pic:spPr>
                      </pic:pic>
                    </a:graphicData>
                  </a:graphic>
                </wp:inline>
              </w:drawing>
            </w:r>
          </w:p>
        </w:tc>
        <w:tc>
          <w:tcPr>
            <w:tcW w:w="1339" w:type="dxa"/>
            <w:vAlign w:val="center"/>
          </w:tcPr>
          <w:p w14:paraId="1D72F4ED">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整齐、清洁、润滑、安全、完好</w:t>
            </w:r>
          </w:p>
        </w:tc>
        <w:tc>
          <w:tcPr>
            <w:tcW w:w="1095" w:type="dxa"/>
            <w:vAlign w:val="center"/>
          </w:tcPr>
          <w:p w14:paraId="32355812">
            <w:pPr>
              <w:widowControl/>
              <w:adjustRightInd/>
              <w:jc w:val="center"/>
              <w:rPr>
                <w:rFonts w:hint="eastAsia" w:ascii="宋体" w:hAnsi="宋体" w:eastAsia="宋体" w:cs="宋体"/>
                <w:color w:val="auto"/>
                <w:kern w:val="0"/>
                <w:sz w:val="24"/>
                <w:szCs w:val="24"/>
                <w:highlight w:val="none"/>
              </w:rPr>
            </w:pPr>
          </w:p>
        </w:tc>
      </w:tr>
      <w:tr w14:paraId="41C2D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465" w:type="dxa"/>
            <w:vMerge w:val="continue"/>
            <w:vAlign w:val="center"/>
          </w:tcPr>
          <w:p w14:paraId="36F49CCF">
            <w:pPr>
              <w:widowControl/>
              <w:adjustRightInd/>
              <w:jc w:val="left"/>
              <w:rPr>
                <w:rFonts w:hint="eastAsia" w:ascii="宋体" w:hAnsi="宋体" w:eastAsia="宋体" w:cs="宋体"/>
                <w:b/>
                <w:bCs/>
                <w:color w:val="auto"/>
                <w:kern w:val="0"/>
                <w:sz w:val="24"/>
                <w:szCs w:val="24"/>
                <w:highlight w:val="none"/>
              </w:rPr>
            </w:pPr>
          </w:p>
        </w:tc>
        <w:tc>
          <w:tcPr>
            <w:tcW w:w="487" w:type="dxa"/>
            <w:vMerge w:val="continue"/>
            <w:vAlign w:val="center"/>
          </w:tcPr>
          <w:p w14:paraId="5DD7024E">
            <w:pPr>
              <w:widowControl/>
              <w:adjustRightInd/>
              <w:jc w:val="left"/>
              <w:rPr>
                <w:rFonts w:hint="eastAsia" w:ascii="宋体" w:hAnsi="宋体" w:eastAsia="宋体" w:cs="宋体"/>
                <w:b/>
                <w:bCs/>
                <w:color w:val="auto"/>
                <w:kern w:val="0"/>
                <w:sz w:val="24"/>
                <w:szCs w:val="24"/>
                <w:highlight w:val="none"/>
              </w:rPr>
            </w:pPr>
          </w:p>
        </w:tc>
        <w:tc>
          <w:tcPr>
            <w:tcW w:w="567" w:type="dxa"/>
            <w:vAlign w:val="center"/>
          </w:tcPr>
          <w:p w14:paraId="32456086">
            <w:pPr>
              <w:widowControl/>
              <w:adjustRightInd/>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w:t>
            </w:r>
          </w:p>
        </w:tc>
        <w:tc>
          <w:tcPr>
            <w:tcW w:w="1049" w:type="dxa"/>
            <w:vAlign w:val="center"/>
          </w:tcPr>
          <w:p w14:paraId="5FA14E10">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洗地机</w:t>
            </w:r>
          </w:p>
        </w:tc>
        <w:tc>
          <w:tcPr>
            <w:tcW w:w="765" w:type="dxa"/>
            <w:vAlign w:val="center"/>
          </w:tcPr>
          <w:p w14:paraId="6FAB3DA1">
            <w:pPr>
              <w:widowControl/>
              <w:adjustRightInd/>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566" w:type="dxa"/>
            <w:vAlign w:val="center"/>
          </w:tcPr>
          <w:p w14:paraId="71A9068D">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台</w:t>
            </w:r>
          </w:p>
        </w:tc>
        <w:tc>
          <w:tcPr>
            <w:tcW w:w="3438" w:type="dxa"/>
            <w:vAlign w:val="center"/>
          </w:tcPr>
          <w:p w14:paraId="724AF90F">
            <w:pPr>
              <w:widowControl/>
              <w:adjustRightInd/>
              <w:jc w:val="center"/>
              <w:rPr>
                <w:rFonts w:hint="eastAsia" w:ascii="宋体" w:hAnsi="宋体" w:eastAsia="宋体" w:cs="宋体"/>
                <w:color w:val="auto"/>
                <w:kern w:val="0"/>
                <w:sz w:val="24"/>
                <w:szCs w:val="24"/>
                <w:highlight w:val="none"/>
              </w:rPr>
            </w:pPr>
            <w:r>
              <w:rPr>
                <w:rFonts w:eastAsia="宋体"/>
                <w:color w:val="auto"/>
                <w:highlight w:val="none"/>
              </w:rPr>
              <w:drawing>
                <wp:inline distT="0" distB="0" distL="114300" distR="114300">
                  <wp:extent cx="1596390" cy="1572895"/>
                  <wp:effectExtent l="0" t="0" r="3810" b="825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34"/>
                          <a:stretch>
                            <a:fillRect/>
                          </a:stretch>
                        </pic:blipFill>
                        <pic:spPr>
                          <a:xfrm>
                            <a:off x="0" y="0"/>
                            <a:ext cx="1596390" cy="1572895"/>
                          </a:xfrm>
                          <a:prstGeom prst="rect">
                            <a:avLst/>
                          </a:prstGeom>
                          <a:noFill/>
                          <a:ln>
                            <a:noFill/>
                          </a:ln>
                        </pic:spPr>
                      </pic:pic>
                    </a:graphicData>
                  </a:graphic>
                </wp:inline>
              </w:drawing>
            </w:r>
          </w:p>
        </w:tc>
        <w:tc>
          <w:tcPr>
            <w:tcW w:w="1339" w:type="dxa"/>
            <w:vAlign w:val="center"/>
          </w:tcPr>
          <w:p w14:paraId="0BC00EC1">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整齐、清洁、润滑、安全、完好</w:t>
            </w:r>
          </w:p>
        </w:tc>
        <w:tc>
          <w:tcPr>
            <w:tcW w:w="1095" w:type="dxa"/>
            <w:vAlign w:val="center"/>
          </w:tcPr>
          <w:p w14:paraId="04093E73">
            <w:pPr>
              <w:widowControl/>
              <w:adjustRightInd/>
              <w:jc w:val="center"/>
              <w:rPr>
                <w:rFonts w:hint="eastAsia" w:ascii="宋体" w:hAnsi="宋体" w:eastAsia="宋体" w:cs="宋体"/>
                <w:color w:val="auto"/>
                <w:kern w:val="0"/>
                <w:sz w:val="24"/>
                <w:szCs w:val="24"/>
                <w:highlight w:val="none"/>
              </w:rPr>
            </w:pPr>
          </w:p>
        </w:tc>
      </w:tr>
      <w:tr w14:paraId="60B15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3" w:hRule="atLeast"/>
          <w:jc w:val="center"/>
        </w:trPr>
        <w:tc>
          <w:tcPr>
            <w:tcW w:w="465" w:type="dxa"/>
            <w:vMerge w:val="continue"/>
            <w:vAlign w:val="center"/>
          </w:tcPr>
          <w:p w14:paraId="65CECECB">
            <w:pPr>
              <w:widowControl/>
              <w:adjustRightInd/>
              <w:jc w:val="left"/>
              <w:rPr>
                <w:rFonts w:hint="eastAsia" w:ascii="宋体" w:hAnsi="宋体" w:eastAsia="宋体" w:cs="宋体"/>
                <w:b/>
                <w:bCs/>
                <w:color w:val="auto"/>
                <w:kern w:val="0"/>
                <w:sz w:val="24"/>
                <w:szCs w:val="24"/>
                <w:highlight w:val="none"/>
              </w:rPr>
            </w:pPr>
          </w:p>
        </w:tc>
        <w:tc>
          <w:tcPr>
            <w:tcW w:w="487" w:type="dxa"/>
            <w:vMerge w:val="restart"/>
            <w:vAlign w:val="center"/>
          </w:tcPr>
          <w:p w14:paraId="506DF51E">
            <w:pPr>
              <w:widowControl/>
              <w:adjustRightInd/>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植物养护</w:t>
            </w:r>
          </w:p>
        </w:tc>
        <w:tc>
          <w:tcPr>
            <w:tcW w:w="567" w:type="dxa"/>
            <w:vAlign w:val="center"/>
          </w:tcPr>
          <w:p w14:paraId="590F2B6F">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1049" w:type="dxa"/>
            <w:vAlign w:val="center"/>
          </w:tcPr>
          <w:p w14:paraId="7D6CC93A">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高空修剪车</w:t>
            </w:r>
          </w:p>
        </w:tc>
        <w:tc>
          <w:tcPr>
            <w:tcW w:w="765" w:type="dxa"/>
            <w:vAlign w:val="center"/>
          </w:tcPr>
          <w:p w14:paraId="1C09508C">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566" w:type="dxa"/>
            <w:vAlign w:val="center"/>
          </w:tcPr>
          <w:p w14:paraId="71B4E251">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台</w:t>
            </w:r>
          </w:p>
        </w:tc>
        <w:tc>
          <w:tcPr>
            <w:tcW w:w="3438" w:type="dxa"/>
            <w:vAlign w:val="center"/>
          </w:tcPr>
          <w:p w14:paraId="503EC9D9">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最大作业高度20米以上</w:t>
            </w:r>
          </w:p>
        </w:tc>
        <w:tc>
          <w:tcPr>
            <w:tcW w:w="1339" w:type="dxa"/>
            <w:vAlign w:val="center"/>
          </w:tcPr>
          <w:p w14:paraId="22527A47">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整齐、清洁、润滑、安全、完好</w:t>
            </w:r>
          </w:p>
        </w:tc>
        <w:tc>
          <w:tcPr>
            <w:tcW w:w="1095" w:type="dxa"/>
            <w:vAlign w:val="center"/>
          </w:tcPr>
          <w:p w14:paraId="56DD39D6">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适用于高度较高的树木修剪及路灯检修等高空作业。</w:t>
            </w:r>
          </w:p>
        </w:tc>
      </w:tr>
      <w:tr w14:paraId="13D37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65" w:type="dxa"/>
            <w:vMerge w:val="continue"/>
            <w:vAlign w:val="center"/>
          </w:tcPr>
          <w:p w14:paraId="16B23C8A">
            <w:pPr>
              <w:widowControl/>
              <w:adjustRightInd/>
              <w:jc w:val="left"/>
              <w:rPr>
                <w:rFonts w:hint="eastAsia" w:ascii="宋体" w:hAnsi="宋体" w:eastAsia="宋体" w:cs="宋体"/>
                <w:b/>
                <w:bCs/>
                <w:color w:val="auto"/>
                <w:kern w:val="0"/>
                <w:sz w:val="24"/>
                <w:szCs w:val="24"/>
                <w:highlight w:val="none"/>
              </w:rPr>
            </w:pPr>
          </w:p>
        </w:tc>
        <w:tc>
          <w:tcPr>
            <w:tcW w:w="487" w:type="dxa"/>
            <w:vMerge w:val="continue"/>
            <w:vAlign w:val="center"/>
          </w:tcPr>
          <w:p w14:paraId="204EB431">
            <w:pPr>
              <w:widowControl/>
              <w:adjustRightInd/>
              <w:jc w:val="left"/>
              <w:rPr>
                <w:rFonts w:hint="eastAsia" w:ascii="宋体" w:hAnsi="宋体" w:eastAsia="宋体" w:cs="宋体"/>
                <w:b/>
                <w:bCs/>
                <w:color w:val="auto"/>
                <w:kern w:val="0"/>
                <w:sz w:val="24"/>
                <w:szCs w:val="24"/>
                <w:highlight w:val="none"/>
              </w:rPr>
            </w:pPr>
          </w:p>
        </w:tc>
        <w:tc>
          <w:tcPr>
            <w:tcW w:w="567" w:type="dxa"/>
            <w:vAlign w:val="center"/>
          </w:tcPr>
          <w:p w14:paraId="60841499">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1049" w:type="dxa"/>
            <w:vAlign w:val="center"/>
          </w:tcPr>
          <w:p w14:paraId="1408CC47">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高枝油锯</w:t>
            </w:r>
          </w:p>
        </w:tc>
        <w:tc>
          <w:tcPr>
            <w:tcW w:w="765" w:type="dxa"/>
            <w:vAlign w:val="center"/>
          </w:tcPr>
          <w:p w14:paraId="386FF251">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566" w:type="dxa"/>
            <w:vAlign w:val="center"/>
          </w:tcPr>
          <w:p w14:paraId="5BAA232A">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把</w:t>
            </w:r>
          </w:p>
        </w:tc>
        <w:tc>
          <w:tcPr>
            <w:tcW w:w="3438" w:type="dxa"/>
            <w:vAlign w:val="center"/>
          </w:tcPr>
          <w:p w14:paraId="40F8C903">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drawing>
                <wp:inline distT="0" distB="0" distL="114300" distR="114300">
                  <wp:extent cx="1876425" cy="1428750"/>
                  <wp:effectExtent l="0" t="0" r="9525"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35"/>
                          <a:stretch>
                            <a:fillRect/>
                          </a:stretch>
                        </pic:blipFill>
                        <pic:spPr>
                          <a:xfrm>
                            <a:off x="0" y="0"/>
                            <a:ext cx="1876425" cy="1428750"/>
                          </a:xfrm>
                          <a:prstGeom prst="rect">
                            <a:avLst/>
                          </a:prstGeom>
                          <a:noFill/>
                          <a:ln>
                            <a:noFill/>
                          </a:ln>
                        </pic:spPr>
                      </pic:pic>
                    </a:graphicData>
                  </a:graphic>
                </wp:inline>
              </w:drawing>
            </w:r>
          </w:p>
        </w:tc>
        <w:tc>
          <w:tcPr>
            <w:tcW w:w="1339" w:type="dxa"/>
            <w:vAlign w:val="center"/>
          </w:tcPr>
          <w:p w14:paraId="3992EF91">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整齐、清洁、润滑、安全、完好</w:t>
            </w:r>
          </w:p>
        </w:tc>
        <w:tc>
          <w:tcPr>
            <w:tcW w:w="1095" w:type="dxa"/>
            <w:vAlign w:val="center"/>
          </w:tcPr>
          <w:p w14:paraId="20D29EA4">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主要用来修剪一些比较高的枝桠。</w:t>
            </w:r>
          </w:p>
        </w:tc>
      </w:tr>
      <w:tr w14:paraId="5216C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65" w:type="dxa"/>
            <w:vMerge w:val="continue"/>
            <w:vAlign w:val="center"/>
          </w:tcPr>
          <w:p w14:paraId="0FC44B8D">
            <w:pPr>
              <w:widowControl/>
              <w:adjustRightInd/>
              <w:jc w:val="left"/>
              <w:rPr>
                <w:rFonts w:hint="eastAsia" w:ascii="宋体" w:hAnsi="宋体" w:eastAsia="宋体" w:cs="宋体"/>
                <w:b/>
                <w:bCs/>
                <w:color w:val="auto"/>
                <w:kern w:val="0"/>
                <w:sz w:val="24"/>
                <w:szCs w:val="24"/>
                <w:highlight w:val="none"/>
              </w:rPr>
            </w:pPr>
          </w:p>
        </w:tc>
        <w:tc>
          <w:tcPr>
            <w:tcW w:w="487" w:type="dxa"/>
            <w:vMerge w:val="continue"/>
            <w:vAlign w:val="center"/>
          </w:tcPr>
          <w:p w14:paraId="15907F1F">
            <w:pPr>
              <w:widowControl/>
              <w:adjustRightInd/>
              <w:jc w:val="left"/>
              <w:rPr>
                <w:rFonts w:hint="eastAsia" w:ascii="宋体" w:hAnsi="宋体" w:eastAsia="宋体" w:cs="宋体"/>
                <w:b/>
                <w:bCs/>
                <w:color w:val="auto"/>
                <w:kern w:val="0"/>
                <w:sz w:val="24"/>
                <w:szCs w:val="24"/>
                <w:highlight w:val="none"/>
              </w:rPr>
            </w:pPr>
          </w:p>
        </w:tc>
        <w:tc>
          <w:tcPr>
            <w:tcW w:w="567" w:type="dxa"/>
            <w:vAlign w:val="center"/>
          </w:tcPr>
          <w:p w14:paraId="1047EEC3">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1049" w:type="dxa"/>
            <w:vAlign w:val="center"/>
          </w:tcPr>
          <w:p w14:paraId="703F026E">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油（电）锯</w:t>
            </w:r>
          </w:p>
        </w:tc>
        <w:tc>
          <w:tcPr>
            <w:tcW w:w="765" w:type="dxa"/>
            <w:vAlign w:val="center"/>
          </w:tcPr>
          <w:p w14:paraId="6EDF1B81">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c>
          <w:tcPr>
            <w:tcW w:w="566" w:type="dxa"/>
            <w:vAlign w:val="center"/>
          </w:tcPr>
          <w:p w14:paraId="4571772F">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把</w:t>
            </w:r>
          </w:p>
        </w:tc>
        <w:tc>
          <w:tcPr>
            <w:tcW w:w="3438" w:type="dxa"/>
            <w:vAlign w:val="center"/>
          </w:tcPr>
          <w:p w14:paraId="6894A56C">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drawing>
                <wp:inline distT="0" distB="0" distL="114300" distR="114300">
                  <wp:extent cx="2000250" cy="1581150"/>
                  <wp:effectExtent l="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36"/>
                          <a:stretch>
                            <a:fillRect/>
                          </a:stretch>
                        </pic:blipFill>
                        <pic:spPr>
                          <a:xfrm>
                            <a:off x="0" y="0"/>
                            <a:ext cx="2000250" cy="1581150"/>
                          </a:xfrm>
                          <a:prstGeom prst="rect">
                            <a:avLst/>
                          </a:prstGeom>
                          <a:noFill/>
                          <a:ln>
                            <a:noFill/>
                          </a:ln>
                        </pic:spPr>
                      </pic:pic>
                    </a:graphicData>
                  </a:graphic>
                </wp:inline>
              </w:drawing>
            </w:r>
          </w:p>
        </w:tc>
        <w:tc>
          <w:tcPr>
            <w:tcW w:w="1339" w:type="dxa"/>
            <w:vAlign w:val="center"/>
          </w:tcPr>
          <w:p w14:paraId="66A396E4">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整齐、清洁、润滑、安全、完好</w:t>
            </w:r>
          </w:p>
        </w:tc>
        <w:tc>
          <w:tcPr>
            <w:tcW w:w="1095" w:type="dxa"/>
            <w:vAlign w:val="center"/>
          </w:tcPr>
          <w:p w14:paraId="49A29284">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广泛用在林业伐木取材</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园林修枝锯树。</w:t>
            </w:r>
          </w:p>
        </w:tc>
      </w:tr>
      <w:tr w14:paraId="42782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9" w:hRule="atLeast"/>
          <w:jc w:val="center"/>
        </w:trPr>
        <w:tc>
          <w:tcPr>
            <w:tcW w:w="465" w:type="dxa"/>
            <w:vMerge w:val="continue"/>
            <w:vAlign w:val="center"/>
          </w:tcPr>
          <w:p w14:paraId="60934898">
            <w:pPr>
              <w:widowControl/>
              <w:adjustRightInd/>
              <w:jc w:val="left"/>
              <w:rPr>
                <w:rFonts w:hint="eastAsia" w:ascii="宋体" w:hAnsi="宋体" w:eastAsia="宋体" w:cs="宋体"/>
                <w:b/>
                <w:bCs/>
                <w:color w:val="auto"/>
                <w:kern w:val="0"/>
                <w:sz w:val="24"/>
                <w:szCs w:val="24"/>
                <w:highlight w:val="none"/>
              </w:rPr>
            </w:pPr>
          </w:p>
        </w:tc>
        <w:tc>
          <w:tcPr>
            <w:tcW w:w="487" w:type="dxa"/>
            <w:vMerge w:val="continue"/>
            <w:vAlign w:val="center"/>
          </w:tcPr>
          <w:p w14:paraId="0A51EA11">
            <w:pPr>
              <w:widowControl/>
              <w:adjustRightInd/>
              <w:jc w:val="left"/>
              <w:rPr>
                <w:rFonts w:hint="eastAsia" w:ascii="宋体" w:hAnsi="宋体" w:eastAsia="宋体" w:cs="宋体"/>
                <w:b/>
                <w:bCs/>
                <w:color w:val="auto"/>
                <w:kern w:val="0"/>
                <w:sz w:val="24"/>
                <w:szCs w:val="24"/>
                <w:highlight w:val="none"/>
              </w:rPr>
            </w:pPr>
          </w:p>
        </w:tc>
        <w:tc>
          <w:tcPr>
            <w:tcW w:w="567" w:type="dxa"/>
            <w:vAlign w:val="center"/>
          </w:tcPr>
          <w:p w14:paraId="1206D0F4">
            <w:pPr>
              <w:widowControl w:val="0"/>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4</w:t>
            </w:r>
          </w:p>
        </w:tc>
        <w:tc>
          <w:tcPr>
            <w:tcW w:w="1049" w:type="dxa"/>
            <w:vAlign w:val="center"/>
          </w:tcPr>
          <w:p w14:paraId="7DDCA497">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草坪车</w:t>
            </w:r>
          </w:p>
        </w:tc>
        <w:tc>
          <w:tcPr>
            <w:tcW w:w="765" w:type="dxa"/>
            <w:vAlign w:val="center"/>
          </w:tcPr>
          <w:p w14:paraId="0E95A319">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566" w:type="dxa"/>
            <w:vAlign w:val="center"/>
          </w:tcPr>
          <w:p w14:paraId="49CC802A">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辆</w:t>
            </w:r>
          </w:p>
        </w:tc>
        <w:tc>
          <w:tcPr>
            <w:tcW w:w="3438" w:type="dxa"/>
            <w:vAlign w:val="center"/>
          </w:tcPr>
          <w:p w14:paraId="30487C0C">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drawing>
                <wp:inline distT="0" distB="0" distL="114300" distR="114300">
                  <wp:extent cx="2152650" cy="1628775"/>
                  <wp:effectExtent l="0" t="0" r="0" b="952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37"/>
                          <a:stretch>
                            <a:fillRect/>
                          </a:stretch>
                        </pic:blipFill>
                        <pic:spPr>
                          <a:xfrm>
                            <a:off x="0" y="0"/>
                            <a:ext cx="2152650" cy="1628775"/>
                          </a:xfrm>
                          <a:prstGeom prst="rect">
                            <a:avLst/>
                          </a:prstGeom>
                          <a:noFill/>
                          <a:ln>
                            <a:noFill/>
                          </a:ln>
                        </pic:spPr>
                      </pic:pic>
                    </a:graphicData>
                  </a:graphic>
                </wp:inline>
              </w:drawing>
            </w:r>
          </w:p>
        </w:tc>
        <w:tc>
          <w:tcPr>
            <w:tcW w:w="1339" w:type="dxa"/>
            <w:vAlign w:val="center"/>
          </w:tcPr>
          <w:p w14:paraId="001B02ED">
            <w:pPr>
              <w:widowControl w:val="0"/>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整齐、清洁、润滑、安全、完好</w:t>
            </w:r>
          </w:p>
        </w:tc>
        <w:tc>
          <w:tcPr>
            <w:tcW w:w="1095" w:type="dxa"/>
            <w:vAlign w:val="center"/>
          </w:tcPr>
          <w:p w14:paraId="425C0802">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适用于大面积草坪的修剪。</w:t>
            </w:r>
          </w:p>
        </w:tc>
      </w:tr>
      <w:tr w14:paraId="26EED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465" w:type="dxa"/>
            <w:vMerge w:val="continue"/>
            <w:vAlign w:val="center"/>
          </w:tcPr>
          <w:p w14:paraId="2187AD17">
            <w:pPr>
              <w:widowControl/>
              <w:adjustRightInd/>
              <w:jc w:val="left"/>
              <w:rPr>
                <w:rFonts w:hint="eastAsia" w:ascii="宋体" w:hAnsi="宋体" w:eastAsia="宋体" w:cs="宋体"/>
                <w:b/>
                <w:bCs/>
                <w:color w:val="auto"/>
                <w:kern w:val="0"/>
                <w:sz w:val="24"/>
                <w:szCs w:val="24"/>
                <w:highlight w:val="none"/>
              </w:rPr>
            </w:pPr>
          </w:p>
        </w:tc>
        <w:tc>
          <w:tcPr>
            <w:tcW w:w="487" w:type="dxa"/>
            <w:vMerge w:val="continue"/>
            <w:vAlign w:val="center"/>
          </w:tcPr>
          <w:p w14:paraId="657E2CAC">
            <w:pPr>
              <w:widowControl/>
              <w:adjustRightInd/>
              <w:jc w:val="left"/>
              <w:rPr>
                <w:rFonts w:hint="eastAsia" w:ascii="宋体" w:hAnsi="宋体" w:eastAsia="宋体" w:cs="宋体"/>
                <w:b/>
                <w:bCs/>
                <w:color w:val="auto"/>
                <w:kern w:val="0"/>
                <w:sz w:val="24"/>
                <w:szCs w:val="24"/>
                <w:highlight w:val="none"/>
              </w:rPr>
            </w:pPr>
          </w:p>
        </w:tc>
        <w:tc>
          <w:tcPr>
            <w:tcW w:w="567" w:type="dxa"/>
            <w:vAlign w:val="center"/>
          </w:tcPr>
          <w:p w14:paraId="49AC132F">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c>
          <w:tcPr>
            <w:tcW w:w="1049" w:type="dxa"/>
            <w:vAlign w:val="center"/>
          </w:tcPr>
          <w:p w14:paraId="52535645">
            <w:pPr>
              <w:widowControl w:val="0"/>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割灌机</w:t>
            </w:r>
          </w:p>
        </w:tc>
        <w:tc>
          <w:tcPr>
            <w:tcW w:w="765" w:type="dxa"/>
            <w:vAlign w:val="center"/>
          </w:tcPr>
          <w:p w14:paraId="0527EEA8">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566" w:type="dxa"/>
            <w:vAlign w:val="center"/>
          </w:tcPr>
          <w:p w14:paraId="09AE582D">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台</w:t>
            </w:r>
          </w:p>
        </w:tc>
        <w:tc>
          <w:tcPr>
            <w:tcW w:w="3438" w:type="dxa"/>
            <w:vAlign w:val="center"/>
          </w:tcPr>
          <w:p w14:paraId="4BB9751A">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drawing>
                <wp:inline distT="0" distB="0" distL="114300" distR="114300">
                  <wp:extent cx="1676400" cy="1371600"/>
                  <wp:effectExtent l="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38"/>
                          <a:stretch>
                            <a:fillRect/>
                          </a:stretch>
                        </pic:blipFill>
                        <pic:spPr>
                          <a:xfrm>
                            <a:off x="0" y="0"/>
                            <a:ext cx="1676400" cy="1371600"/>
                          </a:xfrm>
                          <a:prstGeom prst="rect">
                            <a:avLst/>
                          </a:prstGeom>
                          <a:noFill/>
                          <a:ln>
                            <a:noFill/>
                          </a:ln>
                        </pic:spPr>
                      </pic:pic>
                    </a:graphicData>
                  </a:graphic>
                </wp:inline>
              </w:drawing>
            </w:r>
          </w:p>
        </w:tc>
        <w:tc>
          <w:tcPr>
            <w:tcW w:w="1339" w:type="dxa"/>
            <w:vAlign w:val="center"/>
          </w:tcPr>
          <w:p w14:paraId="772F3854">
            <w:pPr>
              <w:widowControl w:val="0"/>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整齐、清洁、润滑、安全、完好</w:t>
            </w:r>
          </w:p>
        </w:tc>
        <w:tc>
          <w:tcPr>
            <w:tcW w:w="1095" w:type="dxa"/>
            <w:vAlign w:val="center"/>
          </w:tcPr>
          <w:p w14:paraId="2AADF411">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r>
      <w:tr w14:paraId="26BA7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465" w:type="dxa"/>
            <w:vMerge w:val="continue"/>
            <w:vAlign w:val="center"/>
          </w:tcPr>
          <w:p w14:paraId="785C5060">
            <w:pPr>
              <w:widowControl/>
              <w:adjustRightInd/>
              <w:jc w:val="left"/>
              <w:rPr>
                <w:rFonts w:hint="eastAsia" w:ascii="宋体" w:hAnsi="宋体" w:eastAsia="宋体" w:cs="宋体"/>
                <w:b/>
                <w:bCs/>
                <w:color w:val="auto"/>
                <w:kern w:val="0"/>
                <w:sz w:val="24"/>
                <w:szCs w:val="24"/>
                <w:highlight w:val="none"/>
              </w:rPr>
            </w:pPr>
          </w:p>
        </w:tc>
        <w:tc>
          <w:tcPr>
            <w:tcW w:w="487" w:type="dxa"/>
            <w:vMerge w:val="continue"/>
            <w:vAlign w:val="center"/>
          </w:tcPr>
          <w:p w14:paraId="24408869">
            <w:pPr>
              <w:widowControl/>
              <w:adjustRightInd/>
              <w:jc w:val="left"/>
              <w:rPr>
                <w:rFonts w:hint="eastAsia" w:ascii="宋体" w:hAnsi="宋体" w:eastAsia="宋体" w:cs="宋体"/>
                <w:b/>
                <w:bCs/>
                <w:color w:val="auto"/>
                <w:kern w:val="0"/>
                <w:sz w:val="24"/>
                <w:szCs w:val="24"/>
                <w:highlight w:val="none"/>
              </w:rPr>
            </w:pPr>
          </w:p>
        </w:tc>
        <w:tc>
          <w:tcPr>
            <w:tcW w:w="567" w:type="dxa"/>
            <w:vAlign w:val="center"/>
          </w:tcPr>
          <w:p w14:paraId="1598975D">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1049" w:type="dxa"/>
            <w:vAlign w:val="center"/>
          </w:tcPr>
          <w:p w14:paraId="34DD8652">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草坪机</w:t>
            </w:r>
          </w:p>
        </w:tc>
        <w:tc>
          <w:tcPr>
            <w:tcW w:w="765" w:type="dxa"/>
            <w:vAlign w:val="center"/>
          </w:tcPr>
          <w:p w14:paraId="5B2D0755">
            <w:pPr>
              <w:widowControl w:val="0"/>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2</w:t>
            </w:r>
          </w:p>
        </w:tc>
        <w:tc>
          <w:tcPr>
            <w:tcW w:w="566" w:type="dxa"/>
            <w:vAlign w:val="center"/>
          </w:tcPr>
          <w:p w14:paraId="6F69C2FA">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台</w:t>
            </w:r>
          </w:p>
        </w:tc>
        <w:tc>
          <w:tcPr>
            <w:tcW w:w="3438" w:type="dxa"/>
            <w:vAlign w:val="center"/>
          </w:tcPr>
          <w:p w14:paraId="230EFC7A">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drawing>
                <wp:inline distT="0" distB="0" distL="114300" distR="114300">
                  <wp:extent cx="2000250" cy="1819275"/>
                  <wp:effectExtent l="0" t="0" r="0" b="9525"/>
                  <wp:docPr id="10" name="图片 8" descr="C:/Users/Administrator/Desktop/cpj.jpgcp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C:/Users/Administrator/Desktop/cpj.jpgcpj"/>
                          <pic:cNvPicPr>
                            <a:picLocks noChangeAspect="1"/>
                          </pic:cNvPicPr>
                        </pic:nvPicPr>
                        <pic:blipFill>
                          <a:blip r:embed="rId39"/>
                          <a:srcRect t="4540" b="4540"/>
                          <a:stretch>
                            <a:fillRect/>
                          </a:stretch>
                        </pic:blipFill>
                        <pic:spPr>
                          <a:xfrm>
                            <a:off x="0" y="0"/>
                            <a:ext cx="2000250" cy="1819275"/>
                          </a:xfrm>
                          <a:prstGeom prst="rect">
                            <a:avLst/>
                          </a:prstGeom>
                          <a:noFill/>
                          <a:ln>
                            <a:noFill/>
                          </a:ln>
                        </pic:spPr>
                      </pic:pic>
                    </a:graphicData>
                  </a:graphic>
                </wp:inline>
              </w:drawing>
            </w:r>
          </w:p>
        </w:tc>
        <w:tc>
          <w:tcPr>
            <w:tcW w:w="1339" w:type="dxa"/>
            <w:vAlign w:val="center"/>
          </w:tcPr>
          <w:p w14:paraId="4CD5B2ED">
            <w:pPr>
              <w:widowControl w:val="0"/>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整齐、清洁、润滑、安全、完好</w:t>
            </w:r>
          </w:p>
        </w:tc>
        <w:tc>
          <w:tcPr>
            <w:tcW w:w="1095" w:type="dxa"/>
            <w:vAlign w:val="center"/>
          </w:tcPr>
          <w:p w14:paraId="180A7963">
            <w:pPr>
              <w:widowControl w:val="0"/>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用于对平地或山丘的草坪进行修整。</w:t>
            </w:r>
          </w:p>
        </w:tc>
      </w:tr>
      <w:tr w14:paraId="10A9E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465" w:type="dxa"/>
            <w:vMerge w:val="continue"/>
            <w:vAlign w:val="center"/>
          </w:tcPr>
          <w:p w14:paraId="4844A284">
            <w:pPr>
              <w:widowControl/>
              <w:adjustRightInd/>
              <w:jc w:val="left"/>
              <w:rPr>
                <w:rFonts w:hint="eastAsia" w:ascii="宋体" w:hAnsi="宋体" w:eastAsia="宋体" w:cs="宋体"/>
                <w:b/>
                <w:bCs/>
                <w:color w:val="auto"/>
                <w:kern w:val="0"/>
                <w:sz w:val="24"/>
                <w:szCs w:val="24"/>
                <w:highlight w:val="none"/>
              </w:rPr>
            </w:pPr>
          </w:p>
        </w:tc>
        <w:tc>
          <w:tcPr>
            <w:tcW w:w="487" w:type="dxa"/>
            <w:vMerge w:val="continue"/>
            <w:vAlign w:val="center"/>
          </w:tcPr>
          <w:p w14:paraId="1E3BB45C">
            <w:pPr>
              <w:widowControl/>
              <w:adjustRightInd/>
              <w:jc w:val="left"/>
              <w:rPr>
                <w:rFonts w:hint="eastAsia" w:ascii="宋体" w:hAnsi="宋体" w:eastAsia="宋体" w:cs="宋体"/>
                <w:b/>
                <w:bCs/>
                <w:color w:val="auto"/>
                <w:kern w:val="0"/>
                <w:sz w:val="24"/>
                <w:szCs w:val="24"/>
                <w:highlight w:val="none"/>
              </w:rPr>
            </w:pPr>
          </w:p>
        </w:tc>
        <w:tc>
          <w:tcPr>
            <w:tcW w:w="567" w:type="dxa"/>
            <w:vAlign w:val="center"/>
          </w:tcPr>
          <w:p w14:paraId="70866756">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p>
        </w:tc>
        <w:tc>
          <w:tcPr>
            <w:tcW w:w="1049" w:type="dxa"/>
            <w:vAlign w:val="center"/>
          </w:tcPr>
          <w:p w14:paraId="38565DE7">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割边机</w:t>
            </w:r>
          </w:p>
        </w:tc>
        <w:tc>
          <w:tcPr>
            <w:tcW w:w="765" w:type="dxa"/>
            <w:vAlign w:val="center"/>
          </w:tcPr>
          <w:p w14:paraId="6CB6B7AB">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566" w:type="dxa"/>
            <w:vAlign w:val="center"/>
          </w:tcPr>
          <w:p w14:paraId="180C928D">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台</w:t>
            </w:r>
          </w:p>
        </w:tc>
        <w:tc>
          <w:tcPr>
            <w:tcW w:w="3438" w:type="dxa"/>
            <w:vAlign w:val="center"/>
          </w:tcPr>
          <w:p w14:paraId="4CB94D07">
            <w:pPr>
              <w:widowControl w:val="0"/>
              <w:adjustRightInd/>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drawing>
                <wp:inline distT="0" distB="0" distL="114300" distR="114300">
                  <wp:extent cx="2247900" cy="1562100"/>
                  <wp:effectExtent l="0" t="0" r="0" b="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40"/>
                          <a:stretch>
                            <a:fillRect/>
                          </a:stretch>
                        </pic:blipFill>
                        <pic:spPr>
                          <a:xfrm>
                            <a:off x="0" y="0"/>
                            <a:ext cx="2247900" cy="1562100"/>
                          </a:xfrm>
                          <a:prstGeom prst="rect">
                            <a:avLst/>
                          </a:prstGeom>
                          <a:noFill/>
                          <a:ln>
                            <a:noFill/>
                          </a:ln>
                        </pic:spPr>
                      </pic:pic>
                    </a:graphicData>
                  </a:graphic>
                </wp:inline>
              </w:drawing>
            </w:r>
          </w:p>
        </w:tc>
        <w:tc>
          <w:tcPr>
            <w:tcW w:w="1339" w:type="dxa"/>
            <w:vAlign w:val="center"/>
          </w:tcPr>
          <w:p w14:paraId="5CA1294A">
            <w:pPr>
              <w:widowControl w:val="0"/>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整齐、清洁、润滑、安全、完好</w:t>
            </w:r>
          </w:p>
        </w:tc>
        <w:tc>
          <w:tcPr>
            <w:tcW w:w="1095" w:type="dxa"/>
            <w:vAlign w:val="center"/>
          </w:tcPr>
          <w:p w14:paraId="3AD5F251">
            <w:pPr>
              <w:widowControl w:val="0"/>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主要用于草坪绿地边缘的修剪</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通过切断蔓延到草坪界限以外的根茎</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使草坪边缘线整齐以保持草坪的美观。</w:t>
            </w:r>
          </w:p>
        </w:tc>
      </w:tr>
      <w:tr w14:paraId="4B6B0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65" w:type="dxa"/>
            <w:vMerge w:val="continue"/>
            <w:vAlign w:val="center"/>
          </w:tcPr>
          <w:p w14:paraId="1BA3D860">
            <w:pPr>
              <w:widowControl/>
              <w:adjustRightInd/>
              <w:jc w:val="left"/>
              <w:rPr>
                <w:rFonts w:hint="eastAsia" w:ascii="宋体" w:hAnsi="宋体" w:eastAsia="宋体" w:cs="宋体"/>
                <w:b/>
                <w:bCs/>
                <w:color w:val="auto"/>
                <w:kern w:val="0"/>
                <w:sz w:val="24"/>
                <w:szCs w:val="24"/>
                <w:highlight w:val="none"/>
              </w:rPr>
            </w:pPr>
          </w:p>
        </w:tc>
        <w:tc>
          <w:tcPr>
            <w:tcW w:w="487" w:type="dxa"/>
            <w:vMerge w:val="continue"/>
            <w:vAlign w:val="center"/>
          </w:tcPr>
          <w:p w14:paraId="3E1E5FB2">
            <w:pPr>
              <w:widowControl/>
              <w:adjustRightInd/>
              <w:jc w:val="left"/>
              <w:rPr>
                <w:rFonts w:hint="eastAsia" w:ascii="宋体" w:hAnsi="宋体" w:eastAsia="宋体" w:cs="宋体"/>
                <w:b/>
                <w:bCs/>
                <w:color w:val="auto"/>
                <w:kern w:val="0"/>
                <w:sz w:val="24"/>
                <w:szCs w:val="24"/>
                <w:highlight w:val="none"/>
              </w:rPr>
            </w:pPr>
          </w:p>
        </w:tc>
        <w:tc>
          <w:tcPr>
            <w:tcW w:w="567" w:type="dxa"/>
            <w:vAlign w:val="center"/>
          </w:tcPr>
          <w:p w14:paraId="2A72CBDB">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w:t>
            </w:r>
          </w:p>
        </w:tc>
        <w:tc>
          <w:tcPr>
            <w:tcW w:w="1049" w:type="dxa"/>
            <w:vAlign w:val="center"/>
          </w:tcPr>
          <w:p w14:paraId="2116429E">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新能源</w:t>
            </w:r>
            <w:r>
              <w:rPr>
                <w:rFonts w:hint="eastAsia" w:ascii="宋体" w:hAnsi="宋体" w:eastAsia="宋体" w:cs="宋体"/>
                <w:color w:val="auto"/>
                <w:kern w:val="0"/>
                <w:sz w:val="24"/>
                <w:szCs w:val="24"/>
                <w:highlight w:val="none"/>
              </w:rPr>
              <w:t>户外吹风机</w:t>
            </w:r>
          </w:p>
        </w:tc>
        <w:tc>
          <w:tcPr>
            <w:tcW w:w="765" w:type="dxa"/>
            <w:vAlign w:val="center"/>
          </w:tcPr>
          <w:p w14:paraId="4615313A">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2</w:t>
            </w:r>
          </w:p>
        </w:tc>
        <w:tc>
          <w:tcPr>
            <w:tcW w:w="566" w:type="dxa"/>
            <w:vAlign w:val="center"/>
          </w:tcPr>
          <w:p w14:paraId="698A43B7">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台</w:t>
            </w:r>
          </w:p>
        </w:tc>
        <w:tc>
          <w:tcPr>
            <w:tcW w:w="3438" w:type="dxa"/>
            <w:vAlign w:val="center"/>
          </w:tcPr>
          <w:p w14:paraId="34AB8680">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drawing>
                <wp:inline distT="0" distB="0" distL="114300" distR="114300">
                  <wp:extent cx="2045335" cy="1497965"/>
                  <wp:effectExtent l="0" t="0" r="12065" b="698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41"/>
                          <a:stretch>
                            <a:fillRect/>
                          </a:stretch>
                        </pic:blipFill>
                        <pic:spPr>
                          <a:xfrm>
                            <a:off x="0" y="0"/>
                            <a:ext cx="2045335" cy="1497965"/>
                          </a:xfrm>
                          <a:prstGeom prst="rect">
                            <a:avLst/>
                          </a:prstGeom>
                          <a:noFill/>
                          <a:ln>
                            <a:noFill/>
                          </a:ln>
                        </pic:spPr>
                      </pic:pic>
                    </a:graphicData>
                  </a:graphic>
                </wp:inline>
              </w:drawing>
            </w:r>
          </w:p>
        </w:tc>
        <w:tc>
          <w:tcPr>
            <w:tcW w:w="1339" w:type="dxa"/>
            <w:vAlign w:val="center"/>
          </w:tcPr>
          <w:p w14:paraId="61A443F0">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整齐、清洁、润滑、安全、完好</w:t>
            </w:r>
          </w:p>
        </w:tc>
        <w:tc>
          <w:tcPr>
            <w:tcW w:w="1095" w:type="dxa"/>
            <w:vAlign w:val="center"/>
          </w:tcPr>
          <w:p w14:paraId="5A116238">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用于清理路面树叶、纸屑、杂物及绿篱、花坛里的落叶</w:t>
            </w:r>
          </w:p>
        </w:tc>
      </w:tr>
      <w:tr w14:paraId="0C026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65" w:type="dxa"/>
            <w:vMerge w:val="continue"/>
            <w:vAlign w:val="center"/>
          </w:tcPr>
          <w:p w14:paraId="2797A154">
            <w:pPr>
              <w:widowControl/>
              <w:adjustRightInd/>
              <w:jc w:val="left"/>
              <w:rPr>
                <w:rFonts w:hint="eastAsia" w:ascii="宋体" w:hAnsi="宋体" w:eastAsia="宋体" w:cs="宋体"/>
                <w:b/>
                <w:bCs/>
                <w:color w:val="auto"/>
                <w:kern w:val="0"/>
                <w:sz w:val="24"/>
                <w:szCs w:val="24"/>
                <w:highlight w:val="none"/>
              </w:rPr>
            </w:pPr>
          </w:p>
        </w:tc>
        <w:tc>
          <w:tcPr>
            <w:tcW w:w="487" w:type="dxa"/>
            <w:vMerge w:val="continue"/>
            <w:vAlign w:val="center"/>
          </w:tcPr>
          <w:p w14:paraId="515CAE56">
            <w:pPr>
              <w:widowControl/>
              <w:adjustRightInd/>
              <w:jc w:val="left"/>
              <w:rPr>
                <w:rFonts w:hint="eastAsia" w:ascii="宋体" w:hAnsi="宋体" w:eastAsia="宋体" w:cs="宋体"/>
                <w:b/>
                <w:bCs/>
                <w:color w:val="auto"/>
                <w:kern w:val="0"/>
                <w:sz w:val="24"/>
                <w:szCs w:val="24"/>
                <w:highlight w:val="none"/>
              </w:rPr>
            </w:pPr>
          </w:p>
        </w:tc>
        <w:tc>
          <w:tcPr>
            <w:tcW w:w="567" w:type="dxa"/>
            <w:vAlign w:val="center"/>
          </w:tcPr>
          <w:p w14:paraId="6B9650C0">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w:t>
            </w:r>
          </w:p>
        </w:tc>
        <w:tc>
          <w:tcPr>
            <w:tcW w:w="1049" w:type="dxa"/>
            <w:vAlign w:val="center"/>
          </w:tcPr>
          <w:p w14:paraId="272D4FFF">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背负式喷粉机</w:t>
            </w:r>
          </w:p>
        </w:tc>
        <w:tc>
          <w:tcPr>
            <w:tcW w:w="765" w:type="dxa"/>
            <w:vAlign w:val="center"/>
          </w:tcPr>
          <w:p w14:paraId="012E4532">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2</w:t>
            </w:r>
          </w:p>
        </w:tc>
        <w:tc>
          <w:tcPr>
            <w:tcW w:w="566" w:type="dxa"/>
            <w:vAlign w:val="center"/>
          </w:tcPr>
          <w:p w14:paraId="44089451">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台</w:t>
            </w:r>
          </w:p>
        </w:tc>
        <w:tc>
          <w:tcPr>
            <w:tcW w:w="3438" w:type="dxa"/>
            <w:vAlign w:val="center"/>
          </w:tcPr>
          <w:p w14:paraId="67978881">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drawing>
                <wp:inline distT="0" distB="0" distL="114300" distR="114300">
                  <wp:extent cx="1609725" cy="1905000"/>
                  <wp:effectExtent l="0" t="0" r="9525" b="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42"/>
                          <a:stretch>
                            <a:fillRect/>
                          </a:stretch>
                        </pic:blipFill>
                        <pic:spPr>
                          <a:xfrm>
                            <a:off x="0" y="0"/>
                            <a:ext cx="1609725" cy="1905000"/>
                          </a:xfrm>
                          <a:prstGeom prst="rect">
                            <a:avLst/>
                          </a:prstGeom>
                          <a:noFill/>
                          <a:ln>
                            <a:noFill/>
                          </a:ln>
                        </pic:spPr>
                      </pic:pic>
                    </a:graphicData>
                  </a:graphic>
                </wp:inline>
              </w:drawing>
            </w:r>
          </w:p>
        </w:tc>
        <w:tc>
          <w:tcPr>
            <w:tcW w:w="1339" w:type="dxa"/>
            <w:vAlign w:val="center"/>
          </w:tcPr>
          <w:p w14:paraId="0FA98949">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整齐、清洁、润滑、安全、完好</w:t>
            </w:r>
          </w:p>
        </w:tc>
        <w:tc>
          <w:tcPr>
            <w:tcW w:w="1095" w:type="dxa"/>
            <w:vAlign w:val="center"/>
          </w:tcPr>
          <w:p w14:paraId="0501DC5A">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小巧轻便，可以进行药物喷雾、超低量喷雾、喷粉等项作业。</w:t>
            </w:r>
          </w:p>
        </w:tc>
      </w:tr>
      <w:tr w14:paraId="1C582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65" w:type="dxa"/>
            <w:vMerge w:val="continue"/>
            <w:vAlign w:val="center"/>
          </w:tcPr>
          <w:p w14:paraId="07B3B947">
            <w:pPr>
              <w:widowControl/>
              <w:adjustRightInd/>
              <w:jc w:val="left"/>
              <w:rPr>
                <w:rFonts w:hint="eastAsia" w:ascii="宋体" w:hAnsi="宋体" w:eastAsia="宋体" w:cs="宋体"/>
                <w:b/>
                <w:bCs/>
                <w:color w:val="auto"/>
                <w:kern w:val="0"/>
                <w:sz w:val="24"/>
                <w:szCs w:val="24"/>
                <w:highlight w:val="none"/>
              </w:rPr>
            </w:pPr>
          </w:p>
        </w:tc>
        <w:tc>
          <w:tcPr>
            <w:tcW w:w="487" w:type="dxa"/>
            <w:vMerge w:val="continue"/>
            <w:vAlign w:val="center"/>
          </w:tcPr>
          <w:p w14:paraId="1867DFC2">
            <w:pPr>
              <w:widowControl/>
              <w:adjustRightInd/>
              <w:jc w:val="left"/>
              <w:rPr>
                <w:rFonts w:hint="eastAsia" w:ascii="宋体" w:hAnsi="宋体" w:eastAsia="宋体" w:cs="宋体"/>
                <w:b/>
                <w:bCs/>
                <w:color w:val="auto"/>
                <w:kern w:val="0"/>
                <w:sz w:val="24"/>
                <w:szCs w:val="24"/>
                <w:highlight w:val="none"/>
              </w:rPr>
            </w:pPr>
          </w:p>
        </w:tc>
        <w:tc>
          <w:tcPr>
            <w:tcW w:w="567" w:type="dxa"/>
            <w:vAlign w:val="center"/>
          </w:tcPr>
          <w:p w14:paraId="4756416F">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p>
        </w:tc>
        <w:tc>
          <w:tcPr>
            <w:tcW w:w="1049" w:type="dxa"/>
            <w:vAlign w:val="center"/>
          </w:tcPr>
          <w:p w14:paraId="2FD08337">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打药车</w:t>
            </w:r>
          </w:p>
        </w:tc>
        <w:tc>
          <w:tcPr>
            <w:tcW w:w="765" w:type="dxa"/>
            <w:vAlign w:val="center"/>
          </w:tcPr>
          <w:p w14:paraId="39798CCA">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w:t>
            </w:r>
          </w:p>
        </w:tc>
        <w:tc>
          <w:tcPr>
            <w:tcW w:w="566" w:type="dxa"/>
            <w:vAlign w:val="center"/>
          </w:tcPr>
          <w:p w14:paraId="17FD6F47">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台</w:t>
            </w:r>
          </w:p>
        </w:tc>
        <w:tc>
          <w:tcPr>
            <w:tcW w:w="3438" w:type="dxa"/>
            <w:vAlign w:val="center"/>
          </w:tcPr>
          <w:p w14:paraId="444A7C35">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drawing>
                <wp:inline distT="0" distB="0" distL="114300" distR="114300">
                  <wp:extent cx="1952625" cy="1190625"/>
                  <wp:effectExtent l="0" t="0" r="9525" b="9525"/>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43"/>
                          <a:stretch>
                            <a:fillRect/>
                          </a:stretch>
                        </pic:blipFill>
                        <pic:spPr>
                          <a:xfrm>
                            <a:off x="0" y="0"/>
                            <a:ext cx="1952625" cy="1190625"/>
                          </a:xfrm>
                          <a:prstGeom prst="rect">
                            <a:avLst/>
                          </a:prstGeom>
                          <a:noFill/>
                          <a:ln>
                            <a:noFill/>
                          </a:ln>
                        </pic:spPr>
                      </pic:pic>
                    </a:graphicData>
                  </a:graphic>
                </wp:inline>
              </w:drawing>
            </w:r>
          </w:p>
        </w:tc>
        <w:tc>
          <w:tcPr>
            <w:tcW w:w="1339" w:type="dxa"/>
            <w:vAlign w:val="center"/>
          </w:tcPr>
          <w:p w14:paraId="44248809">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整齐、清洁、润滑、安全、完好</w:t>
            </w:r>
          </w:p>
        </w:tc>
        <w:tc>
          <w:tcPr>
            <w:tcW w:w="1095" w:type="dxa"/>
            <w:vAlign w:val="center"/>
          </w:tcPr>
          <w:p w14:paraId="3BD7006C">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可用于公园病虫害防治，提高公园打药效率</w:t>
            </w:r>
          </w:p>
        </w:tc>
      </w:tr>
      <w:tr w14:paraId="4BE81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65" w:type="dxa"/>
            <w:vMerge w:val="continue"/>
            <w:vAlign w:val="center"/>
          </w:tcPr>
          <w:p w14:paraId="0877CBE8">
            <w:pPr>
              <w:widowControl/>
              <w:adjustRightInd/>
              <w:jc w:val="left"/>
              <w:rPr>
                <w:rFonts w:hint="eastAsia" w:ascii="宋体" w:hAnsi="宋体" w:eastAsia="宋体" w:cs="宋体"/>
                <w:b/>
                <w:bCs/>
                <w:color w:val="auto"/>
                <w:kern w:val="0"/>
                <w:sz w:val="24"/>
                <w:szCs w:val="24"/>
                <w:highlight w:val="none"/>
              </w:rPr>
            </w:pPr>
          </w:p>
        </w:tc>
        <w:tc>
          <w:tcPr>
            <w:tcW w:w="487" w:type="dxa"/>
            <w:vMerge w:val="continue"/>
            <w:vAlign w:val="center"/>
          </w:tcPr>
          <w:p w14:paraId="499630C4">
            <w:pPr>
              <w:widowControl/>
              <w:adjustRightInd/>
              <w:jc w:val="left"/>
              <w:rPr>
                <w:rFonts w:hint="eastAsia" w:ascii="宋体" w:hAnsi="宋体" w:eastAsia="宋体" w:cs="宋体"/>
                <w:b/>
                <w:bCs/>
                <w:color w:val="auto"/>
                <w:kern w:val="0"/>
                <w:sz w:val="24"/>
                <w:szCs w:val="24"/>
                <w:highlight w:val="none"/>
              </w:rPr>
            </w:pPr>
          </w:p>
        </w:tc>
        <w:tc>
          <w:tcPr>
            <w:tcW w:w="567" w:type="dxa"/>
            <w:vAlign w:val="center"/>
          </w:tcPr>
          <w:p w14:paraId="6AAFB14C">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w:t>
            </w:r>
          </w:p>
        </w:tc>
        <w:tc>
          <w:tcPr>
            <w:tcW w:w="1049" w:type="dxa"/>
            <w:vAlign w:val="center"/>
          </w:tcPr>
          <w:p w14:paraId="6BE34348">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打孔机</w:t>
            </w:r>
          </w:p>
        </w:tc>
        <w:tc>
          <w:tcPr>
            <w:tcW w:w="765" w:type="dxa"/>
            <w:vAlign w:val="center"/>
          </w:tcPr>
          <w:p w14:paraId="6ECEF09B">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2</w:t>
            </w:r>
          </w:p>
        </w:tc>
        <w:tc>
          <w:tcPr>
            <w:tcW w:w="566" w:type="dxa"/>
            <w:vAlign w:val="center"/>
          </w:tcPr>
          <w:p w14:paraId="26285505">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台</w:t>
            </w:r>
          </w:p>
        </w:tc>
        <w:tc>
          <w:tcPr>
            <w:tcW w:w="3438" w:type="dxa"/>
            <w:vAlign w:val="center"/>
          </w:tcPr>
          <w:p w14:paraId="2DD642B7">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r>
              <w:rPr>
                <w:rFonts w:hint="eastAsia" w:ascii="宋体" w:hAnsi="宋体" w:eastAsia="宋体" w:cs="宋体"/>
                <w:color w:val="auto"/>
                <w:sz w:val="24"/>
                <w:szCs w:val="24"/>
                <w:highlight w:val="none"/>
              </w:rPr>
              <w:drawing>
                <wp:inline distT="0" distB="0" distL="114300" distR="114300">
                  <wp:extent cx="1952625" cy="1352550"/>
                  <wp:effectExtent l="0" t="0" r="9525" b="0"/>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44"/>
                          <a:stretch>
                            <a:fillRect/>
                          </a:stretch>
                        </pic:blipFill>
                        <pic:spPr>
                          <a:xfrm>
                            <a:off x="0" y="0"/>
                            <a:ext cx="1952625" cy="1352550"/>
                          </a:xfrm>
                          <a:prstGeom prst="rect">
                            <a:avLst/>
                          </a:prstGeom>
                          <a:noFill/>
                          <a:ln>
                            <a:noFill/>
                          </a:ln>
                        </pic:spPr>
                      </pic:pic>
                    </a:graphicData>
                  </a:graphic>
                </wp:inline>
              </w:drawing>
            </w:r>
          </w:p>
        </w:tc>
        <w:tc>
          <w:tcPr>
            <w:tcW w:w="1339" w:type="dxa"/>
            <w:vAlign w:val="center"/>
          </w:tcPr>
          <w:p w14:paraId="799C26D0">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整齐、清洁、润滑、安全、完好</w:t>
            </w:r>
          </w:p>
        </w:tc>
        <w:tc>
          <w:tcPr>
            <w:tcW w:w="1095" w:type="dxa"/>
            <w:vAlign w:val="center"/>
          </w:tcPr>
          <w:p w14:paraId="1C4ED063">
            <w:pPr>
              <w:widowControl w:val="0"/>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用于板结土壤的通气，可结合施肥使用。</w:t>
            </w:r>
          </w:p>
        </w:tc>
      </w:tr>
      <w:tr w14:paraId="0A6D7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5" w:hRule="atLeast"/>
          <w:jc w:val="center"/>
        </w:trPr>
        <w:tc>
          <w:tcPr>
            <w:tcW w:w="465" w:type="dxa"/>
            <w:vMerge w:val="continue"/>
            <w:vAlign w:val="center"/>
          </w:tcPr>
          <w:p w14:paraId="60E40D4F">
            <w:pPr>
              <w:widowControl/>
              <w:adjustRightInd/>
              <w:jc w:val="left"/>
              <w:rPr>
                <w:rFonts w:hint="eastAsia" w:ascii="宋体" w:hAnsi="宋体" w:eastAsia="宋体" w:cs="宋体"/>
                <w:b/>
                <w:bCs/>
                <w:color w:val="auto"/>
                <w:kern w:val="0"/>
                <w:sz w:val="24"/>
                <w:szCs w:val="24"/>
                <w:highlight w:val="none"/>
              </w:rPr>
            </w:pPr>
          </w:p>
        </w:tc>
        <w:tc>
          <w:tcPr>
            <w:tcW w:w="487" w:type="dxa"/>
            <w:vMerge w:val="continue"/>
            <w:vAlign w:val="center"/>
          </w:tcPr>
          <w:p w14:paraId="45334F8D">
            <w:pPr>
              <w:widowControl/>
              <w:adjustRightInd/>
              <w:jc w:val="left"/>
              <w:rPr>
                <w:rFonts w:hint="eastAsia" w:ascii="宋体" w:hAnsi="宋体" w:eastAsia="宋体" w:cs="宋体"/>
                <w:b/>
                <w:bCs/>
                <w:color w:val="auto"/>
                <w:kern w:val="0"/>
                <w:sz w:val="24"/>
                <w:szCs w:val="24"/>
                <w:highlight w:val="none"/>
              </w:rPr>
            </w:pPr>
          </w:p>
        </w:tc>
        <w:tc>
          <w:tcPr>
            <w:tcW w:w="567" w:type="dxa"/>
            <w:vAlign w:val="center"/>
          </w:tcPr>
          <w:p w14:paraId="145C2658">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w:t>
            </w:r>
          </w:p>
        </w:tc>
        <w:tc>
          <w:tcPr>
            <w:tcW w:w="1049" w:type="dxa"/>
            <w:vAlign w:val="center"/>
          </w:tcPr>
          <w:p w14:paraId="6647C71F">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绿篱机</w:t>
            </w:r>
          </w:p>
        </w:tc>
        <w:tc>
          <w:tcPr>
            <w:tcW w:w="765" w:type="dxa"/>
            <w:vAlign w:val="center"/>
          </w:tcPr>
          <w:p w14:paraId="7AA447E2">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3</w:t>
            </w:r>
          </w:p>
        </w:tc>
        <w:tc>
          <w:tcPr>
            <w:tcW w:w="566" w:type="dxa"/>
            <w:vAlign w:val="center"/>
          </w:tcPr>
          <w:p w14:paraId="79D30E72">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台　</w:t>
            </w:r>
          </w:p>
        </w:tc>
        <w:tc>
          <w:tcPr>
            <w:tcW w:w="3438" w:type="dxa"/>
            <w:vAlign w:val="center"/>
          </w:tcPr>
          <w:p w14:paraId="580D1934">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r>
              <w:rPr>
                <w:rFonts w:hint="eastAsia" w:ascii="宋体" w:hAnsi="宋体" w:eastAsia="宋体" w:cs="宋体"/>
                <w:color w:val="auto"/>
                <w:sz w:val="24"/>
                <w:szCs w:val="24"/>
                <w:highlight w:val="none"/>
              </w:rPr>
              <w:drawing>
                <wp:inline distT="0" distB="0" distL="114300" distR="114300">
                  <wp:extent cx="1990725" cy="1533525"/>
                  <wp:effectExtent l="0" t="0" r="9525" b="9525"/>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45"/>
                          <a:stretch>
                            <a:fillRect/>
                          </a:stretch>
                        </pic:blipFill>
                        <pic:spPr>
                          <a:xfrm>
                            <a:off x="0" y="0"/>
                            <a:ext cx="1990725" cy="1533525"/>
                          </a:xfrm>
                          <a:prstGeom prst="rect">
                            <a:avLst/>
                          </a:prstGeom>
                          <a:noFill/>
                          <a:ln>
                            <a:noFill/>
                          </a:ln>
                        </pic:spPr>
                      </pic:pic>
                    </a:graphicData>
                  </a:graphic>
                </wp:inline>
              </w:drawing>
            </w:r>
          </w:p>
        </w:tc>
        <w:tc>
          <w:tcPr>
            <w:tcW w:w="1339" w:type="dxa"/>
            <w:vAlign w:val="center"/>
          </w:tcPr>
          <w:p w14:paraId="15617F6A">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整齐、清洁、润滑、安全、完好</w:t>
            </w:r>
          </w:p>
        </w:tc>
        <w:tc>
          <w:tcPr>
            <w:tcW w:w="1095" w:type="dxa"/>
            <w:vAlign w:val="center"/>
          </w:tcPr>
          <w:p w14:paraId="50BBBD3D">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可用绿篱修剪</w:t>
            </w:r>
          </w:p>
        </w:tc>
      </w:tr>
      <w:tr w14:paraId="58DBE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65" w:type="dxa"/>
            <w:vMerge w:val="continue"/>
            <w:vAlign w:val="center"/>
          </w:tcPr>
          <w:p w14:paraId="6B398149">
            <w:pPr>
              <w:widowControl/>
              <w:adjustRightInd/>
              <w:jc w:val="left"/>
              <w:rPr>
                <w:rFonts w:hint="eastAsia" w:ascii="宋体" w:hAnsi="宋体" w:eastAsia="宋体" w:cs="宋体"/>
                <w:b/>
                <w:bCs/>
                <w:color w:val="auto"/>
                <w:kern w:val="0"/>
                <w:sz w:val="24"/>
                <w:szCs w:val="24"/>
                <w:highlight w:val="none"/>
              </w:rPr>
            </w:pPr>
          </w:p>
        </w:tc>
        <w:tc>
          <w:tcPr>
            <w:tcW w:w="487" w:type="dxa"/>
            <w:vMerge w:val="continue"/>
            <w:vAlign w:val="center"/>
          </w:tcPr>
          <w:p w14:paraId="35CB8108">
            <w:pPr>
              <w:widowControl/>
              <w:adjustRightInd/>
              <w:jc w:val="left"/>
              <w:rPr>
                <w:rFonts w:hint="eastAsia" w:ascii="宋体" w:hAnsi="宋体" w:eastAsia="宋体" w:cs="宋体"/>
                <w:b/>
                <w:bCs/>
                <w:color w:val="auto"/>
                <w:kern w:val="0"/>
                <w:sz w:val="24"/>
                <w:szCs w:val="24"/>
                <w:highlight w:val="none"/>
              </w:rPr>
            </w:pPr>
          </w:p>
        </w:tc>
        <w:tc>
          <w:tcPr>
            <w:tcW w:w="567" w:type="dxa"/>
            <w:vAlign w:val="center"/>
          </w:tcPr>
          <w:p w14:paraId="46A03D57">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13</w:t>
            </w:r>
          </w:p>
        </w:tc>
        <w:tc>
          <w:tcPr>
            <w:tcW w:w="1049" w:type="dxa"/>
            <w:vAlign w:val="center"/>
          </w:tcPr>
          <w:p w14:paraId="7E6EA107">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翻耕机</w:t>
            </w:r>
          </w:p>
        </w:tc>
        <w:tc>
          <w:tcPr>
            <w:tcW w:w="765" w:type="dxa"/>
            <w:vAlign w:val="center"/>
          </w:tcPr>
          <w:p w14:paraId="798CB41C">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566" w:type="dxa"/>
            <w:vAlign w:val="center"/>
          </w:tcPr>
          <w:p w14:paraId="2D08FA21">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台</w:t>
            </w:r>
          </w:p>
        </w:tc>
        <w:tc>
          <w:tcPr>
            <w:tcW w:w="3438" w:type="dxa"/>
            <w:vAlign w:val="center"/>
          </w:tcPr>
          <w:p w14:paraId="13E14601">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drawing>
                <wp:inline distT="0" distB="0" distL="114300" distR="114300">
                  <wp:extent cx="2044065" cy="1820545"/>
                  <wp:effectExtent l="0" t="0" r="13335" b="825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46"/>
                          <a:stretch>
                            <a:fillRect/>
                          </a:stretch>
                        </pic:blipFill>
                        <pic:spPr>
                          <a:xfrm>
                            <a:off x="0" y="0"/>
                            <a:ext cx="2044065" cy="1820545"/>
                          </a:xfrm>
                          <a:prstGeom prst="rect">
                            <a:avLst/>
                          </a:prstGeom>
                          <a:noFill/>
                          <a:ln>
                            <a:noFill/>
                          </a:ln>
                        </pic:spPr>
                      </pic:pic>
                    </a:graphicData>
                  </a:graphic>
                </wp:inline>
              </w:drawing>
            </w:r>
          </w:p>
        </w:tc>
        <w:tc>
          <w:tcPr>
            <w:tcW w:w="1339" w:type="dxa"/>
            <w:vAlign w:val="center"/>
          </w:tcPr>
          <w:p w14:paraId="75425259">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整齐、清洁、润滑、安全、完好</w:t>
            </w:r>
          </w:p>
        </w:tc>
        <w:tc>
          <w:tcPr>
            <w:tcW w:w="1095" w:type="dxa"/>
            <w:vAlign w:val="center"/>
          </w:tcPr>
          <w:p w14:paraId="03602927">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r>
      <w:tr w14:paraId="512A3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65" w:type="dxa"/>
            <w:vMerge w:val="continue"/>
            <w:vAlign w:val="center"/>
          </w:tcPr>
          <w:p w14:paraId="283020E7">
            <w:pPr>
              <w:widowControl/>
              <w:adjustRightInd/>
              <w:jc w:val="left"/>
              <w:rPr>
                <w:rFonts w:hint="eastAsia" w:ascii="宋体" w:hAnsi="宋体" w:eastAsia="宋体" w:cs="宋体"/>
                <w:b/>
                <w:bCs/>
                <w:color w:val="auto"/>
                <w:kern w:val="0"/>
                <w:sz w:val="24"/>
                <w:szCs w:val="24"/>
                <w:highlight w:val="none"/>
              </w:rPr>
            </w:pPr>
          </w:p>
        </w:tc>
        <w:tc>
          <w:tcPr>
            <w:tcW w:w="487" w:type="dxa"/>
            <w:vMerge w:val="restart"/>
            <w:vAlign w:val="center"/>
          </w:tcPr>
          <w:p w14:paraId="3B2E529F">
            <w:pPr>
              <w:widowControl/>
              <w:adjustRightInd/>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安全保障</w:t>
            </w:r>
          </w:p>
        </w:tc>
        <w:tc>
          <w:tcPr>
            <w:tcW w:w="567" w:type="dxa"/>
            <w:vAlign w:val="center"/>
          </w:tcPr>
          <w:p w14:paraId="30D2241B">
            <w:pPr>
              <w:widowControl/>
              <w:adjustRightInd/>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1</w:t>
            </w:r>
          </w:p>
        </w:tc>
        <w:tc>
          <w:tcPr>
            <w:tcW w:w="1049" w:type="dxa"/>
            <w:vAlign w:val="center"/>
          </w:tcPr>
          <w:p w14:paraId="2EB30FB0">
            <w:pPr>
              <w:widowControl/>
              <w:adjustRightInd/>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巡逻电瓶车</w:t>
            </w:r>
          </w:p>
        </w:tc>
        <w:tc>
          <w:tcPr>
            <w:tcW w:w="765" w:type="dxa"/>
            <w:vAlign w:val="center"/>
          </w:tcPr>
          <w:p w14:paraId="4D81A1A1">
            <w:pPr>
              <w:widowControl/>
              <w:adjustRightInd/>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　1</w:t>
            </w:r>
          </w:p>
        </w:tc>
        <w:tc>
          <w:tcPr>
            <w:tcW w:w="566" w:type="dxa"/>
            <w:vAlign w:val="center"/>
          </w:tcPr>
          <w:p w14:paraId="66975B32">
            <w:pPr>
              <w:widowControl/>
              <w:adjustRightInd/>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辆</w:t>
            </w:r>
          </w:p>
        </w:tc>
        <w:tc>
          <w:tcPr>
            <w:tcW w:w="3438" w:type="dxa"/>
            <w:vAlign w:val="center"/>
          </w:tcPr>
          <w:p w14:paraId="38041899">
            <w:pPr>
              <w:widowControl/>
              <w:adjustRightInd/>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4座</w:t>
            </w:r>
          </w:p>
        </w:tc>
        <w:tc>
          <w:tcPr>
            <w:tcW w:w="1339" w:type="dxa"/>
            <w:vAlign w:val="center"/>
          </w:tcPr>
          <w:p w14:paraId="1C597E0F">
            <w:pPr>
              <w:widowControl/>
              <w:adjustRightInd/>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　整齐、清洁、润滑、安全、完好</w:t>
            </w:r>
          </w:p>
        </w:tc>
        <w:tc>
          <w:tcPr>
            <w:tcW w:w="1095" w:type="dxa"/>
            <w:vAlign w:val="center"/>
          </w:tcPr>
          <w:p w14:paraId="7BCF371B">
            <w:pPr>
              <w:widowControl/>
              <w:adjustRightInd/>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w:t>
            </w:r>
          </w:p>
        </w:tc>
      </w:tr>
      <w:tr w14:paraId="7FA8E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465" w:type="dxa"/>
            <w:vMerge w:val="continue"/>
            <w:vAlign w:val="center"/>
          </w:tcPr>
          <w:p w14:paraId="5364627C">
            <w:pPr>
              <w:widowControl/>
              <w:adjustRightInd/>
              <w:jc w:val="left"/>
              <w:rPr>
                <w:rFonts w:hint="eastAsia" w:ascii="宋体" w:hAnsi="宋体" w:eastAsia="宋体" w:cs="宋体"/>
                <w:b/>
                <w:bCs/>
                <w:color w:val="auto"/>
                <w:kern w:val="0"/>
                <w:sz w:val="24"/>
                <w:szCs w:val="24"/>
                <w:highlight w:val="none"/>
              </w:rPr>
            </w:pPr>
          </w:p>
        </w:tc>
        <w:tc>
          <w:tcPr>
            <w:tcW w:w="487" w:type="dxa"/>
            <w:vMerge w:val="continue"/>
            <w:vAlign w:val="center"/>
          </w:tcPr>
          <w:p w14:paraId="47C70282">
            <w:pPr>
              <w:widowControl/>
              <w:adjustRightInd/>
              <w:jc w:val="left"/>
              <w:rPr>
                <w:rFonts w:hint="eastAsia" w:ascii="宋体" w:hAnsi="宋体" w:eastAsia="宋体" w:cs="宋体"/>
                <w:b/>
                <w:bCs/>
                <w:color w:val="auto"/>
                <w:kern w:val="0"/>
                <w:sz w:val="24"/>
                <w:szCs w:val="24"/>
                <w:highlight w:val="none"/>
              </w:rPr>
            </w:pPr>
          </w:p>
        </w:tc>
        <w:tc>
          <w:tcPr>
            <w:tcW w:w="567" w:type="dxa"/>
            <w:vAlign w:val="center"/>
          </w:tcPr>
          <w:p w14:paraId="033F0A48">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1049" w:type="dxa"/>
            <w:vAlign w:val="center"/>
          </w:tcPr>
          <w:p w14:paraId="31BA2DA9">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巡逻快艇</w:t>
            </w:r>
          </w:p>
        </w:tc>
        <w:tc>
          <w:tcPr>
            <w:tcW w:w="765" w:type="dxa"/>
            <w:vAlign w:val="center"/>
          </w:tcPr>
          <w:p w14:paraId="4BDAC762">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566" w:type="dxa"/>
            <w:vAlign w:val="center"/>
          </w:tcPr>
          <w:p w14:paraId="1ADA6627">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艘</w:t>
            </w:r>
          </w:p>
        </w:tc>
        <w:tc>
          <w:tcPr>
            <w:tcW w:w="3438" w:type="dxa"/>
            <w:vAlign w:val="center"/>
          </w:tcPr>
          <w:p w14:paraId="7FE2143E">
            <w:pPr>
              <w:widowControl/>
              <w:adjustRightInd/>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highlight w:val="none"/>
              </w:rPr>
              <w:drawing>
                <wp:inline distT="0" distB="0" distL="114300" distR="114300">
                  <wp:extent cx="2042160" cy="1673225"/>
                  <wp:effectExtent l="0" t="0" r="15240" b="317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47"/>
                          <a:stretch>
                            <a:fillRect/>
                          </a:stretch>
                        </pic:blipFill>
                        <pic:spPr>
                          <a:xfrm>
                            <a:off x="0" y="0"/>
                            <a:ext cx="2042160" cy="1673225"/>
                          </a:xfrm>
                          <a:prstGeom prst="rect">
                            <a:avLst/>
                          </a:prstGeom>
                          <a:noFill/>
                          <a:ln>
                            <a:noFill/>
                          </a:ln>
                        </pic:spPr>
                      </pic:pic>
                    </a:graphicData>
                  </a:graphic>
                </wp:inline>
              </w:drawing>
            </w:r>
          </w:p>
        </w:tc>
        <w:tc>
          <w:tcPr>
            <w:tcW w:w="1339" w:type="dxa"/>
            <w:vAlign w:val="center"/>
          </w:tcPr>
          <w:p w14:paraId="5680FB7F">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整齐、清洁、润滑、安全、完好</w:t>
            </w:r>
          </w:p>
        </w:tc>
        <w:tc>
          <w:tcPr>
            <w:tcW w:w="1095" w:type="dxa"/>
            <w:vAlign w:val="center"/>
          </w:tcPr>
          <w:p w14:paraId="63044C37">
            <w:pPr>
              <w:widowControl/>
              <w:adjustRightInd/>
              <w:jc w:val="center"/>
              <w:rPr>
                <w:rFonts w:hint="eastAsia" w:ascii="宋体" w:hAnsi="宋体" w:eastAsia="宋体" w:cs="宋体"/>
                <w:color w:val="auto"/>
                <w:kern w:val="0"/>
                <w:sz w:val="24"/>
                <w:szCs w:val="24"/>
                <w:highlight w:val="none"/>
              </w:rPr>
            </w:pPr>
          </w:p>
        </w:tc>
      </w:tr>
      <w:tr w14:paraId="2CCBE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465" w:type="dxa"/>
            <w:vMerge w:val="continue"/>
            <w:vAlign w:val="center"/>
          </w:tcPr>
          <w:p w14:paraId="6114052E">
            <w:pPr>
              <w:widowControl/>
              <w:adjustRightInd/>
              <w:jc w:val="left"/>
              <w:rPr>
                <w:rFonts w:hint="eastAsia" w:ascii="宋体" w:hAnsi="宋体" w:eastAsia="宋体" w:cs="宋体"/>
                <w:b/>
                <w:bCs/>
                <w:color w:val="auto"/>
                <w:kern w:val="0"/>
                <w:sz w:val="24"/>
                <w:szCs w:val="24"/>
                <w:highlight w:val="none"/>
              </w:rPr>
            </w:pPr>
          </w:p>
        </w:tc>
        <w:tc>
          <w:tcPr>
            <w:tcW w:w="487" w:type="dxa"/>
            <w:vMerge w:val="continue"/>
            <w:vAlign w:val="center"/>
          </w:tcPr>
          <w:p w14:paraId="2E4944D3">
            <w:pPr>
              <w:widowControl/>
              <w:adjustRightInd/>
              <w:jc w:val="left"/>
              <w:rPr>
                <w:rFonts w:hint="eastAsia" w:ascii="宋体" w:hAnsi="宋体" w:eastAsia="宋体" w:cs="宋体"/>
                <w:b/>
                <w:bCs/>
                <w:color w:val="auto"/>
                <w:kern w:val="0"/>
                <w:sz w:val="24"/>
                <w:szCs w:val="24"/>
                <w:highlight w:val="none"/>
              </w:rPr>
            </w:pPr>
          </w:p>
        </w:tc>
        <w:tc>
          <w:tcPr>
            <w:tcW w:w="567" w:type="dxa"/>
            <w:vAlign w:val="center"/>
          </w:tcPr>
          <w:p w14:paraId="704CCAEE">
            <w:pPr>
              <w:widowControl/>
              <w:adjustRightInd/>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3</w:t>
            </w:r>
          </w:p>
        </w:tc>
        <w:tc>
          <w:tcPr>
            <w:tcW w:w="1049" w:type="dxa"/>
            <w:vAlign w:val="center"/>
          </w:tcPr>
          <w:p w14:paraId="5828B30D">
            <w:pPr>
              <w:widowControl/>
              <w:adjustRightInd/>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电动自行车</w:t>
            </w:r>
          </w:p>
        </w:tc>
        <w:tc>
          <w:tcPr>
            <w:tcW w:w="765" w:type="dxa"/>
            <w:vAlign w:val="center"/>
          </w:tcPr>
          <w:p w14:paraId="3B0E836C">
            <w:pPr>
              <w:widowControl/>
              <w:adjustRightInd/>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10</w:t>
            </w:r>
          </w:p>
        </w:tc>
        <w:tc>
          <w:tcPr>
            <w:tcW w:w="566" w:type="dxa"/>
            <w:vAlign w:val="center"/>
          </w:tcPr>
          <w:p w14:paraId="49F0766F">
            <w:pPr>
              <w:widowControl/>
              <w:adjustRightInd/>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辆</w:t>
            </w:r>
          </w:p>
        </w:tc>
        <w:tc>
          <w:tcPr>
            <w:tcW w:w="3438" w:type="dxa"/>
            <w:vAlign w:val="center"/>
          </w:tcPr>
          <w:p w14:paraId="4ECBBB03">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14:paraId="2E3391AB">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锂电池，</w:t>
            </w:r>
            <w:r>
              <w:rPr>
                <w:rFonts w:hint="eastAsia" w:ascii="宋体" w:hAnsi="宋体" w:eastAsia="宋体" w:cs="宋体"/>
                <w:color w:val="auto"/>
                <w:kern w:val="0"/>
                <w:sz w:val="24"/>
                <w:szCs w:val="24"/>
                <w:highlight w:val="none"/>
                <w:lang w:eastAsia="zh-CN"/>
              </w:rPr>
              <w:t>符合新国标标准</w:t>
            </w:r>
            <w:r>
              <w:rPr>
                <w:rFonts w:hint="eastAsia" w:ascii="宋体" w:hAnsi="宋体" w:eastAsia="宋体" w:cs="宋体"/>
                <w:color w:val="auto"/>
                <w:kern w:val="0"/>
                <w:sz w:val="24"/>
                <w:szCs w:val="24"/>
                <w:highlight w:val="none"/>
              </w:rPr>
              <w:t>。</w:t>
            </w:r>
          </w:p>
          <w:p w14:paraId="290F6703">
            <w:pPr>
              <w:widowControl/>
              <w:adjustRightInd/>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　</w:t>
            </w:r>
          </w:p>
        </w:tc>
        <w:tc>
          <w:tcPr>
            <w:tcW w:w="1339" w:type="dxa"/>
            <w:vAlign w:val="center"/>
          </w:tcPr>
          <w:p w14:paraId="64265008">
            <w:pPr>
              <w:widowControl/>
              <w:adjustRightInd/>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　整齐、清洁、润滑、安全、完好</w:t>
            </w:r>
          </w:p>
        </w:tc>
        <w:tc>
          <w:tcPr>
            <w:tcW w:w="1095" w:type="dxa"/>
            <w:vAlign w:val="center"/>
          </w:tcPr>
          <w:p w14:paraId="763C0D13">
            <w:pPr>
              <w:widowControl/>
              <w:adjustRightInd/>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w:t>
            </w:r>
          </w:p>
        </w:tc>
      </w:tr>
      <w:tr w14:paraId="7D18E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jc w:val="center"/>
        </w:trPr>
        <w:tc>
          <w:tcPr>
            <w:tcW w:w="465" w:type="dxa"/>
            <w:vMerge w:val="restart"/>
            <w:vAlign w:val="center"/>
          </w:tcPr>
          <w:p w14:paraId="4742B24B">
            <w:pPr>
              <w:widowControl/>
              <w:adjustRightInd/>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升级配备</w:t>
            </w:r>
          </w:p>
        </w:tc>
        <w:tc>
          <w:tcPr>
            <w:tcW w:w="487" w:type="dxa"/>
            <w:vAlign w:val="center"/>
          </w:tcPr>
          <w:p w14:paraId="10010FC9">
            <w:pPr>
              <w:widowControl/>
              <w:adjustRightInd/>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植物养护</w:t>
            </w:r>
          </w:p>
        </w:tc>
        <w:tc>
          <w:tcPr>
            <w:tcW w:w="567" w:type="dxa"/>
            <w:vAlign w:val="center"/>
          </w:tcPr>
          <w:p w14:paraId="608C1C0A">
            <w:pPr>
              <w:widowControl/>
              <w:adjustRightInd/>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1</w:t>
            </w:r>
          </w:p>
        </w:tc>
        <w:tc>
          <w:tcPr>
            <w:tcW w:w="1049" w:type="dxa"/>
            <w:vAlign w:val="center"/>
          </w:tcPr>
          <w:p w14:paraId="515D5F59">
            <w:pPr>
              <w:widowControl/>
              <w:adjustRightInd/>
              <w:jc w:val="center"/>
              <w:rPr>
                <w:rFonts w:hint="eastAsia" w:ascii="宋体" w:hAnsi="宋体" w:eastAsia="宋体" w:cs="宋体"/>
                <w:color w:val="auto"/>
                <w:kern w:val="0"/>
                <w:sz w:val="24"/>
                <w:szCs w:val="24"/>
                <w:highlight w:val="none"/>
              </w:rPr>
            </w:pPr>
          </w:p>
          <w:p w14:paraId="08281749">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无人机打药设备</w:t>
            </w:r>
          </w:p>
          <w:p w14:paraId="0D8C8DC2">
            <w:pPr>
              <w:widowControl/>
              <w:adjustRightInd/>
              <w:jc w:val="center"/>
              <w:rPr>
                <w:rFonts w:hint="eastAsia" w:ascii="宋体" w:hAnsi="宋体" w:eastAsia="宋体" w:cs="宋体"/>
                <w:color w:val="auto"/>
                <w:kern w:val="0"/>
                <w:sz w:val="24"/>
                <w:szCs w:val="24"/>
                <w:highlight w:val="none"/>
                <w:lang w:val="en-US" w:eastAsia="zh-CN" w:bidi="ar-SA"/>
              </w:rPr>
            </w:pPr>
          </w:p>
        </w:tc>
        <w:tc>
          <w:tcPr>
            <w:tcW w:w="765" w:type="dxa"/>
            <w:vAlign w:val="center"/>
          </w:tcPr>
          <w:p w14:paraId="24D7BB8C">
            <w:pPr>
              <w:widowControl/>
              <w:adjustRightInd/>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　1</w:t>
            </w:r>
          </w:p>
        </w:tc>
        <w:tc>
          <w:tcPr>
            <w:tcW w:w="566" w:type="dxa"/>
            <w:vAlign w:val="center"/>
          </w:tcPr>
          <w:p w14:paraId="6A969EC7">
            <w:pPr>
              <w:widowControl/>
              <w:adjustRightInd/>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架</w:t>
            </w:r>
          </w:p>
        </w:tc>
        <w:tc>
          <w:tcPr>
            <w:tcW w:w="3438" w:type="dxa"/>
            <w:vAlign w:val="center"/>
          </w:tcPr>
          <w:p w14:paraId="014918A7">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14:paraId="5A4E2D61">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14:paraId="0A1C1E12">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飞行高度不小于20米；药箱容量不小于50L；</w:t>
            </w:r>
          </w:p>
          <w:p w14:paraId="34676916">
            <w:pPr>
              <w:widowControl/>
              <w:adjustRightInd/>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　</w:t>
            </w:r>
          </w:p>
        </w:tc>
        <w:tc>
          <w:tcPr>
            <w:tcW w:w="1339" w:type="dxa"/>
            <w:vAlign w:val="center"/>
          </w:tcPr>
          <w:p w14:paraId="0865117E">
            <w:pPr>
              <w:widowControl/>
              <w:adjustRightInd/>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　整齐、清洁、润滑、安全、完好</w:t>
            </w:r>
          </w:p>
        </w:tc>
        <w:tc>
          <w:tcPr>
            <w:tcW w:w="1095" w:type="dxa"/>
            <w:vAlign w:val="center"/>
          </w:tcPr>
          <w:p w14:paraId="562ECCBD">
            <w:pPr>
              <w:widowControl/>
              <w:adjustRightInd/>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w:t>
            </w:r>
          </w:p>
        </w:tc>
      </w:tr>
      <w:tr w14:paraId="3BA6E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9" w:hRule="atLeast"/>
          <w:jc w:val="center"/>
        </w:trPr>
        <w:tc>
          <w:tcPr>
            <w:tcW w:w="465" w:type="dxa"/>
            <w:vMerge w:val="continue"/>
            <w:vAlign w:val="center"/>
          </w:tcPr>
          <w:p w14:paraId="1875F11E">
            <w:pPr>
              <w:widowControl/>
              <w:adjustRightInd/>
              <w:jc w:val="left"/>
              <w:rPr>
                <w:rFonts w:hint="eastAsia" w:ascii="宋体" w:hAnsi="宋体" w:eastAsia="宋体" w:cs="宋体"/>
                <w:b/>
                <w:bCs/>
                <w:color w:val="auto"/>
                <w:kern w:val="0"/>
                <w:sz w:val="24"/>
                <w:szCs w:val="24"/>
                <w:highlight w:val="none"/>
              </w:rPr>
            </w:pPr>
          </w:p>
        </w:tc>
        <w:tc>
          <w:tcPr>
            <w:tcW w:w="487" w:type="dxa"/>
            <w:vAlign w:val="center"/>
          </w:tcPr>
          <w:p w14:paraId="20953EB0">
            <w:pPr>
              <w:widowControl/>
              <w:adjustRightInd/>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安全保障</w:t>
            </w:r>
          </w:p>
        </w:tc>
        <w:tc>
          <w:tcPr>
            <w:tcW w:w="567" w:type="dxa"/>
            <w:vAlign w:val="center"/>
          </w:tcPr>
          <w:p w14:paraId="3B7917D1">
            <w:pPr>
              <w:widowControl/>
              <w:adjustRightInd/>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1</w:t>
            </w:r>
          </w:p>
        </w:tc>
        <w:tc>
          <w:tcPr>
            <w:tcW w:w="1049" w:type="dxa"/>
            <w:vAlign w:val="center"/>
          </w:tcPr>
          <w:p w14:paraId="0116FC07">
            <w:pPr>
              <w:widowControl/>
              <w:adjustRightInd/>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定向巡航无人机</w:t>
            </w:r>
          </w:p>
        </w:tc>
        <w:tc>
          <w:tcPr>
            <w:tcW w:w="765" w:type="dxa"/>
            <w:vAlign w:val="center"/>
          </w:tcPr>
          <w:p w14:paraId="4F586769">
            <w:pPr>
              <w:widowControl/>
              <w:adjustRightInd/>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　1</w:t>
            </w:r>
          </w:p>
        </w:tc>
        <w:tc>
          <w:tcPr>
            <w:tcW w:w="566" w:type="dxa"/>
            <w:vAlign w:val="center"/>
          </w:tcPr>
          <w:p w14:paraId="18A2ED29">
            <w:pPr>
              <w:widowControl/>
              <w:adjustRightInd/>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架</w:t>
            </w:r>
          </w:p>
        </w:tc>
        <w:tc>
          <w:tcPr>
            <w:tcW w:w="3438" w:type="dxa"/>
            <w:vAlign w:val="center"/>
          </w:tcPr>
          <w:p w14:paraId="4317EF78">
            <w:pPr>
              <w:widowControl/>
              <w:adjustRightInd/>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　最大飞行时间超过20分钟，最大有效信号距离超过3公里，摄像头4K以上。</w:t>
            </w:r>
          </w:p>
        </w:tc>
        <w:tc>
          <w:tcPr>
            <w:tcW w:w="1339" w:type="dxa"/>
            <w:vAlign w:val="center"/>
          </w:tcPr>
          <w:p w14:paraId="68E3BFEB">
            <w:pPr>
              <w:widowControl/>
              <w:adjustRightInd/>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　整齐、清洁、润滑、安全、完好</w:t>
            </w:r>
          </w:p>
        </w:tc>
        <w:tc>
          <w:tcPr>
            <w:tcW w:w="1095" w:type="dxa"/>
            <w:vAlign w:val="center"/>
          </w:tcPr>
          <w:p w14:paraId="71E34871">
            <w:pPr>
              <w:widowControl/>
              <w:adjustRightInd/>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w:t>
            </w:r>
          </w:p>
        </w:tc>
      </w:tr>
      <w:tr w14:paraId="5FA55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465" w:type="dxa"/>
            <w:vAlign w:val="center"/>
          </w:tcPr>
          <w:p w14:paraId="3324D9A7">
            <w:pPr>
              <w:widowControl/>
              <w:adjustRightInd/>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管理要求</w:t>
            </w:r>
          </w:p>
        </w:tc>
        <w:tc>
          <w:tcPr>
            <w:tcW w:w="9306" w:type="dxa"/>
            <w:gridSpan w:val="8"/>
            <w:vAlign w:val="center"/>
          </w:tcPr>
          <w:p w14:paraId="26DDF9DC">
            <w:pPr>
              <w:widowControl w:val="0"/>
              <w:autoSpaceDE w:val="0"/>
              <w:autoSpaceDN w:val="0"/>
              <w:adjustRightInd w:val="0"/>
              <w:jc w:val="left"/>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完成服务相关人员开展日常作业必须配备的基本工具、器械不列入本清单，由中标人无条件提供，费用包干。主要指完成相关作业必备的无动力装置或通讯工具，包括1）手推车、工具车、垃圾铲（灰斗）、扫把、拖布、抹布等清洁工具；2）人工打药机、枝剪、水管等植物养护工具；3）五金等维修工具等；4）安保、服务人员对讲机等通讯工具；5）口罩、手套等。</w:t>
            </w:r>
          </w:p>
          <w:p w14:paraId="30649B8D">
            <w:pPr>
              <w:widowControl w:val="0"/>
              <w:autoSpaceDE w:val="0"/>
              <w:autoSpaceDN w:val="0"/>
              <w:adjustRightInd w:val="0"/>
              <w:jc w:val="left"/>
              <w:textAlignment w:val="baseline"/>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b/>
                <w:bCs/>
                <w:color w:val="auto"/>
                <w:kern w:val="2"/>
                <w:sz w:val="24"/>
                <w:szCs w:val="24"/>
                <w:highlight w:val="none"/>
                <w:lang w:val="en-US" w:eastAsia="zh-CN" w:bidi="ar-SA"/>
              </w:rPr>
              <w:t>本清单仅要求经常性使用且要求常驻公园的机械设备。</w:t>
            </w:r>
          </w:p>
          <w:p w14:paraId="5B67BF6B">
            <w:pPr>
              <w:widowControl w:val="0"/>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.本清单所有机械设备需在合同签订</w:t>
            </w:r>
            <w:r>
              <w:rPr>
                <w:rFonts w:hint="eastAsia" w:ascii="宋体" w:hAnsi="宋体" w:cs="宋体"/>
                <w:color w:val="auto"/>
                <w:sz w:val="24"/>
                <w:szCs w:val="24"/>
                <w:highlight w:val="none"/>
                <w:lang w:val="en-US" w:eastAsia="zh-CN"/>
              </w:rPr>
              <w:t>之日起</w:t>
            </w:r>
            <w:r>
              <w:rPr>
                <w:rFonts w:hint="eastAsia" w:ascii="宋体" w:hAnsi="宋体" w:eastAsia="宋体" w:cs="宋体"/>
                <w:color w:val="auto"/>
                <w:sz w:val="24"/>
                <w:szCs w:val="24"/>
                <w:highlight w:val="none"/>
              </w:rPr>
              <w:t>10日内配齐，仅限于在本项目中使用，保养记录和存放地点须向</w:t>
            </w:r>
            <w:r>
              <w:rPr>
                <w:rFonts w:hint="eastAsia" w:ascii="宋体" w:hAnsi="宋体" w:eastAsia="宋体" w:cs="宋体"/>
                <w:color w:val="auto"/>
                <w:sz w:val="24"/>
                <w:szCs w:val="24"/>
                <w:highlight w:val="none"/>
                <w:lang w:eastAsia="zh-CN"/>
              </w:rPr>
              <w:t>采购单位</w:t>
            </w:r>
            <w:r>
              <w:rPr>
                <w:rFonts w:hint="eastAsia" w:ascii="宋体" w:hAnsi="宋体" w:eastAsia="宋体" w:cs="宋体"/>
                <w:color w:val="auto"/>
                <w:sz w:val="24"/>
                <w:szCs w:val="24"/>
                <w:highlight w:val="none"/>
              </w:rPr>
              <w:t>备案，随时预备检查。机械设备均应在闲时进行维修保养，工作期间如发生故障无法正常使用，</w:t>
            </w:r>
            <w:r>
              <w:rPr>
                <w:rFonts w:hint="eastAsia" w:ascii="宋体" w:hAnsi="宋体" w:eastAsia="宋体" w:cs="宋体"/>
                <w:color w:val="auto"/>
                <w:sz w:val="24"/>
                <w:szCs w:val="24"/>
                <w:highlight w:val="none"/>
                <w:lang w:eastAsia="zh-CN"/>
              </w:rPr>
              <w:t>中标人</w:t>
            </w:r>
            <w:r>
              <w:rPr>
                <w:rFonts w:hint="eastAsia" w:ascii="宋体" w:hAnsi="宋体" w:eastAsia="宋体" w:cs="宋体"/>
                <w:color w:val="auto"/>
                <w:sz w:val="24"/>
                <w:szCs w:val="24"/>
                <w:highlight w:val="none"/>
              </w:rPr>
              <w:t>须无条件提供同等规格或以上的机械设备。</w:t>
            </w:r>
          </w:p>
          <w:p w14:paraId="1A5EA76B">
            <w:pPr>
              <w:widowControl w:val="0"/>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.以上车辆机械设备数量为满足</w:t>
            </w:r>
            <w:r>
              <w:rPr>
                <w:rFonts w:hint="eastAsia" w:ascii="宋体" w:hAnsi="宋体" w:eastAsia="宋体" w:cs="宋体"/>
                <w:color w:val="auto"/>
                <w:sz w:val="24"/>
                <w:szCs w:val="24"/>
                <w:highlight w:val="none"/>
                <w:lang w:val="en-US" w:eastAsia="zh-CN"/>
              </w:rPr>
              <w:t>本</w:t>
            </w:r>
            <w:r>
              <w:rPr>
                <w:rFonts w:hint="eastAsia" w:ascii="宋体" w:hAnsi="宋体" w:eastAsia="宋体" w:cs="宋体"/>
                <w:color w:val="auto"/>
                <w:sz w:val="24"/>
                <w:szCs w:val="24"/>
                <w:highlight w:val="none"/>
              </w:rPr>
              <w:t>标段的最低配备要求，供应商应根据本标段实际情况配备足够的车辆机械设备。</w:t>
            </w:r>
          </w:p>
          <w:p w14:paraId="104BC2DD">
            <w:pPr>
              <w:widowControl w:val="0"/>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.相关机械设备的操作使用、维护保养由</w:t>
            </w:r>
            <w:r>
              <w:rPr>
                <w:rFonts w:hint="eastAsia" w:ascii="宋体" w:hAnsi="宋体" w:eastAsia="宋体" w:cs="宋体"/>
                <w:color w:val="auto"/>
                <w:sz w:val="24"/>
                <w:szCs w:val="24"/>
                <w:highlight w:val="none"/>
                <w:lang w:eastAsia="zh-CN"/>
              </w:rPr>
              <w:t>中标人</w:t>
            </w:r>
            <w:r>
              <w:rPr>
                <w:rFonts w:hint="eastAsia" w:ascii="宋体" w:hAnsi="宋体" w:eastAsia="宋体" w:cs="宋体"/>
                <w:color w:val="auto"/>
                <w:sz w:val="24"/>
                <w:szCs w:val="24"/>
                <w:highlight w:val="none"/>
              </w:rPr>
              <w:t>负责，费用包干。</w:t>
            </w:r>
          </w:p>
          <w:p w14:paraId="7508DAC8">
            <w:pPr>
              <w:widowControl w:val="0"/>
              <w:ind w:firstLine="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6.本清单机械设备生产制造时间要求为2021年1月份以后，具备国家认可的合格证书，性能良好；属于租赁的机械设备，租赁时间必须长于本项目招标服务时限或一致，不得短于项目服务时限。</w:t>
            </w:r>
          </w:p>
        </w:tc>
      </w:tr>
    </w:tbl>
    <w:p w14:paraId="59CD62C2">
      <w:pPr>
        <w:widowControl/>
        <w:tabs>
          <w:tab w:val="left" w:pos="851"/>
        </w:tabs>
        <w:adjustRightInd/>
        <w:spacing w:line="360" w:lineRule="auto"/>
        <w:outlineLvl w:val="1"/>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eastAsia="zh-CN"/>
        </w:rPr>
        <w:t>（</w:t>
      </w:r>
      <w:r>
        <w:rPr>
          <w:rFonts w:hint="eastAsia" w:ascii="宋体" w:hAnsi="宋体" w:eastAsia="宋体" w:cs="宋体"/>
          <w:b/>
          <w:color w:val="auto"/>
          <w:kern w:val="0"/>
          <w:sz w:val="24"/>
          <w:highlight w:val="none"/>
          <w:lang w:val="en-US" w:eastAsia="zh-CN"/>
        </w:rPr>
        <w:t>二</w:t>
      </w:r>
      <w:r>
        <w:rPr>
          <w:rFonts w:hint="eastAsia" w:ascii="宋体" w:hAnsi="宋体" w:eastAsia="宋体" w:cs="宋体"/>
          <w:b/>
          <w:color w:val="auto"/>
          <w:kern w:val="0"/>
          <w:sz w:val="24"/>
          <w:highlight w:val="none"/>
          <w:lang w:eastAsia="zh-CN"/>
        </w:rPr>
        <w:t>）</w:t>
      </w:r>
      <w:r>
        <w:rPr>
          <w:rFonts w:hint="eastAsia" w:ascii="宋体" w:hAnsi="宋体" w:eastAsia="宋体" w:cs="宋体"/>
          <w:b/>
          <w:color w:val="auto"/>
          <w:kern w:val="0"/>
          <w:sz w:val="24"/>
          <w:highlight w:val="none"/>
          <w:lang w:val="en-US" w:eastAsia="zh-CN"/>
        </w:rPr>
        <w:t>采购人</w:t>
      </w:r>
      <w:r>
        <w:rPr>
          <w:rFonts w:hint="eastAsia" w:ascii="宋体" w:hAnsi="宋体" w:eastAsia="宋体" w:cs="宋体"/>
          <w:b/>
          <w:color w:val="auto"/>
          <w:kern w:val="0"/>
          <w:sz w:val="24"/>
          <w:highlight w:val="none"/>
          <w:lang w:eastAsia="zh-CN"/>
        </w:rPr>
        <w:t>可提供设备清单</w:t>
      </w:r>
    </w:p>
    <w:tbl>
      <w:tblPr>
        <w:tblStyle w:val="62"/>
        <w:tblW w:w="9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5"/>
        <w:gridCol w:w="737"/>
        <w:gridCol w:w="1541"/>
        <w:gridCol w:w="695"/>
        <w:gridCol w:w="600"/>
        <w:gridCol w:w="779"/>
        <w:gridCol w:w="2495"/>
        <w:gridCol w:w="1817"/>
      </w:tblGrid>
      <w:tr w14:paraId="6D18B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55" w:type="dxa"/>
            <w:vAlign w:val="center"/>
          </w:tcPr>
          <w:p w14:paraId="40F35F95">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类别</w:t>
            </w:r>
          </w:p>
        </w:tc>
        <w:tc>
          <w:tcPr>
            <w:tcW w:w="737" w:type="dxa"/>
            <w:vAlign w:val="center"/>
          </w:tcPr>
          <w:p w14:paraId="580C1068">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序号</w:t>
            </w:r>
          </w:p>
        </w:tc>
        <w:tc>
          <w:tcPr>
            <w:tcW w:w="1541" w:type="dxa"/>
            <w:vAlign w:val="center"/>
          </w:tcPr>
          <w:p w14:paraId="104DE0F3">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设备名称</w:t>
            </w:r>
          </w:p>
        </w:tc>
        <w:tc>
          <w:tcPr>
            <w:tcW w:w="695" w:type="dxa"/>
            <w:vAlign w:val="center"/>
          </w:tcPr>
          <w:p w14:paraId="0FE56A42">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数量</w:t>
            </w:r>
          </w:p>
        </w:tc>
        <w:tc>
          <w:tcPr>
            <w:tcW w:w="600" w:type="dxa"/>
            <w:vAlign w:val="center"/>
          </w:tcPr>
          <w:p w14:paraId="614E3962">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单位</w:t>
            </w:r>
          </w:p>
        </w:tc>
        <w:tc>
          <w:tcPr>
            <w:tcW w:w="779" w:type="dxa"/>
            <w:vAlign w:val="center"/>
          </w:tcPr>
          <w:p w14:paraId="44416E50">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规格参数</w:t>
            </w:r>
          </w:p>
        </w:tc>
        <w:tc>
          <w:tcPr>
            <w:tcW w:w="2495" w:type="dxa"/>
            <w:vAlign w:val="center"/>
          </w:tcPr>
          <w:p w14:paraId="4624DEA8">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使用及维护要求（使用率）</w:t>
            </w:r>
          </w:p>
        </w:tc>
        <w:tc>
          <w:tcPr>
            <w:tcW w:w="1817" w:type="dxa"/>
            <w:vAlign w:val="center"/>
          </w:tcPr>
          <w:p w14:paraId="2A3FC640">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备注</w:t>
            </w:r>
          </w:p>
        </w:tc>
      </w:tr>
      <w:tr w14:paraId="11831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55" w:type="dxa"/>
            <w:vMerge w:val="restart"/>
            <w:vAlign w:val="center"/>
          </w:tcPr>
          <w:p w14:paraId="4018E40B">
            <w:pPr>
              <w:widowControl/>
              <w:adjustRightInd/>
              <w:jc w:val="center"/>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kern w:val="0"/>
                <w:sz w:val="24"/>
                <w:szCs w:val="24"/>
                <w:highlight w:val="none"/>
                <w:lang w:eastAsia="zh-CN"/>
              </w:rPr>
              <w:t>卫生保洁</w:t>
            </w:r>
          </w:p>
        </w:tc>
        <w:tc>
          <w:tcPr>
            <w:tcW w:w="737" w:type="dxa"/>
            <w:vAlign w:val="center"/>
          </w:tcPr>
          <w:p w14:paraId="010560C5">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1541" w:type="dxa"/>
            <w:vAlign w:val="center"/>
          </w:tcPr>
          <w:p w14:paraId="0085549B">
            <w:pPr>
              <w:widowControl w:val="0"/>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电动保洁船海鹰520</w:t>
            </w:r>
          </w:p>
        </w:tc>
        <w:tc>
          <w:tcPr>
            <w:tcW w:w="695" w:type="dxa"/>
            <w:vAlign w:val="center"/>
          </w:tcPr>
          <w:p w14:paraId="45C25EE8">
            <w:pPr>
              <w:widowControl w:val="0"/>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600" w:type="dxa"/>
            <w:vAlign w:val="center"/>
          </w:tcPr>
          <w:p w14:paraId="714D5E28">
            <w:pPr>
              <w:widowControl w:val="0"/>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w:t>
            </w:r>
          </w:p>
        </w:tc>
        <w:tc>
          <w:tcPr>
            <w:tcW w:w="779" w:type="dxa"/>
            <w:vAlign w:val="center"/>
          </w:tcPr>
          <w:p w14:paraId="65C01E98">
            <w:pPr>
              <w:widowControl w:val="0"/>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2495" w:type="dxa"/>
            <w:vAlign w:val="center"/>
          </w:tcPr>
          <w:p w14:paraId="32027DA1">
            <w:pPr>
              <w:widowControl w:val="0"/>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整齐、清洁、润滑、安全、完好</w:t>
            </w:r>
            <w:r>
              <w:rPr>
                <w:rFonts w:hint="eastAsia" w:ascii="宋体" w:hAnsi="宋体" w:eastAsia="宋体" w:cs="宋体"/>
                <w:color w:val="auto"/>
                <w:kern w:val="0"/>
                <w:sz w:val="24"/>
                <w:szCs w:val="24"/>
                <w:highlight w:val="none"/>
                <w:lang w:eastAsia="zh-CN"/>
              </w:rPr>
              <w:t xml:space="preserve"> </w:t>
            </w:r>
          </w:p>
        </w:tc>
        <w:tc>
          <w:tcPr>
            <w:tcW w:w="1817" w:type="dxa"/>
            <w:vAlign w:val="center"/>
          </w:tcPr>
          <w:p w14:paraId="52D2BB6A">
            <w:pPr>
              <w:widowControl w:val="0"/>
              <w:adjustRightInd/>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已使用年限6</w:t>
            </w:r>
            <w:r>
              <w:rPr>
                <w:rFonts w:hint="eastAsia" w:ascii="宋体" w:hAnsi="宋体" w:cs="宋体"/>
                <w:color w:val="auto"/>
                <w:sz w:val="24"/>
                <w:szCs w:val="24"/>
                <w:highlight w:val="none"/>
                <w:lang w:val="en-US" w:eastAsia="zh-CN"/>
              </w:rPr>
              <w:t>年</w:t>
            </w:r>
          </w:p>
        </w:tc>
      </w:tr>
      <w:tr w14:paraId="3F8A1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55" w:type="dxa"/>
            <w:vMerge w:val="continue"/>
            <w:vAlign w:val="center"/>
          </w:tcPr>
          <w:p w14:paraId="522F329D">
            <w:pPr>
              <w:widowControl/>
              <w:adjustRightInd/>
              <w:jc w:val="center"/>
              <w:rPr>
                <w:rFonts w:hint="eastAsia" w:ascii="宋体" w:hAnsi="宋体" w:eastAsia="宋体" w:cs="宋体"/>
                <w:b/>
                <w:bCs/>
                <w:color w:val="auto"/>
                <w:kern w:val="0"/>
                <w:sz w:val="24"/>
                <w:szCs w:val="24"/>
                <w:highlight w:val="none"/>
              </w:rPr>
            </w:pPr>
          </w:p>
        </w:tc>
        <w:tc>
          <w:tcPr>
            <w:tcW w:w="737" w:type="dxa"/>
            <w:vAlign w:val="center"/>
          </w:tcPr>
          <w:p w14:paraId="75946621">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1541" w:type="dxa"/>
            <w:vAlign w:val="center"/>
          </w:tcPr>
          <w:p w14:paraId="5CE9E796">
            <w:pPr>
              <w:widowControl w:val="0"/>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扫地机GR-E800W</w:t>
            </w:r>
          </w:p>
        </w:tc>
        <w:tc>
          <w:tcPr>
            <w:tcW w:w="695" w:type="dxa"/>
            <w:vAlign w:val="center"/>
          </w:tcPr>
          <w:p w14:paraId="3226284D">
            <w:pPr>
              <w:widowControl w:val="0"/>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600" w:type="dxa"/>
            <w:vAlign w:val="center"/>
          </w:tcPr>
          <w:p w14:paraId="0E77D3EB">
            <w:pPr>
              <w:widowControl w:val="0"/>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w:t>
            </w:r>
          </w:p>
        </w:tc>
        <w:tc>
          <w:tcPr>
            <w:tcW w:w="779" w:type="dxa"/>
            <w:vAlign w:val="center"/>
          </w:tcPr>
          <w:p w14:paraId="2211B82A">
            <w:pPr>
              <w:widowControl w:val="0"/>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2495" w:type="dxa"/>
            <w:vAlign w:val="center"/>
          </w:tcPr>
          <w:p w14:paraId="65C3854D">
            <w:pPr>
              <w:widowControl w:val="0"/>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整齐、清洁、润滑、安全、完好</w:t>
            </w:r>
            <w:r>
              <w:rPr>
                <w:rFonts w:hint="eastAsia" w:ascii="宋体" w:hAnsi="宋体" w:eastAsia="宋体" w:cs="宋体"/>
                <w:color w:val="auto"/>
                <w:kern w:val="0"/>
                <w:sz w:val="24"/>
                <w:szCs w:val="24"/>
                <w:highlight w:val="none"/>
                <w:lang w:eastAsia="zh-CN"/>
              </w:rPr>
              <w:t xml:space="preserve"> </w:t>
            </w:r>
          </w:p>
        </w:tc>
        <w:tc>
          <w:tcPr>
            <w:tcW w:w="1817" w:type="dxa"/>
            <w:vAlign w:val="center"/>
          </w:tcPr>
          <w:p w14:paraId="79F10F7F">
            <w:pPr>
              <w:widowControl w:val="0"/>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已使用年限5年</w:t>
            </w:r>
          </w:p>
        </w:tc>
      </w:tr>
      <w:tr w14:paraId="2A2E2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55" w:type="dxa"/>
            <w:vMerge w:val="continue"/>
            <w:vAlign w:val="center"/>
          </w:tcPr>
          <w:p w14:paraId="1153D9DF">
            <w:pPr>
              <w:widowControl/>
              <w:adjustRightInd/>
              <w:jc w:val="center"/>
              <w:rPr>
                <w:rFonts w:hint="eastAsia" w:ascii="宋体" w:hAnsi="宋体" w:eastAsia="宋体" w:cs="宋体"/>
                <w:b/>
                <w:bCs/>
                <w:color w:val="auto"/>
                <w:kern w:val="0"/>
                <w:sz w:val="24"/>
                <w:szCs w:val="24"/>
                <w:highlight w:val="none"/>
              </w:rPr>
            </w:pPr>
          </w:p>
        </w:tc>
        <w:tc>
          <w:tcPr>
            <w:tcW w:w="737" w:type="dxa"/>
            <w:vAlign w:val="center"/>
          </w:tcPr>
          <w:p w14:paraId="759650B5">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w:t>
            </w:r>
          </w:p>
        </w:tc>
        <w:tc>
          <w:tcPr>
            <w:tcW w:w="1541" w:type="dxa"/>
            <w:vAlign w:val="center"/>
          </w:tcPr>
          <w:p w14:paraId="4AC2B71E">
            <w:pPr>
              <w:widowControl w:val="0"/>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坦能洗地机</w:t>
            </w:r>
          </w:p>
        </w:tc>
        <w:tc>
          <w:tcPr>
            <w:tcW w:w="695" w:type="dxa"/>
            <w:vAlign w:val="center"/>
          </w:tcPr>
          <w:p w14:paraId="63B39ECB">
            <w:pPr>
              <w:widowControl w:val="0"/>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600" w:type="dxa"/>
            <w:vAlign w:val="center"/>
          </w:tcPr>
          <w:p w14:paraId="4417E0AD">
            <w:pPr>
              <w:widowControl w:val="0"/>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w:t>
            </w:r>
          </w:p>
        </w:tc>
        <w:tc>
          <w:tcPr>
            <w:tcW w:w="779" w:type="dxa"/>
            <w:vAlign w:val="center"/>
          </w:tcPr>
          <w:p w14:paraId="00202911">
            <w:pPr>
              <w:widowControl w:val="0"/>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2495" w:type="dxa"/>
            <w:vAlign w:val="center"/>
          </w:tcPr>
          <w:p w14:paraId="26D0C6EA">
            <w:pPr>
              <w:widowControl w:val="0"/>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整齐、清洁、润滑、安全、完好</w:t>
            </w:r>
            <w:r>
              <w:rPr>
                <w:rFonts w:hint="eastAsia" w:ascii="宋体" w:hAnsi="宋体" w:eastAsia="宋体" w:cs="宋体"/>
                <w:color w:val="auto"/>
                <w:kern w:val="0"/>
                <w:sz w:val="24"/>
                <w:szCs w:val="24"/>
                <w:highlight w:val="none"/>
                <w:lang w:eastAsia="zh-CN"/>
              </w:rPr>
              <w:t xml:space="preserve"> </w:t>
            </w:r>
          </w:p>
        </w:tc>
        <w:tc>
          <w:tcPr>
            <w:tcW w:w="1817" w:type="dxa"/>
            <w:vAlign w:val="center"/>
          </w:tcPr>
          <w:p w14:paraId="5019B026">
            <w:pPr>
              <w:widowControl w:val="0"/>
              <w:adjustRightInd/>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租借（2024年9月24日到期），到期采购人不再续租，中标人须按采购人要求进行配备。</w:t>
            </w:r>
          </w:p>
        </w:tc>
      </w:tr>
      <w:tr w14:paraId="245D9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55" w:type="dxa"/>
            <w:vMerge w:val="continue"/>
            <w:vAlign w:val="center"/>
          </w:tcPr>
          <w:p w14:paraId="0805C319">
            <w:pPr>
              <w:widowControl/>
              <w:adjustRightInd/>
              <w:jc w:val="center"/>
              <w:rPr>
                <w:rFonts w:hint="eastAsia" w:ascii="宋体" w:hAnsi="宋体" w:eastAsia="宋体" w:cs="宋体"/>
                <w:b/>
                <w:bCs/>
                <w:color w:val="auto"/>
                <w:kern w:val="0"/>
                <w:sz w:val="24"/>
                <w:szCs w:val="24"/>
                <w:highlight w:val="none"/>
              </w:rPr>
            </w:pPr>
          </w:p>
        </w:tc>
        <w:tc>
          <w:tcPr>
            <w:tcW w:w="737" w:type="dxa"/>
            <w:vAlign w:val="center"/>
          </w:tcPr>
          <w:p w14:paraId="52843668">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w:t>
            </w:r>
          </w:p>
        </w:tc>
        <w:tc>
          <w:tcPr>
            <w:tcW w:w="1541" w:type="dxa"/>
            <w:vAlign w:val="center"/>
          </w:tcPr>
          <w:p w14:paraId="7F4D1EC2">
            <w:pPr>
              <w:widowControl w:val="0"/>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高压清洗机</w:t>
            </w:r>
          </w:p>
        </w:tc>
        <w:tc>
          <w:tcPr>
            <w:tcW w:w="695" w:type="dxa"/>
            <w:vAlign w:val="center"/>
          </w:tcPr>
          <w:p w14:paraId="6DA54BA6">
            <w:pPr>
              <w:widowControl w:val="0"/>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600" w:type="dxa"/>
            <w:vAlign w:val="center"/>
          </w:tcPr>
          <w:p w14:paraId="77ABE785">
            <w:pPr>
              <w:widowControl w:val="0"/>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w:t>
            </w:r>
          </w:p>
        </w:tc>
        <w:tc>
          <w:tcPr>
            <w:tcW w:w="779" w:type="dxa"/>
            <w:vAlign w:val="center"/>
          </w:tcPr>
          <w:p w14:paraId="082D8DE1">
            <w:pPr>
              <w:widowControl w:val="0"/>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2495" w:type="dxa"/>
            <w:vAlign w:val="center"/>
          </w:tcPr>
          <w:p w14:paraId="2BE675E7">
            <w:pPr>
              <w:widowControl w:val="0"/>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整齐、清洁、润滑、安全、完好</w:t>
            </w:r>
            <w:r>
              <w:rPr>
                <w:rFonts w:hint="eastAsia" w:ascii="宋体" w:hAnsi="宋体" w:eastAsia="宋体" w:cs="宋体"/>
                <w:color w:val="auto"/>
                <w:kern w:val="0"/>
                <w:sz w:val="24"/>
                <w:szCs w:val="24"/>
                <w:highlight w:val="none"/>
                <w:lang w:eastAsia="zh-CN"/>
              </w:rPr>
              <w:t xml:space="preserve"> </w:t>
            </w:r>
          </w:p>
        </w:tc>
        <w:tc>
          <w:tcPr>
            <w:tcW w:w="1817" w:type="dxa"/>
            <w:vAlign w:val="center"/>
          </w:tcPr>
          <w:p w14:paraId="22CA17C4">
            <w:pPr>
              <w:widowControl w:val="0"/>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已使用年限4年</w:t>
            </w:r>
          </w:p>
        </w:tc>
      </w:tr>
      <w:tr w14:paraId="2972E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55" w:type="dxa"/>
            <w:vMerge w:val="continue"/>
            <w:vAlign w:val="center"/>
          </w:tcPr>
          <w:p w14:paraId="17FC3E76">
            <w:pPr>
              <w:widowControl/>
              <w:adjustRightInd/>
              <w:jc w:val="center"/>
              <w:rPr>
                <w:rFonts w:hint="eastAsia" w:ascii="宋体" w:hAnsi="宋体" w:eastAsia="宋体" w:cs="宋体"/>
                <w:b/>
                <w:bCs/>
                <w:color w:val="auto"/>
                <w:kern w:val="0"/>
                <w:sz w:val="24"/>
                <w:szCs w:val="24"/>
                <w:highlight w:val="none"/>
              </w:rPr>
            </w:pPr>
          </w:p>
        </w:tc>
        <w:tc>
          <w:tcPr>
            <w:tcW w:w="737" w:type="dxa"/>
            <w:vAlign w:val="center"/>
          </w:tcPr>
          <w:p w14:paraId="03F03A16">
            <w:pPr>
              <w:widowControl/>
              <w:adjustRightInd/>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5</w:t>
            </w:r>
          </w:p>
        </w:tc>
        <w:tc>
          <w:tcPr>
            <w:tcW w:w="1541" w:type="dxa"/>
            <w:vAlign w:val="center"/>
          </w:tcPr>
          <w:p w14:paraId="51401A09">
            <w:pPr>
              <w:widowControl w:val="0"/>
              <w:adjustRightInd/>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不锈钢垃圾车</w:t>
            </w:r>
          </w:p>
        </w:tc>
        <w:tc>
          <w:tcPr>
            <w:tcW w:w="695" w:type="dxa"/>
            <w:vAlign w:val="center"/>
          </w:tcPr>
          <w:p w14:paraId="0450D1BA">
            <w:pPr>
              <w:widowControl w:val="0"/>
              <w:adjustRightInd/>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4</w:t>
            </w:r>
          </w:p>
        </w:tc>
        <w:tc>
          <w:tcPr>
            <w:tcW w:w="600" w:type="dxa"/>
            <w:vAlign w:val="center"/>
          </w:tcPr>
          <w:p w14:paraId="74495363">
            <w:pPr>
              <w:widowControl w:val="0"/>
              <w:adjustRightInd/>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lang w:eastAsia="zh-CN"/>
              </w:rPr>
              <w:t>辆</w:t>
            </w:r>
          </w:p>
        </w:tc>
        <w:tc>
          <w:tcPr>
            <w:tcW w:w="779" w:type="dxa"/>
            <w:vAlign w:val="center"/>
          </w:tcPr>
          <w:p w14:paraId="4649B482">
            <w:pPr>
              <w:widowControl w:val="0"/>
              <w:adjustRightInd/>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w:t>
            </w:r>
          </w:p>
        </w:tc>
        <w:tc>
          <w:tcPr>
            <w:tcW w:w="2495" w:type="dxa"/>
            <w:vAlign w:val="center"/>
          </w:tcPr>
          <w:p w14:paraId="0E8986B1">
            <w:pPr>
              <w:widowControl w:val="0"/>
              <w:adjustRightInd/>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rPr>
              <w:t>整齐、清洁、润滑、安全、完好</w:t>
            </w:r>
            <w:r>
              <w:rPr>
                <w:rFonts w:hint="eastAsia" w:ascii="宋体" w:hAnsi="宋体" w:eastAsia="宋体" w:cs="宋体"/>
                <w:color w:val="auto"/>
                <w:kern w:val="0"/>
                <w:sz w:val="24"/>
                <w:szCs w:val="24"/>
                <w:highlight w:val="none"/>
                <w:lang w:eastAsia="zh-CN"/>
              </w:rPr>
              <w:t xml:space="preserve"> </w:t>
            </w:r>
          </w:p>
        </w:tc>
        <w:tc>
          <w:tcPr>
            <w:tcW w:w="1817" w:type="dxa"/>
            <w:vAlign w:val="center"/>
          </w:tcPr>
          <w:p w14:paraId="5BA6B6FB">
            <w:pPr>
              <w:widowControl w:val="0"/>
              <w:adjustRightInd/>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已使用年限8年</w:t>
            </w:r>
          </w:p>
        </w:tc>
      </w:tr>
      <w:tr w14:paraId="7E9E5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55" w:type="dxa"/>
            <w:vMerge w:val="continue"/>
            <w:vAlign w:val="center"/>
          </w:tcPr>
          <w:p w14:paraId="699F7432">
            <w:pPr>
              <w:widowControl/>
              <w:adjustRightInd/>
              <w:jc w:val="center"/>
              <w:rPr>
                <w:rFonts w:hint="eastAsia" w:ascii="宋体" w:hAnsi="宋体" w:eastAsia="宋体" w:cs="宋体"/>
                <w:b/>
                <w:bCs/>
                <w:color w:val="auto"/>
                <w:kern w:val="0"/>
                <w:sz w:val="24"/>
                <w:szCs w:val="24"/>
                <w:highlight w:val="none"/>
              </w:rPr>
            </w:pPr>
          </w:p>
        </w:tc>
        <w:tc>
          <w:tcPr>
            <w:tcW w:w="737" w:type="dxa"/>
            <w:vAlign w:val="center"/>
          </w:tcPr>
          <w:p w14:paraId="6D013B26">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6</w:t>
            </w:r>
          </w:p>
        </w:tc>
        <w:tc>
          <w:tcPr>
            <w:tcW w:w="1541" w:type="dxa"/>
            <w:vAlign w:val="center"/>
          </w:tcPr>
          <w:p w14:paraId="00F2419C">
            <w:pPr>
              <w:widowControl w:val="0"/>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垃圾车（三轮垃圾车）</w:t>
            </w:r>
          </w:p>
        </w:tc>
        <w:tc>
          <w:tcPr>
            <w:tcW w:w="695" w:type="dxa"/>
            <w:vAlign w:val="center"/>
          </w:tcPr>
          <w:p w14:paraId="57078870">
            <w:pPr>
              <w:widowControl w:val="0"/>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600" w:type="dxa"/>
            <w:vAlign w:val="center"/>
          </w:tcPr>
          <w:p w14:paraId="32D4DFB3">
            <w:pPr>
              <w:widowControl w:val="0"/>
              <w:adjustRightInd/>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辆</w:t>
            </w:r>
          </w:p>
        </w:tc>
        <w:tc>
          <w:tcPr>
            <w:tcW w:w="779" w:type="dxa"/>
            <w:vAlign w:val="center"/>
          </w:tcPr>
          <w:p w14:paraId="544AF8BA">
            <w:pPr>
              <w:widowControl w:val="0"/>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p>
        </w:tc>
        <w:tc>
          <w:tcPr>
            <w:tcW w:w="2495" w:type="dxa"/>
            <w:vAlign w:val="center"/>
          </w:tcPr>
          <w:p w14:paraId="2FA8DEC4">
            <w:pPr>
              <w:widowControl w:val="0"/>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整齐、清洁、润滑、安全、完好</w:t>
            </w:r>
            <w:r>
              <w:rPr>
                <w:rFonts w:hint="eastAsia" w:ascii="宋体" w:hAnsi="宋体" w:eastAsia="宋体" w:cs="宋体"/>
                <w:color w:val="auto"/>
                <w:kern w:val="0"/>
                <w:sz w:val="24"/>
                <w:szCs w:val="24"/>
                <w:highlight w:val="none"/>
                <w:lang w:eastAsia="zh-CN"/>
              </w:rPr>
              <w:t xml:space="preserve"> </w:t>
            </w:r>
          </w:p>
        </w:tc>
        <w:tc>
          <w:tcPr>
            <w:tcW w:w="1817" w:type="dxa"/>
            <w:vAlign w:val="center"/>
          </w:tcPr>
          <w:p w14:paraId="59578473">
            <w:pPr>
              <w:widowControl w:val="0"/>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已使用年限6年</w:t>
            </w:r>
          </w:p>
        </w:tc>
      </w:tr>
      <w:tr w14:paraId="3C471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55" w:type="dxa"/>
            <w:vMerge w:val="restart"/>
            <w:vAlign w:val="center"/>
          </w:tcPr>
          <w:p w14:paraId="194D7B1B">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植物养护</w:t>
            </w:r>
          </w:p>
          <w:p w14:paraId="10B0E5EF">
            <w:pPr>
              <w:widowControl w:val="0"/>
              <w:spacing w:after="120" w:line="240" w:lineRule="auto"/>
              <w:ind w:firstLine="240" w:firstLineChars="100"/>
              <w:jc w:val="both"/>
              <w:rPr>
                <w:rFonts w:hint="eastAsia" w:ascii="宋体" w:hAnsi="宋体" w:eastAsia="宋体" w:cs="宋体"/>
                <w:b/>
                <w:bCs/>
                <w:color w:val="auto"/>
                <w:kern w:val="2"/>
                <w:sz w:val="24"/>
                <w:szCs w:val="24"/>
                <w:highlight w:val="none"/>
                <w:lang w:val="en-US" w:eastAsia="zh-CN" w:bidi="ar-SA"/>
              </w:rPr>
            </w:pPr>
          </w:p>
        </w:tc>
        <w:tc>
          <w:tcPr>
            <w:tcW w:w="737" w:type="dxa"/>
            <w:vAlign w:val="center"/>
          </w:tcPr>
          <w:p w14:paraId="7DB463F5">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7</w:t>
            </w:r>
          </w:p>
        </w:tc>
        <w:tc>
          <w:tcPr>
            <w:tcW w:w="1541" w:type="dxa"/>
            <w:vAlign w:val="center"/>
          </w:tcPr>
          <w:p w14:paraId="2BACC968">
            <w:pPr>
              <w:widowControl w:val="0"/>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多功能工作车HTM55</w:t>
            </w:r>
          </w:p>
        </w:tc>
        <w:tc>
          <w:tcPr>
            <w:tcW w:w="695" w:type="dxa"/>
            <w:vAlign w:val="center"/>
          </w:tcPr>
          <w:p w14:paraId="7796BB00">
            <w:pPr>
              <w:widowControl w:val="0"/>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600" w:type="dxa"/>
            <w:vAlign w:val="center"/>
          </w:tcPr>
          <w:p w14:paraId="10E505E0">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lang w:eastAsia="zh-CN"/>
              </w:rPr>
              <w:t>辆</w:t>
            </w:r>
          </w:p>
        </w:tc>
        <w:tc>
          <w:tcPr>
            <w:tcW w:w="779" w:type="dxa"/>
            <w:vAlign w:val="center"/>
          </w:tcPr>
          <w:p w14:paraId="3705F61E">
            <w:pPr>
              <w:widowControl w:val="0"/>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2495" w:type="dxa"/>
            <w:vAlign w:val="center"/>
          </w:tcPr>
          <w:p w14:paraId="48D77972">
            <w:pPr>
              <w:widowControl w:val="0"/>
              <w:adjustRightInd/>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rPr>
              <w:t>整齐、清洁、润滑、安全、完好</w:t>
            </w:r>
            <w:r>
              <w:rPr>
                <w:rFonts w:hint="eastAsia" w:ascii="宋体" w:hAnsi="宋体" w:eastAsia="宋体" w:cs="宋体"/>
                <w:color w:val="auto"/>
                <w:kern w:val="0"/>
                <w:sz w:val="24"/>
                <w:szCs w:val="24"/>
                <w:highlight w:val="none"/>
                <w:lang w:eastAsia="zh-CN"/>
              </w:rPr>
              <w:t xml:space="preserve"> </w:t>
            </w:r>
          </w:p>
        </w:tc>
        <w:tc>
          <w:tcPr>
            <w:tcW w:w="1817" w:type="dxa"/>
            <w:vAlign w:val="center"/>
          </w:tcPr>
          <w:p w14:paraId="46A530D6">
            <w:pPr>
              <w:widowControl w:val="0"/>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已使用年限10年</w:t>
            </w:r>
          </w:p>
        </w:tc>
      </w:tr>
      <w:tr w14:paraId="4579F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55" w:type="dxa"/>
            <w:vMerge w:val="continue"/>
            <w:vAlign w:val="center"/>
          </w:tcPr>
          <w:p w14:paraId="537EA66B">
            <w:pPr>
              <w:widowControl/>
              <w:adjustRightInd/>
              <w:jc w:val="center"/>
              <w:rPr>
                <w:rFonts w:hint="eastAsia" w:ascii="宋体" w:hAnsi="宋体" w:eastAsia="宋体" w:cs="宋体"/>
                <w:b/>
                <w:bCs/>
                <w:color w:val="auto"/>
                <w:kern w:val="0"/>
                <w:sz w:val="24"/>
                <w:szCs w:val="24"/>
                <w:highlight w:val="none"/>
              </w:rPr>
            </w:pPr>
          </w:p>
        </w:tc>
        <w:tc>
          <w:tcPr>
            <w:tcW w:w="737" w:type="dxa"/>
            <w:vAlign w:val="center"/>
          </w:tcPr>
          <w:p w14:paraId="126FD66F">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8</w:t>
            </w:r>
          </w:p>
        </w:tc>
        <w:tc>
          <w:tcPr>
            <w:tcW w:w="1541" w:type="dxa"/>
            <w:vAlign w:val="center"/>
          </w:tcPr>
          <w:p w14:paraId="779F9921">
            <w:pPr>
              <w:widowControl w:val="0"/>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发电机EL6500CX</w:t>
            </w:r>
          </w:p>
        </w:tc>
        <w:tc>
          <w:tcPr>
            <w:tcW w:w="695" w:type="dxa"/>
            <w:vAlign w:val="center"/>
          </w:tcPr>
          <w:p w14:paraId="159BAF30">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600" w:type="dxa"/>
            <w:vAlign w:val="center"/>
          </w:tcPr>
          <w:p w14:paraId="4EA142E6">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台</w:t>
            </w:r>
          </w:p>
        </w:tc>
        <w:tc>
          <w:tcPr>
            <w:tcW w:w="779" w:type="dxa"/>
            <w:vAlign w:val="center"/>
          </w:tcPr>
          <w:p w14:paraId="0E937006">
            <w:pPr>
              <w:widowControl w:val="0"/>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2495" w:type="dxa"/>
            <w:vAlign w:val="center"/>
          </w:tcPr>
          <w:p w14:paraId="2F08678A">
            <w:pPr>
              <w:widowControl w:val="0"/>
              <w:adjustRightInd/>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rPr>
              <w:t>整齐、清洁、润滑、安全、完好</w:t>
            </w:r>
            <w:r>
              <w:rPr>
                <w:rFonts w:hint="eastAsia" w:ascii="宋体" w:hAnsi="宋体" w:eastAsia="宋体" w:cs="宋体"/>
                <w:color w:val="auto"/>
                <w:kern w:val="0"/>
                <w:sz w:val="24"/>
                <w:szCs w:val="24"/>
                <w:highlight w:val="none"/>
                <w:lang w:eastAsia="zh-CN"/>
              </w:rPr>
              <w:t xml:space="preserve"> </w:t>
            </w:r>
          </w:p>
        </w:tc>
        <w:tc>
          <w:tcPr>
            <w:tcW w:w="1817" w:type="dxa"/>
            <w:vAlign w:val="center"/>
          </w:tcPr>
          <w:p w14:paraId="0154D0C0">
            <w:pPr>
              <w:widowControl w:val="0"/>
              <w:adjustRightInd/>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已使用年限8年</w:t>
            </w:r>
          </w:p>
        </w:tc>
      </w:tr>
      <w:tr w14:paraId="26D51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55" w:type="dxa"/>
            <w:vMerge w:val="continue"/>
            <w:vAlign w:val="center"/>
          </w:tcPr>
          <w:p w14:paraId="4E99C092">
            <w:pPr>
              <w:widowControl/>
              <w:adjustRightInd/>
              <w:jc w:val="center"/>
              <w:rPr>
                <w:rFonts w:hint="eastAsia" w:ascii="宋体" w:hAnsi="宋体" w:eastAsia="宋体" w:cs="宋体"/>
                <w:b/>
                <w:bCs/>
                <w:color w:val="auto"/>
                <w:kern w:val="0"/>
                <w:sz w:val="24"/>
                <w:szCs w:val="24"/>
                <w:highlight w:val="none"/>
              </w:rPr>
            </w:pPr>
          </w:p>
        </w:tc>
        <w:tc>
          <w:tcPr>
            <w:tcW w:w="737" w:type="dxa"/>
            <w:vAlign w:val="center"/>
          </w:tcPr>
          <w:p w14:paraId="4B3E7AE2">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9</w:t>
            </w:r>
          </w:p>
        </w:tc>
        <w:tc>
          <w:tcPr>
            <w:tcW w:w="1541" w:type="dxa"/>
            <w:vAlign w:val="center"/>
          </w:tcPr>
          <w:p w14:paraId="03752F4F">
            <w:pPr>
              <w:widowControl w:val="0"/>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打药车（泵）</w:t>
            </w:r>
          </w:p>
        </w:tc>
        <w:tc>
          <w:tcPr>
            <w:tcW w:w="695" w:type="dxa"/>
            <w:vAlign w:val="center"/>
          </w:tcPr>
          <w:p w14:paraId="2364E90D">
            <w:pPr>
              <w:widowControl w:val="0"/>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600" w:type="dxa"/>
            <w:vAlign w:val="center"/>
          </w:tcPr>
          <w:p w14:paraId="32F296AA">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台</w:t>
            </w:r>
          </w:p>
        </w:tc>
        <w:tc>
          <w:tcPr>
            <w:tcW w:w="779" w:type="dxa"/>
            <w:vAlign w:val="center"/>
          </w:tcPr>
          <w:p w14:paraId="61D132F7">
            <w:pPr>
              <w:widowControl w:val="0"/>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2495" w:type="dxa"/>
            <w:vAlign w:val="center"/>
          </w:tcPr>
          <w:p w14:paraId="2F4CE4D3">
            <w:pPr>
              <w:widowControl w:val="0"/>
              <w:adjustRightInd/>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rPr>
              <w:t>整齐、清洁、润滑、安全、完好</w:t>
            </w:r>
            <w:r>
              <w:rPr>
                <w:rFonts w:hint="eastAsia" w:ascii="宋体" w:hAnsi="宋体" w:eastAsia="宋体" w:cs="宋体"/>
                <w:color w:val="auto"/>
                <w:kern w:val="0"/>
                <w:sz w:val="24"/>
                <w:szCs w:val="24"/>
                <w:highlight w:val="none"/>
                <w:lang w:eastAsia="zh-CN"/>
              </w:rPr>
              <w:t xml:space="preserve"> </w:t>
            </w:r>
          </w:p>
        </w:tc>
        <w:tc>
          <w:tcPr>
            <w:tcW w:w="1817" w:type="dxa"/>
            <w:vAlign w:val="center"/>
          </w:tcPr>
          <w:p w14:paraId="37844AC6">
            <w:pPr>
              <w:widowControl w:val="0"/>
              <w:adjustRightInd/>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已使用年限8年</w:t>
            </w:r>
          </w:p>
        </w:tc>
      </w:tr>
      <w:tr w14:paraId="39DD0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5" w:type="dxa"/>
            <w:vMerge w:val="continue"/>
            <w:vAlign w:val="center"/>
          </w:tcPr>
          <w:p w14:paraId="1B4C3ABE">
            <w:pPr>
              <w:widowControl/>
              <w:adjustRightInd/>
              <w:jc w:val="center"/>
              <w:rPr>
                <w:rFonts w:hint="eastAsia" w:ascii="宋体" w:hAnsi="宋体" w:eastAsia="宋体" w:cs="宋体"/>
                <w:b/>
                <w:bCs/>
                <w:color w:val="auto"/>
                <w:kern w:val="0"/>
                <w:sz w:val="24"/>
                <w:szCs w:val="24"/>
                <w:highlight w:val="none"/>
              </w:rPr>
            </w:pPr>
          </w:p>
        </w:tc>
        <w:tc>
          <w:tcPr>
            <w:tcW w:w="737" w:type="dxa"/>
            <w:vAlign w:val="center"/>
          </w:tcPr>
          <w:p w14:paraId="0027AFD7">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w:t>
            </w:r>
          </w:p>
        </w:tc>
        <w:tc>
          <w:tcPr>
            <w:tcW w:w="1541" w:type="dxa"/>
            <w:vAlign w:val="center"/>
          </w:tcPr>
          <w:p w14:paraId="33EB4919">
            <w:pPr>
              <w:widowControl w:val="0"/>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三轮电动车</w:t>
            </w:r>
          </w:p>
        </w:tc>
        <w:tc>
          <w:tcPr>
            <w:tcW w:w="695" w:type="dxa"/>
            <w:vAlign w:val="center"/>
          </w:tcPr>
          <w:p w14:paraId="6753B7E5">
            <w:pPr>
              <w:widowControl w:val="0"/>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600" w:type="dxa"/>
            <w:vAlign w:val="center"/>
          </w:tcPr>
          <w:p w14:paraId="3C478F85">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lang w:eastAsia="zh-CN"/>
              </w:rPr>
              <w:t>辆</w:t>
            </w:r>
          </w:p>
        </w:tc>
        <w:tc>
          <w:tcPr>
            <w:tcW w:w="779" w:type="dxa"/>
            <w:vAlign w:val="center"/>
          </w:tcPr>
          <w:p w14:paraId="59D30C70">
            <w:pPr>
              <w:widowControl w:val="0"/>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2495" w:type="dxa"/>
            <w:vAlign w:val="center"/>
          </w:tcPr>
          <w:p w14:paraId="37DA74E7">
            <w:pPr>
              <w:widowControl w:val="0"/>
              <w:adjustRightInd/>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rPr>
              <w:t>整齐、清洁、润滑、安全、完好</w:t>
            </w:r>
            <w:r>
              <w:rPr>
                <w:rFonts w:hint="eastAsia" w:ascii="宋体" w:hAnsi="宋体" w:eastAsia="宋体" w:cs="宋体"/>
                <w:color w:val="auto"/>
                <w:kern w:val="0"/>
                <w:sz w:val="24"/>
                <w:szCs w:val="24"/>
                <w:highlight w:val="none"/>
                <w:lang w:eastAsia="zh-CN"/>
              </w:rPr>
              <w:t xml:space="preserve"> </w:t>
            </w:r>
          </w:p>
        </w:tc>
        <w:tc>
          <w:tcPr>
            <w:tcW w:w="1817" w:type="dxa"/>
            <w:vAlign w:val="center"/>
          </w:tcPr>
          <w:p w14:paraId="03F82F1F">
            <w:pPr>
              <w:widowControl w:val="0"/>
              <w:adjustRightInd/>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已使用年限7年</w:t>
            </w:r>
          </w:p>
        </w:tc>
      </w:tr>
      <w:tr w14:paraId="705B8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55" w:type="dxa"/>
            <w:vMerge w:val="continue"/>
            <w:vAlign w:val="center"/>
          </w:tcPr>
          <w:p w14:paraId="3EBFC37A">
            <w:pPr>
              <w:widowControl/>
              <w:adjustRightInd/>
              <w:jc w:val="center"/>
              <w:rPr>
                <w:rFonts w:hint="eastAsia" w:ascii="宋体" w:hAnsi="宋体" w:eastAsia="宋体" w:cs="宋体"/>
                <w:b/>
                <w:bCs/>
                <w:color w:val="auto"/>
                <w:kern w:val="0"/>
                <w:sz w:val="24"/>
                <w:szCs w:val="24"/>
                <w:highlight w:val="none"/>
              </w:rPr>
            </w:pPr>
          </w:p>
        </w:tc>
        <w:tc>
          <w:tcPr>
            <w:tcW w:w="737" w:type="dxa"/>
            <w:vAlign w:val="center"/>
          </w:tcPr>
          <w:p w14:paraId="546797F1">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11</w:t>
            </w:r>
          </w:p>
        </w:tc>
        <w:tc>
          <w:tcPr>
            <w:tcW w:w="1541" w:type="dxa"/>
            <w:vAlign w:val="center"/>
          </w:tcPr>
          <w:p w14:paraId="0B24928D">
            <w:pPr>
              <w:widowControl w:val="0"/>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莫拉克电动车</w:t>
            </w:r>
          </w:p>
        </w:tc>
        <w:tc>
          <w:tcPr>
            <w:tcW w:w="695" w:type="dxa"/>
            <w:vAlign w:val="center"/>
          </w:tcPr>
          <w:p w14:paraId="2E477C0D">
            <w:pPr>
              <w:widowControl w:val="0"/>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6</w:t>
            </w:r>
          </w:p>
        </w:tc>
        <w:tc>
          <w:tcPr>
            <w:tcW w:w="600" w:type="dxa"/>
            <w:vAlign w:val="center"/>
          </w:tcPr>
          <w:p w14:paraId="78FF3E66">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lang w:eastAsia="zh-CN"/>
              </w:rPr>
              <w:t>辆</w:t>
            </w:r>
          </w:p>
        </w:tc>
        <w:tc>
          <w:tcPr>
            <w:tcW w:w="779" w:type="dxa"/>
            <w:vAlign w:val="center"/>
          </w:tcPr>
          <w:p w14:paraId="28FFD117">
            <w:pPr>
              <w:widowControl w:val="0"/>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2495" w:type="dxa"/>
            <w:vAlign w:val="center"/>
          </w:tcPr>
          <w:p w14:paraId="6DBEA20B">
            <w:pPr>
              <w:widowControl w:val="0"/>
              <w:adjustRightInd/>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rPr>
              <w:t>整齐、清洁、润滑、安全、完好</w:t>
            </w:r>
            <w:r>
              <w:rPr>
                <w:rFonts w:hint="eastAsia" w:ascii="宋体" w:hAnsi="宋体" w:eastAsia="宋体" w:cs="宋体"/>
                <w:color w:val="auto"/>
                <w:kern w:val="0"/>
                <w:sz w:val="24"/>
                <w:szCs w:val="24"/>
                <w:highlight w:val="none"/>
                <w:lang w:eastAsia="zh-CN"/>
              </w:rPr>
              <w:t xml:space="preserve"> </w:t>
            </w:r>
          </w:p>
        </w:tc>
        <w:tc>
          <w:tcPr>
            <w:tcW w:w="1817" w:type="dxa"/>
            <w:vAlign w:val="center"/>
          </w:tcPr>
          <w:p w14:paraId="2AA99B26">
            <w:pPr>
              <w:widowControl w:val="0"/>
              <w:adjustRightInd/>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已使用年限7年</w:t>
            </w:r>
          </w:p>
        </w:tc>
      </w:tr>
      <w:tr w14:paraId="4F5C5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55" w:type="dxa"/>
            <w:vMerge w:val="continue"/>
            <w:vAlign w:val="center"/>
          </w:tcPr>
          <w:p w14:paraId="1E0010B8">
            <w:pPr>
              <w:widowControl/>
              <w:adjustRightInd/>
              <w:jc w:val="center"/>
              <w:rPr>
                <w:rFonts w:hint="eastAsia" w:ascii="宋体" w:hAnsi="宋体" w:eastAsia="宋体" w:cs="宋体"/>
                <w:b/>
                <w:bCs/>
                <w:color w:val="auto"/>
                <w:kern w:val="0"/>
                <w:sz w:val="24"/>
                <w:szCs w:val="24"/>
                <w:highlight w:val="none"/>
              </w:rPr>
            </w:pPr>
          </w:p>
        </w:tc>
        <w:tc>
          <w:tcPr>
            <w:tcW w:w="737" w:type="dxa"/>
            <w:vAlign w:val="center"/>
          </w:tcPr>
          <w:p w14:paraId="36DB0AF5">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12</w:t>
            </w:r>
          </w:p>
        </w:tc>
        <w:tc>
          <w:tcPr>
            <w:tcW w:w="1541" w:type="dxa"/>
            <w:vAlign w:val="center"/>
          </w:tcPr>
          <w:p w14:paraId="142EBACD">
            <w:pPr>
              <w:widowControl w:val="0"/>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吸叶机SV506H</w:t>
            </w:r>
          </w:p>
        </w:tc>
        <w:tc>
          <w:tcPr>
            <w:tcW w:w="695" w:type="dxa"/>
            <w:vAlign w:val="center"/>
          </w:tcPr>
          <w:p w14:paraId="2A7786DA">
            <w:pPr>
              <w:widowControl w:val="0"/>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600" w:type="dxa"/>
            <w:vAlign w:val="center"/>
          </w:tcPr>
          <w:p w14:paraId="3B5347B9">
            <w:pPr>
              <w:widowControl w:val="0"/>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sz w:val="24"/>
                <w:szCs w:val="24"/>
                <w:highlight w:val="none"/>
              </w:rPr>
              <w:t>台</w:t>
            </w:r>
          </w:p>
        </w:tc>
        <w:tc>
          <w:tcPr>
            <w:tcW w:w="779" w:type="dxa"/>
            <w:vAlign w:val="center"/>
          </w:tcPr>
          <w:p w14:paraId="3F05192E">
            <w:pPr>
              <w:widowControl w:val="0"/>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2495" w:type="dxa"/>
            <w:vAlign w:val="center"/>
          </w:tcPr>
          <w:p w14:paraId="593175D5">
            <w:pPr>
              <w:widowControl w:val="0"/>
              <w:adjustRightInd/>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rPr>
              <w:t>整齐、清洁、润滑、安全、完好</w:t>
            </w:r>
            <w:r>
              <w:rPr>
                <w:rFonts w:hint="eastAsia" w:ascii="宋体" w:hAnsi="宋体" w:eastAsia="宋体" w:cs="宋体"/>
                <w:color w:val="auto"/>
                <w:kern w:val="0"/>
                <w:sz w:val="24"/>
                <w:szCs w:val="24"/>
                <w:highlight w:val="none"/>
                <w:lang w:eastAsia="zh-CN"/>
              </w:rPr>
              <w:t xml:space="preserve"> </w:t>
            </w:r>
          </w:p>
        </w:tc>
        <w:tc>
          <w:tcPr>
            <w:tcW w:w="1817" w:type="dxa"/>
            <w:vAlign w:val="center"/>
          </w:tcPr>
          <w:p w14:paraId="1296C5D6">
            <w:pPr>
              <w:widowControl w:val="0"/>
              <w:adjustRightInd/>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lang w:val="en-US" w:eastAsia="zh-CN"/>
              </w:rPr>
              <w:t>已使用年限</w:t>
            </w:r>
            <w:r>
              <w:rPr>
                <w:rFonts w:hint="eastAsia" w:ascii="宋体" w:hAnsi="宋体" w:eastAsia="宋体" w:cs="宋体"/>
                <w:color w:val="auto"/>
                <w:kern w:val="0"/>
                <w:sz w:val="24"/>
                <w:szCs w:val="24"/>
                <w:highlight w:val="none"/>
                <w:lang w:val="en-US" w:eastAsia="zh-CN"/>
              </w:rPr>
              <w:t>6年</w:t>
            </w:r>
          </w:p>
        </w:tc>
      </w:tr>
      <w:tr w14:paraId="10FED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55" w:type="dxa"/>
            <w:vMerge w:val="continue"/>
            <w:vAlign w:val="center"/>
          </w:tcPr>
          <w:p w14:paraId="3C914144">
            <w:pPr>
              <w:widowControl/>
              <w:adjustRightInd/>
              <w:jc w:val="center"/>
              <w:rPr>
                <w:rFonts w:hint="eastAsia" w:ascii="宋体" w:hAnsi="宋体" w:eastAsia="宋体" w:cs="宋体"/>
                <w:b/>
                <w:bCs/>
                <w:color w:val="auto"/>
                <w:kern w:val="0"/>
                <w:sz w:val="24"/>
                <w:szCs w:val="24"/>
                <w:highlight w:val="none"/>
              </w:rPr>
            </w:pPr>
          </w:p>
        </w:tc>
        <w:tc>
          <w:tcPr>
            <w:tcW w:w="737" w:type="dxa"/>
            <w:vAlign w:val="center"/>
          </w:tcPr>
          <w:p w14:paraId="446CB767">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13</w:t>
            </w:r>
          </w:p>
        </w:tc>
        <w:tc>
          <w:tcPr>
            <w:tcW w:w="1541" w:type="dxa"/>
            <w:vAlign w:val="center"/>
          </w:tcPr>
          <w:p w14:paraId="0A84371A">
            <w:pPr>
              <w:widowControl w:val="0"/>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油锯cs361</w:t>
            </w:r>
          </w:p>
        </w:tc>
        <w:tc>
          <w:tcPr>
            <w:tcW w:w="695" w:type="dxa"/>
            <w:vAlign w:val="center"/>
          </w:tcPr>
          <w:p w14:paraId="03994B36">
            <w:pPr>
              <w:widowControl w:val="0"/>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600" w:type="dxa"/>
            <w:vAlign w:val="center"/>
          </w:tcPr>
          <w:p w14:paraId="7971BF70">
            <w:pPr>
              <w:widowControl w:val="0"/>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sz w:val="24"/>
                <w:szCs w:val="24"/>
                <w:highlight w:val="none"/>
              </w:rPr>
              <w:t>台</w:t>
            </w:r>
          </w:p>
        </w:tc>
        <w:tc>
          <w:tcPr>
            <w:tcW w:w="779" w:type="dxa"/>
            <w:vAlign w:val="center"/>
          </w:tcPr>
          <w:p w14:paraId="4C543B9F">
            <w:pPr>
              <w:widowControl w:val="0"/>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2495" w:type="dxa"/>
            <w:vAlign w:val="center"/>
          </w:tcPr>
          <w:p w14:paraId="0C7AFA41">
            <w:pPr>
              <w:widowControl w:val="0"/>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整齐、清洁、润滑、安全、完好</w:t>
            </w:r>
            <w:r>
              <w:rPr>
                <w:rFonts w:hint="eastAsia" w:ascii="宋体" w:hAnsi="宋体" w:eastAsia="宋体" w:cs="宋体"/>
                <w:color w:val="auto"/>
                <w:kern w:val="0"/>
                <w:sz w:val="24"/>
                <w:szCs w:val="24"/>
                <w:highlight w:val="none"/>
                <w:lang w:eastAsia="zh-CN"/>
              </w:rPr>
              <w:t xml:space="preserve"> </w:t>
            </w:r>
          </w:p>
        </w:tc>
        <w:tc>
          <w:tcPr>
            <w:tcW w:w="1817" w:type="dxa"/>
            <w:vAlign w:val="center"/>
          </w:tcPr>
          <w:p w14:paraId="3C94A0FC">
            <w:pPr>
              <w:widowControl w:val="0"/>
              <w:adjustRightInd/>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lang w:val="en-US" w:eastAsia="zh-CN"/>
              </w:rPr>
              <w:t>已使用年限</w:t>
            </w:r>
            <w:r>
              <w:rPr>
                <w:rFonts w:hint="eastAsia" w:ascii="宋体" w:hAnsi="宋体" w:eastAsia="宋体" w:cs="宋体"/>
                <w:color w:val="auto"/>
                <w:kern w:val="0"/>
                <w:sz w:val="24"/>
                <w:szCs w:val="24"/>
                <w:highlight w:val="none"/>
                <w:lang w:val="en-US" w:eastAsia="zh-CN"/>
              </w:rPr>
              <w:t>6年</w:t>
            </w:r>
          </w:p>
        </w:tc>
      </w:tr>
      <w:tr w14:paraId="7BD61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55" w:type="dxa"/>
            <w:vMerge w:val="continue"/>
            <w:vAlign w:val="center"/>
          </w:tcPr>
          <w:p w14:paraId="44214B4C">
            <w:pPr>
              <w:widowControl/>
              <w:adjustRightInd/>
              <w:jc w:val="center"/>
              <w:rPr>
                <w:rFonts w:hint="eastAsia" w:ascii="宋体" w:hAnsi="宋体" w:eastAsia="宋体" w:cs="宋体"/>
                <w:b/>
                <w:bCs/>
                <w:color w:val="auto"/>
                <w:kern w:val="0"/>
                <w:sz w:val="24"/>
                <w:szCs w:val="24"/>
                <w:highlight w:val="none"/>
              </w:rPr>
            </w:pPr>
          </w:p>
        </w:tc>
        <w:tc>
          <w:tcPr>
            <w:tcW w:w="737" w:type="dxa"/>
            <w:vAlign w:val="center"/>
          </w:tcPr>
          <w:p w14:paraId="6F694CED">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14</w:t>
            </w:r>
          </w:p>
        </w:tc>
        <w:tc>
          <w:tcPr>
            <w:tcW w:w="1541" w:type="dxa"/>
            <w:vAlign w:val="center"/>
          </w:tcPr>
          <w:p w14:paraId="06115923">
            <w:pPr>
              <w:widowControl w:val="0"/>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草坪车MTD308</w:t>
            </w:r>
          </w:p>
        </w:tc>
        <w:tc>
          <w:tcPr>
            <w:tcW w:w="695" w:type="dxa"/>
            <w:vAlign w:val="center"/>
          </w:tcPr>
          <w:p w14:paraId="21F60C0B">
            <w:pPr>
              <w:widowControl w:val="0"/>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600" w:type="dxa"/>
            <w:vAlign w:val="center"/>
          </w:tcPr>
          <w:p w14:paraId="4402722D">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lang w:eastAsia="zh-CN"/>
              </w:rPr>
              <w:t>辆</w:t>
            </w:r>
          </w:p>
        </w:tc>
        <w:tc>
          <w:tcPr>
            <w:tcW w:w="779" w:type="dxa"/>
            <w:vAlign w:val="center"/>
          </w:tcPr>
          <w:p w14:paraId="2F5F7CD4">
            <w:pPr>
              <w:widowControl w:val="0"/>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2495" w:type="dxa"/>
            <w:vAlign w:val="center"/>
          </w:tcPr>
          <w:p w14:paraId="6674E237">
            <w:pPr>
              <w:widowControl w:val="0"/>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整齐、清洁、润滑、安全、完好</w:t>
            </w:r>
            <w:r>
              <w:rPr>
                <w:rFonts w:hint="eastAsia" w:ascii="宋体" w:hAnsi="宋体" w:eastAsia="宋体" w:cs="宋体"/>
                <w:color w:val="auto"/>
                <w:kern w:val="0"/>
                <w:sz w:val="24"/>
                <w:szCs w:val="24"/>
                <w:highlight w:val="none"/>
                <w:lang w:eastAsia="zh-CN"/>
              </w:rPr>
              <w:t xml:space="preserve"> </w:t>
            </w:r>
          </w:p>
        </w:tc>
        <w:tc>
          <w:tcPr>
            <w:tcW w:w="1817" w:type="dxa"/>
            <w:vAlign w:val="center"/>
          </w:tcPr>
          <w:p w14:paraId="02D99D6B">
            <w:pPr>
              <w:widowControl w:val="0"/>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已使用年限6年</w:t>
            </w:r>
          </w:p>
        </w:tc>
      </w:tr>
      <w:tr w14:paraId="1038C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55" w:type="dxa"/>
            <w:vMerge w:val="continue"/>
            <w:vAlign w:val="center"/>
          </w:tcPr>
          <w:p w14:paraId="2D3AE064">
            <w:pPr>
              <w:widowControl/>
              <w:adjustRightInd/>
              <w:jc w:val="center"/>
              <w:rPr>
                <w:rFonts w:hint="eastAsia" w:ascii="宋体" w:hAnsi="宋体" w:eastAsia="宋体" w:cs="宋体"/>
                <w:b/>
                <w:bCs/>
                <w:color w:val="auto"/>
                <w:kern w:val="0"/>
                <w:sz w:val="24"/>
                <w:szCs w:val="24"/>
                <w:highlight w:val="none"/>
              </w:rPr>
            </w:pPr>
          </w:p>
        </w:tc>
        <w:tc>
          <w:tcPr>
            <w:tcW w:w="737" w:type="dxa"/>
            <w:vAlign w:val="center"/>
          </w:tcPr>
          <w:p w14:paraId="368876A6">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15</w:t>
            </w:r>
          </w:p>
        </w:tc>
        <w:tc>
          <w:tcPr>
            <w:tcW w:w="1541" w:type="dxa"/>
            <w:vAlign w:val="center"/>
          </w:tcPr>
          <w:p w14:paraId="22AF9E7E">
            <w:pPr>
              <w:widowControl w:val="0"/>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草坪机HRJ216</w:t>
            </w:r>
          </w:p>
        </w:tc>
        <w:tc>
          <w:tcPr>
            <w:tcW w:w="695" w:type="dxa"/>
            <w:vAlign w:val="center"/>
          </w:tcPr>
          <w:p w14:paraId="3F415FA0">
            <w:pPr>
              <w:widowControl w:val="0"/>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600" w:type="dxa"/>
            <w:vAlign w:val="center"/>
          </w:tcPr>
          <w:p w14:paraId="2BFCB3C6">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台</w:t>
            </w:r>
          </w:p>
        </w:tc>
        <w:tc>
          <w:tcPr>
            <w:tcW w:w="779" w:type="dxa"/>
            <w:vAlign w:val="center"/>
          </w:tcPr>
          <w:p w14:paraId="46B5F91F">
            <w:pPr>
              <w:widowControl w:val="0"/>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2495" w:type="dxa"/>
            <w:vAlign w:val="center"/>
          </w:tcPr>
          <w:p w14:paraId="2C74577E">
            <w:pPr>
              <w:widowControl w:val="0"/>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整齐、清洁、润滑、安全、完好</w:t>
            </w:r>
            <w:r>
              <w:rPr>
                <w:rFonts w:hint="eastAsia" w:ascii="宋体" w:hAnsi="宋体" w:eastAsia="宋体" w:cs="宋体"/>
                <w:color w:val="auto"/>
                <w:kern w:val="0"/>
                <w:sz w:val="24"/>
                <w:szCs w:val="24"/>
                <w:highlight w:val="none"/>
                <w:lang w:eastAsia="zh-CN"/>
              </w:rPr>
              <w:t xml:space="preserve"> </w:t>
            </w:r>
          </w:p>
        </w:tc>
        <w:tc>
          <w:tcPr>
            <w:tcW w:w="1817" w:type="dxa"/>
            <w:vAlign w:val="center"/>
          </w:tcPr>
          <w:p w14:paraId="22054BFF">
            <w:pPr>
              <w:widowControl w:val="0"/>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已使用年限6年</w:t>
            </w:r>
          </w:p>
        </w:tc>
      </w:tr>
      <w:tr w14:paraId="25170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55" w:type="dxa"/>
            <w:vMerge w:val="continue"/>
            <w:vAlign w:val="center"/>
          </w:tcPr>
          <w:p w14:paraId="5C2C6669">
            <w:pPr>
              <w:widowControl/>
              <w:adjustRightInd/>
              <w:jc w:val="center"/>
              <w:rPr>
                <w:rFonts w:hint="eastAsia" w:ascii="宋体" w:hAnsi="宋体" w:eastAsia="宋体" w:cs="宋体"/>
                <w:b/>
                <w:bCs/>
                <w:color w:val="auto"/>
                <w:kern w:val="0"/>
                <w:sz w:val="24"/>
                <w:szCs w:val="24"/>
                <w:highlight w:val="none"/>
              </w:rPr>
            </w:pPr>
          </w:p>
        </w:tc>
        <w:tc>
          <w:tcPr>
            <w:tcW w:w="737" w:type="dxa"/>
            <w:vAlign w:val="center"/>
          </w:tcPr>
          <w:p w14:paraId="7E062D16">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16</w:t>
            </w:r>
          </w:p>
        </w:tc>
        <w:tc>
          <w:tcPr>
            <w:tcW w:w="1541" w:type="dxa"/>
            <w:vAlign w:val="center"/>
          </w:tcPr>
          <w:p w14:paraId="423520B8">
            <w:pPr>
              <w:widowControl w:val="0"/>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割灌机</w:t>
            </w:r>
          </w:p>
        </w:tc>
        <w:tc>
          <w:tcPr>
            <w:tcW w:w="695" w:type="dxa"/>
            <w:vAlign w:val="center"/>
          </w:tcPr>
          <w:p w14:paraId="7E8B190E">
            <w:pPr>
              <w:widowControl w:val="0"/>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600" w:type="dxa"/>
            <w:vAlign w:val="center"/>
          </w:tcPr>
          <w:p w14:paraId="225C56BF">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台</w:t>
            </w:r>
          </w:p>
        </w:tc>
        <w:tc>
          <w:tcPr>
            <w:tcW w:w="779" w:type="dxa"/>
            <w:vAlign w:val="center"/>
          </w:tcPr>
          <w:p w14:paraId="353BAD4E">
            <w:pPr>
              <w:widowControl w:val="0"/>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2495" w:type="dxa"/>
            <w:vAlign w:val="center"/>
          </w:tcPr>
          <w:p w14:paraId="2F8B8796">
            <w:pPr>
              <w:widowControl w:val="0"/>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整齐、清洁、润滑、安全、完好</w:t>
            </w:r>
            <w:r>
              <w:rPr>
                <w:rFonts w:hint="eastAsia" w:ascii="宋体" w:hAnsi="宋体" w:eastAsia="宋体" w:cs="宋体"/>
                <w:color w:val="auto"/>
                <w:kern w:val="0"/>
                <w:sz w:val="24"/>
                <w:szCs w:val="24"/>
                <w:highlight w:val="none"/>
                <w:lang w:eastAsia="zh-CN"/>
              </w:rPr>
              <w:t xml:space="preserve"> </w:t>
            </w:r>
          </w:p>
        </w:tc>
        <w:tc>
          <w:tcPr>
            <w:tcW w:w="1817" w:type="dxa"/>
            <w:vAlign w:val="center"/>
          </w:tcPr>
          <w:p w14:paraId="10BCA3FB">
            <w:pPr>
              <w:widowControl w:val="0"/>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已使用年限6年</w:t>
            </w:r>
          </w:p>
        </w:tc>
      </w:tr>
      <w:tr w14:paraId="1E668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55" w:type="dxa"/>
            <w:vMerge w:val="continue"/>
            <w:vAlign w:val="center"/>
          </w:tcPr>
          <w:p w14:paraId="2BDA9D3C">
            <w:pPr>
              <w:widowControl/>
              <w:adjustRightInd/>
              <w:jc w:val="center"/>
              <w:rPr>
                <w:rFonts w:hint="eastAsia" w:ascii="宋体" w:hAnsi="宋体" w:eastAsia="宋体" w:cs="宋体"/>
                <w:b/>
                <w:bCs/>
                <w:color w:val="auto"/>
                <w:kern w:val="0"/>
                <w:sz w:val="24"/>
                <w:szCs w:val="24"/>
                <w:highlight w:val="none"/>
              </w:rPr>
            </w:pPr>
          </w:p>
        </w:tc>
        <w:tc>
          <w:tcPr>
            <w:tcW w:w="737" w:type="dxa"/>
            <w:vAlign w:val="center"/>
          </w:tcPr>
          <w:p w14:paraId="763F02FC">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17</w:t>
            </w:r>
          </w:p>
        </w:tc>
        <w:tc>
          <w:tcPr>
            <w:tcW w:w="1541" w:type="dxa"/>
            <w:vAlign w:val="center"/>
          </w:tcPr>
          <w:p w14:paraId="4277C917">
            <w:pPr>
              <w:widowControl w:val="0"/>
              <w:adjustRightInd/>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梳草机LYS200</w:t>
            </w:r>
          </w:p>
        </w:tc>
        <w:tc>
          <w:tcPr>
            <w:tcW w:w="695" w:type="dxa"/>
            <w:vAlign w:val="center"/>
          </w:tcPr>
          <w:p w14:paraId="0038AF35">
            <w:pPr>
              <w:widowControl w:val="0"/>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600" w:type="dxa"/>
            <w:vAlign w:val="center"/>
          </w:tcPr>
          <w:p w14:paraId="5AE06860">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台</w:t>
            </w:r>
          </w:p>
        </w:tc>
        <w:tc>
          <w:tcPr>
            <w:tcW w:w="779" w:type="dxa"/>
            <w:vAlign w:val="center"/>
          </w:tcPr>
          <w:p w14:paraId="13FECEC8">
            <w:pPr>
              <w:widowControl w:val="0"/>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2495" w:type="dxa"/>
            <w:vAlign w:val="center"/>
          </w:tcPr>
          <w:p w14:paraId="6A8EDD29">
            <w:pPr>
              <w:widowControl w:val="0"/>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整齐、清洁、润滑、安全、完好</w:t>
            </w:r>
            <w:r>
              <w:rPr>
                <w:rFonts w:hint="eastAsia" w:ascii="宋体" w:hAnsi="宋体" w:eastAsia="宋体" w:cs="宋体"/>
                <w:color w:val="auto"/>
                <w:kern w:val="0"/>
                <w:sz w:val="24"/>
                <w:szCs w:val="24"/>
                <w:highlight w:val="none"/>
                <w:lang w:eastAsia="zh-CN"/>
              </w:rPr>
              <w:t xml:space="preserve"> </w:t>
            </w:r>
          </w:p>
        </w:tc>
        <w:tc>
          <w:tcPr>
            <w:tcW w:w="1817" w:type="dxa"/>
            <w:vAlign w:val="center"/>
          </w:tcPr>
          <w:p w14:paraId="2CB6B18A">
            <w:pPr>
              <w:widowControl w:val="0"/>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已使用年限6年</w:t>
            </w:r>
          </w:p>
        </w:tc>
      </w:tr>
      <w:tr w14:paraId="7E110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55" w:type="dxa"/>
            <w:vMerge w:val="continue"/>
            <w:vAlign w:val="center"/>
          </w:tcPr>
          <w:p w14:paraId="66EBD1CD">
            <w:pPr>
              <w:widowControl/>
              <w:adjustRightInd/>
              <w:jc w:val="center"/>
              <w:rPr>
                <w:rFonts w:hint="eastAsia" w:ascii="宋体" w:hAnsi="宋体" w:eastAsia="宋体" w:cs="宋体"/>
                <w:b/>
                <w:bCs/>
                <w:color w:val="auto"/>
                <w:kern w:val="0"/>
                <w:sz w:val="24"/>
                <w:szCs w:val="24"/>
                <w:highlight w:val="none"/>
              </w:rPr>
            </w:pPr>
          </w:p>
        </w:tc>
        <w:tc>
          <w:tcPr>
            <w:tcW w:w="737" w:type="dxa"/>
            <w:vAlign w:val="center"/>
          </w:tcPr>
          <w:p w14:paraId="4D79742A">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18</w:t>
            </w:r>
          </w:p>
        </w:tc>
        <w:tc>
          <w:tcPr>
            <w:tcW w:w="1541" w:type="dxa"/>
            <w:vAlign w:val="center"/>
          </w:tcPr>
          <w:p w14:paraId="55906DF5">
            <w:pPr>
              <w:widowControl w:val="0"/>
              <w:adjustRightInd/>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高枝绿篱机HCA2620ES</w:t>
            </w:r>
          </w:p>
        </w:tc>
        <w:tc>
          <w:tcPr>
            <w:tcW w:w="695" w:type="dxa"/>
            <w:vAlign w:val="center"/>
          </w:tcPr>
          <w:p w14:paraId="386727A1">
            <w:pPr>
              <w:widowControl w:val="0"/>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w:t>
            </w:r>
          </w:p>
        </w:tc>
        <w:tc>
          <w:tcPr>
            <w:tcW w:w="600" w:type="dxa"/>
            <w:vAlign w:val="center"/>
          </w:tcPr>
          <w:p w14:paraId="1037C3F3">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台</w:t>
            </w:r>
          </w:p>
        </w:tc>
        <w:tc>
          <w:tcPr>
            <w:tcW w:w="779" w:type="dxa"/>
            <w:vAlign w:val="center"/>
          </w:tcPr>
          <w:p w14:paraId="45EDF775">
            <w:pPr>
              <w:widowControl w:val="0"/>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2495" w:type="dxa"/>
            <w:vAlign w:val="center"/>
          </w:tcPr>
          <w:p w14:paraId="393FA743">
            <w:pPr>
              <w:widowControl w:val="0"/>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整齐、清洁、润滑、安全、完好</w:t>
            </w:r>
            <w:r>
              <w:rPr>
                <w:rFonts w:hint="eastAsia" w:ascii="宋体" w:hAnsi="宋体" w:eastAsia="宋体" w:cs="宋体"/>
                <w:color w:val="auto"/>
                <w:kern w:val="0"/>
                <w:sz w:val="24"/>
                <w:szCs w:val="24"/>
                <w:highlight w:val="none"/>
                <w:lang w:eastAsia="zh-CN"/>
              </w:rPr>
              <w:t xml:space="preserve"> </w:t>
            </w:r>
          </w:p>
        </w:tc>
        <w:tc>
          <w:tcPr>
            <w:tcW w:w="1817" w:type="dxa"/>
            <w:vAlign w:val="center"/>
          </w:tcPr>
          <w:p w14:paraId="5E792E85">
            <w:pPr>
              <w:widowControl w:val="0"/>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已使用年限5年</w:t>
            </w:r>
          </w:p>
        </w:tc>
      </w:tr>
      <w:tr w14:paraId="4C183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55" w:type="dxa"/>
            <w:vMerge w:val="continue"/>
            <w:vAlign w:val="center"/>
          </w:tcPr>
          <w:p w14:paraId="06BC57A4">
            <w:pPr>
              <w:widowControl/>
              <w:adjustRightInd/>
              <w:jc w:val="center"/>
              <w:rPr>
                <w:rFonts w:hint="eastAsia" w:ascii="宋体" w:hAnsi="宋体" w:eastAsia="宋体" w:cs="宋体"/>
                <w:b/>
                <w:bCs/>
                <w:color w:val="auto"/>
                <w:kern w:val="0"/>
                <w:sz w:val="24"/>
                <w:szCs w:val="24"/>
                <w:highlight w:val="none"/>
              </w:rPr>
            </w:pPr>
          </w:p>
        </w:tc>
        <w:tc>
          <w:tcPr>
            <w:tcW w:w="737" w:type="dxa"/>
            <w:vAlign w:val="center"/>
          </w:tcPr>
          <w:p w14:paraId="414DF55B">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19</w:t>
            </w:r>
          </w:p>
        </w:tc>
        <w:tc>
          <w:tcPr>
            <w:tcW w:w="1541" w:type="dxa"/>
            <w:vAlign w:val="center"/>
          </w:tcPr>
          <w:p w14:paraId="585D975D">
            <w:pPr>
              <w:widowControl w:val="0"/>
              <w:adjustRightInd/>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割灌机SRM-420ES</w:t>
            </w:r>
          </w:p>
        </w:tc>
        <w:tc>
          <w:tcPr>
            <w:tcW w:w="695" w:type="dxa"/>
            <w:vAlign w:val="center"/>
          </w:tcPr>
          <w:p w14:paraId="35BE7C14">
            <w:pPr>
              <w:widowControl w:val="0"/>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600" w:type="dxa"/>
            <w:vAlign w:val="center"/>
          </w:tcPr>
          <w:p w14:paraId="3F76597A">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台</w:t>
            </w:r>
          </w:p>
        </w:tc>
        <w:tc>
          <w:tcPr>
            <w:tcW w:w="779" w:type="dxa"/>
            <w:vAlign w:val="center"/>
          </w:tcPr>
          <w:p w14:paraId="7382F9DD">
            <w:pPr>
              <w:widowControl w:val="0"/>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2495" w:type="dxa"/>
            <w:vAlign w:val="center"/>
          </w:tcPr>
          <w:p w14:paraId="14143256">
            <w:pPr>
              <w:widowControl w:val="0"/>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整齐、清洁、润滑、安全、完好</w:t>
            </w:r>
            <w:r>
              <w:rPr>
                <w:rFonts w:hint="eastAsia" w:ascii="宋体" w:hAnsi="宋体" w:eastAsia="宋体" w:cs="宋体"/>
                <w:color w:val="auto"/>
                <w:kern w:val="0"/>
                <w:sz w:val="24"/>
                <w:szCs w:val="24"/>
                <w:highlight w:val="none"/>
                <w:lang w:eastAsia="zh-CN"/>
              </w:rPr>
              <w:t xml:space="preserve"> </w:t>
            </w:r>
          </w:p>
        </w:tc>
        <w:tc>
          <w:tcPr>
            <w:tcW w:w="1817" w:type="dxa"/>
            <w:vAlign w:val="center"/>
          </w:tcPr>
          <w:p w14:paraId="79570ACD">
            <w:pPr>
              <w:widowControl w:val="0"/>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已使用年限5年</w:t>
            </w:r>
          </w:p>
        </w:tc>
      </w:tr>
      <w:tr w14:paraId="4317A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55" w:type="dxa"/>
            <w:vMerge w:val="continue"/>
            <w:vAlign w:val="center"/>
          </w:tcPr>
          <w:p w14:paraId="22455459">
            <w:pPr>
              <w:widowControl/>
              <w:adjustRightInd/>
              <w:jc w:val="center"/>
              <w:rPr>
                <w:rFonts w:hint="eastAsia" w:ascii="宋体" w:hAnsi="宋体" w:eastAsia="宋体" w:cs="宋体"/>
                <w:b/>
                <w:bCs/>
                <w:color w:val="auto"/>
                <w:kern w:val="0"/>
                <w:sz w:val="24"/>
                <w:szCs w:val="24"/>
                <w:highlight w:val="none"/>
              </w:rPr>
            </w:pPr>
          </w:p>
        </w:tc>
        <w:tc>
          <w:tcPr>
            <w:tcW w:w="737" w:type="dxa"/>
            <w:vAlign w:val="center"/>
          </w:tcPr>
          <w:p w14:paraId="45186D3D">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20</w:t>
            </w:r>
          </w:p>
        </w:tc>
        <w:tc>
          <w:tcPr>
            <w:tcW w:w="1541" w:type="dxa"/>
            <w:vAlign w:val="center"/>
          </w:tcPr>
          <w:p w14:paraId="01518F02">
            <w:pPr>
              <w:widowControl w:val="0"/>
              <w:adjustRightInd/>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背负式风机PB-778</w:t>
            </w:r>
          </w:p>
        </w:tc>
        <w:tc>
          <w:tcPr>
            <w:tcW w:w="695" w:type="dxa"/>
            <w:vAlign w:val="center"/>
          </w:tcPr>
          <w:p w14:paraId="64624EC8">
            <w:pPr>
              <w:widowControl w:val="0"/>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w:t>
            </w:r>
          </w:p>
        </w:tc>
        <w:tc>
          <w:tcPr>
            <w:tcW w:w="600" w:type="dxa"/>
            <w:vAlign w:val="center"/>
          </w:tcPr>
          <w:p w14:paraId="18CC0FB9">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台</w:t>
            </w:r>
          </w:p>
        </w:tc>
        <w:tc>
          <w:tcPr>
            <w:tcW w:w="779" w:type="dxa"/>
            <w:vAlign w:val="center"/>
          </w:tcPr>
          <w:p w14:paraId="3EF1C258">
            <w:pPr>
              <w:widowControl w:val="0"/>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2495" w:type="dxa"/>
            <w:vAlign w:val="center"/>
          </w:tcPr>
          <w:p w14:paraId="34B4FD8A">
            <w:pPr>
              <w:widowControl w:val="0"/>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整齐、清洁、润滑、安全、完好</w:t>
            </w:r>
            <w:r>
              <w:rPr>
                <w:rFonts w:hint="eastAsia" w:ascii="宋体" w:hAnsi="宋体" w:eastAsia="宋体" w:cs="宋体"/>
                <w:color w:val="auto"/>
                <w:kern w:val="0"/>
                <w:sz w:val="24"/>
                <w:szCs w:val="24"/>
                <w:highlight w:val="none"/>
                <w:lang w:eastAsia="zh-CN"/>
              </w:rPr>
              <w:t xml:space="preserve"> </w:t>
            </w:r>
          </w:p>
        </w:tc>
        <w:tc>
          <w:tcPr>
            <w:tcW w:w="1817" w:type="dxa"/>
            <w:vAlign w:val="center"/>
          </w:tcPr>
          <w:p w14:paraId="6AF7B5CB">
            <w:pPr>
              <w:widowControl w:val="0"/>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已使用年限5年</w:t>
            </w:r>
          </w:p>
        </w:tc>
      </w:tr>
      <w:tr w14:paraId="7253C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55" w:type="dxa"/>
            <w:vMerge w:val="continue"/>
            <w:vAlign w:val="center"/>
          </w:tcPr>
          <w:p w14:paraId="3CC3C109">
            <w:pPr>
              <w:widowControl/>
              <w:adjustRightInd/>
              <w:jc w:val="center"/>
              <w:rPr>
                <w:rFonts w:hint="eastAsia" w:ascii="宋体" w:hAnsi="宋体" w:eastAsia="宋体" w:cs="宋体"/>
                <w:b/>
                <w:bCs/>
                <w:color w:val="auto"/>
                <w:kern w:val="0"/>
                <w:sz w:val="24"/>
                <w:szCs w:val="24"/>
                <w:highlight w:val="none"/>
              </w:rPr>
            </w:pPr>
          </w:p>
        </w:tc>
        <w:tc>
          <w:tcPr>
            <w:tcW w:w="737" w:type="dxa"/>
            <w:vAlign w:val="center"/>
          </w:tcPr>
          <w:p w14:paraId="14DBE5FE">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21</w:t>
            </w:r>
          </w:p>
        </w:tc>
        <w:tc>
          <w:tcPr>
            <w:tcW w:w="1541" w:type="dxa"/>
            <w:vAlign w:val="center"/>
          </w:tcPr>
          <w:p w14:paraId="7F5D769F">
            <w:pPr>
              <w:widowControl w:val="0"/>
              <w:adjustRightInd/>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草坪车13BQAIKR322</w:t>
            </w:r>
          </w:p>
        </w:tc>
        <w:tc>
          <w:tcPr>
            <w:tcW w:w="695" w:type="dxa"/>
            <w:vAlign w:val="center"/>
          </w:tcPr>
          <w:p w14:paraId="0D6BC7E9">
            <w:pPr>
              <w:widowControl w:val="0"/>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600" w:type="dxa"/>
            <w:vAlign w:val="center"/>
          </w:tcPr>
          <w:p w14:paraId="77B36875">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lang w:eastAsia="zh-CN"/>
              </w:rPr>
              <w:t>辆</w:t>
            </w:r>
          </w:p>
        </w:tc>
        <w:tc>
          <w:tcPr>
            <w:tcW w:w="779" w:type="dxa"/>
            <w:vAlign w:val="center"/>
          </w:tcPr>
          <w:p w14:paraId="62AB6D83">
            <w:pPr>
              <w:widowControl w:val="0"/>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2495" w:type="dxa"/>
            <w:vAlign w:val="center"/>
          </w:tcPr>
          <w:p w14:paraId="68E84FD8">
            <w:pPr>
              <w:widowControl w:val="0"/>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整齐、清洁、润滑、安全、完好</w:t>
            </w:r>
            <w:r>
              <w:rPr>
                <w:rFonts w:hint="eastAsia" w:ascii="宋体" w:hAnsi="宋体" w:eastAsia="宋体" w:cs="宋体"/>
                <w:color w:val="auto"/>
                <w:kern w:val="0"/>
                <w:sz w:val="24"/>
                <w:szCs w:val="24"/>
                <w:highlight w:val="none"/>
                <w:lang w:eastAsia="zh-CN"/>
              </w:rPr>
              <w:t xml:space="preserve"> </w:t>
            </w:r>
          </w:p>
        </w:tc>
        <w:tc>
          <w:tcPr>
            <w:tcW w:w="1817" w:type="dxa"/>
            <w:vAlign w:val="center"/>
          </w:tcPr>
          <w:p w14:paraId="64053021">
            <w:pPr>
              <w:widowControl w:val="0"/>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已使用年限4年</w:t>
            </w:r>
          </w:p>
        </w:tc>
      </w:tr>
      <w:tr w14:paraId="00DCC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5" w:type="dxa"/>
            <w:vMerge w:val="continue"/>
            <w:vAlign w:val="center"/>
          </w:tcPr>
          <w:p w14:paraId="572F1A6E">
            <w:pPr>
              <w:widowControl/>
              <w:adjustRightInd/>
              <w:jc w:val="center"/>
              <w:rPr>
                <w:rFonts w:hint="eastAsia" w:ascii="宋体" w:hAnsi="宋体" w:eastAsia="宋体" w:cs="宋体"/>
                <w:b/>
                <w:bCs/>
                <w:color w:val="auto"/>
                <w:kern w:val="0"/>
                <w:sz w:val="24"/>
                <w:szCs w:val="24"/>
                <w:highlight w:val="none"/>
              </w:rPr>
            </w:pPr>
          </w:p>
        </w:tc>
        <w:tc>
          <w:tcPr>
            <w:tcW w:w="737" w:type="dxa"/>
            <w:vAlign w:val="center"/>
          </w:tcPr>
          <w:p w14:paraId="65A8324B">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22</w:t>
            </w:r>
          </w:p>
        </w:tc>
        <w:tc>
          <w:tcPr>
            <w:tcW w:w="1541" w:type="dxa"/>
            <w:vAlign w:val="center"/>
          </w:tcPr>
          <w:p w14:paraId="75B4DF91">
            <w:pPr>
              <w:widowControl w:val="0"/>
              <w:adjustRightInd/>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割灌机SRM420ES</w:t>
            </w:r>
          </w:p>
        </w:tc>
        <w:tc>
          <w:tcPr>
            <w:tcW w:w="695" w:type="dxa"/>
            <w:vAlign w:val="center"/>
          </w:tcPr>
          <w:p w14:paraId="6FDC6D3E">
            <w:pPr>
              <w:widowControl w:val="0"/>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600" w:type="dxa"/>
            <w:vAlign w:val="center"/>
          </w:tcPr>
          <w:p w14:paraId="0B9E5C26">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台</w:t>
            </w:r>
          </w:p>
        </w:tc>
        <w:tc>
          <w:tcPr>
            <w:tcW w:w="779" w:type="dxa"/>
            <w:vAlign w:val="center"/>
          </w:tcPr>
          <w:p w14:paraId="7EE26831">
            <w:pPr>
              <w:widowControl w:val="0"/>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2495" w:type="dxa"/>
            <w:vAlign w:val="center"/>
          </w:tcPr>
          <w:p w14:paraId="19699F69">
            <w:pPr>
              <w:widowControl w:val="0"/>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整齐、清洁、润滑、安全、完好</w:t>
            </w:r>
            <w:r>
              <w:rPr>
                <w:rFonts w:hint="eastAsia" w:ascii="宋体" w:hAnsi="宋体" w:eastAsia="宋体" w:cs="宋体"/>
                <w:color w:val="auto"/>
                <w:kern w:val="0"/>
                <w:sz w:val="24"/>
                <w:szCs w:val="24"/>
                <w:highlight w:val="none"/>
                <w:lang w:eastAsia="zh-CN"/>
              </w:rPr>
              <w:t xml:space="preserve"> </w:t>
            </w:r>
          </w:p>
        </w:tc>
        <w:tc>
          <w:tcPr>
            <w:tcW w:w="1817" w:type="dxa"/>
            <w:vAlign w:val="center"/>
          </w:tcPr>
          <w:p w14:paraId="5548400A">
            <w:pPr>
              <w:widowControl w:val="0"/>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已使用年限4年</w:t>
            </w:r>
          </w:p>
        </w:tc>
      </w:tr>
      <w:tr w14:paraId="171FC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55" w:type="dxa"/>
            <w:vAlign w:val="center"/>
          </w:tcPr>
          <w:p w14:paraId="72014D41">
            <w:pPr>
              <w:widowControl/>
              <w:adjustRightInd/>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管理</w:t>
            </w:r>
          </w:p>
          <w:p w14:paraId="65DA70DD">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szCs w:val="24"/>
                <w:highlight w:val="none"/>
              </w:rPr>
              <w:t>要求</w:t>
            </w:r>
          </w:p>
        </w:tc>
        <w:tc>
          <w:tcPr>
            <w:tcW w:w="8664" w:type="dxa"/>
            <w:gridSpan w:val="7"/>
            <w:vAlign w:val="center"/>
          </w:tcPr>
          <w:p w14:paraId="5B2E5CF6">
            <w:pPr>
              <w:widowControl w:val="0"/>
              <w:ind w:firstLine="0" w:firstLineChars="0"/>
              <w:jc w:val="left"/>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1.采购人提供的设备由中标人使用并维护，无法维修、租赁到期或报废后由中标人提供同等或以上规格机械设备供项目使用，优先使用新能源设备；置换后的保洁车、垃圾清运车等车辆要求优先采用新能源车辆。</w:t>
            </w:r>
          </w:p>
          <w:p w14:paraId="48CE19CB">
            <w:pPr>
              <w:widowControl w:val="0"/>
              <w:adjustRightInd/>
              <w:jc w:val="both"/>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2.本清单机械设备的操作使用、维护保养由</w:t>
            </w:r>
            <w:r>
              <w:rPr>
                <w:rFonts w:hint="eastAsia" w:ascii="宋体" w:hAnsi="宋体" w:eastAsia="宋体" w:cs="宋体"/>
                <w:color w:val="auto"/>
                <w:sz w:val="24"/>
                <w:szCs w:val="24"/>
                <w:highlight w:val="none"/>
                <w:lang w:eastAsia="zh-CN"/>
              </w:rPr>
              <w:t>中标人</w:t>
            </w:r>
            <w:r>
              <w:rPr>
                <w:rFonts w:hint="eastAsia" w:ascii="宋体" w:hAnsi="宋体" w:eastAsia="宋体" w:cs="宋体"/>
                <w:color w:val="auto"/>
                <w:sz w:val="24"/>
                <w:szCs w:val="24"/>
                <w:highlight w:val="none"/>
              </w:rPr>
              <w:t>负责，费用包干。</w:t>
            </w:r>
          </w:p>
        </w:tc>
      </w:tr>
    </w:tbl>
    <w:p w14:paraId="21F3221F">
      <w:pPr>
        <w:widowControl/>
        <w:tabs>
          <w:tab w:val="left" w:pos="851"/>
        </w:tabs>
        <w:adjustRightInd/>
        <w:spacing w:line="360" w:lineRule="auto"/>
        <w:outlineLvl w:val="1"/>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eastAsia="zh-CN"/>
        </w:rPr>
        <w:t>（</w:t>
      </w:r>
      <w:r>
        <w:rPr>
          <w:rFonts w:hint="eastAsia" w:ascii="宋体" w:hAnsi="宋体" w:eastAsia="宋体" w:cs="宋体"/>
          <w:b/>
          <w:color w:val="auto"/>
          <w:kern w:val="0"/>
          <w:sz w:val="24"/>
          <w:highlight w:val="none"/>
          <w:lang w:val="en-US" w:eastAsia="zh-CN"/>
        </w:rPr>
        <w:t>三</w:t>
      </w:r>
      <w:r>
        <w:rPr>
          <w:rFonts w:hint="eastAsia" w:ascii="宋体" w:hAnsi="宋体" w:eastAsia="宋体" w:cs="宋体"/>
          <w:b/>
          <w:color w:val="auto"/>
          <w:kern w:val="0"/>
          <w:sz w:val="24"/>
          <w:highlight w:val="none"/>
          <w:lang w:eastAsia="zh-CN"/>
        </w:rPr>
        <w:t>）</w:t>
      </w:r>
      <w:r>
        <w:rPr>
          <w:rFonts w:hint="eastAsia" w:ascii="宋体" w:hAnsi="宋体" w:eastAsia="宋体" w:cs="宋体"/>
          <w:b/>
          <w:color w:val="auto"/>
          <w:kern w:val="0"/>
          <w:sz w:val="24"/>
          <w:highlight w:val="none"/>
        </w:rPr>
        <w:t>其他要求</w:t>
      </w:r>
    </w:p>
    <w:p w14:paraId="4A88C8FC">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1.采购人提供的设备由中标人使用并维护，无法维修或报废后由中标人提供同等或以上规格机械设备供项目使用，优先使用新能源设备；置换后的保洁车、垃圾清运车等车辆要求优先采用新能源车辆。</w:t>
      </w:r>
    </w:p>
    <w:p w14:paraId="2CDB8F8F">
      <w:pPr>
        <w:widowControl/>
        <w:tabs>
          <w:tab w:val="left" w:pos="851"/>
        </w:tabs>
        <w:adjustRightInd/>
        <w:spacing w:line="360" w:lineRule="auto"/>
        <w:ind w:firstLine="480" w:firstLineChars="200"/>
        <w:rPr>
          <w:rFonts w:hint="default"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rPr>
        <w:t>2.本清单机械设备的操作使用、维护保养由中标</w:t>
      </w:r>
      <w:r>
        <w:rPr>
          <w:rFonts w:hint="eastAsia" w:ascii="宋体" w:hAnsi="宋体" w:eastAsia="宋体" w:cs="宋体"/>
          <w:bCs/>
          <w:color w:val="auto"/>
          <w:kern w:val="0"/>
          <w:sz w:val="24"/>
          <w:highlight w:val="none"/>
          <w:lang w:eastAsia="zh-CN"/>
        </w:rPr>
        <w:t>人</w:t>
      </w:r>
      <w:r>
        <w:rPr>
          <w:rFonts w:hint="eastAsia" w:ascii="宋体" w:hAnsi="宋体" w:eastAsia="宋体" w:cs="宋体"/>
          <w:bCs/>
          <w:color w:val="auto"/>
          <w:kern w:val="0"/>
          <w:sz w:val="24"/>
          <w:highlight w:val="none"/>
        </w:rPr>
        <w:t>负责，费用包干。</w:t>
      </w:r>
    </w:p>
    <w:p w14:paraId="3D3548AE">
      <w:pPr>
        <w:widowControl/>
        <w:tabs>
          <w:tab w:val="left" w:pos="851"/>
        </w:tabs>
        <w:adjustRightInd/>
        <w:spacing w:line="360" w:lineRule="auto"/>
        <w:outlineLvl w:val="1"/>
        <w:rPr>
          <w:rFonts w:ascii="宋体" w:hAnsi="宋体" w:eastAsia="宋体" w:cs="宋体"/>
          <w:b/>
          <w:color w:val="auto"/>
          <w:kern w:val="0"/>
          <w:sz w:val="24"/>
          <w:highlight w:val="none"/>
        </w:rPr>
      </w:pPr>
      <w:r>
        <w:rPr>
          <w:rFonts w:hint="eastAsia" w:ascii="宋体" w:hAnsi="宋体" w:eastAsia="宋体" w:cs="宋体"/>
          <w:b/>
          <w:color w:val="auto"/>
          <w:kern w:val="0"/>
          <w:sz w:val="24"/>
          <w:highlight w:val="none"/>
          <w:lang w:val="en-US" w:eastAsia="zh-CN"/>
        </w:rPr>
        <w:t>七</w:t>
      </w:r>
      <w:r>
        <w:rPr>
          <w:rFonts w:hint="eastAsia" w:ascii="宋体" w:hAnsi="宋体" w:eastAsia="宋体" w:cs="宋体"/>
          <w:b/>
          <w:color w:val="auto"/>
          <w:kern w:val="0"/>
          <w:sz w:val="24"/>
          <w:highlight w:val="none"/>
        </w:rPr>
        <w:t>、</w:t>
      </w:r>
      <w:r>
        <w:rPr>
          <w:rFonts w:hint="eastAsia" w:ascii="宋体" w:hAnsi="宋体" w:eastAsia="宋体" w:cs="宋体"/>
          <w:b/>
          <w:color w:val="auto"/>
          <w:kern w:val="0"/>
          <w:sz w:val="24"/>
          <w:highlight w:val="none"/>
          <w:lang w:val="en-US" w:eastAsia="zh-CN"/>
        </w:rPr>
        <w:t>台账</w:t>
      </w:r>
      <w:r>
        <w:rPr>
          <w:rFonts w:hint="eastAsia" w:ascii="宋体" w:hAnsi="宋体" w:eastAsia="宋体" w:cs="宋体"/>
          <w:b/>
          <w:color w:val="auto"/>
          <w:kern w:val="0"/>
          <w:sz w:val="24"/>
          <w:highlight w:val="none"/>
        </w:rPr>
        <w:t>要求</w:t>
      </w:r>
    </w:p>
    <w:tbl>
      <w:tblPr>
        <w:tblStyle w:val="62"/>
        <w:tblW w:w="0" w:type="auto"/>
        <w:jc w:val="center"/>
        <w:tblLayout w:type="fixed"/>
        <w:tblCellMar>
          <w:top w:w="0" w:type="dxa"/>
          <w:left w:w="0" w:type="dxa"/>
          <w:bottom w:w="0" w:type="dxa"/>
          <w:right w:w="0" w:type="dxa"/>
        </w:tblCellMar>
      </w:tblPr>
      <w:tblGrid>
        <w:gridCol w:w="1281"/>
        <w:gridCol w:w="4646"/>
        <w:gridCol w:w="2720"/>
      </w:tblGrid>
      <w:tr w14:paraId="52380620">
        <w:tblPrEx>
          <w:tblCellMar>
            <w:top w:w="0" w:type="dxa"/>
            <w:left w:w="0" w:type="dxa"/>
            <w:bottom w:w="0" w:type="dxa"/>
            <w:right w:w="0" w:type="dxa"/>
          </w:tblCellMar>
        </w:tblPrEx>
        <w:trPr>
          <w:trHeight w:val="397" w:hRule="atLeast"/>
          <w:jc w:val="center"/>
        </w:trPr>
        <w:tc>
          <w:tcPr>
            <w:tcW w:w="128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F50FE26">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台账类别</w:t>
            </w: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71F2AE3">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台账名称</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AA463DC">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相关标准要求</w:t>
            </w:r>
          </w:p>
        </w:tc>
      </w:tr>
      <w:tr w14:paraId="3EA79B80">
        <w:tblPrEx>
          <w:tblCellMar>
            <w:top w:w="0" w:type="dxa"/>
            <w:left w:w="0" w:type="dxa"/>
            <w:bottom w:w="0" w:type="dxa"/>
            <w:right w:w="0" w:type="dxa"/>
          </w:tblCellMar>
        </w:tblPrEx>
        <w:trPr>
          <w:trHeight w:val="261" w:hRule="atLeast"/>
          <w:jc w:val="center"/>
        </w:trPr>
        <w:tc>
          <w:tcPr>
            <w:tcW w:w="1281"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06BD064">
            <w:pPr>
              <w:widowControl/>
              <w:jc w:val="left"/>
              <w:textAlignment w:val="center"/>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1.项目基本情况</w:t>
            </w: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EE95258">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1.1招、投标文件</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4ACCB75">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64C96D96">
        <w:tblPrEx>
          <w:tblCellMar>
            <w:top w:w="0" w:type="dxa"/>
            <w:left w:w="0" w:type="dxa"/>
            <w:bottom w:w="0" w:type="dxa"/>
            <w:right w:w="0" w:type="dxa"/>
          </w:tblCellMar>
        </w:tblPrEx>
        <w:trPr>
          <w:trHeight w:val="123" w:hRule="atLeast"/>
          <w:jc w:val="center"/>
        </w:trPr>
        <w:tc>
          <w:tcPr>
            <w:tcW w:w="1281"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9884F2B">
            <w:pPr>
              <w:jc w:val="left"/>
              <w:rPr>
                <w:rFonts w:hint="eastAsia" w:ascii="宋体" w:hAnsi="宋体" w:eastAsia="宋体" w:cs="宋体"/>
                <w:b/>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12F9AD9">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1.2合同</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19B210B">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22CF23DC">
        <w:tblPrEx>
          <w:tblCellMar>
            <w:top w:w="0" w:type="dxa"/>
            <w:left w:w="0" w:type="dxa"/>
            <w:bottom w:w="0" w:type="dxa"/>
            <w:right w:w="0" w:type="dxa"/>
          </w:tblCellMar>
        </w:tblPrEx>
        <w:trPr>
          <w:trHeight w:val="241" w:hRule="atLeast"/>
          <w:jc w:val="center"/>
        </w:trPr>
        <w:tc>
          <w:tcPr>
            <w:tcW w:w="1281"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59DF048">
            <w:pPr>
              <w:widowControl/>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2.人员管理情况</w:t>
            </w: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1D8D543">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2.1项目人员名录</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D6D4C7F">
            <w:pPr>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需含身份证信息、年龄、学历、专业</w:t>
            </w:r>
            <w:r>
              <w:rPr>
                <w:rFonts w:hint="eastAsia" w:ascii="宋体" w:hAnsi="宋体" w:eastAsia="宋体" w:cs="宋体"/>
                <w:bCs/>
                <w:color w:val="auto"/>
                <w:sz w:val="24"/>
                <w:szCs w:val="24"/>
                <w:highlight w:val="none"/>
                <w:lang w:eastAsia="zh-CN"/>
              </w:rPr>
              <w:t>、资质证书</w:t>
            </w:r>
            <w:r>
              <w:rPr>
                <w:rFonts w:hint="eastAsia" w:ascii="宋体" w:hAnsi="宋体" w:eastAsia="宋体" w:cs="宋体"/>
                <w:bCs/>
                <w:color w:val="auto"/>
                <w:sz w:val="24"/>
                <w:szCs w:val="24"/>
                <w:highlight w:val="none"/>
              </w:rPr>
              <w:t>等）</w:t>
            </w:r>
          </w:p>
        </w:tc>
      </w:tr>
      <w:tr w14:paraId="20EAA787">
        <w:tblPrEx>
          <w:tblCellMar>
            <w:top w:w="0" w:type="dxa"/>
            <w:left w:w="0" w:type="dxa"/>
            <w:bottom w:w="0" w:type="dxa"/>
            <w:right w:w="0" w:type="dxa"/>
          </w:tblCellMar>
        </w:tblPrEx>
        <w:trPr>
          <w:trHeight w:val="548" w:hRule="atLeast"/>
          <w:jc w:val="center"/>
        </w:trPr>
        <w:tc>
          <w:tcPr>
            <w:tcW w:w="1281"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89D362A">
            <w:pPr>
              <w:jc w:val="left"/>
              <w:rPr>
                <w:rFonts w:hint="eastAsia" w:ascii="宋体" w:hAnsi="宋体" w:eastAsia="宋体" w:cs="宋体"/>
                <w:b/>
                <w:bCs/>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79124F4">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2.2员工用工合同资料</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6CF7637">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4DB1CA89">
        <w:tblPrEx>
          <w:tblCellMar>
            <w:top w:w="0" w:type="dxa"/>
            <w:left w:w="0" w:type="dxa"/>
            <w:bottom w:w="0" w:type="dxa"/>
            <w:right w:w="0" w:type="dxa"/>
          </w:tblCellMar>
        </w:tblPrEx>
        <w:trPr>
          <w:trHeight w:val="600" w:hRule="atLeast"/>
          <w:jc w:val="center"/>
        </w:trPr>
        <w:tc>
          <w:tcPr>
            <w:tcW w:w="1281"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D1121B3">
            <w:pPr>
              <w:jc w:val="left"/>
              <w:rPr>
                <w:rFonts w:hint="eastAsia" w:ascii="宋体" w:hAnsi="宋体" w:eastAsia="宋体" w:cs="宋体"/>
                <w:b/>
                <w:bCs/>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A55A6C6">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2.3人员考勤打卡数据、</w:t>
            </w:r>
            <w:r>
              <w:rPr>
                <w:rFonts w:hint="eastAsia" w:ascii="宋体" w:hAnsi="宋体" w:eastAsia="宋体" w:cs="宋体"/>
                <w:bCs/>
                <w:color w:val="auto"/>
                <w:sz w:val="24"/>
                <w:szCs w:val="24"/>
                <w:highlight w:val="none"/>
                <w:lang w:eastAsia="zh-CN"/>
              </w:rPr>
              <w:t>公厕</w:t>
            </w:r>
            <w:r>
              <w:rPr>
                <w:rFonts w:hint="eastAsia" w:ascii="宋体" w:hAnsi="宋体" w:eastAsia="宋体" w:cs="宋体"/>
                <w:bCs/>
                <w:color w:val="auto"/>
                <w:sz w:val="24"/>
                <w:szCs w:val="24"/>
                <w:highlight w:val="none"/>
              </w:rPr>
              <w:t>保洁签到表</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2E6AFEF">
            <w:pPr>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钉钉考勤等打卡数据或</w:t>
            </w:r>
            <w:r>
              <w:rPr>
                <w:rFonts w:hint="eastAsia" w:ascii="宋体" w:hAnsi="宋体" w:eastAsia="宋体" w:cs="宋体"/>
                <w:bCs/>
                <w:color w:val="auto"/>
                <w:sz w:val="24"/>
                <w:szCs w:val="24"/>
                <w:highlight w:val="none"/>
                <w:lang w:eastAsia="zh-CN"/>
              </w:rPr>
              <w:t>智慧公园</w:t>
            </w:r>
            <w:r>
              <w:rPr>
                <w:rFonts w:hint="eastAsia" w:ascii="宋体" w:hAnsi="宋体" w:eastAsia="宋体" w:cs="宋体"/>
                <w:bCs/>
                <w:color w:val="auto"/>
                <w:sz w:val="24"/>
                <w:szCs w:val="24"/>
                <w:highlight w:val="none"/>
              </w:rPr>
              <w:t>系统考勤</w:t>
            </w:r>
            <w:r>
              <w:rPr>
                <w:rFonts w:hint="eastAsia" w:ascii="宋体" w:hAnsi="宋体" w:eastAsia="宋体" w:cs="宋体"/>
                <w:bCs/>
                <w:color w:val="auto"/>
                <w:sz w:val="24"/>
                <w:szCs w:val="24"/>
                <w:highlight w:val="none"/>
                <w:lang w:eastAsia="zh-CN"/>
              </w:rPr>
              <w:t>签到</w:t>
            </w:r>
            <w:r>
              <w:rPr>
                <w:rFonts w:hint="eastAsia" w:ascii="宋体" w:hAnsi="宋体" w:eastAsia="宋体" w:cs="宋体"/>
                <w:bCs/>
                <w:color w:val="auto"/>
                <w:sz w:val="24"/>
                <w:szCs w:val="24"/>
                <w:highlight w:val="none"/>
              </w:rPr>
              <w:t>记录</w:t>
            </w:r>
          </w:p>
        </w:tc>
      </w:tr>
      <w:tr w14:paraId="512B57AD">
        <w:tblPrEx>
          <w:tblCellMar>
            <w:top w:w="0" w:type="dxa"/>
            <w:left w:w="0" w:type="dxa"/>
            <w:bottom w:w="0" w:type="dxa"/>
            <w:right w:w="0" w:type="dxa"/>
          </w:tblCellMar>
        </w:tblPrEx>
        <w:trPr>
          <w:trHeight w:val="409" w:hRule="atLeast"/>
          <w:jc w:val="center"/>
        </w:trPr>
        <w:tc>
          <w:tcPr>
            <w:tcW w:w="1281"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17CDD5D">
            <w:pPr>
              <w:jc w:val="left"/>
              <w:rPr>
                <w:rFonts w:hint="eastAsia" w:ascii="宋体" w:hAnsi="宋体" w:eastAsia="宋体" w:cs="宋体"/>
                <w:b/>
                <w:bCs/>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704C88E">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w:t>
            </w:r>
            <w:r>
              <w:rPr>
                <w:rFonts w:hint="eastAsia" w:ascii="宋体" w:hAnsi="宋体" w:cs="宋体"/>
                <w:bCs/>
                <w:color w:val="auto"/>
                <w:sz w:val="24"/>
                <w:szCs w:val="24"/>
                <w:highlight w:val="none"/>
                <w:lang w:val="en-US" w:eastAsia="zh-CN"/>
              </w:rPr>
              <w:t>4</w:t>
            </w:r>
            <w:r>
              <w:rPr>
                <w:rFonts w:hint="eastAsia" w:ascii="宋体" w:hAnsi="宋体" w:eastAsia="宋体" w:cs="宋体"/>
                <w:bCs/>
                <w:color w:val="auto"/>
                <w:sz w:val="24"/>
                <w:szCs w:val="24"/>
                <w:highlight w:val="none"/>
              </w:rPr>
              <w:t>为</w:t>
            </w:r>
            <w:r>
              <w:rPr>
                <w:rFonts w:hint="eastAsia" w:ascii="宋体" w:hAnsi="宋体" w:eastAsia="宋体" w:cs="宋体"/>
                <w:bCs/>
                <w:color w:val="auto"/>
                <w:sz w:val="24"/>
                <w:szCs w:val="24"/>
                <w:highlight w:val="none"/>
                <w:lang w:eastAsia="zh-CN"/>
              </w:rPr>
              <w:t>员工</w:t>
            </w:r>
            <w:r>
              <w:rPr>
                <w:rFonts w:hint="eastAsia" w:ascii="宋体" w:hAnsi="宋体" w:eastAsia="宋体" w:cs="宋体"/>
                <w:bCs/>
                <w:color w:val="auto"/>
                <w:sz w:val="24"/>
                <w:szCs w:val="24"/>
                <w:highlight w:val="none"/>
              </w:rPr>
              <w:t>购买相关保险资料</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C528545">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2A97CD37">
        <w:tblPrEx>
          <w:tblCellMar>
            <w:top w:w="0" w:type="dxa"/>
            <w:left w:w="0" w:type="dxa"/>
            <w:bottom w:w="0" w:type="dxa"/>
            <w:right w:w="0" w:type="dxa"/>
          </w:tblCellMar>
        </w:tblPrEx>
        <w:trPr>
          <w:trHeight w:val="727" w:hRule="atLeast"/>
          <w:jc w:val="center"/>
        </w:trPr>
        <w:tc>
          <w:tcPr>
            <w:tcW w:w="1281"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2432A0B">
            <w:pPr>
              <w:jc w:val="left"/>
              <w:rPr>
                <w:rFonts w:hint="eastAsia" w:ascii="宋体" w:hAnsi="宋体" w:eastAsia="宋体" w:cs="宋体"/>
                <w:b/>
                <w:bCs/>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E1D1E0F">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w:t>
            </w:r>
            <w:r>
              <w:rPr>
                <w:rFonts w:hint="eastAsia" w:ascii="宋体" w:hAnsi="宋体" w:cs="宋体"/>
                <w:bCs/>
                <w:color w:val="auto"/>
                <w:sz w:val="24"/>
                <w:szCs w:val="24"/>
                <w:highlight w:val="none"/>
                <w:lang w:val="en-US" w:eastAsia="zh-CN"/>
              </w:rPr>
              <w:t>5</w:t>
            </w:r>
            <w:r>
              <w:rPr>
                <w:rFonts w:hint="eastAsia" w:ascii="宋体" w:hAnsi="宋体" w:eastAsia="宋体" w:cs="宋体"/>
                <w:bCs/>
                <w:color w:val="auto"/>
                <w:sz w:val="24"/>
                <w:szCs w:val="24"/>
                <w:highlight w:val="none"/>
              </w:rPr>
              <w:t>项目管理</w:t>
            </w:r>
            <w:r>
              <w:rPr>
                <w:rFonts w:hint="eastAsia" w:ascii="宋体" w:hAnsi="宋体" w:eastAsia="宋体" w:cs="宋体"/>
                <w:bCs/>
                <w:color w:val="auto"/>
                <w:sz w:val="24"/>
                <w:szCs w:val="24"/>
                <w:highlight w:val="none"/>
                <w:lang w:eastAsia="zh-CN"/>
              </w:rPr>
              <w:t>团队</w:t>
            </w:r>
            <w:r>
              <w:rPr>
                <w:rFonts w:hint="eastAsia" w:ascii="宋体" w:hAnsi="宋体" w:eastAsia="宋体" w:cs="宋体"/>
                <w:bCs/>
                <w:color w:val="auto"/>
                <w:sz w:val="24"/>
                <w:szCs w:val="24"/>
                <w:highlight w:val="none"/>
              </w:rPr>
              <w:t>按要求参加项目会议、参与现场检查的记录（含签到记录、现场</w:t>
            </w:r>
            <w:r>
              <w:rPr>
                <w:rFonts w:hint="eastAsia" w:ascii="宋体" w:hAnsi="宋体" w:eastAsia="宋体" w:cs="宋体"/>
                <w:bCs/>
                <w:color w:val="auto"/>
                <w:sz w:val="24"/>
                <w:szCs w:val="24"/>
                <w:highlight w:val="none"/>
                <w:lang w:eastAsia="zh-CN"/>
              </w:rPr>
              <w:t>水印</w:t>
            </w:r>
            <w:r>
              <w:rPr>
                <w:rFonts w:hint="eastAsia" w:ascii="宋体" w:hAnsi="宋体" w:eastAsia="宋体" w:cs="宋体"/>
                <w:bCs/>
                <w:color w:val="auto"/>
                <w:sz w:val="24"/>
                <w:szCs w:val="24"/>
                <w:highlight w:val="none"/>
              </w:rPr>
              <w:t>照片等）</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B95B290">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0406DDAD">
        <w:tblPrEx>
          <w:tblCellMar>
            <w:top w:w="0" w:type="dxa"/>
            <w:left w:w="0" w:type="dxa"/>
            <w:bottom w:w="0" w:type="dxa"/>
            <w:right w:w="0" w:type="dxa"/>
          </w:tblCellMar>
        </w:tblPrEx>
        <w:trPr>
          <w:trHeight w:val="577" w:hRule="atLeast"/>
          <w:jc w:val="center"/>
        </w:trPr>
        <w:tc>
          <w:tcPr>
            <w:tcW w:w="1281" w:type="dxa"/>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14:paraId="5E044688">
            <w:pPr>
              <w:widowControl/>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3.设备情况</w:t>
            </w: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5B65B8C">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3.1设备统计备案（明确种类及数量，附上现场水印</w:t>
            </w:r>
            <w:r>
              <w:rPr>
                <w:rFonts w:hint="eastAsia" w:ascii="宋体" w:hAnsi="宋体" w:eastAsia="宋体" w:cs="宋体"/>
                <w:bCs/>
                <w:color w:val="auto"/>
                <w:sz w:val="24"/>
                <w:szCs w:val="24"/>
                <w:highlight w:val="none"/>
                <w:lang w:eastAsia="zh-CN"/>
              </w:rPr>
              <w:t>照片</w:t>
            </w:r>
            <w:r>
              <w:rPr>
                <w:rFonts w:hint="eastAsia" w:ascii="宋体" w:hAnsi="宋体" w:eastAsia="宋体" w:cs="宋体"/>
                <w:bCs/>
                <w:color w:val="auto"/>
                <w:sz w:val="24"/>
                <w:szCs w:val="24"/>
                <w:highlight w:val="none"/>
              </w:rPr>
              <w:t>）</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E65D5A3">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1CC6A6C2">
        <w:tblPrEx>
          <w:tblCellMar>
            <w:top w:w="0" w:type="dxa"/>
            <w:left w:w="0" w:type="dxa"/>
            <w:bottom w:w="0" w:type="dxa"/>
            <w:right w:w="0" w:type="dxa"/>
          </w:tblCellMar>
        </w:tblPrEx>
        <w:trPr>
          <w:trHeight w:val="600" w:hRule="atLeast"/>
          <w:jc w:val="center"/>
        </w:trPr>
        <w:tc>
          <w:tcPr>
            <w:tcW w:w="1281" w:type="dxa"/>
            <w:vMerge w:val="continue"/>
            <w:tcBorders>
              <w:left w:val="single" w:color="000000" w:sz="4" w:space="0"/>
              <w:right w:val="single" w:color="000000" w:sz="4" w:space="0"/>
            </w:tcBorders>
            <w:noWrap w:val="0"/>
            <w:tcMar>
              <w:top w:w="10" w:type="dxa"/>
              <w:left w:w="10" w:type="dxa"/>
              <w:right w:w="10" w:type="dxa"/>
            </w:tcMar>
            <w:vAlign w:val="center"/>
          </w:tcPr>
          <w:p w14:paraId="74B5BF65">
            <w:pPr>
              <w:jc w:val="left"/>
              <w:rPr>
                <w:rFonts w:hint="eastAsia" w:ascii="宋体" w:hAnsi="宋体" w:eastAsia="宋体" w:cs="宋体"/>
                <w:b/>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B1D2AD1">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设备日常</w:t>
            </w:r>
            <w:r>
              <w:rPr>
                <w:rFonts w:hint="eastAsia" w:ascii="宋体" w:hAnsi="宋体" w:eastAsia="宋体" w:cs="宋体"/>
                <w:bCs/>
                <w:color w:val="auto"/>
                <w:sz w:val="24"/>
                <w:szCs w:val="24"/>
                <w:highlight w:val="none"/>
                <w:lang w:eastAsia="zh-CN"/>
              </w:rPr>
              <w:t>检查、</w:t>
            </w:r>
            <w:r>
              <w:rPr>
                <w:rFonts w:hint="eastAsia" w:ascii="宋体" w:hAnsi="宋体" w:eastAsia="宋体" w:cs="宋体"/>
                <w:bCs/>
                <w:color w:val="auto"/>
                <w:sz w:val="24"/>
                <w:szCs w:val="24"/>
                <w:highlight w:val="none"/>
              </w:rPr>
              <w:t>维护检修，保养更新的备案记录（含检修现场照片，水印照片）</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3DDC391">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57764E99">
        <w:tblPrEx>
          <w:tblCellMar>
            <w:top w:w="0" w:type="dxa"/>
            <w:left w:w="0" w:type="dxa"/>
            <w:bottom w:w="0" w:type="dxa"/>
            <w:right w:w="0" w:type="dxa"/>
          </w:tblCellMar>
        </w:tblPrEx>
        <w:trPr>
          <w:trHeight w:val="445" w:hRule="atLeast"/>
          <w:jc w:val="center"/>
        </w:trPr>
        <w:tc>
          <w:tcPr>
            <w:tcW w:w="1281" w:type="dxa"/>
            <w:vMerge w:val="continue"/>
            <w:tcBorders>
              <w:left w:val="single" w:color="000000" w:sz="4" w:space="0"/>
              <w:bottom w:val="single" w:color="000000" w:sz="4" w:space="0"/>
              <w:right w:val="single" w:color="000000" w:sz="4" w:space="0"/>
            </w:tcBorders>
            <w:noWrap w:val="0"/>
            <w:tcMar>
              <w:top w:w="10" w:type="dxa"/>
              <w:left w:w="10" w:type="dxa"/>
              <w:right w:w="10" w:type="dxa"/>
            </w:tcMar>
            <w:vAlign w:val="center"/>
          </w:tcPr>
          <w:p w14:paraId="3E68D630">
            <w:pPr>
              <w:jc w:val="left"/>
              <w:rPr>
                <w:rFonts w:hint="eastAsia" w:ascii="宋体" w:hAnsi="宋体" w:eastAsia="宋体" w:cs="宋体"/>
                <w:b/>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9A30900">
            <w:pP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做好安全生产物资出入库、每月盘点等记录</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62882CE">
            <w:pPr>
              <w:ind w:firstLine="240" w:firstLineChars="100"/>
              <w:jc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rPr>
              <w:t>/</w:t>
            </w:r>
          </w:p>
        </w:tc>
      </w:tr>
      <w:tr w14:paraId="1682416E">
        <w:tblPrEx>
          <w:tblCellMar>
            <w:top w:w="0" w:type="dxa"/>
            <w:left w:w="0" w:type="dxa"/>
            <w:bottom w:w="0" w:type="dxa"/>
            <w:right w:w="0" w:type="dxa"/>
          </w:tblCellMar>
        </w:tblPrEx>
        <w:trPr>
          <w:trHeight w:val="658" w:hRule="atLeast"/>
          <w:jc w:val="center"/>
        </w:trPr>
        <w:tc>
          <w:tcPr>
            <w:tcW w:w="1281" w:type="dxa"/>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14:paraId="0EFA50BE">
            <w:pPr>
              <w:widowControl/>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4.工作安排</w:t>
            </w: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DF73D91">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4.1制定</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月-年</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工作计划，按</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月-年</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总结工作完成进度</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72F6D37">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7AFE141C">
        <w:tblPrEx>
          <w:tblCellMar>
            <w:top w:w="0" w:type="dxa"/>
            <w:left w:w="0" w:type="dxa"/>
            <w:bottom w:w="0" w:type="dxa"/>
            <w:right w:w="0" w:type="dxa"/>
          </w:tblCellMar>
        </w:tblPrEx>
        <w:trPr>
          <w:trHeight w:val="60" w:hRule="atLeast"/>
          <w:jc w:val="center"/>
        </w:trPr>
        <w:tc>
          <w:tcPr>
            <w:tcW w:w="1281" w:type="dxa"/>
            <w:vMerge w:val="continue"/>
            <w:tcBorders>
              <w:left w:val="single" w:color="000000" w:sz="4" w:space="0"/>
              <w:right w:val="single" w:color="000000" w:sz="4" w:space="0"/>
            </w:tcBorders>
            <w:noWrap w:val="0"/>
            <w:tcMar>
              <w:top w:w="10" w:type="dxa"/>
              <w:left w:w="10" w:type="dxa"/>
              <w:right w:w="10" w:type="dxa"/>
            </w:tcMar>
            <w:vAlign w:val="center"/>
          </w:tcPr>
          <w:p w14:paraId="0E234C51">
            <w:pPr>
              <w:widowControl/>
              <w:jc w:val="left"/>
              <w:textAlignment w:val="center"/>
              <w:rPr>
                <w:rFonts w:hint="eastAsia" w:ascii="宋体" w:hAnsi="宋体" w:eastAsia="宋体" w:cs="宋体"/>
                <w:b/>
                <w:bCs/>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1A32A1A">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制定应急预案</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3BF2577">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4D76AAE2">
        <w:tblPrEx>
          <w:tblCellMar>
            <w:top w:w="0" w:type="dxa"/>
            <w:left w:w="0" w:type="dxa"/>
            <w:bottom w:w="0" w:type="dxa"/>
            <w:right w:w="0" w:type="dxa"/>
          </w:tblCellMar>
        </w:tblPrEx>
        <w:trPr>
          <w:trHeight w:val="122" w:hRule="atLeast"/>
          <w:jc w:val="center"/>
        </w:trPr>
        <w:tc>
          <w:tcPr>
            <w:tcW w:w="1281" w:type="dxa"/>
            <w:vMerge w:val="continue"/>
            <w:tcBorders>
              <w:left w:val="single" w:color="000000" w:sz="4" w:space="0"/>
              <w:right w:val="single" w:color="000000" w:sz="4" w:space="0"/>
            </w:tcBorders>
            <w:noWrap w:val="0"/>
            <w:tcMar>
              <w:top w:w="10" w:type="dxa"/>
              <w:left w:w="10" w:type="dxa"/>
              <w:right w:w="10" w:type="dxa"/>
            </w:tcMar>
            <w:vAlign w:val="center"/>
          </w:tcPr>
          <w:p w14:paraId="1F0F2F1D">
            <w:pPr>
              <w:widowControl/>
              <w:jc w:val="left"/>
              <w:textAlignment w:val="center"/>
              <w:rPr>
                <w:rFonts w:hint="eastAsia" w:ascii="宋体" w:hAnsi="宋体" w:eastAsia="宋体" w:cs="宋体"/>
                <w:b/>
                <w:bCs/>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79EEAC1">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新入职岗前培训（图文并茂，</w:t>
            </w:r>
            <w:r>
              <w:rPr>
                <w:rFonts w:hint="eastAsia" w:ascii="宋体" w:hAnsi="宋体" w:eastAsia="宋体" w:cs="宋体"/>
                <w:bCs/>
                <w:color w:val="auto"/>
                <w:sz w:val="24"/>
                <w:szCs w:val="24"/>
                <w:highlight w:val="none"/>
                <w:lang w:eastAsia="zh-CN"/>
              </w:rPr>
              <w:t>水印</w:t>
            </w:r>
            <w:r>
              <w:rPr>
                <w:rFonts w:hint="eastAsia" w:ascii="宋体" w:hAnsi="宋体" w:eastAsia="宋体" w:cs="宋体"/>
                <w:bCs/>
                <w:color w:val="auto"/>
                <w:sz w:val="24"/>
                <w:szCs w:val="24"/>
                <w:highlight w:val="none"/>
              </w:rPr>
              <w:t>照片）</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4A22496">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7DBDF3B9">
        <w:tblPrEx>
          <w:tblCellMar>
            <w:top w:w="0" w:type="dxa"/>
            <w:left w:w="0" w:type="dxa"/>
            <w:bottom w:w="0" w:type="dxa"/>
            <w:right w:w="0" w:type="dxa"/>
          </w:tblCellMar>
        </w:tblPrEx>
        <w:trPr>
          <w:trHeight w:val="60" w:hRule="atLeast"/>
          <w:jc w:val="center"/>
        </w:trPr>
        <w:tc>
          <w:tcPr>
            <w:tcW w:w="1281" w:type="dxa"/>
            <w:vMerge w:val="continue"/>
            <w:tcBorders>
              <w:left w:val="single" w:color="000000" w:sz="4" w:space="0"/>
              <w:right w:val="single" w:color="000000" w:sz="4" w:space="0"/>
            </w:tcBorders>
            <w:noWrap w:val="0"/>
            <w:tcMar>
              <w:top w:w="10" w:type="dxa"/>
              <w:left w:w="10" w:type="dxa"/>
              <w:right w:w="10" w:type="dxa"/>
            </w:tcMar>
            <w:vAlign w:val="center"/>
          </w:tcPr>
          <w:p w14:paraId="563738D3">
            <w:pPr>
              <w:widowControl/>
              <w:jc w:val="left"/>
              <w:textAlignment w:val="center"/>
              <w:rPr>
                <w:rFonts w:hint="eastAsia" w:ascii="宋体" w:hAnsi="宋体" w:eastAsia="宋体" w:cs="宋体"/>
                <w:b/>
                <w:bCs/>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90130E5">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定期开展专项安全培训及演练</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图文并茂，水印照片</w:t>
            </w:r>
            <w:r>
              <w:rPr>
                <w:rFonts w:hint="eastAsia" w:ascii="宋体" w:hAnsi="宋体" w:eastAsia="宋体" w:cs="宋体"/>
                <w:bCs/>
                <w:color w:val="auto"/>
                <w:sz w:val="24"/>
                <w:szCs w:val="24"/>
                <w:highlight w:val="none"/>
                <w:lang w:eastAsia="zh-CN"/>
              </w:rPr>
              <w:t>）</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0D3CEDC">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794C077E">
        <w:tblPrEx>
          <w:tblCellMar>
            <w:top w:w="0" w:type="dxa"/>
            <w:left w:w="0" w:type="dxa"/>
            <w:bottom w:w="0" w:type="dxa"/>
            <w:right w:w="0" w:type="dxa"/>
          </w:tblCellMar>
        </w:tblPrEx>
        <w:trPr>
          <w:trHeight w:val="60" w:hRule="atLeast"/>
          <w:jc w:val="center"/>
        </w:trPr>
        <w:tc>
          <w:tcPr>
            <w:tcW w:w="1281" w:type="dxa"/>
            <w:vMerge w:val="continue"/>
            <w:tcBorders>
              <w:left w:val="single" w:color="000000" w:sz="4" w:space="0"/>
              <w:right w:val="single" w:color="000000" w:sz="4" w:space="0"/>
            </w:tcBorders>
            <w:noWrap w:val="0"/>
            <w:tcMar>
              <w:top w:w="10" w:type="dxa"/>
              <w:left w:w="10" w:type="dxa"/>
              <w:right w:w="10" w:type="dxa"/>
            </w:tcMar>
            <w:vAlign w:val="center"/>
          </w:tcPr>
          <w:p w14:paraId="1FC1C95F">
            <w:pPr>
              <w:widowControl/>
              <w:jc w:val="left"/>
              <w:textAlignment w:val="center"/>
              <w:rPr>
                <w:rFonts w:hint="eastAsia" w:ascii="宋体" w:hAnsi="宋体" w:eastAsia="宋体" w:cs="宋体"/>
                <w:b/>
                <w:bCs/>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8D061D0">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w:t>
            </w:r>
            <w:r>
              <w:rPr>
                <w:rFonts w:hint="eastAsia"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rPr>
              <w:t>定期开展专项技能培训</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图文并茂，水印照片</w:t>
            </w:r>
            <w:r>
              <w:rPr>
                <w:rFonts w:hint="eastAsia" w:ascii="宋体" w:hAnsi="宋体" w:eastAsia="宋体" w:cs="宋体"/>
                <w:bCs/>
                <w:color w:val="auto"/>
                <w:sz w:val="24"/>
                <w:szCs w:val="24"/>
                <w:highlight w:val="none"/>
                <w:lang w:eastAsia="zh-CN"/>
              </w:rPr>
              <w:t>）</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B5869AC">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2A0CF918">
        <w:tblPrEx>
          <w:tblCellMar>
            <w:top w:w="0" w:type="dxa"/>
            <w:left w:w="0" w:type="dxa"/>
            <w:bottom w:w="0" w:type="dxa"/>
            <w:right w:w="0" w:type="dxa"/>
          </w:tblCellMar>
        </w:tblPrEx>
        <w:trPr>
          <w:trHeight w:val="60" w:hRule="atLeast"/>
          <w:jc w:val="center"/>
        </w:trPr>
        <w:tc>
          <w:tcPr>
            <w:tcW w:w="1281" w:type="dxa"/>
            <w:vMerge w:val="continue"/>
            <w:tcBorders>
              <w:left w:val="single" w:color="000000" w:sz="4" w:space="0"/>
              <w:bottom w:val="single" w:color="000000" w:sz="4" w:space="0"/>
              <w:right w:val="single" w:color="000000" w:sz="4" w:space="0"/>
            </w:tcBorders>
            <w:noWrap w:val="0"/>
            <w:tcMar>
              <w:top w:w="10" w:type="dxa"/>
              <w:left w:w="10" w:type="dxa"/>
              <w:right w:w="10" w:type="dxa"/>
            </w:tcMar>
            <w:vAlign w:val="center"/>
          </w:tcPr>
          <w:p w14:paraId="747835B3">
            <w:pPr>
              <w:widowControl/>
              <w:jc w:val="left"/>
              <w:textAlignment w:val="center"/>
              <w:rPr>
                <w:rFonts w:hint="eastAsia" w:ascii="宋体" w:hAnsi="宋体" w:eastAsia="宋体" w:cs="宋体"/>
                <w:b/>
                <w:bCs/>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3843E64">
            <w:pP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rPr>
              <w:t>4.6</w:t>
            </w:r>
            <w:r>
              <w:rPr>
                <w:rFonts w:hint="eastAsia" w:ascii="宋体" w:hAnsi="宋体" w:eastAsia="宋体" w:cs="宋体"/>
                <w:bCs/>
                <w:color w:val="auto"/>
                <w:sz w:val="24"/>
                <w:szCs w:val="24"/>
                <w:highlight w:val="none"/>
              </w:rPr>
              <w:t>做好重大活动或</w:t>
            </w:r>
            <w:r>
              <w:rPr>
                <w:rFonts w:hint="eastAsia" w:ascii="宋体" w:hAnsi="宋体" w:eastAsia="宋体" w:cs="宋体"/>
                <w:color w:val="auto"/>
                <w:kern w:val="0"/>
                <w:sz w:val="24"/>
                <w:szCs w:val="24"/>
                <w:highlight w:val="none"/>
              </w:rPr>
              <w:t>节假日增派人员记录</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9D9B345">
            <w:pPr>
              <w:ind w:firstLine="240" w:firstLineChars="100"/>
              <w:jc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rPr>
              <w:t>/</w:t>
            </w:r>
          </w:p>
        </w:tc>
      </w:tr>
      <w:tr w14:paraId="63A73AA9">
        <w:tblPrEx>
          <w:tblCellMar>
            <w:top w:w="0" w:type="dxa"/>
            <w:left w:w="0" w:type="dxa"/>
            <w:bottom w:w="0" w:type="dxa"/>
            <w:right w:w="0" w:type="dxa"/>
          </w:tblCellMar>
        </w:tblPrEx>
        <w:trPr>
          <w:trHeight w:val="60" w:hRule="atLeast"/>
          <w:jc w:val="center"/>
        </w:trPr>
        <w:tc>
          <w:tcPr>
            <w:tcW w:w="1281" w:type="dxa"/>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14:paraId="2AB1C3F3">
            <w:pPr>
              <w:widowControl/>
              <w:jc w:val="left"/>
              <w:textAlignment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5</w:t>
            </w:r>
            <w:r>
              <w:rPr>
                <w:rFonts w:hint="eastAsia" w:ascii="宋体" w:hAnsi="宋体" w:cs="宋体"/>
                <w:b/>
                <w:bCs/>
                <w:color w:val="auto"/>
                <w:sz w:val="24"/>
                <w:szCs w:val="24"/>
                <w:highlight w:val="none"/>
                <w:lang w:val="en-US" w:eastAsia="zh-CN"/>
              </w:rPr>
              <w:t>.</w:t>
            </w:r>
            <w:r>
              <w:rPr>
                <w:rFonts w:hint="eastAsia" w:ascii="宋体" w:hAnsi="宋体" w:eastAsia="宋体" w:cs="宋体"/>
                <w:b/>
                <w:bCs/>
                <w:color w:val="auto"/>
                <w:sz w:val="24"/>
                <w:szCs w:val="24"/>
                <w:highlight w:val="none"/>
                <w:lang w:val="en-US" w:eastAsia="zh-CN"/>
              </w:rPr>
              <w:t>绿化专项工作记录</w:t>
            </w: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38640FE">
            <w:pP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rPr>
              <w:t>5.1修剪工作备案（含乔木、灌木、绿篱、花坛、地被、草坪等专项修剪，图文并茂，照片需留时间水印）</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02DE2BD">
            <w:pPr>
              <w:ind w:firstLine="240" w:firstLineChars="100"/>
              <w:jc w:val="center"/>
              <w:rPr>
                <w:rFonts w:hint="eastAsia" w:ascii="宋体" w:hAnsi="宋体" w:eastAsia="宋体" w:cs="宋体"/>
                <w:bCs/>
                <w:color w:val="auto"/>
                <w:sz w:val="24"/>
                <w:szCs w:val="24"/>
                <w:highlight w:val="none"/>
              </w:rPr>
            </w:pPr>
          </w:p>
        </w:tc>
      </w:tr>
      <w:tr w14:paraId="272E6458">
        <w:tblPrEx>
          <w:tblCellMar>
            <w:top w:w="0" w:type="dxa"/>
            <w:left w:w="0" w:type="dxa"/>
            <w:bottom w:w="0" w:type="dxa"/>
            <w:right w:w="0" w:type="dxa"/>
          </w:tblCellMar>
        </w:tblPrEx>
        <w:trPr>
          <w:trHeight w:val="60" w:hRule="atLeast"/>
          <w:jc w:val="center"/>
        </w:trPr>
        <w:tc>
          <w:tcPr>
            <w:tcW w:w="1281" w:type="dxa"/>
            <w:vMerge w:val="continue"/>
            <w:tcBorders>
              <w:left w:val="single" w:color="000000" w:sz="4" w:space="0"/>
              <w:right w:val="single" w:color="000000" w:sz="4" w:space="0"/>
            </w:tcBorders>
            <w:noWrap w:val="0"/>
            <w:tcMar>
              <w:top w:w="10" w:type="dxa"/>
              <w:left w:w="10" w:type="dxa"/>
              <w:right w:w="10" w:type="dxa"/>
            </w:tcMar>
            <w:vAlign w:val="center"/>
          </w:tcPr>
          <w:p w14:paraId="5700BCC7">
            <w:pPr>
              <w:widowControl/>
              <w:jc w:val="left"/>
              <w:textAlignment w:val="center"/>
              <w:rPr>
                <w:rFonts w:hint="eastAsia" w:ascii="宋体" w:hAnsi="宋体" w:eastAsia="宋体" w:cs="宋体"/>
                <w:b/>
                <w:bCs/>
                <w:color w:val="auto"/>
                <w:sz w:val="24"/>
                <w:szCs w:val="24"/>
                <w:highlight w:val="none"/>
                <w:lang w:val="en-US" w:eastAsia="zh-CN"/>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F7031F5">
            <w:pP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rPr>
              <w:t>5.2施肥工作备案（含春秋季大型施肥记录等，图文并茂，照片需留时间水印）</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AFF4DF8">
            <w:pPr>
              <w:ind w:firstLine="240" w:firstLineChars="100"/>
              <w:jc w:val="center"/>
              <w:rPr>
                <w:rFonts w:hint="eastAsia" w:ascii="宋体" w:hAnsi="宋体" w:eastAsia="宋体" w:cs="宋体"/>
                <w:bCs/>
                <w:color w:val="auto"/>
                <w:sz w:val="24"/>
                <w:szCs w:val="24"/>
                <w:highlight w:val="none"/>
              </w:rPr>
            </w:pPr>
          </w:p>
        </w:tc>
      </w:tr>
      <w:tr w14:paraId="04988222">
        <w:tblPrEx>
          <w:tblCellMar>
            <w:top w:w="0" w:type="dxa"/>
            <w:left w:w="0" w:type="dxa"/>
            <w:bottom w:w="0" w:type="dxa"/>
            <w:right w:w="0" w:type="dxa"/>
          </w:tblCellMar>
        </w:tblPrEx>
        <w:trPr>
          <w:trHeight w:val="60" w:hRule="atLeast"/>
          <w:jc w:val="center"/>
        </w:trPr>
        <w:tc>
          <w:tcPr>
            <w:tcW w:w="1281" w:type="dxa"/>
            <w:vMerge w:val="continue"/>
            <w:tcBorders>
              <w:left w:val="single" w:color="000000" w:sz="4" w:space="0"/>
              <w:right w:val="single" w:color="000000" w:sz="4" w:space="0"/>
            </w:tcBorders>
            <w:noWrap w:val="0"/>
            <w:tcMar>
              <w:top w:w="10" w:type="dxa"/>
              <w:left w:w="10" w:type="dxa"/>
              <w:right w:w="10" w:type="dxa"/>
            </w:tcMar>
            <w:vAlign w:val="center"/>
          </w:tcPr>
          <w:p w14:paraId="74FC538E">
            <w:pPr>
              <w:widowControl/>
              <w:jc w:val="left"/>
              <w:textAlignment w:val="center"/>
              <w:rPr>
                <w:rFonts w:hint="eastAsia" w:ascii="宋体" w:hAnsi="宋体" w:eastAsia="宋体" w:cs="宋体"/>
                <w:b/>
                <w:bCs/>
                <w:color w:val="auto"/>
                <w:sz w:val="24"/>
                <w:szCs w:val="24"/>
                <w:highlight w:val="none"/>
                <w:lang w:val="en-US" w:eastAsia="zh-CN"/>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AF9DCE8">
            <w:pP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rPr>
              <w:t>5.3病虫害防治工作备案（含使用药剂信息，喷施药剂过程照等，图文并茂，照片需留时间水印）</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C9B1119">
            <w:pPr>
              <w:ind w:firstLine="240" w:firstLineChars="100"/>
              <w:jc w:val="center"/>
              <w:rPr>
                <w:rFonts w:hint="eastAsia" w:ascii="宋体" w:hAnsi="宋体" w:eastAsia="宋体" w:cs="宋体"/>
                <w:bCs/>
                <w:color w:val="auto"/>
                <w:sz w:val="24"/>
                <w:szCs w:val="24"/>
                <w:highlight w:val="none"/>
              </w:rPr>
            </w:pPr>
          </w:p>
        </w:tc>
      </w:tr>
      <w:tr w14:paraId="502ACAB4">
        <w:tblPrEx>
          <w:tblCellMar>
            <w:top w:w="0" w:type="dxa"/>
            <w:left w:w="0" w:type="dxa"/>
            <w:bottom w:w="0" w:type="dxa"/>
            <w:right w:w="0" w:type="dxa"/>
          </w:tblCellMar>
        </w:tblPrEx>
        <w:trPr>
          <w:trHeight w:val="60" w:hRule="atLeast"/>
          <w:jc w:val="center"/>
        </w:trPr>
        <w:tc>
          <w:tcPr>
            <w:tcW w:w="1281" w:type="dxa"/>
            <w:vMerge w:val="continue"/>
            <w:tcBorders>
              <w:left w:val="single" w:color="000000" w:sz="4" w:space="0"/>
              <w:right w:val="single" w:color="000000" w:sz="4" w:space="0"/>
            </w:tcBorders>
            <w:noWrap w:val="0"/>
            <w:tcMar>
              <w:top w:w="10" w:type="dxa"/>
              <w:left w:w="10" w:type="dxa"/>
              <w:right w:w="10" w:type="dxa"/>
            </w:tcMar>
            <w:vAlign w:val="center"/>
          </w:tcPr>
          <w:p w14:paraId="2E8237E5">
            <w:pPr>
              <w:widowControl/>
              <w:jc w:val="left"/>
              <w:textAlignment w:val="center"/>
              <w:rPr>
                <w:rFonts w:hint="eastAsia" w:ascii="宋体" w:hAnsi="宋体" w:eastAsia="宋体" w:cs="宋体"/>
                <w:b/>
                <w:bCs/>
                <w:color w:val="auto"/>
                <w:sz w:val="24"/>
                <w:szCs w:val="24"/>
                <w:highlight w:val="none"/>
                <w:lang w:val="en-US" w:eastAsia="zh-CN"/>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29A27B8">
            <w:pP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rPr>
              <w:t>5.4景观提升工作备案（含提升设计方案，现场施工进度情况等，图文并茂，照片需留时间水印）</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F90534C">
            <w:pPr>
              <w:ind w:firstLine="240" w:firstLineChars="100"/>
              <w:jc w:val="center"/>
              <w:rPr>
                <w:rFonts w:hint="eastAsia" w:ascii="宋体" w:hAnsi="宋体" w:eastAsia="宋体" w:cs="宋体"/>
                <w:bCs/>
                <w:color w:val="auto"/>
                <w:sz w:val="24"/>
                <w:szCs w:val="24"/>
                <w:highlight w:val="none"/>
              </w:rPr>
            </w:pPr>
          </w:p>
        </w:tc>
      </w:tr>
      <w:tr w14:paraId="1E483EF9">
        <w:tblPrEx>
          <w:tblCellMar>
            <w:top w:w="0" w:type="dxa"/>
            <w:left w:w="0" w:type="dxa"/>
            <w:bottom w:w="0" w:type="dxa"/>
            <w:right w:w="0" w:type="dxa"/>
          </w:tblCellMar>
        </w:tblPrEx>
        <w:trPr>
          <w:trHeight w:val="60" w:hRule="atLeast"/>
          <w:jc w:val="center"/>
        </w:trPr>
        <w:tc>
          <w:tcPr>
            <w:tcW w:w="1281" w:type="dxa"/>
            <w:vMerge w:val="continue"/>
            <w:tcBorders>
              <w:left w:val="single" w:color="000000" w:sz="4" w:space="0"/>
              <w:right w:val="single" w:color="000000" w:sz="4" w:space="0"/>
            </w:tcBorders>
            <w:noWrap w:val="0"/>
            <w:tcMar>
              <w:top w:w="10" w:type="dxa"/>
              <w:left w:w="10" w:type="dxa"/>
              <w:right w:w="10" w:type="dxa"/>
            </w:tcMar>
            <w:vAlign w:val="center"/>
          </w:tcPr>
          <w:p w14:paraId="39AC4BA7">
            <w:pPr>
              <w:widowControl/>
              <w:jc w:val="left"/>
              <w:textAlignment w:val="center"/>
              <w:rPr>
                <w:rFonts w:hint="eastAsia" w:ascii="宋体" w:hAnsi="宋体" w:eastAsia="宋体" w:cs="宋体"/>
                <w:b/>
                <w:bCs/>
                <w:color w:val="auto"/>
                <w:sz w:val="24"/>
                <w:szCs w:val="24"/>
                <w:highlight w:val="none"/>
                <w:lang w:val="en-US" w:eastAsia="zh-CN"/>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AFD61C9">
            <w:pP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rPr>
              <w:t>5.5“特色植物”管养工作备案（专项植物养护工作操作，图文并茂，照片需留时间水印）</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1FC1F06">
            <w:pPr>
              <w:ind w:firstLine="240" w:firstLineChars="100"/>
              <w:jc w:val="center"/>
              <w:rPr>
                <w:rFonts w:hint="eastAsia" w:ascii="宋体" w:hAnsi="宋体" w:eastAsia="宋体" w:cs="宋体"/>
                <w:bCs/>
                <w:color w:val="auto"/>
                <w:sz w:val="24"/>
                <w:szCs w:val="24"/>
                <w:highlight w:val="none"/>
              </w:rPr>
            </w:pPr>
          </w:p>
        </w:tc>
      </w:tr>
      <w:tr w14:paraId="21B293EA">
        <w:tblPrEx>
          <w:tblCellMar>
            <w:top w:w="0" w:type="dxa"/>
            <w:left w:w="0" w:type="dxa"/>
            <w:bottom w:w="0" w:type="dxa"/>
            <w:right w:w="0" w:type="dxa"/>
          </w:tblCellMar>
        </w:tblPrEx>
        <w:trPr>
          <w:trHeight w:val="60" w:hRule="atLeast"/>
          <w:jc w:val="center"/>
        </w:trPr>
        <w:tc>
          <w:tcPr>
            <w:tcW w:w="1281" w:type="dxa"/>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14:paraId="68E4549A">
            <w:pPr>
              <w:widowControl/>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.工作整改记录</w:t>
            </w: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859BD5C">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6</w:t>
            </w:r>
            <w:r>
              <w:rPr>
                <w:rFonts w:hint="eastAsia" w:ascii="宋体" w:hAnsi="宋体" w:eastAsia="宋体" w:cs="宋体"/>
                <w:bCs/>
                <w:color w:val="auto"/>
                <w:sz w:val="24"/>
                <w:szCs w:val="24"/>
                <w:highlight w:val="none"/>
              </w:rPr>
              <w:t>.1针对</w:t>
            </w:r>
            <w:r>
              <w:rPr>
                <w:rFonts w:hint="eastAsia" w:ascii="宋体" w:hAnsi="宋体" w:eastAsia="宋体" w:cs="宋体"/>
                <w:bCs/>
                <w:color w:val="auto"/>
                <w:sz w:val="24"/>
                <w:szCs w:val="24"/>
                <w:highlight w:val="none"/>
                <w:lang w:eastAsia="zh-CN"/>
              </w:rPr>
              <w:t>企业日常自查</w:t>
            </w:r>
            <w:r>
              <w:rPr>
                <w:rFonts w:hint="eastAsia" w:ascii="宋体" w:hAnsi="宋体" w:eastAsia="宋体" w:cs="宋体"/>
                <w:bCs/>
                <w:color w:val="auto"/>
                <w:sz w:val="24"/>
                <w:szCs w:val="24"/>
                <w:highlight w:val="none"/>
              </w:rPr>
              <w:t>问题记录备案及整改前后对比资料备案</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C73EA2A">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2A2FD9CF">
        <w:tblPrEx>
          <w:tblCellMar>
            <w:top w:w="0" w:type="dxa"/>
            <w:left w:w="0" w:type="dxa"/>
            <w:bottom w:w="0" w:type="dxa"/>
            <w:right w:w="0" w:type="dxa"/>
          </w:tblCellMar>
        </w:tblPrEx>
        <w:trPr>
          <w:trHeight w:val="60" w:hRule="atLeast"/>
          <w:jc w:val="center"/>
        </w:trPr>
        <w:tc>
          <w:tcPr>
            <w:tcW w:w="1281" w:type="dxa"/>
            <w:vMerge w:val="continue"/>
            <w:tcBorders>
              <w:left w:val="single" w:color="000000" w:sz="4" w:space="0"/>
              <w:right w:val="single" w:color="000000" w:sz="4" w:space="0"/>
            </w:tcBorders>
            <w:noWrap w:val="0"/>
            <w:tcMar>
              <w:top w:w="10" w:type="dxa"/>
              <w:left w:w="10" w:type="dxa"/>
              <w:right w:w="10" w:type="dxa"/>
            </w:tcMar>
            <w:vAlign w:val="center"/>
          </w:tcPr>
          <w:p w14:paraId="58374BAB">
            <w:pPr>
              <w:jc w:val="center"/>
              <w:rPr>
                <w:rFonts w:hint="eastAsia" w:ascii="宋体" w:hAnsi="宋体" w:eastAsia="宋体" w:cs="宋体"/>
                <w:b/>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654F18D">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6</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针对</w:t>
            </w:r>
            <w:r>
              <w:rPr>
                <w:rFonts w:hint="eastAsia" w:ascii="宋体" w:hAnsi="宋体" w:eastAsia="宋体" w:cs="宋体"/>
                <w:bCs/>
                <w:color w:val="auto"/>
                <w:sz w:val="24"/>
                <w:szCs w:val="24"/>
                <w:highlight w:val="none"/>
                <w:lang w:eastAsia="zh-CN"/>
              </w:rPr>
              <w:t>采购人各类</w:t>
            </w:r>
            <w:r>
              <w:rPr>
                <w:rFonts w:hint="eastAsia" w:ascii="宋体" w:hAnsi="宋体" w:eastAsia="宋体" w:cs="宋体"/>
                <w:bCs/>
                <w:color w:val="auto"/>
                <w:sz w:val="24"/>
                <w:szCs w:val="24"/>
                <w:highlight w:val="none"/>
              </w:rPr>
              <w:t>检查问题记录备案及整改前后对比资料备案</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FD9F488">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17B08E0B">
        <w:tblPrEx>
          <w:tblCellMar>
            <w:top w:w="0" w:type="dxa"/>
            <w:left w:w="0" w:type="dxa"/>
            <w:bottom w:w="0" w:type="dxa"/>
            <w:right w:w="0" w:type="dxa"/>
          </w:tblCellMar>
        </w:tblPrEx>
        <w:trPr>
          <w:trHeight w:val="60" w:hRule="atLeast"/>
          <w:jc w:val="center"/>
        </w:trPr>
        <w:tc>
          <w:tcPr>
            <w:tcW w:w="1281" w:type="dxa"/>
            <w:vMerge w:val="continue"/>
            <w:tcBorders>
              <w:left w:val="single" w:color="000000" w:sz="4" w:space="0"/>
              <w:bottom w:val="single" w:color="000000" w:sz="4" w:space="0"/>
              <w:right w:val="single" w:color="000000" w:sz="4" w:space="0"/>
            </w:tcBorders>
            <w:noWrap w:val="0"/>
            <w:tcMar>
              <w:top w:w="10" w:type="dxa"/>
              <w:left w:w="10" w:type="dxa"/>
              <w:right w:w="10" w:type="dxa"/>
            </w:tcMar>
            <w:vAlign w:val="center"/>
          </w:tcPr>
          <w:p w14:paraId="70297557">
            <w:pPr>
              <w:jc w:val="center"/>
              <w:rPr>
                <w:rFonts w:hint="eastAsia" w:ascii="宋体" w:hAnsi="宋体" w:eastAsia="宋体" w:cs="宋体"/>
                <w:b/>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E006590">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6</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上级或相关部门专项检查、游客投诉、媒体曝光等问题记录及整改情况</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C3AAD28">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07501AD0">
        <w:tblPrEx>
          <w:tblCellMar>
            <w:top w:w="0" w:type="dxa"/>
            <w:left w:w="0" w:type="dxa"/>
            <w:bottom w:w="0" w:type="dxa"/>
            <w:right w:w="0" w:type="dxa"/>
          </w:tblCellMar>
        </w:tblPrEx>
        <w:trPr>
          <w:trHeight w:val="60" w:hRule="atLeast"/>
          <w:jc w:val="center"/>
        </w:trPr>
        <w:tc>
          <w:tcPr>
            <w:tcW w:w="1281"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5892930C">
            <w:pPr>
              <w:widowControl/>
              <w:jc w:val="left"/>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val="en-US" w:eastAsia="zh-CN"/>
              </w:rPr>
              <w:t>7</w:t>
            </w:r>
            <w:r>
              <w:rPr>
                <w:rFonts w:hint="eastAsia" w:ascii="宋体" w:hAnsi="宋体" w:eastAsia="宋体" w:cs="宋体"/>
                <w:b/>
                <w:bCs/>
                <w:color w:val="auto"/>
                <w:sz w:val="24"/>
                <w:szCs w:val="24"/>
                <w:highlight w:val="none"/>
              </w:rPr>
              <w:t>.经费支付情况</w:t>
            </w:r>
          </w:p>
        </w:tc>
        <w:tc>
          <w:tcPr>
            <w:tcW w:w="4646"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1AE309C7">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rPr>
              <w:t>.1按合同要求，提交付款资料和申请</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9C48CCE">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7C321752">
        <w:tblPrEx>
          <w:tblCellMar>
            <w:top w:w="0" w:type="dxa"/>
            <w:left w:w="0" w:type="dxa"/>
            <w:bottom w:w="0" w:type="dxa"/>
            <w:right w:w="0" w:type="dxa"/>
          </w:tblCellMar>
        </w:tblPrEx>
        <w:trPr>
          <w:trHeight w:val="60" w:hRule="atLeast"/>
          <w:jc w:val="center"/>
        </w:trPr>
        <w:tc>
          <w:tcPr>
            <w:tcW w:w="1281" w:type="dxa"/>
            <w:vMerge w:val="restart"/>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7D7633C5">
            <w:pPr>
              <w:widowControl/>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8</w:t>
            </w:r>
            <w:r>
              <w:rPr>
                <w:rFonts w:hint="eastAsia" w:ascii="宋体" w:hAnsi="宋体" w:eastAsia="宋体" w:cs="宋体"/>
                <w:b/>
                <w:bCs/>
                <w:color w:val="auto"/>
                <w:sz w:val="24"/>
                <w:szCs w:val="24"/>
                <w:highlight w:val="none"/>
              </w:rPr>
              <w:t>.游客服务</w:t>
            </w:r>
          </w:p>
        </w:tc>
        <w:tc>
          <w:tcPr>
            <w:tcW w:w="4646"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top"/>
          </w:tcPr>
          <w:p w14:paraId="671D4343">
            <w:pPr>
              <w:jc w:val="lef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8.1便民用品使用记录表</w:t>
            </w:r>
          </w:p>
        </w:tc>
        <w:tc>
          <w:tcPr>
            <w:tcW w:w="2720" w:type="dxa"/>
            <w:tcBorders>
              <w:top w:val="single" w:color="000000" w:sz="4" w:space="0"/>
              <w:left w:val="single" w:color="auto" w:sz="4" w:space="0"/>
              <w:bottom w:val="single" w:color="000000" w:sz="4" w:space="0"/>
              <w:right w:val="single" w:color="000000" w:sz="4" w:space="0"/>
            </w:tcBorders>
            <w:noWrap w:val="0"/>
            <w:tcMar>
              <w:top w:w="10" w:type="dxa"/>
              <w:left w:w="10" w:type="dxa"/>
              <w:right w:w="10" w:type="dxa"/>
            </w:tcMar>
            <w:vAlign w:val="center"/>
          </w:tcPr>
          <w:p w14:paraId="75838CC9">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5D638F5C">
        <w:tblPrEx>
          <w:tblCellMar>
            <w:top w:w="0" w:type="dxa"/>
            <w:left w:w="0" w:type="dxa"/>
            <w:bottom w:w="0" w:type="dxa"/>
            <w:right w:w="0" w:type="dxa"/>
          </w:tblCellMar>
        </w:tblPrEx>
        <w:trPr>
          <w:trHeight w:val="60" w:hRule="atLeast"/>
          <w:jc w:val="center"/>
        </w:trPr>
        <w:tc>
          <w:tcPr>
            <w:tcW w:w="1281" w:type="dxa"/>
            <w:vMerge w:val="continue"/>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4290498A">
            <w:pPr>
              <w:widowControl/>
              <w:jc w:val="left"/>
              <w:textAlignment w:val="center"/>
              <w:rPr>
                <w:rFonts w:hint="eastAsia" w:ascii="宋体" w:hAnsi="宋体" w:eastAsia="宋体" w:cs="宋体"/>
                <w:b/>
                <w:bCs/>
                <w:color w:val="auto"/>
                <w:sz w:val="24"/>
                <w:szCs w:val="24"/>
                <w:highlight w:val="none"/>
              </w:rPr>
            </w:pPr>
          </w:p>
        </w:tc>
        <w:tc>
          <w:tcPr>
            <w:tcW w:w="4646"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top"/>
          </w:tcPr>
          <w:p w14:paraId="661835D5">
            <w:pPr>
              <w:jc w:val="left"/>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rPr>
              <w:t>8</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游客投诉建议处理表</w:t>
            </w:r>
          </w:p>
        </w:tc>
        <w:tc>
          <w:tcPr>
            <w:tcW w:w="2720" w:type="dxa"/>
            <w:tcBorders>
              <w:top w:val="single" w:color="000000" w:sz="4" w:space="0"/>
              <w:left w:val="single" w:color="auto" w:sz="4" w:space="0"/>
              <w:bottom w:val="single" w:color="000000" w:sz="4" w:space="0"/>
              <w:right w:val="single" w:color="000000" w:sz="4" w:space="0"/>
            </w:tcBorders>
            <w:noWrap w:val="0"/>
            <w:tcMar>
              <w:top w:w="10" w:type="dxa"/>
              <w:left w:w="10" w:type="dxa"/>
              <w:right w:w="10" w:type="dxa"/>
            </w:tcMar>
            <w:vAlign w:val="center"/>
          </w:tcPr>
          <w:p w14:paraId="4215F172">
            <w:pPr>
              <w:ind w:firstLine="240" w:firstLineChars="100"/>
              <w:jc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rPr>
              <w:t>/</w:t>
            </w:r>
          </w:p>
        </w:tc>
      </w:tr>
      <w:tr w14:paraId="58BE751E">
        <w:tblPrEx>
          <w:tblCellMar>
            <w:top w:w="0" w:type="dxa"/>
            <w:left w:w="0" w:type="dxa"/>
            <w:bottom w:w="0" w:type="dxa"/>
            <w:right w:w="0" w:type="dxa"/>
          </w:tblCellMar>
        </w:tblPrEx>
        <w:trPr>
          <w:trHeight w:val="60" w:hRule="atLeast"/>
          <w:jc w:val="center"/>
        </w:trPr>
        <w:tc>
          <w:tcPr>
            <w:tcW w:w="1281" w:type="dxa"/>
            <w:vMerge w:val="continue"/>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4751879F">
            <w:pPr>
              <w:widowControl/>
              <w:jc w:val="left"/>
              <w:textAlignment w:val="center"/>
              <w:rPr>
                <w:rFonts w:hint="eastAsia" w:ascii="宋体" w:hAnsi="宋体" w:eastAsia="宋体" w:cs="宋体"/>
                <w:b/>
                <w:bCs/>
                <w:color w:val="auto"/>
                <w:sz w:val="24"/>
                <w:szCs w:val="24"/>
                <w:highlight w:val="none"/>
              </w:rPr>
            </w:pPr>
          </w:p>
        </w:tc>
        <w:tc>
          <w:tcPr>
            <w:tcW w:w="4646"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top"/>
          </w:tcPr>
          <w:p w14:paraId="1C73331B">
            <w:pPr>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8</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游客服务中心拾物登记表</w:t>
            </w:r>
          </w:p>
        </w:tc>
        <w:tc>
          <w:tcPr>
            <w:tcW w:w="2720" w:type="dxa"/>
            <w:tcBorders>
              <w:top w:val="single" w:color="000000" w:sz="4" w:space="0"/>
              <w:left w:val="single" w:color="auto" w:sz="4" w:space="0"/>
              <w:bottom w:val="single" w:color="000000" w:sz="4" w:space="0"/>
              <w:right w:val="single" w:color="000000" w:sz="4" w:space="0"/>
            </w:tcBorders>
            <w:noWrap w:val="0"/>
            <w:tcMar>
              <w:top w:w="10" w:type="dxa"/>
              <w:left w:w="10" w:type="dxa"/>
              <w:right w:w="10" w:type="dxa"/>
            </w:tcMar>
            <w:vAlign w:val="center"/>
          </w:tcPr>
          <w:p w14:paraId="5EC1EA53">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564A4D2D">
        <w:tblPrEx>
          <w:tblCellMar>
            <w:top w:w="0" w:type="dxa"/>
            <w:left w:w="0" w:type="dxa"/>
            <w:bottom w:w="0" w:type="dxa"/>
            <w:right w:w="0" w:type="dxa"/>
          </w:tblCellMar>
        </w:tblPrEx>
        <w:trPr>
          <w:trHeight w:val="60" w:hRule="atLeast"/>
          <w:jc w:val="center"/>
        </w:trPr>
        <w:tc>
          <w:tcPr>
            <w:tcW w:w="1281" w:type="dxa"/>
            <w:vMerge w:val="continue"/>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128ACAA6">
            <w:pPr>
              <w:widowControl/>
              <w:jc w:val="left"/>
              <w:textAlignment w:val="center"/>
              <w:rPr>
                <w:rFonts w:hint="eastAsia" w:ascii="宋体" w:hAnsi="宋体" w:eastAsia="宋体" w:cs="宋体"/>
                <w:b/>
                <w:bCs/>
                <w:color w:val="auto"/>
                <w:sz w:val="24"/>
                <w:szCs w:val="24"/>
                <w:highlight w:val="none"/>
              </w:rPr>
            </w:pPr>
          </w:p>
        </w:tc>
        <w:tc>
          <w:tcPr>
            <w:tcW w:w="4646"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top"/>
          </w:tcPr>
          <w:p w14:paraId="1689EDDB">
            <w:pPr>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8</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游客服务中心工作记录月报表</w:t>
            </w:r>
          </w:p>
        </w:tc>
        <w:tc>
          <w:tcPr>
            <w:tcW w:w="2720" w:type="dxa"/>
            <w:tcBorders>
              <w:top w:val="single" w:color="000000" w:sz="4" w:space="0"/>
              <w:left w:val="single" w:color="auto" w:sz="4" w:space="0"/>
              <w:bottom w:val="single" w:color="000000" w:sz="4" w:space="0"/>
              <w:right w:val="single" w:color="000000" w:sz="4" w:space="0"/>
            </w:tcBorders>
            <w:noWrap w:val="0"/>
            <w:tcMar>
              <w:top w:w="10" w:type="dxa"/>
              <w:left w:w="10" w:type="dxa"/>
              <w:right w:w="10" w:type="dxa"/>
            </w:tcMar>
            <w:vAlign w:val="center"/>
          </w:tcPr>
          <w:p w14:paraId="05E6B03E">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5FFFD95D">
        <w:tblPrEx>
          <w:tblCellMar>
            <w:top w:w="0" w:type="dxa"/>
            <w:left w:w="0" w:type="dxa"/>
            <w:bottom w:w="0" w:type="dxa"/>
            <w:right w:w="0" w:type="dxa"/>
          </w:tblCellMar>
        </w:tblPrEx>
        <w:trPr>
          <w:trHeight w:val="60" w:hRule="atLeast"/>
          <w:jc w:val="center"/>
        </w:trPr>
        <w:tc>
          <w:tcPr>
            <w:tcW w:w="1281" w:type="dxa"/>
            <w:vMerge w:val="continue"/>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348AB1CE">
            <w:pPr>
              <w:widowControl/>
              <w:jc w:val="left"/>
              <w:textAlignment w:val="center"/>
              <w:rPr>
                <w:rFonts w:hint="eastAsia" w:ascii="宋体" w:hAnsi="宋体" w:eastAsia="宋体" w:cs="宋体"/>
                <w:b/>
                <w:bCs/>
                <w:color w:val="auto"/>
                <w:sz w:val="24"/>
                <w:szCs w:val="24"/>
                <w:highlight w:val="none"/>
              </w:rPr>
            </w:pPr>
          </w:p>
        </w:tc>
        <w:tc>
          <w:tcPr>
            <w:tcW w:w="4646"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top"/>
          </w:tcPr>
          <w:p w14:paraId="0CF2A01C">
            <w:pPr>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8</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rPr>
              <w:t>游客投诉处理流程</w:t>
            </w:r>
          </w:p>
        </w:tc>
        <w:tc>
          <w:tcPr>
            <w:tcW w:w="2720" w:type="dxa"/>
            <w:tcBorders>
              <w:top w:val="single" w:color="000000" w:sz="4" w:space="0"/>
              <w:left w:val="single" w:color="auto" w:sz="4" w:space="0"/>
              <w:bottom w:val="single" w:color="000000" w:sz="4" w:space="0"/>
              <w:right w:val="single" w:color="000000" w:sz="4" w:space="0"/>
            </w:tcBorders>
            <w:noWrap w:val="0"/>
            <w:tcMar>
              <w:top w:w="10" w:type="dxa"/>
              <w:left w:w="10" w:type="dxa"/>
              <w:right w:w="10" w:type="dxa"/>
            </w:tcMar>
            <w:vAlign w:val="center"/>
          </w:tcPr>
          <w:p w14:paraId="6F78C4CF">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51AE5F2E">
        <w:tblPrEx>
          <w:tblCellMar>
            <w:top w:w="0" w:type="dxa"/>
            <w:left w:w="0" w:type="dxa"/>
            <w:bottom w:w="0" w:type="dxa"/>
            <w:right w:w="0" w:type="dxa"/>
          </w:tblCellMar>
        </w:tblPrEx>
        <w:trPr>
          <w:trHeight w:val="60" w:hRule="atLeast"/>
          <w:jc w:val="center"/>
        </w:trPr>
        <w:tc>
          <w:tcPr>
            <w:tcW w:w="1281" w:type="dxa"/>
            <w:vMerge w:val="restart"/>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316EFC88">
            <w:pPr>
              <w:widowControl/>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9</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eastAsia="zh-CN"/>
              </w:rPr>
              <w:t>设施</w:t>
            </w:r>
            <w:r>
              <w:rPr>
                <w:rFonts w:hint="eastAsia" w:ascii="宋体" w:hAnsi="宋体" w:eastAsia="宋体" w:cs="宋体"/>
                <w:b/>
                <w:bCs/>
                <w:color w:val="auto"/>
                <w:sz w:val="24"/>
                <w:szCs w:val="24"/>
                <w:highlight w:val="none"/>
              </w:rPr>
              <w:t>维护</w:t>
            </w:r>
          </w:p>
        </w:tc>
        <w:tc>
          <w:tcPr>
            <w:tcW w:w="4646"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top"/>
          </w:tcPr>
          <w:p w14:paraId="4E2BAA8A">
            <w:pPr>
              <w:jc w:val="left"/>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9</w:t>
            </w: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eastAsia="zh-CN"/>
              </w:rPr>
              <w:t>各类设施</w:t>
            </w:r>
            <w:r>
              <w:rPr>
                <w:rFonts w:hint="eastAsia" w:ascii="宋体" w:hAnsi="宋体" w:eastAsia="宋体" w:cs="宋体"/>
                <w:bCs/>
                <w:color w:val="auto"/>
                <w:sz w:val="24"/>
                <w:szCs w:val="24"/>
                <w:highlight w:val="none"/>
              </w:rPr>
              <w:t>检</w:t>
            </w:r>
            <w:r>
              <w:rPr>
                <w:rFonts w:hint="eastAsia" w:ascii="宋体" w:hAnsi="宋体" w:eastAsia="宋体" w:cs="宋体"/>
                <w:bCs/>
                <w:color w:val="auto"/>
                <w:sz w:val="24"/>
                <w:szCs w:val="24"/>
                <w:highlight w:val="none"/>
                <w:lang w:eastAsia="zh-CN"/>
              </w:rPr>
              <w:t>查</w:t>
            </w:r>
            <w:r>
              <w:rPr>
                <w:rFonts w:hint="eastAsia" w:ascii="宋体" w:hAnsi="宋体" w:eastAsia="宋体" w:cs="宋体"/>
                <w:bCs/>
                <w:color w:val="auto"/>
                <w:sz w:val="24"/>
                <w:szCs w:val="24"/>
                <w:highlight w:val="none"/>
              </w:rPr>
              <w:t>记录</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并按要求填写设施巡检记录表。</w:t>
            </w:r>
          </w:p>
        </w:tc>
        <w:tc>
          <w:tcPr>
            <w:tcW w:w="2720" w:type="dxa"/>
            <w:tcBorders>
              <w:top w:val="single" w:color="000000" w:sz="4" w:space="0"/>
              <w:left w:val="single" w:color="auto" w:sz="4" w:space="0"/>
              <w:bottom w:val="single" w:color="000000" w:sz="4" w:space="0"/>
              <w:right w:val="single" w:color="000000" w:sz="4" w:space="0"/>
            </w:tcBorders>
            <w:noWrap w:val="0"/>
            <w:tcMar>
              <w:top w:w="10" w:type="dxa"/>
              <w:left w:w="10" w:type="dxa"/>
              <w:right w:w="10" w:type="dxa"/>
            </w:tcMar>
            <w:vAlign w:val="center"/>
          </w:tcPr>
          <w:p w14:paraId="0238BB50">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78317FBB">
        <w:tblPrEx>
          <w:tblCellMar>
            <w:top w:w="0" w:type="dxa"/>
            <w:left w:w="0" w:type="dxa"/>
            <w:bottom w:w="0" w:type="dxa"/>
            <w:right w:w="0" w:type="dxa"/>
          </w:tblCellMar>
        </w:tblPrEx>
        <w:trPr>
          <w:trHeight w:val="274" w:hRule="atLeast"/>
          <w:jc w:val="center"/>
        </w:trPr>
        <w:tc>
          <w:tcPr>
            <w:tcW w:w="1281" w:type="dxa"/>
            <w:vMerge w:val="continue"/>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59B54C8A">
            <w:pPr>
              <w:widowControl/>
              <w:jc w:val="left"/>
              <w:textAlignment w:val="center"/>
              <w:rPr>
                <w:rFonts w:hint="eastAsia" w:ascii="宋体" w:hAnsi="宋体" w:eastAsia="宋体" w:cs="宋体"/>
                <w:b/>
                <w:bCs/>
                <w:color w:val="auto"/>
                <w:sz w:val="24"/>
                <w:szCs w:val="24"/>
                <w:highlight w:val="none"/>
              </w:rPr>
            </w:pPr>
          </w:p>
        </w:tc>
        <w:tc>
          <w:tcPr>
            <w:tcW w:w="4646"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top"/>
          </w:tcPr>
          <w:p w14:paraId="54C9ADC0">
            <w:pPr>
              <w:jc w:val="left"/>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rPr>
              <w:t>9</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lang w:eastAsia="zh-CN"/>
              </w:rPr>
              <w:t>设施维护</w:t>
            </w:r>
            <w:r>
              <w:rPr>
                <w:rFonts w:hint="eastAsia" w:ascii="宋体" w:hAnsi="宋体" w:eastAsia="宋体" w:cs="宋体"/>
                <w:bCs/>
                <w:color w:val="auto"/>
                <w:sz w:val="24"/>
                <w:szCs w:val="24"/>
                <w:highlight w:val="none"/>
              </w:rPr>
              <w:t>处理</w:t>
            </w:r>
            <w:r>
              <w:rPr>
                <w:rFonts w:hint="eastAsia" w:ascii="宋体" w:hAnsi="宋体" w:eastAsia="宋体" w:cs="宋体"/>
                <w:bCs/>
                <w:color w:val="auto"/>
                <w:sz w:val="24"/>
                <w:szCs w:val="24"/>
                <w:highlight w:val="none"/>
                <w:lang w:eastAsia="zh-CN"/>
              </w:rPr>
              <w:t>记录</w:t>
            </w:r>
            <w:r>
              <w:rPr>
                <w:rFonts w:hint="eastAsia" w:ascii="宋体" w:hAnsi="宋体" w:eastAsia="宋体" w:cs="宋体"/>
                <w:bCs/>
                <w:color w:val="auto"/>
                <w:sz w:val="24"/>
                <w:szCs w:val="24"/>
                <w:highlight w:val="none"/>
              </w:rPr>
              <w:t>（维护前、中、后对比照片，照片需留时间水印）</w:t>
            </w:r>
          </w:p>
        </w:tc>
        <w:tc>
          <w:tcPr>
            <w:tcW w:w="2720" w:type="dxa"/>
            <w:tcBorders>
              <w:top w:val="single" w:color="000000" w:sz="4" w:space="0"/>
              <w:left w:val="single" w:color="auto" w:sz="4" w:space="0"/>
              <w:bottom w:val="single" w:color="000000" w:sz="4" w:space="0"/>
              <w:right w:val="single" w:color="000000" w:sz="4" w:space="0"/>
            </w:tcBorders>
            <w:noWrap w:val="0"/>
            <w:tcMar>
              <w:top w:w="10" w:type="dxa"/>
              <w:left w:w="10" w:type="dxa"/>
              <w:right w:w="10" w:type="dxa"/>
            </w:tcMar>
            <w:vAlign w:val="center"/>
          </w:tcPr>
          <w:p w14:paraId="17C1F910">
            <w:pPr>
              <w:ind w:firstLine="240" w:firstLineChars="100"/>
              <w:jc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rPr>
              <w:t>/</w:t>
            </w:r>
          </w:p>
        </w:tc>
      </w:tr>
      <w:tr w14:paraId="44EFF336">
        <w:tblPrEx>
          <w:tblCellMar>
            <w:top w:w="0" w:type="dxa"/>
            <w:left w:w="0" w:type="dxa"/>
            <w:bottom w:w="0" w:type="dxa"/>
            <w:right w:w="0" w:type="dxa"/>
          </w:tblCellMar>
        </w:tblPrEx>
        <w:trPr>
          <w:trHeight w:val="315" w:hRule="atLeast"/>
          <w:jc w:val="center"/>
        </w:trPr>
        <w:tc>
          <w:tcPr>
            <w:tcW w:w="1281" w:type="dxa"/>
            <w:vMerge w:val="restart"/>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196B5446">
            <w:pPr>
              <w:widowControl/>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10</w:t>
            </w:r>
            <w:r>
              <w:rPr>
                <w:rFonts w:hint="eastAsia" w:ascii="宋体" w:hAnsi="宋体" w:eastAsia="宋体" w:cs="宋体"/>
                <w:b/>
                <w:bCs/>
                <w:color w:val="auto"/>
                <w:sz w:val="24"/>
                <w:szCs w:val="24"/>
                <w:highlight w:val="none"/>
              </w:rPr>
              <w:t>.节日氛围营造</w:t>
            </w:r>
          </w:p>
        </w:tc>
        <w:tc>
          <w:tcPr>
            <w:tcW w:w="4646"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top"/>
          </w:tcPr>
          <w:p w14:paraId="4900FB64">
            <w:pPr>
              <w:jc w:val="left"/>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rPr>
              <w:t>10</w:t>
            </w: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eastAsia="zh-CN"/>
              </w:rPr>
              <w:t>节日氛围布置</w:t>
            </w:r>
            <w:r>
              <w:rPr>
                <w:rFonts w:hint="eastAsia" w:ascii="宋体" w:hAnsi="宋体" w:eastAsia="宋体" w:cs="宋体"/>
                <w:bCs/>
                <w:color w:val="auto"/>
                <w:sz w:val="24"/>
                <w:szCs w:val="24"/>
                <w:highlight w:val="none"/>
              </w:rPr>
              <w:t>方案的相关资料</w:t>
            </w:r>
          </w:p>
        </w:tc>
        <w:tc>
          <w:tcPr>
            <w:tcW w:w="2720" w:type="dxa"/>
            <w:tcBorders>
              <w:top w:val="single" w:color="000000" w:sz="4" w:space="0"/>
              <w:left w:val="single" w:color="auto" w:sz="4" w:space="0"/>
              <w:bottom w:val="single" w:color="000000" w:sz="4" w:space="0"/>
              <w:right w:val="single" w:color="000000" w:sz="4" w:space="0"/>
            </w:tcBorders>
            <w:noWrap w:val="0"/>
            <w:tcMar>
              <w:top w:w="10" w:type="dxa"/>
              <w:left w:w="10" w:type="dxa"/>
              <w:right w:w="10" w:type="dxa"/>
            </w:tcMar>
            <w:vAlign w:val="center"/>
          </w:tcPr>
          <w:p w14:paraId="68C81BA2">
            <w:pPr>
              <w:ind w:firstLine="240" w:firstLineChars="100"/>
              <w:jc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rPr>
              <w:t>/</w:t>
            </w:r>
          </w:p>
        </w:tc>
      </w:tr>
      <w:tr w14:paraId="33D57087">
        <w:tblPrEx>
          <w:tblCellMar>
            <w:top w:w="0" w:type="dxa"/>
            <w:left w:w="0" w:type="dxa"/>
            <w:bottom w:w="0" w:type="dxa"/>
            <w:right w:w="0" w:type="dxa"/>
          </w:tblCellMar>
        </w:tblPrEx>
        <w:trPr>
          <w:trHeight w:val="315" w:hRule="atLeast"/>
          <w:jc w:val="center"/>
        </w:trPr>
        <w:tc>
          <w:tcPr>
            <w:tcW w:w="1281" w:type="dxa"/>
            <w:vMerge w:val="continue"/>
            <w:tcBorders>
              <w:top w:val="single" w:color="auto" w:sz="4" w:space="0"/>
              <w:left w:val="single" w:color="auto" w:sz="4" w:space="0"/>
              <w:bottom w:val="single" w:color="000000" w:sz="4" w:space="0"/>
              <w:right w:val="single" w:color="000000" w:sz="4" w:space="0"/>
            </w:tcBorders>
            <w:noWrap w:val="0"/>
            <w:tcMar>
              <w:top w:w="10" w:type="dxa"/>
              <w:left w:w="10" w:type="dxa"/>
              <w:right w:w="10" w:type="dxa"/>
            </w:tcMar>
            <w:vAlign w:val="center"/>
          </w:tcPr>
          <w:p w14:paraId="1813B889">
            <w:pPr>
              <w:widowControl/>
              <w:jc w:val="left"/>
              <w:textAlignment w:val="center"/>
              <w:rPr>
                <w:rFonts w:hint="eastAsia" w:ascii="宋体" w:hAnsi="宋体" w:eastAsia="宋体" w:cs="宋体"/>
                <w:b/>
                <w:bCs/>
                <w:color w:val="auto"/>
                <w:sz w:val="24"/>
                <w:szCs w:val="24"/>
                <w:highlight w:val="none"/>
              </w:rPr>
            </w:pPr>
          </w:p>
        </w:tc>
        <w:tc>
          <w:tcPr>
            <w:tcW w:w="4646" w:type="dxa"/>
            <w:tcBorders>
              <w:top w:val="single" w:color="auto" w:sz="4" w:space="0"/>
              <w:left w:val="single" w:color="000000" w:sz="4" w:space="0"/>
              <w:bottom w:val="single" w:color="000000" w:sz="4" w:space="0"/>
              <w:right w:val="single" w:color="000000" w:sz="4" w:space="0"/>
            </w:tcBorders>
            <w:noWrap w:val="0"/>
            <w:tcMar>
              <w:top w:w="10" w:type="dxa"/>
              <w:left w:w="10" w:type="dxa"/>
              <w:right w:w="10" w:type="dxa"/>
            </w:tcMar>
            <w:vAlign w:val="top"/>
          </w:tcPr>
          <w:p w14:paraId="73065DD6">
            <w:pPr>
              <w:jc w:val="left"/>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rPr>
              <w:t>10</w:t>
            </w:r>
            <w:r>
              <w:rPr>
                <w:rFonts w:hint="eastAsia" w:ascii="宋体" w:hAnsi="宋体" w:eastAsia="宋体" w:cs="宋体"/>
                <w:bCs/>
                <w:color w:val="auto"/>
                <w:sz w:val="24"/>
                <w:szCs w:val="24"/>
                <w:highlight w:val="none"/>
              </w:rPr>
              <w:t>.2开展</w:t>
            </w:r>
            <w:r>
              <w:rPr>
                <w:rFonts w:hint="eastAsia" w:ascii="宋体" w:hAnsi="宋体" w:eastAsia="宋体" w:cs="宋体"/>
                <w:bCs/>
                <w:color w:val="auto"/>
                <w:sz w:val="24"/>
                <w:szCs w:val="24"/>
                <w:highlight w:val="none"/>
                <w:lang w:eastAsia="zh-CN"/>
              </w:rPr>
              <w:t>节日</w:t>
            </w:r>
            <w:r>
              <w:rPr>
                <w:rFonts w:hint="eastAsia" w:ascii="宋体" w:hAnsi="宋体" w:eastAsia="宋体" w:cs="宋体"/>
                <w:bCs/>
                <w:color w:val="auto"/>
                <w:sz w:val="24"/>
                <w:szCs w:val="24"/>
                <w:highlight w:val="none"/>
              </w:rPr>
              <w:t>氛围布置的影像资料</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7B77143">
            <w:pPr>
              <w:ind w:firstLine="240" w:firstLineChars="100"/>
              <w:jc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rPr>
              <w:t>/</w:t>
            </w:r>
          </w:p>
        </w:tc>
      </w:tr>
      <w:tr w14:paraId="7174AFA8">
        <w:tblPrEx>
          <w:tblCellMar>
            <w:top w:w="0" w:type="dxa"/>
            <w:left w:w="0" w:type="dxa"/>
            <w:bottom w:w="0" w:type="dxa"/>
            <w:right w:w="0" w:type="dxa"/>
          </w:tblCellMar>
        </w:tblPrEx>
        <w:trPr>
          <w:trHeight w:val="60" w:hRule="atLeast"/>
          <w:jc w:val="center"/>
        </w:trPr>
        <w:tc>
          <w:tcPr>
            <w:tcW w:w="1281" w:type="dxa"/>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14:paraId="37622181">
            <w:pPr>
              <w:widowControl/>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11</w:t>
            </w:r>
            <w:r>
              <w:rPr>
                <w:rFonts w:hint="eastAsia" w:ascii="宋体" w:hAnsi="宋体" w:eastAsia="宋体" w:cs="宋体"/>
                <w:b/>
                <w:bCs/>
                <w:color w:val="auto"/>
                <w:sz w:val="24"/>
                <w:szCs w:val="24"/>
                <w:highlight w:val="none"/>
              </w:rPr>
              <w:t>.应急预案体系</w:t>
            </w: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C73B338">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.1公园综合应急预案</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06BFB5E">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239AA75F">
        <w:tblPrEx>
          <w:tblCellMar>
            <w:top w:w="0" w:type="dxa"/>
            <w:left w:w="0" w:type="dxa"/>
            <w:bottom w:w="0" w:type="dxa"/>
            <w:right w:w="0" w:type="dxa"/>
          </w:tblCellMar>
        </w:tblPrEx>
        <w:trPr>
          <w:trHeight w:val="60" w:hRule="atLeast"/>
          <w:jc w:val="center"/>
        </w:trPr>
        <w:tc>
          <w:tcPr>
            <w:tcW w:w="1281" w:type="dxa"/>
            <w:vMerge w:val="continue"/>
            <w:tcBorders>
              <w:left w:val="single" w:color="000000" w:sz="4" w:space="0"/>
              <w:right w:val="single" w:color="000000" w:sz="4" w:space="0"/>
            </w:tcBorders>
            <w:noWrap w:val="0"/>
            <w:tcMar>
              <w:top w:w="10" w:type="dxa"/>
              <w:left w:w="10" w:type="dxa"/>
              <w:right w:w="10" w:type="dxa"/>
            </w:tcMar>
            <w:vAlign w:val="center"/>
          </w:tcPr>
          <w:p w14:paraId="7E9396AA">
            <w:pPr>
              <w:jc w:val="center"/>
              <w:rPr>
                <w:rFonts w:hint="eastAsia" w:ascii="宋体" w:hAnsi="宋体" w:eastAsia="宋体" w:cs="宋体"/>
                <w:b/>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E8EBEFE">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eastAsia="zh-CN"/>
              </w:rPr>
              <w:t>防台防汛</w:t>
            </w:r>
            <w:r>
              <w:rPr>
                <w:rFonts w:hint="eastAsia" w:ascii="宋体" w:hAnsi="宋体" w:eastAsia="宋体" w:cs="宋体"/>
                <w:bCs/>
                <w:color w:val="auto"/>
                <w:sz w:val="24"/>
                <w:szCs w:val="24"/>
                <w:highlight w:val="none"/>
              </w:rPr>
              <w:t>专项预案</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BBFE57B">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06420E76">
        <w:tblPrEx>
          <w:tblCellMar>
            <w:top w:w="0" w:type="dxa"/>
            <w:left w:w="0" w:type="dxa"/>
            <w:bottom w:w="0" w:type="dxa"/>
            <w:right w:w="0" w:type="dxa"/>
          </w:tblCellMar>
        </w:tblPrEx>
        <w:trPr>
          <w:trHeight w:val="324" w:hRule="atLeast"/>
          <w:jc w:val="center"/>
        </w:trPr>
        <w:tc>
          <w:tcPr>
            <w:tcW w:w="1281" w:type="dxa"/>
            <w:vMerge w:val="continue"/>
            <w:tcBorders>
              <w:left w:val="single" w:color="000000" w:sz="4" w:space="0"/>
              <w:right w:val="single" w:color="000000" w:sz="4" w:space="0"/>
            </w:tcBorders>
            <w:noWrap w:val="0"/>
            <w:tcMar>
              <w:top w:w="10" w:type="dxa"/>
              <w:left w:w="10" w:type="dxa"/>
              <w:right w:w="10" w:type="dxa"/>
            </w:tcMar>
            <w:vAlign w:val="center"/>
          </w:tcPr>
          <w:p w14:paraId="5671E1D3">
            <w:pPr>
              <w:jc w:val="center"/>
              <w:rPr>
                <w:rFonts w:hint="eastAsia" w:ascii="宋体" w:hAnsi="宋体" w:eastAsia="宋体" w:cs="宋体"/>
                <w:b/>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E7EC447">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eastAsia="zh-CN"/>
              </w:rPr>
              <w:t>雨雪冰冻</w:t>
            </w:r>
            <w:r>
              <w:rPr>
                <w:rFonts w:hint="eastAsia" w:ascii="宋体" w:hAnsi="宋体" w:eastAsia="宋体" w:cs="宋体"/>
                <w:bCs/>
                <w:color w:val="auto"/>
                <w:sz w:val="24"/>
                <w:szCs w:val="24"/>
                <w:highlight w:val="none"/>
              </w:rPr>
              <w:t>专项预案</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054F1C5">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61FF7B9A">
        <w:tblPrEx>
          <w:tblCellMar>
            <w:top w:w="0" w:type="dxa"/>
            <w:left w:w="0" w:type="dxa"/>
            <w:bottom w:w="0" w:type="dxa"/>
            <w:right w:w="0" w:type="dxa"/>
          </w:tblCellMar>
        </w:tblPrEx>
        <w:trPr>
          <w:trHeight w:val="60" w:hRule="atLeast"/>
          <w:jc w:val="center"/>
        </w:trPr>
        <w:tc>
          <w:tcPr>
            <w:tcW w:w="1281" w:type="dxa"/>
            <w:vMerge w:val="continue"/>
            <w:tcBorders>
              <w:left w:val="single" w:color="000000" w:sz="4" w:space="0"/>
              <w:right w:val="single" w:color="000000" w:sz="4" w:space="0"/>
            </w:tcBorders>
            <w:noWrap w:val="0"/>
            <w:tcMar>
              <w:top w:w="10" w:type="dxa"/>
              <w:left w:w="10" w:type="dxa"/>
              <w:right w:w="10" w:type="dxa"/>
            </w:tcMar>
            <w:vAlign w:val="center"/>
          </w:tcPr>
          <w:p w14:paraId="239113CB">
            <w:pPr>
              <w:jc w:val="center"/>
              <w:rPr>
                <w:rFonts w:hint="eastAsia" w:ascii="宋体" w:hAnsi="宋体" w:eastAsia="宋体" w:cs="宋体"/>
                <w:b/>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C3CEBF5">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.4公共卫生专项预案</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03E7700">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75EEB018">
        <w:tblPrEx>
          <w:tblCellMar>
            <w:top w:w="0" w:type="dxa"/>
            <w:left w:w="0" w:type="dxa"/>
            <w:bottom w:w="0" w:type="dxa"/>
            <w:right w:w="0" w:type="dxa"/>
          </w:tblCellMar>
        </w:tblPrEx>
        <w:trPr>
          <w:trHeight w:val="60" w:hRule="atLeast"/>
          <w:jc w:val="center"/>
        </w:trPr>
        <w:tc>
          <w:tcPr>
            <w:tcW w:w="1281" w:type="dxa"/>
            <w:vMerge w:val="continue"/>
            <w:tcBorders>
              <w:left w:val="single" w:color="000000" w:sz="4" w:space="0"/>
              <w:right w:val="single" w:color="000000" w:sz="4" w:space="0"/>
            </w:tcBorders>
            <w:noWrap w:val="0"/>
            <w:tcMar>
              <w:top w:w="10" w:type="dxa"/>
              <w:left w:w="10" w:type="dxa"/>
              <w:right w:w="10" w:type="dxa"/>
            </w:tcMar>
            <w:vAlign w:val="center"/>
          </w:tcPr>
          <w:p w14:paraId="4045F63E">
            <w:pPr>
              <w:jc w:val="center"/>
              <w:rPr>
                <w:rFonts w:hint="eastAsia" w:ascii="宋体" w:hAnsi="宋体" w:eastAsia="宋体" w:cs="宋体"/>
                <w:b/>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DDBFCF6">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.5社会安全专项预案</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7F1179F">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52C1BE47">
        <w:tblPrEx>
          <w:tblCellMar>
            <w:top w:w="0" w:type="dxa"/>
            <w:left w:w="0" w:type="dxa"/>
            <w:bottom w:w="0" w:type="dxa"/>
            <w:right w:w="0" w:type="dxa"/>
          </w:tblCellMar>
        </w:tblPrEx>
        <w:trPr>
          <w:trHeight w:val="60" w:hRule="atLeast"/>
          <w:jc w:val="center"/>
        </w:trPr>
        <w:tc>
          <w:tcPr>
            <w:tcW w:w="1281" w:type="dxa"/>
            <w:vMerge w:val="continue"/>
            <w:tcBorders>
              <w:left w:val="single" w:color="000000" w:sz="4" w:space="0"/>
              <w:bottom w:val="single" w:color="auto" w:sz="4" w:space="0"/>
              <w:right w:val="single" w:color="000000" w:sz="4" w:space="0"/>
            </w:tcBorders>
            <w:noWrap w:val="0"/>
            <w:tcMar>
              <w:top w:w="10" w:type="dxa"/>
              <w:left w:w="10" w:type="dxa"/>
              <w:right w:w="10" w:type="dxa"/>
            </w:tcMar>
            <w:vAlign w:val="center"/>
          </w:tcPr>
          <w:p w14:paraId="262D43E0">
            <w:pPr>
              <w:jc w:val="center"/>
              <w:rPr>
                <w:rFonts w:hint="eastAsia" w:ascii="宋体" w:hAnsi="宋体" w:eastAsia="宋体" w:cs="宋体"/>
                <w:b/>
                <w:color w:val="auto"/>
                <w:sz w:val="24"/>
                <w:szCs w:val="24"/>
                <w:highlight w:val="none"/>
              </w:rPr>
            </w:pPr>
          </w:p>
        </w:tc>
        <w:tc>
          <w:tcPr>
            <w:tcW w:w="4646"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5A7249EE">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.6游乐设施专项预案</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51B0990">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77F3CF13">
        <w:tblPrEx>
          <w:tblCellMar>
            <w:top w:w="0" w:type="dxa"/>
            <w:left w:w="0" w:type="dxa"/>
            <w:bottom w:w="0" w:type="dxa"/>
            <w:right w:w="0" w:type="dxa"/>
          </w:tblCellMar>
        </w:tblPrEx>
        <w:trPr>
          <w:trHeight w:val="60" w:hRule="atLeast"/>
          <w:jc w:val="center"/>
        </w:trPr>
        <w:tc>
          <w:tcPr>
            <w:tcW w:w="1281" w:type="dxa"/>
            <w:vMerge w:val="restart"/>
            <w:tcBorders>
              <w:top w:val="single" w:color="000000" w:sz="4" w:space="0"/>
              <w:left w:val="single" w:color="auto" w:sz="4" w:space="0"/>
              <w:bottom w:val="single" w:color="auto" w:sz="4" w:space="0"/>
              <w:right w:val="single" w:color="000000" w:sz="4" w:space="0"/>
            </w:tcBorders>
            <w:noWrap w:val="0"/>
            <w:tcMar>
              <w:top w:w="10" w:type="dxa"/>
              <w:left w:w="10" w:type="dxa"/>
              <w:right w:w="10" w:type="dxa"/>
            </w:tcMar>
            <w:vAlign w:val="center"/>
          </w:tcPr>
          <w:p w14:paraId="311B9295">
            <w:pPr>
              <w:widowControl/>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.培训及演练台账</w:t>
            </w:r>
          </w:p>
        </w:tc>
        <w:tc>
          <w:tcPr>
            <w:tcW w:w="4646" w:type="dxa"/>
            <w:tcBorders>
              <w:top w:val="single" w:color="000000" w:sz="4" w:space="0"/>
              <w:left w:val="single" w:color="000000" w:sz="4" w:space="0"/>
              <w:bottom w:val="single" w:color="auto" w:sz="4" w:space="0"/>
              <w:right w:val="single" w:color="auto" w:sz="4" w:space="0"/>
            </w:tcBorders>
            <w:noWrap w:val="0"/>
            <w:tcMar>
              <w:top w:w="10" w:type="dxa"/>
              <w:left w:w="10" w:type="dxa"/>
              <w:right w:w="10" w:type="dxa"/>
            </w:tcMar>
            <w:vAlign w:val="center"/>
          </w:tcPr>
          <w:p w14:paraId="7ACAF727">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.1员工安全教育培训考核记录</w:t>
            </w:r>
          </w:p>
        </w:tc>
        <w:tc>
          <w:tcPr>
            <w:tcW w:w="2720" w:type="dxa"/>
            <w:tcBorders>
              <w:top w:val="single" w:color="000000" w:sz="4" w:space="0"/>
              <w:left w:val="single" w:color="auto" w:sz="4" w:space="0"/>
              <w:bottom w:val="single" w:color="000000" w:sz="4" w:space="0"/>
              <w:right w:val="single" w:color="000000" w:sz="4" w:space="0"/>
            </w:tcBorders>
            <w:noWrap w:val="0"/>
            <w:tcMar>
              <w:top w:w="10" w:type="dxa"/>
              <w:left w:w="10" w:type="dxa"/>
              <w:right w:w="10" w:type="dxa"/>
            </w:tcMar>
            <w:vAlign w:val="center"/>
          </w:tcPr>
          <w:p w14:paraId="7ECCB128">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24294CFA">
        <w:tblPrEx>
          <w:tblCellMar>
            <w:top w:w="0" w:type="dxa"/>
            <w:left w:w="0" w:type="dxa"/>
            <w:bottom w:w="0" w:type="dxa"/>
            <w:right w:w="0" w:type="dxa"/>
          </w:tblCellMar>
        </w:tblPrEx>
        <w:trPr>
          <w:trHeight w:val="60" w:hRule="atLeast"/>
          <w:jc w:val="center"/>
        </w:trPr>
        <w:tc>
          <w:tcPr>
            <w:tcW w:w="1281" w:type="dxa"/>
            <w:vMerge w:val="continue"/>
            <w:tcBorders>
              <w:top w:val="single" w:color="auto" w:sz="4" w:space="0"/>
              <w:left w:val="single" w:color="auto" w:sz="4" w:space="0"/>
              <w:right w:val="single" w:color="000000" w:sz="4" w:space="0"/>
            </w:tcBorders>
            <w:noWrap w:val="0"/>
            <w:tcMar>
              <w:top w:w="10" w:type="dxa"/>
              <w:left w:w="10" w:type="dxa"/>
              <w:right w:w="10" w:type="dxa"/>
            </w:tcMar>
            <w:vAlign w:val="center"/>
          </w:tcPr>
          <w:p w14:paraId="4FC6BD53">
            <w:pPr>
              <w:widowControl/>
              <w:jc w:val="left"/>
              <w:textAlignment w:val="center"/>
              <w:rPr>
                <w:rFonts w:hint="eastAsia" w:ascii="宋体" w:hAnsi="宋体" w:eastAsia="宋体" w:cs="宋体"/>
                <w:b/>
                <w:bCs/>
                <w:color w:val="auto"/>
                <w:sz w:val="24"/>
                <w:szCs w:val="24"/>
                <w:highlight w:val="none"/>
              </w:rPr>
            </w:pPr>
          </w:p>
        </w:tc>
        <w:tc>
          <w:tcPr>
            <w:tcW w:w="4646" w:type="dxa"/>
            <w:tcBorders>
              <w:top w:val="single" w:color="auto"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AED3D77">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.2应急演练台账</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8E68F45">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36344804">
        <w:tblPrEx>
          <w:tblCellMar>
            <w:top w:w="0" w:type="dxa"/>
            <w:left w:w="0" w:type="dxa"/>
            <w:bottom w:w="0" w:type="dxa"/>
            <w:right w:w="0" w:type="dxa"/>
          </w:tblCellMar>
        </w:tblPrEx>
        <w:trPr>
          <w:trHeight w:val="60" w:hRule="atLeast"/>
          <w:jc w:val="center"/>
        </w:trPr>
        <w:tc>
          <w:tcPr>
            <w:tcW w:w="1281" w:type="dxa"/>
            <w:vMerge w:val="continue"/>
            <w:tcBorders>
              <w:left w:val="single" w:color="auto" w:sz="4" w:space="0"/>
              <w:bottom w:val="single" w:color="000000" w:sz="4" w:space="0"/>
              <w:right w:val="single" w:color="000000" w:sz="4" w:space="0"/>
            </w:tcBorders>
            <w:noWrap w:val="0"/>
            <w:tcMar>
              <w:top w:w="10" w:type="dxa"/>
              <w:left w:w="10" w:type="dxa"/>
              <w:right w:w="10" w:type="dxa"/>
            </w:tcMar>
            <w:vAlign w:val="center"/>
          </w:tcPr>
          <w:p w14:paraId="5A378E04">
            <w:pPr>
              <w:widowControl/>
              <w:jc w:val="left"/>
              <w:textAlignment w:val="center"/>
              <w:rPr>
                <w:rFonts w:hint="eastAsia" w:ascii="宋体" w:hAnsi="宋体" w:eastAsia="宋体" w:cs="宋体"/>
                <w:b/>
                <w:bCs/>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776CA6A">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.3宣贯上级文件培训记录</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49CCD55">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2F0B87A5">
        <w:tblPrEx>
          <w:tblCellMar>
            <w:top w:w="0" w:type="dxa"/>
            <w:left w:w="0" w:type="dxa"/>
            <w:bottom w:w="0" w:type="dxa"/>
            <w:right w:w="0" w:type="dxa"/>
          </w:tblCellMar>
        </w:tblPrEx>
        <w:trPr>
          <w:trHeight w:val="60" w:hRule="atLeast"/>
          <w:jc w:val="center"/>
        </w:trPr>
        <w:tc>
          <w:tcPr>
            <w:tcW w:w="128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D2152FA">
            <w:pPr>
              <w:widowControl/>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.安全生产考核资料台账</w:t>
            </w: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1F0F40C">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.1年度安全生产考核资料台账</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B1A0CB1">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2A771481">
        <w:tblPrEx>
          <w:tblCellMar>
            <w:top w:w="0" w:type="dxa"/>
            <w:left w:w="0" w:type="dxa"/>
            <w:bottom w:w="0" w:type="dxa"/>
            <w:right w:w="0" w:type="dxa"/>
          </w:tblCellMar>
        </w:tblPrEx>
        <w:trPr>
          <w:trHeight w:val="563" w:hRule="atLeast"/>
          <w:jc w:val="center"/>
        </w:trPr>
        <w:tc>
          <w:tcPr>
            <w:tcW w:w="1281" w:type="dxa"/>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14:paraId="73C1B454">
            <w:pPr>
              <w:widowControl/>
              <w:jc w:val="left"/>
              <w:textAlignment w:val="center"/>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14.绿化垃圾资源化利用台账</w:t>
            </w: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421FF30">
            <w:pPr>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15.1接收单位登记表</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6A62486">
            <w:pPr>
              <w:ind w:firstLine="240" w:firstLineChars="100"/>
              <w:jc w:val="center"/>
              <w:rPr>
                <w:rFonts w:hint="eastAsia" w:ascii="宋体" w:hAnsi="宋体" w:eastAsia="宋体" w:cs="宋体"/>
                <w:bCs/>
                <w:color w:val="auto"/>
                <w:sz w:val="24"/>
                <w:szCs w:val="24"/>
                <w:highlight w:val="none"/>
              </w:rPr>
            </w:pPr>
          </w:p>
        </w:tc>
      </w:tr>
      <w:tr w14:paraId="2FBB3B03">
        <w:tblPrEx>
          <w:tblCellMar>
            <w:top w:w="0" w:type="dxa"/>
            <w:left w:w="0" w:type="dxa"/>
            <w:bottom w:w="0" w:type="dxa"/>
            <w:right w:w="0" w:type="dxa"/>
          </w:tblCellMar>
        </w:tblPrEx>
        <w:trPr>
          <w:trHeight w:val="60" w:hRule="atLeast"/>
          <w:jc w:val="center"/>
        </w:trPr>
        <w:tc>
          <w:tcPr>
            <w:tcW w:w="1281" w:type="dxa"/>
            <w:vMerge w:val="continue"/>
            <w:tcBorders>
              <w:left w:val="single" w:color="000000" w:sz="4" w:space="0"/>
              <w:bottom w:val="single" w:color="000000" w:sz="4" w:space="0"/>
              <w:right w:val="single" w:color="000000" w:sz="4" w:space="0"/>
            </w:tcBorders>
            <w:noWrap w:val="0"/>
            <w:tcMar>
              <w:top w:w="10" w:type="dxa"/>
              <w:left w:w="10" w:type="dxa"/>
              <w:right w:w="10" w:type="dxa"/>
            </w:tcMar>
            <w:vAlign w:val="center"/>
          </w:tcPr>
          <w:p w14:paraId="495B8EBC">
            <w:pPr>
              <w:widowControl/>
              <w:jc w:val="left"/>
              <w:textAlignment w:val="center"/>
              <w:rPr>
                <w:rFonts w:hint="eastAsia" w:ascii="宋体" w:hAnsi="宋体" w:eastAsia="宋体" w:cs="宋体"/>
                <w:b/>
                <w:bCs/>
                <w:color w:val="auto"/>
                <w:sz w:val="24"/>
                <w:szCs w:val="24"/>
                <w:highlight w:val="none"/>
                <w:lang w:val="en-US" w:eastAsia="zh-CN"/>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60AA95F">
            <w:pP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15.2绿化垃圾数量登记表</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FA429C7">
            <w:pPr>
              <w:ind w:firstLine="240" w:firstLineChars="100"/>
              <w:jc w:val="center"/>
              <w:rPr>
                <w:rFonts w:hint="eastAsia" w:ascii="宋体" w:hAnsi="宋体" w:eastAsia="宋体" w:cs="宋体"/>
                <w:bCs/>
                <w:color w:val="auto"/>
                <w:sz w:val="24"/>
                <w:szCs w:val="24"/>
                <w:highlight w:val="none"/>
              </w:rPr>
            </w:pPr>
          </w:p>
        </w:tc>
      </w:tr>
      <w:tr w14:paraId="56F016B0">
        <w:tblPrEx>
          <w:tblCellMar>
            <w:top w:w="0" w:type="dxa"/>
            <w:left w:w="0" w:type="dxa"/>
            <w:bottom w:w="0" w:type="dxa"/>
            <w:right w:w="0" w:type="dxa"/>
          </w:tblCellMar>
        </w:tblPrEx>
        <w:trPr>
          <w:trHeight w:val="60" w:hRule="atLeast"/>
          <w:jc w:val="center"/>
        </w:trPr>
        <w:tc>
          <w:tcPr>
            <w:tcW w:w="128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C972E1D">
            <w:pPr>
              <w:widowControl/>
              <w:jc w:val="left"/>
              <w:textAlignment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15.其他资料</w:t>
            </w: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B077B75">
            <w:pP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16.1其他采购人所需要的各类台账资料</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3FB1AD5">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bl>
    <w:p w14:paraId="6B230982">
      <w:pPr>
        <w:widowControl/>
        <w:tabs>
          <w:tab w:val="left" w:pos="851"/>
        </w:tabs>
        <w:adjustRightInd/>
        <w:spacing w:line="360" w:lineRule="auto"/>
        <w:ind w:firstLine="480" w:firstLineChars="200"/>
        <w:rPr>
          <w:rFonts w:hint="eastAsia"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说明：包括但不限于以上范围，具体按实际要求执行，智慧公园平台功能完善后，根据主管部门或者采购人要求进行台账上传。</w:t>
      </w:r>
    </w:p>
    <w:p w14:paraId="3BF3BD82">
      <w:pPr>
        <w:widowControl/>
        <w:tabs>
          <w:tab w:val="left" w:pos="851"/>
        </w:tabs>
        <w:adjustRightInd/>
        <w:spacing w:line="360" w:lineRule="auto"/>
        <w:outlineLvl w:val="1"/>
        <w:rPr>
          <w:rFonts w:ascii="宋体" w:hAnsi="宋体" w:eastAsia="宋体" w:cs="宋体"/>
          <w:b/>
          <w:color w:val="auto"/>
          <w:kern w:val="0"/>
          <w:sz w:val="24"/>
          <w:highlight w:val="none"/>
        </w:rPr>
      </w:pPr>
      <w:r>
        <w:rPr>
          <w:rFonts w:hint="eastAsia" w:ascii="宋体" w:hAnsi="宋体" w:eastAsia="宋体" w:cs="宋体"/>
          <w:b/>
          <w:color w:val="auto"/>
          <w:kern w:val="0"/>
          <w:sz w:val="24"/>
          <w:highlight w:val="none"/>
          <w:lang w:val="en-US" w:eastAsia="zh-CN"/>
        </w:rPr>
        <w:t>八</w:t>
      </w:r>
      <w:r>
        <w:rPr>
          <w:rFonts w:hint="eastAsia" w:ascii="宋体" w:hAnsi="宋体" w:eastAsia="宋体" w:cs="宋体"/>
          <w:b/>
          <w:color w:val="auto"/>
          <w:kern w:val="0"/>
          <w:sz w:val="24"/>
          <w:highlight w:val="none"/>
        </w:rPr>
        <w:t>、</w:t>
      </w:r>
      <w:r>
        <w:rPr>
          <w:rFonts w:hint="eastAsia" w:ascii="宋体" w:hAnsi="宋体" w:eastAsia="宋体" w:cs="宋体"/>
          <w:b/>
          <w:color w:val="auto"/>
          <w:kern w:val="0"/>
          <w:sz w:val="24"/>
          <w:highlight w:val="none"/>
          <w:lang w:val="en-US" w:eastAsia="zh-CN"/>
        </w:rPr>
        <w:t>考核</w:t>
      </w:r>
      <w:r>
        <w:rPr>
          <w:rFonts w:hint="eastAsia" w:ascii="宋体" w:hAnsi="宋体" w:eastAsia="宋体" w:cs="宋体"/>
          <w:b/>
          <w:color w:val="auto"/>
          <w:kern w:val="0"/>
          <w:sz w:val="24"/>
          <w:highlight w:val="none"/>
        </w:rPr>
        <w:t>要求</w:t>
      </w:r>
    </w:p>
    <w:p w14:paraId="665778D4">
      <w:pPr>
        <w:widowControl/>
        <w:tabs>
          <w:tab w:val="left" w:pos="851"/>
        </w:tabs>
        <w:adjustRightInd/>
        <w:spacing w:line="360" w:lineRule="auto"/>
        <w:outlineLvl w:val="1"/>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（一）质量考核验收标准</w:t>
      </w:r>
    </w:p>
    <w:p w14:paraId="0AA0A968">
      <w:pPr>
        <w:widowControl/>
        <w:tabs>
          <w:tab w:val="left" w:pos="851"/>
        </w:tabs>
        <w:adjustRightInd/>
        <w:spacing w:line="360" w:lineRule="auto"/>
        <w:ind w:firstLine="480" w:firstLineChars="200"/>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①检查考核</w:t>
      </w:r>
    </w:p>
    <w:p w14:paraId="31ADB5CD">
      <w:pPr>
        <w:widowControl/>
        <w:tabs>
          <w:tab w:val="left" w:pos="851"/>
        </w:tabs>
        <w:adjustRightInd/>
        <w:spacing w:line="360" w:lineRule="auto"/>
        <w:ind w:firstLine="480" w:firstLineChars="200"/>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执行“中标人自检（周检）、采购人考核（随机检、月度考核）”两级检查考评制度。中标人实行自检，每周向采购人报送检查结果，采购人组织随机检查并且每月对各公园进行考核。</w:t>
      </w:r>
    </w:p>
    <w:p w14:paraId="5EE90E98">
      <w:pPr>
        <w:widowControl/>
        <w:tabs>
          <w:tab w:val="left" w:pos="851"/>
        </w:tabs>
        <w:adjustRightInd/>
        <w:spacing w:line="360" w:lineRule="auto"/>
        <w:ind w:firstLine="480" w:firstLineChars="200"/>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除上述的两级检查外，还包括其他的专项行动检查及考核。若相关考核办法和扣罚标准有所调整变化，按最新出台的办法或标准执行。</w:t>
      </w:r>
    </w:p>
    <w:p w14:paraId="0328190B">
      <w:pPr>
        <w:widowControl/>
        <w:tabs>
          <w:tab w:val="left" w:pos="851"/>
        </w:tabs>
        <w:adjustRightInd/>
        <w:spacing w:line="360" w:lineRule="auto"/>
        <w:ind w:firstLine="480" w:firstLineChars="200"/>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②直接扣罚标准</w:t>
      </w:r>
    </w:p>
    <w:tbl>
      <w:tblPr>
        <w:tblStyle w:val="62"/>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66"/>
        <w:gridCol w:w="3257"/>
        <w:gridCol w:w="3313"/>
        <w:gridCol w:w="1091"/>
      </w:tblGrid>
      <w:tr w14:paraId="53B1C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866" w:type="dxa"/>
            <w:noWrap w:val="0"/>
            <w:tcMar>
              <w:top w:w="10" w:type="dxa"/>
              <w:left w:w="10" w:type="dxa"/>
              <w:right w:w="10" w:type="dxa"/>
            </w:tcMar>
            <w:vAlign w:val="center"/>
          </w:tcPr>
          <w:p w14:paraId="4BBB4011">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w:t>
            </w:r>
          </w:p>
        </w:tc>
        <w:tc>
          <w:tcPr>
            <w:tcW w:w="3257" w:type="dxa"/>
            <w:noWrap w:val="0"/>
            <w:tcMar>
              <w:top w:w="10" w:type="dxa"/>
              <w:left w:w="10" w:type="dxa"/>
              <w:right w:w="10" w:type="dxa"/>
            </w:tcMar>
            <w:vAlign w:val="center"/>
          </w:tcPr>
          <w:p w14:paraId="64D742E8">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内容</w:t>
            </w:r>
          </w:p>
        </w:tc>
        <w:tc>
          <w:tcPr>
            <w:tcW w:w="3313" w:type="dxa"/>
            <w:noWrap w:val="0"/>
            <w:tcMar>
              <w:top w:w="10" w:type="dxa"/>
              <w:left w:w="10" w:type="dxa"/>
              <w:right w:w="10" w:type="dxa"/>
            </w:tcMar>
            <w:vAlign w:val="center"/>
          </w:tcPr>
          <w:p w14:paraId="4F542CFA">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扣罚标准</w:t>
            </w:r>
          </w:p>
        </w:tc>
        <w:tc>
          <w:tcPr>
            <w:tcW w:w="1091" w:type="dxa"/>
            <w:noWrap w:val="0"/>
            <w:vAlign w:val="top"/>
          </w:tcPr>
          <w:p w14:paraId="34346FF2">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1713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9" w:hRule="atLeast"/>
        </w:trPr>
        <w:tc>
          <w:tcPr>
            <w:tcW w:w="866" w:type="dxa"/>
            <w:vMerge w:val="restart"/>
            <w:noWrap w:val="0"/>
            <w:tcMar>
              <w:top w:w="10" w:type="dxa"/>
              <w:left w:w="10" w:type="dxa"/>
              <w:right w:w="10" w:type="dxa"/>
            </w:tcMar>
            <w:vAlign w:val="center"/>
          </w:tcPr>
          <w:p w14:paraId="095061E2">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人员</w:t>
            </w:r>
          </w:p>
          <w:p w14:paraId="333AF84A">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管理</w:t>
            </w:r>
          </w:p>
        </w:tc>
        <w:tc>
          <w:tcPr>
            <w:tcW w:w="3257" w:type="dxa"/>
            <w:noWrap w:val="0"/>
            <w:tcMar>
              <w:top w:w="10" w:type="dxa"/>
              <w:left w:w="10" w:type="dxa"/>
              <w:right w:w="10" w:type="dxa"/>
            </w:tcMar>
            <w:vAlign w:val="center"/>
          </w:tcPr>
          <w:p w14:paraId="6594F56D">
            <w:pPr>
              <w:widowControl/>
              <w:adjustRightInd/>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工作人员</w:t>
            </w:r>
            <w:r>
              <w:rPr>
                <w:rFonts w:hint="eastAsia" w:ascii="宋体" w:hAnsi="宋体" w:eastAsia="宋体" w:cs="宋体"/>
                <w:color w:val="auto"/>
                <w:sz w:val="24"/>
                <w:szCs w:val="24"/>
                <w:highlight w:val="none"/>
                <w:lang w:eastAsia="zh-CN"/>
              </w:rPr>
              <w:t>发生纠纷，争吵斗殴，影响工作，造成不良影响。</w:t>
            </w:r>
          </w:p>
        </w:tc>
        <w:tc>
          <w:tcPr>
            <w:tcW w:w="3313" w:type="dxa"/>
            <w:noWrap w:val="0"/>
            <w:tcMar>
              <w:top w:w="10" w:type="dxa"/>
              <w:left w:w="10" w:type="dxa"/>
              <w:right w:w="10" w:type="dxa"/>
            </w:tcMar>
            <w:vAlign w:val="center"/>
          </w:tcPr>
          <w:p w14:paraId="38CA3A0F">
            <w:pPr>
              <w:widowControl/>
              <w:adjustRightInd/>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每人每次扣减</w:t>
            </w:r>
            <w:r>
              <w:rPr>
                <w:rFonts w:hint="eastAsia" w:ascii="宋体" w:hAnsi="宋体" w:eastAsia="宋体" w:cs="宋体"/>
                <w:color w:val="auto"/>
                <w:sz w:val="24"/>
                <w:szCs w:val="24"/>
                <w:highlight w:val="none"/>
                <w:lang w:val="en-US" w:eastAsia="zh-CN"/>
              </w:rPr>
              <w:t>500元。</w:t>
            </w:r>
          </w:p>
        </w:tc>
        <w:tc>
          <w:tcPr>
            <w:tcW w:w="1091" w:type="dxa"/>
            <w:noWrap w:val="0"/>
            <w:vAlign w:val="center"/>
          </w:tcPr>
          <w:p w14:paraId="7A028C29">
            <w:pPr>
              <w:widowControl/>
              <w:adjustRightInd/>
              <w:rPr>
                <w:rFonts w:hint="eastAsia" w:ascii="宋体" w:hAnsi="宋体" w:eastAsia="宋体" w:cs="宋体"/>
                <w:color w:val="auto"/>
                <w:sz w:val="24"/>
                <w:szCs w:val="24"/>
                <w:highlight w:val="none"/>
                <w:lang w:val="en-US" w:eastAsia="zh-CN"/>
              </w:rPr>
            </w:pPr>
          </w:p>
        </w:tc>
      </w:tr>
      <w:tr w14:paraId="66B3A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66" w:type="dxa"/>
            <w:vMerge w:val="continue"/>
            <w:noWrap w:val="0"/>
            <w:tcMar>
              <w:top w:w="10" w:type="dxa"/>
              <w:left w:w="10" w:type="dxa"/>
              <w:right w:w="10" w:type="dxa"/>
            </w:tcMar>
            <w:vAlign w:val="center"/>
          </w:tcPr>
          <w:p w14:paraId="43C1D216">
            <w:pPr>
              <w:widowControl/>
              <w:adjustRightInd/>
              <w:jc w:val="center"/>
              <w:rPr>
                <w:rFonts w:hint="eastAsia" w:ascii="宋体" w:hAnsi="宋体" w:eastAsia="宋体" w:cs="宋体"/>
                <w:color w:val="auto"/>
                <w:sz w:val="24"/>
                <w:szCs w:val="24"/>
                <w:highlight w:val="none"/>
              </w:rPr>
            </w:pPr>
          </w:p>
        </w:tc>
        <w:tc>
          <w:tcPr>
            <w:tcW w:w="3257" w:type="dxa"/>
            <w:noWrap w:val="0"/>
            <w:tcMar>
              <w:top w:w="10" w:type="dxa"/>
              <w:left w:w="10" w:type="dxa"/>
              <w:right w:w="10" w:type="dxa"/>
            </w:tcMar>
            <w:vAlign w:val="center"/>
          </w:tcPr>
          <w:p w14:paraId="178B79B2">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项目负责人</w:t>
            </w:r>
            <w:r>
              <w:rPr>
                <w:rFonts w:hint="eastAsia" w:ascii="宋体" w:hAnsi="宋体" w:eastAsia="宋体" w:cs="宋体"/>
                <w:color w:val="auto"/>
                <w:sz w:val="24"/>
                <w:szCs w:val="24"/>
                <w:highlight w:val="none"/>
              </w:rPr>
              <w:t>变更。</w:t>
            </w:r>
          </w:p>
        </w:tc>
        <w:tc>
          <w:tcPr>
            <w:tcW w:w="3313" w:type="dxa"/>
            <w:noWrap w:val="0"/>
            <w:tcMar>
              <w:top w:w="10" w:type="dxa"/>
              <w:left w:w="10" w:type="dxa"/>
              <w:right w:w="10" w:type="dxa"/>
            </w:tcMar>
            <w:vAlign w:val="center"/>
          </w:tcPr>
          <w:p w14:paraId="2FD9E828">
            <w:pPr>
              <w:widowControl/>
              <w:adjustRightInd/>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1.未经采购人同意擅自变更的每次扣减10万元；</w:t>
            </w:r>
          </w:p>
          <w:p w14:paraId="5B6E5529">
            <w:pPr>
              <w:widowControl/>
              <w:adjustRightInd/>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szCs w:val="24"/>
                <w:highlight w:val="none"/>
                <w:lang w:val="en-US" w:eastAsia="zh-CN"/>
              </w:rPr>
              <w:t>经采购人同意，且满足更换条件要求（满足招标文件要求，有类似项目管理经验，职称等于或高于被更换人员）的每次扣减</w:t>
            </w:r>
            <w:r>
              <w:rPr>
                <w:rFonts w:hint="eastAsia" w:ascii="宋体" w:hAnsi="宋体" w:cs="宋体"/>
                <w:color w:val="auto"/>
                <w:sz w:val="24"/>
                <w:szCs w:val="24"/>
                <w:highlight w:val="none"/>
                <w:lang w:val="en-US" w:eastAsia="zh-CN"/>
              </w:rPr>
              <w:t>2万</w:t>
            </w:r>
            <w:r>
              <w:rPr>
                <w:rFonts w:hint="eastAsia" w:ascii="宋体" w:hAnsi="宋体" w:eastAsia="宋体" w:cs="宋体"/>
                <w:color w:val="auto"/>
                <w:sz w:val="24"/>
                <w:szCs w:val="24"/>
                <w:highlight w:val="none"/>
                <w:lang w:val="en-US" w:eastAsia="zh-CN"/>
              </w:rPr>
              <w:t>元。（因不可抗力因素，如重大疾病、死亡等原因变更的除外。）</w:t>
            </w:r>
          </w:p>
        </w:tc>
        <w:tc>
          <w:tcPr>
            <w:tcW w:w="1091" w:type="dxa"/>
            <w:noWrap w:val="0"/>
            <w:vAlign w:val="center"/>
          </w:tcPr>
          <w:p w14:paraId="302F7E08">
            <w:pPr>
              <w:widowControl/>
              <w:adjustRightInd/>
              <w:rPr>
                <w:rFonts w:hint="eastAsia" w:ascii="宋体" w:hAnsi="宋体" w:eastAsia="宋体" w:cs="宋体"/>
                <w:color w:val="auto"/>
                <w:sz w:val="24"/>
                <w:szCs w:val="24"/>
                <w:highlight w:val="none"/>
                <w:lang w:val="en-US" w:eastAsia="zh-CN"/>
              </w:rPr>
            </w:pPr>
          </w:p>
        </w:tc>
      </w:tr>
      <w:tr w14:paraId="5C83E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9" w:hRule="atLeast"/>
        </w:trPr>
        <w:tc>
          <w:tcPr>
            <w:tcW w:w="866" w:type="dxa"/>
            <w:vMerge w:val="continue"/>
            <w:noWrap w:val="0"/>
            <w:tcMar>
              <w:top w:w="10" w:type="dxa"/>
              <w:left w:w="10" w:type="dxa"/>
              <w:right w:w="10" w:type="dxa"/>
            </w:tcMar>
            <w:vAlign w:val="center"/>
          </w:tcPr>
          <w:p w14:paraId="173FC0AF">
            <w:pPr>
              <w:widowControl/>
              <w:adjustRightInd/>
              <w:jc w:val="center"/>
              <w:rPr>
                <w:rFonts w:hint="eastAsia" w:ascii="宋体" w:hAnsi="宋体" w:eastAsia="宋体" w:cs="宋体"/>
                <w:color w:val="auto"/>
                <w:sz w:val="24"/>
                <w:szCs w:val="24"/>
                <w:highlight w:val="none"/>
              </w:rPr>
            </w:pPr>
          </w:p>
        </w:tc>
        <w:tc>
          <w:tcPr>
            <w:tcW w:w="3257" w:type="dxa"/>
            <w:noWrap w:val="0"/>
            <w:tcMar>
              <w:top w:w="10" w:type="dxa"/>
              <w:left w:w="10" w:type="dxa"/>
              <w:right w:w="10" w:type="dxa"/>
            </w:tcMar>
            <w:vAlign w:val="center"/>
          </w:tcPr>
          <w:p w14:paraId="1AED437F">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管理</w:t>
            </w:r>
            <w:r>
              <w:rPr>
                <w:rFonts w:hint="eastAsia" w:ascii="宋体" w:hAnsi="宋体" w:eastAsia="宋体" w:cs="宋体"/>
                <w:color w:val="auto"/>
                <w:sz w:val="24"/>
                <w:szCs w:val="24"/>
                <w:highlight w:val="none"/>
                <w:lang w:eastAsia="zh-CN"/>
              </w:rPr>
              <w:t>团队</w:t>
            </w:r>
            <w:r>
              <w:rPr>
                <w:rFonts w:hint="eastAsia" w:ascii="宋体" w:hAnsi="宋体" w:eastAsia="宋体" w:cs="宋体"/>
                <w:color w:val="auto"/>
                <w:sz w:val="24"/>
                <w:szCs w:val="24"/>
                <w:highlight w:val="none"/>
              </w:rPr>
              <w:t>人员变更。</w:t>
            </w:r>
          </w:p>
        </w:tc>
        <w:tc>
          <w:tcPr>
            <w:tcW w:w="3313" w:type="dxa"/>
            <w:noWrap w:val="0"/>
            <w:tcMar>
              <w:top w:w="10" w:type="dxa"/>
              <w:left w:w="10" w:type="dxa"/>
              <w:right w:w="10" w:type="dxa"/>
            </w:tcMar>
            <w:vAlign w:val="center"/>
          </w:tcPr>
          <w:p w14:paraId="2F0A1ACD">
            <w:pPr>
              <w:widowControl/>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未经采购人同意擅自变更的每次扣减</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万元；</w:t>
            </w:r>
          </w:p>
          <w:p w14:paraId="78630C4E">
            <w:pPr>
              <w:widowControl/>
              <w:adjustRightInd/>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经采购人同意</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且满足更换条件要求（满足招标文件要求，</w:t>
            </w:r>
            <w:r>
              <w:rPr>
                <w:rFonts w:hint="eastAsia" w:ascii="宋体" w:hAnsi="宋体" w:eastAsia="宋体" w:cs="宋体"/>
                <w:color w:val="auto"/>
                <w:sz w:val="24"/>
                <w:szCs w:val="24"/>
                <w:highlight w:val="none"/>
              </w:rPr>
              <w:t>有</w:t>
            </w:r>
            <w:r>
              <w:rPr>
                <w:rFonts w:hint="eastAsia" w:ascii="宋体" w:hAnsi="宋体" w:eastAsia="宋体" w:cs="宋体"/>
                <w:color w:val="auto"/>
                <w:sz w:val="24"/>
                <w:szCs w:val="24"/>
                <w:highlight w:val="none"/>
                <w:lang w:eastAsia="zh-CN"/>
              </w:rPr>
              <w:t>类似项目</w:t>
            </w:r>
            <w:r>
              <w:rPr>
                <w:rFonts w:hint="eastAsia" w:ascii="宋体" w:hAnsi="宋体" w:eastAsia="宋体" w:cs="宋体"/>
                <w:color w:val="auto"/>
                <w:sz w:val="24"/>
                <w:szCs w:val="24"/>
                <w:highlight w:val="none"/>
              </w:rPr>
              <w:t>工作经验，职称等于或高于被更换人员）的每次扣减</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000元。</w:t>
            </w:r>
            <w:r>
              <w:rPr>
                <w:rFonts w:hint="eastAsia" w:ascii="宋体" w:hAnsi="宋体" w:eastAsia="宋体" w:cs="宋体"/>
                <w:color w:val="auto"/>
                <w:sz w:val="24"/>
                <w:szCs w:val="24"/>
                <w:highlight w:val="none"/>
                <w:lang w:val="en-US" w:eastAsia="zh-CN"/>
              </w:rPr>
              <w:t>（因不可抗力因素，如重大疾病、死亡等原因变更的除外。）</w:t>
            </w:r>
          </w:p>
        </w:tc>
        <w:tc>
          <w:tcPr>
            <w:tcW w:w="1091" w:type="dxa"/>
            <w:noWrap w:val="0"/>
            <w:vAlign w:val="center"/>
          </w:tcPr>
          <w:p w14:paraId="2625AAFF">
            <w:pPr>
              <w:widowControl/>
              <w:adjustRightInd/>
              <w:rPr>
                <w:rFonts w:hint="eastAsia" w:ascii="宋体" w:hAnsi="宋体" w:eastAsia="宋体" w:cs="宋体"/>
                <w:color w:val="auto"/>
                <w:sz w:val="24"/>
                <w:szCs w:val="24"/>
                <w:highlight w:val="none"/>
                <w:lang w:val="en-US" w:eastAsia="zh-CN"/>
              </w:rPr>
            </w:pPr>
          </w:p>
        </w:tc>
      </w:tr>
      <w:tr w14:paraId="1D9D6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4" w:hRule="atLeast"/>
        </w:trPr>
        <w:tc>
          <w:tcPr>
            <w:tcW w:w="866" w:type="dxa"/>
            <w:vMerge w:val="continue"/>
            <w:noWrap w:val="0"/>
            <w:tcMar>
              <w:top w:w="10" w:type="dxa"/>
              <w:left w:w="10" w:type="dxa"/>
              <w:right w:w="10" w:type="dxa"/>
            </w:tcMar>
            <w:vAlign w:val="center"/>
          </w:tcPr>
          <w:p w14:paraId="68007333">
            <w:pPr>
              <w:widowControl/>
              <w:adjustRightInd/>
              <w:jc w:val="center"/>
              <w:rPr>
                <w:rFonts w:hint="eastAsia" w:ascii="宋体" w:hAnsi="宋体" w:eastAsia="宋体" w:cs="宋体"/>
                <w:color w:val="auto"/>
                <w:sz w:val="24"/>
                <w:szCs w:val="24"/>
                <w:highlight w:val="none"/>
              </w:rPr>
            </w:pPr>
          </w:p>
        </w:tc>
        <w:tc>
          <w:tcPr>
            <w:tcW w:w="3257" w:type="dxa"/>
            <w:noWrap w:val="0"/>
            <w:tcMar>
              <w:top w:w="10" w:type="dxa"/>
              <w:left w:w="10" w:type="dxa"/>
              <w:right w:w="10" w:type="dxa"/>
            </w:tcMar>
            <w:vAlign w:val="center"/>
          </w:tcPr>
          <w:p w14:paraId="71543EDF">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未按要求定期开展培训或应急演练的。</w:t>
            </w:r>
          </w:p>
        </w:tc>
        <w:tc>
          <w:tcPr>
            <w:tcW w:w="3313" w:type="dxa"/>
            <w:noWrap w:val="0"/>
            <w:tcMar>
              <w:top w:w="10" w:type="dxa"/>
              <w:left w:w="10" w:type="dxa"/>
              <w:right w:w="10" w:type="dxa"/>
            </w:tcMar>
            <w:vAlign w:val="center"/>
          </w:tcPr>
          <w:p w14:paraId="631F2A70">
            <w:pPr>
              <w:widowControl/>
              <w:adjustRightInd/>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每次扣减5000元。</w:t>
            </w:r>
          </w:p>
        </w:tc>
        <w:tc>
          <w:tcPr>
            <w:tcW w:w="1091" w:type="dxa"/>
            <w:noWrap w:val="0"/>
            <w:vAlign w:val="center"/>
          </w:tcPr>
          <w:p w14:paraId="0E280916">
            <w:pPr>
              <w:widowControl/>
              <w:adjustRightInd/>
              <w:rPr>
                <w:rFonts w:hint="eastAsia" w:ascii="宋体" w:hAnsi="宋体" w:eastAsia="宋体" w:cs="宋体"/>
                <w:color w:val="auto"/>
                <w:sz w:val="24"/>
                <w:szCs w:val="24"/>
                <w:highlight w:val="none"/>
              </w:rPr>
            </w:pPr>
          </w:p>
        </w:tc>
      </w:tr>
      <w:tr w14:paraId="13E28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atLeast"/>
        </w:trPr>
        <w:tc>
          <w:tcPr>
            <w:tcW w:w="866" w:type="dxa"/>
            <w:vMerge w:val="continue"/>
            <w:noWrap w:val="0"/>
            <w:tcMar>
              <w:top w:w="10" w:type="dxa"/>
              <w:left w:w="10" w:type="dxa"/>
              <w:right w:w="10" w:type="dxa"/>
            </w:tcMar>
            <w:vAlign w:val="center"/>
          </w:tcPr>
          <w:p w14:paraId="7030FA78">
            <w:pPr>
              <w:widowControl/>
              <w:adjustRightInd/>
              <w:jc w:val="center"/>
              <w:rPr>
                <w:rFonts w:hint="eastAsia" w:ascii="宋体" w:hAnsi="宋体" w:eastAsia="宋体" w:cs="宋体"/>
                <w:color w:val="auto"/>
                <w:sz w:val="24"/>
                <w:szCs w:val="24"/>
                <w:highlight w:val="none"/>
              </w:rPr>
            </w:pPr>
          </w:p>
        </w:tc>
        <w:tc>
          <w:tcPr>
            <w:tcW w:w="3257" w:type="dxa"/>
            <w:noWrap w:val="0"/>
            <w:tcMar>
              <w:top w:w="10" w:type="dxa"/>
              <w:left w:w="10" w:type="dxa"/>
              <w:right w:w="10" w:type="dxa"/>
            </w:tcMar>
            <w:vAlign w:val="center"/>
          </w:tcPr>
          <w:p w14:paraId="1610F487">
            <w:pPr>
              <w:widowControl/>
              <w:adjustRightInd/>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相关人员有违法违纪行为且造成恶劣影响的</w:t>
            </w:r>
            <w:r>
              <w:rPr>
                <w:rFonts w:hint="eastAsia" w:ascii="宋体" w:hAnsi="宋体" w:eastAsia="宋体" w:cs="宋体"/>
                <w:color w:val="auto"/>
                <w:sz w:val="24"/>
                <w:szCs w:val="24"/>
                <w:highlight w:val="none"/>
                <w:lang w:eastAsia="zh-CN"/>
              </w:rPr>
              <w:t>。</w:t>
            </w:r>
          </w:p>
        </w:tc>
        <w:tc>
          <w:tcPr>
            <w:tcW w:w="3313" w:type="dxa"/>
            <w:noWrap w:val="0"/>
            <w:tcMar>
              <w:top w:w="10" w:type="dxa"/>
              <w:left w:w="10" w:type="dxa"/>
              <w:right w:w="10" w:type="dxa"/>
            </w:tcMar>
            <w:vAlign w:val="center"/>
          </w:tcPr>
          <w:p w14:paraId="28DBBFFE">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每次</w:t>
            </w:r>
            <w:r>
              <w:rPr>
                <w:rFonts w:hint="eastAsia" w:ascii="宋体" w:hAnsi="宋体" w:eastAsia="宋体" w:cs="宋体"/>
                <w:color w:val="auto"/>
                <w:sz w:val="24"/>
                <w:szCs w:val="24"/>
                <w:highlight w:val="none"/>
              </w:rPr>
              <w:t>视情节轻重扣除经费</w:t>
            </w:r>
            <w:r>
              <w:rPr>
                <w:rFonts w:hint="eastAsia" w:ascii="宋体" w:hAnsi="宋体" w:eastAsia="宋体" w:cs="宋体"/>
                <w:color w:val="auto"/>
                <w:sz w:val="24"/>
                <w:szCs w:val="24"/>
                <w:highlight w:val="none"/>
                <w:lang w:val="en-US" w:eastAsia="zh-CN"/>
              </w:rPr>
              <w:t>5000-30000</w:t>
            </w:r>
            <w:r>
              <w:rPr>
                <w:rFonts w:hint="eastAsia" w:ascii="宋体" w:hAnsi="宋体" w:eastAsia="宋体" w:cs="宋体"/>
                <w:color w:val="auto"/>
                <w:sz w:val="24"/>
                <w:szCs w:val="24"/>
                <w:highlight w:val="none"/>
              </w:rPr>
              <w:t>元</w:t>
            </w:r>
          </w:p>
        </w:tc>
        <w:tc>
          <w:tcPr>
            <w:tcW w:w="1091" w:type="dxa"/>
            <w:noWrap w:val="0"/>
            <w:vAlign w:val="center"/>
          </w:tcPr>
          <w:p w14:paraId="0362F4D3">
            <w:pPr>
              <w:widowControl/>
              <w:adjustRightInd/>
              <w:rPr>
                <w:rFonts w:hint="eastAsia" w:ascii="宋体" w:hAnsi="宋体" w:eastAsia="宋体" w:cs="宋体"/>
                <w:color w:val="auto"/>
                <w:sz w:val="24"/>
                <w:szCs w:val="24"/>
                <w:highlight w:val="none"/>
              </w:rPr>
            </w:pPr>
          </w:p>
        </w:tc>
      </w:tr>
      <w:tr w14:paraId="3A7EC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3" w:hRule="atLeast"/>
        </w:trPr>
        <w:tc>
          <w:tcPr>
            <w:tcW w:w="866" w:type="dxa"/>
            <w:noWrap w:val="0"/>
            <w:tcMar>
              <w:top w:w="10" w:type="dxa"/>
              <w:left w:w="10" w:type="dxa"/>
              <w:right w:w="10" w:type="dxa"/>
            </w:tcMar>
            <w:vAlign w:val="center"/>
          </w:tcPr>
          <w:p w14:paraId="7FD1A275">
            <w:pPr>
              <w:widowControl/>
              <w:adjustRightInd/>
              <w:spacing w:beforeLines="0" w:afterLines="0"/>
              <w:jc w:val="center"/>
              <w:rPr>
                <w:rFonts w:hint="eastAsia" w:ascii="宋体" w:hAnsi="宋体" w:eastAsia="宋体" w:cs="宋体"/>
                <w:color w:val="auto"/>
                <w:sz w:val="24"/>
                <w:szCs w:val="24"/>
                <w:highlight w:val="none"/>
              </w:rPr>
            </w:pPr>
            <w:r>
              <w:rPr>
                <w:rFonts w:hint="default" w:ascii="宋体" w:hAnsi="宋体" w:eastAsia="宋体" w:cs="宋体"/>
                <w:color w:val="auto"/>
                <w:sz w:val="24"/>
                <w:szCs w:val="24"/>
                <w:highlight w:val="none"/>
              </w:rPr>
              <w:t>绿化养护人员执业证书</w:t>
            </w:r>
          </w:p>
        </w:tc>
        <w:tc>
          <w:tcPr>
            <w:tcW w:w="3257" w:type="dxa"/>
            <w:noWrap w:val="0"/>
            <w:vAlign w:val="center"/>
          </w:tcPr>
          <w:p w14:paraId="3F69BEE5">
            <w:pPr>
              <w:widowControl/>
              <w:adjustRightInd/>
              <w:spacing w:beforeLines="0" w:afterLines="0"/>
              <w:jc w:val="left"/>
              <w:rPr>
                <w:rFonts w:hint="eastAsia" w:ascii="宋体" w:hAnsi="宋体" w:eastAsia="宋体" w:cs="宋体"/>
                <w:color w:val="auto"/>
                <w:sz w:val="24"/>
                <w:szCs w:val="24"/>
                <w:highlight w:val="none"/>
                <w:lang w:eastAsia="zh-CN"/>
              </w:rPr>
            </w:pPr>
            <w:r>
              <w:rPr>
                <w:rFonts w:hint="default" w:ascii="宋体" w:hAnsi="宋体" w:eastAsia="宋体" w:cs="宋体"/>
                <w:color w:val="auto"/>
                <w:sz w:val="24"/>
                <w:szCs w:val="24"/>
                <w:highlight w:val="none"/>
              </w:rPr>
              <w:t>要求中标人配备的绿化养护人员都具有绿化工或草坪工证书，允许中标人在合同签订后6个月内配足。</w:t>
            </w:r>
          </w:p>
        </w:tc>
        <w:tc>
          <w:tcPr>
            <w:tcW w:w="3313" w:type="dxa"/>
            <w:noWrap w:val="0"/>
            <w:tcMar>
              <w:top w:w="10" w:type="dxa"/>
              <w:left w:w="10" w:type="dxa"/>
              <w:right w:w="10" w:type="dxa"/>
            </w:tcMar>
            <w:vAlign w:val="center"/>
          </w:tcPr>
          <w:p w14:paraId="778C385B">
            <w:pPr>
              <w:widowControl/>
              <w:adjustRightInd/>
              <w:spacing w:beforeLines="0" w:afterLines="0"/>
              <w:jc w:val="left"/>
              <w:rPr>
                <w:rFonts w:hint="eastAsia" w:ascii="宋体" w:hAnsi="宋体" w:eastAsia="宋体" w:cs="宋体"/>
                <w:color w:val="auto"/>
                <w:sz w:val="24"/>
                <w:szCs w:val="24"/>
                <w:highlight w:val="none"/>
              </w:rPr>
            </w:pPr>
            <w:r>
              <w:rPr>
                <w:rFonts w:hint="default" w:ascii="宋体" w:hAnsi="宋体" w:eastAsia="宋体" w:cs="宋体"/>
                <w:color w:val="auto"/>
                <w:sz w:val="24"/>
                <w:szCs w:val="24"/>
                <w:highlight w:val="none"/>
              </w:rPr>
              <w:t>6个月后，有未配足的，扣除经费2000/人/月。</w:t>
            </w:r>
          </w:p>
        </w:tc>
        <w:tc>
          <w:tcPr>
            <w:tcW w:w="1091" w:type="dxa"/>
            <w:noWrap w:val="0"/>
            <w:vAlign w:val="center"/>
          </w:tcPr>
          <w:p w14:paraId="219429E4">
            <w:pPr>
              <w:widowControl/>
              <w:adjustRightInd/>
              <w:rPr>
                <w:rFonts w:hint="eastAsia" w:ascii="宋体" w:hAnsi="宋体" w:eastAsia="宋体" w:cs="宋体"/>
                <w:color w:val="auto"/>
                <w:sz w:val="24"/>
                <w:szCs w:val="24"/>
                <w:highlight w:val="none"/>
              </w:rPr>
            </w:pPr>
          </w:p>
        </w:tc>
      </w:tr>
      <w:tr w14:paraId="5AD22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3" w:hRule="atLeast"/>
        </w:trPr>
        <w:tc>
          <w:tcPr>
            <w:tcW w:w="866" w:type="dxa"/>
            <w:vMerge w:val="restart"/>
            <w:noWrap w:val="0"/>
            <w:tcMar>
              <w:top w:w="10" w:type="dxa"/>
              <w:left w:w="10" w:type="dxa"/>
              <w:right w:w="10" w:type="dxa"/>
            </w:tcMar>
            <w:vAlign w:val="center"/>
          </w:tcPr>
          <w:p w14:paraId="1FC165CE">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到岗率</w:t>
            </w:r>
          </w:p>
        </w:tc>
        <w:tc>
          <w:tcPr>
            <w:tcW w:w="3257" w:type="dxa"/>
            <w:noWrap w:val="0"/>
            <w:vAlign w:val="center"/>
          </w:tcPr>
          <w:p w14:paraId="7E4CF704">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作业</w:t>
            </w:r>
            <w:r>
              <w:rPr>
                <w:rFonts w:hint="eastAsia" w:ascii="宋体" w:hAnsi="宋体" w:eastAsia="宋体" w:cs="宋体"/>
                <w:color w:val="auto"/>
                <w:sz w:val="24"/>
                <w:szCs w:val="24"/>
                <w:highlight w:val="none"/>
              </w:rPr>
              <w:t>队伍</w:t>
            </w:r>
            <w:r>
              <w:rPr>
                <w:rFonts w:hint="eastAsia" w:ascii="宋体" w:hAnsi="宋体" w:eastAsia="宋体" w:cs="宋体"/>
                <w:color w:val="auto"/>
                <w:sz w:val="24"/>
                <w:szCs w:val="24"/>
                <w:highlight w:val="none"/>
                <w:lang w:eastAsia="zh-CN"/>
              </w:rPr>
              <w:t>人员</w:t>
            </w:r>
            <w:r>
              <w:rPr>
                <w:rFonts w:hint="eastAsia" w:ascii="宋体" w:hAnsi="宋体" w:eastAsia="宋体" w:cs="宋体"/>
                <w:color w:val="auto"/>
                <w:sz w:val="24"/>
                <w:szCs w:val="24"/>
                <w:highlight w:val="none"/>
              </w:rPr>
              <w:t>随机抽查，未在岗。</w:t>
            </w:r>
          </w:p>
        </w:tc>
        <w:tc>
          <w:tcPr>
            <w:tcW w:w="3313" w:type="dxa"/>
            <w:noWrap w:val="0"/>
            <w:tcMar>
              <w:top w:w="10" w:type="dxa"/>
              <w:left w:w="10" w:type="dxa"/>
              <w:right w:w="10" w:type="dxa"/>
            </w:tcMar>
            <w:vAlign w:val="center"/>
          </w:tcPr>
          <w:p w14:paraId="0F490982">
            <w:pPr>
              <w:widowControl/>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每个岗位每次缺</w:t>
            </w:r>
            <w:r>
              <w:rPr>
                <w:rFonts w:hint="eastAsia" w:ascii="宋体" w:hAnsi="宋体" w:eastAsia="宋体" w:cs="宋体"/>
                <w:color w:val="auto"/>
                <w:sz w:val="24"/>
                <w:szCs w:val="24"/>
                <w:highlight w:val="none"/>
                <w:lang w:eastAsia="zh-CN"/>
              </w:rPr>
              <w:t>岗</w:t>
            </w:r>
            <w:r>
              <w:rPr>
                <w:rFonts w:hint="eastAsia" w:ascii="宋体" w:hAnsi="宋体" w:eastAsia="宋体" w:cs="宋体"/>
                <w:color w:val="auto"/>
                <w:sz w:val="24"/>
                <w:szCs w:val="24"/>
                <w:highlight w:val="none"/>
              </w:rPr>
              <w:t>扣</w:t>
            </w:r>
            <w:r>
              <w:rPr>
                <w:rFonts w:hint="eastAsia" w:ascii="宋体" w:hAnsi="宋体" w:eastAsia="宋体" w:cs="宋体"/>
                <w:color w:val="auto"/>
                <w:sz w:val="24"/>
                <w:szCs w:val="24"/>
                <w:highlight w:val="none"/>
                <w:lang w:eastAsia="zh-CN"/>
              </w:rPr>
              <w:t>减</w:t>
            </w:r>
            <w:r>
              <w:rPr>
                <w:rFonts w:hint="eastAsia" w:ascii="宋体" w:hAnsi="宋体" w:eastAsia="宋体" w:cs="宋体"/>
                <w:color w:val="auto"/>
                <w:sz w:val="24"/>
                <w:szCs w:val="24"/>
                <w:highlight w:val="none"/>
              </w:rPr>
              <w:t>500元。</w:t>
            </w:r>
          </w:p>
        </w:tc>
        <w:tc>
          <w:tcPr>
            <w:tcW w:w="1091" w:type="dxa"/>
            <w:noWrap w:val="0"/>
            <w:vAlign w:val="center"/>
          </w:tcPr>
          <w:p w14:paraId="61B794BB">
            <w:pPr>
              <w:widowControl/>
              <w:adjustRightInd/>
              <w:rPr>
                <w:rFonts w:hint="eastAsia" w:ascii="宋体" w:hAnsi="宋体" w:eastAsia="宋体" w:cs="宋体"/>
                <w:color w:val="auto"/>
                <w:sz w:val="24"/>
                <w:szCs w:val="24"/>
                <w:highlight w:val="none"/>
              </w:rPr>
            </w:pPr>
          </w:p>
        </w:tc>
      </w:tr>
      <w:tr w14:paraId="2B00C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8" w:hRule="atLeast"/>
        </w:trPr>
        <w:tc>
          <w:tcPr>
            <w:tcW w:w="866" w:type="dxa"/>
            <w:vMerge w:val="continue"/>
            <w:noWrap w:val="0"/>
            <w:tcMar>
              <w:top w:w="10" w:type="dxa"/>
              <w:left w:w="10" w:type="dxa"/>
              <w:right w:w="10" w:type="dxa"/>
            </w:tcMar>
            <w:vAlign w:val="center"/>
          </w:tcPr>
          <w:p w14:paraId="2A988326">
            <w:pPr>
              <w:widowControl/>
              <w:adjustRightInd/>
              <w:jc w:val="center"/>
              <w:rPr>
                <w:rFonts w:hint="eastAsia" w:ascii="宋体" w:hAnsi="宋体" w:eastAsia="宋体" w:cs="宋体"/>
                <w:color w:val="auto"/>
                <w:sz w:val="24"/>
                <w:szCs w:val="24"/>
                <w:highlight w:val="none"/>
              </w:rPr>
            </w:pPr>
          </w:p>
        </w:tc>
        <w:tc>
          <w:tcPr>
            <w:tcW w:w="3257" w:type="dxa"/>
            <w:noWrap w:val="0"/>
            <w:tcMar>
              <w:top w:w="10" w:type="dxa"/>
              <w:left w:w="10" w:type="dxa"/>
              <w:right w:w="10" w:type="dxa"/>
            </w:tcMar>
            <w:vAlign w:val="center"/>
          </w:tcPr>
          <w:p w14:paraId="14D95C80">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项目负责人缺岗。</w:t>
            </w:r>
          </w:p>
        </w:tc>
        <w:tc>
          <w:tcPr>
            <w:tcW w:w="3313" w:type="dxa"/>
            <w:noWrap w:val="0"/>
            <w:tcMar>
              <w:top w:w="10" w:type="dxa"/>
              <w:left w:w="10" w:type="dxa"/>
              <w:right w:w="10" w:type="dxa"/>
            </w:tcMar>
            <w:vAlign w:val="center"/>
          </w:tcPr>
          <w:p w14:paraId="3C39C663">
            <w:pPr>
              <w:widowControl w:val="0"/>
              <w:ind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每次扣减2000元。</w:t>
            </w:r>
          </w:p>
        </w:tc>
        <w:tc>
          <w:tcPr>
            <w:tcW w:w="1091" w:type="dxa"/>
            <w:noWrap w:val="0"/>
            <w:vAlign w:val="center"/>
          </w:tcPr>
          <w:p w14:paraId="72D34300">
            <w:pPr>
              <w:widowControl w:val="0"/>
              <w:ind w:firstLine="0" w:firstLineChars="0"/>
              <w:jc w:val="both"/>
              <w:rPr>
                <w:rFonts w:hint="eastAsia" w:ascii="宋体" w:hAnsi="宋体" w:eastAsia="宋体" w:cs="宋体"/>
                <w:color w:val="auto"/>
                <w:kern w:val="2"/>
                <w:sz w:val="24"/>
                <w:szCs w:val="24"/>
                <w:highlight w:val="none"/>
                <w:lang w:val="en-US" w:eastAsia="zh-CN" w:bidi="ar-SA"/>
              </w:rPr>
            </w:pPr>
          </w:p>
        </w:tc>
      </w:tr>
      <w:tr w14:paraId="3801D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3" w:hRule="atLeast"/>
        </w:trPr>
        <w:tc>
          <w:tcPr>
            <w:tcW w:w="866" w:type="dxa"/>
            <w:vMerge w:val="continue"/>
            <w:noWrap w:val="0"/>
            <w:tcMar>
              <w:top w:w="10" w:type="dxa"/>
              <w:left w:w="10" w:type="dxa"/>
              <w:right w:w="10" w:type="dxa"/>
            </w:tcMar>
            <w:vAlign w:val="center"/>
          </w:tcPr>
          <w:p w14:paraId="1181D7F6">
            <w:pPr>
              <w:widowControl/>
              <w:adjustRightInd/>
              <w:jc w:val="center"/>
              <w:rPr>
                <w:rFonts w:hint="eastAsia" w:ascii="宋体" w:hAnsi="宋体" w:eastAsia="宋体" w:cs="宋体"/>
                <w:color w:val="auto"/>
                <w:sz w:val="24"/>
                <w:szCs w:val="24"/>
                <w:highlight w:val="none"/>
              </w:rPr>
            </w:pPr>
          </w:p>
        </w:tc>
        <w:tc>
          <w:tcPr>
            <w:tcW w:w="3257" w:type="dxa"/>
            <w:noWrap w:val="0"/>
            <w:tcMar>
              <w:top w:w="10" w:type="dxa"/>
              <w:left w:w="10" w:type="dxa"/>
              <w:right w:w="10" w:type="dxa"/>
            </w:tcMar>
            <w:vAlign w:val="center"/>
          </w:tcPr>
          <w:p w14:paraId="7672D876">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管理团队其他人员缺岗。</w:t>
            </w:r>
          </w:p>
        </w:tc>
        <w:tc>
          <w:tcPr>
            <w:tcW w:w="3313" w:type="dxa"/>
            <w:noWrap w:val="0"/>
            <w:tcMar>
              <w:top w:w="10" w:type="dxa"/>
              <w:left w:w="10" w:type="dxa"/>
              <w:right w:w="10" w:type="dxa"/>
            </w:tcMar>
            <w:vAlign w:val="center"/>
          </w:tcPr>
          <w:p w14:paraId="0CD384E1">
            <w:pPr>
              <w:widowControl w:val="0"/>
              <w:ind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每人每次扣减1000元。</w:t>
            </w:r>
          </w:p>
        </w:tc>
        <w:tc>
          <w:tcPr>
            <w:tcW w:w="1091" w:type="dxa"/>
            <w:noWrap w:val="0"/>
            <w:vAlign w:val="center"/>
          </w:tcPr>
          <w:p w14:paraId="2CEEA55C">
            <w:pPr>
              <w:widowControl w:val="0"/>
              <w:ind w:firstLine="0" w:firstLineChars="0"/>
              <w:jc w:val="both"/>
              <w:rPr>
                <w:rFonts w:hint="eastAsia" w:ascii="宋体" w:hAnsi="宋体" w:eastAsia="宋体" w:cs="宋体"/>
                <w:color w:val="auto"/>
                <w:kern w:val="2"/>
                <w:sz w:val="24"/>
                <w:szCs w:val="24"/>
                <w:highlight w:val="none"/>
                <w:lang w:val="en-US" w:eastAsia="zh-CN" w:bidi="ar-SA"/>
              </w:rPr>
            </w:pPr>
          </w:p>
        </w:tc>
      </w:tr>
      <w:tr w14:paraId="22380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5" w:hRule="atLeast"/>
        </w:trPr>
        <w:tc>
          <w:tcPr>
            <w:tcW w:w="866" w:type="dxa"/>
            <w:noWrap w:val="0"/>
            <w:tcMar>
              <w:top w:w="10" w:type="dxa"/>
              <w:left w:w="10" w:type="dxa"/>
              <w:right w:w="10" w:type="dxa"/>
            </w:tcMar>
            <w:vAlign w:val="center"/>
          </w:tcPr>
          <w:p w14:paraId="337E14B4">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机械设备配置情况</w:t>
            </w:r>
          </w:p>
        </w:tc>
        <w:tc>
          <w:tcPr>
            <w:tcW w:w="3257" w:type="dxa"/>
            <w:noWrap w:val="0"/>
            <w:tcMar>
              <w:top w:w="10" w:type="dxa"/>
              <w:left w:w="10" w:type="dxa"/>
              <w:right w:w="10" w:type="dxa"/>
            </w:tcMar>
            <w:vAlign w:val="center"/>
          </w:tcPr>
          <w:p w14:paraId="20FBC8EA">
            <w:pPr>
              <w:widowControl w:val="0"/>
              <w:ind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检查发现各类机械等专用设备未按合同约定配备。</w:t>
            </w:r>
          </w:p>
        </w:tc>
        <w:tc>
          <w:tcPr>
            <w:tcW w:w="3313" w:type="dxa"/>
            <w:noWrap w:val="0"/>
            <w:tcMar>
              <w:top w:w="10" w:type="dxa"/>
              <w:left w:w="10" w:type="dxa"/>
              <w:right w:w="10" w:type="dxa"/>
            </w:tcMar>
            <w:vAlign w:val="center"/>
          </w:tcPr>
          <w:p w14:paraId="365CFB7B">
            <w:pPr>
              <w:widowControl w:val="0"/>
              <w:ind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每台每次扣减1000元。</w:t>
            </w:r>
          </w:p>
        </w:tc>
        <w:tc>
          <w:tcPr>
            <w:tcW w:w="1091" w:type="dxa"/>
            <w:noWrap w:val="0"/>
            <w:vAlign w:val="center"/>
          </w:tcPr>
          <w:p w14:paraId="43562323">
            <w:pPr>
              <w:widowControl w:val="0"/>
              <w:ind w:firstLine="0" w:firstLineChars="0"/>
              <w:jc w:val="both"/>
              <w:rPr>
                <w:rFonts w:hint="eastAsia" w:ascii="宋体" w:hAnsi="宋体" w:eastAsia="宋体" w:cs="宋体"/>
                <w:color w:val="auto"/>
                <w:kern w:val="2"/>
                <w:sz w:val="24"/>
                <w:szCs w:val="24"/>
                <w:highlight w:val="none"/>
                <w:lang w:val="en-US" w:eastAsia="zh-CN" w:bidi="ar-SA"/>
              </w:rPr>
            </w:pPr>
          </w:p>
        </w:tc>
      </w:tr>
      <w:tr w14:paraId="5EFB1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5" w:hRule="atLeast"/>
        </w:trPr>
        <w:tc>
          <w:tcPr>
            <w:tcW w:w="866" w:type="dxa"/>
            <w:noWrap w:val="0"/>
            <w:tcMar>
              <w:top w:w="10" w:type="dxa"/>
              <w:left w:w="10" w:type="dxa"/>
              <w:right w:w="10" w:type="dxa"/>
            </w:tcMar>
            <w:vAlign w:val="center"/>
          </w:tcPr>
          <w:p w14:paraId="389AEE5E">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专项</w:t>
            </w:r>
            <w:r>
              <w:rPr>
                <w:rFonts w:hint="eastAsia" w:ascii="宋体" w:hAnsi="宋体" w:eastAsia="宋体" w:cs="宋体"/>
                <w:color w:val="auto"/>
                <w:sz w:val="24"/>
                <w:szCs w:val="24"/>
                <w:highlight w:val="none"/>
              </w:rPr>
              <w:t>检查</w:t>
            </w:r>
          </w:p>
        </w:tc>
        <w:tc>
          <w:tcPr>
            <w:tcW w:w="3257" w:type="dxa"/>
            <w:noWrap w:val="0"/>
            <w:tcMar>
              <w:top w:w="10" w:type="dxa"/>
              <w:left w:w="10" w:type="dxa"/>
              <w:right w:w="10" w:type="dxa"/>
            </w:tcMar>
            <w:vAlign w:val="center"/>
          </w:tcPr>
          <w:p w14:paraId="01B23CE6">
            <w:pPr>
              <w:widowControl/>
              <w:adjustRightInd/>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根据</w:t>
            </w:r>
            <w:r>
              <w:rPr>
                <w:rFonts w:hint="eastAsia" w:ascii="宋体" w:hAnsi="宋体" w:eastAsia="宋体" w:cs="宋体"/>
                <w:color w:val="auto"/>
                <w:sz w:val="24"/>
                <w:szCs w:val="24"/>
                <w:highlight w:val="none"/>
                <w:lang w:eastAsia="zh-CN"/>
              </w:rPr>
              <w:t>市级及以上其他部门各类专项检查，如各级文明城市检查中扣分被通报的。</w:t>
            </w:r>
          </w:p>
        </w:tc>
        <w:tc>
          <w:tcPr>
            <w:tcW w:w="3313" w:type="dxa"/>
            <w:noWrap w:val="0"/>
            <w:tcMar>
              <w:top w:w="10" w:type="dxa"/>
              <w:left w:w="10" w:type="dxa"/>
              <w:right w:w="10" w:type="dxa"/>
            </w:tcMar>
            <w:vAlign w:val="center"/>
          </w:tcPr>
          <w:p w14:paraId="0232E533">
            <w:pPr>
              <w:widowControl/>
              <w:adjustRightInd/>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每次扣</w:t>
            </w:r>
            <w:r>
              <w:rPr>
                <w:rFonts w:hint="eastAsia" w:ascii="宋体" w:hAnsi="宋体" w:eastAsia="宋体" w:cs="宋体"/>
                <w:color w:val="auto"/>
                <w:sz w:val="24"/>
                <w:szCs w:val="24"/>
                <w:highlight w:val="none"/>
                <w:lang w:val="en-US" w:eastAsia="zh-CN"/>
              </w:rPr>
              <w:t>5000元。</w:t>
            </w:r>
          </w:p>
        </w:tc>
        <w:tc>
          <w:tcPr>
            <w:tcW w:w="1091" w:type="dxa"/>
            <w:noWrap w:val="0"/>
            <w:vAlign w:val="center"/>
          </w:tcPr>
          <w:p w14:paraId="19949DAA">
            <w:pPr>
              <w:widowControl/>
              <w:adjustRightInd/>
              <w:rPr>
                <w:rFonts w:hint="eastAsia" w:ascii="宋体" w:hAnsi="宋体" w:eastAsia="宋体" w:cs="宋体"/>
                <w:color w:val="auto"/>
                <w:sz w:val="24"/>
                <w:szCs w:val="24"/>
                <w:highlight w:val="none"/>
              </w:rPr>
            </w:pPr>
          </w:p>
        </w:tc>
      </w:tr>
      <w:tr w14:paraId="332FC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trPr>
        <w:tc>
          <w:tcPr>
            <w:tcW w:w="866" w:type="dxa"/>
            <w:vMerge w:val="restart"/>
            <w:noWrap w:val="0"/>
            <w:vAlign w:val="center"/>
          </w:tcPr>
          <w:p w14:paraId="09D1BB4D">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安全管理</w:t>
            </w:r>
          </w:p>
        </w:tc>
        <w:tc>
          <w:tcPr>
            <w:tcW w:w="3257" w:type="dxa"/>
            <w:noWrap w:val="0"/>
            <w:vAlign w:val="center"/>
          </w:tcPr>
          <w:p w14:paraId="22197CCD">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园内设施维修时，围护措施不到位，影响游客游园安全。</w:t>
            </w:r>
          </w:p>
        </w:tc>
        <w:tc>
          <w:tcPr>
            <w:tcW w:w="3313" w:type="dxa"/>
            <w:noWrap w:val="0"/>
            <w:vAlign w:val="center"/>
          </w:tcPr>
          <w:p w14:paraId="617A0BB0">
            <w:pPr>
              <w:widowControl/>
              <w:adjustRightInd/>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每次扣</w:t>
            </w:r>
            <w:r>
              <w:rPr>
                <w:rFonts w:hint="eastAsia" w:ascii="宋体" w:hAnsi="宋体" w:eastAsia="宋体" w:cs="宋体"/>
                <w:color w:val="auto"/>
                <w:sz w:val="24"/>
                <w:szCs w:val="24"/>
                <w:highlight w:val="none"/>
                <w:lang w:val="en-US" w:eastAsia="zh-CN"/>
              </w:rPr>
              <w:t>1000元。</w:t>
            </w:r>
          </w:p>
        </w:tc>
        <w:tc>
          <w:tcPr>
            <w:tcW w:w="1091" w:type="dxa"/>
            <w:noWrap w:val="0"/>
            <w:vAlign w:val="center"/>
          </w:tcPr>
          <w:p w14:paraId="03D69BD8">
            <w:pPr>
              <w:widowControl/>
              <w:adjustRightInd/>
              <w:rPr>
                <w:rFonts w:hint="eastAsia" w:ascii="宋体" w:hAnsi="宋体" w:eastAsia="宋体" w:cs="宋体"/>
                <w:color w:val="auto"/>
                <w:sz w:val="24"/>
                <w:szCs w:val="24"/>
                <w:highlight w:val="none"/>
              </w:rPr>
            </w:pPr>
          </w:p>
        </w:tc>
      </w:tr>
      <w:tr w14:paraId="2D870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trPr>
        <w:tc>
          <w:tcPr>
            <w:tcW w:w="866" w:type="dxa"/>
            <w:vMerge w:val="continue"/>
            <w:noWrap w:val="0"/>
            <w:vAlign w:val="center"/>
          </w:tcPr>
          <w:p w14:paraId="3CF5EA9D">
            <w:pPr>
              <w:widowControl/>
              <w:adjustRightInd/>
              <w:jc w:val="center"/>
              <w:rPr>
                <w:rFonts w:hint="eastAsia" w:ascii="宋体" w:hAnsi="宋体" w:eastAsia="宋体" w:cs="宋体"/>
                <w:color w:val="auto"/>
                <w:sz w:val="24"/>
                <w:szCs w:val="24"/>
                <w:highlight w:val="none"/>
              </w:rPr>
            </w:pPr>
          </w:p>
        </w:tc>
        <w:tc>
          <w:tcPr>
            <w:tcW w:w="3257" w:type="dxa"/>
            <w:noWrap w:val="0"/>
            <w:vAlign w:val="center"/>
          </w:tcPr>
          <w:p w14:paraId="5529536A">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园内发生火灾</w:t>
            </w:r>
            <w:r>
              <w:rPr>
                <w:rFonts w:hint="eastAsia" w:ascii="宋体" w:hAnsi="宋体" w:eastAsia="宋体" w:cs="宋体"/>
                <w:color w:val="auto"/>
                <w:sz w:val="24"/>
                <w:szCs w:val="24"/>
                <w:highlight w:val="none"/>
              </w:rPr>
              <w:t>未及时处理。</w:t>
            </w:r>
          </w:p>
        </w:tc>
        <w:tc>
          <w:tcPr>
            <w:tcW w:w="3313" w:type="dxa"/>
            <w:noWrap w:val="0"/>
            <w:vAlign w:val="center"/>
          </w:tcPr>
          <w:p w14:paraId="591DF918">
            <w:pPr>
              <w:widowControl/>
              <w:adjustRightInd/>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过火面积每平方扣减</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00元</w:t>
            </w:r>
            <w:r>
              <w:rPr>
                <w:rFonts w:hint="eastAsia" w:ascii="宋体" w:hAnsi="宋体" w:eastAsia="宋体" w:cs="宋体"/>
                <w:color w:val="auto"/>
                <w:sz w:val="24"/>
                <w:szCs w:val="24"/>
                <w:highlight w:val="none"/>
                <w:lang w:eastAsia="zh-CN"/>
              </w:rPr>
              <w:t>。</w:t>
            </w:r>
          </w:p>
        </w:tc>
        <w:tc>
          <w:tcPr>
            <w:tcW w:w="1091" w:type="dxa"/>
            <w:noWrap w:val="0"/>
            <w:vAlign w:val="center"/>
          </w:tcPr>
          <w:p w14:paraId="36B7F08F">
            <w:pPr>
              <w:widowControl/>
              <w:adjustRightInd/>
              <w:rPr>
                <w:rFonts w:hint="eastAsia" w:ascii="宋体" w:hAnsi="宋体" w:eastAsia="宋体" w:cs="宋体"/>
                <w:color w:val="auto"/>
                <w:sz w:val="24"/>
                <w:szCs w:val="24"/>
                <w:highlight w:val="none"/>
              </w:rPr>
            </w:pPr>
          </w:p>
        </w:tc>
      </w:tr>
      <w:tr w14:paraId="6E7A7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trPr>
        <w:tc>
          <w:tcPr>
            <w:tcW w:w="866" w:type="dxa"/>
            <w:vMerge w:val="continue"/>
            <w:noWrap w:val="0"/>
            <w:vAlign w:val="center"/>
          </w:tcPr>
          <w:p w14:paraId="32750C54">
            <w:pPr>
              <w:widowControl/>
              <w:adjustRightInd/>
              <w:jc w:val="center"/>
              <w:rPr>
                <w:rFonts w:hint="eastAsia" w:ascii="宋体" w:hAnsi="宋体" w:eastAsia="宋体" w:cs="宋体"/>
                <w:color w:val="auto"/>
                <w:sz w:val="24"/>
                <w:szCs w:val="24"/>
                <w:highlight w:val="none"/>
              </w:rPr>
            </w:pPr>
          </w:p>
        </w:tc>
        <w:tc>
          <w:tcPr>
            <w:tcW w:w="3257" w:type="dxa"/>
            <w:noWrap w:val="0"/>
            <w:vAlign w:val="center"/>
          </w:tcPr>
          <w:p w14:paraId="74C1E644">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出现宣传法轮功、污蔑党和国家等政治事件，未及时制止的。</w:t>
            </w:r>
          </w:p>
        </w:tc>
        <w:tc>
          <w:tcPr>
            <w:tcW w:w="3313" w:type="dxa"/>
            <w:noWrap w:val="0"/>
            <w:vAlign w:val="center"/>
          </w:tcPr>
          <w:p w14:paraId="2703C72B">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每1起政治事件的扣减10000元。</w:t>
            </w:r>
          </w:p>
        </w:tc>
        <w:tc>
          <w:tcPr>
            <w:tcW w:w="1091" w:type="dxa"/>
            <w:noWrap w:val="0"/>
            <w:vAlign w:val="center"/>
          </w:tcPr>
          <w:p w14:paraId="234CB971">
            <w:pPr>
              <w:widowControl/>
              <w:adjustRightInd/>
              <w:rPr>
                <w:rFonts w:hint="eastAsia" w:ascii="宋体" w:hAnsi="宋体" w:eastAsia="宋体" w:cs="宋体"/>
                <w:color w:val="auto"/>
                <w:sz w:val="24"/>
                <w:szCs w:val="24"/>
                <w:highlight w:val="none"/>
              </w:rPr>
            </w:pPr>
          </w:p>
        </w:tc>
      </w:tr>
      <w:tr w14:paraId="4C8D4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6" w:hRule="atLeast"/>
        </w:trPr>
        <w:tc>
          <w:tcPr>
            <w:tcW w:w="866" w:type="dxa"/>
            <w:vMerge w:val="continue"/>
            <w:noWrap w:val="0"/>
            <w:vAlign w:val="center"/>
          </w:tcPr>
          <w:p w14:paraId="1F6F636A">
            <w:pPr>
              <w:widowControl/>
              <w:adjustRightInd/>
              <w:jc w:val="center"/>
              <w:rPr>
                <w:rFonts w:hint="eastAsia" w:ascii="宋体" w:hAnsi="宋体" w:eastAsia="宋体" w:cs="宋体"/>
                <w:color w:val="auto"/>
                <w:sz w:val="24"/>
                <w:szCs w:val="24"/>
                <w:highlight w:val="none"/>
              </w:rPr>
            </w:pPr>
          </w:p>
        </w:tc>
        <w:tc>
          <w:tcPr>
            <w:tcW w:w="3257" w:type="dxa"/>
            <w:noWrap w:val="0"/>
            <w:vAlign w:val="center"/>
          </w:tcPr>
          <w:p w14:paraId="0CF07EFF">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出现违法乱搭建、违法用地、非法养殖、非法盗伐等破坏公园生态环境的事件，未及时制止的。</w:t>
            </w:r>
          </w:p>
        </w:tc>
        <w:tc>
          <w:tcPr>
            <w:tcW w:w="3313" w:type="dxa"/>
            <w:noWrap w:val="0"/>
            <w:vAlign w:val="center"/>
          </w:tcPr>
          <w:p w14:paraId="64EEAD04">
            <w:pPr>
              <w:widowControl/>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每1起破坏公园生态环境事件的扣减5000元。</w:t>
            </w:r>
          </w:p>
        </w:tc>
        <w:tc>
          <w:tcPr>
            <w:tcW w:w="1091" w:type="dxa"/>
            <w:noWrap w:val="0"/>
            <w:vAlign w:val="center"/>
          </w:tcPr>
          <w:p w14:paraId="6CE71B58">
            <w:pPr>
              <w:widowControl/>
              <w:adjustRightInd/>
              <w:rPr>
                <w:rFonts w:hint="eastAsia" w:ascii="宋体" w:hAnsi="宋体" w:eastAsia="宋体" w:cs="宋体"/>
                <w:color w:val="auto"/>
                <w:sz w:val="24"/>
                <w:szCs w:val="24"/>
                <w:highlight w:val="none"/>
              </w:rPr>
            </w:pPr>
          </w:p>
        </w:tc>
      </w:tr>
      <w:tr w14:paraId="5D735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trPr>
        <w:tc>
          <w:tcPr>
            <w:tcW w:w="866" w:type="dxa"/>
            <w:vMerge w:val="restart"/>
            <w:noWrap w:val="0"/>
            <w:vAlign w:val="center"/>
          </w:tcPr>
          <w:p w14:paraId="684E8887">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响应情况</w:t>
            </w:r>
          </w:p>
        </w:tc>
        <w:tc>
          <w:tcPr>
            <w:tcW w:w="3257" w:type="dxa"/>
            <w:noWrap w:val="0"/>
            <w:vAlign w:val="center"/>
          </w:tcPr>
          <w:p w14:paraId="186DE3D0">
            <w:pPr>
              <w:widowControl w:val="0"/>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园内设施设备发生故障，未在规定时间内完成修复的。</w:t>
            </w:r>
          </w:p>
        </w:tc>
        <w:tc>
          <w:tcPr>
            <w:tcW w:w="3313" w:type="dxa"/>
            <w:noWrap w:val="0"/>
            <w:vAlign w:val="center"/>
          </w:tcPr>
          <w:p w14:paraId="24F1FC83">
            <w:pPr>
              <w:widowControl w:val="0"/>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每项每次扣减1000元。</w:t>
            </w:r>
          </w:p>
        </w:tc>
        <w:tc>
          <w:tcPr>
            <w:tcW w:w="1091" w:type="dxa"/>
            <w:noWrap w:val="0"/>
            <w:vAlign w:val="center"/>
          </w:tcPr>
          <w:p w14:paraId="3B839D18">
            <w:pPr>
              <w:widowControl/>
              <w:adjustRightInd/>
              <w:rPr>
                <w:rFonts w:hint="eastAsia" w:ascii="宋体" w:hAnsi="宋体" w:eastAsia="宋体" w:cs="宋体"/>
                <w:color w:val="auto"/>
                <w:sz w:val="24"/>
                <w:szCs w:val="24"/>
                <w:highlight w:val="none"/>
              </w:rPr>
            </w:pPr>
          </w:p>
        </w:tc>
      </w:tr>
      <w:tr w14:paraId="0966E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trPr>
        <w:tc>
          <w:tcPr>
            <w:tcW w:w="866" w:type="dxa"/>
            <w:vMerge w:val="continue"/>
            <w:noWrap w:val="0"/>
            <w:vAlign w:val="center"/>
          </w:tcPr>
          <w:p w14:paraId="561EB592">
            <w:pPr>
              <w:widowControl/>
              <w:adjustRightInd/>
              <w:jc w:val="center"/>
              <w:rPr>
                <w:rFonts w:hint="eastAsia" w:ascii="宋体" w:hAnsi="宋体" w:eastAsia="宋体" w:cs="宋体"/>
                <w:color w:val="auto"/>
                <w:sz w:val="24"/>
                <w:szCs w:val="24"/>
                <w:highlight w:val="none"/>
              </w:rPr>
            </w:pPr>
          </w:p>
        </w:tc>
        <w:tc>
          <w:tcPr>
            <w:tcW w:w="3257" w:type="dxa"/>
            <w:noWrap w:val="0"/>
            <w:vAlign w:val="center"/>
          </w:tcPr>
          <w:p w14:paraId="7A68461B">
            <w:pPr>
              <w:widowControl w:val="0"/>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园区内发生其他问题未及时采取有效措施。</w:t>
            </w:r>
          </w:p>
        </w:tc>
        <w:tc>
          <w:tcPr>
            <w:tcW w:w="3313" w:type="dxa"/>
            <w:noWrap w:val="0"/>
            <w:vAlign w:val="center"/>
          </w:tcPr>
          <w:p w14:paraId="45657AAB">
            <w:pPr>
              <w:widowControl w:val="0"/>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每次扣减2000元。</w:t>
            </w:r>
          </w:p>
        </w:tc>
        <w:tc>
          <w:tcPr>
            <w:tcW w:w="1091" w:type="dxa"/>
            <w:noWrap w:val="0"/>
            <w:vAlign w:val="center"/>
          </w:tcPr>
          <w:p w14:paraId="2AC49B4C">
            <w:pPr>
              <w:widowControl/>
              <w:adjustRightInd/>
              <w:rPr>
                <w:rFonts w:hint="eastAsia" w:ascii="宋体" w:hAnsi="宋体" w:eastAsia="宋体" w:cs="宋体"/>
                <w:color w:val="auto"/>
                <w:sz w:val="24"/>
                <w:szCs w:val="24"/>
                <w:highlight w:val="none"/>
              </w:rPr>
            </w:pPr>
          </w:p>
        </w:tc>
      </w:tr>
      <w:tr w14:paraId="20D0B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trPr>
        <w:tc>
          <w:tcPr>
            <w:tcW w:w="866" w:type="dxa"/>
            <w:vMerge w:val="continue"/>
            <w:noWrap w:val="0"/>
            <w:vAlign w:val="center"/>
          </w:tcPr>
          <w:p w14:paraId="073DC6E6">
            <w:pPr>
              <w:widowControl/>
              <w:adjustRightInd/>
              <w:jc w:val="center"/>
              <w:rPr>
                <w:rFonts w:hint="eastAsia" w:ascii="宋体" w:hAnsi="宋体" w:eastAsia="宋体" w:cs="宋体"/>
                <w:color w:val="auto"/>
                <w:sz w:val="24"/>
                <w:szCs w:val="24"/>
                <w:highlight w:val="none"/>
              </w:rPr>
            </w:pPr>
          </w:p>
        </w:tc>
        <w:tc>
          <w:tcPr>
            <w:tcW w:w="3257" w:type="dxa"/>
            <w:noWrap w:val="0"/>
            <w:vAlign w:val="center"/>
          </w:tcPr>
          <w:p w14:paraId="215A4FC2">
            <w:pPr>
              <w:widowControl/>
              <w:adjustRightInd/>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应急任务或重大活动保障不力、上级部门、相关部门督查督办</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rPr>
              <w:t>群众举报情况严重并经查证属实</w:t>
            </w:r>
            <w:r>
              <w:rPr>
                <w:rFonts w:hint="eastAsia" w:ascii="宋体" w:hAnsi="宋体" w:eastAsia="宋体" w:cs="宋体"/>
                <w:color w:val="auto"/>
                <w:sz w:val="24"/>
                <w:szCs w:val="24"/>
                <w:highlight w:val="none"/>
                <w:lang w:eastAsia="zh-CN"/>
              </w:rPr>
              <w:t>。</w:t>
            </w:r>
          </w:p>
        </w:tc>
        <w:tc>
          <w:tcPr>
            <w:tcW w:w="3313" w:type="dxa"/>
            <w:noWrap w:val="0"/>
            <w:vAlign w:val="center"/>
          </w:tcPr>
          <w:p w14:paraId="4C0853C6">
            <w:pPr>
              <w:widowControl/>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每次</w:t>
            </w:r>
            <w:r>
              <w:rPr>
                <w:rFonts w:hint="eastAsia" w:ascii="宋体" w:hAnsi="宋体" w:eastAsia="宋体" w:cs="宋体"/>
                <w:color w:val="auto"/>
                <w:sz w:val="24"/>
                <w:szCs w:val="24"/>
                <w:highlight w:val="none"/>
                <w:lang w:eastAsia="zh-CN"/>
              </w:rPr>
              <w:t>视情节轻重</w:t>
            </w:r>
            <w:r>
              <w:rPr>
                <w:rFonts w:hint="eastAsia" w:ascii="宋体" w:hAnsi="宋体" w:eastAsia="宋体" w:cs="宋体"/>
                <w:color w:val="auto"/>
                <w:sz w:val="24"/>
                <w:szCs w:val="24"/>
                <w:highlight w:val="none"/>
              </w:rPr>
              <w:t>扣减</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000</w:t>
            </w:r>
            <w:r>
              <w:rPr>
                <w:rFonts w:hint="eastAsia" w:ascii="宋体" w:hAnsi="宋体" w:eastAsia="宋体" w:cs="宋体"/>
                <w:color w:val="auto"/>
                <w:sz w:val="24"/>
                <w:szCs w:val="24"/>
                <w:highlight w:val="none"/>
                <w:lang w:val="en-US" w:eastAsia="zh-CN"/>
              </w:rPr>
              <w:t>-10000元</w:t>
            </w:r>
            <w:r>
              <w:rPr>
                <w:rFonts w:hint="eastAsia" w:ascii="宋体" w:hAnsi="宋体" w:eastAsia="宋体" w:cs="宋体"/>
                <w:color w:val="auto"/>
                <w:sz w:val="24"/>
                <w:szCs w:val="24"/>
                <w:highlight w:val="none"/>
              </w:rPr>
              <w:t>。</w:t>
            </w:r>
          </w:p>
        </w:tc>
        <w:tc>
          <w:tcPr>
            <w:tcW w:w="1091" w:type="dxa"/>
            <w:noWrap w:val="0"/>
            <w:vAlign w:val="center"/>
          </w:tcPr>
          <w:p w14:paraId="2236476A">
            <w:pPr>
              <w:widowControl/>
              <w:adjustRightInd/>
              <w:rPr>
                <w:rFonts w:hint="eastAsia" w:ascii="宋体" w:hAnsi="宋体" w:eastAsia="宋体" w:cs="宋体"/>
                <w:color w:val="auto"/>
                <w:sz w:val="24"/>
                <w:szCs w:val="24"/>
                <w:highlight w:val="none"/>
              </w:rPr>
            </w:pPr>
          </w:p>
        </w:tc>
      </w:tr>
      <w:tr w14:paraId="7ACAC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1" w:hRule="atLeast"/>
        </w:trPr>
        <w:tc>
          <w:tcPr>
            <w:tcW w:w="866" w:type="dxa"/>
            <w:vMerge w:val="continue"/>
            <w:noWrap w:val="0"/>
            <w:vAlign w:val="center"/>
          </w:tcPr>
          <w:p w14:paraId="442061DF">
            <w:pPr>
              <w:widowControl/>
              <w:adjustRightInd/>
              <w:jc w:val="center"/>
              <w:rPr>
                <w:rFonts w:hint="eastAsia" w:ascii="宋体" w:hAnsi="宋体" w:eastAsia="宋体" w:cs="宋体"/>
                <w:color w:val="auto"/>
                <w:sz w:val="24"/>
                <w:szCs w:val="24"/>
                <w:highlight w:val="none"/>
              </w:rPr>
            </w:pPr>
          </w:p>
        </w:tc>
        <w:tc>
          <w:tcPr>
            <w:tcW w:w="3257" w:type="dxa"/>
            <w:noWrap w:val="0"/>
            <w:vAlign w:val="center"/>
          </w:tcPr>
          <w:p w14:paraId="6A664626">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各类检查、社会投诉信访、媒体曝光等问题未处理或处理不及时，或整改</w:t>
            </w:r>
            <w:r>
              <w:rPr>
                <w:rFonts w:hint="eastAsia" w:ascii="宋体" w:hAnsi="宋体" w:eastAsia="宋体" w:cs="宋体"/>
                <w:color w:val="auto"/>
                <w:sz w:val="24"/>
                <w:szCs w:val="24"/>
                <w:highlight w:val="none"/>
                <w:lang w:eastAsia="zh-CN"/>
              </w:rPr>
              <w:t>不合格</w:t>
            </w:r>
            <w:r>
              <w:rPr>
                <w:rFonts w:hint="eastAsia" w:ascii="宋体" w:hAnsi="宋体" w:eastAsia="宋体" w:cs="宋体"/>
                <w:color w:val="auto"/>
                <w:sz w:val="24"/>
                <w:szCs w:val="24"/>
                <w:highlight w:val="none"/>
              </w:rPr>
              <w:t>等情况。</w:t>
            </w:r>
          </w:p>
        </w:tc>
        <w:tc>
          <w:tcPr>
            <w:tcW w:w="3313" w:type="dxa"/>
            <w:noWrap w:val="0"/>
            <w:vAlign w:val="center"/>
          </w:tcPr>
          <w:p w14:paraId="31FEB141">
            <w:pPr>
              <w:widowControl/>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经核实属</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责任的，每项扣2000元。未在规定时间内整改或整改不合格的，加扣1000元。同一问题重复出现，每次扣减3000元。</w:t>
            </w:r>
          </w:p>
        </w:tc>
        <w:tc>
          <w:tcPr>
            <w:tcW w:w="1091" w:type="dxa"/>
            <w:noWrap w:val="0"/>
            <w:vAlign w:val="center"/>
          </w:tcPr>
          <w:p w14:paraId="1BA031EE">
            <w:pPr>
              <w:widowControl/>
              <w:adjustRightInd/>
              <w:rPr>
                <w:rFonts w:hint="eastAsia" w:ascii="宋体" w:hAnsi="宋体" w:eastAsia="宋体" w:cs="宋体"/>
                <w:color w:val="auto"/>
                <w:sz w:val="24"/>
                <w:szCs w:val="24"/>
                <w:highlight w:val="none"/>
              </w:rPr>
            </w:pPr>
          </w:p>
        </w:tc>
      </w:tr>
    </w:tbl>
    <w:p w14:paraId="7BDF2C1E">
      <w:pPr>
        <w:widowControl/>
        <w:tabs>
          <w:tab w:val="left" w:pos="851"/>
        </w:tabs>
        <w:adjustRightInd/>
        <w:spacing w:line="360" w:lineRule="auto"/>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注：若相关考核办法和扣罚标准有所调整变化，按最新出台的办法或标准执行。</w:t>
      </w:r>
    </w:p>
    <w:p w14:paraId="4604CE48">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③关于项目验收</w:t>
      </w:r>
      <w:r>
        <w:rPr>
          <w:rFonts w:hint="eastAsia" w:ascii="宋体" w:hAnsi="宋体" w:eastAsia="宋体" w:cs="宋体"/>
          <w:bCs/>
          <w:color w:val="auto"/>
          <w:kern w:val="0"/>
          <w:sz w:val="24"/>
          <w:highlight w:val="none"/>
          <w:lang w:val="en-US" w:eastAsia="zh-CN"/>
        </w:rPr>
        <w:t>：合同期满后，采购人对中标人的履约情况进行综合验收评价，中标人应积极配合采购人按政府采购相关规定做好验收工作，及时提供验收相关资料。</w:t>
      </w:r>
    </w:p>
    <w:p w14:paraId="61C58744">
      <w:pPr>
        <w:widowControl/>
        <w:tabs>
          <w:tab w:val="left" w:pos="851"/>
        </w:tabs>
        <w:adjustRightInd/>
        <w:spacing w:line="360" w:lineRule="auto"/>
        <w:rPr>
          <w:rFonts w:hint="eastAsia"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（二）考核标准</w:t>
      </w:r>
    </w:p>
    <w:p w14:paraId="0DF6D502">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宋体" w:hAnsi="宋体" w:eastAsia="宋体" w:cs="宋体"/>
          <w:b/>
          <w:bCs w:val="0"/>
          <w:color w:val="auto"/>
          <w:sz w:val="28"/>
          <w:szCs w:val="28"/>
          <w:highlight w:val="none"/>
          <w:lang w:val="en-US" w:eastAsia="zh-CN"/>
        </w:rPr>
      </w:pPr>
      <w:r>
        <w:rPr>
          <w:rFonts w:hint="eastAsia" w:ascii="宋体" w:hAnsi="宋体" w:eastAsia="宋体" w:cs="宋体"/>
          <w:b/>
          <w:bCs w:val="0"/>
          <w:color w:val="auto"/>
          <w:sz w:val="24"/>
          <w:szCs w:val="24"/>
          <w:highlight w:val="none"/>
          <w:lang w:val="en-US" w:eastAsia="zh-CN"/>
        </w:rPr>
        <w:t>综合公园月度考核标准（固定支付部分）</w:t>
      </w:r>
    </w:p>
    <w:tbl>
      <w:tblPr>
        <w:tblStyle w:val="62"/>
        <w:tblW w:w="90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1521"/>
        <w:gridCol w:w="5018"/>
        <w:gridCol w:w="1683"/>
        <w:gridCol w:w="863"/>
      </w:tblGrid>
      <w:tr w14:paraId="1976C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25" w:hRule="atLeast"/>
          <w:jc w:val="center"/>
        </w:trPr>
        <w:tc>
          <w:tcPr>
            <w:tcW w:w="1521"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7905E8F2">
            <w:pPr>
              <w:widowControl/>
              <w:adjustRightInd/>
              <w:ind w:left="-420" w:leftChars="-200" w:firstLine="0" w:firstLineChars="0"/>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项目</w:t>
            </w: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6B5BDCA5">
            <w:pPr>
              <w:widowControl/>
              <w:adjustRightInd/>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问题项</w:t>
            </w:r>
          </w:p>
        </w:tc>
        <w:tc>
          <w:tcPr>
            <w:tcW w:w="1683"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1FCBBC09">
            <w:pPr>
              <w:widowControl/>
              <w:adjustRightInd/>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扣罚标准</w:t>
            </w:r>
          </w:p>
        </w:tc>
        <w:tc>
          <w:tcPr>
            <w:tcW w:w="863"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4DC412C1">
            <w:pPr>
              <w:widowControl/>
              <w:adjustRightInd/>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分值</w:t>
            </w:r>
          </w:p>
        </w:tc>
      </w:tr>
      <w:tr w14:paraId="0D54C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085" w:type="dxa"/>
            <w:gridSpan w:val="4"/>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69ECE9B7">
            <w:pPr>
              <w:widowControl/>
              <w:adjustRightInd/>
              <w:jc w:val="left"/>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（一）园容园貌（</w:t>
            </w:r>
            <w:r>
              <w:rPr>
                <w:rFonts w:hint="eastAsia" w:ascii="宋体" w:hAnsi="宋体" w:eastAsia="宋体" w:cs="宋体"/>
                <w:b/>
                <w:color w:val="auto"/>
                <w:sz w:val="24"/>
                <w:szCs w:val="24"/>
                <w:highlight w:val="none"/>
                <w:lang w:val="en-US" w:eastAsia="zh-CN"/>
              </w:rPr>
              <w:t>60分</w:t>
            </w:r>
            <w:r>
              <w:rPr>
                <w:rFonts w:hint="eastAsia" w:ascii="宋体" w:hAnsi="宋体" w:eastAsia="宋体" w:cs="宋体"/>
                <w:b/>
                <w:color w:val="auto"/>
                <w:sz w:val="24"/>
                <w:szCs w:val="24"/>
                <w:highlight w:val="none"/>
                <w:lang w:eastAsia="zh-CN"/>
              </w:rPr>
              <w:t>）</w:t>
            </w:r>
          </w:p>
        </w:tc>
      </w:tr>
      <w:tr w14:paraId="351B8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2" w:hRule="atLeast"/>
          <w:jc w:val="center"/>
        </w:trPr>
        <w:tc>
          <w:tcPr>
            <w:tcW w:w="1521" w:type="dxa"/>
            <w:vMerge w:val="restart"/>
            <w:tcBorders>
              <w:top w:val="single" w:color="auto" w:sz="4" w:space="0"/>
              <w:left w:val="single" w:color="auto" w:sz="4" w:space="0"/>
              <w:right w:val="single" w:color="auto" w:sz="4" w:space="0"/>
            </w:tcBorders>
            <w:shd w:val="clear" w:color="auto" w:fill="FFFFFF" w:themeFill="background1"/>
            <w:noWrap w:val="0"/>
            <w:vAlign w:val="center"/>
          </w:tcPr>
          <w:p w14:paraId="145C6000">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绿化养护</w:t>
            </w: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178BE4F2">
            <w:pPr>
              <w:widowControl/>
              <w:adjustRightInd/>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.1植株长势不良，水肥不及时，树冠不完整或偏冠</w:t>
            </w:r>
            <w:r>
              <w:rPr>
                <w:rFonts w:hint="eastAsia" w:ascii="宋体" w:hAnsi="宋体" w:eastAsia="宋体" w:cs="宋体"/>
                <w:color w:val="auto"/>
                <w:sz w:val="24"/>
                <w:szCs w:val="24"/>
                <w:highlight w:val="none"/>
                <w:lang w:eastAsia="zh-CN"/>
              </w:rPr>
              <w:t>。</w:t>
            </w:r>
          </w:p>
          <w:p w14:paraId="702E92C8">
            <w:pPr>
              <w:widowControl/>
              <w:adjustRightInd/>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修剪不及时、不规范，影响植株生长及景观效果</w:t>
            </w:r>
            <w:r>
              <w:rPr>
                <w:rFonts w:hint="eastAsia" w:ascii="宋体" w:hAnsi="宋体" w:eastAsia="宋体" w:cs="宋体"/>
                <w:color w:val="auto"/>
                <w:sz w:val="24"/>
                <w:szCs w:val="24"/>
                <w:highlight w:val="none"/>
                <w:lang w:eastAsia="zh-CN"/>
              </w:rPr>
              <w:t>。</w:t>
            </w:r>
          </w:p>
          <w:p w14:paraId="595AD643">
            <w:pPr>
              <w:widowControl/>
              <w:adjustRightInd/>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1.3</w:t>
            </w:r>
            <w:r>
              <w:rPr>
                <w:rFonts w:hint="eastAsia" w:ascii="宋体" w:hAnsi="宋体" w:eastAsia="宋体" w:cs="宋体"/>
                <w:color w:val="auto"/>
                <w:sz w:val="24"/>
                <w:szCs w:val="24"/>
                <w:highlight w:val="none"/>
              </w:rPr>
              <w:t>植株支撑不合理、不规范，铁丝裸露、内嵌、草绳腐烂等影响植株正常生长</w:t>
            </w:r>
            <w:r>
              <w:rPr>
                <w:rFonts w:hint="eastAsia" w:ascii="宋体" w:hAnsi="宋体" w:eastAsia="宋体" w:cs="宋体"/>
                <w:color w:val="auto"/>
                <w:sz w:val="24"/>
                <w:szCs w:val="24"/>
                <w:highlight w:val="none"/>
                <w:lang w:eastAsia="zh-CN"/>
              </w:rPr>
              <w:t>。</w:t>
            </w:r>
          </w:p>
          <w:p w14:paraId="1DE30DE0">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1.4</w:t>
            </w:r>
            <w:r>
              <w:rPr>
                <w:rFonts w:hint="eastAsia" w:ascii="宋体" w:hAnsi="宋体" w:eastAsia="宋体" w:cs="宋体"/>
                <w:color w:val="auto"/>
                <w:sz w:val="24"/>
                <w:szCs w:val="24"/>
                <w:highlight w:val="none"/>
              </w:rPr>
              <w:t>植株倾斜倒伏，影响景观效果。</w:t>
            </w:r>
          </w:p>
          <w:p w14:paraId="030FDF11">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缺株、死树、残桩未及时处理。</w:t>
            </w:r>
          </w:p>
        </w:tc>
        <w:tc>
          <w:tcPr>
            <w:tcW w:w="1683" w:type="dxa"/>
            <w:vMerge w:val="restart"/>
            <w:tcBorders>
              <w:top w:val="single" w:color="auto" w:sz="4" w:space="0"/>
              <w:left w:val="single" w:color="auto" w:sz="4" w:space="0"/>
              <w:right w:val="single" w:color="auto" w:sz="4" w:space="0"/>
            </w:tcBorders>
            <w:shd w:val="clear" w:color="auto" w:fill="FFFFFF" w:themeFill="background1"/>
            <w:noWrap w:val="0"/>
            <w:vAlign w:val="center"/>
          </w:tcPr>
          <w:p w14:paraId="7E5FCDF9">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每发现1株或1㎡扣0.1分（当月累计扣分）。</w:t>
            </w:r>
          </w:p>
        </w:tc>
        <w:tc>
          <w:tcPr>
            <w:tcW w:w="863" w:type="dxa"/>
            <w:vMerge w:val="restart"/>
            <w:tcBorders>
              <w:top w:val="single" w:color="auto" w:sz="4" w:space="0"/>
              <w:left w:val="single" w:color="auto" w:sz="4" w:space="0"/>
              <w:right w:val="single" w:color="auto" w:sz="4" w:space="0"/>
            </w:tcBorders>
            <w:shd w:val="clear" w:color="auto" w:fill="FFFFFF" w:themeFill="background1"/>
            <w:noWrap w:val="0"/>
            <w:vAlign w:val="center"/>
          </w:tcPr>
          <w:p w14:paraId="6AF1471A">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30</w:t>
            </w:r>
          </w:p>
        </w:tc>
      </w:tr>
      <w:tr w14:paraId="1057F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2"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3B5BF33F">
            <w:pPr>
              <w:widowControl/>
              <w:adjustRightInd/>
              <w:jc w:val="center"/>
              <w:rPr>
                <w:rFonts w:hint="eastAsia" w:ascii="宋体" w:hAnsi="宋体" w:eastAsia="宋体" w:cs="宋体"/>
                <w:color w:val="auto"/>
                <w:sz w:val="24"/>
                <w:szCs w:val="24"/>
                <w:highlight w:val="none"/>
                <w:lang w:val="en-US"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0BFB48F5">
            <w:pPr>
              <w:widowControl/>
              <w:adjustRightInd/>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修剪不合理、不及时、不规范，有明显窜枝、高度过高等现象</w:t>
            </w:r>
            <w:r>
              <w:rPr>
                <w:rFonts w:hint="eastAsia" w:ascii="宋体" w:hAnsi="宋体" w:eastAsia="宋体" w:cs="宋体"/>
                <w:color w:val="auto"/>
                <w:sz w:val="24"/>
                <w:szCs w:val="24"/>
                <w:highlight w:val="none"/>
                <w:lang w:eastAsia="zh-CN"/>
              </w:rPr>
              <w:t>。</w:t>
            </w:r>
          </w:p>
          <w:p w14:paraId="72EE3413">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有杂草、藤蔓覆盖、野株等。</w:t>
            </w:r>
          </w:p>
          <w:p w14:paraId="75CCA40F">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死缺株、种植品种不统一、杂乱、密度不够。</w:t>
            </w:r>
          </w:p>
          <w:p w14:paraId="566528AB">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生长不良、水肥不及时、老化严重。</w:t>
            </w:r>
          </w:p>
        </w:tc>
        <w:tc>
          <w:tcPr>
            <w:tcW w:w="1683" w:type="dxa"/>
            <w:vMerge w:val="continue"/>
            <w:tcBorders>
              <w:left w:val="single" w:color="auto" w:sz="4" w:space="0"/>
              <w:right w:val="single" w:color="auto" w:sz="4" w:space="0"/>
            </w:tcBorders>
            <w:shd w:val="clear" w:color="auto" w:fill="FFFFFF" w:themeFill="background1"/>
            <w:noWrap w:val="0"/>
            <w:vAlign w:val="center"/>
          </w:tcPr>
          <w:p w14:paraId="6729FFE9">
            <w:pPr>
              <w:widowControl/>
              <w:adjustRightInd/>
              <w:jc w:val="left"/>
              <w:rPr>
                <w:rFonts w:hint="eastAsia" w:ascii="宋体" w:hAnsi="宋体" w:eastAsia="宋体" w:cs="宋体"/>
                <w:color w:val="auto"/>
                <w:sz w:val="24"/>
                <w:szCs w:val="24"/>
                <w:highlight w:val="none"/>
                <w:lang w:val="en-US" w:eastAsia="zh-CN"/>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42E278B9">
            <w:pPr>
              <w:widowControl/>
              <w:adjustRightInd/>
              <w:jc w:val="center"/>
              <w:rPr>
                <w:rFonts w:hint="eastAsia" w:ascii="宋体" w:hAnsi="宋体" w:eastAsia="宋体" w:cs="宋体"/>
                <w:color w:val="auto"/>
                <w:sz w:val="24"/>
                <w:szCs w:val="24"/>
                <w:highlight w:val="none"/>
                <w:lang w:val="en-US" w:eastAsia="zh-CN"/>
              </w:rPr>
            </w:pPr>
          </w:p>
        </w:tc>
      </w:tr>
      <w:tr w14:paraId="610B7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2"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4BF7E3FC">
            <w:pPr>
              <w:widowControl/>
              <w:adjustRightInd/>
              <w:jc w:val="center"/>
              <w:rPr>
                <w:rFonts w:hint="eastAsia" w:ascii="宋体" w:hAnsi="宋体" w:eastAsia="宋体" w:cs="宋体"/>
                <w:color w:val="auto"/>
                <w:sz w:val="24"/>
                <w:szCs w:val="24"/>
                <w:highlight w:val="none"/>
                <w:lang w:val="en-US"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5DB154C8">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草坪未及时修剪或修剪不规范。</w:t>
            </w:r>
          </w:p>
          <w:p w14:paraId="52CFA3BE">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草坪、地被生长不良，反季节枯黄，大面积死亡。</w:t>
            </w:r>
          </w:p>
          <w:p w14:paraId="755E9056">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裸地、杂草、积水。</w:t>
            </w:r>
          </w:p>
          <w:p w14:paraId="207076AA">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13</w:t>
            </w:r>
            <w:r>
              <w:rPr>
                <w:rFonts w:hint="eastAsia" w:ascii="宋体" w:hAnsi="宋体" w:eastAsia="宋体" w:cs="宋体"/>
                <w:color w:val="auto"/>
                <w:sz w:val="24"/>
                <w:szCs w:val="24"/>
                <w:highlight w:val="none"/>
              </w:rPr>
              <w:t>草花更换不及时、密度不够、黄土裸露、残花败叶、整体景观效果不佳。</w:t>
            </w:r>
          </w:p>
        </w:tc>
        <w:tc>
          <w:tcPr>
            <w:tcW w:w="1683" w:type="dxa"/>
            <w:vMerge w:val="continue"/>
            <w:tcBorders>
              <w:left w:val="single" w:color="auto" w:sz="4" w:space="0"/>
              <w:right w:val="single" w:color="auto" w:sz="4" w:space="0"/>
            </w:tcBorders>
            <w:shd w:val="clear" w:color="auto" w:fill="FFFFFF" w:themeFill="background1"/>
            <w:noWrap w:val="0"/>
            <w:vAlign w:val="center"/>
          </w:tcPr>
          <w:p w14:paraId="6BE5A8DD">
            <w:pPr>
              <w:widowControl/>
              <w:adjustRightInd/>
              <w:jc w:val="left"/>
              <w:rPr>
                <w:rFonts w:hint="eastAsia" w:ascii="宋体" w:hAnsi="宋体" w:eastAsia="宋体" w:cs="宋体"/>
                <w:color w:val="auto"/>
                <w:sz w:val="24"/>
                <w:szCs w:val="24"/>
                <w:highlight w:val="none"/>
                <w:lang w:val="en-US" w:eastAsia="zh-CN"/>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3A535E80">
            <w:pPr>
              <w:widowControl/>
              <w:adjustRightInd/>
              <w:jc w:val="center"/>
              <w:rPr>
                <w:rFonts w:hint="eastAsia" w:ascii="宋体" w:hAnsi="宋体" w:eastAsia="宋体" w:cs="宋体"/>
                <w:color w:val="auto"/>
                <w:sz w:val="24"/>
                <w:szCs w:val="24"/>
                <w:highlight w:val="none"/>
                <w:lang w:val="en-US" w:eastAsia="zh-CN"/>
              </w:rPr>
            </w:pPr>
          </w:p>
        </w:tc>
      </w:tr>
      <w:tr w14:paraId="27D42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2"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0BEC7AAB">
            <w:pPr>
              <w:widowControl/>
              <w:adjustRightInd/>
              <w:jc w:val="center"/>
              <w:rPr>
                <w:rFonts w:hint="eastAsia" w:ascii="宋体" w:hAnsi="宋体" w:eastAsia="宋体" w:cs="宋体"/>
                <w:color w:val="auto"/>
                <w:sz w:val="24"/>
                <w:szCs w:val="24"/>
                <w:highlight w:val="none"/>
                <w:lang w:val="en-US"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0E86CCBE">
            <w:pPr>
              <w:widowControl/>
              <w:adjustRightInd/>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14</w:t>
            </w:r>
            <w:r>
              <w:rPr>
                <w:rFonts w:hint="eastAsia" w:ascii="宋体" w:hAnsi="宋体" w:eastAsia="宋体" w:cs="宋体"/>
                <w:color w:val="auto"/>
                <w:sz w:val="24"/>
                <w:szCs w:val="24"/>
                <w:highlight w:val="none"/>
              </w:rPr>
              <w:t>有严重病虫害为害的，叶上有大面积虫粪虫网灰尘的</w:t>
            </w:r>
            <w:r>
              <w:rPr>
                <w:rFonts w:hint="eastAsia" w:ascii="宋体" w:hAnsi="宋体" w:eastAsia="宋体" w:cs="宋体"/>
                <w:color w:val="auto"/>
                <w:sz w:val="24"/>
                <w:szCs w:val="24"/>
                <w:highlight w:val="none"/>
                <w:lang w:eastAsia="zh-CN"/>
              </w:rPr>
              <w:t>。</w:t>
            </w:r>
          </w:p>
          <w:p w14:paraId="5FF4E5EC">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季节性防护措施不到位，不规范，影响植物正常生长，如防冻防晒措施、涂白等。</w:t>
            </w:r>
          </w:p>
        </w:tc>
        <w:tc>
          <w:tcPr>
            <w:tcW w:w="1683" w:type="dxa"/>
            <w:vMerge w:val="continue"/>
            <w:tcBorders>
              <w:left w:val="single" w:color="auto" w:sz="4" w:space="0"/>
              <w:right w:val="single" w:color="auto" w:sz="4" w:space="0"/>
            </w:tcBorders>
            <w:shd w:val="clear" w:color="auto" w:fill="FFFFFF" w:themeFill="background1"/>
            <w:noWrap w:val="0"/>
            <w:vAlign w:val="center"/>
          </w:tcPr>
          <w:p w14:paraId="476DD975">
            <w:pPr>
              <w:widowControl/>
              <w:adjustRightInd/>
              <w:jc w:val="left"/>
              <w:rPr>
                <w:rFonts w:hint="eastAsia" w:ascii="宋体" w:hAnsi="宋体" w:eastAsia="宋体" w:cs="宋体"/>
                <w:color w:val="auto"/>
                <w:kern w:val="2"/>
                <w:sz w:val="24"/>
                <w:szCs w:val="24"/>
                <w:highlight w:val="none"/>
                <w:lang w:val="en-US" w:eastAsia="zh-CN" w:bidi="ar-SA"/>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1DD1B2E9">
            <w:pPr>
              <w:widowControl/>
              <w:adjustRightInd/>
              <w:jc w:val="center"/>
              <w:rPr>
                <w:rFonts w:hint="eastAsia" w:ascii="宋体" w:hAnsi="宋体" w:eastAsia="宋体" w:cs="宋体"/>
                <w:color w:val="auto"/>
                <w:sz w:val="24"/>
                <w:szCs w:val="24"/>
                <w:highlight w:val="none"/>
                <w:lang w:val="en-US" w:eastAsia="zh-CN"/>
              </w:rPr>
            </w:pPr>
          </w:p>
        </w:tc>
      </w:tr>
      <w:tr w14:paraId="05DCA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2" w:hRule="atLeast"/>
          <w:jc w:val="center"/>
        </w:trPr>
        <w:tc>
          <w:tcPr>
            <w:tcW w:w="1521" w:type="dxa"/>
            <w:vMerge w:val="restart"/>
            <w:tcBorders>
              <w:top w:val="single" w:color="auto" w:sz="4" w:space="0"/>
              <w:left w:val="single" w:color="auto" w:sz="4" w:space="0"/>
              <w:right w:val="single" w:color="auto" w:sz="4" w:space="0"/>
            </w:tcBorders>
            <w:shd w:val="clear" w:color="auto" w:fill="FFFFFF" w:themeFill="background1"/>
            <w:noWrap w:val="0"/>
            <w:vAlign w:val="center"/>
          </w:tcPr>
          <w:p w14:paraId="7C2C9606">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园容</w:t>
            </w:r>
            <w:r>
              <w:rPr>
                <w:rFonts w:hint="eastAsia" w:ascii="宋体" w:hAnsi="宋体" w:eastAsia="宋体" w:cs="宋体"/>
                <w:color w:val="auto"/>
                <w:sz w:val="24"/>
                <w:szCs w:val="24"/>
                <w:highlight w:val="none"/>
              </w:rPr>
              <w:t>保洁</w:t>
            </w: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39FAC3BC">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1.16园内各类</w:t>
            </w:r>
            <w:r>
              <w:rPr>
                <w:rFonts w:hint="eastAsia" w:ascii="宋体" w:hAnsi="宋体" w:eastAsia="宋体" w:cs="宋体"/>
                <w:color w:val="auto"/>
                <w:sz w:val="24"/>
                <w:szCs w:val="24"/>
                <w:highlight w:val="none"/>
              </w:rPr>
              <w:t>园椅</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园凳、果壳箱、标识牌、灯杆、雕塑、栏杆、景观灯、游乐设施等存在</w:t>
            </w:r>
            <w:r>
              <w:rPr>
                <w:rFonts w:hint="eastAsia" w:ascii="宋体" w:hAnsi="宋体" w:eastAsia="宋体" w:cs="宋体"/>
                <w:color w:val="auto"/>
                <w:sz w:val="24"/>
                <w:szCs w:val="24"/>
                <w:highlight w:val="none"/>
              </w:rPr>
              <w:t>明显灰尘</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蜘蛛网、</w:t>
            </w:r>
            <w:r>
              <w:rPr>
                <w:rFonts w:hint="eastAsia" w:ascii="宋体" w:hAnsi="宋体" w:eastAsia="宋体" w:cs="宋体"/>
                <w:color w:val="auto"/>
                <w:sz w:val="24"/>
                <w:szCs w:val="24"/>
                <w:highlight w:val="none"/>
              </w:rPr>
              <w:t>污渍</w:t>
            </w:r>
            <w:r>
              <w:rPr>
                <w:rFonts w:hint="eastAsia" w:ascii="宋体" w:hAnsi="宋体" w:eastAsia="宋体" w:cs="宋体"/>
                <w:color w:val="auto"/>
                <w:sz w:val="24"/>
                <w:szCs w:val="24"/>
                <w:highlight w:val="none"/>
                <w:lang w:val="en-US" w:eastAsia="zh-CN"/>
              </w:rPr>
              <w:t>或垃圾</w:t>
            </w:r>
            <w:r>
              <w:rPr>
                <w:rFonts w:hint="eastAsia" w:ascii="宋体" w:hAnsi="宋体" w:eastAsia="宋体" w:cs="宋体"/>
                <w:color w:val="auto"/>
                <w:sz w:val="24"/>
                <w:szCs w:val="24"/>
                <w:highlight w:val="none"/>
                <w:lang w:eastAsia="zh-CN"/>
              </w:rPr>
              <w:t>。</w:t>
            </w:r>
          </w:p>
        </w:tc>
        <w:tc>
          <w:tcPr>
            <w:tcW w:w="1683" w:type="dxa"/>
            <w:vMerge w:val="restart"/>
            <w:tcBorders>
              <w:top w:val="single" w:color="auto" w:sz="4" w:space="0"/>
              <w:left w:val="single" w:color="auto" w:sz="4" w:space="0"/>
              <w:right w:val="single" w:color="auto" w:sz="4" w:space="0"/>
            </w:tcBorders>
            <w:shd w:val="clear" w:color="auto" w:fill="FFFFFF" w:themeFill="background1"/>
            <w:noWrap w:val="0"/>
            <w:vAlign w:val="center"/>
          </w:tcPr>
          <w:p w14:paraId="6A158E87">
            <w:pPr>
              <w:widowControl/>
              <w:adjustRightInd/>
              <w:jc w:val="left"/>
              <w:rPr>
                <w:rFonts w:hint="eastAsia" w:ascii="宋体" w:hAnsi="宋体" w:eastAsia="宋体" w:cs="宋体"/>
                <w:color w:val="auto"/>
                <w:kern w:val="2"/>
                <w:sz w:val="24"/>
                <w:szCs w:val="24"/>
                <w:highlight w:val="none"/>
                <w:lang w:val="en-US" w:eastAsia="zh-CN" w:bidi="ar-SA"/>
              </w:rPr>
            </w:pPr>
          </w:p>
          <w:p w14:paraId="48F74F86">
            <w:pPr>
              <w:widowControl/>
              <w:adjustRightInd/>
              <w:jc w:val="left"/>
              <w:rPr>
                <w:rFonts w:hint="eastAsia" w:ascii="宋体" w:hAnsi="宋体" w:eastAsia="宋体" w:cs="宋体"/>
                <w:color w:val="auto"/>
                <w:sz w:val="24"/>
                <w:szCs w:val="24"/>
                <w:highlight w:val="none"/>
                <w:lang w:val="en-US" w:eastAsia="zh-CN"/>
              </w:rPr>
            </w:pPr>
          </w:p>
          <w:p w14:paraId="2C0B8DD8">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每发现一次扣0.5分（当月累计扣分）。</w:t>
            </w:r>
          </w:p>
        </w:tc>
        <w:tc>
          <w:tcPr>
            <w:tcW w:w="863" w:type="dxa"/>
            <w:vMerge w:val="restart"/>
            <w:tcBorders>
              <w:top w:val="single" w:color="auto" w:sz="4" w:space="0"/>
              <w:left w:val="single" w:color="auto" w:sz="4" w:space="0"/>
              <w:right w:val="single" w:color="auto" w:sz="4" w:space="0"/>
            </w:tcBorders>
            <w:shd w:val="clear" w:color="auto" w:fill="FFFFFF" w:themeFill="background1"/>
            <w:noWrap w:val="0"/>
            <w:vAlign w:val="center"/>
          </w:tcPr>
          <w:p w14:paraId="7E7E51F5">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w:t>
            </w:r>
          </w:p>
        </w:tc>
      </w:tr>
      <w:tr w14:paraId="73566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2"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57443B8A">
            <w:pPr>
              <w:widowControl/>
              <w:adjustRightInd/>
              <w:jc w:val="center"/>
              <w:rPr>
                <w:rFonts w:hint="eastAsia" w:ascii="宋体" w:hAnsi="宋体" w:eastAsia="宋体" w:cs="宋体"/>
                <w:color w:val="auto"/>
                <w:sz w:val="24"/>
                <w:szCs w:val="24"/>
                <w:highlight w:val="none"/>
                <w:lang w:val="en-US"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300DB12F">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1.17园内园路、硬质铺装等存在明显积水、</w:t>
            </w:r>
            <w:r>
              <w:rPr>
                <w:rFonts w:hint="eastAsia" w:ascii="宋体" w:hAnsi="宋体" w:eastAsia="宋体" w:cs="宋体"/>
                <w:color w:val="auto"/>
                <w:sz w:val="24"/>
                <w:szCs w:val="24"/>
                <w:highlight w:val="none"/>
              </w:rPr>
              <w:t>污渍、垃圾、积泥、青苔，接缝杂草</w:t>
            </w:r>
            <w:r>
              <w:rPr>
                <w:rFonts w:hint="eastAsia" w:ascii="宋体" w:hAnsi="宋体" w:eastAsia="宋体" w:cs="宋体"/>
                <w:color w:val="auto"/>
                <w:sz w:val="24"/>
                <w:szCs w:val="24"/>
                <w:highlight w:val="none"/>
                <w:lang w:val="en-US" w:eastAsia="zh-CN"/>
              </w:rPr>
              <w:t>等。</w:t>
            </w:r>
          </w:p>
        </w:tc>
        <w:tc>
          <w:tcPr>
            <w:tcW w:w="1683" w:type="dxa"/>
            <w:vMerge w:val="continue"/>
            <w:tcBorders>
              <w:left w:val="single" w:color="auto" w:sz="4" w:space="0"/>
              <w:right w:val="single" w:color="auto" w:sz="4" w:space="0"/>
            </w:tcBorders>
            <w:shd w:val="clear" w:color="auto" w:fill="FFFFFF" w:themeFill="background1"/>
            <w:noWrap w:val="0"/>
            <w:vAlign w:val="center"/>
          </w:tcPr>
          <w:p w14:paraId="193DD691">
            <w:pPr>
              <w:widowControl/>
              <w:adjustRightInd/>
              <w:jc w:val="left"/>
              <w:rPr>
                <w:rFonts w:hint="eastAsia" w:ascii="宋体" w:hAnsi="宋体" w:eastAsia="宋体" w:cs="宋体"/>
                <w:color w:val="auto"/>
                <w:kern w:val="2"/>
                <w:sz w:val="24"/>
                <w:szCs w:val="24"/>
                <w:highlight w:val="none"/>
                <w:lang w:val="en-US" w:eastAsia="zh-CN" w:bidi="ar-SA"/>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2D798676">
            <w:pPr>
              <w:widowControl/>
              <w:adjustRightInd/>
              <w:jc w:val="center"/>
              <w:rPr>
                <w:rFonts w:hint="eastAsia" w:ascii="宋体" w:hAnsi="宋体" w:eastAsia="宋体" w:cs="宋体"/>
                <w:color w:val="auto"/>
                <w:sz w:val="24"/>
                <w:szCs w:val="24"/>
                <w:highlight w:val="none"/>
                <w:lang w:val="en-US" w:eastAsia="zh-CN"/>
              </w:rPr>
            </w:pPr>
          </w:p>
        </w:tc>
      </w:tr>
      <w:tr w14:paraId="4669D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2"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036CC47F">
            <w:pPr>
              <w:widowControl/>
              <w:adjustRightInd/>
              <w:jc w:val="center"/>
              <w:rPr>
                <w:rFonts w:hint="eastAsia" w:ascii="宋体" w:hAnsi="宋体" w:eastAsia="宋体" w:cs="宋体"/>
                <w:color w:val="auto"/>
                <w:sz w:val="24"/>
                <w:szCs w:val="24"/>
                <w:highlight w:val="none"/>
                <w:lang w:val="en-US"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7E5F3BBE">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1.18园内绿地存在</w:t>
            </w:r>
            <w:r>
              <w:rPr>
                <w:rFonts w:hint="eastAsia" w:ascii="宋体" w:hAnsi="宋体" w:eastAsia="宋体" w:cs="宋体"/>
                <w:color w:val="auto"/>
                <w:sz w:val="24"/>
                <w:szCs w:val="24"/>
                <w:highlight w:val="none"/>
              </w:rPr>
              <w:t>白色垃圾、烟蒂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明显</w:t>
            </w:r>
            <w:r>
              <w:rPr>
                <w:rFonts w:hint="eastAsia" w:ascii="宋体" w:hAnsi="宋体" w:eastAsia="宋体" w:cs="宋体"/>
                <w:color w:val="auto"/>
                <w:sz w:val="24"/>
                <w:szCs w:val="24"/>
                <w:highlight w:val="none"/>
              </w:rPr>
              <w:t>枯枝</w:t>
            </w:r>
            <w:r>
              <w:rPr>
                <w:rFonts w:hint="eastAsia" w:ascii="宋体" w:hAnsi="宋体" w:eastAsia="宋体" w:cs="宋体"/>
                <w:color w:val="auto"/>
                <w:sz w:val="24"/>
                <w:szCs w:val="24"/>
                <w:highlight w:val="none"/>
                <w:lang w:eastAsia="zh-CN"/>
              </w:rPr>
              <w:t>等，</w:t>
            </w:r>
            <w:r>
              <w:rPr>
                <w:rFonts w:hint="eastAsia" w:ascii="宋体" w:hAnsi="宋体" w:eastAsia="宋体" w:cs="宋体"/>
                <w:color w:val="auto"/>
                <w:sz w:val="24"/>
                <w:szCs w:val="24"/>
                <w:highlight w:val="none"/>
              </w:rPr>
              <w:t>雨水沟、窨井</w:t>
            </w:r>
            <w:r>
              <w:rPr>
                <w:rFonts w:hint="eastAsia" w:ascii="宋体" w:hAnsi="宋体" w:eastAsia="宋体" w:cs="宋体"/>
                <w:color w:val="auto"/>
                <w:sz w:val="24"/>
                <w:szCs w:val="24"/>
                <w:highlight w:val="none"/>
                <w:lang w:val="en-US" w:eastAsia="zh-CN"/>
              </w:rPr>
              <w:t>存在大量落叶堵塞情况。</w:t>
            </w:r>
          </w:p>
        </w:tc>
        <w:tc>
          <w:tcPr>
            <w:tcW w:w="1683" w:type="dxa"/>
            <w:vMerge w:val="continue"/>
            <w:tcBorders>
              <w:left w:val="single" w:color="auto" w:sz="4" w:space="0"/>
              <w:right w:val="single" w:color="auto" w:sz="4" w:space="0"/>
            </w:tcBorders>
            <w:shd w:val="clear" w:color="auto" w:fill="FFFFFF" w:themeFill="background1"/>
            <w:noWrap w:val="0"/>
            <w:vAlign w:val="center"/>
          </w:tcPr>
          <w:p w14:paraId="76DD0C77">
            <w:pPr>
              <w:widowControl/>
              <w:adjustRightInd/>
              <w:jc w:val="left"/>
              <w:rPr>
                <w:rFonts w:hint="eastAsia" w:ascii="宋体" w:hAnsi="宋体" w:eastAsia="宋体" w:cs="宋体"/>
                <w:color w:val="auto"/>
                <w:sz w:val="24"/>
                <w:szCs w:val="24"/>
                <w:highlight w:val="none"/>
                <w:lang w:val="en-US" w:eastAsia="zh-CN"/>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689A2032">
            <w:pPr>
              <w:widowControl/>
              <w:adjustRightInd/>
              <w:jc w:val="center"/>
              <w:rPr>
                <w:rFonts w:hint="eastAsia" w:ascii="宋体" w:hAnsi="宋体" w:eastAsia="宋体" w:cs="宋体"/>
                <w:color w:val="auto"/>
                <w:sz w:val="24"/>
                <w:szCs w:val="24"/>
                <w:highlight w:val="none"/>
                <w:lang w:val="en-US" w:eastAsia="zh-CN"/>
              </w:rPr>
            </w:pPr>
          </w:p>
        </w:tc>
      </w:tr>
      <w:tr w14:paraId="1A9DD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2"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42F47C91">
            <w:pPr>
              <w:widowControl/>
              <w:adjustRightInd/>
              <w:jc w:val="center"/>
              <w:rPr>
                <w:rFonts w:hint="eastAsia" w:ascii="宋体" w:hAnsi="宋体" w:eastAsia="宋体" w:cs="宋体"/>
                <w:color w:val="auto"/>
                <w:sz w:val="24"/>
                <w:szCs w:val="24"/>
                <w:highlight w:val="none"/>
                <w:lang w:val="en-US"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2744443F">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1.19园内垃圾未日产日清，存在</w:t>
            </w:r>
            <w:r>
              <w:rPr>
                <w:rFonts w:hint="eastAsia" w:ascii="宋体" w:hAnsi="宋体" w:eastAsia="宋体" w:cs="宋体"/>
                <w:color w:val="auto"/>
                <w:sz w:val="24"/>
                <w:szCs w:val="24"/>
                <w:highlight w:val="none"/>
              </w:rPr>
              <w:t>绿地及路旁遗留垃圾</w:t>
            </w:r>
            <w:r>
              <w:rPr>
                <w:rFonts w:hint="eastAsia" w:ascii="宋体" w:hAnsi="宋体" w:eastAsia="宋体" w:cs="宋体"/>
                <w:color w:val="auto"/>
                <w:sz w:val="24"/>
                <w:szCs w:val="24"/>
                <w:highlight w:val="none"/>
                <w:lang w:val="en-US" w:eastAsia="zh-CN"/>
              </w:rPr>
              <w:t>情况，垃圾分类不到位，存在混投等情况。</w:t>
            </w:r>
          </w:p>
        </w:tc>
        <w:tc>
          <w:tcPr>
            <w:tcW w:w="1683" w:type="dxa"/>
            <w:vMerge w:val="continue"/>
            <w:tcBorders>
              <w:left w:val="single" w:color="auto" w:sz="4" w:space="0"/>
              <w:right w:val="single" w:color="auto" w:sz="4" w:space="0"/>
            </w:tcBorders>
            <w:shd w:val="clear" w:color="auto" w:fill="FFFFFF" w:themeFill="background1"/>
            <w:noWrap w:val="0"/>
            <w:vAlign w:val="center"/>
          </w:tcPr>
          <w:p w14:paraId="54D87472">
            <w:pPr>
              <w:widowControl/>
              <w:adjustRightInd/>
              <w:jc w:val="left"/>
              <w:rPr>
                <w:rFonts w:hint="eastAsia" w:ascii="宋体" w:hAnsi="宋体" w:eastAsia="宋体" w:cs="宋体"/>
                <w:color w:val="auto"/>
                <w:sz w:val="24"/>
                <w:szCs w:val="24"/>
                <w:highlight w:val="none"/>
                <w:lang w:val="en-US" w:eastAsia="zh-CN"/>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4F5EF8C2">
            <w:pPr>
              <w:widowControl/>
              <w:adjustRightInd/>
              <w:jc w:val="center"/>
              <w:rPr>
                <w:rFonts w:hint="eastAsia" w:ascii="宋体" w:hAnsi="宋体" w:eastAsia="宋体" w:cs="宋体"/>
                <w:color w:val="auto"/>
                <w:sz w:val="24"/>
                <w:szCs w:val="24"/>
                <w:highlight w:val="none"/>
                <w:lang w:val="en-US" w:eastAsia="zh-CN"/>
              </w:rPr>
            </w:pPr>
          </w:p>
        </w:tc>
      </w:tr>
      <w:tr w14:paraId="1DE03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2"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3B61E317">
            <w:pPr>
              <w:widowControl/>
              <w:adjustRightInd/>
              <w:jc w:val="center"/>
              <w:rPr>
                <w:rFonts w:hint="eastAsia" w:ascii="宋体" w:hAnsi="宋体" w:eastAsia="宋体" w:cs="宋体"/>
                <w:color w:val="auto"/>
                <w:sz w:val="24"/>
                <w:szCs w:val="24"/>
                <w:highlight w:val="none"/>
                <w:lang w:val="en-US"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193B079F">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1.20保洁作业车、</w:t>
            </w:r>
            <w:r>
              <w:rPr>
                <w:rFonts w:hint="eastAsia" w:ascii="宋体" w:hAnsi="宋体" w:eastAsia="宋体" w:cs="宋体"/>
                <w:color w:val="auto"/>
                <w:sz w:val="24"/>
                <w:szCs w:val="24"/>
                <w:highlight w:val="none"/>
              </w:rPr>
              <w:t>垃圾</w:t>
            </w:r>
            <w:r>
              <w:rPr>
                <w:rFonts w:hint="eastAsia" w:ascii="宋体" w:hAnsi="宋体" w:eastAsia="宋体" w:cs="宋体"/>
                <w:color w:val="auto"/>
                <w:sz w:val="24"/>
                <w:szCs w:val="24"/>
                <w:highlight w:val="none"/>
                <w:lang w:val="en-US" w:eastAsia="zh-CN"/>
              </w:rPr>
              <w:t>运输</w:t>
            </w:r>
            <w:r>
              <w:rPr>
                <w:rFonts w:hint="eastAsia" w:ascii="宋体" w:hAnsi="宋体" w:eastAsia="宋体" w:cs="宋体"/>
                <w:color w:val="auto"/>
                <w:sz w:val="24"/>
                <w:szCs w:val="24"/>
                <w:highlight w:val="none"/>
              </w:rPr>
              <w:t>车</w:t>
            </w:r>
            <w:r>
              <w:rPr>
                <w:rFonts w:hint="eastAsia" w:ascii="宋体" w:hAnsi="宋体" w:eastAsia="宋体" w:cs="宋体"/>
                <w:color w:val="auto"/>
                <w:sz w:val="24"/>
                <w:szCs w:val="24"/>
                <w:highlight w:val="none"/>
                <w:lang w:val="en-US" w:eastAsia="zh-CN"/>
              </w:rPr>
              <w:t>不整洁</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作业</w:t>
            </w:r>
            <w:r>
              <w:rPr>
                <w:rFonts w:hint="eastAsia" w:ascii="宋体" w:hAnsi="宋体" w:eastAsia="宋体" w:cs="宋体"/>
                <w:color w:val="auto"/>
                <w:sz w:val="24"/>
                <w:szCs w:val="24"/>
                <w:highlight w:val="none"/>
                <w:lang w:eastAsia="zh-CN"/>
              </w:rPr>
              <w:t>车</w:t>
            </w:r>
            <w:r>
              <w:rPr>
                <w:rFonts w:hint="eastAsia" w:ascii="宋体" w:hAnsi="宋体" w:eastAsia="宋体" w:cs="宋体"/>
                <w:color w:val="auto"/>
                <w:sz w:val="24"/>
                <w:szCs w:val="24"/>
                <w:highlight w:val="none"/>
                <w:lang w:val="en-US" w:eastAsia="zh-CN"/>
              </w:rPr>
              <w:t>未定点停放，</w:t>
            </w:r>
            <w:r>
              <w:rPr>
                <w:rFonts w:hint="eastAsia" w:ascii="宋体" w:hAnsi="宋体" w:eastAsia="宋体" w:cs="宋体"/>
                <w:color w:val="auto"/>
                <w:sz w:val="24"/>
                <w:szCs w:val="24"/>
                <w:highlight w:val="none"/>
              </w:rPr>
              <w:t>停放在草坪、地被植物上。</w:t>
            </w:r>
          </w:p>
        </w:tc>
        <w:tc>
          <w:tcPr>
            <w:tcW w:w="1683" w:type="dxa"/>
            <w:vMerge w:val="continue"/>
            <w:tcBorders>
              <w:left w:val="single" w:color="auto" w:sz="4" w:space="0"/>
              <w:bottom w:val="single" w:color="auto" w:sz="4" w:space="0"/>
              <w:right w:val="single" w:color="auto" w:sz="4" w:space="0"/>
            </w:tcBorders>
            <w:shd w:val="clear" w:color="auto" w:fill="FFFFFF" w:themeFill="background1"/>
            <w:noWrap w:val="0"/>
            <w:vAlign w:val="center"/>
          </w:tcPr>
          <w:p w14:paraId="0EE94205">
            <w:pPr>
              <w:widowControl/>
              <w:adjustRightInd/>
              <w:jc w:val="left"/>
              <w:rPr>
                <w:rFonts w:hint="eastAsia" w:ascii="宋体" w:hAnsi="宋体" w:eastAsia="宋体" w:cs="宋体"/>
                <w:color w:val="auto"/>
                <w:sz w:val="24"/>
                <w:szCs w:val="24"/>
                <w:highlight w:val="none"/>
                <w:lang w:val="en-US" w:eastAsia="zh-CN"/>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569922D0">
            <w:pPr>
              <w:widowControl/>
              <w:adjustRightInd/>
              <w:jc w:val="center"/>
              <w:rPr>
                <w:rFonts w:hint="eastAsia" w:ascii="宋体" w:hAnsi="宋体" w:eastAsia="宋体" w:cs="宋体"/>
                <w:color w:val="auto"/>
                <w:sz w:val="24"/>
                <w:szCs w:val="24"/>
                <w:highlight w:val="none"/>
                <w:lang w:val="en-US" w:eastAsia="zh-CN"/>
              </w:rPr>
            </w:pPr>
          </w:p>
        </w:tc>
      </w:tr>
      <w:tr w14:paraId="733FC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2" w:hRule="atLeast"/>
          <w:jc w:val="center"/>
        </w:trPr>
        <w:tc>
          <w:tcPr>
            <w:tcW w:w="1521" w:type="dxa"/>
            <w:vMerge w:val="restart"/>
            <w:tcBorders>
              <w:left w:val="single" w:color="auto" w:sz="4" w:space="0"/>
              <w:right w:val="single" w:color="auto" w:sz="4" w:space="0"/>
            </w:tcBorders>
            <w:shd w:val="clear" w:color="auto" w:fill="FFFFFF" w:themeFill="background1"/>
            <w:noWrap w:val="0"/>
            <w:vAlign w:val="center"/>
          </w:tcPr>
          <w:p w14:paraId="51AEB14E">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公厕管理</w:t>
            </w: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4642F55A">
            <w:pPr>
              <w:widowControl/>
              <w:adjustRightInd/>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1.21</w:t>
            </w:r>
            <w:r>
              <w:rPr>
                <w:rFonts w:hint="eastAsia" w:ascii="宋体" w:hAnsi="宋体" w:eastAsia="宋体" w:cs="宋体"/>
                <w:color w:val="auto"/>
                <w:sz w:val="24"/>
                <w:szCs w:val="24"/>
                <w:highlight w:val="none"/>
              </w:rPr>
              <w:t>标识标牌</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设施设备</w:t>
            </w:r>
            <w:r>
              <w:rPr>
                <w:rFonts w:hint="eastAsia" w:ascii="宋体" w:hAnsi="宋体" w:eastAsia="宋体" w:cs="宋体"/>
                <w:color w:val="auto"/>
                <w:sz w:val="24"/>
                <w:szCs w:val="24"/>
                <w:highlight w:val="none"/>
                <w:lang w:val="en-US" w:eastAsia="zh-CN"/>
              </w:rPr>
              <w:t>等发现</w:t>
            </w:r>
            <w:r>
              <w:rPr>
                <w:rFonts w:hint="eastAsia" w:ascii="宋体" w:hAnsi="宋体" w:eastAsia="宋体" w:cs="宋体"/>
                <w:color w:val="auto"/>
                <w:sz w:val="24"/>
                <w:szCs w:val="24"/>
                <w:highlight w:val="none"/>
              </w:rPr>
              <w:t>破损、残缺，影响正常使用。</w:t>
            </w:r>
          </w:p>
        </w:tc>
        <w:tc>
          <w:tcPr>
            <w:tcW w:w="1683" w:type="dxa"/>
            <w:vMerge w:val="restart"/>
            <w:tcBorders>
              <w:left w:val="single" w:color="auto" w:sz="4" w:space="0"/>
              <w:right w:val="single" w:color="auto" w:sz="4" w:space="0"/>
            </w:tcBorders>
            <w:shd w:val="clear" w:color="auto" w:fill="FFFFFF" w:themeFill="background1"/>
            <w:noWrap w:val="0"/>
            <w:vAlign w:val="center"/>
          </w:tcPr>
          <w:p w14:paraId="4049C178">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每发现一处扣0.5分。</w:t>
            </w:r>
          </w:p>
        </w:tc>
        <w:tc>
          <w:tcPr>
            <w:tcW w:w="863" w:type="dxa"/>
            <w:vMerge w:val="restart"/>
            <w:tcBorders>
              <w:left w:val="single" w:color="auto" w:sz="4" w:space="0"/>
              <w:right w:val="single" w:color="auto" w:sz="4" w:space="0"/>
            </w:tcBorders>
            <w:shd w:val="clear" w:color="auto" w:fill="FFFFFF" w:themeFill="background1"/>
            <w:noWrap w:val="0"/>
            <w:vAlign w:val="center"/>
          </w:tcPr>
          <w:p w14:paraId="5E282D5A">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r>
      <w:tr w14:paraId="17427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9"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362A512B">
            <w:pPr>
              <w:widowControl/>
              <w:adjustRightInd/>
              <w:jc w:val="center"/>
              <w:rPr>
                <w:rFonts w:hint="eastAsia" w:ascii="宋体" w:hAnsi="宋体" w:eastAsia="宋体" w:cs="宋体"/>
                <w:color w:val="auto"/>
                <w:sz w:val="24"/>
                <w:szCs w:val="24"/>
                <w:highlight w:val="none"/>
                <w:lang w:val="en-US"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165E98BB">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1.22</w:t>
            </w:r>
            <w:r>
              <w:rPr>
                <w:rFonts w:hint="eastAsia" w:ascii="宋体" w:hAnsi="宋体" w:eastAsia="宋体" w:cs="宋体"/>
                <w:color w:val="auto"/>
                <w:sz w:val="24"/>
                <w:szCs w:val="24"/>
                <w:highlight w:val="none"/>
              </w:rPr>
              <w:t>厕内环境</w:t>
            </w:r>
            <w:r>
              <w:rPr>
                <w:rFonts w:hint="eastAsia" w:ascii="宋体" w:hAnsi="宋体" w:eastAsia="宋体" w:cs="宋体"/>
                <w:color w:val="auto"/>
                <w:sz w:val="24"/>
                <w:szCs w:val="24"/>
                <w:highlight w:val="none"/>
                <w:lang w:val="en-US" w:eastAsia="zh-CN"/>
              </w:rPr>
              <w:t>不</w:t>
            </w:r>
            <w:r>
              <w:rPr>
                <w:rFonts w:hint="eastAsia" w:ascii="宋体" w:hAnsi="宋体" w:eastAsia="宋体" w:cs="宋体"/>
                <w:color w:val="auto"/>
                <w:sz w:val="24"/>
                <w:szCs w:val="24"/>
                <w:highlight w:val="none"/>
              </w:rPr>
              <w:t>整洁（</w:t>
            </w:r>
            <w:r>
              <w:rPr>
                <w:rFonts w:hint="eastAsia" w:ascii="宋体" w:hAnsi="宋体" w:eastAsia="宋体" w:cs="宋体"/>
                <w:color w:val="auto"/>
                <w:sz w:val="24"/>
                <w:szCs w:val="24"/>
                <w:highlight w:val="none"/>
                <w:lang w:val="en-US" w:eastAsia="zh-CN"/>
              </w:rPr>
              <w:t>存在</w:t>
            </w:r>
            <w:r>
              <w:rPr>
                <w:rFonts w:hint="eastAsia" w:ascii="宋体" w:hAnsi="宋体" w:eastAsia="宋体" w:cs="宋体"/>
                <w:color w:val="auto"/>
                <w:sz w:val="24"/>
                <w:szCs w:val="24"/>
                <w:highlight w:val="none"/>
              </w:rPr>
              <w:t>便渍、可见垃圾、积灰蛛网、乱涂写乱张贴等</w:t>
            </w:r>
            <w:r>
              <w:rPr>
                <w:rFonts w:hint="eastAsia" w:ascii="宋体" w:hAnsi="宋体" w:eastAsia="宋体" w:cs="宋体"/>
                <w:color w:val="auto"/>
                <w:sz w:val="24"/>
                <w:szCs w:val="24"/>
                <w:highlight w:val="none"/>
                <w:lang w:val="en-US" w:eastAsia="zh-CN"/>
              </w:rPr>
              <w:t>现象</w:t>
            </w:r>
            <w:r>
              <w:rPr>
                <w:rFonts w:hint="eastAsia" w:ascii="宋体" w:hAnsi="宋体" w:eastAsia="宋体" w:cs="宋体"/>
                <w:color w:val="auto"/>
                <w:sz w:val="24"/>
                <w:szCs w:val="24"/>
                <w:highlight w:val="none"/>
              </w:rPr>
              <w:t>）。</w:t>
            </w:r>
          </w:p>
        </w:tc>
        <w:tc>
          <w:tcPr>
            <w:tcW w:w="1683" w:type="dxa"/>
            <w:vMerge w:val="continue"/>
            <w:tcBorders>
              <w:left w:val="single" w:color="auto" w:sz="4" w:space="0"/>
              <w:right w:val="single" w:color="auto" w:sz="4" w:space="0"/>
            </w:tcBorders>
            <w:shd w:val="clear" w:color="auto" w:fill="FFFFFF" w:themeFill="background1"/>
            <w:noWrap w:val="0"/>
            <w:vAlign w:val="center"/>
          </w:tcPr>
          <w:p w14:paraId="020A9405">
            <w:pPr>
              <w:widowControl/>
              <w:adjustRightInd/>
              <w:jc w:val="left"/>
              <w:rPr>
                <w:rFonts w:hint="eastAsia" w:ascii="宋体" w:hAnsi="宋体" w:eastAsia="宋体" w:cs="宋体"/>
                <w:color w:val="auto"/>
                <w:sz w:val="24"/>
                <w:szCs w:val="24"/>
                <w:highlight w:val="none"/>
                <w:lang w:val="en-US" w:eastAsia="zh-CN"/>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2E88613F">
            <w:pPr>
              <w:widowControl/>
              <w:adjustRightInd/>
              <w:jc w:val="center"/>
              <w:rPr>
                <w:rFonts w:hint="eastAsia" w:ascii="宋体" w:hAnsi="宋体" w:eastAsia="宋体" w:cs="宋体"/>
                <w:color w:val="auto"/>
                <w:sz w:val="24"/>
                <w:szCs w:val="24"/>
                <w:highlight w:val="none"/>
                <w:lang w:val="en-US" w:eastAsia="zh-CN"/>
              </w:rPr>
            </w:pPr>
          </w:p>
        </w:tc>
      </w:tr>
      <w:tr w14:paraId="6BBAA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24"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457B638A">
            <w:pPr>
              <w:widowControl/>
              <w:adjustRightInd/>
              <w:jc w:val="center"/>
              <w:rPr>
                <w:rFonts w:hint="eastAsia" w:ascii="宋体" w:hAnsi="宋体" w:eastAsia="宋体" w:cs="宋体"/>
                <w:color w:val="auto"/>
                <w:sz w:val="24"/>
                <w:szCs w:val="24"/>
                <w:highlight w:val="none"/>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61E18B60">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1.23</w:t>
            </w:r>
            <w:r>
              <w:rPr>
                <w:rFonts w:hint="eastAsia" w:ascii="宋体" w:hAnsi="宋体" w:eastAsia="宋体" w:cs="宋体"/>
                <w:color w:val="auto"/>
                <w:sz w:val="24"/>
                <w:szCs w:val="24"/>
                <w:highlight w:val="none"/>
              </w:rPr>
              <w:t>垃圾桶满溢的或厕间废纸篓超过三分之一的。</w:t>
            </w:r>
          </w:p>
        </w:tc>
        <w:tc>
          <w:tcPr>
            <w:tcW w:w="1683" w:type="dxa"/>
            <w:vMerge w:val="continue"/>
            <w:tcBorders>
              <w:left w:val="single" w:color="auto" w:sz="4" w:space="0"/>
              <w:right w:val="single" w:color="auto" w:sz="4" w:space="0"/>
            </w:tcBorders>
            <w:shd w:val="clear" w:color="auto" w:fill="FFFFFF" w:themeFill="background1"/>
            <w:noWrap w:val="0"/>
            <w:vAlign w:val="center"/>
          </w:tcPr>
          <w:p w14:paraId="38984C64">
            <w:pPr>
              <w:widowControl/>
              <w:adjustRightInd/>
              <w:jc w:val="left"/>
              <w:rPr>
                <w:rFonts w:hint="eastAsia" w:ascii="宋体" w:hAnsi="宋体" w:eastAsia="宋体" w:cs="宋体"/>
                <w:color w:val="auto"/>
                <w:sz w:val="24"/>
                <w:szCs w:val="24"/>
                <w:highlight w:val="none"/>
                <w:lang w:val="en-US" w:eastAsia="zh-CN"/>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509A5CBB">
            <w:pPr>
              <w:widowControl/>
              <w:adjustRightInd/>
              <w:jc w:val="center"/>
              <w:rPr>
                <w:rFonts w:hint="eastAsia" w:ascii="宋体" w:hAnsi="宋体" w:eastAsia="宋体" w:cs="宋体"/>
                <w:color w:val="auto"/>
                <w:sz w:val="24"/>
                <w:szCs w:val="24"/>
                <w:highlight w:val="none"/>
                <w:lang w:val="en-US" w:eastAsia="zh-CN"/>
              </w:rPr>
            </w:pPr>
          </w:p>
        </w:tc>
      </w:tr>
      <w:tr w14:paraId="7B4B3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24"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77F810E6">
            <w:pPr>
              <w:widowControl/>
              <w:adjustRightInd/>
              <w:jc w:val="center"/>
              <w:rPr>
                <w:rFonts w:hint="eastAsia" w:ascii="宋体" w:hAnsi="宋体" w:eastAsia="宋体" w:cs="宋体"/>
                <w:color w:val="auto"/>
                <w:sz w:val="24"/>
                <w:szCs w:val="24"/>
                <w:highlight w:val="none"/>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1B203F0A">
            <w:pPr>
              <w:widowControl/>
              <w:adjustRightInd/>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1.24未按规定</w:t>
            </w:r>
            <w:r>
              <w:rPr>
                <w:rFonts w:hint="eastAsia" w:ascii="宋体" w:hAnsi="宋体" w:eastAsia="宋体" w:cs="宋体"/>
                <w:color w:val="auto"/>
                <w:sz w:val="24"/>
                <w:szCs w:val="24"/>
                <w:highlight w:val="none"/>
              </w:rPr>
              <w:t>提供免费厕纸和洗手液</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或补充不及时。</w:t>
            </w:r>
          </w:p>
        </w:tc>
        <w:tc>
          <w:tcPr>
            <w:tcW w:w="1683" w:type="dxa"/>
            <w:vMerge w:val="restart"/>
            <w:tcBorders>
              <w:left w:val="single" w:color="auto" w:sz="4" w:space="0"/>
              <w:right w:val="single" w:color="auto" w:sz="4" w:space="0"/>
            </w:tcBorders>
            <w:shd w:val="clear" w:color="auto" w:fill="FFFFFF" w:themeFill="background1"/>
            <w:noWrap w:val="0"/>
            <w:vAlign w:val="center"/>
          </w:tcPr>
          <w:p w14:paraId="408528C1">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每发现一次扣0.5分（当月累计扣分）。</w:t>
            </w:r>
          </w:p>
        </w:tc>
        <w:tc>
          <w:tcPr>
            <w:tcW w:w="863" w:type="dxa"/>
            <w:vMerge w:val="continue"/>
            <w:tcBorders>
              <w:left w:val="single" w:color="auto" w:sz="4" w:space="0"/>
              <w:right w:val="single" w:color="auto" w:sz="4" w:space="0"/>
            </w:tcBorders>
            <w:shd w:val="clear" w:color="auto" w:fill="FFFFFF" w:themeFill="background1"/>
            <w:noWrap w:val="0"/>
            <w:vAlign w:val="center"/>
          </w:tcPr>
          <w:p w14:paraId="7EFF0C64">
            <w:pPr>
              <w:widowControl/>
              <w:adjustRightInd/>
              <w:jc w:val="center"/>
              <w:rPr>
                <w:rFonts w:hint="eastAsia" w:ascii="宋体" w:hAnsi="宋体" w:eastAsia="宋体" w:cs="宋体"/>
                <w:color w:val="auto"/>
                <w:sz w:val="24"/>
                <w:szCs w:val="24"/>
                <w:highlight w:val="none"/>
                <w:lang w:val="en-US" w:eastAsia="zh-CN"/>
              </w:rPr>
            </w:pPr>
          </w:p>
        </w:tc>
      </w:tr>
      <w:tr w14:paraId="03B05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24"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24B53EED">
            <w:pPr>
              <w:widowControl/>
              <w:adjustRightInd/>
              <w:jc w:val="center"/>
              <w:rPr>
                <w:rFonts w:hint="eastAsia" w:ascii="宋体" w:hAnsi="宋体" w:eastAsia="宋体" w:cs="宋体"/>
                <w:color w:val="auto"/>
                <w:sz w:val="24"/>
                <w:szCs w:val="24"/>
                <w:highlight w:val="none"/>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1B6A4E8F">
            <w:pPr>
              <w:widowControl/>
              <w:adjustRightInd/>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1.25</w:t>
            </w:r>
            <w:r>
              <w:rPr>
                <w:rFonts w:hint="eastAsia" w:ascii="宋体" w:hAnsi="宋体" w:eastAsia="宋体" w:cs="宋体"/>
                <w:color w:val="auto"/>
                <w:sz w:val="24"/>
                <w:szCs w:val="24"/>
                <w:highlight w:val="none"/>
              </w:rPr>
              <w:t>保洁员作业期间</w:t>
            </w:r>
            <w:r>
              <w:rPr>
                <w:rFonts w:hint="eastAsia" w:ascii="宋体" w:hAnsi="宋体" w:eastAsia="宋体" w:cs="宋体"/>
                <w:color w:val="auto"/>
                <w:sz w:val="24"/>
                <w:szCs w:val="24"/>
                <w:highlight w:val="none"/>
                <w:lang w:val="en-US" w:eastAsia="zh-CN"/>
              </w:rPr>
              <w:t>未</w:t>
            </w:r>
            <w:r>
              <w:rPr>
                <w:rFonts w:hint="eastAsia" w:ascii="宋体" w:hAnsi="宋体" w:eastAsia="宋体" w:cs="宋体"/>
                <w:color w:val="auto"/>
                <w:sz w:val="24"/>
                <w:szCs w:val="24"/>
                <w:highlight w:val="none"/>
              </w:rPr>
              <w:t>正确佩戴口罩和手套，拖把</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抹布等保洁工具</w:t>
            </w:r>
            <w:r>
              <w:rPr>
                <w:rFonts w:hint="eastAsia" w:ascii="宋体" w:hAnsi="宋体" w:eastAsia="宋体" w:cs="宋体"/>
                <w:color w:val="auto"/>
                <w:sz w:val="24"/>
                <w:szCs w:val="24"/>
                <w:highlight w:val="none"/>
                <w:lang w:val="en-US" w:eastAsia="zh-CN"/>
              </w:rPr>
              <w:t>未</w:t>
            </w:r>
            <w:r>
              <w:rPr>
                <w:rFonts w:hint="eastAsia" w:ascii="宋体" w:hAnsi="宋体" w:eastAsia="宋体" w:cs="宋体"/>
                <w:color w:val="auto"/>
                <w:sz w:val="24"/>
                <w:szCs w:val="24"/>
                <w:highlight w:val="none"/>
              </w:rPr>
              <w:t>隐蔽收纳</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摆放</w:t>
            </w:r>
            <w:r>
              <w:rPr>
                <w:rFonts w:hint="eastAsia" w:ascii="宋体" w:hAnsi="宋体" w:eastAsia="宋体" w:cs="宋体"/>
                <w:color w:val="auto"/>
                <w:sz w:val="24"/>
                <w:szCs w:val="24"/>
                <w:highlight w:val="none"/>
                <w:lang w:val="en-US" w:eastAsia="zh-CN"/>
              </w:rPr>
              <w:t>不</w:t>
            </w:r>
            <w:r>
              <w:rPr>
                <w:rFonts w:hint="eastAsia" w:ascii="宋体" w:hAnsi="宋体" w:eastAsia="宋体" w:cs="宋体"/>
                <w:color w:val="auto"/>
                <w:sz w:val="24"/>
                <w:szCs w:val="24"/>
                <w:highlight w:val="none"/>
              </w:rPr>
              <w:t>整齐。</w:t>
            </w:r>
          </w:p>
        </w:tc>
        <w:tc>
          <w:tcPr>
            <w:tcW w:w="1683" w:type="dxa"/>
            <w:vMerge w:val="continue"/>
            <w:tcBorders>
              <w:left w:val="single" w:color="auto" w:sz="4" w:space="0"/>
              <w:right w:val="single" w:color="auto" w:sz="4" w:space="0"/>
            </w:tcBorders>
            <w:shd w:val="clear" w:color="auto" w:fill="FFFFFF" w:themeFill="background1"/>
            <w:noWrap w:val="0"/>
            <w:vAlign w:val="center"/>
          </w:tcPr>
          <w:p w14:paraId="567FF745">
            <w:pPr>
              <w:widowControl/>
              <w:adjustRightInd/>
              <w:jc w:val="left"/>
              <w:rPr>
                <w:rFonts w:hint="eastAsia" w:ascii="宋体" w:hAnsi="宋体" w:eastAsia="宋体" w:cs="宋体"/>
                <w:color w:val="auto"/>
                <w:sz w:val="24"/>
                <w:szCs w:val="24"/>
                <w:highlight w:val="none"/>
                <w:lang w:val="en-US" w:eastAsia="zh-CN"/>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13830445">
            <w:pPr>
              <w:widowControl/>
              <w:adjustRightInd/>
              <w:jc w:val="center"/>
              <w:rPr>
                <w:rFonts w:hint="eastAsia" w:ascii="宋体" w:hAnsi="宋体" w:eastAsia="宋体" w:cs="宋体"/>
                <w:color w:val="auto"/>
                <w:sz w:val="24"/>
                <w:szCs w:val="24"/>
                <w:highlight w:val="none"/>
                <w:lang w:val="en-US" w:eastAsia="zh-CN"/>
              </w:rPr>
            </w:pPr>
          </w:p>
        </w:tc>
      </w:tr>
      <w:tr w14:paraId="4B8A7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172FD8FB">
            <w:pPr>
              <w:widowControl/>
              <w:adjustRightInd/>
              <w:jc w:val="center"/>
              <w:rPr>
                <w:rFonts w:hint="eastAsia" w:ascii="宋体" w:hAnsi="宋体" w:eastAsia="宋体" w:cs="宋体"/>
                <w:color w:val="auto"/>
                <w:sz w:val="24"/>
                <w:szCs w:val="24"/>
                <w:highlight w:val="none"/>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59CF886E">
            <w:pPr>
              <w:widowControl/>
              <w:adjustRightInd/>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1.26</w:t>
            </w:r>
            <w:r>
              <w:rPr>
                <w:rFonts w:hint="eastAsia" w:ascii="宋体" w:hAnsi="宋体" w:eastAsia="宋体" w:cs="宋体"/>
                <w:color w:val="auto"/>
                <w:sz w:val="24"/>
                <w:szCs w:val="24"/>
                <w:highlight w:val="none"/>
              </w:rPr>
              <w:t>厕内异味明显</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有蚊蝇的</w:t>
            </w:r>
            <w:r>
              <w:rPr>
                <w:rFonts w:hint="eastAsia" w:ascii="宋体" w:hAnsi="宋体" w:eastAsia="宋体" w:cs="宋体"/>
                <w:color w:val="auto"/>
                <w:sz w:val="24"/>
                <w:szCs w:val="24"/>
                <w:highlight w:val="none"/>
                <w:lang w:eastAsia="zh-CN"/>
              </w:rPr>
              <w:t>。</w:t>
            </w:r>
          </w:p>
        </w:tc>
        <w:tc>
          <w:tcPr>
            <w:tcW w:w="1683" w:type="dxa"/>
            <w:vMerge w:val="continue"/>
            <w:tcBorders>
              <w:left w:val="single" w:color="auto" w:sz="4" w:space="0"/>
              <w:right w:val="single" w:color="auto" w:sz="4" w:space="0"/>
            </w:tcBorders>
            <w:shd w:val="clear" w:color="auto" w:fill="FFFFFF" w:themeFill="background1"/>
            <w:noWrap w:val="0"/>
            <w:vAlign w:val="center"/>
          </w:tcPr>
          <w:p w14:paraId="06F62080">
            <w:pPr>
              <w:widowControl/>
              <w:adjustRightInd/>
              <w:jc w:val="left"/>
              <w:rPr>
                <w:rFonts w:hint="eastAsia" w:ascii="宋体" w:hAnsi="宋体" w:eastAsia="宋体" w:cs="宋体"/>
                <w:color w:val="auto"/>
                <w:sz w:val="24"/>
                <w:szCs w:val="24"/>
                <w:highlight w:val="none"/>
                <w:lang w:val="en-US" w:eastAsia="zh-CN"/>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336C471E">
            <w:pPr>
              <w:widowControl/>
              <w:adjustRightInd/>
              <w:jc w:val="center"/>
              <w:rPr>
                <w:rFonts w:hint="eastAsia" w:ascii="宋体" w:hAnsi="宋体" w:eastAsia="宋体" w:cs="宋体"/>
                <w:color w:val="auto"/>
                <w:sz w:val="24"/>
                <w:szCs w:val="24"/>
                <w:highlight w:val="none"/>
                <w:lang w:val="en-US" w:eastAsia="zh-CN"/>
              </w:rPr>
            </w:pPr>
          </w:p>
        </w:tc>
      </w:tr>
      <w:tr w14:paraId="3BD2B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33441754">
            <w:pPr>
              <w:widowControl/>
              <w:adjustRightInd/>
              <w:jc w:val="center"/>
              <w:rPr>
                <w:rFonts w:hint="eastAsia" w:ascii="宋体" w:hAnsi="宋体" w:eastAsia="宋体" w:cs="宋体"/>
                <w:color w:val="auto"/>
                <w:sz w:val="24"/>
                <w:szCs w:val="24"/>
                <w:highlight w:val="none"/>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21B63CF7">
            <w:pPr>
              <w:widowControl/>
              <w:adjustRightInd/>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1.27未按规范</w:t>
            </w:r>
            <w:r>
              <w:rPr>
                <w:rFonts w:hint="eastAsia" w:ascii="宋体" w:hAnsi="宋体" w:eastAsia="宋体" w:cs="宋体"/>
                <w:color w:val="auto"/>
                <w:sz w:val="24"/>
                <w:szCs w:val="24"/>
                <w:highlight w:val="none"/>
              </w:rPr>
              <w:t>进行消毒</w:t>
            </w:r>
            <w:r>
              <w:rPr>
                <w:rFonts w:hint="eastAsia" w:ascii="宋体" w:hAnsi="宋体" w:eastAsia="宋体" w:cs="宋体"/>
                <w:color w:val="auto"/>
                <w:sz w:val="24"/>
                <w:szCs w:val="24"/>
                <w:highlight w:val="none"/>
                <w:lang w:eastAsia="zh-CN"/>
              </w:rPr>
              <w:t>作业。</w:t>
            </w:r>
          </w:p>
        </w:tc>
        <w:tc>
          <w:tcPr>
            <w:tcW w:w="1683" w:type="dxa"/>
            <w:vMerge w:val="continue"/>
            <w:tcBorders>
              <w:left w:val="single" w:color="auto" w:sz="4" w:space="0"/>
              <w:right w:val="single" w:color="auto" w:sz="4" w:space="0"/>
            </w:tcBorders>
            <w:shd w:val="clear" w:color="auto" w:fill="FFFFFF" w:themeFill="background1"/>
            <w:noWrap w:val="0"/>
            <w:vAlign w:val="center"/>
          </w:tcPr>
          <w:p w14:paraId="224D63C4">
            <w:pPr>
              <w:widowControl/>
              <w:adjustRightInd/>
              <w:jc w:val="left"/>
              <w:rPr>
                <w:rFonts w:hint="eastAsia" w:ascii="宋体" w:hAnsi="宋体" w:eastAsia="宋体" w:cs="宋体"/>
                <w:color w:val="auto"/>
                <w:sz w:val="24"/>
                <w:szCs w:val="24"/>
                <w:highlight w:val="none"/>
                <w:lang w:val="en-US" w:eastAsia="zh-CN"/>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5BCB2D17">
            <w:pPr>
              <w:widowControl/>
              <w:adjustRightInd/>
              <w:jc w:val="center"/>
              <w:rPr>
                <w:rFonts w:hint="eastAsia" w:ascii="宋体" w:hAnsi="宋体" w:eastAsia="宋体" w:cs="宋体"/>
                <w:color w:val="auto"/>
                <w:sz w:val="24"/>
                <w:szCs w:val="24"/>
                <w:highlight w:val="none"/>
                <w:lang w:val="en-US" w:eastAsia="zh-CN"/>
              </w:rPr>
            </w:pPr>
          </w:p>
        </w:tc>
      </w:tr>
      <w:tr w14:paraId="11446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14" w:hRule="atLeast"/>
          <w:jc w:val="center"/>
        </w:trPr>
        <w:tc>
          <w:tcPr>
            <w:tcW w:w="1521" w:type="dxa"/>
            <w:vMerge w:val="restart"/>
            <w:tcBorders>
              <w:left w:val="single" w:color="auto" w:sz="4" w:space="0"/>
              <w:right w:val="single" w:color="auto" w:sz="4" w:space="0"/>
            </w:tcBorders>
            <w:shd w:val="clear" w:color="auto" w:fill="FFFFFF" w:themeFill="background1"/>
            <w:noWrap w:val="0"/>
            <w:vAlign w:val="center"/>
          </w:tcPr>
          <w:p w14:paraId="47C37C1A">
            <w:pPr>
              <w:widowControl/>
              <w:adjustRightInd/>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四害消杀及外来入侵物种</w:t>
            </w: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2EBBC31D">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1.28园内四害消杀不及时，蚊蝇较多。</w:t>
            </w:r>
          </w:p>
        </w:tc>
        <w:tc>
          <w:tcPr>
            <w:tcW w:w="1683" w:type="dxa"/>
            <w:tcBorders>
              <w:left w:val="single" w:color="auto" w:sz="4" w:space="0"/>
              <w:bottom w:val="single" w:color="auto" w:sz="4" w:space="0"/>
              <w:right w:val="single" w:color="auto" w:sz="4" w:space="0"/>
            </w:tcBorders>
            <w:shd w:val="clear" w:color="auto" w:fill="FFFFFF" w:themeFill="background1"/>
            <w:noWrap w:val="0"/>
            <w:vAlign w:val="center"/>
          </w:tcPr>
          <w:p w14:paraId="77653014">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每发现一处扣0.5分。</w:t>
            </w:r>
          </w:p>
        </w:tc>
        <w:tc>
          <w:tcPr>
            <w:tcW w:w="863" w:type="dxa"/>
            <w:vMerge w:val="restart"/>
            <w:tcBorders>
              <w:left w:val="single" w:color="auto" w:sz="4" w:space="0"/>
              <w:right w:val="single" w:color="auto" w:sz="4" w:space="0"/>
            </w:tcBorders>
            <w:shd w:val="clear" w:color="auto" w:fill="FFFFFF" w:themeFill="background1"/>
            <w:noWrap w:val="0"/>
            <w:vAlign w:val="center"/>
          </w:tcPr>
          <w:p w14:paraId="2D2EC1EC">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r>
      <w:tr w14:paraId="2BF5D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14"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3FC764A3">
            <w:pPr>
              <w:widowControl/>
              <w:adjustRightInd/>
              <w:jc w:val="center"/>
              <w:rPr>
                <w:rFonts w:hint="eastAsia" w:ascii="宋体" w:hAnsi="宋体" w:eastAsia="宋体" w:cs="宋体"/>
                <w:color w:val="auto"/>
                <w:sz w:val="24"/>
                <w:szCs w:val="24"/>
                <w:highlight w:val="none"/>
                <w:lang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702807DA">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1.29园内未及时发现外来入侵物种，或发现后未及时上报和处理。</w:t>
            </w:r>
          </w:p>
        </w:tc>
        <w:tc>
          <w:tcPr>
            <w:tcW w:w="1683" w:type="dxa"/>
            <w:tcBorders>
              <w:left w:val="single" w:color="auto" w:sz="4" w:space="0"/>
              <w:bottom w:val="single" w:color="auto" w:sz="4" w:space="0"/>
              <w:right w:val="single" w:color="auto" w:sz="4" w:space="0"/>
            </w:tcBorders>
            <w:shd w:val="clear" w:color="auto" w:fill="FFFFFF" w:themeFill="background1"/>
            <w:noWrap w:val="0"/>
            <w:vAlign w:val="center"/>
          </w:tcPr>
          <w:p w14:paraId="60A19768">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每发现1次扣1分。</w:t>
            </w:r>
          </w:p>
        </w:tc>
        <w:tc>
          <w:tcPr>
            <w:tcW w:w="863" w:type="dxa"/>
            <w:vMerge w:val="continue"/>
            <w:tcBorders>
              <w:left w:val="single" w:color="auto" w:sz="4" w:space="0"/>
              <w:right w:val="single" w:color="auto" w:sz="4" w:space="0"/>
            </w:tcBorders>
            <w:shd w:val="clear" w:color="auto" w:fill="FFFFFF" w:themeFill="background1"/>
            <w:noWrap w:val="0"/>
            <w:vAlign w:val="center"/>
          </w:tcPr>
          <w:p w14:paraId="516CF36C">
            <w:pPr>
              <w:widowControl/>
              <w:adjustRightInd/>
              <w:jc w:val="center"/>
              <w:rPr>
                <w:rFonts w:hint="eastAsia" w:ascii="宋体" w:hAnsi="宋体" w:eastAsia="宋体" w:cs="宋体"/>
                <w:color w:val="auto"/>
                <w:sz w:val="24"/>
                <w:szCs w:val="24"/>
                <w:highlight w:val="none"/>
                <w:lang w:val="en-US" w:eastAsia="zh-CN"/>
              </w:rPr>
            </w:pPr>
          </w:p>
        </w:tc>
      </w:tr>
      <w:tr w14:paraId="17DC6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521" w:type="dxa"/>
            <w:vMerge w:val="restart"/>
            <w:tcBorders>
              <w:left w:val="single" w:color="auto" w:sz="4" w:space="0"/>
              <w:right w:val="single" w:color="auto" w:sz="4" w:space="0"/>
            </w:tcBorders>
            <w:shd w:val="clear" w:color="auto" w:fill="FFFFFF" w:themeFill="background1"/>
            <w:noWrap w:val="0"/>
            <w:vAlign w:val="center"/>
          </w:tcPr>
          <w:p w14:paraId="65287C0D">
            <w:pPr>
              <w:widowControl/>
              <w:adjustRightInd/>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水体维护</w:t>
            </w: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657529F6">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1.30水面存在明显漂浮垃圾或漂浮污渍。</w:t>
            </w:r>
          </w:p>
        </w:tc>
        <w:tc>
          <w:tcPr>
            <w:tcW w:w="1683" w:type="dxa"/>
            <w:tcBorders>
              <w:left w:val="single" w:color="auto" w:sz="4" w:space="0"/>
              <w:bottom w:val="single" w:color="auto" w:sz="4" w:space="0"/>
              <w:right w:val="single" w:color="auto" w:sz="4" w:space="0"/>
            </w:tcBorders>
            <w:shd w:val="clear" w:color="auto" w:fill="FFFFFF" w:themeFill="background1"/>
            <w:noWrap w:val="0"/>
            <w:vAlign w:val="center"/>
          </w:tcPr>
          <w:p w14:paraId="15B468DF">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每发现一次扣0.5分（当月累计扣分）。</w:t>
            </w:r>
          </w:p>
        </w:tc>
        <w:tc>
          <w:tcPr>
            <w:tcW w:w="863" w:type="dxa"/>
            <w:vMerge w:val="restart"/>
            <w:tcBorders>
              <w:left w:val="single" w:color="auto" w:sz="4" w:space="0"/>
              <w:right w:val="single" w:color="auto" w:sz="4" w:space="0"/>
            </w:tcBorders>
            <w:shd w:val="clear" w:color="auto" w:fill="FFFFFF" w:themeFill="background1"/>
            <w:noWrap w:val="0"/>
            <w:vAlign w:val="center"/>
          </w:tcPr>
          <w:p w14:paraId="3DEC1DAF">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r>
      <w:tr w14:paraId="69758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14" w:hRule="atLeast"/>
          <w:jc w:val="center"/>
        </w:trPr>
        <w:tc>
          <w:tcPr>
            <w:tcW w:w="1521" w:type="dxa"/>
            <w:vMerge w:val="continue"/>
            <w:tcBorders>
              <w:left w:val="single" w:color="auto" w:sz="4" w:space="0"/>
              <w:bottom w:val="single" w:color="auto" w:sz="4" w:space="0"/>
              <w:right w:val="single" w:color="auto" w:sz="4" w:space="0"/>
            </w:tcBorders>
            <w:shd w:val="clear" w:color="auto" w:fill="FFFFFF" w:themeFill="background1"/>
            <w:noWrap w:val="0"/>
            <w:vAlign w:val="center"/>
          </w:tcPr>
          <w:p w14:paraId="70EE14D2">
            <w:pPr>
              <w:widowControl/>
              <w:adjustRightInd/>
              <w:jc w:val="center"/>
              <w:rPr>
                <w:rFonts w:hint="eastAsia" w:ascii="宋体" w:hAnsi="宋体" w:eastAsia="宋体" w:cs="宋体"/>
                <w:color w:val="auto"/>
                <w:sz w:val="24"/>
                <w:szCs w:val="24"/>
                <w:highlight w:val="none"/>
                <w:lang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1096B044">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1.31 </w:t>
            </w:r>
            <w:r>
              <w:rPr>
                <w:rFonts w:hint="eastAsia" w:ascii="宋体" w:hAnsi="宋体" w:eastAsia="宋体" w:cs="宋体"/>
                <w:b w:val="0"/>
                <w:bCs w:val="0"/>
                <w:color w:val="auto"/>
                <w:sz w:val="24"/>
                <w:szCs w:val="24"/>
                <w:highlight w:val="none"/>
                <w:shd w:val="clear" w:color="auto" w:fill="FFFFFF"/>
                <w:lang w:val="zh-TW" w:eastAsia="zh-CN" w:bidi="zh-TW"/>
              </w:rPr>
              <w:t>水体出现黑臭或大面积蓝绿藻爆发</w:t>
            </w:r>
            <w:r>
              <w:rPr>
                <w:rFonts w:hint="eastAsia" w:ascii="宋体" w:hAnsi="宋体" w:eastAsia="宋体" w:cs="宋体"/>
                <w:b w:val="0"/>
                <w:bCs w:val="0"/>
                <w:color w:val="auto"/>
                <w:sz w:val="24"/>
                <w:szCs w:val="24"/>
                <w:highlight w:val="none"/>
                <w:shd w:val="clear" w:color="auto" w:fill="FFFFFF"/>
                <w:lang w:val="en-US" w:eastAsia="zh-CN" w:bidi="zh-TW"/>
              </w:rPr>
              <w:t>情况。</w:t>
            </w:r>
          </w:p>
        </w:tc>
        <w:tc>
          <w:tcPr>
            <w:tcW w:w="1683" w:type="dxa"/>
            <w:tcBorders>
              <w:left w:val="single" w:color="auto" w:sz="4" w:space="0"/>
              <w:bottom w:val="single" w:color="auto" w:sz="4" w:space="0"/>
              <w:right w:val="single" w:color="auto" w:sz="4" w:space="0"/>
            </w:tcBorders>
            <w:shd w:val="clear" w:color="auto" w:fill="FFFFFF" w:themeFill="background1"/>
            <w:noWrap w:val="0"/>
            <w:vAlign w:val="center"/>
          </w:tcPr>
          <w:p w14:paraId="459A724E">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每次扣2分。</w:t>
            </w:r>
          </w:p>
        </w:tc>
        <w:tc>
          <w:tcPr>
            <w:tcW w:w="863" w:type="dxa"/>
            <w:vMerge w:val="continue"/>
            <w:tcBorders>
              <w:left w:val="single" w:color="auto" w:sz="4" w:space="0"/>
              <w:bottom w:val="single" w:color="auto" w:sz="4" w:space="0"/>
              <w:right w:val="single" w:color="auto" w:sz="4" w:space="0"/>
            </w:tcBorders>
            <w:shd w:val="clear" w:color="auto" w:fill="FFFFFF" w:themeFill="background1"/>
            <w:noWrap w:val="0"/>
            <w:vAlign w:val="center"/>
          </w:tcPr>
          <w:p w14:paraId="2453A67B">
            <w:pPr>
              <w:widowControl/>
              <w:adjustRightInd/>
              <w:jc w:val="center"/>
              <w:rPr>
                <w:rFonts w:hint="eastAsia" w:ascii="宋体" w:hAnsi="宋体" w:eastAsia="宋体" w:cs="宋体"/>
                <w:color w:val="auto"/>
                <w:sz w:val="24"/>
                <w:szCs w:val="24"/>
                <w:highlight w:val="none"/>
                <w:lang w:val="en-US" w:eastAsia="zh-CN"/>
              </w:rPr>
            </w:pPr>
          </w:p>
        </w:tc>
      </w:tr>
      <w:tr w14:paraId="7E7DC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86" w:hRule="atLeast"/>
          <w:jc w:val="center"/>
        </w:trPr>
        <w:tc>
          <w:tcPr>
            <w:tcW w:w="9085" w:type="dxa"/>
            <w:gridSpan w:val="4"/>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240CEDAD">
            <w:pPr>
              <w:widowControl/>
              <w:adjustRightInd/>
              <w:jc w:val="left"/>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（二）</w:t>
            </w:r>
            <w:r>
              <w:rPr>
                <w:rFonts w:hint="eastAsia" w:ascii="宋体" w:hAnsi="宋体" w:eastAsia="宋体" w:cs="宋体"/>
                <w:b/>
                <w:color w:val="auto"/>
                <w:sz w:val="24"/>
                <w:szCs w:val="24"/>
                <w:highlight w:val="none"/>
                <w:lang w:val="en-US" w:eastAsia="zh-CN"/>
              </w:rPr>
              <w:t>安全管理</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20分</w:t>
            </w:r>
            <w:r>
              <w:rPr>
                <w:rFonts w:hint="eastAsia" w:ascii="宋体" w:hAnsi="宋体" w:eastAsia="宋体" w:cs="宋体"/>
                <w:b/>
                <w:color w:val="auto"/>
                <w:sz w:val="24"/>
                <w:szCs w:val="24"/>
                <w:highlight w:val="none"/>
                <w:lang w:eastAsia="zh-CN"/>
              </w:rPr>
              <w:t>）</w:t>
            </w:r>
          </w:p>
        </w:tc>
      </w:tr>
      <w:tr w14:paraId="40DE7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04" w:hRule="atLeast"/>
          <w:jc w:val="center"/>
        </w:trPr>
        <w:tc>
          <w:tcPr>
            <w:tcW w:w="1521" w:type="dxa"/>
            <w:vMerge w:val="restart"/>
            <w:tcBorders>
              <w:top w:val="single" w:color="auto" w:sz="4" w:space="0"/>
              <w:left w:val="single" w:color="auto" w:sz="4" w:space="0"/>
              <w:right w:val="single" w:color="auto" w:sz="4" w:space="0"/>
            </w:tcBorders>
            <w:shd w:val="clear" w:color="auto" w:fill="FFFFFF" w:themeFill="background1"/>
            <w:noWrap w:val="0"/>
            <w:vAlign w:val="center"/>
          </w:tcPr>
          <w:p w14:paraId="6818FE01">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安全秩序</w:t>
            </w: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top"/>
          </w:tcPr>
          <w:p w14:paraId="4CC5DB91">
            <w:pPr>
              <w:widowControl/>
              <w:adjustRightInd/>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2.1</w:t>
            </w:r>
            <w:r>
              <w:rPr>
                <w:rFonts w:hint="eastAsia" w:ascii="宋体" w:hAnsi="宋体" w:eastAsia="宋体" w:cs="宋体"/>
                <w:color w:val="auto"/>
                <w:sz w:val="24"/>
                <w:szCs w:val="24"/>
                <w:highlight w:val="none"/>
              </w:rPr>
              <w:t>园</w:t>
            </w:r>
            <w:r>
              <w:rPr>
                <w:rFonts w:hint="eastAsia" w:ascii="宋体" w:hAnsi="宋体" w:eastAsia="宋体" w:cs="宋体"/>
                <w:color w:val="auto"/>
                <w:sz w:val="24"/>
                <w:szCs w:val="24"/>
                <w:highlight w:val="none"/>
                <w:lang w:eastAsia="zh-CN"/>
              </w:rPr>
              <w:t>内</w:t>
            </w:r>
            <w:r>
              <w:rPr>
                <w:rFonts w:hint="eastAsia" w:ascii="宋体" w:hAnsi="宋体" w:eastAsia="宋体" w:cs="宋体"/>
                <w:color w:val="auto"/>
                <w:sz w:val="24"/>
                <w:szCs w:val="24"/>
                <w:highlight w:val="none"/>
              </w:rPr>
              <w:t>存在赌博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传播封建迷信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流动设摊</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乱涂乱画、攀折花枝</w:t>
            </w:r>
            <w:r>
              <w:rPr>
                <w:rFonts w:hint="eastAsia" w:ascii="宋体" w:hAnsi="宋体" w:eastAsia="宋体" w:cs="宋体"/>
                <w:color w:val="auto"/>
                <w:sz w:val="24"/>
                <w:szCs w:val="24"/>
                <w:highlight w:val="none"/>
                <w:lang w:eastAsia="zh-CN"/>
              </w:rPr>
              <w:t>和</w:t>
            </w:r>
            <w:r>
              <w:rPr>
                <w:rFonts w:hint="eastAsia" w:ascii="宋体" w:hAnsi="宋体" w:eastAsia="宋体" w:cs="宋体"/>
                <w:color w:val="auto"/>
                <w:sz w:val="24"/>
                <w:szCs w:val="24"/>
                <w:highlight w:val="none"/>
              </w:rPr>
              <w:t>攀爬雕塑</w:t>
            </w:r>
            <w:r>
              <w:rPr>
                <w:rFonts w:hint="eastAsia" w:ascii="宋体" w:hAnsi="宋体" w:eastAsia="宋体" w:cs="宋体"/>
                <w:color w:val="auto"/>
                <w:sz w:val="24"/>
                <w:szCs w:val="24"/>
                <w:highlight w:val="none"/>
                <w:lang w:eastAsia="zh-CN"/>
              </w:rPr>
              <w:t>、吊挂晾晒等</w:t>
            </w:r>
            <w:r>
              <w:rPr>
                <w:rFonts w:hint="eastAsia" w:ascii="宋体" w:hAnsi="宋体" w:eastAsia="宋体" w:cs="宋体"/>
                <w:color w:val="auto"/>
                <w:sz w:val="24"/>
                <w:szCs w:val="24"/>
                <w:highlight w:val="none"/>
              </w:rPr>
              <w:t>影响正常游园</w:t>
            </w:r>
            <w:r>
              <w:rPr>
                <w:rFonts w:hint="eastAsia" w:ascii="宋体" w:hAnsi="宋体" w:eastAsia="宋体" w:cs="宋体"/>
                <w:color w:val="auto"/>
                <w:sz w:val="24"/>
                <w:szCs w:val="24"/>
                <w:highlight w:val="none"/>
                <w:lang w:eastAsia="zh-CN"/>
              </w:rPr>
              <w:t>和公园景观</w:t>
            </w:r>
            <w:r>
              <w:rPr>
                <w:rFonts w:hint="eastAsia" w:ascii="宋体" w:hAnsi="宋体" w:eastAsia="宋体" w:cs="宋体"/>
                <w:color w:val="auto"/>
                <w:sz w:val="24"/>
                <w:szCs w:val="24"/>
                <w:highlight w:val="none"/>
              </w:rPr>
              <w:t>的不文明行为</w:t>
            </w:r>
            <w:r>
              <w:rPr>
                <w:rFonts w:hint="eastAsia" w:ascii="宋体" w:hAnsi="宋体" w:eastAsia="宋体" w:cs="宋体"/>
                <w:color w:val="auto"/>
                <w:sz w:val="24"/>
                <w:szCs w:val="24"/>
                <w:highlight w:val="none"/>
                <w:lang w:eastAsia="zh-CN"/>
              </w:rPr>
              <w:t>未</w:t>
            </w:r>
            <w:r>
              <w:rPr>
                <w:rFonts w:hint="eastAsia" w:ascii="宋体" w:hAnsi="宋体" w:eastAsia="宋体" w:cs="宋体"/>
                <w:color w:val="auto"/>
                <w:sz w:val="24"/>
                <w:szCs w:val="24"/>
                <w:highlight w:val="none"/>
              </w:rPr>
              <w:t>及时劝阻</w:t>
            </w:r>
            <w:r>
              <w:rPr>
                <w:rFonts w:hint="eastAsia" w:ascii="宋体" w:hAnsi="宋体" w:eastAsia="宋体" w:cs="宋体"/>
                <w:color w:val="auto"/>
                <w:sz w:val="24"/>
                <w:szCs w:val="24"/>
                <w:highlight w:val="none"/>
                <w:lang w:eastAsia="zh-CN"/>
              </w:rPr>
              <w:t>。</w:t>
            </w:r>
          </w:p>
        </w:tc>
        <w:tc>
          <w:tcPr>
            <w:tcW w:w="1683" w:type="dxa"/>
            <w:vMerge w:val="restart"/>
            <w:tcBorders>
              <w:top w:val="single" w:color="auto" w:sz="4" w:space="0"/>
              <w:left w:val="single" w:color="auto" w:sz="4" w:space="0"/>
              <w:right w:val="single" w:color="auto" w:sz="4" w:space="0"/>
            </w:tcBorders>
            <w:shd w:val="clear" w:color="auto" w:fill="FFFFFF" w:themeFill="background1"/>
            <w:noWrap w:val="0"/>
            <w:vAlign w:val="center"/>
          </w:tcPr>
          <w:p w14:paraId="331270CA">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每发现一次，根据情节轻重扣1—2分（当月累计扣分）。</w:t>
            </w:r>
          </w:p>
        </w:tc>
        <w:tc>
          <w:tcPr>
            <w:tcW w:w="863" w:type="dxa"/>
            <w:vMerge w:val="restart"/>
            <w:tcBorders>
              <w:top w:val="single" w:color="auto" w:sz="4" w:space="0"/>
              <w:left w:val="single" w:color="auto" w:sz="4" w:space="0"/>
              <w:right w:val="single" w:color="auto" w:sz="4" w:space="0"/>
            </w:tcBorders>
            <w:shd w:val="clear" w:color="auto" w:fill="FFFFFF" w:themeFill="background1"/>
            <w:noWrap w:val="0"/>
            <w:vAlign w:val="center"/>
          </w:tcPr>
          <w:p w14:paraId="6443CC0E">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w:t>
            </w:r>
          </w:p>
        </w:tc>
      </w:tr>
      <w:tr w14:paraId="18E7F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055873CF">
            <w:pPr>
              <w:widowControl/>
              <w:adjustRightInd/>
              <w:jc w:val="center"/>
              <w:rPr>
                <w:rFonts w:hint="eastAsia" w:ascii="宋体" w:hAnsi="宋体" w:eastAsia="宋体" w:cs="宋体"/>
                <w:color w:val="auto"/>
                <w:sz w:val="24"/>
                <w:szCs w:val="24"/>
                <w:highlight w:val="none"/>
                <w:lang w:val="en-US"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top"/>
          </w:tcPr>
          <w:p w14:paraId="7068354E">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园</w:t>
            </w:r>
            <w:r>
              <w:rPr>
                <w:rFonts w:hint="eastAsia" w:ascii="宋体" w:hAnsi="宋体" w:eastAsia="宋体" w:cs="宋体"/>
                <w:color w:val="auto"/>
                <w:sz w:val="24"/>
                <w:szCs w:val="24"/>
                <w:highlight w:val="none"/>
                <w:lang w:eastAsia="zh-CN"/>
              </w:rPr>
              <w:t>内</w:t>
            </w:r>
            <w:r>
              <w:rPr>
                <w:rFonts w:hint="eastAsia" w:ascii="宋体" w:hAnsi="宋体" w:eastAsia="宋体" w:cs="宋体"/>
                <w:color w:val="auto"/>
                <w:sz w:val="24"/>
                <w:szCs w:val="24"/>
                <w:highlight w:val="none"/>
              </w:rPr>
              <w:t>噪音</w:t>
            </w:r>
            <w:r>
              <w:rPr>
                <w:rFonts w:hint="eastAsia" w:ascii="宋体" w:hAnsi="宋体" w:eastAsia="宋体" w:cs="宋体"/>
                <w:color w:val="auto"/>
                <w:sz w:val="24"/>
                <w:szCs w:val="24"/>
                <w:highlight w:val="none"/>
                <w:lang w:eastAsia="zh-CN"/>
              </w:rPr>
              <w:t>超标</w:t>
            </w:r>
            <w:r>
              <w:rPr>
                <w:rFonts w:hint="eastAsia" w:ascii="宋体" w:hAnsi="宋体" w:eastAsia="宋体" w:cs="宋体"/>
                <w:color w:val="auto"/>
                <w:sz w:val="24"/>
                <w:szCs w:val="24"/>
                <w:highlight w:val="none"/>
              </w:rPr>
              <w:t>严重</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未见落实措施和及时劝阻</w:t>
            </w:r>
            <w:r>
              <w:rPr>
                <w:rFonts w:hint="eastAsia" w:ascii="宋体" w:hAnsi="宋体" w:eastAsia="宋体" w:cs="宋体"/>
                <w:color w:val="auto"/>
                <w:sz w:val="24"/>
                <w:szCs w:val="24"/>
                <w:highlight w:val="none"/>
                <w:lang w:eastAsia="zh-CN"/>
              </w:rPr>
              <w:t>。</w:t>
            </w:r>
          </w:p>
        </w:tc>
        <w:tc>
          <w:tcPr>
            <w:tcW w:w="1683" w:type="dxa"/>
            <w:vMerge w:val="continue"/>
            <w:tcBorders>
              <w:left w:val="single" w:color="auto" w:sz="4" w:space="0"/>
              <w:right w:val="single" w:color="auto" w:sz="4" w:space="0"/>
            </w:tcBorders>
            <w:shd w:val="clear" w:color="auto" w:fill="FFFFFF" w:themeFill="background1"/>
            <w:noWrap w:val="0"/>
            <w:vAlign w:val="center"/>
          </w:tcPr>
          <w:p w14:paraId="03E5DC0B">
            <w:pPr>
              <w:widowControl/>
              <w:adjustRightInd/>
              <w:jc w:val="left"/>
              <w:rPr>
                <w:rFonts w:hint="eastAsia" w:ascii="宋体" w:hAnsi="宋体" w:eastAsia="宋体" w:cs="宋体"/>
                <w:color w:val="auto"/>
                <w:sz w:val="24"/>
                <w:szCs w:val="24"/>
                <w:highlight w:val="none"/>
                <w:lang w:val="en-US" w:eastAsia="zh-CN"/>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1C0FF672">
            <w:pPr>
              <w:widowControl/>
              <w:adjustRightInd/>
              <w:jc w:val="center"/>
              <w:rPr>
                <w:rFonts w:hint="eastAsia" w:ascii="宋体" w:hAnsi="宋体" w:eastAsia="宋体" w:cs="宋体"/>
                <w:color w:val="auto"/>
                <w:sz w:val="24"/>
                <w:szCs w:val="24"/>
                <w:highlight w:val="none"/>
                <w:lang w:val="en-US" w:eastAsia="zh-CN"/>
              </w:rPr>
            </w:pPr>
          </w:p>
        </w:tc>
      </w:tr>
      <w:tr w14:paraId="5F0AD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65632DDD">
            <w:pPr>
              <w:widowControl/>
              <w:adjustRightInd/>
              <w:jc w:val="center"/>
              <w:rPr>
                <w:rFonts w:hint="eastAsia" w:ascii="宋体" w:hAnsi="宋体" w:eastAsia="宋体" w:cs="宋体"/>
                <w:color w:val="auto"/>
                <w:sz w:val="24"/>
                <w:szCs w:val="24"/>
                <w:highlight w:val="none"/>
                <w:lang w:val="en-US"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top"/>
          </w:tcPr>
          <w:p w14:paraId="603E89C6">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2.3园内水域存在网鱼、</w:t>
            </w:r>
            <w:r>
              <w:rPr>
                <w:rFonts w:hint="eastAsia" w:ascii="宋体" w:hAnsi="宋体" w:eastAsia="宋体" w:cs="宋体"/>
                <w:color w:val="auto"/>
                <w:sz w:val="24"/>
                <w:szCs w:val="24"/>
                <w:highlight w:val="none"/>
              </w:rPr>
              <w:t>钓鱼、游泳、洗衣物</w:t>
            </w:r>
            <w:r>
              <w:rPr>
                <w:rFonts w:hint="eastAsia" w:ascii="宋体" w:hAnsi="宋体" w:eastAsia="宋体" w:cs="宋体"/>
                <w:color w:val="auto"/>
                <w:sz w:val="24"/>
                <w:szCs w:val="24"/>
                <w:highlight w:val="none"/>
                <w:lang w:eastAsia="zh-CN"/>
              </w:rPr>
              <w:t>等不文明行为未及时劝阻。</w:t>
            </w:r>
          </w:p>
        </w:tc>
        <w:tc>
          <w:tcPr>
            <w:tcW w:w="1683" w:type="dxa"/>
            <w:vMerge w:val="continue"/>
            <w:tcBorders>
              <w:left w:val="single" w:color="auto" w:sz="4" w:space="0"/>
              <w:right w:val="single" w:color="auto" w:sz="4" w:space="0"/>
            </w:tcBorders>
            <w:shd w:val="clear" w:color="auto" w:fill="FFFFFF" w:themeFill="background1"/>
            <w:noWrap w:val="0"/>
            <w:vAlign w:val="center"/>
          </w:tcPr>
          <w:p w14:paraId="5A4DAF52">
            <w:pPr>
              <w:widowControl/>
              <w:adjustRightInd/>
              <w:jc w:val="left"/>
              <w:rPr>
                <w:rFonts w:hint="eastAsia" w:ascii="宋体" w:hAnsi="宋体" w:eastAsia="宋体" w:cs="宋体"/>
                <w:color w:val="auto"/>
                <w:sz w:val="24"/>
                <w:szCs w:val="24"/>
                <w:highlight w:val="none"/>
                <w:lang w:val="en-US" w:eastAsia="zh-CN"/>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628B01F6">
            <w:pPr>
              <w:widowControl/>
              <w:adjustRightInd/>
              <w:jc w:val="center"/>
              <w:rPr>
                <w:rFonts w:hint="eastAsia" w:ascii="宋体" w:hAnsi="宋体" w:eastAsia="宋体" w:cs="宋体"/>
                <w:color w:val="auto"/>
                <w:sz w:val="24"/>
                <w:szCs w:val="24"/>
                <w:highlight w:val="none"/>
                <w:lang w:val="en-US" w:eastAsia="zh-CN"/>
              </w:rPr>
            </w:pPr>
          </w:p>
        </w:tc>
      </w:tr>
      <w:tr w14:paraId="0D87C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50"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3CB4FE51">
            <w:pPr>
              <w:widowControl/>
              <w:adjustRightInd/>
              <w:jc w:val="center"/>
              <w:rPr>
                <w:rFonts w:hint="eastAsia" w:ascii="宋体" w:hAnsi="宋体" w:eastAsia="宋体" w:cs="宋体"/>
                <w:color w:val="auto"/>
                <w:sz w:val="24"/>
                <w:szCs w:val="24"/>
                <w:highlight w:val="none"/>
                <w:lang w:val="en-US"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2DD2F262">
            <w:pPr>
              <w:widowControl/>
              <w:adjustRightInd/>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2.4</w:t>
            </w:r>
            <w:r>
              <w:rPr>
                <w:rFonts w:hint="eastAsia" w:ascii="宋体" w:hAnsi="宋体" w:eastAsia="宋体" w:cs="宋体"/>
                <w:color w:val="auto"/>
                <w:sz w:val="24"/>
                <w:szCs w:val="24"/>
                <w:highlight w:val="none"/>
              </w:rPr>
              <w:t>园</w:t>
            </w:r>
            <w:r>
              <w:rPr>
                <w:rFonts w:hint="eastAsia" w:ascii="宋体" w:hAnsi="宋体" w:eastAsia="宋体" w:cs="宋体"/>
                <w:color w:val="auto"/>
                <w:sz w:val="24"/>
                <w:szCs w:val="24"/>
                <w:highlight w:val="none"/>
                <w:lang w:eastAsia="zh-CN"/>
              </w:rPr>
              <w:t>内</w:t>
            </w:r>
            <w:r>
              <w:rPr>
                <w:rFonts w:hint="eastAsia" w:ascii="宋体" w:hAnsi="宋体" w:eastAsia="宋体" w:cs="宋体"/>
                <w:color w:val="auto"/>
                <w:sz w:val="24"/>
                <w:szCs w:val="24"/>
                <w:highlight w:val="none"/>
              </w:rPr>
              <w:t>存在</w:t>
            </w:r>
            <w:r>
              <w:rPr>
                <w:rFonts w:hint="eastAsia" w:ascii="宋体" w:hAnsi="宋体" w:eastAsia="宋体" w:cs="宋体"/>
                <w:color w:val="auto"/>
                <w:sz w:val="24"/>
                <w:szCs w:val="24"/>
                <w:highlight w:val="none"/>
                <w:lang w:eastAsia="zh-CN"/>
              </w:rPr>
              <w:t>非机动车入园未及时劝阻或停放混乱</w:t>
            </w:r>
            <w:r>
              <w:rPr>
                <w:rFonts w:hint="eastAsia" w:ascii="宋体" w:hAnsi="宋体" w:eastAsia="宋体" w:cs="宋体"/>
                <w:color w:val="auto"/>
                <w:sz w:val="24"/>
                <w:szCs w:val="24"/>
                <w:highlight w:val="none"/>
              </w:rPr>
              <w:t>未见落实措施</w:t>
            </w:r>
            <w:r>
              <w:rPr>
                <w:rFonts w:hint="eastAsia" w:ascii="宋体" w:hAnsi="宋体" w:eastAsia="宋体" w:cs="宋体"/>
                <w:color w:val="auto"/>
                <w:sz w:val="24"/>
                <w:szCs w:val="24"/>
                <w:highlight w:val="none"/>
                <w:lang w:eastAsia="zh-CN"/>
              </w:rPr>
              <w:t>。</w:t>
            </w:r>
          </w:p>
        </w:tc>
        <w:tc>
          <w:tcPr>
            <w:tcW w:w="1683" w:type="dxa"/>
            <w:vMerge w:val="continue"/>
            <w:tcBorders>
              <w:left w:val="single" w:color="auto" w:sz="4" w:space="0"/>
              <w:right w:val="single" w:color="auto" w:sz="4" w:space="0"/>
            </w:tcBorders>
            <w:shd w:val="clear" w:color="auto" w:fill="FFFFFF" w:themeFill="background1"/>
            <w:noWrap w:val="0"/>
            <w:vAlign w:val="center"/>
          </w:tcPr>
          <w:p w14:paraId="526A27B1">
            <w:pPr>
              <w:widowControl/>
              <w:adjustRightInd/>
              <w:jc w:val="left"/>
              <w:rPr>
                <w:rFonts w:hint="eastAsia" w:ascii="宋体" w:hAnsi="宋体" w:eastAsia="宋体" w:cs="宋体"/>
                <w:color w:val="auto"/>
                <w:sz w:val="24"/>
                <w:szCs w:val="24"/>
                <w:highlight w:val="none"/>
                <w:lang w:val="en-US" w:eastAsia="zh-CN"/>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36B2D608">
            <w:pPr>
              <w:widowControl/>
              <w:adjustRightInd/>
              <w:jc w:val="center"/>
              <w:rPr>
                <w:rFonts w:hint="eastAsia" w:ascii="宋体" w:hAnsi="宋体" w:eastAsia="宋体" w:cs="宋体"/>
                <w:color w:val="auto"/>
                <w:sz w:val="24"/>
                <w:szCs w:val="24"/>
                <w:highlight w:val="none"/>
                <w:lang w:val="en-US" w:eastAsia="zh-CN"/>
              </w:rPr>
            </w:pPr>
          </w:p>
        </w:tc>
      </w:tr>
      <w:tr w14:paraId="4CC1C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6201C993">
            <w:pPr>
              <w:widowControl/>
              <w:adjustRightInd/>
              <w:jc w:val="center"/>
              <w:rPr>
                <w:rFonts w:hint="eastAsia" w:ascii="宋体" w:hAnsi="宋体" w:eastAsia="宋体" w:cs="宋体"/>
                <w:color w:val="auto"/>
                <w:sz w:val="24"/>
                <w:szCs w:val="24"/>
                <w:highlight w:val="none"/>
                <w:lang w:val="en-US"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top"/>
          </w:tcPr>
          <w:p w14:paraId="7F284FED">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2.5园内存在不文明</w:t>
            </w:r>
            <w:r>
              <w:rPr>
                <w:rFonts w:hint="eastAsia" w:ascii="宋体" w:hAnsi="宋体" w:eastAsia="宋体" w:cs="宋体"/>
                <w:color w:val="auto"/>
                <w:sz w:val="24"/>
                <w:szCs w:val="24"/>
                <w:highlight w:val="none"/>
                <w:lang w:eastAsia="zh-CN"/>
              </w:rPr>
              <w:t>遛犬现象未及时劝阻，存在流浪犬猫未见落实措施。</w:t>
            </w:r>
          </w:p>
        </w:tc>
        <w:tc>
          <w:tcPr>
            <w:tcW w:w="1683" w:type="dxa"/>
            <w:vMerge w:val="continue"/>
            <w:tcBorders>
              <w:left w:val="single" w:color="auto" w:sz="4" w:space="0"/>
              <w:right w:val="single" w:color="auto" w:sz="4" w:space="0"/>
            </w:tcBorders>
            <w:shd w:val="clear" w:color="auto" w:fill="FFFFFF" w:themeFill="background1"/>
            <w:noWrap w:val="0"/>
            <w:vAlign w:val="center"/>
          </w:tcPr>
          <w:p w14:paraId="14DC1FFD">
            <w:pPr>
              <w:widowControl/>
              <w:adjustRightInd/>
              <w:jc w:val="left"/>
              <w:rPr>
                <w:rFonts w:hint="eastAsia" w:ascii="宋体" w:hAnsi="宋体" w:eastAsia="宋体" w:cs="宋体"/>
                <w:color w:val="auto"/>
                <w:sz w:val="24"/>
                <w:szCs w:val="24"/>
                <w:highlight w:val="none"/>
                <w:lang w:val="en-US" w:eastAsia="zh-CN"/>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23BD5DB4">
            <w:pPr>
              <w:widowControl/>
              <w:adjustRightInd/>
              <w:jc w:val="center"/>
              <w:rPr>
                <w:rFonts w:hint="eastAsia" w:ascii="宋体" w:hAnsi="宋体" w:eastAsia="宋体" w:cs="宋体"/>
                <w:color w:val="auto"/>
                <w:sz w:val="24"/>
                <w:szCs w:val="24"/>
                <w:highlight w:val="none"/>
                <w:lang w:val="en-US" w:eastAsia="zh-CN"/>
              </w:rPr>
            </w:pPr>
          </w:p>
        </w:tc>
      </w:tr>
      <w:tr w14:paraId="206C8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1" w:type="dxa"/>
            <w:vMerge w:val="restart"/>
            <w:tcBorders>
              <w:left w:val="single" w:color="auto" w:sz="4" w:space="0"/>
              <w:right w:val="single" w:color="auto" w:sz="4" w:space="0"/>
            </w:tcBorders>
            <w:shd w:val="clear" w:color="auto" w:fill="FFFFFF" w:themeFill="background1"/>
            <w:noWrap w:val="0"/>
            <w:vAlign w:val="center"/>
          </w:tcPr>
          <w:p w14:paraId="7CC7F4A3">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应急处置</w:t>
            </w: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top"/>
          </w:tcPr>
          <w:p w14:paraId="1508F650">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2.6未及时发现安全隐患风险，致使公园产生一定影响。</w:t>
            </w:r>
          </w:p>
        </w:tc>
        <w:tc>
          <w:tcPr>
            <w:tcW w:w="1683" w:type="dxa"/>
            <w:vMerge w:val="restart"/>
            <w:tcBorders>
              <w:left w:val="single" w:color="auto" w:sz="4" w:space="0"/>
              <w:right w:val="single" w:color="auto" w:sz="4" w:space="0"/>
            </w:tcBorders>
            <w:shd w:val="clear" w:color="auto" w:fill="FFFFFF" w:themeFill="background1"/>
            <w:noWrap w:val="0"/>
            <w:vAlign w:val="center"/>
          </w:tcPr>
          <w:p w14:paraId="2AC12F65">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每发生一次，根据情节轻重扣3—5分</w:t>
            </w:r>
          </w:p>
        </w:tc>
        <w:tc>
          <w:tcPr>
            <w:tcW w:w="863" w:type="dxa"/>
            <w:vMerge w:val="restart"/>
            <w:tcBorders>
              <w:left w:val="single" w:color="auto" w:sz="4" w:space="0"/>
              <w:right w:val="single" w:color="auto" w:sz="4" w:space="0"/>
            </w:tcBorders>
            <w:shd w:val="clear" w:color="auto" w:fill="FFFFFF" w:themeFill="background1"/>
            <w:noWrap w:val="0"/>
            <w:vAlign w:val="center"/>
          </w:tcPr>
          <w:p w14:paraId="270CF9BD">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r>
      <w:tr w14:paraId="53319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90"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5087D1D8">
            <w:pPr>
              <w:widowControl/>
              <w:adjustRightInd/>
              <w:jc w:val="center"/>
              <w:rPr>
                <w:rFonts w:hint="eastAsia" w:ascii="宋体" w:hAnsi="宋体" w:eastAsia="宋体" w:cs="宋体"/>
                <w:color w:val="auto"/>
                <w:sz w:val="24"/>
                <w:szCs w:val="24"/>
                <w:highlight w:val="none"/>
                <w:lang w:val="en-US"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top"/>
          </w:tcPr>
          <w:p w14:paraId="23ECD07A">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2.7在极端气候发生时，园内应急措施不到位，致使公园发生一定损失。</w:t>
            </w:r>
          </w:p>
        </w:tc>
        <w:tc>
          <w:tcPr>
            <w:tcW w:w="1683" w:type="dxa"/>
            <w:vMerge w:val="continue"/>
            <w:tcBorders>
              <w:left w:val="single" w:color="auto" w:sz="4" w:space="0"/>
              <w:right w:val="single" w:color="auto" w:sz="4" w:space="0"/>
            </w:tcBorders>
            <w:shd w:val="clear" w:color="auto" w:fill="FFFFFF" w:themeFill="background1"/>
            <w:noWrap w:val="0"/>
            <w:vAlign w:val="center"/>
          </w:tcPr>
          <w:p w14:paraId="096ABDB0">
            <w:pPr>
              <w:widowControl/>
              <w:adjustRightInd/>
              <w:jc w:val="left"/>
              <w:rPr>
                <w:rFonts w:hint="eastAsia" w:ascii="宋体" w:hAnsi="宋体" w:eastAsia="宋体" w:cs="宋体"/>
                <w:color w:val="auto"/>
                <w:sz w:val="24"/>
                <w:szCs w:val="24"/>
                <w:highlight w:val="none"/>
                <w:lang w:val="en-US" w:eastAsia="zh-CN"/>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1ACFC986">
            <w:pPr>
              <w:widowControl/>
              <w:adjustRightInd/>
              <w:jc w:val="center"/>
              <w:rPr>
                <w:rFonts w:hint="eastAsia" w:ascii="宋体" w:hAnsi="宋体" w:eastAsia="宋体" w:cs="宋体"/>
                <w:color w:val="auto"/>
                <w:sz w:val="24"/>
                <w:szCs w:val="24"/>
                <w:highlight w:val="none"/>
                <w:lang w:val="en-US" w:eastAsia="zh-CN"/>
              </w:rPr>
            </w:pPr>
          </w:p>
        </w:tc>
      </w:tr>
      <w:tr w14:paraId="5D337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50"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60DA265E">
            <w:pPr>
              <w:widowControl/>
              <w:adjustRightInd/>
              <w:jc w:val="center"/>
              <w:rPr>
                <w:rFonts w:hint="eastAsia" w:ascii="宋体" w:hAnsi="宋体" w:eastAsia="宋体" w:cs="宋体"/>
                <w:color w:val="auto"/>
                <w:sz w:val="24"/>
                <w:szCs w:val="24"/>
                <w:highlight w:val="none"/>
                <w:lang w:val="en-US"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top"/>
          </w:tcPr>
          <w:p w14:paraId="0C5301BA">
            <w:pPr>
              <w:widowControl/>
              <w:adjustRightInd/>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2.8园内发生突发事件或意外事故后未及时采取有效措施，未将相关情况及时上报采购人。</w:t>
            </w:r>
          </w:p>
        </w:tc>
        <w:tc>
          <w:tcPr>
            <w:tcW w:w="1683" w:type="dxa"/>
            <w:vMerge w:val="continue"/>
            <w:tcBorders>
              <w:left w:val="single" w:color="auto" w:sz="4" w:space="0"/>
              <w:right w:val="single" w:color="auto" w:sz="4" w:space="0"/>
            </w:tcBorders>
            <w:shd w:val="clear" w:color="auto" w:fill="FFFFFF" w:themeFill="background1"/>
            <w:noWrap w:val="0"/>
            <w:vAlign w:val="center"/>
          </w:tcPr>
          <w:p w14:paraId="78A45930">
            <w:pPr>
              <w:widowControl/>
              <w:adjustRightInd/>
              <w:jc w:val="left"/>
              <w:rPr>
                <w:rFonts w:hint="eastAsia" w:ascii="宋体" w:hAnsi="宋体" w:eastAsia="宋体" w:cs="宋体"/>
                <w:color w:val="auto"/>
                <w:sz w:val="24"/>
                <w:szCs w:val="24"/>
                <w:highlight w:val="none"/>
                <w:lang w:val="en-US" w:eastAsia="zh-CN"/>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3C77E4D9">
            <w:pPr>
              <w:widowControl/>
              <w:adjustRightInd/>
              <w:jc w:val="center"/>
              <w:rPr>
                <w:rFonts w:hint="eastAsia" w:ascii="宋体" w:hAnsi="宋体" w:eastAsia="宋体" w:cs="宋体"/>
                <w:color w:val="auto"/>
                <w:sz w:val="24"/>
                <w:szCs w:val="24"/>
                <w:highlight w:val="none"/>
                <w:lang w:val="en-US" w:eastAsia="zh-CN"/>
              </w:rPr>
            </w:pPr>
          </w:p>
        </w:tc>
      </w:tr>
      <w:tr w14:paraId="40426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89"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3DDD1014">
            <w:pPr>
              <w:widowControl/>
              <w:adjustRightInd/>
              <w:jc w:val="center"/>
              <w:rPr>
                <w:rFonts w:hint="eastAsia" w:ascii="宋体" w:hAnsi="宋体" w:eastAsia="宋体" w:cs="宋体"/>
                <w:color w:val="auto"/>
                <w:sz w:val="24"/>
                <w:szCs w:val="24"/>
                <w:highlight w:val="none"/>
                <w:lang w:val="en-US"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top"/>
          </w:tcPr>
          <w:p w14:paraId="316EAF44">
            <w:pPr>
              <w:widowControl/>
              <w:adjustRightInd/>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2.9园内发生偷盗、打架斗殴等治安事件，未及时发现、未及时与派出所联系处理，导致公园设施破损、游客发生伤亡、财产损失的。</w:t>
            </w:r>
          </w:p>
        </w:tc>
        <w:tc>
          <w:tcPr>
            <w:tcW w:w="1683" w:type="dxa"/>
            <w:vMerge w:val="continue"/>
            <w:tcBorders>
              <w:left w:val="single" w:color="auto" w:sz="4" w:space="0"/>
              <w:bottom w:val="single" w:color="auto" w:sz="4" w:space="0"/>
              <w:right w:val="single" w:color="auto" w:sz="4" w:space="0"/>
            </w:tcBorders>
            <w:shd w:val="clear" w:color="auto" w:fill="FFFFFF" w:themeFill="background1"/>
            <w:noWrap w:val="0"/>
            <w:vAlign w:val="center"/>
          </w:tcPr>
          <w:p w14:paraId="3980B124">
            <w:pPr>
              <w:widowControl/>
              <w:adjustRightInd/>
              <w:jc w:val="left"/>
              <w:rPr>
                <w:rFonts w:hint="eastAsia" w:ascii="宋体" w:hAnsi="宋体" w:eastAsia="宋体" w:cs="宋体"/>
                <w:color w:val="auto"/>
                <w:sz w:val="24"/>
                <w:szCs w:val="24"/>
                <w:highlight w:val="none"/>
                <w:lang w:val="en-US" w:eastAsia="zh-CN"/>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17FDCD68">
            <w:pPr>
              <w:widowControl/>
              <w:adjustRightInd/>
              <w:jc w:val="center"/>
              <w:rPr>
                <w:rFonts w:hint="eastAsia" w:ascii="宋体" w:hAnsi="宋体" w:eastAsia="宋体" w:cs="宋体"/>
                <w:color w:val="auto"/>
                <w:sz w:val="24"/>
                <w:szCs w:val="24"/>
                <w:highlight w:val="none"/>
                <w:lang w:val="en-US" w:eastAsia="zh-CN"/>
              </w:rPr>
            </w:pPr>
          </w:p>
        </w:tc>
      </w:tr>
      <w:tr w14:paraId="652CA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6" w:hRule="atLeast"/>
          <w:jc w:val="center"/>
        </w:trPr>
        <w:tc>
          <w:tcPr>
            <w:tcW w:w="9085" w:type="dxa"/>
            <w:gridSpan w:val="4"/>
            <w:tcBorders>
              <w:left w:val="single" w:color="auto" w:sz="4" w:space="0"/>
              <w:right w:val="single" w:color="auto" w:sz="4" w:space="0"/>
            </w:tcBorders>
            <w:shd w:val="clear" w:color="auto" w:fill="FFFFFF" w:themeFill="background1"/>
            <w:noWrap w:val="0"/>
            <w:vAlign w:val="center"/>
          </w:tcPr>
          <w:p w14:paraId="24C53C65">
            <w:pPr>
              <w:widowControl/>
              <w:tabs>
                <w:tab w:val="left" w:pos="3039"/>
              </w:tabs>
              <w:adjustRightInd/>
              <w:jc w:val="lef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（三）游客服务管理</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5分</w:t>
            </w:r>
            <w:r>
              <w:rPr>
                <w:rFonts w:hint="eastAsia" w:ascii="宋体" w:hAnsi="宋体" w:eastAsia="宋体" w:cs="宋体"/>
                <w:b/>
                <w:color w:val="auto"/>
                <w:sz w:val="24"/>
                <w:szCs w:val="24"/>
                <w:highlight w:val="none"/>
                <w:lang w:eastAsia="zh-CN"/>
              </w:rPr>
              <w:t>）</w:t>
            </w:r>
          </w:p>
        </w:tc>
      </w:tr>
      <w:tr w14:paraId="44FA2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50" w:hRule="atLeast"/>
          <w:jc w:val="center"/>
        </w:trPr>
        <w:tc>
          <w:tcPr>
            <w:tcW w:w="1521" w:type="dxa"/>
            <w:tcBorders>
              <w:left w:val="single" w:color="auto" w:sz="4" w:space="0"/>
              <w:right w:val="single" w:color="auto" w:sz="4" w:space="0"/>
            </w:tcBorders>
            <w:shd w:val="clear" w:color="auto" w:fill="FFFFFF" w:themeFill="background1"/>
            <w:noWrap w:val="0"/>
            <w:vAlign w:val="center"/>
          </w:tcPr>
          <w:p w14:paraId="474A1461">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游客服务</w:t>
            </w: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3AE6BA32">
            <w:pPr>
              <w:widowControl/>
              <w:adjustRightInd/>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3.1公园咨询、投诉、接待等服务不到位，未按时记录并回复，或回复后游客仍不满意。</w:t>
            </w:r>
          </w:p>
        </w:tc>
        <w:tc>
          <w:tcPr>
            <w:tcW w:w="1683" w:type="dxa"/>
            <w:tcBorders>
              <w:left w:val="single" w:color="auto" w:sz="4" w:space="0"/>
              <w:bottom w:val="single" w:color="auto" w:sz="4" w:space="0"/>
              <w:right w:val="single" w:color="auto" w:sz="4" w:space="0"/>
            </w:tcBorders>
            <w:shd w:val="clear" w:color="auto" w:fill="FFFFFF" w:themeFill="background1"/>
            <w:noWrap w:val="0"/>
            <w:vAlign w:val="center"/>
          </w:tcPr>
          <w:p w14:paraId="72A97937">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每发现一次扣1分（当月累计扣分）。</w:t>
            </w:r>
          </w:p>
        </w:tc>
        <w:tc>
          <w:tcPr>
            <w:tcW w:w="863" w:type="dxa"/>
            <w:tcBorders>
              <w:left w:val="single" w:color="auto" w:sz="4" w:space="0"/>
              <w:right w:val="single" w:color="auto" w:sz="4" w:space="0"/>
            </w:tcBorders>
            <w:shd w:val="clear" w:color="auto" w:fill="FFFFFF" w:themeFill="background1"/>
            <w:noWrap w:val="0"/>
            <w:vAlign w:val="center"/>
          </w:tcPr>
          <w:p w14:paraId="59CCB6C5">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r>
      <w:tr w14:paraId="644E9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90" w:hRule="atLeast"/>
          <w:jc w:val="center"/>
        </w:trPr>
        <w:tc>
          <w:tcPr>
            <w:tcW w:w="9085" w:type="dxa"/>
            <w:gridSpan w:val="4"/>
            <w:tcBorders>
              <w:left w:val="single" w:color="auto" w:sz="4" w:space="0"/>
              <w:right w:val="single" w:color="auto" w:sz="4" w:space="0"/>
            </w:tcBorders>
            <w:shd w:val="clear" w:color="auto" w:fill="FFFFFF" w:themeFill="background1"/>
            <w:noWrap w:val="0"/>
            <w:vAlign w:val="center"/>
          </w:tcPr>
          <w:p w14:paraId="55C045E4">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（四）人员管理</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10分</w:t>
            </w:r>
            <w:r>
              <w:rPr>
                <w:rFonts w:hint="eastAsia" w:ascii="宋体" w:hAnsi="宋体" w:eastAsia="宋体" w:cs="宋体"/>
                <w:b/>
                <w:color w:val="auto"/>
                <w:sz w:val="24"/>
                <w:szCs w:val="24"/>
                <w:highlight w:val="none"/>
                <w:lang w:eastAsia="zh-CN"/>
              </w:rPr>
              <w:t>）</w:t>
            </w:r>
          </w:p>
        </w:tc>
      </w:tr>
      <w:tr w14:paraId="324DA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50" w:hRule="atLeast"/>
          <w:jc w:val="center"/>
        </w:trPr>
        <w:tc>
          <w:tcPr>
            <w:tcW w:w="1521" w:type="dxa"/>
            <w:vMerge w:val="restart"/>
            <w:tcBorders>
              <w:left w:val="single" w:color="auto" w:sz="4" w:space="0"/>
              <w:right w:val="single" w:color="auto" w:sz="4" w:space="0"/>
            </w:tcBorders>
            <w:shd w:val="clear" w:color="auto" w:fill="FFFFFF" w:themeFill="background1"/>
            <w:noWrap w:val="0"/>
            <w:vAlign w:val="center"/>
          </w:tcPr>
          <w:p w14:paraId="3825C93B">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工作纪律</w:t>
            </w: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692AB4ED">
            <w:pPr>
              <w:widowControl/>
              <w:adjustRightInd/>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4.1当班期间发生缺岗现象。</w:t>
            </w:r>
          </w:p>
        </w:tc>
        <w:tc>
          <w:tcPr>
            <w:tcW w:w="1683" w:type="dxa"/>
            <w:vMerge w:val="restart"/>
            <w:tcBorders>
              <w:top w:val="single" w:color="auto" w:sz="4" w:space="0"/>
              <w:left w:val="single" w:color="auto" w:sz="4" w:space="0"/>
              <w:right w:val="single" w:color="auto" w:sz="4" w:space="0"/>
            </w:tcBorders>
            <w:shd w:val="clear" w:color="auto" w:fill="FFFFFF" w:themeFill="background1"/>
            <w:noWrap w:val="0"/>
            <w:vAlign w:val="center"/>
          </w:tcPr>
          <w:p w14:paraId="512FBD22">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每发现一次扣1分（当月累计扣分）。</w:t>
            </w:r>
          </w:p>
        </w:tc>
        <w:tc>
          <w:tcPr>
            <w:tcW w:w="863" w:type="dxa"/>
            <w:vMerge w:val="restart"/>
            <w:tcBorders>
              <w:top w:val="single" w:color="auto" w:sz="4" w:space="0"/>
              <w:left w:val="single" w:color="auto" w:sz="4" w:space="0"/>
              <w:right w:val="single" w:color="auto" w:sz="4" w:space="0"/>
            </w:tcBorders>
            <w:shd w:val="clear" w:color="auto" w:fill="FFFFFF" w:themeFill="background1"/>
            <w:noWrap w:val="0"/>
            <w:vAlign w:val="center"/>
          </w:tcPr>
          <w:p w14:paraId="7FCFD282">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r>
      <w:tr w14:paraId="788D8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56"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4B74DB1D">
            <w:pPr>
              <w:widowControl/>
              <w:adjustRightInd/>
              <w:jc w:val="center"/>
              <w:rPr>
                <w:rFonts w:hint="eastAsia" w:ascii="宋体" w:hAnsi="宋体" w:eastAsia="宋体" w:cs="宋体"/>
                <w:color w:val="auto"/>
                <w:sz w:val="24"/>
                <w:szCs w:val="24"/>
                <w:highlight w:val="none"/>
                <w:lang w:val="en-US"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4A63DB10">
            <w:pPr>
              <w:widowControl/>
              <w:adjustRightInd/>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4.2当班期间未为市民游客提供力所能及的便利，存在服务态度差现象。</w:t>
            </w:r>
          </w:p>
        </w:tc>
        <w:tc>
          <w:tcPr>
            <w:tcW w:w="1683" w:type="dxa"/>
            <w:vMerge w:val="continue"/>
            <w:tcBorders>
              <w:left w:val="single" w:color="auto" w:sz="4" w:space="0"/>
              <w:bottom w:val="single" w:color="auto" w:sz="4" w:space="0"/>
              <w:right w:val="single" w:color="auto" w:sz="4" w:space="0"/>
            </w:tcBorders>
            <w:shd w:val="clear" w:color="auto" w:fill="FFFFFF" w:themeFill="background1"/>
            <w:noWrap w:val="0"/>
            <w:vAlign w:val="center"/>
          </w:tcPr>
          <w:p w14:paraId="5362A531">
            <w:pPr>
              <w:widowControl/>
              <w:adjustRightInd/>
              <w:jc w:val="left"/>
              <w:rPr>
                <w:rFonts w:hint="eastAsia" w:ascii="宋体" w:hAnsi="宋体" w:eastAsia="宋体" w:cs="宋体"/>
                <w:color w:val="auto"/>
                <w:kern w:val="2"/>
                <w:sz w:val="24"/>
                <w:szCs w:val="24"/>
                <w:highlight w:val="none"/>
                <w:lang w:val="en-US" w:eastAsia="zh-CN" w:bidi="ar-SA"/>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1DB6F218">
            <w:pPr>
              <w:widowControl/>
              <w:adjustRightInd/>
              <w:jc w:val="center"/>
              <w:rPr>
                <w:rFonts w:hint="eastAsia" w:ascii="宋体" w:hAnsi="宋体" w:eastAsia="宋体" w:cs="宋体"/>
                <w:color w:val="auto"/>
                <w:sz w:val="24"/>
                <w:szCs w:val="24"/>
                <w:highlight w:val="none"/>
                <w:lang w:val="en-US" w:eastAsia="zh-CN"/>
              </w:rPr>
            </w:pPr>
          </w:p>
        </w:tc>
      </w:tr>
      <w:tr w14:paraId="1CB95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50"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19D23780">
            <w:pPr>
              <w:widowControl/>
              <w:adjustRightInd/>
              <w:jc w:val="center"/>
              <w:rPr>
                <w:rFonts w:hint="eastAsia" w:ascii="宋体" w:hAnsi="宋体" w:eastAsia="宋体" w:cs="宋体"/>
                <w:color w:val="auto"/>
                <w:sz w:val="24"/>
                <w:szCs w:val="24"/>
                <w:highlight w:val="none"/>
                <w:lang w:val="en-US"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7328A525">
            <w:pPr>
              <w:widowControl/>
              <w:adjustRightInd/>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4.3当班期间未着统一工作服，当班期间存在打瞌睡、玩手机等与工作内容无关的现象。</w:t>
            </w:r>
          </w:p>
        </w:tc>
        <w:tc>
          <w:tcPr>
            <w:tcW w:w="1683"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14699ABE">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每发现一次扣0.5分（当月累计扣分）。</w:t>
            </w:r>
          </w:p>
        </w:tc>
        <w:tc>
          <w:tcPr>
            <w:tcW w:w="863" w:type="dxa"/>
            <w:vMerge w:val="continue"/>
            <w:tcBorders>
              <w:left w:val="single" w:color="auto" w:sz="4" w:space="0"/>
              <w:right w:val="single" w:color="auto" w:sz="4" w:space="0"/>
            </w:tcBorders>
            <w:shd w:val="clear" w:color="auto" w:fill="FFFFFF" w:themeFill="background1"/>
            <w:noWrap w:val="0"/>
            <w:vAlign w:val="center"/>
          </w:tcPr>
          <w:p w14:paraId="77D4D150">
            <w:pPr>
              <w:widowControl/>
              <w:adjustRightInd/>
              <w:jc w:val="center"/>
              <w:rPr>
                <w:rFonts w:hint="eastAsia" w:ascii="宋体" w:hAnsi="宋体" w:eastAsia="宋体" w:cs="宋体"/>
                <w:color w:val="auto"/>
                <w:sz w:val="24"/>
                <w:szCs w:val="24"/>
                <w:highlight w:val="none"/>
                <w:lang w:val="en-US" w:eastAsia="zh-CN"/>
              </w:rPr>
            </w:pPr>
          </w:p>
        </w:tc>
      </w:tr>
      <w:tr w14:paraId="74201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50"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14ED91C4">
            <w:pPr>
              <w:widowControl/>
              <w:adjustRightInd/>
              <w:jc w:val="center"/>
              <w:rPr>
                <w:rFonts w:hint="eastAsia" w:ascii="宋体" w:hAnsi="宋体" w:eastAsia="宋体" w:cs="宋体"/>
                <w:color w:val="auto"/>
                <w:sz w:val="24"/>
                <w:szCs w:val="24"/>
                <w:highlight w:val="none"/>
                <w:lang w:val="en-US"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4427BDC1">
            <w:pPr>
              <w:widowControl/>
              <w:adjustRightInd/>
              <w:jc w:val="both"/>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4.4上班期间发生违法违纪行为。</w:t>
            </w:r>
          </w:p>
        </w:tc>
        <w:tc>
          <w:tcPr>
            <w:tcW w:w="1683"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28867924">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每发现一次扣3分（当月累计扣分）。</w:t>
            </w:r>
          </w:p>
        </w:tc>
        <w:tc>
          <w:tcPr>
            <w:tcW w:w="863" w:type="dxa"/>
            <w:vMerge w:val="continue"/>
            <w:tcBorders>
              <w:left w:val="single" w:color="auto" w:sz="4" w:space="0"/>
              <w:right w:val="single" w:color="auto" w:sz="4" w:space="0"/>
            </w:tcBorders>
            <w:shd w:val="clear" w:color="auto" w:fill="FFFFFF" w:themeFill="background1"/>
            <w:noWrap w:val="0"/>
            <w:vAlign w:val="center"/>
          </w:tcPr>
          <w:p w14:paraId="32CE12AF">
            <w:pPr>
              <w:widowControl/>
              <w:adjustRightInd/>
              <w:jc w:val="center"/>
              <w:rPr>
                <w:rFonts w:hint="eastAsia" w:ascii="宋体" w:hAnsi="宋体" w:eastAsia="宋体" w:cs="宋体"/>
                <w:color w:val="auto"/>
                <w:sz w:val="24"/>
                <w:szCs w:val="24"/>
                <w:highlight w:val="none"/>
                <w:lang w:val="en-US" w:eastAsia="zh-CN"/>
              </w:rPr>
            </w:pPr>
          </w:p>
        </w:tc>
      </w:tr>
      <w:tr w14:paraId="5611D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50" w:hRule="atLeast"/>
          <w:jc w:val="center"/>
        </w:trPr>
        <w:tc>
          <w:tcPr>
            <w:tcW w:w="1521" w:type="dxa"/>
            <w:tcBorders>
              <w:left w:val="single" w:color="auto" w:sz="4" w:space="0"/>
              <w:right w:val="single" w:color="auto" w:sz="4" w:space="0"/>
            </w:tcBorders>
            <w:shd w:val="clear" w:color="auto" w:fill="FFFFFF" w:themeFill="background1"/>
            <w:noWrap w:val="0"/>
            <w:vAlign w:val="center"/>
          </w:tcPr>
          <w:p w14:paraId="5339B614">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服从管理</w:t>
            </w: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065A91E6">
            <w:pPr>
              <w:widowControl/>
              <w:adjustRightInd/>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4.5未能服从采购人调度或未能完成临时指派任务。</w:t>
            </w:r>
          </w:p>
        </w:tc>
        <w:tc>
          <w:tcPr>
            <w:tcW w:w="1683"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1617227E">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每发现一次，根据情节轻重扣1—3分。</w:t>
            </w:r>
          </w:p>
        </w:tc>
        <w:tc>
          <w:tcPr>
            <w:tcW w:w="863" w:type="dxa"/>
            <w:vMerge w:val="continue"/>
            <w:tcBorders>
              <w:left w:val="single" w:color="auto" w:sz="4" w:space="0"/>
              <w:bottom w:val="single" w:color="auto" w:sz="4" w:space="0"/>
              <w:right w:val="single" w:color="auto" w:sz="4" w:space="0"/>
            </w:tcBorders>
            <w:shd w:val="clear" w:color="auto" w:fill="FFFFFF" w:themeFill="background1"/>
            <w:noWrap w:val="0"/>
            <w:vAlign w:val="center"/>
          </w:tcPr>
          <w:p w14:paraId="33637B2B">
            <w:pPr>
              <w:widowControl/>
              <w:adjustRightInd/>
              <w:jc w:val="center"/>
              <w:rPr>
                <w:rFonts w:hint="eastAsia" w:ascii="宋体" w:hAnsi="宋体" w:eastAsia="宋体" w:cs="宋体"/>
                <w:color w:val="auto"/>
                <w:sz w:val="24"/>
                <w:szCs w:val="24"/>
                <w:highlight w:val="none"/>
                <w:lang w:val="en-US" w:eastAsia="zh-CN"/>
              </w:rPr>
            </w:pPr>
          </w:p>
        </w:tc>
      </w:tr>
      <w:tr w14:paraId="24ADE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16" w:hRule="atLeast"/>
          <w:jc w:val="center"/>
        </w:trPr>
        <w:tc>
          <w:tcPr>
            <w:tcW w:w="9085" w:type="dxa"/>
            <w:gridSpan w:val="4"/>
            <w:tcBorders>
              <w:left w:val="single" w:color="auto" w:sz="4" w:space="0"/>
              <w:right w:val="single" w:color="auto" w:sz="4" w:space="0"/>
            </w:tcBorders>
            <w:shd w:val="clear" w:color="auto" w:fill="FFFFFF" w:themeFill="background1"/>
            <w:noWrap w:val="0"/>
            <w:vAlign w:val="center"/>
          </w:tcPr>
          <w:p w14:paraId="542A30CC">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（五）台账管理</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5分</w:t>
            </w:r>
            <w:r>
              <w:rPr>
                <w:rFonts w:hint="eastAsia" w:ascii="宋体" w:hAnsi="宋体" w:eastAsia="宋体" w:cs="宋体"/>
                <w:b/>
                <w:color w:val="auto"/>
                <w:sz w:val="24"/>
                <w:szCs w:val="24"/>
                <w:highlight w:val="none"/>
                <w:lang w:eastAsia="zh-CN"/>
              </w:rPr>
              <w:t>）</w:t>
            </w:r>
          </w:p>
        </w:tc>
      </w:tr>
      <w:tr w14:paraId="289E3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50" w:hRule="atLeast"/>
          <w:jc w:val="center"/>
        </w:trPr>
        <w:tc>
          <w:tcPr>
            <w:tcW w:w="1521" w:type="dxa"/>
            <w:tcBorders>
              <w:left w:val="single" w:color="auto" w:sz="4" w:space="0"/>
              <w:right w:val="single" w:color="auto" w:sz="4" w:space="0"/>
            </w:tcBorders>
            <w:shd w:val="clear" w:color="auto" w:fill="FFFFFF" w:themeFill="background1"/>
            <w:noWrap w:val="0"/>
            <w:vAlign w:val="center"/>
          </w:tcPr>
          <w:p w14:paraId="2AD1FDFF">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台账信息</w:t>
            </w: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top"/>
          </w:tcPr>
          <w:p w14:paraId="4A48644E">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5.1未按时提供采购人所需台账资料或提供台账资料不全、不准确、不完整。</w:t>
            </w:r>
          </w:p>
        </w:tc>
        <w:tc>
          <w:tcPr>
            <w:tcW w:w="1683"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46D21A01">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每缺1项扣1分。</w:t>
            </w:r>
          </w:p>
        </w:tc>
        <w:tc>
          <w:tcPr>
            <w:tcW w:w="863"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63E686D9">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r>
      <w:tr w14:paraId="0ECCC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46" w:hRule="atLeast"/>
          <w:jc w:val="center"/>
        </w:trPr>
        <w:tc>
          <w:tcPr>
            <w:tcW w:w="9085" w:type="dxa"/>
            <w:gridSpan w:val="4"/>
            <w:tcBorders>
              <w:left w:val="single" w:color="auto" w:sz="4" w:space="0"/>
              <w:right w:val="single" w:color="auto" w:sz="4" w:space="0"/>
            </w:tcBorders>
            <w:shd w:val="clear" w:color="auto" w:fill="FFFFFF" w:themeFill="background1"/>
            <w:noWrap w:val="0"/>
            <w:vAlign w:val="top"/>
          </w:tcPr>
          <w:p w14:paraId="71DA6546">
            <w:pPr>
              <w:widowControl/>
              <w:adjustRightInd/>
              <w:jc w:val="both"/>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备注：</w:t>
            </w:r>
            <w:r>
              <w:rPr>
                <w:rFonts w:hint="eastAsia" w:ascii="宋体" w:hAnsi="宋体" w:eastAsia="宋体" w:cs="宋体"/>
                <w:color w:val="auto"/>
                <w:sz w:val="24"/>
                <w:szCs w:val="24"/>
                <w:highlight w:val="none"/>
                <w:lang w:val="en-US" w:eastAsia="zh-CN"/>
              </w:rPr>
              <w:t>1.由采购单位每月对公园（固定支付部分）进行综合考核，90分及以上为优秀，60分及以上为合格。低于90分，每下降0.1分扣除当月固定支付部分的0.1%；低于80分，每下降0.1分扣除当月固定支付部分的0.2%，如当月考核成绩为79分，本月考核扣除固定部分22%养护经费，计算公式：[（90-79）/0.1]</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0.2%=22%；低于60分，不支付当月固定支付部分。</w:t>
            </w:r>
          </w:p>
        </w:tc>
      </w:tr>
    </w:tbl>
    <w:p w14:paraId="10A8CA63">
      <w:pPr>
        <w:rPr>
          <w:rFonts w:eastAsia="宋体"/>
          <w:color w:val="auto"/>
          <w:highlight w:val="none"/>
        </w:rPr>
      </w:pPr>
    </w:p>
    <w:p w14:paraId="29AE7045">
      <w:pPr>
        <w:widowControl/>
        <w:tabs>
          <w:tab w:val="left" w:pos="851"/>
        </w:tabs>
        <w:adjustRightInd/>
        <w:spacing w:line="360" w:lineRule="auto"/>
        <w:outlineLvl w:val="1"/>
        <w:rPr>
          <w:rFonts w:hint="eastAsia" w:ascii="宋体" w:hAnsi="宋体" w:cs="宋体"/>
          <w:b/>
          <w:color w:val="auto"/>
          <w:kern w:val="0"/>
          <w:sz w:val="24"/>
          <w:highlight w:val="none"/>
          <w:lang w:val="en-US" w:eastAsia="zh-CN"/>
        </w:rPr>
        <w:sectPr>
          <w:pgSz w:w="11906" w:h="16838"/>
          <w:pgMar w:top="1418" w:right="1287" w:bottom="1134" w:left="1621" w:header="851" w:footer="992" w:gutter="0"/>
          <w:pgBorders>
            <w:top w:val="none" w:sz="0" w:space="0"/>
            <w:left w:val="none" w:sz="0" w:space="0"/>
            <w:bottom w:val="none" w:sz="0" w:space="0"/>
            <w:right w:val="none" w:sz="0" w:space="0"/>
          </w:pgBorders>
          <w:pgNumType w:fmt="decimal"/>
          <w:cols w:space="720" w:num="1"/>
          <w:titlePg/>
          <w:docGrid w:type="linesAndChars" w:linePitch="321" w:charSpace="0"/>
        </w:sectPr>
      </w:pPr>
    </w:p>
    <w:p w14:paraId="0464CFF3">
      <w:pPr>
        <w:widowControl/>
        <w:tabs>
          <w:tab w:val="left" w:pos="851"/>
        </w:tabs>
        <w:adjustRightInd/>
        <w:spacing w:line="360" w:lineRule="auto"/>
        <w:outlineLvl w:val="1"/>
        <w:rPr>
          <w:rFonts w:hint="default"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九、费用构成及相关要求</w:t>
      </w:r>
    </w:p>
    <w:p w14:paraId="6A72DFDD">
      <w:pPr>
        <w:widowControl/>
        <w:tabs>
          <w:tab w:val="left" w:pos="851"/>
        </w:tabs>
        <w:adjustRightInd/>
        <w:spacing w:line="360" w:lineRule="auto"/>
        <w:outlineLvl w:val="1"/>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（一）主要费用构成</w:t>
      </w:r>
    </w:p>
    <w:p w14:paraId="2C44F18A">
      <w:pPr>
        <w:widowControl/>
        <w:tabs>
          <w:tab w:val="left" w:pos="851"/>
        </w:tabs>
        <w:adjustRightInd/>
        <w:spacing w:line="360" w:lineRule="auto"/>
        <w:outlineLvl w:val="1"/>
        <w:rPr>
          <w:rFonts w:hint="default"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详见附件</w:t>
      </w:r>
      <w:r>
        <w:rPr>
          <w:rFonts w:hint="eastAsia" w:ascii="宋体" w:hAnsi="宋体" w:cs="宋体"/>
          <w:b/>
          <w:color w:val="auto"/>
          <w:kern w:val="0"/>
          <w:sz w:val="24"/>
          <w:highlight w:val="none"/>
          <w:lang w:val="en-US" w:eastAsia="zh-CN"/>
        </w:rPr>
        <w:t xml:space="preserve"> </w:t>
      </w:r>
      <w:r>
        <w:rPr>
          <w:rFonts w:hint="eastAsia" w:ascii="宋体" w:hAnsi="宋体" w:eastAsia="宋体" w:cs="宋体"/>
          <w:b/>
          <w:color w:val="auto"/>
          <w:kern w:val="0"/>
          <w:sz w:val="24"/>
          <w:highlight w:val="none"/>
          <w:lang w:val="en-US" w:eastAsia="zh-CN"/>
        </w:rPr>
        <w:t>设施量清单及编制说明</w:t>
      </w:r>
    </w:p>
    <w:p w14:paraId="423EE1CC">
      <w:pPr>
        <w:widowControl/>
        <w:tabs>
          <w:tab w:val="left" w:pos="851"/>
        </w:tabs>
        <w:adjustRightInd/>
        <w:spacing w:line="360" w:lineRule="auto"/>
        <w:outlineLvl w:val="1"/>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（二）主要材料及相关技术要求</w:t>
      </w:r>
    </w:p>
    <w:p w14:paraId="5793B670">
      <w:pPr>
        <w:widowControl/>
        <w:tabs>
          <w:tab w:val="left" w:pos="851"/>
        </w:tabs>
        <w:adjustRightInd/>
        <w:spacing w:line="360" w:lineRule="auto"/>
        <w:ind w:firstLine="480" w:firstLineChars="200"/>
        <w:rPr>
          <w:rFonts w:hint="eastAsia"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①游客服务消耗用品</w:t>
      </w:r>
    </w:p>
    <w:tbl>
      <w:tblPr>
        <w:tblStyle w:val="62"/>
        <w:tblW w:w="8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1"/>
        <w:gridCol w:w="480"/>
        <w:gridCol w:w="1091"/>
        <w:gridCol w:w="4309"/>
        <w:gridCol w:w="2427"/>
      </w:tblGrid>
      <w:tr w14:paraId="15A8F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391" w:type="dxa"/>
            <w:vAlign w:val="center"/>
          </w:tcPr>
          <w:p w14:paraId="6343C03E">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类别</w:t>
            </w:r>
          </w:p>
        </w:tc>
        <w:tc>
          <w:tcPr>
            <w:tcW w:w="480" w:type="dxa"/>
            <w:vAlign w:val="center"/>
          </w:tcPr>
          <w:p w14:paraId="783D2415">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序号</w:t>
            </w:r>
          </w:p>
        </w:tc>
        <w:tc>
          <w:tcPr>
            <w:tcW w:w="1091" w:type="dxa"/>
            <w:vAlign w:val="center"/>
          </w:tcPr>
          <w:p w14:paraId="126BC3F2">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名称</w:t>
            </w:r>
          </w:p>
        </w:tc>
        <w:tc>
          <w:tcPr>
            <w:tcW w:w="4309" w:type="dxa"/>
            <w:vAlign w:val="center"/>
          </w:tcPr>
          <w:p w14:paraId="4663759D">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主要技术参数</w:t>
            </w:r>
          </w:p>
        </w:tc>
        <w:tc>
          <w:tcPr>
            <w:tcW w:w="2427" w:type="dxa"/>
            <w:vAlign w:val="center"/>
          </w:tcPr>
          <w:p w14:paraId="1ABDEB30">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备注</w:t>
            </w:r>
          </w:p>
        </w:tc>
      </w:tr>
      <w:tr w14:paraId="2C7A5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391" w:type="dxa"/>
            <w:vMerge w:val="restart"/>
            <w:vAlign w:val="center"/>
          </w:tcPr>
          <w:p w14:paraId="5223260E">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游客服务消耗用品</w:t>
            </w:r>
          </w:p>
        </w:tc>
        <w:tc>
          <w:tcPr>
            <w:tcW w:w="480" w:type="dxa"/>
            <w:vAlign w:val="center"/>
          </w:tcPr>
          <w:p w14:paraId="65596D9E">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1091" w:type="dxa"/>
            <w:vAlign w:val="center"/>
          </w:tcPr>
          <w:p w14:paraId="2E986282">
            <w:pPr>
              <w:widowControl w:val="0"/>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厕所用大卷纸</w:t>
            </w:r>
          </w:p>
        </w:tc>
        <w:tc>
          <w:tcPr>
            <w:tcW w:w="4309" w:type="dxa"/>
            <w:vAlign w:val="center"/>
          </w:tcPr>
          <w:p w14:paraId="22DD9991">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中心抽卫生纸；纸张尺寸180mm</w:t>
            </w:r>
            <w:r>
              <w:rPr>
                <w:rFonts w:hint="eastAsia" w:ascii="宋体" w:hAnsi="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134mm</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层；铜芯直径58mm；原生木浆；</w:t>
            </w:r>
          </w:p>
        </w:tc>
        <w:tc>
          <w:tcPr>
            <w:tcW w:w="2427" w:type="dxa"/>
            <w:vMerge w:val="restart"/>
            <w:vAlign w:val="center"/>
          </w:tcPr>
          <w:p w14:paraId="2EF0A664">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用于洗手间、母婴室等游客服务设施所提供的洗手液、纸巾、檀香</w:t>
            </w:r>
            <w:r>
              <w:rPr>
                <w:rFonts w:hint="eastAsia" w:ascii="宋体" w:hAnsi="宋体" w:eastAsia="宋体" w:cs="宋体"/>
                <w:color w:val="auto"/>
                <w:kern w:val="0"/>
                <w:sz w:val="24"/>
                <w:szCs w:val="24"/>
                <w:highlight w:val="none"/>
                <w:lang w:eastAsia="zh-CN"/>
              </w:rPr>
              <w:t>等</w:t>
            </w:r>
          </w:p>
        </w:tc>
      </w:tr>
      <w:tr w14:paraId="52E66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91" w:type="dxa"/>
            <w:vMerge w:val="continue"/>
            <w:vAlign w:val="center"/>
          </w:tcPr>
          <w:p w14:paraId="25ABF7B5">
            <w:pPr>
              <w:widowControl/>
              <w:adjustRightInd/>
              <w:jc w:val="left"/>
              <w:rPr>
                <w:rFonts w:hint="eastAsia" w:ascii="宋体" w:hAnsi="宋体" w:eastAsia="宋体" w:cs="宋体"/>
                <w:color w:val="auto"/>
                <w:kern w:val="0"/>
                <w:sz w:val="24"/>
                <w:szCs w:val="24"/>
                <w:highlight w:val="none"/>
              </w:rPr>
            </w:pPr>
          </w:p>
        </w:tc>
        <w:tc>
          <w:tcPr>
            <w:tcW w:w="480" w:type="dxa"/>
            <w:vAlign w:val="center"/>
          </w:tcPr>
          <w:p w14:paraId="78743EDC">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1091" w:type="dxa"/>
            <w:vAlign w:val="center"/>
          </w:tcPr>
          <w:p w14:paraId="2A940312">
            <w:pPr>
              <w:widowControl w:val="0"/>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洗手液</w:t>
            </w:r>
          </w:p>
        </w:tc>
        <w:tc>
          <w:tcPr>
            <w:tcW w:w="4309" w:type="dxa"/>
            <w:vAlign w:val="center"/>
          </w:tcPr>
          <w:p w14:paraId="77869080">
            <w:pPr>
              <w:widowControl w:val="0"/>
              <w:adjustRightInd/>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温和型泡沫洗手液（自然清新）；1000ml/支</w:t>
            </w:r>
          </w:p>
        </w:tc>
        <w:tc>
          <w:tcPr>
            <w:tcW w:w="2427" w:type="dxa"/>
            <w:vMerge w:val="continue"/>
            <w:vAlign w:val="center"/>
          </w:tcPr>
          <w:p w14:paraId="0558FEF3">
            <w:pPr>
              <w:widowControl/>
              <w:adjustRightInd/>
              <w:jc w:val="left"/>
              <w:rPr>
                <w:rFonts w:hint="eastAsia" w:ascii="宋体" w:hAnsi="宋体" w:eastAsia="宋体" w:cs="宋体"/>
                <w:color w:val="auto"/>
                <w:kern w:val="0"/>
                <w:sz w:val="24"/>
                <w:szCs w:val="24"/>
                <w:highlight w:val="none"/>
              </w:rPr>
            </w:pPr>
          </w:p>
        </w:tc>
      </w:tr>
      <w:tr w14:paraId="6EA26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391" w:type="dxa"/>
            <w:vMerge w:val="continue"/>
            <w:vAlign w:val="center"/>
          </w:tcPr>
          <w:p w14:paraId="01796476">
            <w:pPr>
              <w:widowControl/>
              <w:adjustRightInd/>
              <w:jc w:val="left"/>
              <w:rPr>
                <w:rFonts w:hint="eastAsia" w:ascii="宋体" w:hAnsi="宋体" w:eastAsia="宋体" w:cs="宋体"/>
                <w:color w:val="auto"/>
                <w:kern w:val="0"/>
                <w:sz w:val="24"/>
                <w:szCs w:val="24"/>
                <w:highlight w:val="none"/>
              </w:rPr>
            </w:pPr>
          </w:p>
        </w:tc>
        <w:tc>
          <w:tcPr>
            <w:tcW w:w="480" w:type="dxa"/>
            <w:vAlign w:val="center"/>
          </w:tcPr>
          <w:p w14:paraId="731A241A">
            <w:pPr>
              <w:widowControl w:val="0"/>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4</w:t>
            </w:r>
          </w:p>
        </w:tc>
        <w:tc>
          <w:tcPr>
            <w:tcW w:w="1091" w:type="dxa"/>
            <w:vAlign w:val="center"/>
          </w:tcPr>
          <w:p w14:paraId="1BAA926B">
            <w:pPr>
              <w:widowControl w:val="0"/>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大卷纸纸巾盒</w:t>
            </w:r>
          </w:p>
        </w:tc>
        <w:tc>
          <w:tcPr>
            <w:tcW w:w="4309" w:type="dxa"/>
            <w:vAlign w:val="center"/>
          </w:tcPr>
          <w:p w14:paraId="5C5D3326">
            <w:pPr>
              <w:widowControl w:val="0"/>
              <w:adjustRightInd/>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中心抽卫生纸分配器；219</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219</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156mm；</w:t>
            </w:r>
          </w:p>
          <w:p w14:paraId="69716994">
            <w:pPr>
              <w:widowControl w:val="0"/>
              <w:adjustRightInd/>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防水防盗设计、</w:t>
            </w:r>
            <w:r>
              <w:rPr>
                <w:rFonts w:hint="eastAsia" w:ascii="宋体" w:hAnsi="宋体" w:eastAsia="宋体" w:cs="宋体"/>
                <w:color w:val="auto"/>
                <w:sz w:val="24"/>
                <w:szCs w:val="24"/>
                <w:highlight w:val="none"/>
              </w:rPr>
              <w:t>外观美观；抗冲击力度强、</w:t>
            </w:r>
            <w:r>
              <w:rPr>
                <w:rFonts w:hint="eastAsia" w:ascii="宋体" w:hAnsi="宋体" w:eastAsia="宋体" w:cs="宋体"/>
                <w:color w:val="auto"/>
                <w:kern w:val="0"/>
                <w:sz w:val="24"/>
                <w:szCs w:val="24"/>
                <w:highlight w:val="none"/>
              </w:rPr>
              <w:t>持久耐用</w:t>
            </w:r>
          </w:p>
        </w:tc>
        <w:tc>
          <w:tcPr>
            <w:tcW w:w="2427" w:type="dxa"/>
            <w:vMerge w:val="continue"/>
            <w:vAlign w:val="center"/>
          </w:tcPr>
          <w:p w14:paraId="183B170C">
            <w:pPr>
              <w:widowControl/>
              <w:adjustRightInd/>
              <w:jc w:val="left"/>
              <w:rPr>
                <w:rFonts w:hint="eastAsia" w:ascii="宋体" w:hAnsi="宋体" w:eastAsia="宋体" w:cs="宋体"/>
                <w:color w:val="auto"/>
                <w:kern w:val="0"/>
                <w:sz w:val="24"/>
                <w:szCs w:val="24"/>
                <w:highlight w:val="none"/>
              </w:rPr>
            </w:pPr>
          </w:p>
        </w:tc>
      </w:tr>
      <w:tr w14:paraId="6EB85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91" w:type="dxa"/>
            <w:vMerge w:val="continue"/>
            <w:vAlign w:val="center"/>
          </w:tcPr>
          <w:p w14:paraId="67DF6877">
            <w:pPr>
              <w:widowControl/>
              <w:adjustRightInd/>
              <w:jc w:val="left"/>
              <w:rPr>
                <w:rFonts w:hint="eastAsia" w:ascii="宋体" w:hAnsi="宋体" w:eastAsia="宋体" w:cs="宋体"/>
                <w:color w:val="auto"/>
                <w:kern w:val="0"/>
                <w:sz w:val="24"/>
                <w:szCs w:val="24"/>
                <w:highlight w:val="none"/>
              </w:rPr>
            </w:pPr>
          </w:p>
        </w:tc>
        <w:tc>
          <w:tcPr>
            <w:tcW w:w="480" w:type="dxa"/>
            <w:vAlign w:val="center"/>
          </w:tcPr>
          <w:p w14:paraId="37E51528">
            <w:pPr>
              <w:widowControl w:val="0"/>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5</w:t>
            </w:r>
          </w:p>
        </w:tc>
        <w:tc>
          <w:tcPr>
            <w:tcW w:w="1091" w:type="dxa"/>
            <w:vAlign w:val="center"/>
          </w:tcPr>
          <w:p w14:paraId="0360FD72">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洗手液分配器</w:t>
            </w:r>
          </w:p>
        </w:tc>
        <w:tc>
          <w:tcPr>
            <w:tcW w:w="4309" w:type="dxa"/>
            <w:vAlign w:val="center"/>
          </w:tcPr>
          <w:p w14:paraId="64144DF6">
            <w:pPr>
              <w:widowControl w:val="0"/>
              <w:adjustRightInd/>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泡沫洗手液分配器；303</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118</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121mm</w:t>
            </w:r>
          </w:p>
        </w:tc>
        <w:tc>
          <w:tcPr>
            <w:tcW w:w="2427" w:type="dxa"/>
            <w:vMerge w:val="continue"/>
            <w:vAlign w:val="center"/>
          </w:tcPr>
          <w:p w14:paraId="38B8110E">
            <w:pPr>
              <w:widowControl/>
              <w:adjustRightInd/>
              <w:jc w:val="left"/>
              <w:rPr>
                <w:rFonts w:hint="eastAsia" w:ascii="宋体" w:hAnsi="宋体" w:eastAsia="宋体" w:cs="宋体"/>
                <w:color w:val="auto"/>
                <w:kern w:val="0"/>
                <w:sz w:val="24"/>
                <w:szCs w:val="24"/>
                <w:highlight w:val="none"/>
              </w:rPr>
            </w:pPr>
          </w:p>
        </w:tc>
      </w:tr>
      <w:tr w14:paraId="12FFE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91" w:type="dxa"/>
            <w:vMerge w:val="continue"/>
            <w:vAlign w:val="center"/>
          </w:tcPr>
          <w:p w14:paraId="3B4DE740">
            <w:pPr>
              <w:widowControl/>
              <w:adjustRightInd/>
              <w:jc w:val="left"/>
              <w:rPr>
                <w:rFonts w:hint="eastAsia" w:ascii="宋体" w:hAnsi="宋体" w:eastAsia="宋体" w:cs="宋体"/>
                <w:color w:val="auto"/>
                <w:kern w:val="0"/>
                <w:sz w:val="24"/>
                <w:szCs w:val="24"/>
                <w:highlight w:val="none"/>
              </w:rPr>
            </w:pPr>
          </w:p>
        </w:tc>
        <w:tc>
          <w:tcPr>
            <w:tcW w:w="480" w:type="dxa"/>
            <w:vAlign w:val="center"/>
          </w:tcPr>
          <w:p w14:paraId="44FDB7CE">
            <w:pPr>
              <w:widowControl w:val="0"/>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6</w:t>
            </w:r>
          </w:p>
        </w:tc>
        <w:tc>
          <w:tcPr>
            <w:tcW w:w="1091" w:type="dxa"/>
            <w:vAlign w:val="center"/>
          </w:tcPr>
          <w:p w14:paraId="525F81DE">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小便斗出水感应器</w:t>
            </w:r>
          </w:p>
        </w:tc>
        <w:tc>
          <w:tcPr>
            <w:tcW w:w="4309" w:type="dxa"/>
            <w:vAlign w:val="center"/>
          </w:tcPr>
          <w:p w14:paraId="09EF0C65">
            <w:pPr>
              <w:widowControl w:val="0"/>
              <w:adjustRightInd/>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符合现有小便斗设备使用要求</w:t>
            </w:r>
          </w:p>
        </w:tc>
        <w:tc>
          <w:tcPr>
            <w:tcW w:w="2427" w:type="dxa"/>
            <w:vMerge w:val="continue"/>
            <w:vAlign w:val="center"/>
          </w:tcPr>
          <w:p w14:paraId="50292F67">
            <w:pPr>
              <w:widowControl/>
              <w:adjustRightInd/>
              <w:jc w:val="left"/>
              <w:rPr>
                <w:rFonts w:hint="eastAsia" w:ascii="宋体" w:hAnsi="宋体" w:eastAsia="宋体" w:cs="宋体"/>
                <w:color w:val="auto"/>
                <w:kern w:val="0"/>
                <w:sz w:val="24"/>
                <w:szCs w:val="24"/>
                <w:highlight w:val="none"/>
              </w:rPr>
            </w:pPr>
          </w:p>
        </w:tc>
      </w:tr>
      <w:tr w14:paraId="30DE9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91" w:type="dxa"/>
            <w:vMerge w:val="continue"/>
            <w:vAlign w:val="center"/>
          </w:tcPr>
          <w:p w14:paraId="359FAEE6">
            <w:pPr>
              <w:widowControl/>
              <w:adjustRightInd/>
              <w:jc w:val="left"/>
              <w:rPr>
                <w:rFonts w:hint="eastAsia" w:ascii="宋体" w:hAnsi="宋体" w:eastAsia="宋体" w:cs="宋体"/>
                <w:color w:val="auto"/>
                <w:kern w:val="0"/>
                <w:sz w:val="24"/>
                <w:szCs w:val="24"/>
                <w:highlight w:val="none"/>
              </w:rPr>
            </w:pPr>
          </w:p>
        </w:tc>
        <w:tc>
          <w:tcPr>
            <w:tcW w:w="480" w:type="dxa"/>
            <w:vAlign w:val="center"/>
          </w:tcPr>
          <w:p w14:paraId="2DDEEE22">
            <w:pPr>
              <w:widowControl w:val="0"/>
              <w:adjustRightInd/>
              <w:jc w:val="center"/>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7</w:t>
            </w:r>
          </w:p>
        </w:tc>
        <w:tc>
          <w:tcPr>
            <w:tcW w:w="1091" w:type="dxa"/>
            <w:vAlign w:val="center"/>
          </w:tcPr>
          <w:p w14:paraId="10E25646">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小便斗出水感应器电池</w:t>
            </w:r>
          </w:p>
        </w:tc>
        <w:tc>
          <w:tcPr>
            <w:tcW w:w="4309" w:type="dxa"/>
            <w:vAlign w:val="center"/>
          </w:tcPr>
          <w:p w14:paraId="730F53FE">
            <w:pPr>
              <w:widowControl w:val="0"/>
              <w:adjustRightInd/>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符合现有小便斗设备使用要求</w:t>
            </w:r>
          </w:p>
        </w:tc>
        <w:tc>
          <w:tcPr>
            <w:tcW w:w="2427" w:type="dxa"/>
            <w:vMerge w:val="continue"/>
            <w:vAlign w:val="center"/>
          </w:tcPr>
          <w:p w14:paraId="6E90E280">
            <w:pPr>
              <w:widowControl/>
              <w:adjustRightInd/>
              <w:jc w:val="left"/>
              <w:rPr>
                <w:rFonts w:hint="eastAsia" w:ascii="宋体" w:hAnsi="宋体" w:eastAsia="宋体" w:cs="宋体"/>
                <w:color w:val="auto"/>
                <w:kern w:val="0"/>
                <w:sz w:val="24"/>
                <w:szCs w:val="24"/>
                <w:highlight w:val="none"/>
              </w:rPr>
            </w:pPr>
          </w:p>
        </w:tc>
      </w:tr>
      <w:tr w14:paraId="2FF37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dxa"/>
            <w:vMerge w:val="continue"/>
            <w:vAlign w:val="center"/>
          </w:tcPr>
          <w:p w14:paraId="1C9F86F1">
            <w:pPr>
              <w:widowControl/>
              <w:adjustRightInd/>
              <w:jc w:val="left"/>
              <w:rPr>
                <w:rFonts w:hint="eastAsia" w:ascii="宋体" w:hAnsi="宋体" w:eastAsia="宋体" w:cs="宋体"/>
                <w:color w:val="auto"/>
                <w:kern w:val="0"/>
                <w:sz w:val="24"/>
                <w:szCs w:val="24"/>
                <w:highlight w:val="none"/>
              </w:rPr>
            </w:pPr>
          </w:p>
        </w:tc>
        <w:tc>
          <w:tcPr>
            <w:tcW w:w="480" w:type="dxa"/>
            <w:vAlign w:val="center"/>
          </w:tcPr>
          <w:p w14:paraId="7D3C72F7">
            <w:pPr>
              <w:widowControl w:val="0"/>
              <w:adjustRightInd/>
              <w:jc w:val="center"/>
              <w:rPr>
                <w:rFonts w:hint="eastAsia" w:ascii="宋体" w:hAnsi="宋体" w:eastAsia="宋体" w:cs="宋体"/>
                <w:color w:val="auto"/>
                <w:kern w:val="0"/>
                <w:sz w:val="24"/>
                <w:szCs w:val="24"/>
                <w:highlight w:val="none"/>
                <w:lang w:eastAsia="zh-CN"/>
              </w:rPr>
            </w:pPr>
            <w:r>
              <w:rPr>
                <w:rFonts w:hint="eastAsia" w:ascii="宋体" w:hAnsi="宋体" w:cs="宋体"/>
                <w:color w:val="auto"/>
                <w:kern w:val="0"/>
                <w:sz w:val="24"/>
                <w:szCs w:val="24"/>
                <w:highlight w:val="none"/>
                <w:lang w:val="en-US" w:eastAsia="zh-CN"/>
              </w:rPr>
              <w:t>8</w:t>
            </w:r>
          </w:p>
        </w:tc>
        <w:tc>
          <w:tcPr>
            <w:tcW w:w="1091" w:type="dxa"/>
            <w:vAlign w:val="center"/>
          </w:tcPr>
          <w:p w14:paraId="683D449B">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檀香</w:t>
            </w:r>
          </w:p>
        </w:tc>
        <w:tc>
          <w:tcPr>
            <w:tcW w:w="4309" w:type="dxa"/>
            <w:vAlign w:val="center"/>
          </w:tcPr>
          <w:p w14:paraId="669B3741">
            <w:pPr>
              <w:widowControl w:val="0"/>
              <w:adjustRightInd/>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安全环保；对人体无害；气味温和</w:t>
            </w:r>
          </w:p>
        </w:tc>
        <w:tc>
          <w:tcPr>
            <w:tcW w:w="2427" w:type="dxa"/>
            <w:vMerge w:val="continue"/>
            <w:vAlign w:val="center"/>
          </w:tcPr>
          <w:p w14:paraId="40B136D7">
            <w:pPr>
              <w:widowControl/>
              <w:adjustRightInd/>
              <w:jc w:val="left"/>
              <w:rPr>
                <w:rFonts w:hint="eastAsia" w:ascii="宋体" w:hAnsi="宋体" w:eastAsia="宋体" w:cs="宋体"/>
                <w:color w:val="auto"/>
                <w:kern w:val="0"/>
                <w:sz w:val="24"/>
                <w:szCs w:val="24"/>
                <w:highlight w:val="none"/>
              </w:rPr>
            </w:pPr>
          </w:p>
        </w:tc>
      </w:tr>
      <w:tr w14:paraId="092F8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391" w:type="dxa"/>
            <w:vMerge w:val="continue"/>
            <w:vAlign w:val="center"/>
          </w:tcPr>
          <w:p w14:paraId="4798ED27">
            <w:pPr>
              <w:widowControl/>
              <w:adjustRightInd/>
              <w:jc w:val="left"/>
              <w:rPr>
                <w:rFonts w:hint="eastAsia" w:ascii="宋体" w:hAnsi="宋体" w:eastAsia="宋体" w:cs="宋体"/>
                <w:color w:val="auto"/>
                <w:kern w:val="0"/>
                <w:sz w:val="24"/>
                <w:szCs w:val="24"/>
                <w:highlight w:val="none"/>
              </w:rPr>
            </w:pPr>
          </w:p>
        </w:tc>
        <w:tc>
          <w:tcPr>
            <w:tcW w:w="480" w:type="dxa"/>
            <w:vAlign w:val="center"/>
          </w:tcPr>
          <w:p w14:paraId="303AEFD6">
            <w:pPr>
              <w:widowControl w:val="0"/>
              <w:adjustRightInd/>
              <w:jc w:val="center"/>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9</w:t>
            </w:r>
          </w:p>
        </w:tc>
        <w:tc>
          <w:tcPr>
            <w:tcW w:w="1091" w:type="dxa"/>
            <w:vAlign w:val="center"/>
          </w:tcPr>
          <w:p w14:paraId="0F0A693B">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观鱼池锦鲤</w:t>
            </w:r>
          </w:p>
        </w:tc>
        <w:tc>
          <w:tcPr>
            <w:tcW w:w="4309" w:type="dxa"/>
            <w:vAlign w:val="center"/>
          </w:tcPr>
          <w:p w14:paraId="1DDB0329">
            <w:pPr>
              <w:widowControl w:val="0"/>
              <w:adjustRightInd/>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eastAsia="zh-CN"/>
              </w:rPr>
              <w:t>规格</w:t>
            </w:r>
            <w:r>
              <w:rPr>
                <w:rFonts w:hint="eastAsia" w:ascii="宋体" w:hAnsi="宋体" w:eastAsia="宋体" w:cs="宋体"/>
                <w:color w:val="auto"/>
                <w:kern w:val="0"/>
                <w:sz w:val="24"/>
                <w:szCs w:val="24"/>
                <w:highlight w:val="none"/>
                <w:lang w:val="en-US" w:eastAsia="zh-CN"/>
              </w:rPr>
              <w:t>1.5—2斤/尾</w:t>
            </w:r>
          </w:p>
        </w:tc>
        <w:tc>
          <w:tcPr>
            <w:tcW w:w="2427" w:type="dxa"/>
            <w:vAlign w:val="center"/>
          </w:tcPr>
          <w:p w14:paraId="61AF1C98">
            <w:pPr>
              <w:widowControl/>
              <w:adjustRightInd/>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用于观鱼池锦鲤数量补充</w:t>
            </w:r>
          </w:p>
        </w:tc>
      </w:tr>
      <w:tr w14:paraId="02ACB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391" w:type="dxa"/>
            <w:vMerge w:val="continue"/>
            <w:vAlign w:val="center"/>
          </w:tcPr>
          <w:p w14:paraId="4F7A2D8A">
            <w:pPr>
              <w:widowControl/>
              <w:adjustRightInd/>
              <w:jc w:val="left"/>
              <w:rPr>
                <w:rFonts w:hint="eastAsia" w:ascii="宋体" w:hAnsi="宋体" w:eastAsia="宋体" w:cs="宋体"/>
                <w:color w:val="auto"/>
                <w:kern w:val="0"/>
                <w:sz w:val="24"/>
                <w:szCs w:val="24"/>
                <w:highlight w:val="none"/>
              </w:rPr>
            </w:pPr>
          </w:p>
        </w:tc>
        <w:tc>
          <w:tcPr>
            <w:tcW w:w="480" w:type="dxa"/>
            <w:vAlign w:val="center"/>
          </w:tcPr>
          <w:p w14:paraId="30A050F9">
            <w:pPr>
              <w:widowControl w:val="0"/>
              <w:adjustRightInd/>
              <w:jc w:val="center"/>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10</w:t>
            </w:r>
          </w:p>
        </w:tc>
        <w:tc>
          <w:tcPr>
            <w:tcW w:w="1091" w:type="dxa"/>
            <w:vAlign w:val="center"/>
          </w:tcPr>
          <w:p w14:paraId="5BDBE823">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观鱼池锦鲤饲料</w:t>
            </w:r>
          </w:p>
        </w:tc>
        <w:tc>
          <w:tcPr>
            <w:tcW w:w="4309" w:type="dxa"/>
            <w:vAlign w:val="center"/>
          </w:tcPr>
          <w:p w14:paraId="53E6905C">
            <w:pPr>
              <w:widowControl w:val="0"/>
              <w:adjustRightInd/>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营养配比科学，符合锦鲤饲养要求</w:t>
            </w:r>
          </w:p>
        </w:tc>
        <w:tc>
          <w:tcPr>
            <w:tcW w:w="2427" w:type="dxa"/>
            <w:vAlign w:val="center"/>
          </w:tcPr>
          <w:p w14:paraId="6B2E18E3">
            <w:pPr>
              <w:widowControl/>
              <w:adjustRightInd/>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用于观鱼池为游客提供喂养锦鲤的鱼饲料</w:t>
            </w:r>
          </w:p>
        </w:tc>
      </w:tr>
      <w:tr w14:paraId="77F3C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391" w:type="dxa"/>
            <w:vMerge w:val="continue"/>
            <w:vAlign w:val="center"/>
          </w:tcPr>
          <w:p w14:paraId="7616BB0A">
            <w:pPr>
              <w:widowControl/>
              <w:adjustRightInd/>
              <w:jc w:val="left"/>
              <w:rPr>
                <w:rFonts w:hint="eastAsia" w:ascii="宋体" w:hAnsi="宋体" w:eastAsia="宋体" w:cs="宋体"/>
                <w:color w:val="auto"/>
                <w:kern w:val="0"/>
                <w:sz w:val="24"/>
                <w:szCs w:val="24"/>
                <w:highlight w:val="none"/>
              </w:rPr>
            </w:pPr>
          </w:p>
        </w:tc>
        <w:tc>
          <w:tcPr>
            <w:tcW w:w="480" w:type="dxa"/>
            <w:vAlign w:val="center"/>
          </w:tcPr>
          <w:p w14:paraId="1EE76950">
            <w:pPr>
              <w:widowControl w:val="0"/>
              <w:adjustRightInd/>
              <w:jc w:val="center"/>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11</w:t>
            </w:r>
          </w:p>
        </w:tc>
        <w:tc>
          <w:tcPr>
            <w:tcW w:w="1091" w:type="dxa"/>
            <w:vAlign w:val="center"/>
          </w:tcPr>
          <w:p w14:paraId="21A28E43">
            <w:pPr>
              <w:widowControl/>
              <w:adjustRightInd/>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便民服务药品</w:t>
            </w:r>
          </w:p>
        </w:tc>
        <w:tc>
          <w:tcPr>
            <w:tcW w:w="4309" w:type="dxa"/>
            <w:vAlign w:val="center"/>
          </w:tcPr>
          <w:p w14:paraId="57BFEE78">
            <w:pPr>
              <w:widowControl w:val="0"/>
              <w:adjustRightInd/>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防暑降温药品及应急药品等</w:t>
            </w:r>
          </w:p>
        </w:tc>
        <w:tc>
          <w:tcPr>
            <w:tcW w:w="2427" w:type="dxa"/>
            <w:vAlign w:val="center"/>
          </w:tcPr>
          <w:p w14:paraId="675DD8FC">
            <w:pPr>
              <w:widowControl/>
              <w:adjustRightInd/>
              <w:jc w:val="left"/>
              <w:rPr>
                <w:rFonts w:hint="eastAsia" w:ascii="宋体" w:hAnsi="宋体" w:eastAsia="宋体" w:cs="宋体"/>
                <w:color w:val="auto"/>
                <w:kern w:val="0"/>
                <w:sz w:val="24"/>
                <w:szCs w:val="24"/>
                <w:highlight w:val="none"/>
                <w:lang w:eastAsia="zh-CN"/>
              </w:rPr>
            </w:pPr>
          </w:p>
        </w:tc>
      </w:tr>
      <w:tr w14:paraId="09FC7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391" w:type="dxa"/>
            <w:vMerge w:val="continue"/>
            <w:vAlign w:val="center"/>
          </w:tcPr>
          <w:p w14:paraId="433B2470">
            <w:pPr>
              <w:widowControl/>
              <w:adjustRightInd/>
              <w:jc w:val="left"/>
              <w:rPr>
                <w:rFonts w:hint="eastAsia" w:ascii="宋体" w:hAnsi="宋体" w:eastAsia="宋体" w:cs="宋体"/>
                <w:color w:val="auto"/>
                <w:kern w:val="0"/>
                <w:sz w:val="24"/>
                <w:szCs w:val="24"/>
                <w:highlight w:val="none"/>
              </w:rPr>
            </w:pPr>
          </w:p>
        </w:tc>
        <w:tc>
          <w:tcPr>
            <w:tcW w:w="480" w:type="dxa"/>
            <w:vAlign w:val="center"/>
          </w:tcPr>
          <w:p w14:paraId="233B51D4">
            <w:pPr>
              <w:widowControl w:val="0"/>
              <w:adjustRightInd/>
              <w:jc w:val="center"/>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12</w:t>
            </w:r>
          </w:p>
        </w:tc>
        <w:tc>
          <w:tcPr>
            <w:tcW w:w="1091" w:type="dxa"/>
            <w:vAlign w:val="center"/>
          </w:tcPr>
          <w:p w14:paraId="2F3AED0A">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黄金沙滩补沙</w:t>
            </w:r>
          </w:p>
        </w:tc>
        <w:tc>
          <w:tcPr>
            <w:tcW w:w="4309" w:type="dxa"/>
            <w:vAlign w:val="center"/>
          </w:tcPr>
          <w:p w14:paraId="187E78C3">
            <w:pPr>
              <w:widowControl w:val="0"/>
              <w:adjustRightInd/>
              <w:rPr>
                <w:rFonts w:hint="eastAsia" w:ascii="宋体" w:hAnsi="宋体" w:eastAsia="宋体" w:cs="宋体"/>
                <w:color w:val="auto"/>
                <w:kern w:val="0"/>
                <w:sz w:val="24"/>
                <w:szCs w:val="24"/>
                <w:highlight w:val="none"/>
                <w:lang w:eastAsia="zh-CN"/>
              </w:rPr>
            </w:pPr>
            <w:r>
              <w:rPr>
                <w:rFonts w:hint="eastAsia" w:ascii="Arial" w:hAnsi="Arial" w:eastAsia="宋体" w:cs="Arial"/>
                <w:i w:val="0"/>
                <w:iCs w:val="0"/>
                <w:caps w:val="0"/>
                <w:color w:val="auto"/>
                <w:spacing w:val="0"/>
                <w:sz w:val="24"/>
                <w:szCs w:val="24"/>
                <w:highlight w:val="none"/>
                <w:shd w:val="clear" w:fill="FFFFFF"/>
                <w:lang w:eastAsia="zh-CN"/>
              </w:rPr>
              <w:t>沙粒</w:t>
            </w:r>
            <w:r>
              <w:rPr>
                <w:rFonts w:ascii="Arial" w:hAnsi="Arial" w:eastAsia="宋体" w:cs="Arial"/>
                <w:i w:val="0"/>
                <w:iCs w:val="0"/>
                <w:caps w:val="0"/>
                <w:color w:val="auto"/>
                <w:spacing w:val="0"/>
                <w:sz w:val="24"/>
                <w:szCs w:val="24"/>
                <w:highlight w:val="none"/>
                <w:shd w:val="clear" w:fill="FFFFFF"/>
              </w:rPr>
              <w:t>颗粒均匀，圆润无棱角</w:t>
            </w:r>
            <w:r>
              <w:rPr>
                <w:rFonts w:hint="eastAsia" w:ascii="Arial" w:hAnsi="Arial" w:eastAsia="宋体" w:cs="Arial"/>
                <w:i w:val="0"/>
                <w:iCs w:val="0"/>
                <w:caps w:val="0"/>
                <w:color w:val="auto"/>
                <w:spacing w:val="0"/>
                <w:sz w:val="24"/>
                <w:szCs w:val="24"/>
                <w:highlight w:val="none"/>
                <w:shd w:val="clear" w:fill="FFFFFF"/>
                <w:lang w:eastAsia="zh-CN"/>
              </w:rPr>
              <w:t>，无粉尘</w:t>
            </w:r>
            <w:r>
              <w:rPr>
                <w:rFonts w:ascii="Arial" w:hAnsi="Arial" w:eastAsia="宋体" w:cs="Arial"/>
                <w:i w:val="0"/>
                <w:iCs w:val="0"/>
                <w:caps w:val="0"/>
                <w:color w:val="auto"/>
                <w:spacing w:val="0"/>
                <w:sz w:val="24"/>
                <w:szCs w:val="24"/>
                <w:highlight w:val="none"/>
                <w:shd w:val="clear" w:fill="FFFFFF"/>
              </w:rPr>
              <w:t>，手感佳。</w:t>
            </w:r>
          </w:p>
        </w:tc>
        <w:tc>
          <w:tcPr>
            <w:tcW w:w="2427" w:type="dxa"/>
            <w:vAlign w:val="center"/>
          </w:tcPr>
          <w:p w14:paraId="7CB5D33B">
            <w:pPr>
              <w:widowControl/>
              <w:adjustRightInd/>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用于黄金沙滩沙子补充</w:t>
            </w:r>
          </w:p>
        </w:tc>
      </w:tr>
      <w:tr w14:paraId="2D66B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71" w:type="dxa"/>
            <w:gridSpan w:val="2"/>
            <w:vAlign w:val="center"/>
          </w:tcPr>
          <w:p w14:paraId="31228872">
            <w:pPr>
              <w:widowControl/>
              <w:adjustRightInd/>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管理要求</w:t>
            </w:r>
          </w:p>
        </w:tc>
        <w:tc>
          <w:tcPr>
            <w:tcW w:w="7827" w:type="dxa"/>
            <w:gridSpan w:val="3"/>
            <w:vAlign w:val="center"/>
          </w:tcPr>
          <w:p w14:paraId="0CDABBDD">
            <w:pPr>
              <w:widowControl w:val="0"/>
              <w:adjustRightInd/>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1.主要为公园</w:t>
            </w:r>
            <w:r>
              <w:rPr>
                <w:rFonts w:hint="eastAsia" w:ascii="宋体" w:hAnsi="宋体" w:eastAsia="宋体" w:cs="宋体"/>
                <w:color w:val="auto"/>
                <w:kern w:val="0"/>
                <w:sz w:val="24"/>
                <w:szCs w:val="24"/>
                <w:highlight w:val="none"/>
                <w:lang w:val="en-US" w:eastAsia="zh-CN"/>
              </w:rPr>
              <w:t>公厕</w:t>
            </w:r>
            <w:r>
              <w:rPr>
                <w:rFonts w:hint="eastAsia" w:ascii="宋体" w:hAnsi="宋体" w:eastAsia="宋体" w:cs="宋体"/>
                <w:color w:val="auto"/>
                <w:kern w:val="0"/>
                <w:sz w:val="24"/>
                <w:szCs w:val="24"/>
                <w:highlight w:val="none"/>
              </w:rPr>
              <w:t>、母婴室采购纸巾、洗手液、空气清新剂等消耗用品供给及更换。所有产品应选择当前主流品牌，</w:t>
            </w:r>
            <w:r>
              <w:rPr>
                <w:rFonts w:hint="eastAsia" w:ascii="宋体" w:hAnsi="宋体" w:eastAsia="宋体" w:cs="宋体"/>
                <w:color w:val="auto"/>
                <w:sz w:val="24"/>
                <w:szCs w:val="24"/>
                <w:highlight w:val="none"/>
              </w:rPr>
              <w:t>具体种类及数量需经</w:t>
            </w:r>
            <w:r>
              <w:rPr>
                <w:rFonts w:hint="eastAsia" w:ascii="宋体" w:hAnsi="宋体" w:eastAsia="宋体" w:cs="宋体"/>
                <w:color w:val="auto"/>
                <w:sz w:val="24"/>
                <w:szCs w:val="24"/>
                <w:highlight w:val="none"/>
                <w:lang w:eastAsia="zh-CN"/>
              </w:rPr>
              <w:t>采购单位</w:t>
            </w:r>
            <w:r>
              <w:rPr>
                <w:rFonts w:hint="eastAsia" w:ascii="宋体" w:hAnsi="宋体" w:eastAsia="宋体" w:cs="宋体"/>
                <w:color w:val="auto"/>
                <w:sz w:val="24"/>
                <w:szCs w:val="24"/>
                <w:highlight w:val="none"/>
              </w:rPr>
              <w:t>确认，需要提供样品，合格进入采购配送流程，不合格淘汰重新提供，</w:t>
            </w:r>
            <w:r>
              <w:rPr>
                <w:rFonts w:hint="eastAsia" w:ascii="宋体" w:hAnsi="宋体" w:eastAsia="宋体" w:cs="宋体"/>
                <w:color w:val="auto"/>
                <w:kern w:val="0"/>
                <w:sz w:val="24"/>
                <w:szCs w:val="24"/>
                <w:highlight w:val="none"/>
              </w:rPr>
              <w:t>确保质量。</w:t>
            </w:r>
          </w:p>
          <w:p w14:paraId="646DD5C0">
            <w:pPr>
              <w:widowControl w:val="0"/>
              <w:adjustRightInd/>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bCs/>
                <w:color w:val="auto"/>
                <w:sz w:val="24"/>
                <w:szCs w:val="24"/>
                <w:highlight w:val="none"/>
              </w:rPr>
              <w:t>投标报价中已包含</w:t>
            </w:r>
            <w:r>
              <w:rPr>
                <w:rFonts w:hint="eastAsia" w:ascii="宋体" w:hAnsi="宋体" w:eastAsia="宋体" w:cs="宋体"/>
                <w:bCs/>
                <w:color w:val="auto"/>
                <w:sz w:val="24"/>
                <w:szCs w:val="24"/>
                <w:highlight w:val="none"/>
                <w:lang w:eastAsia="zh-CN"/>
              </w:rPr>
              <w:t>中标人</w:t>
            </w:r>
            <w:r>
              <w:rPr>
                <w:rFonts w:hint="eastAsia" w:ascii="宋体" w:hAnsi="宋体" w:eastAsia="宋体" w:cs="宋体"/>
                <w:bCs/>
                <w:color w:val="auto"/>
                <w:sz w:val="24"/>
                <w:szCs w:val="24"/>
                <w:highlight w:val="none"/>
              </w:rPr>
              <w:t>提供全年所有费用，包干管理，若有不足，由</w:t>
            </w:r>
            <w:r>
              <w:rPr>
                <w:rFonts w:hint="eastAsia" w:ascii="宋体" w:hAnsi="宋体" w:eastAsia="宋体" w:cs="宋体"/>
                <w:bCs/>
                <w:color w:val="auto"/>
                <w:sz w:val="24"/>
                <w:szCs w:val="24"/>
                <w:highlight w:val="none"/>
                <w:lang w:eastAsia="zh-CN"/>
              </w:rPr>
              <w:t>中标人</w:t>
            </w:r>
            <w:r>
              <w:rPr>
                <w:rFonts w:hint="eastAsia" w:ascii="宋体" w:hAnsi="宋体" w:eastAsia="宋体" w:cs="宋体"/>
                <w:bCs/>
                <w:color w:val="auto"/>
                <w:sz w:val="24"/>
                <w:szCs w:val="24"/>
                <w:highlight w:val="none"/>
              </w:rPr>
              <w:t>无条件自行保质保量提供。</w:t>
            </w:r>
          </w:p>
          <w:p w14:paraId="4850B61E">
            <w:pPr>
              <w:widowControl w:val="0"/>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kern w:val="0"/>
                <w:sz w:val="24"/>
                <w:szCs w:val="24"/>
                <w:highlight w:val="none"/>
              </w:rPr>
              <w:t>若</w:t>
            </w:r>
            <w:r>
              <w:rPr>
                <w:rFonts w:hint="eastAsia" w:ascii="宋体" w:hAnsi="宋体" w:eastAsia="宋体" w:cs="宋体"/>
                <w:color w:val="auto"/>
                <w:kern w:val="0"/>
                <w:sz w:val="24"/>
                <w:szCs w:val="24"/>
                <w:highlight w:val="none"/>
                <w:lang w:eastAsia="zh-CN"/>
              </w:rPr>
              <w:t>采购单位</w:t>
            </w:r>
            <w:r>
              <w:rPr>
                <w:rFonts w:hint="eastAsia" w:ascii="宋体" w:hAnsi="宋体" w:eastAsia="宋体" w:cs="宋体"/>
                <w:color w:val="auto"/>
                <w:kern w:val="0"/>
                <w:sz w:val="24"/>
                <w:szCs w:val="24"/>
                <w:highlight w:val="none"/>
              </w:rPr>
              <w:t>对</w:t>
            </w:r>
            <w:r>
              <w:rPr>
                <w:rFonts w:hint="eastAsia" w:ascii="宋体" w:hAnsi="宋体" w:eastAsia="宋体" w:cs="宋体"/>
                <w:color w:val="auto"/>
                <w:kern w:val="0"/>
                <w:sz w:val="24"/>
                <w:szCs w:val="24"/>
                <w:highlight w:val="none"/>
                <w:lang w:eastAsia="zh-CN"/>
              </w:rPr>
              <w:t>中标人</w:t>
            </w:r>
            <w:r>
              <w:rPr>
                <w:rFonts w:hint="eastAsia" w:ascii="宋体" w:hAnsi="宋体" w:eastAsia="宋体" w:cs="宋体"/>
                <w:color w:val="auto"/>
                <w:kern w:val="0"/>
                <w:sz w:val="24"/>
                <w:szCs w:val="24"/>
                <w:highlight w:val="none"/>
              </w:rPr>
              <w:t>所提供产品不满意，有权要求</w:t>
            </w:r>
            <w:r>
              <w:rPr>
                <w:rFonts w:hint="eastAsia" w:ascii="宋体" w:hAnsi="宋体" w:eastAsia="宋体" w:cs="宋体"/>
                <w:color w:val="auto"/>
                <w:kern w:val="0"/>
                <w:sz w:val="24"/>
                <w:szCs w:val="24"/>
                <w:highlight w:val="none"/>
                <w:lang w:eastAsia="zh-CN"/>
              </w:rPr>
              <w:t>中标人</w:t>
            </w:r>
            <w:r>
              <w:rPr>
                <w:rFonts w:hint="eastAsia" w:ascii="宋体" w:hAnsi="宋体" w:eastAsia="宋体" w:cs="宋体"/>
                <w:color w:val="auto"/>
                <w:kern w:val="0"/>
                <w:sz w:val="24"/>
                <w:szCs w:val="24"/>
                <w:highlight w:val="none"/>
              </w:rPr>
              <w:t>更换</w:t>
            </w:r>
            <w:r>
              <w:rPr>
                <w:rFonts w:hint="eastAsia" w:ascii="宋体" w:hAnsi="宋体" w:eastAsia="宋体" w:cs="宋体"/>
                <w:color w:val="auto"/>
                <w:kern w:val="0"/>
                <w:sz w:val="24"/>
                <w:szCs w:val="24"/>
                <w:highlight w:val="none"/>
                <w:lang w:eastAsia="zh-CN"/>
              </w:rPr>
              <w:t>其他</w:t>
            </w:r>
            <w:r>
              <w:rPr>
                <w:rFonts w:hint="eastAsia" w:ascii="宋体" w:hAnsi="宋体" w:eastAsia="宋体" w:cs="宋体"/>
                <w:color w:val="auto"/>
                <w:kern w:val="0"/>
                <w:sz w:val="24"/>
                <w:szCs w:val="24"/>
                <w:highlight w:val="none"/>
              </w:rPr>
              <w:t>主流品牌产品，确保耗材质量。</w:t>
            </w:r>
          </w:p>
        </w:tc>
      </w:tr>
    </w:tbl>
    <w:p w14:paraId="7E149929">
      <w:pPr>
        <w:widowControl/>
        <w:tabs>
          <w:tab w:val="left" w:pos="851"/>
        </w:tabs>
        <w:adjustRightInd/>
        <w:spacing w:line="360" w:lineRule="auto"/>
        <w:ind w:firstLine="480" w:firstLineChars="200"/>
        <w:rPr>
          <w:rFonts w:hint="eastAsia"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②肥料及药剂</w:t>
      </w:r>
    </w:p>
    <w:tbl>
      <w:tblPr>
        <w:tblStyle w:val="62"/>
        <w:tblW w:w="86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840"/>
        <w:gridCol w:w="2028"/>
        <w:gridCol w:w="5008"/>
      </w:tblGrid>
      <w:tr w14:paraId="4FE56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16" w:type="dxa"/>
            <w:vAlign w:val="center"/>
          </w:tcPr>
          <w:p w14:paraId="1E661553">
            <w:pPr>
              <w:widowControl/>
              <w:adjustRightInd/>
              <w:jc w:val="center"/>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kern w:val="0"/>
                <w:sz w:val="24"/>
                <w:szCs w:val="24"/>
                <w:highlight w:val="none"/>
                <w:lang w:eastAsia="zh-CN"/>
              </w:rPr>
              <w:t>公园名称</w:t>
            </w:r>
          </w:p>
        </w:tc>
        <w:tc>
          <w:tcPr>
            <w:tcW w:w="840" w:type="dxa"/>
            <w:vAlign w:val="center"/>
          </w:tcPr>
          <w:p w14:paraId="2865E8A5">
            <w:pPr>
              <w:widowControl/>
              <w:adjustRightInd/>
              <w:jc w:val="center"/>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kern w:val="0"/>
                <w:sz w:val="24"/>
                <w:szCs w:val="24"/>
                <w:highlight w:val="none"/>
                <w:lang w:eastAsia="zh-CN"/>
              </w:rPr>
              <w:t>类别</w:t>
            </w:r>
          </w:p>
        </w:tc>
        <w:tc>
          <w:tcPr>
            <w:tcW w:w="2028" w:type="dxa"/>
            <w:vAlign w:val="center"/>
          </w:tcPr>
          <w:p w14:paraId="6FFFCB9F">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名称</w:t>
            </w:r>
          </w:p>
        </w:tc>
        <w:tc>
          <w:tcPr>
            <w:tcW w:w="5008" w:type="dxa"/>
            <w:vAlign w:val="center"/>
          </w:tcPr>
          <w:p w14:paraId="529AFAE0">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备注</w:t>
            </w:r>
          </w:p>
        </w:tc>
      </w:tr>
      <w:tr w14:paraId="7FFB6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816" w:type="dxa"/>
            <w:vMerge w:val="restart"/>
            <w:vAlign w:val="center"/>
          </w:tcPr>
          <w:p w14:paraId="08E5E2E8">
            <w:pPr>
              <w:widowControl/>
              <w:adjustRightInd/>
              <w:jc w:val="center"/>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kern w:val="0"/>
                <w:sz w:val="24"/>
                <w:szCs w:val="24"/>
                <w:highlight w:val="none"/>
                <w:lang w:eastAsia="zh-CN"/>
              </w:rPr>
              <w:t>日湖公园</w:t>
            </w:r>
          </w:p>
        </w:tc>
        <w:tc>
          <w:tcPr>
            <w:tcW w:w="840" w:type="dxa"/>
            <w:vMerge w:val="restart"/>
            <w:vAlign w:val="center"/>
          </w:tcPr>
          <w:p w14:paraId="07DE0CC5">
            <w:pPr>
              <w:widowControl/>
              <w:bidi w:val="0"/>
              <w:adjustRightInd/>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除草剂类</w:t>
            </w:r>
          </w:p>
        </w:tc>
        <w:tc>
          <w:tcPr>
            <w:tcW w:w="2028" w:type="dxa"/>
            <w:vAlign w:val="center"/>
          </w:tcPr>
          <w:p w14:paraId="37B55A79">
            <w:pPr>
              <w:widowControl w:val="0"/>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拔绿</w:t>
            </w:r>
          </w:p>
        </w:tc>
        <w:tc>
          <w:tcPr>
            <w:tcW w:w="5008" w:type="dxa"/>
            <w:vAlign w:val="center"/>
          </w:tcPr>
          <w:p w14:paraId="3629A8AF">
            <w:pPr>
              <w:keepNext w:val="0"/>
              <w:keepLines w:val="0"/>
              <w:widowControl/>
              <w:suppressLineNumbers w:val="0"/>
              <w:adjustRightInd/>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草坪杂草封闭剂</w:t>
            </w:r>
          </w:p>
        </w:tc>
      </w:tr>
      <w:tr w14:paraId="4F8D6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16" w:type="dxa"/>
            <w:vMerge w:val="continue"/>
            <w:vAlign w:val="center"/>
          </w:tcPr>
          <w:p w14:paraId="78C7ABCD">
            <w:pPr>
              <w:widowControl/>
              <w:adjustRightInd/>
              <w:jc w:val="center"/>
              <w:rPr>
                <w:rFonts w:hint="eastAsia" w:ascii="宋体" w:hAnsi="宋体" w:eastAsia="宋体" w:cs="宋体"/>
                <w:color w:val="auto"/>
                <w:kern w:val="0"/>
                <w:sz w:val="24"/>
                <w:szCs w:val="24"/>
                <w:highlight w:val="none"/>
              </w:rPr>
            </w:pPr>
          </w:p>
        </w:tc>
        <w:tc>
          <w:tcPr>
            <w:tcW w:w="840" w:type="dxa"/>
            <w:vMerge w:val="continue"/>
            <w:vAlign w:val="center"/>
          </w:tcPr>
          <w:p w14:paraId="16A529A6">
            <w:pPr>
              <w:widowControl w:val="0"/>
              <w:ind w:firstLine="0" w:firstLineChars="0"/>
              <w:jc w:val="center"/>
              <w:rPr>
                <w:rFonts w:hint="eastAsia" w:ascii="宋体" w:hAnsi="宋体" w:eastAsia="宋体" w:cs="宋体"/>
                <w:color w:val="auto"/>
                <w:kern w:val="0"/>
                <w:sz w:val="24"/>
                <w:szCs w:val="24"/>
                <w:highlight w:val="none"/>
                <w:lang w:val="en-US" w:eastAsia="zh-CN" w:bidi="ar-SA"/>
              </w:rPr>
            </w:pPr>
          </w:p>
        </w:tc>
        <w:tc>
          <w:tcPr>
            <w:tcW w:w="2028" w:type="dxa"/>
            <w:vAlign w:val="center"/>
          </w:tcPr>
          <w:p w14:paraId="6BFF7541">
            <w:pPr>
              <w:keepNext w:val="0"/>
              <w:keepLines w:val="0"/>
              <w:widowControl/>
              <w:suppressLineNumbers w:val="0"/>
              <w:adjustRightInd/>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抹绿</w:t>
            </w:r>
          </w:p>
        </w:tc>
        <w:tc>
          <w:tcPr>
            <w:tcW w:w="5008" w:type="dxa"/>
            <w:vAlign w:val="center"/>
          </w:tcPr>
          <w:p w14:paraId="2DCFE178">
            <w:pPr>
              <w:keepNext w:val="0"/>
              <w:keepLines w:val="0"/>
              <w:widowControl/>
              <w:suppressLineNumbers w:val="0"/>
              <w:adjustRightInd/>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草坪除草剂（莎草科）</w:t>
            </w:r>
          </w:p>
        </w:tc>
      </w:tr>
      <w:tr w14:paraId="7D7EE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vMerge w:val="continue"/>
            <w:vAlign w:val="center"/>
          </w:tcPr>
          <w:p w14:paraId="626CD52C">
            <w:pPr>
              <w:widowControl/>
              <w:adjustRightInd/>
              <w:jc w:val="center"/>
              <w:rPr>
                <w:rFonts w:hint="eastAsia" w:ascii="宋体" w:hAnsi="宋体" w:eastAsia="宋体" w:cs="宋体"/>
                <w:color w:val="auto"/>
                <w:kern w:val="0"/>
                <w:sz w:val="24"/>
                <w:szCs w:val="24"/>
                <w:highlight w:val="none"/>
              </w:rPr>
            </w:pPr>
          </w:p>
        </w:tc>
        <w:tc>
          <w:tcPr>
            <w:tcW w:w="840" w:type="dxa"/>
            <w:vMerge w:val="continue"/>
            <w:vAlign w:val="center"/>
          </w:tcPr>
          <w:p w14:paraId="28044A74">
            <w:pPr>
              <w:widowControl w:val="0"/>
              <w:adjustRightInd/>
              <w:jc w:val="center"/>
              <w:rPr>
                <w:rFonts w:hint="eastAsia" w:ascii="宋体" w:hAnsi="宋体" w:eastAsia="宋体" w:cs="宋体"/>
                <w:color w:val="auto"/>
                <w:kern w:val="0"/>
                <w:sz w:val="24"/>
                <w:szCs w:val="24"/>
                <w:highlight w:val="none"/>
              </w:rPr>
            </w:pPr>
          </w:p>
        </w:tc>
        <w:tc>
          <w:tcPr>
            <w:tcW w:w="2028" w:type="dxa"/>
            <w:vAlign w:val="center"/>
          </w:tcPr>
          <w:p w14:paraId="247B1FE3">
            <w:pPr>
              <w:keepNext w:val="0"/>
              <w:keepLines w:val="0"/>
              <w:widowControl/>
              <w:suppressLineNumbers w:val="0"/>
              <w:adjustRightInd/>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卉锦清</w:t>
            </w:r>
          </w:p>
        </w:tc>
        <w:tc>
          <w:tcPr>
            <w:tcW w:w="5008" w:type="dxa"/>
            <w:vAlign w:val="center"/>
          </w:tcPr>
          <w:p w14:paraId="12223629">
            <w:pPr>
              <w:keepNext w:val="0"/>
              <w:keepLines w:val="0"/>
              <w:widowControl/>
              <w:suppressLineNumbers w:val="0"/>
              <w:adjustRightInd/>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草坪除草剂（阔叶杂草科）</w:t>
            </w:r>
          </w:p>
        </w:tc>
      </w:tr>
      <w:tr w14:paraId="50873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vMerge w:val="continue"/>
            <w:vAlign w:val="center"/>
          </w:tcPr>
          <w:p w14:paraId="79493F00">
            <w:pPr>
              <w:widowControl/>
              <w:adjustRightInd/>
              <w:jc w:val="center"/>
              <w:rPr>
                <w:rFonts w:hint="eastAsia" w:ascii="宋体" w:hAnsi="宋体" w:eastAsia="宋体" w:cs="宋体"/>
                <w:color w:val="auto"/>
                <w:kern w:val="0"/>
                <w:sz w:val="24"/>
                <w:szCs w:val="24"/>
                <w:highlight w:val="none"/>
              </w:rPr>
            </w:pPr>
          </w:p>
        </w:tc>
        <w:tc>
          <w:tcPr>
            <w:tcW w:w="840" w:type="dxa"/>
            <w:vMerge w:val="continue"/>
            <w:vAlign w:val="center"/>
          </w:tcPr>
          <w:p w14:paraId="1E06B728">
            <w:pPr>
              <w:widowControl w:val="0"/>
              <w:adjustRightInd/>
              <w:jc w:val="center"/>
              <w:rPr>
                <w:rFonts w:hint="eastAsia" w:ascii="宋体" w:hAnsi="宋体" w:eastAsia="宋体" w:cs="宋体"/>
                <w:color w:val="auto"/>
                <w:kern w:val="0"/>
                <w:sz w:val="24"/>
                <w:szCs w:val="24"/>
                <w:highlight w:val="none"/>
              </w:rPr>
            </w:pPr>
          </w:p>
        </w:tc>
        <w:tc>
          <w:tcPr>
            <w:tcW w:w="2028" w:type="dxa"/>
            <w:vAlign w:val="center"/>
          </w:tcPr>
          <w:p w14:paraId="248288B4">
            <w:pPr>
              <w:keepNext w:val="0"/>
              <w:keepLines w:val="0"/>
              <w:widowControl/>
              <w:suppressLineNumbers w:val="0"/>
              <w:adjustRightInd/>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麦草霸</w:t>
            </w:r>
          </w:p>
        </w:tc>
        <w:tc>
          <w:tcPr>
            <w:tcW w:w="5008" w:type="dxa"/>
            <w:vAlign w:val="center"/>
          </w:tcPr>
          <w:p w14:paraId="5FF54627">
            <w:pPr>
              <w:keepNext w:val="0"/>
              <w:keepLines w:val="0"/>
              <w:widowControl/>
              <w:suppressLineNumbers w:val="0"/>
              <w:adjustRightInd/>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麦冬草坪除草剂</w:t>
            </w:r>
          </w:p>
        </w:tc>
      </w:tr>
      <w:tr w14:paraId="243B1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vMerge w:val="continue"/>
            <w:vAlign w:val="center"/>
          </w:tcPr>
          <w:p w14:paraId="5861A96E">
            <w:pPr>
              <w:widowControl/>
              <w:adjustRightInd/>
              <w:jc w:val="center"/>
              <w:rPr>
                <w:rFonts w:hint="eastAsia" w:ascii="宋体" w:hAnsi="宋体" w:eastAsia="宋体" w:cs="宋体"/>
                <w:color w:val="auto"/>
                <w:kern w:val="0"/>
                <w:sz w:val="24"/>
                <w:szCs w:val="24"/>
                <w:highlight w:val="none"/>
              </w:rPr>
            </w:pPr>
          </w:p>
        </w:tc>
        <w:tc>
          <w:tcPr>
            <w:tcW w:w="840" w:type="dxa"/>
            <w:vMerge w:val="continue"/>
            <w:vAlign w:val="center"/>
          </w:tcPr>
          <w:p w14:paraId="5112B783">
            <w:pPr>
              <w:widowControl w:val="0"/>
              <w:adjustRightInd/>
              <w:jc w:val="center"/>
              <w:rPr>
                <w:rFonts w:hint="eastAsia" w:ascii="宋体" w:hAnsi="宋体" w:eastAsia="宋体" w:cs="宋体"/>
                <w:color w:val="auto"/>
                <w:kern w:val="0"/>
                <w:sz w:val="24"/>
                <w:szCs w:val="24"/>
                <w:highlight w:val="none"/>
              </w:rPr>
            </w:pPr>
          </w:p>
        </w:tc>
        <w:tc>
          <w:tcPr>
            <w:tcW w:w="2028" w:type="dxa"/>
            <w:vAlign w:val="center"/>
          </w:tcPr>
          <w:p w14:paraId="4A332D53">
            <w:pPr>
              <w:keepNext w:val="0"/>
              <w:keepLines w:val="0"/>
              <w:widowControl/>
              <w:suppressLineNumbers w:val="0"/>
              <w:adjustRightInd/>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冠牛（草铵膦）</w:t>
            </w:r>
          </w:p>
        </w:tc>
        <w:tc>
          <w:tcPr>
            <w:tcW w:w="5008" w:type="dxa"/>
            <w:vAlign w:val="center"/>
          </w:tcPr>
          <w:p w14:paraId="7F8F3CD3">
            <w:pPr>
              <w:keepNext w:val="0"/>
              <w:keepLines w:val="0"/>
              <w:widowControl/>
              <w:suppressLineNumbers w:val="0"/>
              <w:adjustRightInd/>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荒地除草剂</w:t>
            </w:r>
          </w:p>
        </w:tc>
      </w:tr>
      <w:tr w14:paraId="22171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vMerge w:val="continue"/>
            <w:vAlign w:val="center"/>
          </w:tcPr>
          <w:p w14:paraId="042166EF">
            <w:pPr>
              <w:widowControl/>
              <w:adjustRightInd/>
              <w:jc w:val="center"/>
              <w:rPr>
                <w:rFonts w:hint="eastAsia" w:ascii="宋体" w:hAnsi="宋体" w:eastAsia="宋体" w:cs="宋体"/>
                <w:color w:val="auto"/>
                <w:kern w:val="0"/>
                <w:sz w:val="24"/>
                <w:szCs w:val="24"/>
                <w:highlight w:val="none"/>
              </w:rPr>
            </w:pPr>
          </w:p>
        </w:tc>
        <w:tc>
          <w:tcPr>
            <w:tcW w:w="840" w:type="dxa"/>
            <w:vMerge w:val="continue"/>
            <w:vAlign w:val="center"/>
          </w:tcPr>
          <w:p w14:paraId="190706A6">
            <w:pPr>
              <w:widowControl w:val="0"/>
              <w:adjustRightInd/>
              <w:jc w:val="center"/>
              <w:rPr>
                <w:rFonts w:hint="eastAsia" w:ascii="宋体" w:hAnsi="宋体" w:eastAsia="宋体" w:cs="宋体"/>
                <w:color w:val="auto"/>
                <w:kern w:val="0"/>
                <w:sz w:val="24"/>
                <w:szCs w:val="24"/>
                <w:highlight w:val="none"/>
              </w:rPr>
            </w:pPr>
          </w:p>
        </w:tc>
        <w:tc>
          <w:tcPr>
            <w:tcW w:w="2028" w:type="dxa"/>
            <w:vAlign w:val="center"/>
          </w:tcPr>
          <w:p w14:paraId="64C2679B">
            <w:pPr>
              <w:keepNext w:val="0"/>
              <w:keepLines w:val="0"/>
              <w:widowControl/>
              <w:suppressLineNumbers w:val="0"/>
              <w:adjustRightInd/>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火矛（草甘膦）</w:t>
            </w:r>
          </w:p>
        </w:tc>
        <w:tc>
          <w:tcPr>
            <w:tcW w:w="5008" w:type="dxa"/>
            <w:vAlign w:val="center"/>
          </w:tcPr>
          <w:p w14:paraId="7DB792D4">
            <w:pPr>
              <w:keepNext w:val="0"/>
              <w:keepLines w:val="0"/>
              <w:widowControl/>
              <w:suppressLineNumbers w:val="0"/>
              <w:adjustRightInd/>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荒地除草剂</w:t>
            </w:r>
          </w:p>
        </w:tc>
      </w:tr>
      <w:tr w14:paraId="5ED1B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816" w:type="dxa"/>
            <w:vMerge w:val="continue"/>
            <w:vAlign w:val="center"/>
          </w:tcPr>
          <w:p w14:paraId="4C3EC08D">
            <w:pPr>
              <w:widowControl/>
              <w:adjustRightInd/>
              <w:jc w:val="center"/>
              <w:rPr>
                <w:rFonts w:hint="eastAsia" w:ascii="宋体" w:hAnsi="宋体" w:eastAsia="宋体" w:cs="宋体"/>
                <w:color w:val="auto"/>
                <w:kern w:val="0"/>
                <w:sz w:val="24"/>
                <w:szCs w:val="24"/>
                <w:highlight w:val="none"/>
              </w:rPr>
            </w:pPr>
          </w:p>
        </w:tc>
        <w:tc>
          <w:tcPr>
            <w:tcW w:w="840" w:type="dxa"/>
            <w:vMerge w:val="continue"/>
            <w:vAlign w:val="center"/>
          </w:tcPr>
          <w:p w14:paraId="5D2C41AA">
            <w:pPr>
              <w:widowControl w:val="0"/>
              <w:adjustRightInd/>
              <w:jc w:val="center"/>
              <w:rPr>
                <w:rFonts w:hint="eastAsia" w:ascii="宋体" w:hAnsi="宋体" w:eastAsia="宋体" w:cs="宋体"/>
                <w:color w:val="auto"/>
                <w:kern w:val="0"/>
                <w:sz w:val="24"/>
                <w:szCs w:val="24"/>
                <w:highlight w:val="none"/>
              </w:rPr>
            </w:pPr>
          </w:p>
        </w:tc>
        <w:tc>
          <w:tcPr>
            <w:tcW w:w="2028" w:type="dxa"/>
            <w:vAlign w:val="center"/>
          </w:tcPr>
          <w:p w14:paraId="3298A1DB">
            <w:pPr>
              <w:keepNext w:val="0"/>
              <w:keepLines w:val="0"/>
              <w:widowControl/>
              <w:suppressLineNumbers w:val="0"/>
              <w:adjustRightInd/>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晒金</w:t>
            </w:r>
          </w:p>
        </w:tc>
        <w:tc>
          <w:tcPr>
            <w:tcW w:w="5008" w:type="dxa"/>
            <w:vAlign w:val="center"/>
          </w:tcPr>
          <w:p w14:paraId="2B252EC6">
            <w:pPr>
              <w:keepNext w:val="0"/>
              <w:keepLines w:val="0"/>
              <w:widowControl/>
              <w:suppressLineNumbers w:val="0"/>
              <w:adjustRightInd/>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草坪除草剂（禾本科杂草）</w:t>
            </w:r>
          </w:p>
        </w:tc>
      </w:tr>
      <w:tr w14:paraId="26615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vMerge w:val="continue"/>
            <w:vAlign w:val="center"/>
          </w:tcPr>
          <w:p w14:paraId="62110E76">
            <w:pPr>
              <w:widowControl/>
              <w:adjustRightInd/>
              <w:jc w:val="center"/>
              <w:rPr>
                <w:rFonts w:hint="eastAsia" w:ascii="宋体" w:hAnsi="宋体" w:eastAsia="宋体" w:cs="宋体"/>
                <w:color w:val="auto"/>
                <w:kern w:val="0"/>
                <w:sz w:val="24"/>
                <w:szCs w:val="24"/>
                <w:highlight w:val="none"/>
              </w:rPr>
            </w:pPr>
          </w:p>
        </w:tc>
        <w:tc>
          <w:tcPr>
            <w:tcW w:w="840" w:type="dxa"/>
            <w:vMerge w:val="restart"/>
            <w:vAlign w:val="center"/>
          </w:tcPr>
          <w:p w14:paraId="1D6C3BB6">
            <w:pPr>
              <w:widowControl w:val="0"/>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防虫害类</w:t>
            </w:r>
          </w:p>
        </w:tc>
        <w:tc>
          <w:tcPr>
            <w:tcW w:w="2028" w:type="dxa"/>
            <w:vAlign w:val="center"/>
          </w:tcPr>
          <w:p w14:paraId="2B97685F">
            <w:pPr>
              <w:keepNext w:val="0"/>
              <w:keepLines w:val="0"/>
              <w:widowControl/>
              <w:suppressLineNumbers w:val="0"/>
              <w:adjustRightInd/>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森康</w:t>
            </w:r>
          </w:p>
        </w:tc>
        <w:tc>
          <w:tcPr>
            <w:tcW w:w="5008" w:type="dxa"/>
            <w:vAlign w:val="center"/>
          </w:tcPr>
          <w:p w14:paraId="7AB245B9">
            <w:pPr>
              <w:keepNext w:val="0"/>
              <w:keepLines w:val="0"/>
              <w:widowControl/>
              <w:suppressLineNumbers w:val="0"/>
              <w:adjustRightInd/>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防治食叶害虫及天牛成虫</w:t>
            </w:r>
          </w:p>
        </w:tc>
      </w:tr>
      <w:tr w14:paraId="70E7F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vMerge w:val="continue"/>
            <w:vAlign w:val="center"/>
          </w:tcPr>
          <w:p w14:paraId="39AB6CB3">
            <w:pPr>
              <w:widowControl/>
              <w:adjustRightInd/>
              <w:jc w:val="center"/>
              <w:rPr>
                <w:rFonts w:hint="eastAsia" w:ascii="宋体" w:hAnsi="宋体" w:eastAsia="宋体" w:cs="宋体"/>
                <w:color w:val="auto"/>
                <w:kern w:val="0"/>
                <w:sz w:val="24"/>
                <w:szCs w:val="24"/>
                <w:highlight w:val="none"/>
              </w:rPr>
            </w:pPr>
          </w:p>
        </w:tc>
        <w:tc>
          <w:tcPr>
            <w:tcW w:w="840" w:type="dxa"/>
            <w:vMerge w:val="continue"/>
            <w:vAlign w:val="center"/>
          </w:tcPr>
          <w:p w14:paraId="51D36A8C">
            <w:pPr>
              <w:widowControl w:val="0"/>
              <w:adjustRightInd/>
              <w:jc w:val="center"/>
              <w:rPr>
                <w:rFonts w:hint="eastAsia" w:ascii="宋体" w:hAnsi="宋体" w:eastAsia="宋体" w:cs="宋体"/>
                <w:color w:val="auto"/>
                <w:kern w:val="0"/>
                <w:sz w:val="24"/>
                <w:szCs w:val="24"/>
                <w:highlight w:val="none"/>
              </w:rPr>
            </w:pPr>
          </w:p>
        </w:tc>
        <w:tc>
          <w:tcPr>
            <w:tcW w:w="2028" w:type="dxa"/>
            <w:vAlign w:val="center"/>
          </w:tcPr>
          <w:p w14:paraId="3BBC1D17">
            <w:pPr>
              <w:keepNext w:val="0"/>
              <w:keepLines w:val="0"/>
              <w:widowControl/>
              <w:suppressLineNumbers w:val="0"/>
              <w:adjustRightInd/>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卉健</w:t>
            </w:r>
          </w:p>
        </w:tc>
        <w:tc>
          <w:tcPr>
            <w:tcW w:w="5008" w:type="dxa"/>
            <w:vAlign w:val="center"/>
          </w:tcPr>
          <w:p w14:paraId="691451F0">
            <w:pPr>
              <w:keepNext w:val="0"/>
              <w:keepLines w:val="0"/>
              <w:widowControl/>
              <w:suppressLineNumbers w:val="0"/>
              <w:adjustRightInd/>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防治刺吸式害虫及地下害虫，天牛幼虫</w:t>
            </w:r>
          </w:p>
        </w:tc>
      </w:tr>
      <w:tr w14:paraId="16FF2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816" w:type="dxa"/>
            <w:vMerge w:val="continue"/>
            <w:vAlign w:val="center"/>
          </w:tcPr>
          <w:p w14:paraId="631F75E3">
            <w:pPr>
              <w:widowControl/>
              <w:adjustRightInd/>
              <w:jc w:val="center"/>
              <w:rPr>
                <w:rFonts w:hint="eastAsia" w:ascii="宋体" w:hAnsi="宋体" w:eastAsia="宋体" w:cs="宋体"/>
                <w:color w:val="auto"/>
                <w:kern w:val="0"/>
                <w:sz w:val="24"/>
                <w:szCs w:val="24"/>
                <w:highlight w:val="none"/>
              </w:rPr>
            </w:pPr>
          </w:p>
        </w:tc>
        <w:tc>
          <w:tcPr>
            <w:tcW w:w="840" w:type="dxa"/>
            <w:vMerge w:val="continue"/>
            <w:vAlign w:val="center"/>
          </w:tcPr>
          <w:p w14:paraId="0C5A460F">
            <w:pPr>
              <w:widowControl w:val="0"/>
              <w:adjustRightInd/>
              <w:jc w:val="center"/>
              <w:rPr>
                <w:rFonts w:hint="eastAsia" w:ascii="宋体" w:hAnsi="宋体" w:eastAsia="宋体" w:cs="宋体"/>
                <w:color w:val="auto"/>
                <w:kern w:val="0"/>
                <w:sz w:val="24"/>
                <w:szCs w:val="24"/>
                <w:highlight w:val="none"/>
              </w:rPr>
            </w:pPr>
          </w:p>
        </w:tc>
        <w:tc>
          <w:tcPr>
            <w:tcW w:w="2028" w:type="dxa"/>
            <w:vAlign w:val="center"/>
          </w:tcPr>
          <w:p w14:paraId="013A6CFA">
            <w:pPr>
              <w:keepNext w:val="0"/>
              <w:keepLines w:val="0"/>
              <w:widowControl/>
              <w:suppressLineNumbers w:val="0"/>
              <w:adjustRightInd/>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易茂7号</w:t>
            </w:r>
          </w:p>
        </w:tc>
        <w:tc>
          <w:tcPr>
            <w:tcW w:w="5008" w:type="dxa"/>
            <w:vAlign w:val="center"/>
          </w:tcPr>
          <w:p w14:paraId="650B53C5">
            <w:pPr>
              <w:keepNext w:val="0"/>
              <w:keepLines w:val="0"/>
              <w:widowControl/>
              <w:suppressLineNumbers w:val="0"/>
              <w:adjustRightInd/>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防治蚧壳虫</w:t>
            </w:r>
          </w:p>
        </w:tc>
      </w:tr>
      <w:tr w14:paraId="20E4A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6" w:type="dxa"/>
            <w:vMerge w:val="continue"/>
            <w:vAlign w:val="center"/>
          </w:tcPr>
          <w:p w14:paraId="44679DC3">
            <w:pPr>
              <w:widowControl/>
              <w:adjustRightInd/>
              <w:jc w:val="center"/>
              <w:rPr>
                <w:rFonts w:hint="eastAsia" w:ascii="宋体" w:hAnsi="宋体" w:eastAsia="宋体" w:cs="宋体"/>
                <w:color w:val="auto"/>
                <w:kern w:val="0"/>
                <w:sz w:val="24"/>
                <w:szCs w:val="24"/>
                <w:highlight w:val="none"/>
              </w:rPr>
            </w:pPr>
          </w:p>
        </w:tc>
        <w:tc>
          <w:tcPr>
            <w:tcW w:w="840" w:type="dxa"/>
            <w:vMerge w:val="continue"/>
            <w:vAlign w:val="center"/>
          </w:tcPr>
          <w:p w14:paraId="72805898">
            <w:pPr>
              <w:widowControl w:val="0"/>
              <w:adjustRightInd/>
              <w:jc w:val="center"/>
              <w:rPr>
                <w:rFonts w:hint="eastAsia" w:ascii="宋体" w:hAnsi="宋体" w:eastAsia="宋体" w:cs="宋体"/>
                <w:color w:val="auto"/>
                <w:kern w:val="0"/>
                <w:sz w:val="24"/>
                <w:szCs w:val="24"/>
                <w:highlight w:val="none"/>
              </w:rPr>
            </w:pPr>
          </w:p>
        </w:tc>
        <w:tc>
          <w:tcPr>
            <w:tcW w:w="2028" w:type="dxa"/>
            <w:vAlign w:val="center"/>
          </w:tcPr>
          <w:p w14:paraId="616F464B">
            <w:pPr>
              <w:keepNext w:val="0"/>
              <w:keepLines w:val="0"/>
              <w:widowControl/>
              <w:suppressLineNumbers w:val="0"/>
              <w:adjustRightInd/>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易茂4号</w:t>
            </w:r>
          </w:p>
        </w:tc>
        <w:tc>
          <w:tcPr>
            <w:tcW w:w="5008" w:type="dxa"/>
            <w:vAlign w:val="center"/>
          </w:tcPr>
          <w:p w14:paraId="629C2B86">
            <w:pPr>
              <w:keepNext w:val="0"/>
              <w:keepLines w:val="0"/>
              <w:widowControl/>
              <w:suppressLineNumbers w:val="0"/>
              <w:adjustRightInd/>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防治刺吸式害虫</w:t>
            </w:r>
          </w:p>
        </w:tc>
      </w:tr>
      <w:tr w14:paraId="45942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816" w:type="dxa"/>
            <w:vMerge w:val="continue"/>
            <w:vAlign w:val="center"/>
          </w:tcPr>
          <w:p w14:paraId="09B326C9">
            <w:pPr>
              <w:widowControl/>
              <w:adjustRightInd/>
              <w:jc w:val="center"/>
              <w:rPr>
                <w:rFonts w:hint="eastAsia" w:ascii="宋体" w:hAnsi="宋体" w:eastAsia="宋体" w:cs="宋体"/>
                <w:color w:val="auto"/>
                <w:kern w:val="0"/>
                <w:sz w:val="24"/>
                <w:szCs w:val="24"/>
                <w:highlight w:val="none"/>
              </w:rPr>
            </w:pPr>
          </w:p>
        </w:tc>
        <w:tc>
          <w:tcPr>
            <w:tcW w:w="840" w:type="dxa"/>
            <w:vMerge w:val="continue"/>
            <w:vAlign w:val="center"/>
          </w:tcPr>
          <w:p w14:paraId="1FE8B8C1">
            <w:pPr>
              <w:widowControl/>
              <w:adjustRightInd/>
              <w:jc w:val="center"/>
              <w:rPr>
                <w:rFonts w:hint="eastAsia" w:ascii="宋体" w:hAnsi="宋体" w:eastAsia="宋体" w:cs="宋体"/>
                <w:color w:val="auto"/>
                <w:kern w:val="0"/>
                <w:sz w:val="24"/>
                <w:szCs w:val="24"/>
                <w:highlight w:val="none"/>
              </w:rPr>
            </w:pPr>
          </w:p>
        </w:tc>
        <w:tc>
          <w:tcPr>
            <w:tcW w:w="2028" w:type="dxa"/>
            <w:vAlign w:val="center"/>
          </w:tcPr>
          <w:p w14:paraId="20B760C8">
            <w:pPr>
              <w:keepNext w:val="0"/>
              <w:keepLines w:val="0"/>
              <w:widowControl/>
              <w:suppressLineNumbers w:val="0"/>
              <w:adjustRightInd/>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易茂5号</w:t>
            </w:r>
          </w:p>
        </w:tc>
        <w:tc>
          <w:tcPr>
            <w:tcW w:w="5008" w:type="dxa"/>
            <w:vAlign w:val="center"/>
          </w:tcPr>
          <w:p w14:paraId="6338AD87">
            <w:pPr>
              <w:keepNext w:val="0"/>
              <w:keepLines w:val="0"/>
              <w:widowControl/>
              <w:suppressLineNumbers w:val="0"/>
              <w:adjustRightInd/>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防治红蜘蛛</w:t>
            </w:r>
          </w:p>
        </w:tc>
      </w:tr>
      <w:tr w14:paraId="6980C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816" w:type="dxa"/>
            <w:vMerge w:val="continue"/>
            <w:vAlign w:val="center"/>
          </w:tcPr>
          <w:p w14:paraId="354C9156">
            <w:pPr>
              <w:widowControl/>
              <w:adjustRightInd/>
              <w:jc w:val="center"/>
              <w:rPr>
                <w:rFonts w:hint="eastAsia" w:ascii="宋体" w:hAnsi="宋体" w:eastAsia="宋体" w:cs="宋体"/>
                <w:color w:val="auto"/>
                <w:kern w:val="0"/>
                <w:sz w:val="24"/>
                <w:szCs w:val="24"/>
                <w:highlight w:val="none"/>
              </w:rPr>
            </w:pPr>
          </w:p>
        </w:tc>
        <w:tc>
          <w:tcPr>
            <w:tcW w:w="840" w:type="dxa"/>
            <w:vMerge w:val="continue"/>
            <w:vAlign w:val="center"/>
          </w:tcPr>
          <w:p w14:paraId="059893F4">
            <w:pPr>
              <w:widowControl/>
              <w:adjustRightInd/>
              <w:jc w:val="center"/>
              <w:rPr>
                <w:rFonts w:hint="eastAsia" w:ascii="宋体" w:hAnsi="宋体" w:eastAsia="宋体" w:cs="宋体"/>
                <w:color w:val="auto"/>
                <w:kern w:val="0"/>
                <w:sz w:val="24"/>
                <w:szCs w:val="24"/>
                <w:highlight w:val="none"/>
              </w:rPr>
            </w:pPr>
          </w:p>
        </w:tc>
        <w:tc>
          <w:tcPr>
            <w:tcW w:w="2028" w:type="dxa"/>
            <w:vAlign w:val="center"/>
          </w:tcPr>
          <w:p w14:paraId="3522ED2E">
            <w:pPr>
              <w:keepNext w:val="0"/>
              <w:keepLines w:val="0"/>
              <w:widowControl/>
              <w:suppressLineNumbers w:val="0"/>
              <w:adjustRightInd/>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宽哥（药肥一体）</w:t>
            </w:r>
          </w:p>
        </w:tc>
        <w:tc>
          <w:tcPr>
            <w:tcW w:w="5008" w:type="dxa"/>
            <w:vAlign w:val="center"/>
          </w:tcPr>
          <w:p w14:paraId="4B9D12C2">
            <w:pPr>
              <w:keepNext w:val="0"/>
              <w:keepLines w:val="0"/>
              <w:widowControl/>
              <w:suppressLineNumbers w:val="0"/>
              <w:adjustRightInd/>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防治刺吸式害虫及地下害虫</w:t>
            </w:r>
          </w:p>
        </w:tc>
      </w:tr>
      <w:tr w14:paraId="69B2B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816" w:type="dxa"/>
            <w:vMerge w:val="continue"/>
            <w:vAlign w:val="center"/>
          </w:tcPr>
          <w:p w14:paraId="62796024">
            <w:pPr>
              <w:widowControl/>
              <w:adjustRightInd/>
              <w:jc w:val="center"/>
              <w:rPr>
                <w:rFonts w:hint="eastAsia" w:ascii="宋体" w:hAnsi="宋体" w:eastAsia="宋体" w:cs="宋体"/>
                <w:color w:val="auto"/>
                <w:kern w:val="0"/>
                <w:sz w:val="24"/>
                <w:szCs w:val="24"/>
                <w:highlight w:val="none"/>
              </w:rPr>
            </w:pPr>
          </w:p>
        </w:tc>
        <w:tc>
          <w:tcPr>
            <w:tcW w:w="840" w:type="dxa"/>
            <w:vMerge w:val="restart"/>
            <w:vAlign w:val="center"/>
          </w:tcPr>
          <w:p w14:paraId="060F9D59">
            <w:pPr>
              <w:widowControl w:val="0"/>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防病害类</w:t>
            </w:r>
          </w:p>
        </w:tc>
        <w:tc>
          <w:tcPr>
            <w:tcW w:w="2028" w:type="dxa"/>
            <w:vAlign w:val="center"/>
          </w:tcPr>
          <w:p w14:paraId="1697EF7B">
            <w:pPr>
              <w:keepNext w:val="0"/>
              <w:keepLines w:val="0"/>
              <w:widowControl/>
              <w:suppressLineNumbers w:val="0"/>
              <w:adjustRightInd/>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易植9号</w:t>
            </w:r>
          </w:p>
        </w:tc>
        <w:tc>
          <w:tcPr>
            <w:tcW w:w="5008" w:type="dxa"/>
            <w:vAlign w:val="center"/>
          </w:tcPr>
          <w:p w14:paraId="2ED2BF1A">
            <w:pPr>
              <w:keepNext w:val="0"/>
              <w:keepLines w:val="0"/>
              <w:widowControl/>
              <w:suppressLineNumbers w:val="0"/>
              <w:adjustRightInd/>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强力增效剂</w:t>
            </w:r>
          </w:p>
        </w:tc>
      </w:tr>
      <w:tr w14:paraId="05ECF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816" w:type="dxa"/>
            <w:vMerge w:val="continue"/>
            <w:vAlign w:val="center"/>
          </w:tcPr>
          <w:p w14:paraId="02AB2FDF">
            <w:pPr>
              <w:widowControl/>
              <w:adjustRightInd/>
              <w:jc w:val="center"/>
              <w:rPr>
                <w:rFonts w:hint="eastAsia" w:ascii="宋体" w:hAnsi="宋体" w:eastAsia="宋体" w:cs="宋体"/>
                <w:color w:val="auto"/>
                <w:kern w:val="0"/>
                <w:sz w:val="24"/>
                <w:szCs w:val="24"/>
                <w:highlight w:val="none"/>
              </w:rPr>
            </w:pPr>
          </w:p>
        </w:tc>
        <w:tc>
          <w:tcPr>
            <w:tcW w:w="840" w:type="dxa"/>
            <w:vMerge w:val="continue"/>
            <w:vAlign w:val="center"/>
          </w:tcPr>
          <w:p w14:paraId="5BD94273">
            <w:pPr>
              <w:widowControl w:val="0"/>
              <w:adjustRightInd/>
              <w:jc w:val="center"/>
              <w:rPr>
                <w:rFonts w:hint="eastAsia" w:ascii="宋体" w:hAnsi="宋体" w:eastAsia="宋体" w:cs="宋体"/>
                <w:color w:val="auto"/>
                <w:kern w:val="0"/>
                <w:sz w:val="24"/>
                <w:szCs w:val="24"/>
                <w:highlight w:val="none"/>
              </w:rPr>
            </w:pPr>
          </w:p>
        </w:tc>
        <w:tc>
          <w:tcPr>
            <w:tcW w:w="2028" w:type="dxa"/>
            <w:vAlign w:val="center"/>
          </w:tcPr>
          <w:p w14:paraId="00D4CC07">
            <w:pPr>
              <w:keepNext w:val="0"/>
              <w:keepLines w:val="0"/>
              <w:widowControl/>
              <w:suppressLineNumbers w:val="0"/>
              <w:adjustRightInd/>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易景5号</w:t>
            </w:r>
          </w:p>
        </w:tc>
        <w:tc>
          <w:tcPr>
            <w:tcW w:w="5008" w:type="dxa"/>
            <w:vAlign w:val="center"/>
          </w:tcPr>
          <w:p w14:paraId="073B4000">
            <w:pPr>
              <w:keepNext w:val="0"/>
              <w:keepLines w:val="0"/>
              <w:widowControl/>
              <w:suppressLineNumbers w:val="0"/>
              <w:adjustRightInd/>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防治黑斑，白粉，炭疽病</w:t>
            </w:r>
          </w:p>
        </w:tc>
      </w:tr>
      <w:tr w14:paraId="483AB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816" w:type="dxa"/>
            <w:vMerge w:val="continue"/>
            <w:vAlign w:val="center"/>
          </w:tcPr>
          <w:p w14:paraId="156B02BB">
            <w:pPr>
              <w:widowControl/>
              <w:adjustRightInd/>
              <w:jc w:val="center"/>
              <w:rPr>
                <w:rFonts w:hint="eastAsia" w:ascii="宋体" w:hAnsi="宋体" w:eastAsia="宋体" w:cs="宋体"/>
                <w:color w:val="auto"/>
                <w:kern w:val="0"/>
                <w:sz w:val="24"/>
                <w:szCs w:val="24"/>
                <w:highlight w:val="none"/>
              </w:rPr>
            </w:pPr>
          </w:p>
        </w:tc>
        <w:tc>
          <w:tcPr>
            <w:tcW w:w="840" w:type="dxa"/>
            <w:vMerge w:val="continue"/>
            <w:vAlign w:val="center"/>
          </w:tcPr>
          <w:p w14:paraId="336509C5">
            <w:pPr>
              <w:widowControl w:val="0"/>
              <w:adjustRightInd/>
              <w:jc w:val="center"/>
              <w:rPr>
                <w:rFonts w:hint="eastAsia" w:ascii="宋体" w:hAnsi="宋体" w:eastAsia="宋体" w:cs="宋体"/>
                <w:color w:val="auto"/>
                <w:kern w:val="0"/>
                <w:sz w:val="24"/>
                <w:szCs w:val="24"/>
                <w:highlight w:val="none"/>
              </w:rPr>
            </w:pPr>
          </w:p>
        </w:tc>
        <w:tc>
          <w:tcPr>
            <w:tcW w:w="2028" w:type="dxa"/>
            <w:vAlign w:val="center"/>
          </w:tcPr>
          <w:p w14:paraId="7A78D6B0">
            <w:pPr>
              <w:keepNext w:val="0"/>
              <w:keepLines w:val="0"/>
              <w:widowControl/>
              <w:suppressLineNumbers w:val="0"/>
              <w:adjustRightInd/>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百菌清</w:t>
            </w:r>
          </w:p>
        </w:tc>
        <w:tc>
          <w:tcPr>
            <w:tcW w:w="5008" w:type="dxa"/>
            <w:vAlign w:val="center"/>
          </w:tcPr>
          <w:p w14:paraId="1549AA6A">
            <w:pPr>
              <w:keepNext w:val="0"/>
              <w:keepLines w:val="0"/>
              <w:widowControl/>
              <w:suppressLineNumbers w:val="0"/>
              <w:adjustRightInd/>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防治黑斑，白粉，炭疽病</w:t>
            </w:r>
          </w:p>
        </w:tc>
      </w:tr>
      <w:tr w14:paraId="1A5BB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816" w:type="dxa"/>
            <w:vMerge w:val="continue"/>
            <w:vAlign w:val="center"/>
          </w:tcPr>
          <w:p w14:paraId="26C4492D">
            <w:pPr>
              <w:widowControl/>
              <w:adjustRightInd/>
              <w:jc w:val="center"/>
              <w:rPr>
                <w:rFonts w:hint="eastAsia" w:ascii="宋体" w:hAnsi="宋体" w:eastAsia="宋体" w:cs="宋体"/>
                <w:color w:val="auto"/>
                <w:kern w:val="0"/>
                <w:sz w:val="24"/>
                <w:szCs w:val="24"/>
                <w:highlight w:val="none"/>
              </w:rPr>
            </w:pPr>
          </w:p>
        </w:tc>
        <w:tc>
          <w:tcPr>
            <w:tcW w:w="840" w:type="dxa"/>
            <w:vMerge w:val="continue"/>
            <w:vAlign w:val="center"/>
          </w:tcPr>
          <w:p w14:paraId="48B0A33F">
            <w:pPr>
              <w:widowControl w:val="0"/>
              <w:adjustRightInd/>
              <w:jc w:val="center"/>
              <w:rPr>
                <w:rFonts w:hint="eastAsia" w:ascii="宋体" w:hAnsi="宋体" w:eastAsia="宋体" w:cs="宋体"/>
                <w:color w:val="auto"/>
                <w:kern w:val="0"/>
                <w:sz w:val="24"/>
                <w:szCs w:val="24"/>
                <w:highlight w:val="none"/>
              </w:rPr>
            </w:pPr>
          </w:p>
        </w:tc>
        <w:tc>
          <w:tcPr>
            <w:tcW w:w="2028" w:type="dxa"/>
            <w:vAlign w:val="center"/>
          </w:tcPr>
          <w:p w14:paraId="654D1726">
            <w:pPr>
              <w:keepNext w:val="0"/>
              <w:keepLines w:val="0"/>
              <w:widowControl/>
              <w:suppressLineNumbers w:val="0"/>
              <w:adjustRightInd/>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领托</w:t>
            </w:r>
          </w:p>
        </w:tc>
        <w:tc>
          <w:tcPr>
            <w:tcW w:w="5008" w:type="dxa"/>
            <w:vAlign w:val="center"/>
          </w:tcPr>
          <w:p w14:paraId="72277C02">
            <w:pPr>
              <w:keepNext w:val="0"/>
              <w:keepLines w:val="0"/>
              <w:widowControl/>
              <w:suppressLineNumbers w:val="0"/>
              <w:adjustRightInd/>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预防性杀菌剂</w:t>
            </w:r>
          </w:p>
        </w:tc>
      </w:tr>
      <w:tr w14:paraId="393D3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6" w:type="dxa"/>
            <w:vMerge w:val="continue"/>
            <w:vAlign w:val="center"/>
          </w:tcPr>
          <w:p w14:paraId="53643F87">
            <w:pPr>
              <w:widowControl/>
              <w:adjustRightInd/>
              <w:jc w:val="center"/>
              <w:rPr>
                <w:rFonts w:hint="eastAsia" w:ascii="宋体" w:hAnsi="宋体" w:eastAsia="宋体" w:cs="宋体"/>
                <w:color w:val="auto"/>
                <w:kern w:val="0"/>
                <w:sz w:val="24"/>
                <w:szCs w:val="24"/>
                <w:highlight w:val="none"/>
              </w:rPr>
            </w:pPr>
          </w:p>
        </w:tc>
        <w:tc>
          <w:tcPr>
            <w:tcW w:w="840" w:type="dxa"/>
            <w:vMerge w:val="restart"/>
            <w:vAlign w:val="center"/>
          </w:tcPr>
          <w:p w14:paraId="1957ED26">
            <w:pPr>
              <w:widowControl w:val="0"/>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肥料类</w:t>
            </w:r>
          </w:p>
        </w:tc>
        <w:tc>
          <w:tcPr>
            <w:tcW w:w="2028" w:type="dxa"/>
            <w:vAlign w:val="center"/>
          </w:tcPr>
          <w:p w14:paraId="07091742">
            <w:pPr>
              <w:keepNext w:val="0"/>
              <w:keepLines w:val="0"/>
              <w:widowControl/>
              <w:suppressLineNumbers w:val="0"/>
              <w:adjustRightInd/>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启耘</w:t>
            </w:r>
          </w:p>
        </w:tc>
        <w:tc>
          <w:tcPr>
            <w:tcW w:w="5008" w:type="dxa"/>
            <w:vAlign w:val="center"/>
          </w:tcPr>
          <w:p w14:paraId="50F3DF03">
            <w:pPr>
              <w:keepNext w:val="0"/>
              <w:keepLines w:val="0"/>
              <w:widowControl/>
              <w:suppressLineNumbers w:val="0"/>
              <w:adjustRightInd/>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大量元素水溶肥</w:t>
            </w:r>
          </w:p>
        </w:tc>
      </w:tr>
      <w:tr w14:paraId="44DDB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816" w:type="dxa"/>
            <w:vMerge w:val="continue"/>
            <w:vAlign w:val="center"/>
          </w:tcPr>
          <w:p w14:paraId="1B51C39B">
            <w:pPr>
              <w:widowControl/>
              <w:adjustRightInd/>
              <w:jc w:val="center"/>
              <w:rPr>
                <w:rFonts w:hint="eastAsia" w:ascii="宋体" w:hAnsi="宋体" w:eastAsia="宋体" w:cs="宋体"/>
                <w:color w:val="auto"/>
                <w:kern w:val="0"/>
                <w:sz w:val="24"/>
                <w:szCs w:val="24"/>
                <w:highlight w:val="none"/>
              </w:rPr>
            </w:pPr>
          </w:p>
        </w:tc>
        <w:tc>
          <w:tcPr>
            <w:tcW w:w="840" w:type="dxa"/>
            <w:vMerge w:val="continue"/>
            <w:vAlign w:val="center"/>
          </w:tcPr>
          <w:p w14:paraId="1C98E48A">
            <w:pPr>
              <w:widowControl w:val="0"/>
              <w:adjustRightInd/>
              <w:jc w:val="center"/>
              <w:rPr>
                <w:rFonts w:hint="eastAsia" w:ascii="宋体" w:hAnsi="宋体" w:eastAsia="宋体" w:cs="宋体"/>
                <w:color w:val="auto"/>
                <w:kern w:val="0"/>
                <w:sz w:val="24"/>
                <w:szCs w:val="24"/>
                <w:highlight w:val="none"/>
              </w:rPr>
            </w:pPr>
          </w:p>
        </w:tc>
        <w:tc>
          <w:tcPr>
            <w:tcW w:w="2028" w:type="dxa"/>
            <w:vAlign w:val="center"/>
          </w:tcPr>
          <w:p w14:paraId="6CEBB13C">
            <w:pPr>
              <w:keepNext w:val="0"/>
              <w:keepLines w:val="0"/>
              <w:widowControl/>
              <w:suppressLineNumbers w:val="0"/>
              <w:adjustRightInd/>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有机肥</w:t>
            </w:r>
          </w:p>
        </w:tc>
        <w:tc>
          <w:tcPr>
            <w:tcW w:w="5008" w:type="dxa"/>
            <w:vMerge w:val="restart"/>
            <w:vAlign w:val="center"/>
          </w:tcPr>
          <w:p w14:paraId="49B6C7AC">
            <w:pPr>
              <w:keepNext w:val="0"/>
              <w:keepLines w:val="0"/>
              <w:widowControl/>
              <w:suppressLineNumbers w:val="0"/>
              <w:adjustRightInd/>
              <w:jc w:val="center"/>
              <w:textAlignment w:val="center"/>
              <w:rPr>
                <w:rFonts w:hint="eastAsia" w:ascii="宋体" w:hAnsi="宋体" w:eastAsia="宋体" w:cs="宋体"/>
                <w:color w:val="auto"/>
                <w:kern w:val="2"/>
                <w:sz w:val="24"/>
                <w:szCs w:val="24"/>
                <w:highlight w:val="none"/>
                <w:lang w:val="en-US" w:eastAsia="zh-CN" w:bidi="ar-SA"/>
              </w:rPr>
            </w:pPr>
          </w:p>
        </w:tc>
      </w:tr>
      <w:tr w14:paraId="3D21E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816" w:type="dxa"/>
            <w:vMerge w:val="continue"/>
            <w:vAlign w:val="center"/>
          </w:tcPr>
          <w:p w14:paraId="464BCF83">
            <w:pPr>
              <w:widowControl/>
              <w:adjustRightInd/>
              <w:jc w:val="center"/>
              <w:rPr>
                <w:rFonts w:hint="eastAsia" w:ascii="宋体" w:hAnsi="宋体" w:eastAsia="宋体" w:cs="宋体"/>
                <w:color w:val="auto"/>
                <w:kern w:val="0"/>
                <w:sz w:val="24"/>
                <w:szCs w:val="24"/>
                <w:highlight w:val="none"/>
              </w:rPr>
            </w:pPr>
          </w:p>
        </w:tc>
        <w:tc>
          <w:tcPr>
            <w:tcW w:w="840" w:type="dxa"/>
            <w:vMerge w:val="continue"/>
            <w:vAlign w:val="center"/>
          </w:tcPr>
          <w:p w14:paraId="610C2C36">
            <w:pPr>
              <w:widowControl w:val="0"/>
              <w:adjustRightInd/>
              <w:jc w:val="center"/>
              <w:rPr>
                <w:rFonts w:hint="eastAsia" w:ascii="宋体" w:hAnsi="宋体" w:eastAsia="宋体" w:cs="宋体"/>
                <w:color w:val="auto"/>
                <w:kern w:val="0"/>
                <w:sz w:val="24"/>
                <w:szCs w:val="24"/>
                <w:highlight w:val="none"/>
              </w:rPr>
            </w:pPr>
          </w:p>
        </w:tc>
        <w:tc>
          <w:tcPr>
            <w:tcW w:w="2028" w:type="dxa"/>
            <w:vAlign w:val="center"/>
          </w:tcPr>
          <w:p w14:paraId="3C63EFA7">
            <w:pPr>
              <w:keepNext w:val="0"/>
              <w:keepLines w:val="0"/>
              <w:widowControl/>
              <w:suppressLineNumbers w:val="0"/>
              <w:adjustRightInd/>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无机复合肥</w:t>
            </w:r>
          </w:p>
        </w:tc>
        <w:tc>
          <w:tcPr>
            <w:tcW w:w="5008" w:type="dxa"/>
            <w:vMerge w:val="continue"/>
            <w:vAlign w:val="center"/>
          </w:tcPr>
          <w:p w14:paraId="462FF3CF">
            <w:pPr>
              <w:widowControl w:val="0"/>
              <w:adjustRightInd/>
              <w:jc w:val="center"/>
              <w:rPr>
                <w:rFonts w:hint="eastAsia" w:ascii="宋体" w:hAnsi="宋体" w:eastAsia="宋体" w:cs="宋体"/>
                <w:color w:val="auto"/>
                <w:kern w:val="0"/>
                <w:sz w:val="24"/>
                <w:szCs w:val="24"/>
                <w:highlight w:val="none"/>
              </w:rPr>
            </w:pPr>
          </w:p>
        </w:tc>
      </w:tr>
      <w:tr w14:paraId="4F7F8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816" w:type="dxa"/>
            <w:vMerge w:val="continue"/>
            <w:vAlign w:val="center"/>
          </w:tcPr>
          <w:p w14:paraId="756D4E8E">
            <w:pPr>
              <w:widowControl/>
              <w:adjustRightInd/>
              <w:jc w:val="center"/>
              <w:rPr>
                <w:rFonts w:hint="eastAsia" w:ascii="宋体" w:hAnsi="宋体" w:eastAsia="宋体" w:cs="宋体"/>
                <w:color w:val="auto"/>
                <w:kern w:val="0"/>
                <w:sz w:val="24"/>
                <w:szCs w:val="24"/>
                <w:highlight w:val="none"/>
              </w:rPr>
            </w:pPr>
          </w:p>
        </w:tc>
        <w:tc>
          <w:tcPr>
            <w:tcW w:w="840" w:type="dxa"/>
            <w:vMerge w:val="continue"/>
            <w:vAlign w:val="center"/>
          </w:tcPr>
          <w:p w14:paraId="0D935F54">
            <w:pPr>
              <w:widowControl w:val="0"/>
              <w:adjustRightInd/>
              <w:jc w:val="center"/>
              <w:rPr>
                <w:rFonts w:hint="eastAsia" w:ascii="宋体" w:hAnsi="宋体" w:eastAsia="宋体" w:cs="宋体"/>
                <w:color w:val="auto"/>
                <w:kern w:val="0"/>
                <w:sz w:val="24"/>
                <w:szCs w:val="24"/>
                <w:highlight w:val="none"/>
              </w:rPr>
            </w:pPr>
          </w:p>
        </w:tc>
        <w:tc>
          <w:tcPr>
            <w:tcW w:w="2028" w:type="dxa"/>
            <w:vAlign w:val="center"/>
          </w:tcPr>
          <w:p w14:paraId="3B5E1FBF">
            <w:pPr>
              <w:widowControl w:val="0"/>
              <w:adjustRightInd/>
              <w:spacing w:before="100" w:beforeAutospacing="1" w:after="100" w:afterAutospacing="1"/>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尿素</w:t>
            </w:r>
          </w:p>
        </w:tc>
        <w:tc>
          <w:tcPr>
            <w:tcW w:w="5008" w:type="dxa"/>
            <w:vMerge w:val="continue"/>
            <w:vAlign w:val="center"/>
          </w:tcPr>
          <w:p w14:paraId="0C16C1BA">
            <w:pPr>
              <w:widowControl w:val="0"/>
              <w:adjustRightInd/>
              <w:jc w:val="center"/>
              <w:rPr>
                <w:rFonts w:hint="eastAsia" w:ascii="宋体" w:hAnsi="宋体" w:eastAsia="宋体" w:cs="宋体"/>
                <w:color w:val="auto"/>
                <w:kern w:val="0"/>
                <w:sz w:val="24"/>
                <w:szCs w:val="24"/>
                <w:highlight w:val="none"/>
              </w:rPr>
            </w:pPr>
          </w:p>
        </w:tc>
      </w:tr>
      <w:tr w14:paraId="25989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816" w:type="dxa"/>
            <w:vMerge w:val="continue"/>
            <w:vAlign w:val="center"/>
          </w:tcPr>
          <w:p w14:paraId="6C2F6060">
            <w:pPr>
              <w:widowControl/>
              <w:adjustRightInd/>
              <w:jc w:val="center"/>
              <w:rPr>
                <w:rFonts w:hint="eastAsia" w:ascii="宋体" w:hAnsi="宋体" w:eastAsia="宋体" w:cs="宋体"/>
                <w:color w:val="auto"/>
                <w:kern w:val="0"/>
                <w:sz w:val="24"/>
                <w:szCs w:val="24"/>
                <w:highlight w:val="none"/>
              </w:rPr>
            </w:pPr>
          </w:p>
        </w:tc>
        <w:tc>
          <w:tcPr>
            <w:tcW w:w="840" w:type="dxa"/>
            <w:vMerge w:val="restart"/>
            <w:vAlign w:val="center"/>
          </w:tcPr>
          <w:p w14:paraId="5FD696D8">
            <w:pPr>
              <w:widowControl w:val="0"/>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生物防治</w:t>
            </w:r>
          </w:p>
        </w:tc>
        <w:tc>
          <w:tcPr>
            <w:tcW w:w="2028" w:type="dxa"/>
            <w:vAlign w:val="center"/>
          </w:tcPr>
          <w:p w14:paraId="25B9CBC0">
            <w:pPr>
              <w:widowControl w:val="0"/>
              <w:adjustRightInd/>
              <w:spacing w:before="100" w:beforeAutospacing="1" w:after="100" w:afterAutospacing="1"/>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花绒寄甲</w:t>
            </w:r>
          </w:p>
        </w:tc>
        <w:tc>
          <w:tcPr>
            <w:tcW w:w="5008" w:type="dxa"/>
            <w:vAlign w:val="center"/>
          </w:tcPr>
          <w:p w14:paraId="7CD5C579">
            <w:pPr>
              <w:widowControl w:val="0"/>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易遭受天牛危害树木</w:t>
            </w:r>
          </w:p>
        </w:tc>
      </w:tr>
      <w:tr w14:paraId="1726D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816" w:type="dxa"/>
            <w:vMerge w:val="continue"/>
            <w:vAlign w:val="center"/>
          </w:tcPr>
          <w:p w14:paraId="1D863BC0">
            <w:pPr>
              <w:widowControl/>
              <w:adjustRightInd/>
              <w:jc w:val="center"/>
              <w:rPr>
                <w:rFonts w:hint="eastAsia" w:ascii="宋体" w:hAnsi="宋体" w:eastAsia="宋体" w:cs="宋体"/>
                <w:color w:val="auto"/>
                <w:kern w:val="0"/>
                <w:sz w:val="24"/>
                <w:szCs w:val="24"/>
                <w:highlight w:val="none"/>
              </w:rPr>
            </w:pPr>
          </w:p>
        </w:tc>
        <w:tc>
          <w:tcPr>
            <w:tcW w:w="840" w:type="dxa"/>
            <w:vMerge w:val="continue"/>
            <w:vAlign w:val="center"/>
          </w:tcPr>
          <w:p w14:paraId="68AE4FCC">
            <w:pPr>
              <w:widowControl w:val="0"/>
              <w:adjustRightInd/>
              <w:jc w:val="center"/>
              <w:rPr>
                <w:rFonts w:hint="eastAsia" w:ascii="宋体" w:hAnsi="宋体" w:eastAsia="宋体" w:cs="宋体"/>
                <w:color w:val="auto"/>
                <w:kern w:val="0"/>
                <w:sz w:val="24"/>
                <w:szCs w:val="24"/>
                <w:highlight w:val="none"/>
              </w:rPr>
            </w:pPr>
          </w:p>
        </w:tc>
        <w:tc>
          <w:tcPr>
            <w:tcW w:w="2028" w:type="dxa"/>
            <w:vAlign w:val="center"/>
          </w:tcPr>
          <w:p w14:paraId="4801B5AA">
            <w:pPr>
              <w:widowControl w:val="0"/>
              <w:adjustRightInd/>
              <w:spacing w:before="100" w:beforeAutospacing="1" w:after="100" w:afterAutospacing="1"/>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瓢虫</w:t>
            </w:r>
          </w:p>
        </w:tc>
        <w:tc>
          <w:tcPr>
            <w:tcW w:w="5008" w:type="dxa"/>
            <w:vAlign w:val="center"/>
          </w:tcPr>
          <w:p w14:paraId="35DBCF55">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易遭受红蜘蛛危害乔灌木</w:t>
            </w:r>
          </w:p>
        </w:tc>
      </w:tr>
      <w:tr w14:paraId="27C6F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816" w:type="dxa"/>
            <w:vMerge w:val="continue"/>
            <w:vAlign w:val="center"/>
          </w:tcPr>
          <w:p w14:paraId="799D299B">
            <w:pPr>
              <w:widowControl/>
              <w:adjustRightInd/>
              <w:jc w:val="center"/>
              <w:rPr>
                <w:rFonts w:hint="eastAsia" w:ascii="宋体" w:hAnsi="宋体" w:eastAsia="宋体" w:cs="宋体"/>
                <w:color w:val="auto"/>
                <w:kern w:val="0"/>
                <w:sz w:val="24"/>
                <w:szCs w:val="24"/>
                <w:highlight w:val="none"/>
              </w:rPr>
            </w:pPr>
          </w:p>
        </w:tc>
        <w:tc>
          <w:tcPr>
            <w:tcW w:w="840" w:type="dxa"/>
            <w:vMerge w:val="continue"/>
            <w:vAlign w:val="center"/>
          </w:tcPr>
          <w:p w14:paraId="69638407">
            <w:pPr>
              <w:widowControl w:val="0"/>
              <w:adjustRightInd/>
              <w:jc w:val="center"/>
              <w:rPr>
                <w:rFonts w:hint="eastAsia" w:ascii="宋体" w:hAnsi="宋体" w:eastAsia="宋体" w:cs="宋体"/>
                <w:color w:val="auto"/>
                <w:kern w:val="0"/>
                <w:sz w:val="24"/>
                <w:szCs w:val="24"/>
                <w:highlight w:val="none"/>
              </w:rPr>
            </w:pPr>
          </w:p>
        </w:tc>
        <w:tc>
          <w:tcPr>
            <w:tcW w:w="2028" w:type="dxa"/>
            <w:vAlign w:val="center"/>
          </w:tcPr>
          <w:p w14:paraId="495FDAD6">
            <w:pPr>
              <w:widowControl w:val="0"/>
              <w:adjustRightInd/>
              <w:spacing w:before="100" w:beforeAutospacing="1" w:after="100" w:afterAutospacing="1"/>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捕食螨</w:t>
            </w:r>
          </w:p>
        </w:tc>
        <w:tc>
          <w:tcPr>
            <w:tcW w:w="5008" w:type="dxa"/>
            <w:vAlign w:val="center"/>
          </w:tcPr>
          <w:p w14:paraId="3CD8DD67">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易遭受蚜虫危害树木</w:t>
            </w:r>
          </w:p>
        </w:tc>
      </w:tr>
      <w:tr w14:paraId="3B172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816" w:type="dxa"/>
            <w:vAlign w:val="center"/>
          </w:tcPr>
          <w:p w14:paraId="40B4D290">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管理要求</w:t>
            </w:r>
          </w:p>
        </w:tc>
        <w:tc>
          <w:tcPr>
            <w:tcW w:w="7876" w:type="dxa"/>
            <w:gridSpan w:val="3"/>
            <w:vAlign w:val="center"/>
          </w:tcPr>
          <w:p w14:paraId="018B9981">
            <w:pPr>
              <w:widowControl w:val="0"/>
              <w:adjustRightInd/>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1.投标报价中已包含中标人提供全年所有费用，包干管理，若有不足，由中标人无条件自行保质保量提供。</w:t>
            </w:r>
          </w:p>
          <w:p w14:paraId="079A870D">
            <w:pPr>
              <w:widowControl w:val="0"/>
              <w:adjustRightInd/>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2.各材料具体种类及数量需经采购人确认，并根据需要提供样品，样品送检，合格者进入采购流程，不合格淘汰重新提供。采购人有权根据需要进行种类和数量的调整。</w:t>
            </w:r>
          </w:p>
          <w:p w14:paraId="6EE5DCF0">
            <w:pPr>
              <w:widowControl w:val="0"/>
              <w:adjustRightInd/>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3.若采用生物防治取得一定效果，化学虫害药剂要求可适当降低。</w:t>
            </w:r>
          </w:p>
          <w:p w14:paraId="37B47DF8">
            <w:pPr>
              <w:widowControl w:val="0"/>
              <w:adjustRightInd/>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4.复合肥必须由正规厂家生产，包装标明品牌及厂家名称，符合GB15063-2009《复混肥料（复合肥料）》国家标准。有机肥必须由正规厂家生产，包装标明品牌及厂家名称，各项指标符合国家制定的有机肥标准，有肥料登记证的产品。</w:t>
            </w:r>
          </w:p>
        </w:tc>
      </w:tr>
    </w:tbl>
    <w:p w14:paraId="6E81CBE9">
      <w:pPr>
        <w:widowControl/>
        <w:tabs>
          <w:tab w:val="left" w:pos="851"/>
        </w:tabs>
        <w:adjustRightInd/>
        <w:spacing w:line="360" w:lineRule="auto"/>
        <w:ind w:firstLine="480" w:firstLineChars="200"/>
        <w:rPr>
          <w:rFonts w:hint="eastAsia" w:ascii="宋体" w:hAnsi="宋体" w:eastAsia="宋体" w:cs="宋体"/>
          <w:b/>
          <w:bCs w:val="0"/>
          <w:color w:val="auto"/>
          <w:kern w:val="0"/>
          <w:sz w:val="24"/>
          <w:highlight w:val="none"/>
          <w:lang w:val="en-US" w:eastAsia="zh-CN"/>
        </w:rPr>
      </w:pPr>
      <w:r>
        <w:rPr>
          <w:rFonts w:hint="eastAsia" w:ascii="宋体" w:hAnsi="宋体" w:cs="宋体"/>
          <w:b/>
          <w:bCs w:val="0"/>
          <w:color w:val="auto"/>
          <w:kern w:val="0"/>
          <w:sz w:val="24"/>
          <w:highlight w:val="none"/>
          <w:lang w:val="en-US" w:eastAsia="zh-CN"/>
        </w:rPr>
        <w:t>③</w:t>
      </w:r>
      <w:r>
        <w:rPr>
          <w:rFonts w:hint="eastAsia" w:ascii="宋体" w:hAnsi="宋体" w:eastAsia="宋体" w:cs="宋体"/>
          <w:b/>
          <w:bCs w:val="0"/>
          <w:color w:val="auto"/>
          <w:kern w:val="0"/>
          <w:sz w:val="24"/>
          <w:highlight w:val="none"/>
          <w:lang w:val="en-US" w:eastAsia="zh-CN"/>
        </w:rPr>
        <w:t>花卉布置及节日氛围营造</w:t>
      </w:r>
    </w:p>
    <w:tbl>
      <w:tblPr>
        <w:tblStyle w:val="62"/>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708"/>
        <w:gridCol w:w="1680"/>
        <w:gridCol w:w="2942"/>
        <w:gridCol w:w="2914"/>
      </w:tblGrid>
      <w:tr w14:paraId="697D5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vMerge w:val="restart"/>
            <w:vAlign w:val="center"/>
          </w:tcPr>
          <w:p w14:paraId="24EAF242">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节日氛围营造数量要求</w:t>
            </w:r>
          </w:p>
        </w:tc>
        <w:tc>
          <w:tcPr>
            <w:tcW w:w="708" w:type="dxa"/>
            <w:vMerge w:val="restart"/>
            <w:vAlign w:val="center"/>
          </w:tcPr>
          <w:p w14:paraId="27B19D27">
            <w:pPr>
              <w:widowControl/>
              <w:adjustRightInd/>
              <w:jc w:val="left"/>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kern w:val="0"/>
                <w:sz w:val="24"/>
                <w:szCs w:val="24"/>
                <w:highlight w:val="none"/>
                <w:lang w:eastAsia="zh-CN"/>
              </w:rPr>
              <w:t>日湖公园</w:t>
            </w:r>
          </w:p>
        </w:tc>
        <w:tc>
          <w:tcPr>
            <w:tcW w:w="1680" w:type="dxa"/>
            <w:vAlign w:val="center"/>
          </w:tcPr>
          <w:p w14:paraId="5A1B7136">
            <w:pPr>
              <w:widowControl/>
              <w:adjustRightInd/>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mc:AlternateContent>
                <mc:Choice Requires="wps">
                  <w:drawing>
                    <wp:anchor distT="0" distB="0" distL="114300" distR="114300" simplePos="0" relativeHeight="251665408" behindDoc="0" locked="0" layoutInCell="1" allowOverlap="1">
                      <wp:simplePos x="0" y="0"/>
                      <wp:positionH relativeFrom="column">
                        <wp:posOffset>-27305</wp:posOffset>
                      </wp:positionH>
                      <wp:positionV relativeFrom="paragraph">
                        <wp:posOffset>5715</wp:posOffset>
                      </wp:positionV>
                      <wp:extent cx="881380" cy="316865"/>
                      <wp:effectExtent l="1905" t="4445" r="12065" b="21590"/>
                      <wp:wrapNone/>
                      <wp:docPr id="28" name="直线 2"/>
                      <wp:cNvGraphicFramePr/>
                      <a:graphic xmlns:a="http://schemas.openxmlformats.org/drawingml/2006/main">
                        <a:graphicData uri="http://schemas.microsoft.com/office/word/2010/wordprocessingShape">
                          <wps:wsp>
                            <wps:cNvCnPr/>
                            <wps:spPr>
                              <a:xfrm>
                                <a:off x="0" y="0"/>
                                <a:ext cx="881380" cy="31686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2" o:spid="_x0000_s1026" o:spt="20" style="position:absolute;left:0pt;margin-left:-2.15pt;margin-top:0.45pt;height:24.95pt;width:69.4pt;z-index:251665408;mso-width-relative:page;mso-height-relative:page;" filled="f" stroked="t" coordsize="21600,21600" o:gfxdata="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l6uOjtUAAAAGAQAADwAAAAAAAAABACAAAAAiAAAAZHJzL2Rvd25yZXYueG1sUEsBAhQAFAAAAAgA&#10;h07iQF0ubt3vAQAA7gMAAA4AAAAAAAAAAQAgAAAAJAEAAGRycy9lMm9Eb2MueG1sUEsFBgAAAAAG&#10;AAYAWQEAAIUFAAAAAA==&#10;">
                      <v:fill on="f" focussize="0,0"/>
                      <v:stroke color="#000000" joinstyle="round"/>
                      <v:imagedata o:title=""/>
                      <o:lock v:ext="edit" aspectratio="f"/>
                    </v:line>
                  </w:pict>
                </mc:Fallback>
              </mc:AlternateContent>
            </w:r>
            <w:r>
              <w:rPr>
                <w:rFonts w:hint="eastAsia" w:ascii="宋体" w:hAnsi="宋体" w:eastAsia="宋体" w:cs="宋体"/>
                <w:color w:val="auto"/>
                <w:kern w:val="0"/>
                <w:sz w:val="24"/>
                <w:szCs w:val="24"/>
                <w:highlight w:val="none"/>
              </w:rPr>
              <w:t>节日名称</w:t>
            </w:r>
          </w:p>
          <w:p w14:paraId="3D07F839">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项目内容</w:t>
            </w:r>
          </w:p>
        </w:tc>
        <w:tc>
          <w:tcPr>
            <w:tcW w:w="2942" w:type="dxa"/>
            <w:vAlign w:val="center"/>
          </w:tcPr>
          <w:p w14:paraId="586E3462">
            <w:pPr>
              <w:widowControl/>
              <w:adjustRightInd/>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规格</w:t>
            </w:r>
          </w:p>
        </w:tc>
        <w:tc>
          <w:tcPr>
            <w:tcW w:w="2914" w:type="dxa"/>
            <w:vAlign w:val="center"/>
          </w:tcPr>
          <w:p w14:paraId="526AE79D">
            <w:pPr>
              <w:widowControl/>
              <w:adjustRightInd/>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备注</w:t>
            </w:r>
          </w:p>
        </w:tc>
      </w:tr>
      <w:tr w14:paraId="564F0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733" w:type="dxa"/>
            <w:vMerge w:val="continue"/>
            <w:vAlign w:val="center"/>
          </w:tcPr>
          <w:p w14:paraId="46271008">
            <w:pPr>
              <w:widowControl/>
              <w:adjustRightInd/>
              <w:ind w:firstLine="480" w:firstLineChars="200"/>
              <w:jc w:val="center"/>
              <w:rPr>
                <w:rFonts w:hint="eastAsia" w:ascii="宋体" w:hAnsi="宋体" w:eastAsia="宋体" w:cs="宋体"/>
                <w:color w:val="auto"/>
                <w:kern w:val="0"/>
                <w:sz w:val="24"/>
                <w:szCs w:val="24"/>
                <w:highlight w:val="none"/>
              </w:rPr>
            </w:pPr>
          </w:p>
        </w:tc>
        <w:tc>
          <w:tcPr>
            <w:tcW w:w="708" w:type="dxa"/>
            <w:vMerge w:val="continue"/>
            <w:vAlign w:val="center"/>
          </w:tcPr>
          <w:p w14:paraId="45168E13">
            <w:pPr>
              <w:widowControl/>
              <w:adjustRightInd/>
              <w:ind w:firstLine="480" w:firstLineChars="200"/>
              <w:jc w:val="left"/>
              <w:rPr>
                <w:rFonts w:hint="eastAsia" w:ascii="宋体" w:hAnsi="宋体" w:eastAsia="宋体" w:cs="宋体"/>
                <w:color w:val="auto"/>
                <w:kern w:val="0"/>
                <w:sz w:val="24"/>
                <w:szCs w:val="24"/>
                <w:highlight w:val="none"/>
              </w:rPr>
            </w:pPr>
          </w:p>
        </w:tc>
        <w:tc>
          <w:tcPr>
            <w:tcW w:w="1680" w:type="dxa"/>
            <w:vAlign w:val="center"/>
          </w:tcPr>
          <w:p w14:paraId="4956A646">
            <w:pPr>
              <w:widowControl/>
              <w:adjustRightInd/>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日常时令花卉</w:t>
            </w:r>
          </w:p>
        </w:tc>
        <w:tc>
          <w:tcPr>
            <w:tcW w:w="2942" w:type="dxa"/>
            <w:vAlign w:val="center"/>
          </w:tcPr>
          <w:p w14:paraId="70049896">
            <w:pPr>
              <w:widowControl/>
              <w:adjustRightInd/>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1500㎡，全年摆种</w:t>
            </w:r>
          </w:p>
        </w:tc>
        <w:tc>
          <w:tcPr>
            <w:tcW w:w="2914" w:type="dxa"/>
            <w:vMerge w:val="restart"/>
            <w:vAlign w:val="center"/>
          </w:tcPr>
          <w:p w14:paraId="3F57C84D">
            <w:pPr>
              <w:widowControl/>
              <w:adjustRightInd/>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一年更换不少于6次，要求精品花卉（详见备选花材目录 附件3）。每次更换方案报采购单位审核。</w:t>
            </w:r>
          </w:p>
        </w:tc>
      </w:tr>
      <w:tr w14:paraId="183E0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733" w:type="dxa"/>
            <w:vMerge w:val="continue"/>
            <w:vAlign w:val="center"/>
          </w:tcPr>
          <w:p w14:paraId="3869A1D6">
            <w:pPr>
              <w:widowControl/>
              <w:adjustRightInd/>
              <w:ind w:firstLine="240" w:firstLineChars="100"/>
              <w:jc w:val="left"/>
              <w:rPr>
                <w:rFonts w:hint="eastAsia" w:ascii="宋体" w:hAnsi="宋体" w:eastAsia="宋体" w:cs="宋体"/>
                <w:color w:val="auto"/>
                <w:sz w:val="24"/>
                <w:szCs w:val="24"/>
                <w:highlight w:val="none"/>
              </w:rPr>
            </w:pPr>
          </w:p>
        </w:tc>
        <w:tc>
          <w:tcPr>
            <w:tcW w:w="708" w:type="dxa"/>
            <w:vMerge w:val="continue"/>
            <w:vAlign w:val="center"/>
          </w:tcPr>
          <w:p w14:paraId="725672CD">
            <w:pPr>
              <w:widowControl/>
              <w:adjustRightInd/>
              <w:ind w:firstLine="240" w:firstLineChars="100"/>
              <w:jc w:val="left"/>
              <w:rPr>
                <w:rFonts w:hint="eastAsia" w:ascii="宋体" w:hAnsi="宋体" w:eastAsia="宋体" w:cs="宋体"/>
                <w:color w:val="auto"/>
                <w:sz w:val="24"/>
                <w:szCs w:val="24"/>
                <w:highlight w:val="none"/>
              </w:rPr>
            </w:pPr>
          </w:p>
        </w:tc>
        <w:tc>
          <w:tcPr>
            <w:tcW w:w="1680" w:type="dxa"/>
            <w:vAlign w:val="center"/>
          </w:tcPr>
          <w:p w14:paraId="07CD34EC">
            <w:pPr>
              <w:widowControl/>
              <w:adjustRightInd/>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节日时令花卉</w:t>
            </w:r>
          </w:p>
        </w:tc>
        <w:tc>
          <w:tcPr>
            <w:tcW w:w="2942" w:type="dxa"/>
            <w:vAlign w:val="center"/>
          </w:tcPr>
          <w:p w14:paraId="14E301C9">
            <w:pPr>
              <w:widowControl/>
              <w:adjustRightInd/>
              <w:jc w:val="left"/>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特定节庆期间摆放，约200㎡，按</w:t>
            </w:r>
            <w:r>
              <w:rPr>
                <w:rFonts w:hint="eastAsia" w:ascii="宋体" w:hAnsi="宋体" w:cs="宋体"/>
                <w:color w:val="auto"/>
                <w:kern w:val="0"/>
                <w:sz w:val="24"/>
                <w:szCs w:val="24"/>
                <w:highlight w:val="none"/>
                <w:lang w:val="en-US" w:eastAsia="zh-CN"/>
              </w:rPr>
              <w:t>实</w:t>
            </w:r>
            <w:r>
              <w:rPr>
                <w:rFonts w:hint="eastAsia" w:ascii="宋体" w:hAnsi="宋体" w:eastAsia="宋体" w:cs="宋体"/>
                <w:color w:val="auto"/>
                <w:kern w:val="0"/>
                <w:sz w:val="24"/>
                <w:szCs w:val="24"/>
                <w:highlight w:val="none"/>
                <w:lang w:val="en-US" w:eastAsia="zh-CN"/>
              </w:rPr>
              <w:t>结算</w:t>
            </w:r>
          </w:p>
        </w:tc>
        <w:tc>
          <w:tcPr>
            <w:tcW w:w="2914" w:type="dxa"/>
            <w:vMerge w:val="continue"/>
            <w:vAlign w:val="center"/>
          </w:tcPr>
          <w:p w14:paraId="395C46F2">
            <w:pPr>
              <w:widowControl/>
              <w:adjustRightInd/>
              <w:ind w:firstLine="240" w:firstLineChars="100"/>
              <w:jc w:val="left"/>
              <w:rPr>
                <w:rFonts w:hint="eastAsia" w:ascii="宋体" w:hAnsi="宋体" w:eastAsia="宋体" w:cs="宋体"/>
                <w:color w:val="auto"/>
                <w:kern w:val="0"/>
                <w:sz w:val="24"/>
                <w:szCs w:val="24"/>
                <w:highlight w:val="none"/>
                <w:lang w:val="en-US" w:eastAsia="zh-CN"/>
              </w:rPr>
            </w:pPr>
          </w:p>
        </w:tc>
      </w:tr>
      <w:tr w14:paraId="73BF7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733" w:type="dxa"/>
            <w:vMerge w:val="continue"/>
            <w:vAlign w:val="center"/>
          </w:tcPr>
          <w:p w14:paraId="19ACB4B5">
            <w:pPr>
              <w:widowControl/>
              <w:adjustRightInd/>
              <w:ind w:firstLine="480" w:firstLineChars="200"/>
              <w:jc w:val="center"/>
              <w:rPr>
                <w:rFonts w:hint="eastAsia" w:ascii="宋体" w:hAnsi="宋体" w:eastAsia="宋体" w:cs="宋体"/>
                <w:color w:val="auto"/>
                <w:kern w:val="0"/>
                <w:sz w:val="24"/>
                <w:szCs w:val="24"/>
                <w:highlight w:val="none"/>
              </w:rPr>
            </w:pPr>
          </w:p>
        </w:tc>
        <w:tc>
          <w:tcPr>
            <w:tcW w:w="708" w:type="dxa"/>
            <w:vMerge w:val="continue"/>
            <w:vAlign w:val="center"/>
          </w:tcPr>
          <w:p w14:paraId="49B1B7F7">
            <w:pPr>
              <w:widowControl/>
              <w:adjustRightInd/>
              <w:ind w:firstLine="480" w:firstLineChars="200"/>
              <w:jc w:val="left"/>
              <w:rPr>
                <w:rFonts w:hint="eastAsia" w:ascii="宋体" w:hAnsi="宋体" w:eastAsia="宋体" w:cs="宋体"/>
                <w:color w:val="auto"/>
                <w:kern w:val="0"/>
                <w:sz w:val="24"/>
                <w:szCs w:val="24"/>
                <w:highlight w:val="none"/>
              </w:rPr>
            </w:pPr>
          </w:p>
        </w:tc>
        <w:tc>
          <w:tcPr>
            <w:tcW w:w="1680" w:type="dxa"/>
            <w:vAlign w:val="center"/>
          </w:tcPr>
          <w:p w14:paraId="79B15332">
            <w:pPr>
              <w:widowControl/>
              <w:adjustRightInd/>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小品</w:t>
            </w:r>
          </w:p>
        </w:tc>
        <w:tc>
          <w:tcPr>
            <w:tcW w:w="2942" w:type="dxa"/>
            <w:vAlign w:val="center"/>
          </w:tcPr>
          <w:p w14:paraId="590EA16A">
            <w:pPr>
              <w:widowControl/>
              <w:adjustRightInd/>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春节期间或其他特定节庆期间摆放，按实结算</w:t>
            </w:r>
          </w:p>
        </w:tc>
        <w:tc>
          <w:tcPr>
            <w:tcW w:w="2914" w:type="dxa"/>
            <w:vAlign w:val="center"/>
          </w:tcPr>
          <w:p w14:paraId="6D37B8CF">
            <w:pPr>
              <w:widowControl/>
              <w:adjustRightInd/>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材质可为金属烤漆、玻璃钢、亚克力等，以实际效果确定</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方案报采购单位审核</w:t>
            </w:r>
            <w:r>
              <w:rPr>
                <w:rFonts w:hint="eastAsia" w:ascii="宋体" w:hAnsi="宋体" w:eastAsia="宋体" w:cs="宋体"/>
                <w:color w:val="auto"/>
                <w:kern w:val="0"/>
                <w:sz w:val="24"/>
                <w:szCs w:val="24"/>
                <w:highlight w:val="none"/>
              </w:rPr>
              <w:t>。</w:t>
            </w:r>
          </w:p>
        </w:tc>
      </w:tr>
      <w:tr w14:paraId="4182A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733" w:type="dxa"/>
            <w:vMerge w:val="continue"/>
            <w:vAlign w:val="center"/>
          </w:tcPr>
          <w:p w14:paraId="5F62ABB3">
            <w:pPr>
              <w:widowControl/>
              <w:adjustRightInd/>
              <w:ind w:firstLine="480" w:firstLineChars="200"/>
              <w:jc w:val="center"/>
              <w:rPr>
                <w:rFonts w:hint="eastAsia" w:ascii="宋体" w:hAnsi="宋体" w:eastAsia="宋体" w:cs="宋体"/>
                <w:color w:val="auto"/>
                <w:kern w:val="0"/>
                <w:sz w:val="24"/>
                <w:szCs w:val="24"/>
                <w:highlight w:val="none"/>
              </w:rPr>
            </w:pPr>
          </w:p>
        </w:tc>
        <w:tc>
          <w:tcPr>
            <w:tcW w:w="708" w:type="dxa"/>
            <w:vMerge w:val="continue"/>
            <w:vAlign w:val="center"/>
          </w:tcPr>
          <w:p w14:paraId="7233B601">
            <w:pPr>
              <w:widowControl/>
              <w:adjustRightInd/>
              <w:ind w:firstLine="480" w:firstLineChars="200"/>
              <w:jc w:val="left"/>
              <w:rPr>
                <w:rFonts w:hint="eastAsia" w:ascii="宋体" w:hAnsi="宋体" w:eastAsia="宋体" w:cs="宋体"/>
                <w:color w:val="auto"/>
                <w:kern w:val="0"/>
                <w:sz w:val="24"/>
                <w:szCs w:val="24"/>
                <w:highlight w:val="none"/>
              </w:rPr>
            </w:pPr>
          </w:p>
        </w:tc>
        <w:tc>
          <w:tcPr>
            <w:tcW w:w="1680" w:type="dxa"/>
            <w:vAlign w:val="center"/>
          </w:tcPr>
          <w:p w14:paraId="2C5DA259">
            <w:pPr>
              <w:widowControl/>
              <w:adjustRightInd/>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国旗</w:t>
            </w:r>
          </w:p>
        </w:tc>
        <w:tc>
          <w:tcPr>
            <w:tcW w:w="2942" w:type="dxa"/>
            <w:vAlign w:val="center"/>
          </w:tcPr>
          <w:p w14:paraId="26C7F05B">
            <w:pPr>
              <w:widowControl/>
              <w:adjustRightInd/>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国庆期间，4</w:t>
            </w:r>
            <w:r>
              <w:rPr>
                <w:rFonts w:hint="eastAsia" w:ascii="宋体" w:hAnsi="宋体" w:eastAsia="宋体" w:cs="宋体"/>
                <w:color w:val="auto"/>
                <w:kern w:val="0"/>
                <w:sz w:val="24"/>
                <w:szCs w:val="24"/>
                <w:highlight w:val="none"/>
              </w:rPr>
              <w:t>号</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64cm</w:t>
            </w:r>
            <w:r>
              <w:rPr>
                <w:rFonts w:hint="eastAsia" w:ascii="宋体" w:hAnsi="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lang w:val="en-US" w:eastAsia="zh-CN"/>
              </w:rPr>
              <w:t>96cm</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国旗</w:t>
            </w:r>
            <w:r>
              <w:rPr>
                <w:rFonts w:hint="eastAsia" w:ascii="宋体" w:hAnsi="宋体" w:eastAsia="宋体" w:cs="宋体"/>
                <w:color w:val="auto"/>
                <w:kern w:val="0"/>
                <w:sz w:val="24"/>
                <w:szCs w:val="24"/>
                <w:highlight w:val="none"/>
                <w:lang w:val="en-US" w:eastAsia="zh-CN"/>
              </w:rPr>
              <w:t>20</w:t>
            </w:r>
            <w:r>
              <w:rPr>
                <w:rFonts w:hint="eastAsia" w:ascii="宋体" w:hAnsi="宋体" w:eastAsia="宋体" w:cs="宋体"/>
                <w:color w:val="auto"/>
                <w:kern w:val="0"/>
                <w:sz w:val="24"/>
                <w:szCs w:val="24"/>
                <w:highlight w:val="none"/>
              </w:rPr>
              <w:t>面，</w:t>
            </w: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号国旗</w:t>
            </w:r>
            <w:r>
              <w:rPr>
                <w:rFonts w:hint="eastAsia" w:ascii="宋体" w:hAnsi="宋体" w:eastAsia="宋体" w:cs="宋体"/>
                <w:color w:val="auto"/>
                <w:kern w:val="0"/>
                <w:sz w:val="24"/>
                <w:szCs w:val="24"/>
                <w:highlight w:val="none"/>
                <w:lang w:val="en-US" w:eastAsia="zh-CN"/>
              </w:rPr>
              <w:t>200面，按实结算</w:t>
            </w:r>
          </w:p>
        </w:tc>
        <w:tc>
          <w:tcPr>
            <w:tcW w:w="2914" w:type="dxa"/>
            <w:vAlign w:val="center"/>
          </w:tcPr>
          <w:p w14:paraId="270C41CA">
            <w:pPr>
              <w:widowControl/>
              <w:adjustRightInd/>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包括国旗不锈钢支架和固定模具</w:t>
            </w:r>
          </w:p>
        </w:tc>
      </w:tr>
      <w:tr w14:paraId="18D1D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733" w:type="dxa"/>
            <w:vMerge w:val="continue"/>
            <w:vAlign w:val="center"/>
          </w:tcPr>
          <w:p w14:paraId="0D44F1FA">
            <w:pPr>
              <w:widowControl/>
              <w:adjustRightInd/>
              <w:ind w:firstLine="480" w:firstLineChars="200"/>
              <w:jc w:val="center"/>
              <w:rPr>
                <w:rFonts w:hint="eastAsia" w:ascii="宋体" w:hAnsi="宋体" w:eastAsia="宋体" w:cs="宋体"/>
                <w:color w:val="auto"/>
                <w:kern w:val="0"/>
                <w:sz w:val="24"/>
                <w:szCs w:val="24"/>
                <w:highlight w:val="none"/>
              </w:rPr>
            </w:pPr>
          </w:p>
        </w:tc>
        <w:tc>
          <w:tcPr>
            <w:tcW w:w="708" w:type="dxa"/>
            <w:vMerge w:val="continue"/>
            <w:vAlign w:val="center"/>
          </w:tcPr>
          <w:p w14:paraId="3C67F55B">
            <w:pPr>
              <w:widowControl/>
              <w:adjustRightInd/>
              <w:ind w:firstLine="480" w:firstLineChars="200"/>
              <w:jc w:val="left"/>
              <w:rPr>
                <w:rFonts w:hint="eastAsia" w:ascii="宋体" w:hAnsi="宋体" w:eastAsia="宋体" w:cs="宋体"/>
                <w:color w:val="auto"/>
                <w:kern w:val="0"/>
                <w:sz w:val="24"/>
                <w:szCs w:val="24"/>
                <w:highlight w:val="none"/>
              </w:rPr>
            </w:pPr>
          </w:p>
        </w:tc>
        <w:tc>
          <w:tcPr>
            <w:tcW w:w="1680" w:type="dxa"/>
            <w:vAlign w:val="center"/>
          </w:tcPr>
          <w:p w14:paraId="1D6DEE3D">
            <w:pPr>
              <w:widowControl/>
              <w:adjustRightInd/>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灯笼</w:t>
            </w:r>
          </w:p>
        </w:tc>
        <w:tc>
          <w:tcPr>
            <w:tcW w:w="2942" w:type="dxa"/>
            <w:vAlign w:val="center"/>
          </w:tcPr>
          <w:p w14:paraId="3B55E245">
            <w:pPr>
              <w:widowControl/>
              <w:adjustRightInd/>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sz w:val="24"/>
                <w:szCs w:val="24"/>
                <w:highlight w:val="none"/>
                <w:lang w:eastAsia="zh-CN"/>
              </w:rPr>
              <w:t>主入口及主要节点悬挂各式大小灯笼不少于</w:t>
            </w:r>
            <w:r>
              <w:rPr>
                <w:rFonts w:hint="eastAsia" w:ascii="宋体" w:hAnsi="宋体" w:eastAsia="宋体" w:cs="宋体"/>
                <w:color w:val="auto"/>
                <w:sz w:val="24"/>
                <w:szCs w:val="24"/>
                <w:highlight w:val="none"/>
                <w:lang w:val="en-US" w:eastAsia="zh-CN"/>
              </w:rPr>
              <w:t>500个，按实结算。</w:t>
            </w:r>
          </w:p>
        </w:tc>
        <w:tc>
          <w:tcPr>
            <w:tcW w:w="2914" w:type="dxa"/>
            <w:vAlign w:val="center"/>
          </w:tcPr>
          <w:p w14:paraId="469D1D26">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包含支架、接电线路、灯泡等</w:t>
            </w:r>
          </w:p>
        </w:tc>
      </w:tr>
      <w:tr w14:paraId="1CF7C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441" w:type="dxa"/>
            <w:gridSpan w:val="2"/>
            <w:vAlign w:val="center"/>
          </w:tcPr>
          <w:p w14:paraId="24CE36AA">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涉及主要材料要求</w:t>
            </w:r>
          </w:p>
        </w:tc>
        <w:tc>
          <w:tcPr>
            <w:tcW w:w="7536" w:type="dxa"/>
            <w:gridSpan w:val="3"/>
            <w:vAlign w:val="center"/>
          </w:tcPr>
          <w:p w14:paraId="6EDFF32F">
            <w:pPr>
              <w:widowControl w:val="0"/>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1.主要包括园内开展节日氛围营造的花卉布置以及国旗、灯笼等用品。</w:t>
            </w:r>
          </w:p>
          <w:p w14:paraId="3CF6E75D">
            <w:pPr>
              <w:widowControl w:val="0"/>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2.花卉等苗木具有良好的品质，色泽鲜艳、植株生长健壮、冠幅满盆、无徒长现象、无病虫害，摆设到现场时盛花率在60%以上，并提供花卉品种资料及照片，花卉持续开花时间不少于1个月。</w:t>
            </w:r>
          </w:p>
          <w:p w14:paraId="2DB6D3F4">
            <w:pPr>
              <w:widowControl w:val="0"/>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3.现场管理养护及时到位，保证整个种（摆）花期花卉的健康生长。</w:t>
            </w:r>
          </w:p>
          <w:p w14:paraId="4E2A42B2">
            <w:pPr>
              <w:widowControl w:val="0"/>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4.所用花卉、材料的规格、技术参数、技术要求、质量要求等必须符合相关规定，肥料、药物等必须经专业检测并符合规范要求。</w:t>
            </w:r>
          </w:p>
          <w:p w14:paraId="2A209296">
            <w:pPr>
              <w:widowControl w:val="0"/>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5.用于广场等硬质铺装摆花的花盆须统一规格、颜色，并采用适当围挡收边。</w:t>
            </w:r>
          </w:p>
          <w:p w14:paraId="4C629677">
            <w:pPr>
              <w:widowControl w:val="0"/>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6.国旗制作、悬挂严格遵照《国旗法》执行。</w:t>
            </w:r>
          </w:p>
          <w:p w14:paraId="72E005D0">
            <w:pPr>
              <w:widowControl w:val="0"/>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7.备选花材目录详见附件3。</w:t>
            </w:r>
          </w:p>
          <w:p w14:paraId="79BDFD2A">
            <w:pPr>
              <w:widowControl w:val="0"/>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8.布置花境的苗木清单中，新优品种苗木数量所占比例不少于20%。</w:t>
            </w:r>
          </w:p>
        </w:tc>
      </w:tr>
      <w:tr w14:paraId="37F9E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441" w:type="dxa"/>
            <w:gridSpan w:val="2"/>
            <w:vAlign w:val="center"/>
          </w:tcPr>
          <w:p w14:paraId="40188545">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管理要求</w:t>
            </w:r>
          </w:p>
        </w:tc>
        <w:tc>
          <w:tcPr>
            <w:tcW w:w="7536" w:type="dxa"/>
            <w:gridSpan w:val="3"/>
            <w:vAlign w:val="center"/>
          </w:tcPr>
          <w:p w14:paraId="36010A14">
            <w:pPr>
              <w:widowControl w:val="0"/>
              <w:adjustRightInd/>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1.投标报价中已包含</w:t>
            </w:r>
            <w:r>
              <w:rPr>
                <w:rFonts w:hint="eastAsia" w:ascii="宋体" w:hAnsi="宋体" w:eastAsia="宋体" w:cs="宋体"/>
                <w:bCs/>
                <w:color w:val="auto"/>
                <w:sz w:val="24"/>
                <w:szCs w:val="24"/>
                <w:highlight w:val="none"/>
                <w:lang w:eastAsia="zh-CN"/>
              </w:rPr>
              <w:t>中标人</w:t>
            </w:r>
            <w:r>
              <w:rPr>
                <w:rFonts w:hint="eastAsia" w:ascii="宋体" w:hAnsi="宋体" w:eastAsia="宋体" w:cs="宋体"/>
                <w:bCs/>
                <w:color w:val="auto"/>
                <w:sz w:val="24"/>
                <w:szCs w:val="24"/>
                <w:highlight w:val="none"/>
              </w:rPr>
              <w:t>提供全年所有费用，若有不足，由</w:t>
            </w:r>
            <w:r>
              <w:rPr>
                <w:rFonts w:hint="eastAsia" w:ascii="宋体" w:hAnsi="宋体" w:eastAsia="宋体" w:cs="宋体"/>
                <w:bCs/>
                <w:color w:val="auto"/>
                <w:sz w:val="24"/>
                <w:szCs w:val="24"/>
                <w:highlight w:val="none"/>
                <w:lang w:eastAsia="zh-CN"/>
              </w:rPr>
              <w:t>中标人</w:t>
            </w:r>
            <w:r>
              <w:rPr>
                <w:rFonts w:hint="eastAsia" w:ascii="宋体" w:hAnsi="宋体" w:eastAsia="宋体" w:cs="宋体"/>
                <w:bCs/>
                <w:color w:val="auto"/>
                <w:sz w:val="24"/>
                <w:szCs w:val="24"/>
                <w:highlight w:val="none"/>
              </w:rPr>
              <w:t>无条件自行保质保量提供，费用按月支付。</w:t>
            </w:r>
          </w:p>
          <w:p w14:paraId="072FCBE7">
            <w:pPr>
              <w:widowControl w:val="0"/>
              <w:adjustRightInd/>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2.</w:t>
            </w:r>
            <w:r>
              <w:rPr>
                <w:rFonts w:hint="eastAsia" w:ascii="宋体" w:hAnsi="宋体" w:eastAsia="宋体" w:cs="宋体"/>
                <w:color w:val="auto"/>
                <w:sz w:val="24"/>
                <w:szCs w:val="24"/>
                <w:highlight w:val="none"/>
              </w:rPr>
              <w:t>各材料具体种类及数量需经</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确认，并根据需要提供样品，合格者进入采购流程，不合格淘汰重新提供。</w:t>
            </w:r>
            <w:r>
              <w:rPr>
                <w:rFonts w:hint="eastAsia" w:ascii="宋体" w:hAnsi="宋体" w:eastAsia="宋体" w:cs="宋体"/>
                <w:color w:val="auto"/>
                <w:sz w:val="24"/>
                <w:szCs w:val="24"/>
                <w:highlight w:val="none"/>
                <w:lang w:eastAsia="zh-CN"/>
              </w:rPr>
              <w:t>采购单位</w:t>
            </w:r>
            <w:r>
              <w:rPr>
                <w:rFonts w:hint="eastAsia" w:ascii="宋体" w:hAnsi="宋体" w:eastAsia="宋体" w:cs="宋体"/>
                <w:color w:val="auto"/>
                <w:sz w:val="24"/>
                <w:szCs w:val="24"/>
                <w:highlight w:val="none"/>
              </w:rPr>
              <w:t>有权根据需要进行种类和数量的调整。</w:t>
            </w:r>
          </w:p>
          <w:p w14:paraId="032308EC">
            <w:pPr>
              <w:widowControl w:val="0"/>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3.节日氛围营造及常年摆花设计方案需经</w:t>
            </w:r>
            <w:r>
              <w:rPr>
                <w:rFonts w:hint="eastAsia" w:ascii="宋体" w:hAnsi="宋体" w:eastAsia="宋体" w:cs="宋体"/>
                <w:color w:val="auto"/>
                <w:sz w:val="24"/>
                <w:szCs w:val="24"/>
                <w:highlight w:val="none"/>
                <w:lang w:val="en-US" w:eastAsia="zh-CN"/>
              </w:rPr>
              <w:t>采购单位</w:t>
            </w:r>
            <w:r>
              <w:rPr>
                <w:rFonts w:hint="eastAsia" w:ascii="宋体" w:hAnsi="宋体" w:eastAsia="宋体" w:cs="宋体"/>
                <w:color w:val="auto"/>
                <w:sz w:val="24"/>
                <w:szCs w:val="24"/>
                <w:highlight w:val="none"/>
              </w:rPr>
              <w:t>确认后方可执行。</w:t>
            </w:r>
          </w:p>
        </w:tc>
      </w:tr>
    </w:tbl>
    <w:p w14:paraId="0ED21356">
      <w:pPr>
        <w:widowControl/>
        <w:tabs>
          <w:tab w:val="left" w:pos="851"/>
        </w:tabs>
        <w:adjustRightInd/>
        <w:spacing w:line="360" w:lineRule="auto"/>
        <w:ind w:firstLine="480" w:firstLineChars="200"/>
        <w:rPr>
          <w:rFonts w:hint="default" w:ascii="宋体" w:hAnsi="宋体" w:eastAsia="宋体" w:cs="宋体"/>
          <w:b/>
          <w:bCs w:val="0"/>
          <w:color w:val="auto"/>
          <w:kern w:val="0"/>
          <w:sz w:val="24"/>
          <w:highlight w:val="none"/>
          <w:lang w:val="en-US" w:eastAsia="zh-CN"/>
        </w:rPr>
      </w:pPr>
      <w:r>
        <w:rPr>
          <w:rFonts w:hint="eastAsia" w:ascii="宋体" w:hAnsi="宋体" w:cs="宋体"/>
          <w:b/>
          <w:bCs w:val="0"/>
          <w:color w:val="auto"/>
          <w:kern w:val="0"/>
          <w:sz w:val="24"/>
          <w:highlight w:val="none"/>
          <w:lang w:val="en-US" w:eastAsia="zh-CN"/>
        </w:rPr>
        <w:t>⑤</w:t>
      </w:r>
      <w:r>
        <w:rPr>
          <w:rFonts w:hint="eastAsia" w:ascii="宋体" w:hAnsi="宋体" w:eastAsia="宋体" w:cs="宋体"/>
          <w:b/>
          <w:bCs w:val="0"/>
          <w:color w:val="auto"/>
          <w:kern w:val="0"/>
          <w:sz w:val="24"/>
          <w:highlight w:val="none"/>
          <w:lang w:val="en-US" w:eastAsia="zh-CN"/>
        </w:rPr>
        <w:t>安全生产物资</w:t>
      </w:r>
    </w:p>
    <w:tbl>
      <w:tblPr>
        <w:tblStyle w:val="62"/>
        <w:tblW w:w="9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685"/>
        <w:gridCol w:w="1351"/>
        <w:gridCol w:w="2059"/>
        <w:gridCol w:w="870"/>
        <w:gridCol w:w="943"/>
        <w:gridCol w:w="832"/>
        <w:gridCol w:w="1537"/>
      </w:tblGrid>
      <w:tr w14:paraId="1D22E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Align w:val="center"/>
          </w:tcPr>
          <w:p w14:paraId="26E00A42">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类别</w:t>
            </w:r>
          </w:p>
        </w:tc>
        <w:tc>
          <w:tcPr>
            <w:tcW w:w="685" w:type="dxa"/>
            <w:vAlign w:val="center"/>
          </w:tcPr>
          <w:p w14:paraId="2B84BA6C">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序号</w:t>
            </w:r>
          </w:p>
        </w:tc>
        <w:tc>
          <w:tcPr>
            <w:tcW w:w="1351" w:type="dxa"/>
            <w:vAlign w:val="center"/>
          </w:tcPr>
          <w:p w14:paraId="315D0E3C">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名称</w:t>
            </w:r>
          </w:p>
        </w:tc>
        <w:tc>
          <w:tcPr>
            <w:tcW w:w="2059" w:type="dxa"/>
            <w:vAlign w:val="center"/>
          </w:tcPr>
          <w:p w14:paraId="43754CF9">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主要技术参数</w:t>
            </w:r>
          </w:p>
        </w:tc>
        <w:tc>
          <w:tcPr>
            <w:tcW w:w="870" w:type="dxa"/>
            <w:vAlign w:val="center"/>
          </w:tcPr>
          <w:p w14:paraId="607584F0">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最低数量要求</w:t>
            </w:r>
          </w:p>
        </w:tc>
        <w:tc>
          <w:tcPr>
            <w:tcW w:w="943" w:type="dxa"/>
            <w:vAlign w:val="center"/>
          </w:tcPr>
          <w:p w14:paraId="48577996">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仓库现存数量</w:t>
            </w:r>
          </w:p>
        </w:tc>
        <w:tc>
          <w:tcPr>
            <w:tcW w:w="832" w:type="dxa"/>
            <w:vAlign w:val="center"/>
          </w:tcPr>
          <w:p w14:paraId="58F7C37C">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单位</w:t>
            </w:r>
          </w:p>
        </w:tc>
        <w:tc>
          <w:tcPr>
            <w:tcW w:w="1537" w:type="dxa"/>
            <w:vAlign w:val="center"/>
          </w:tcPr>
          <w:p w14:paraId="4C213F7F">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备注</w:t>
            </w:r>
          </w:p>
        </w:tc>
      </w:tr>
      <w:tr w14:paraId="334DC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restart"/>
            <w:vAlign w:val="center"/>
          </w:tcPr>
          <w:p w14:paraId="5D7ACBC3">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安全生产物资</w:t>
            </w:r>
          </w:p>
        </w:tc>
        <w:tc>
          <w:tcPr>
            <w:tcW w:w="685" w:type="dxa"/>
            <w:vAlign w:val="center"/>
          </w:tcPr>
          <w:p w14:paraId="5C67D740">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1351" w:type="dxa"/>
            <w:vAlign w:val="center"/>
          </w:tcPr>
          <w:p w14:paraId="1922C591">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简易不锈钢移动栏杆</w:t>
            </w:r>
          </w:p>
        </w:tc>
        <w:tc>
          <w:tcPr>
            <w:tcW w:w="2059" w:type="dxa"/>
            <w:vAlign w:val="center"/>
          </w:tcPr>
          <w:p w14:paraId="4EAEF016">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符合国家、行业标准</w:t>
            </w:r>
          </w:p>
        </w:tc>
        <w:tc>
          <w:tcPr>
            <w:tcW w:w="870" w:type="dxa"/>
            <w:vAlign w:val="center"/>
          </w:tcPr>
          <w:p w14:paraId="0F8AFBBE">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200</w:t>
            </w:r>
          </w:p>
        </w:tc>
        <w:tc>
          <w:tcPr>
            <w:tcW w:w="943" w:type="dxa"/>
            <w:vAlign w:val="center"/>
          </w:tcPr>
          <w:p w14:paraId="0C6F6EBA">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832" w:type="dxa"/>
            <w:vAlign w:val="center"/>
          </w:tcPr>
          <w:p w14:paraId="5A35D693">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米</w:t>
            </w:r>
          </w:p>
        </w:tc>
        <w:tc>
          <w:tcPr>
            <w:tcW w:w="1537" w:type="dxa"/>
            <w:vAlign w:val="center"/>
          </w:tcPr>
          <w:p w14:paraId="74ECDA08">
            <w:pPr>
              <w:widowControl/>
              <w:adjustRightInd/>
              <w:jc w:val="center"/>
              <w:rPr>
                <w:rFonts w:hint="eastAsia" w:ascii="宋体" w:hAnsi="宋体" w:eastAsia="宋体" w:cs="宋体"/>
                <w:color w:val="auto"/>
                <w:kern w:val="0"/>
                <w:sz w:val="24"/>
                <w:szCs w:val="24"/>
                <w:highlight w:val="none"/>
              </w:rPr>
            </w:pPr>
          </w:p>
        </w:tc>
      </w:tr>
      <w:tr w14:paraId="4E8DF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094F1319">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7C8BD1AE">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1351" w:type="dxa"/>
            <w:vAlign w:val="center"/>
          </w:tcPr>
          <w:p w14:paraId="32F00104">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250水泵</w:t>
            </w:r>
          </w:p>
        </w:tc>
        <w:tc>
          <w:tcPr>
            <w:tcW w:w="2059" w:type="dxa"/>
            <w:vAlign w:val="center"/>
          </w:tcPr>
          <w:p w14:paraId="0A9083AF">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风冷，二冲程，单缸，出水压力1.5.Mpa，扬程150m及以上</w:t>
            </w:r>
          </w:p>
        </w:tc>
        <w:tc>
          <w:tcPr>
            <w:tcW w:w="870" w:type="dxa"/>
            <w:vAlign w:val="center"/>
          </w:tcPr>
          <w:p w14:paraId="2B77A0E4">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1</w:t>
            </w:r>
          </w:p>
        </w:tc>
        <w:tc>
          <w:tcPr>
            <w:tcW w:w="943" w:type="dxa"/>
            <w:vAlign w:val="center"/>
          </w:tcPr>
          <w:p w14:paraId="278CCA94">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832" w:type="dxa"/>
            <w:vAlign w:val="center"/>
          </w:tcPr>
          <w:p w14:paraId="77FCFD95">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537" w:type="dxa"/>
            <w:vAlign w:val="center"/>
          </w:tcPr>
          <w:p w14:paraId="79B5D2BA">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防台</w:t>
            </w:r>
          </w:p>
        </w:tc>
      </w:tr>
      <w:tr w14:paraId="24E89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102440F4">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3CF0FEFA">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1351" w:type="dxa"/>
            <w:vAlign w:val="center"/>
          </w:tcPr>
          <w:p w14:paraId="10DEC9DA">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强光手电</w:t>
            </w:r>
          </w:p>
        </w:tc>
        <w:tc>
          <w:tcPr>
            <w:tcW w:w="2059" w:type="dxa"/>
            <w:vAlign w:val="center"/>
          </w:tcPr>
          <w:p w14:paraId="5B046C8D">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无级调光、爆闪、强弱档，LED，续航8小时以上</w:t>
            </w:r>
          </w:p>
        </w:tc>
        <w:tc>
          <w:tcPr>
            <w:tcW w:w="870" w:type="dxa"/>
            <w:vAlign w:val="center"/>
          </w:tcPr>
          <w:p w14:paraId="2FB49A91">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20</w:t>
            </w:r>
          </w:p>
        </w:tc>
        <w:tc>
          <w:tcPr>
            <w:tcW w:w="943" w:type="dxa"/>
            <w:vAlign w:val="center"/>
          </w:tcPr>
          <w:p w14:paraId="55344CD4">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832" w:type="dxa"/>
            <w:vAlign w:val="center"/>
          </w:tcPr>
          <w:p w14:paraId="7781C7AE">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把</w:t>
            </w:r>
          </w:p>
        </w:tc>
        <w:tc>
          <w:tcPr>
            <w:tcW w:w="1537" w:type="dxa"/>
            <w:vAlign w:val="center"/>
          </w:tcPr>
          <w:p w14:paraId="3A95B780">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防台、</w:t>
            </w:r>
          </w:p>
          <w:p w14:paraId="4EEADFA1">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夜间管理</w:t>
            </w:r>
          </w:p>
        </w:tc>
      </w:tr>
      <w:tr w14:paraId="672BC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3D22D60A">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6669E463">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w:t>
            </w:r>
          </w:p>
        </w:tc>
        <w:tc>
          <w:tcPr>
            <w:tcW w:w="1351" w:type="dxa"/>
            <w:vAlign w:val="center"/>
          </w:tcPr>
          <w:p w14:paraId="50B768CD">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灭火毯</w:t>
            </w:r>
          </w:p>
        </w:tc>
        <w:tc>
          <w:tcPr>
            <w:tcW w:w="2059" w:type="dxa"/>
            <w:vAlign w:val="center"/>
          </w:tcPr>
          <w:p w14:paraId="243E9AEF">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符合国家、行业标准</w:t>
            </w:r>
          </w:p>
        </w:tc>
        <w:tc>
          <w:tcPr>
            <w:tcW w:w="870" w:type="dxa"/>
            <w:vAlign w:val="center"/>
          </w:tcPr>
          <w:p w14:paraId="05F31A55">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943" w:type="dxa"/>
            <w:vAlign w:val="center"/>
          </w:tcPr>
          <w:p w14:paraId="79DE8E95">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832" w:type="dxa"/>
            <w:vAlign w:val="center"/>
          </w:tcPr>
          <w:p w14:paraId="4817C855">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个</w:t>
            </w:r>
          </w:p>
        </w:tc>
        <w:tc>
          <w:tcPr>
            <w:tcW w:w="1537" w:type="dxa"/>
            <w:vAlign w:val="center"/>
          </w:tcPr>
          <w:p w14:paraId="35F32D81">
            <w:pPr>
              <w:widowControl/>
              <w:adjustRightInd/>
              <w:jc w:val="center"/>
              <w:rPr>
                <w:rFonts w:hint="eastAsia" w:ascii="宋体" w:hAnsi="宋体" w:eastAsia="宋体" w:cs="宋体"/>
                <w:color w:val="auto"/>
                <w:kern w:val="0"/>
                <w:sz w:val="24"/>
                <w:szCs w:val="24"/>
                <w:highlight w:val="none"/>
              </w:rPr>
            </w:pPr>
          </w:p>
        </w:tc>
      </w:tr>
      <w:tr w14:paraId="1BA8E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5098AB9E">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71F1C15F">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5</w:t>
            </w:r>
          </w:p>
        </w:tc>
        <w:tc>
          <w:tcPr>
            <w:tcW w:w="1351" w:type="dxa"/>
            <w:vAlign w:val="center"/>
          </w:tcPr>
          <w:p w14:paraId="4B5824F5">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灭火器</w:t>
            </w:r>
          </w:p>
        </w:tc>
        <w:tc>
          <w:tcPr>
            <w:tcW w:w="2059" w:type="dxa"/>
            <w:vAlign w:val="center"/>
          </w:tcPr>
          <w:p w14:paraId="3B03A56F">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4KG装，符合国家、行业标准，提供合格证，要求生产日期为提供产品时的当年年度</w:t>
            </w:r>
          </w:p>
        </w:tc>
        <w:tc>
          <w:tcPr>
            <w:tcW w:w="870" w:type="dxa"/>
            <w:vAlign w:val="center"/>
          </w:tcPr>
          <w:p w14:paraId="211CCDC5">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30</w:t>
            </w:r>
          </w:p>
        </w:tc>
        <w:tc>
          <w:tcPr>
            <w:tcW w:w="943" w:type="dxa"/>
            <w:vAlign w:val="center"/>
          </w:tcPr>
          <w:p w14:paraId="0D36F6EA">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832" w:type="dxa"/>
            <w:vAlign w:val="center"/>
          </w:tcPr>
          <w:p w14:paraId="29D78B37">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537" w:type="dxa"/>
            <w:vAlign w:val="center"/>
          </w:tcPr>
          <w:p w14:paraId="795997E0">
            <w:pPr>
              <w:widowControl/>
              <w:adjustRightInd/>
              <w:jc w:val="center"/>
              <w:rPr>
                <w:rFonts w:hint="eastAsia" w:ascii="宋体" w:hAnsi="宋体" w:eastAsia="宋体" w:cs="宋体"/>
                <w:color w:val="auto"/>
                <w:kern w:val="0"/>
                <w:sz w:val="24"/>
                <w:szCs w:val="24"/>
                <w:highlight w:val="none"/>
              </w:rPr>
            </w:pPr>
          </w:p>
        </w:tc>
      </w:tr>
      <w:tr w14:paraId="14BA3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5C0356F6">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099B968F">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1351" w:type="dxa"/>
            <w:vAlign w:val="center"/>
          </w:tcPr>
          <w:p w14:paraId="12B0A2F3">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手持</w:t>
            </w:r>
            <w:r>
              <w:rPr>
                <w:rFonts w:hint="eastAsia" w:ascii="宋体" w:hAnsi="宋体" w:eastAsia="宋体" w:cs="宋体"/>
                <w:color w:val="auto"/>
                <w:kern w:val="0"/>
                <w:sz w:val="24"/>
                <w:szCs w:val="24"/>
                <w:highlight w:val="none"/>
              </w:rPr>
              <w:t>扩音喇叭</w:t>
            </w:r>
          </w:p>
        </w:tc>
        <w:tc>
          <w:tcPr>
            <w:tcW w:w="2059" w:type="dxa"/>
            <w:vAlign w:val="center"/>
          </w:tcPr>
          <w:p w14:paraId="2D1B5B6F">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要有录音放音功能，配存储卡</w:t>
            </w:r>
          </w:p>
        </w:tc>
        <w:tc>
          <w:tcPr>
            <w:tcW w:w="870" w:type="dxa"/>
            <w:vAlign w:val="center"/>
          </w:tcPr>
          <w:p w14:paraId="5703998F">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20</w:t>
            </w:r>
          </w:p>
        </w:tc>
        <w:tc>
          <w:tcPr>
            <w:tcW w:w="943" w:type="dxa"/>
            <w:vAlign w:val="center"/>
          </w:tcPr>
          <w:p w14:paraId="1E3148CC">
            <w:pPr>
              <w:widowControl/>
              <w:adjustRightInd/>
              <w:jc w:val="center"/>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0</w:t>
            </w:r>
          </w:p>
        </w:tc>
        <w:tc>
          <w:tcPr>
            <w:tcW w:w="832" w:type="dxa"/>
            <w:vAlign w:val="center"/>
          </w:tcPr>
          <w:p w14:paraId="1EECEA6F">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537" w:type="dxa"/>
            <w:vAlign w:val="center"/>
          </w:tcPr>
          <w:p w14:paraId="593D9661">
            <w:pPr>
              <w:widowControl/>
              <w:adjustRightInd/>
              <w:jc w:val="center"/>
              <w:rPr>
                <w:rFonts w:hint="eastAsia" w:ascii="宋体" w:hAnsi="宋体" w:eastAsia="宋体" w:cs="宋体"/>
                <w:color w:val="auto"/>
                <w:kern w:val="0"/>
                <w:sz w:val="24"/>
                <w:szCs w:val="24"/>
                <w:highlight w:val="none"/>
              </w:rPr>
            </w:pPr>
          </w:p>
        </w:tc>
      </w:tr>
      <w:tr w14:paraId="794F8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32BDA6B5">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013F1314">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7</w:t>
            </w:r>
          </w:p>
        </w:tc>
        <w:tc>
          <w:tcPr>
            <w:tcW w:w="1351" w:type="dxa"/>
            <w:vAlign w:val="center"/>
          </w:tcPr>
          <w:p w14:paraId="7C317027">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对讲机</w:t>
            </w:r>
          </w:p>
        </w:tc>
        <w:tc>
          <w:tcPr>
            <w:tcW w:w="2059" w:type="dxa"/>
            <w:vAlign w:val="center"/>
          </w:tcPr>
          <w:p w14:paraId="4A8F3F27">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符合国家、行业标准</w:t>
            </w:r>
          </w:p>
        </w:tc>
        <w:tc>
          <w:tcPr>
            <w:tcW w:w="870" w:type="dxa"/>
            <w:vAlign w:val="center"/>
          </w:tcPr>
          <w:p w14:paraId="0CEC6EC4">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15</w:t>
            </w:r>
          </w:p>
        </w:tc>
        <w:tc>
          <w:tcPr>
            <w:tcW w:w="943" w:type="dxa"/>
            <w:vAlign w:val="center"/>
          </w:tcPr>
          <w:p w14:paraId="272E7CFD">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832" w:type="dxa"/>
            <w:vAlign w:val="center"/>
          </w:tcPr>
          <w:p w14:paraId="2529EB89">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个</w:t>
            </w:r>
          </w:p>
        </w:tc>
        <w:tc>
          <w:tcPr>
            <w:tcW w:w="1537" w:type="dxa"/>
            <w:vAlign w:val="center"/>
          </w:tcPr>
          <w:p w14:paraId="523500FF">
            <w:pPr>
              <w:widowControl/>
              <w:adjustRightInd/>
              <w:jc w:val="center"/>
              <w:rPr>
                <w:rFonts w:hint="eastAsia" w:ascii="宋体" w:hAnsi="宋体" w:eastAsia="宋体" w:cs="宋体"/>
                <w:color w:val="auto"/>
                <w:kern w:val="0"/>
                <w:sz w:val="24"/>
                <w:szCs w:val="24"/>
                <w:highlight w:val="none"/>
              </w:rPr>
            </w:pPr>
          </w:p>
        </w:tc>
      </w:tr>
      <w:tr w14:paraId="611CC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6FA6444D">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275801A0">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8</w:t>
            </w:r>
          </w:p>
        </w:tc>
        <w:tc>
          <w:tcPr>
            <w:tcW w:w="1351" w:type="dxa"/>
            <w:vAlign w:val="center"/>
          </w:tcPr>
          <w:p w14:paraId="351DF92C">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雪糕桶</w:t>
            </w:r>
          </w:p>
        </w:tc>
        <w:tc>
          <w:tcPr>
            <w:tcW w:w="2059" w:type="dxa"/>
            <w:vAlign w:val="center"/>
          </w:tcPr>
          <w:p w14:paraId="5F186F91">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符合国家、行业标准</w:t>
            </w:r>
          </w:p>
        </w:tc>
        <w:tc>
          <w:tcPr>
            <w:tcW w:w="870" w:type="dxa"/>
            <w:vAlign w:val="center"/>
          </w:tcPr>
          <w:p w14:paraId="7B909538">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w:t>
            </w:r>
          </w:p>
        </w:tc>
        <w:tc>
          <w:tcPr>
            <w:tcW w:w="943" w:type="dxa"/>
            <w:vAlign w:val="center"/>
          </w:tcPr>
          <w:p w14:paraId="4FA3807A">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832" w:type="dxa"/>
            <w:vAlign w:val="center"/>
          </w:tcPr>
          <w:p w14:paraId="455D77CF">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537" w:type="dxa"/>
            <w:vAlign w:val="center"/>
          </w:tcPr>
          <w:p w14:paraId="77D25DD3">
            <w:pPr>
              <w:widowControl/>
              <w:adjustRightInd/>
              <w:jc w:val="center"/>
              <w:rPr>
                <w:rFonts w:hint="eastAsia" w:ascii="宋体" w:hAnsi="宋体" w:eastAsia="宋体" w:cs="宋体"/>
                <w:color w:val="auto"/>
                <w:kern w:val="0"/>
                <w:sz w:val="24"/>
                <w:szCs w:val="24"/>
                <w:highlight w:val="none"/>
              </w:rPr>
            </w:pPr>
          </w:p>
        </w:tc>
      </w:tr>
      <w:tr w14:paraId="26D76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1F5ACB3C">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7276C67F">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9</w:t>
            </w:r>
          </w:p>
        </w:tc>
        <w:tc>
          <w:tcPr>
            <w:tcW w:w="1351" w:type="dxa"/>
            <w:vAlign w:val="center"/>
          </w:tcPr>
          <w:p w14:paraId="07EB47FD">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警戒带</w:t>
            </w:r>
          </w:p>
        </w:tc>
        <w:tc>
          <w:tcPr>
            <w:tcW w:w="2059" w:type="dxa"/>
            <w:vAlign w:val="center"/>
          </w:tcPr>
          <w:p w14:paraId="02159943">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符合国家、行业标准</w:t>
            </w:r>
          </w:p>
        </w:tc>
        <w:tc>
          <w:tcPr>
            <w:tcW w:w="870" w:type="dxa"/>
            <w:vAlign w:val="center"/>
          </w:tcPr>
          <w:p w14:paraId="33963C3A">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100</w:t>
            </w:r>
          </w:p>
        </w:tc>
        <w:tc>
          <w:tcPr>
            <w:tcW w:w="943" w:type="dxa"/>
            <w:vAlign w:val="center"/>
          </w:tcPr>
          <w:p w14:paraId="4A97EF96">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832" w:type="dxa"/>
            <w:vAlign w:val="center"/>
          </w:tcPr>
          <w:p w14:paraId="1AA65316">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卷</w:t>
            </w:r>
          </w:p>
        </w:tc>
        <w:tc>
          <w:tcPr>
            <w:tcW w:w="1537" w:type="dxa"/>
            <w:vAlign w:val="center"/>
          </w:tcPr>
          <w:p w14:paraId="7D4A73FD">
            <w:pPr>
              <w:widowControl/>
              <w:adjustRightInd/>
              <w:jc w:val="center"/>
              <w:rPr>
                <w:rFonts w:hint="eastAsia" w:ascii="宋体" w:hAnsi="宋体" w:eastAsia="宋体" w:cs="宋体"/>
                <w:color w:val="auto"/>
                <w:kern w:val="0"/>
                <w:sz w:val="24"/>
                <w:szCs w:val="24"/>
                <w:highlight w:val="none"/>
              </w:rPr>
            </w:pPr>
          </w:p>
        </w:tc>
      </w:tr>
      <w:tr w14:paraId="5A8B0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1CB2E213">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0FD965C8">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w:t>
            </w:r>
          </w:p>
        </w:tc>
        <w:tc>
          <w:tcPr>
            <w:tcW w:w="1351" w:type="dxa"/>
            <w:vAlign w:val="center"/>
          </w:tcPr>
          <w:p w14:paraId="0ECB4027">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救生绳</w:t>
            </w:r>
          </w:p>
        </w:tc>
        <w:tc>
          <w:tcPr>
            <w:tcW w:w="2059" w:type="dxa"/>
            <w:vAlign w:val="center"/>
          </w:tcPr>
          <w:p w14:paraId="1E7ED249">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符合国家、行业标准</w:t>
            </w:r>
          </w:p>
        </w:tc>
        <w:tc>
          <w:tcPr>
            <w:tcW w:w="870" w:type="dxa"/>
            <w:vAlign w:val="center"/>
          </w:tcPr>
          <w:p w14:paraId="63EC0443">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50</w:t>
            </w:r>
          </w:p>
        </w:tc>
        <w:tc>
          <w:tcPr>
            <w:tcW w:w="943" w:type="dxa"/>
            <w:vAlign w:val="center"/>
          </w:tcPr>
          <w:p w14:paraId="7087A78B">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832" w:type="dxa"/>
            <w:vAlign w:val="center"/>
          </w:tcPr>
          <w:p w14:paraId="71C82861">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米</w:t>
            </w:r>
          </w:p>
        </w:tc>
        <w:tc>
          <w:tcPr>
            <w:tcW w:w="1537" w:type="dxa"/>
            <w:vAlign w:val="center"/>
          </w:tcPr>
          <w:p w14:paraId="4F0D7541">
            <w:pPr>
              <w:widowControl/>
              <w:adjustRightInd/>
              <w:jc w:val="center"/>
              <w:rPr>
                <w:rFonts w:hint="eastAsia" w:ascii="宋体" w:hAnsi="宋体" w:eastAsia="宋体" w:cs="宋体"/>
                <w:color w:val="auto"/>
                <w:kern w:val="0"/>
                <w:sz w:val="24"/>
                <w:szCs w:val="24"/>
                <w:highlight w:val="none"/>
              </w:rPr>
            </w:pPr>
          </w:p>
        </w:tc>
      </w:tr>
      <w:tr w14:paraId="3DA41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5380979C">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72FA8863">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11</w:t>
            </w:r>
          </w:p>
        </w:tc>
        <w:tc>
          <w:tcPr>
            <w:tcW w:w="1351" w:type="dxa"/>
            <w:vAlign w:val="center"/>
          </w:tcPr>
          <w:p w14:paraId="668481D4">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救生衣</w:t>
            </w:r>
          </w:p>
        </w:tc>
        <w:tc>
          <w:tcPr>
            <w:tcW w:w="2059" w:type="dxa"/>
            <w:vAlign w:val="center"/>
          </w:tcPr>
          <w:p w14:paraId="50BD9918">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符合国家、行业标准</w:t>
            </w:r>
          </w:p>
        </w:tc>
        <w:tc>
          <w:tcPr>
            <w:tcW w:w="870" w:type="dxa"/>
            <w:vAlign w:val="center"/>
          </w:tcPr>
          <w:p w14:paraId="1BC1DDA7">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w:t>
            </w:r>
          </w:p>
        </w:tc>
        <w:tc>
          <w:tcPr>
            <w:tcW w:w="943" w:type="dxa"/>
            <w:vAlign w:val="center"/>
          </w:tcPr>
          <w:p w14:paraId="5A311DD0">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832" w:type="dxa"/>
            <w:vAlign w:val="center"/>
          </w:tcPr>
          <w:p w14:paraId="2F511E45">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件</w:t>
            </w:r>
          </w:p>
        </w:tc>
        <w:tc>
          <w:tcPr>
            <w:tcW w:w="1537" w:type="dxa"/>
            <w:vAlign w:val="center"/>
          </w:tcPr>
          <w:p w14:paraId="44606CD2">
            <w:pPr>
              <w:widowControl/>
              <w:adjustRightInd/>
              <w:jc w:val="center"/>
              <w:rPr>
                <w:rFonts w:hint="eastAsia" w:ascii="宋体" w:hAnsi="宋体" w:eastAsia="宋体" w:cs="宋体"/>
                <w:color w:val="auto"/>
                <w:kern w:val="0"/>
                <w:sz w:val="24"/>
                <w:szCs w:val="24"/>
                <w:highlight w:val="none"/>
              </w:rPr>
            </w:pPr>
          </w:p>
        </w:tc>
      </w:tr>
      <w:tr w14:paraId="55819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681879BE">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6A77CBFC">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w:t>
            </w:r>
          </w:p>
        </w:tc>
        <w:tc>
          <w:tcPr>
            <w:tcW w:w="1351" w:type="dxa"/>
            <w:vAlign w:val="center"/>
          </w:tcPr>
          <w:p w14:paraId="4F466F37">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救生圈</w:t>
            </w:r>
          </w:p>
        </w:tc>
        <w:tc>
          <w:tcPr>
            <w:tcW w:w="2059" w:type="dxa"/>
            <w:vAlign w:val="center"/>
          </w:tcPr>
          <w:p w14:paraId="73A0707D">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符合国家、行业标准</w:t>
            </w:r>
          </w:p>
        </w:tc>
        <w:tc>
          <w:tcPr>
            <w:tcW w:w="870" w:type="dxa"/>
            <w:vAlign w:val="center"/>
          </w:tcPr>
          <w:p w14:paraId="4E027AC7">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10</w:t>
            </w:r>
          </w:p>
        </w:tc>
        <w:tc>
          <w:tcPr>
            <w:tcW w:w="943" w:type="dxa"/>
            <w:vAlign w:val="center"/>
          </w:tcPr>
          <w:p w14:paraId="1139DD2B">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832" w:type="dxa"/>
            <w:vAlign w:val="center"/>
          </w:tcPr>
          <w:p w14:paraId="0355C379">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537" w:type="dxa"/>
            <w:vAlign w:val="center"/>
          </w:tcPr>
          <w:p w14:paraId="784F332A">
            <w:pPr>
              <w:widowControl/>
              <w:adjustRightInd/>
              <w:jc w:val="center"/>
              <w:rPr>
                <w:rFonts w:hint="eastAsia" w:ascii="宋体" w:hAnsi="宋体" w:eastAsia="宋体" w:cs="宋体"/>
                <w:color w:val="auto"/>
                <w:kern w:val="0"/>
                <w:sz w:val="24"/>
                <w:szCs w:val="24"/>
                <w:highlight w:val="none"/>
              </w:rPr>
            </w:pPr>
          </w:p>
        </w:tc>
      </w:tr>
      <w:tr w14:paraId="661A5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44FDB9A5">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5A91C5F8">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w:t>
            </w:r>
          </w:p>
        </w:tc>
        <w:tc>
          <w:tcPr>
            <w:tcW w:w="1351" w:type="dxa"/>
            <w:vAlign w:val="center"/>
          </w:tcPr>
          <w:p w14:paraId="3F517CE7">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防汛沙袋</w:t>
            </w:r>
          </w:p>
        </w:tc>
        <w:tc>
          <w:tcPr>
            <w:tcW w:w="2059" w:type="dxa"/>
            <w:vAlign w:val="center"/>
          </w:tcPr>
          <w:p w14:paraId="35177F6C">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highlight w:val="none"/>
              </w:rPr>
              <w:t>符合国家、行业标准</w:t>
            </w:r>
          </w:p>
        </w:tc>
        <w:tc>
          <w:tcPr>
            <w:tcW w:w="870" w:type="dxa"/>
            <w:vAlign w:val="center"/>
          </w:tcPr>
          <w:p w14:paraId="1D2859CD">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100</w:t>
            </w:r>
          </w:p>
        </w:tc>
        <w:tc>
          <w:tcPr>
            <w:tcW w:w="943" w:type="dxa"/>
            <w:vAlign w:val="center"/>
          </w:tcPr>
          <w:p w14:paraId="4BDF65E2">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832" w:type="dxa"/>
            <w:vAlign w:val="center"/>
          </w:tcPr>
          <w:p w14:paraId="1A66A7ED">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个</w:t>
            </w:r>
          </w:p>
        </w:tc>
        <w:tc>
          <w:tcPr>
            <w:tcW w:w="1537" w:type="dxa"/>
            <w:vAlign w:val="center"/>
          </w:tcPr>
          <w:p w14:paraId="5BFF95F7">
            <w:pPr>
              <w:widowControl/>
              <w:adjustRightInd/>
              <w:jc w:val="center"/>
              <w:rPr>
                <w:rFonts w:hint="eastAsia" w:ascii="宋体" w:hAnsi="宋体" w:eastAsia="宋体" w:cs="宋体"/>
                <w:color w:val="auto"/>
                <w:kern w:val="0"/>
                <w:sz w:val="24"/>
                <w:szCs w:val="24"/>
                <w:highlight w:val="none"/>
                <w:lang w:eastAsia="zh-CN"/>
              </w:rPr>
            </w:pPr>
          </w:p>
        </w:tc>
      </w:tr>
      <w:tr w14:paraId="5CDA1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473EF9AA">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2B19CA1A">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w:t>
            </w:r>
          </w:p>
        </w:tc>
        <w:tc>
          <w:tcPr>
            <w:tcW w:w="1351" w:type="dxa"/>
            <w:vAlign w:val="center"/>
          </w:tcPr>
          <w:p w14:paraId="51112D79">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消防水带</w:t>
            </w:r>
          </w:p>
        </w:tc>
        <w:tc>
          <w:tcPr>
            <w:tcW w:w="2059" w:type="dxa"/>
            <w:vAlign w:val="center"/>
          </w:tcPr>
          <w:p w14:paraId="014E3739">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规格为20-65-20，符合国家、行业标准，提供合格证，要求生产日期为提供产品时的当年年度</w:t>
            </w:r>
          </w:p>
        </w:tc>
        <w:tc>
          <w:tcPr>
            <w:tcW w:w="870" w:type="dxa"/>
            <w:vAlign w:val="center"/>
          </w:tcPr>
          <w:p w14:paraId="7AD3ABE8">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20</w:t>
            </w:r>
          </w:p>
        </w:tc>
        <w:tc>
          <w:tcPr>
            <w:tcW w:w="943" w:type="dxa"/>
            <w:vAlign w:val="center"/>
          </w:tcPr>
          <w:p w14:paraId="503B524C">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832" w:type="dxa"/>
            <w:vAlign w:val="center"/>
          </w:tcPr>
          <w:p w14:paraId="6BAA1CCC">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条</w:t>
            </w:r>
          </w:p>
        </w:tc>
        <w:tc>
          <w:tcPr>
            <w:tcW w:w="1537" w:type="dxa"/>
            <w:vAlign w:val="center"/>
          </w:tcPr>
          <w:p w14:paraId="1D57F4E9">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防汛、防台</w:t>
            </w:r>
          </w:p>
        </w:tc>
      </w:tr>
      <w:tr w14:paraId="50EF3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152DE111">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43AF0FEF">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w:t>
            </w:r>
          </w:p>
        </w:tc>
        <w:tc>
          <w:tcPr>
            <w:tcW w:w="1351" w:type="dxa"/>
            <w:vAlign w:val="center"/>
          </w:tcPr>
          <w:p w14:paraId="6CB366B9">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分体式雨衣</w:t>
            </w:r>
          </w:p>
        </w:tc>
        <w:tc>
          <w:tcPr>
            <w:tcW w:w="2059" w:type="dxa"/>
            <w:vAlign w:val="center"/>
          </w:tcPr>
          <w:p w14:paraId="6275715A">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符合国家、行业标准</w:t>
            </w:r>
          </w:p>
        </w:tc>
        <w:tc>
          <w:tcPr>
            <w:tcW w:w="870" w:type="dxa"/>
            <w:vAlign w:val="center"/>
          </w:tcPr>
          <w:p w14:paraId="2FF334FD">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30</w:t>
            </w:r>
          </w:p>
        </w:tc>
        <w:tc>
          <w:tcPr>
            <w:tcW w:w="943" w:type="dxa"/>
            <w:vAlign w:val="center"/>
          </w:tcPr>
          <w:p w14:paraId="610E04F2">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832" w:type="dxa"/>
            <w:vAlign w:val="center"/>
          </w:tcPr>
          <w:p w14:paraId="498FFB00">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套</w:t>
            </w:r>
          </w:p>
        </w:tc>
        <w:tc>
          <w:tcPr>
            <w:tcW w:w="1537" w:type="dxa"/>
            <w:vAlign w:val="center"/>
          </w:tcPr>
          <w:p w14:paraId="6D4C351E">
            <w:pPr>
              <w:widowControl/>
              <w:adjustRightInd/>
              <w:jc w:val="center"/>
              <w:rPr>
                <w:rFonts w:hint="eastAsia" w:ascii="宋体" w:hAnsi="宋体" w:eastAsia="宋体" w:cs="宋体"/>
                <w:color w:val="auto"/>
                <w:kern w:val="0"/>
                <w:sz w:val="24"/>
                <w:szCs w:val="24"/>
                <w:highlight w:val="none"/>
              </w:rPr>
            </w:pPr>
          </w:p>
        </w:tc>
      </w:tr>
      <w:tr w14:paraId="6361C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2C8CC492">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4C25FEA5">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16</w:t>
            </w:r>
          </w:p>
        </w:tc>
        <w:tc>
          <w:tcPr>
            <w:tcW w:w="1351" w:type="dxa"/>
            <w:vAlign w:val="center"/>
          </w:tcPr>
          <w:p w14:paraId="16E622B3">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雨鞋</w:t>
            </w:r>
          </w:p>
        </w:tc>
        <w:tc>
          <w:tcPr>
            <w:tcW w:w="2059" w:type="dxa"/>
            <w:vAlign w:val="center"/>
          </w:tcPr>
          <w:p w14:paraId="218D5C1F">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符合国家、行业标准</w:t>
            </w:r>
          </w:p>
        </w:tc>
        <w:tc>
          <w:tcPr>
            <w:tcW w:w="870" w:type="dxa"/>
            <w:vAlign w:val="center"/>
          </w:tcPr>
          <w:p w14:paraId="4B75866A">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30</w:t>
            </w:r>
          </w:p>
        </w:tc>
        <w:tc>
          <w:tcPr>
            <w:tcW w:w="943" w:type="dxa"/>
            <w:vAlign w:val="center"/>
          </w:tcPr>
          <w:p w14:paraId="26574465">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832" w:type="dxa"/>
            <w:vAlign w:val="center"/>
          </w:tcPr>
          <w:p w14:paraId="7C158615">
            <w:pPr>
              <w:widowControl/>
              <w:adjustRightInd/>
              <w:jc w:val="center"/>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双</w:t>
            </w:r>
          </w:p>
        </w:tc>
        <w:tc>
          <w:tcPr>
            <w:tcW w:w="1537" w:type="dxa"/>
            <w:vAlign w:val="center"/>
          </w:tcPr>
          <w:p w14:paraId="695DCB8B">
            <w:pPr>
              <w:widowControl/>
              <w:adjustRightInd/>
              <w:jc w:val="center"/>
              <w:rPr>
                <w:rFonts w:hint="eastAsia" w:ascii="宋体" w:hAnsi="宋体" w:eastAsia="宋体" w:cs="宋体"/>
                <w:color w:val="auto"/>
                <w:kern w:val="0"/>
                <w:sz w:val="24"/>
                <w:szCs w:val="24"/>
                <w:highlight w:val="none"/>
              </w:rPr>
            </w:pPr>
          </w:p>
        </w:tc>
      </w:tr>
      <w:tr w14:paraId="2BCF7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05D3BBC7">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00BE618F">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17</w:t>
            </w:r>
          </w:p>
        </w:tc>
        <w:tc>
          <w:tcPr>
            <w:tcW w:w="1351" w:type="dxa"/>
            <w:vAlign w:val="center"/>
          </w:tcPr>
          <w:p w14:paraId="1C5FA76C">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消防柜</w:t>
            </w:r>
          </w:p>
        </w:tc>
        <w:tc>
          <w:tcPr>
            <w:tcW w:w="2059" w:type="dxa"/>
            <w:vAlign w:val="center"/>
          </w:tcPr>
          <w:p w14:paraId="676A28ED">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highlight w:val="none"/>
              </w:rPr>
              <w:t>符合国家、行业标准</w:t>
            </w:r>
          </w:p>
        </w:tc>
        <w:tc>
          <w:tcPr>
            <w:tcW w:w="870" w:type="dxa"/>
            <w:vAlign w:val="center"/>
          </w:tcPr>
          <w:p w14:paraId="57D7FA15">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1</w:t>
            </w:r>
          </w:p>
        </w:tc>
        <w:tc>
          <w:tcPr>
            <w:tcW w:w="943" w:type="dxa"/>
            <w:vAlign w:val="center"/>
          </w:tcPr>
          <w:p w14:paraId="6D980EDD">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832" w:type="dxa"/>
            <w:vAlign w:val="center"/>
          </w:tcPr>
          <w:p w14:paraId="12EF5985">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个</w:t>
            </w:r>
          </w:p>
        </w:tc>
        <w:tc>
          <w:tcPr>
            <w:tcW w:w="1537" w:type="dxa"/>
            <w:vAlign w:val="center"/>
          </w:tcPr>
          <w:p w14:paraId="50A64FF0">
            <w:pPr>
              <w:widowControl/>
              <w:adjustRightInd/>
              <w:jc w:val="center"/>
              <w:rPr>
                <w:rFonts w:hint="eastAsia" w:ascii="宋体" w:hAnsi="宋体" w:eastAsia="宋体" w:cs="宋体"/>
                <w:color w:val="auto"/>
                <w:kern w:val="0"/>
                <w:sz w:val="24"/>
                <w:szCs w:val="24"/>
                <w:highlight w:val="none"/>
                <w:lang w:eastAsia="zh-CN"/>
              </w:rPr>
            </w:pPr>
          </w:p>
        </w:tc>
      </w:tr>
      <w:tr w14:paraId="6C6BA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2C33879E">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383A6986">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18</w:t>
            </w:r>
          </w:p>
        </w:tc>
        <w:tc>
          <w:tcPr>
            <w:tcW w:w="1351" w:type="dxa"/>
            <w:vAlign w:val="center"/>
          </w:tcPr>
          <w:p w14:paraId="00172B37">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消防斧</w:t>
            </w:r>
          </w:p>
        </w:tc>
        <w:tc>
          <w:tcPr>
            <w:tcW w:w="2059" w:type="dxa"/>
            <w:vAlign w:val="center"/>
          </w:tcPr>
          <w:p w14:paraId="46BD037A">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highlight w:val="none"/>
              </w:rPr>
              <w:t>符合国家、行业标准</w:t>
            </w:r>
          </w:p>
        </w:tc>
        <w:tc>
          <w:tcPr>
            <w:tcW w:w="870" w:type="dxa"/>
            <w:vAlign w:val="center"/>
          </w:tcPr>
          <w:p w14:paraId="7B4BEA34">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1</w:t>
            </w:r>
          </w:p>
        </w:tc>
        <w:tc>
          <w:tcPr>
            <w:tcW w:w="943" w:type="dxa"/>
            <w:vAlign w:val="center"/>
          </w:tcPr>
          <w:p w14:paraId="4382E7D7">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832" w:type="dxa"/>
            <w:vAlign w:val="center"/>
          </w:tcPr>
          <w:p w14:paraId="60FA4CC7">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柄</w:t>
            </w:r>
          </w:p>
        </w:tc>
        <w:tc>
          <w:tcPr>
            <w:tcW w:w="1537" w:type="dxa"/>
            <w:vAlign w:val="center"/>
          </w:tcPr>
          <w:p w14:paraId="57453011">
            <w:pPr>
              <w:widowControl/>
              <w:adjustRightInd/>
              <w:jc w:val="center"/>
              <w:rPr>
                <w:rFonts w:hint="eastAsia" w:ascii="宋体" w:hAnsi="宋体" w:eastAsia="宋体" w:cs="宋体"/>
                <w:color w:val="auto"/>
                <w:kern w:val="0"/>
                <w:sz w:val="24"/>
                <w:szCs w:val="24"/>
                <w:highlight w:val="none"/>
                <w:lang w:eastAsia="zh-CN"/>
              </w:rPr>
            </w:pPr>
          </w:p>
        </w:tc>
      </w:tr>
      <w:tr w14:paraId="0B362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4DB39863">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670C0DC4">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19</w:t>
            </w:r>
          </w:p>
        </w:tc>
        <w:tc>
          <w:tcPr>
            <w:tcW w:w="1351" w:type="dxa"/>
            <w:vAlign w:val="center"/>
          </w:tcPr>
          <w:p w14:paraId="55E8994F">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消防铁锹</w:t>
            </w:r>
          </w:p>
        </w:tc>
        <w:tc>
          <w:tcPr>
            <w:tcW w:w="2059" w:type="dxa"/>
            <w:vAlign w:val="center"/>
          </w:tcPr>
          <w:p w14:paraId="4BF3336A">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highlight w:val="none"/>
              </w:rPr>
              <w:t>符合国家、行业标准</w:t>
            </w:r>
          </w:p>
        </w:tc>
        <w:tc>
          <w:tcPr>
            <w:tcW w:w="870" w:type="dxa"/>
            <w:vAlign w:val="center"/>
          </w:tcPr>
          <w:p w14:paraId="286EF853">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2</w:t>
            </w:r>
          </w:p>
        </w:tc>
        <w:tc>
          <w:tcPr>
            <w:tcW w:w="943" w:type="dxa"/>
            <w:vAlign w:val="center"/>
          </w:tcPr>
          <w:p w14:paraId="639CEAB7">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832" w:type="dxa"/>
            <w:vAlign w:val="center"/>
          </w:tcPr>
          <w:p w14:paraId="6843862B">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把</w:t>
            </w:r>
          </w:p>
        </w:tc>
        <w:tc>
          <w:tcPr>
            <w:tcW w:w="1537" w:type="dxa"/>
            <w:vAlign w:val="center"/>
          </w:tcPr>
          <w:p w14:paraId="15B26C01">
            <w:pPr>
              <w:widowControl/>
              <w:adjustRightInd/>
              <w:jc w:val="center"/>
              <w:rPr>
                <w:rFonts w:hint="eastAsia" w:ascii="宋体" w:hAnsi="宋体" w:eastAsia="宋体" w:cs="宋体"/>
                <w:color w:val="auto"/>
                <w:kern w:val="0"/>
                <w:sz w:val="24"/>
                <w:szCs w:val="24"/>
                <w:highlight w:val="none"/>
                <w:lang w:eastAsia="zh-CN"/>
              </w:rPr>
            </w:pPr>
          </w:p>
        </w:tc>
      </w:tr>
      <w:tr w14:paraId="4DF47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135697B4">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20D4AAD2">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20</w:t>
            </w:r>
          </w:p>
        </w:tc>
        <w:tc>
          <w:tcPr>
            <w:tcW w:w="1351" w:type="dxa"/>
            <w:vAlign w:val="center"/>
          </w:tcPr>
          <w:p w14:paraId="30BF4138">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消防面罩</w:t>
            </w:r>
          </w:p>
        </w:tc>
        <w:tc>
          <w:tcPr>
            <w:tcW w:w="2059" w:type="dxa"/>
            <w:vAlign w:val="center"/>
          </w:tcPr>
          <w:p w14:paraId="1982035E">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highlight w:val="none"/>
              </w:rPr>
              <w:t>符合国家、行业标准</w:t>
            </w:r>
          </w:p>
        </w:tc>
        <w:tc>
          <w:tcPr>
            <w:tcW w:w="870" w:type="dxa"/>
            <w:vAlign w:val="center"/>
          </w:tcPr>
          <w:p w14:paraId="6CF13FF3">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2</w:t>
            </w:r>
          </w:p>
        </w:tc>
        <w:tc>
          <w:tcPr>
            <w:tcW w:w="943" w:type="dxa"/>
            <w:vAlign w:val="center"/>
          </w:tcPr>
          <w:p w14:paraId="131D5ED9">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832" w:type="dxa"/>
            <w:vAlign w:val="center"/>
          </w:tcPr>
          <w:p w14:paraId="7C64A373">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个</w:t>
            </w:r>
          </w:p>
        </w:tc>
        <w:tc>
          <w:tcPr>
            <w:tcW w:w="1537" w:type="dxa"/>
            <w:vAlign w:val="center"/>
          </w:tcPr>
          <w:p w14:paraId="143B6B13">
            <w:pPr>
              <w:widowControl/>
              <w:adjustRightInd/>
              <w:jc w:val="center"/>
              <w:rPr>
                <w:rFonts w:hint="eastAsia" w:ascii="宋体" w:hAnsi="宋体" w:eastAsia="宋体" w:cs="宋体"/>
                <w:color w:val="auto"/>
                <w:kern w:val="0"/>
                <w:sz w:val="24"/>
                <w:szCs w:val="24"/>
                <w:highlight w:val="none"/>
                <w:lang w:eastAsia="zh-CN"/>
              </w:rPr>
            </w:pPr>
          </w:p>
        </w:tc>
      </w:tr>
      <w:tr w14:paraId="5F0E7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4528FD4D">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0751133B">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21</w:t>
            </w:r>
          </w:p>
        </w:tc>
        <w:tc>
          <w:tcPr>
            <w:tcW w:w="1351" w:type="dxa"/>
            <w:vAlign w:val="center"/>
          </w:tcPr>
          <w:p w14:paraId="30AB7F69">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消防服</w:t>
            </w:r>
          </w:p>
        </w:tc>
        <w:tc>
          <w:tcPr>
            <w:tcW w:w="2059" w:type="dxa"/>
            <w:vAlign w:val="center"/>
          </w:tcPr>
          <w:p w14:paraId="38DFF14A">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highlight w:val="none"/>
              </w:rPr>
              <w:t>符合国家、行业标准</w:t>
            </w:r>
          </w:p>
        </w:tc>
        <w:tc>
          <w:tcPr>
            <w:tcW w:w="870" w:type="dxa"/>
            <w:vAlign w:val="center"/>
          </w:tcPr>
          <w:p w14:paraId="5CEB3ED8">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2</w:t>
            </w:r>
          </w:p>
        </w:tc>
        <w:tc>
          <w:tcPr>
            <w:tcW w:w="943" w:type="dxa"/>
            <w:vAlign w:val="center"/>
          </w:tcPr>
          <w:p w14:paraId="41EEC171">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832" w:type="dxa"/>
            <w:vAlign w:val="center"/>
          </w:tcPr>
          <w:p w14:paraId="7275F11E">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件</w:t>
            </w:r>
          </w:p>
        </w:tc>
        <w:tc>
          <w:tcPr>
            <w:tcW w:w="1537" w:type="dxa"/>
            <w:vAlign w:val="center"/>
          </w:tcPr>
          <w:p w14:paraId="43FEC9AF">
            <w:pPr>
              <w:widowControl/>
              <w:adjustRightInd/>
              <w:jc w:val="center"/>
              <w:rPr>
                <w:rFonts w:hint="eastAsia" w:ascii="宋体" w:hAnsi="宋体" w:eastAsia="宋体" w:cs="宋体"/>
                <w:color w:val="auto"/>
                <w:kern w:val="0"/>
                <w:sz w:val="24"/>
                <w:szCs w:val="24"/>
                <w:highlight w:val="none"/>
                <w:lang w:eastAsia="zh-CN"/>
              </w:rPr>
            </w:pPr>
          </w:p>
        </w:tc>
      </w:tr>
      <w:tr w14:paraId="6572B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5B6E9F31">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0F947381">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22</w:t>
            </w:r>
          </w:p>
        </w:tc>
        <w:tc>
          <w:tcPr>
            <w:tcW w:w="1351" w:type="dxa"/>
            <w:vAlign w:val="center"/>
          </w:tcPr>
          <w:p w14:paraId="701B9D26">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消防管</w:t>
            </w:r>
          </w:p>
        </w:tc>
        <w:tc>
          <w:tcPr>
            <w:tcW w:w="2059" w:type="dxa"/>
            <w:vAlign w:val="center"/>
          </w:tcPr>
          <w:p w14:paraId="51E4BFCE">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highlight w:val="none"/>
              </w:rPr>
              <w:t>符合国家、行业标准</w:t>
            </w:r>
          </w:p>
        </w:tc>
        <w:tc>
          <w:tcPr>
            <w:tcW w:w="870" w:type="dxa"/>
            <w:vAlign w:val="center"/>
          </w:tcPr>
          <w:p w14:paraId="0485614F">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2</w:t>
            </w:r>
          </w:p>
        </w:tc>
        <w:tc>
          <w:tcPr>
            <w:tcW w:w="943" w:type="dxa"/>
            <w:vAlign w:val="center"/>
          </w:tcPr>
          <w:p w14:paraId="651782FB">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832" w:type="dxa"/>
            <w:vAlign w:val="center"/>
          </w:tcPr>
          <w:p w14:paraId="4E65B43D">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卷</w:t>
            </w:r>
          </w:p>
        </w:tc>
        <w:tc>
          <w:tcPr>
            <w:tcW w:w="1537" w:type="dxa"/>
            <w:vAlign w:val="center"/>
          </w:tcPr>
          <w:p w14:paraId="774E65B7">
            <w:pPr>
              <w:widowControl/>
              <w:adjustRightInd/>
              <w:jc w:val="center"/>
              <w:rPr>
                <w:rFonts w:hint="eastAsia" w:ascii="宋体" w:hAnsi="宋体" w:eastAsia="宋体" w:cs="宋体"/>
                <w:color w:val="auto"/>
                <w:kern w:val="0"/>
                <w:sz w:val="24"/>
                <w:szCs w:val="24"/>
                <w:highlight w:val="none"/>
                <w:lang w:eastAsia="zh-CN"/>
              </w:rPr>
            </w:pPr>
          </w:p>
        </w:tc>
      </w:tr>
      <w:tr w14:paraId="6C01F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5CC9B852">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73952A5E">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23</w:t>
            </w:r>
          </w:p>
        </w:tc>
        <w:tc>
          <w:tcPr>
            <w:tcW w:w="1351" w:type="dxa"/>
            <w:vAlign w:val="center"/>
          </w:tcPr>
          <w:p w14:paraId="2183BA9C">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防爆柜</w:t>
            </w:r>
          </w:p>
        </w:tc>
        <w:tc>
          <w:tcPr>
            <w:tcW w:w="2059" w:type="dxa"/>
            <w:vAlign w:val="center"/>
          </w:tcPr>
          <w:p w14:paraId="6FE0A016">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highlight w:val="none"/>
              </w:rPr>
              <w:t>符合国家、行业标准</w:t>
            </w:r>
          </w:p>
        </w:tc>
        <w:tc>
          <w:tcPr>
            <w:tcW w:w="870" w:type="dxa"/>
            <w:vAlign w:val="center"/>
          </w:tcPr>
          <w:p w14:paraId="3A083868">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1</w:t>
            </w:r>
          </w:p>
        </w:tc>
        <w:tc>
          <w:tcPr>
            <w:tcW w:w="943" w:type="dxa"/>
            <w:vAlign w:val="center"/>
          </w:tcPr>
          <w:p w14:paraId="106C1930">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832" w:type="dxa"/>
            <w:vAlign w:val="center"/>
          </w:tcPr>
          <w:p w14:paraId="429BF81D">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个</w:t>
            </w:r>
          </w:p>
        </w:tc>
        <w:tc>
          <w:tcPr>
            <w:tcW w:w="1537" w:type="dxa"/>
            <w:vAlign w:val="center"/>
          </w:tcPr>
          <w:p w14:paraId="6C395D37">
            <w:pPr>
              <w:widowControl/>
              <w:adjustRightInd/>
              <w:jc w:val="center"/>
              <w:rPr>
                <w:rFonts w:hint="eastAsia" w:ascii="宋体" w:hAnsi="宋体" w:eastAsia="宋体" w:cs="宋体"/>
                <w:color w:val="auto"/>
                <w:kern w:val="0"/>
                <w:sz w:val="24"/>
                <w:szCs w:val="24"/>
                <w:highlight w:val="none"/>
                <w:lang w:eastAsia="zh-CN"/>
              </w:rPr>
            </w:pPr>
          </w:p>
        </w:tc>
      </w:tr>
      <w:tr w14:paraId="3ADDF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19BAC9ED">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5461BAB3">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24</w:t>
            </w:r>
          </w:p>
        </w:tc>
        <w:tc>
          <w:tcPr>
            <w:tcW w:w="1351" w:type="dxa"/>
            <w:vAlign w:val="center"/>
          </w:tcPr>
          <w:p w14:paraId="4CD6C4A8">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防爆盾牌</w:t>
            </w:r>
          </w:p>
        </w:tc>
        <w:tc>
          <w:tcPr>
            <w:tcW w:w="2059" w:type="dxa"/>
            <w:vAlign w:val="center"/>
          </w:tcPr>
          <w:p w14:paraId="1A20288B">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highlight w:val="none"/>
              </w:rPr>
              <w:t>符合国家、行业标准</w:t>
            </w:r>
          </w:p>
        </w:tc>
        <w:tc>
          <w:tcPr>
            <w:tcW w:w="870" w:type="dxa"/>
            <w:vAlign w:val="center"/>
          </w:tcPr>
          <w:p w14:paraId="09240F63">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4</w:t>
            </w:r>
          </w:p>
        </w:tc>
        <w:tc>
          <w:tcPr>
            <w:tcW w:w="943" w:type="dxa"/>
            <w:vAlign w:val="center"/>
          </w:tcPr>
          <w:p w14:paraId="61798252">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832" w:type="dxa"/>
            <w:vAlign w:val="center"/>
          </w:tcPr>
          <w:p w14:paraId="09F42F8F">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个</w:t>
            </w:r>
          </w:p>
        </w:tc>
        <w:tc>
          <w:tcPr>
            <w:tcW w:w="1537" w:type="dxa"/>
            <w:vAlign w:val="center"/>
          </w:tcPr>
          <w:p w14:paraId="46CAD835">
            <w:pPr>
              <w:widowControl/>
              <w:adjustRightInd/>
              <w:jc w:val="center"/>
              <w:rPr>
                <w:rFonts w:hint="eastAsia" w:ascii="宋体" w:hAnsi="宋体" w:eastAsia="宋体" w:cs="宋体"/>
                <w:color w:val="auto"/>
                <w:kern w:val="0"/>
                <w:sz w:val="24"/>
                <w:szCs w:val="24"/>
                <w:highlight w:val="none"/>
                <w:lang w:eastAsia="zh-CN"/>
              </w:rPr>
            </w:pPr>
          </w:p>
        </w:tc>
      </w:tr>
      <w:tr w14:paraId="5383B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31EFC27D">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454AE845">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25</w:t>
            </w:r>
          </w:p>
        </w:tc>
        <w:tc>
          <w:tcPr>
            <w:tcW w:w="1351" w:type="dxa"/>
            <w:vAlign w:val="center"/>
          </w:tcPr>
          <w:p w14:paraId="065E841C">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钢叉</w:t>
            </w:r>
          </w:p>
        </w:tc>
        <w:tc>
          <w:tcPr>
            <w:tcW w:w="2059" w:type="dxa"/>
            <w:vAlign w:val="center"/>
          </w:tcPr>
          <w:p w14:paraId="50C3D201">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highlight w:val="none"/>
              </w:rPr>
              <w:t>符合国家、行业标准</w:t>
            </w:r>
          </w:p>
        </w:tc>
        <w:tc>
          <w:tcPr>
            <w:tcW w:w="870" w:type="dxa"/>
            <w:vAlign w:val="center"/>
          </w:tcPr>
          <w:p w14:paraId="09E655D0">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2</w:t>
            </w:r>
          </w:p>
        </w:tc>
        <w:tc>
          <w:tcPr>
            <w:tcW w:w="943" w:type="dxa"/>
            <w:vAlign w:val="center"/>
          </w:tcPr>
          <w:p w14:paraId="75B76FAA">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832" w:type="dxa"/>
            <w:vAlign w:val="center"/>
          </w:tcPr>
          <w:p w14:paraId="4AED96FF">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个</w:t>
            </w:r>
          </w:p>
        </w:tc>
        <w:tc>
          <w:tcPr>
            <w:tcW w:w="1537" w:type="dxa"/>
            <w:vAlign w:val="center"/>
          </w:tcPr>
          <w:p w14:paraId="484774DB">
            <w:pPr>
              <w:widowControl/>
              <w:adjustRightInd/>
              <w:jc w:val="center"/>
              <w:rPr>
                <w:rFonts w:hint="eastAsia" w:ascii="宋体" w:hAnsi="宋体" w:eastAsia="宋体" w:cs="宋体"/>
                <w:color w:val="auto"/>
                <w:kern w:val="0"/>
                <w:sz w:val="24"/>
                <w:szCs w:val="24"/>
                <w:highlight w:val="none"/>
                <w:lang w:eastAsia="zh-CN"/>
              </w:rPr>
            </w:pPr>
          </w:p>
        </w:tc>
      </w:tr>
      <w:tr w14:paraId="0B5AD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0DD4FA60">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50C0E7BD">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26</w:t>
            </w:r>
          </w:p>
        </w:tc>
        <w:tc>
          <w:tcPr>
            <w:tcW w:w="1351" w:type="dxa"/>
            <w:vAlign w:val="center"/>
          </w:tcPr>
          <w:p w14:paraId="1D989F87">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防刺服</w:t>
            </w:r>
          </w:p>
        </w:tc>
        <w:tc>
          <w:tcPr>
            <w:tcW w:w="2059" w:type="dxa"/>
            <w:vAlign w:val="center"/>
          </w:tcPr>
          <w:p w14:paraId="3C25CCB7">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highlight w:val="none"/>
              </w:rPr>
              <w:t>符合国家、行业标准</w:t>
            </w:r>
          </w:p>
        </w:tc>
        <w:tc>
          <w:tcPr>
            <w:tcW w:w="870" w:type="dxa"/>
            <w:vAlign w:val="center"/>
          </w:tcPr>
          <w:p w14:paraId="34553F59">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4</w:t>
            </w:r>
          </w:p>
        </w:tc>
        <w:tc>
          <w:tcPr>
            <w:tcW w:w="943" w:type="dxa"/>
            <w:vAlign w:val="center"/>
          </w:tcPr>
          <w:p w14:paraId="38D020D8">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832" w:type="dxa"/>
            <w:vAlign w:val="center"/>
          </w:tcPr>
          <w:p w14:paraId="6C693435">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套</w:t>
            </w:r>
          </w:p>
        </w:tc>
        <w:tc>
          <w:tcPr>
            <w:tcW w:w="1537" w:type="dxa"/>
            <w:vAlign w:val="center"/>
          </w:tcPr>
          <w:p w14:paraId="531D67B6">
            <w:pPr>
              <w:widowControl/>
              <w:adjustRightInd/>
              <w:jc w:val="center"/>
              <w:rPr>
                <w:rFonts w:hint="eastAsia" w:ascii="宋体" w:hAnsi="宋体" w:eastAsia="宋体" w:cs="宋体"/>
                <w:color w:val="auto"/>
                <w:kern w:val="0"/>
                <w:sz w:val="24"/>
                <w:szCs w:val="24"/>
                <w:highlight w:val="none"/>
                <w:lang w:eastAsia="zh-CN"/>
              </w:rPr>
            </w:pPr>
          </w:p>
        </w:tc>
      </w:tr>
      <w:tr w14:paraId="40C1F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22D7E78A">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24A00FA9">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27</w:t>
            </w:r>
          </w:p>
        </w:tc>
        <w:tc>
          <w:tcPr>
            <w:tcW w:w="1351" w:type="dxa"/>
            <w:vAlign w:val="center"/>
          </w:tcPr>
          <w:p w14:paraId="1900A202">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防爆头盔</w:t>
            </w:r>
          </w:p>
        </w:tc>
        <w:tc>
          <w:tcPr>
            <w:tcW w:w="2059" w:type="dxa"/>
            <w:vAlign w:val="center"/>
          </w:tcPr>
          <w:p w14:paraId="4885CABA">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highlight w:val="none"/>
              </w:rPr>
              <w:t>符合国家、行业标准</w:t>
            </w:r>
          </w:p>
        </w:tc>
        <w:tc>
          <w:tcPr>
            <w:tcW w:w="870" w:type="dxa"/>
            <w:vAlign w:val="center"/>
          </w:tcPr>
          <w:p w14:paraId="3354CE84">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15</w:t>
            </w:r>
          </w:p>
        </w:tc>
        <w:tc>
          <w:tcPr>
            <w:tcW w:w="943" w:type="dxa"/>
            <w:vAlign w:val="center"/>
          </w:tcPr>
          <w:p w14:paraId="0C5AAC20">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832" w:type="dxa"/>
            <w:vAlign w:val="center"/>
          </w:tcPr>
          <w:p w14:paraId="3A6E4A83">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个</w:t>
            </w:r>
          </w:p>
        </w:tc>
        <w:tc>
          <w:tcPr>
            <w:tcW w:w="1537" w:type="dxa"/>
            <w:vAlign w:val="center"/>
          </w:tcPr>
          <w:p w14:paraId="4863A117">
            <w:pPr>
              <w:widowControl/>
              <w:adjustRightInd/>
              <w:jc w:val="center"/>
              <w:rPr>
                <w:rFonts w:hint="eastAsia" w:ascii="宋体" w:hAnsi="宋体" w:eastAsia="宋体" w:cs="宋体"/>
                <w:color w:val="auto"/>
                <w:kern w:val="0"/>
                <w:sz w:val="24"/>
                <w:szCs w:val="24"/>
                <w:highlight w:val="none"/>
                <w:lang w:eastAsia="zh-CN"/>
              </w:rPr>
            </w:pPr>
          </w:p>
        </w:tc>
      </w:tr>
      <w:tr w14:paraId="6B7F5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44006FC4">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448F5466">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28</w:t>
            </w:r>
          </w:p>
        </w:tc>
        <w:tc>
          <w:tcPr>
            <w:tcW w:w="1351" w:type="dxa"/>
            <w:vAlign w:val="center"/>
          </w:tcPr>
          <w:p w14:paraId="2E73377A">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捕狗网</w:t>
            </w:r>
          </w:p>
        </w:tc>
        <w:tc>
          <w:tcPr>
            <w:tcW w:w="2059" w:type="dxa"/>
            <w:vAlign w:val="center"/>
          </w:tcPr>
          <w:p w14:paraId="177586E3">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highlight w:val="none"/>
              </w:rPr>
              <w:t>符合国家、行业标准</w:t>
            </w:r>
          </w:p>
        </w:tc>
        <w:tc>
          <w:tcPr>
            <w:tcW w:w="870" w:type="dxa"/>
            <w:vAlign w:val="center"/>
          </w:tcPr>
          <w:p w14:paraId="7159F4F0">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943" w:type="dxa"/>
            <w:vAlign w:val="center"/>
          </w:tcPr>
          <w:p w14:paraId="48E1F51A">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832" w:type="dxa"/>
            <w:vAlign w:val="center"/>
          </w:tcPr>
          <w:p w14:paraId="63EA79B4">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个</w:t>
            </w:r>
          </w:p>
        </w:tc>
        <w:tc>
          <w:tcPr>
            <w:tcW w:w="1537" w:type="dxa"/>
            <w:vAlign w:val="center"/>
          </w:tcPr>
          <w:p w14:paraId="54255325">
            <w:pPr>
              <w:widowControl/>
              <w:adjustRightInd/>
              <w:jc w:val="center"/>
              <w:rPr>
                <w:rFonts w:hint="eastAsia" w:ascii="宋体" w:hAnsi="宋体" w:eastAsia="宋体" w:cs="宋体"/>
                <w:color w:val="auto"/>
                <w:kern w:val="0"/>
                <w:sz w:val="24"/>
                <w:szCs w:val="24"/>
                <w:highlight w:val="none"/>
                <w:lang w:eastAsia="zh-CN"/>
              </w:rPr>
            </w:pPr>
          </w:p>
        </w:tc>
      </w:tr>
      <w:tr w14:paraId="73ABA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4CF7D88F">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7A877300">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29</w:t>
            </w:r>
          </w:p>
        </w:tc>
        <w:tc>
          <w:tcPr>
            <w:tcW w:w="1351" w:type="dxa"/>
            <w:vAlign w:val="center"/>
          </w:tcPr>
          <w:p w14:paraId="4E51EE03">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心肺复苏假人</w:t>
            </w:r>
          </w:p>
        </w:tc>
        <w:tc>
          <w:tcPr>
            <w:tcW w:w="2059" w:type="dxa"/>
            <w:vAlign w:val="center"/>
          </w:tcPr>
          <w:p w14:paraId="260DA01E">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highlight w:val="none"/>
              </w:rPr>
              <w:t>符合国家、行业标准</w:t>
            </w:r>
          </w:p>
        </w:tc>
        <w:tc>
          <w:tcPr>
            <w:tcW w:w="870" w:type="dxa"/>
            <w:vAlign w:val="center"/>
          </w:tcPr>
          <w:p w14:paraId="6863DFF6">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943" w:type="dxa"/>
            <w:vAlign w:val="center"/>
          </w:tcPr>
          <w:p w14:paraId="35890ED5">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832" w:type="dxa"/>
            <w:vAlign w:val="center"/>
          </w:tcPr>
          <w:p w14:paraId="2CDE9091">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个</w:t>
            </w:r>
          </w:p>
        </w:tc>
        <w:tc>
          <w:tcPr>
            <w:tcW w:w="1537" w:type="dxa"/>
            <w:vAlign w:val="center"/>
          </w:tcPr>
          <w:p w14:paraId="01B60CE0">
            <w:pPr>
              <w:widowControl/>
              <w:adjustRightInd/>
              <w:jc w:val="center"/>
              <w:rPr>
                <w:rFonts w:hint="eastAsia" w:ascii="宋体" w:hAnsi="宋体" w:eastAsia="宋体" w:cs="宋体"/>
                <w:color w:val="auto"/>
                <w:kern w:val="0"/>
                <w:sz w:val="24"/>
                <w:szCs w:val="24"/>
                <w:highlight w:val="none"/>
                <w:lang w:eastAsia="zh-CN"/>
              </w:rPr>
            </w:pPr>
          </w:p>
        </w:tc>
      </w:tr>
      <w:tr w14:paraId="2514F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7DF57F95">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0C79E9EC">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30</w:t>
            </w:r>
          </w:p>
        </w:tc>
        <w:tc>
          <w:tcPr>
            <w:tcW w:w="1351" w:type="dxa"/>
            <w:vAlign w:val="center"/>
          </w:tcPr>
          <w:p w14:paraId="20D7C193">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应急药品</w:t>
            </w:r>
          </w:p>
        </w:tc>
        <w:tc>
          <w:tcPr>
            <w:tcW w:w="2059" w:type="dxa"/>
            <w:vAlign w:val="center"/>
          </w:tcPr>
          <w:p w14:paraId="6EF1779F">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包含日常应急使用药品</w:t>
            </w:r>
          </w:p>
        </w:tc>
        <w:tc>
          <w:tcPr>
            <w:tcW w:w="870" w:type="dxa"/>
            <w:vAlign w:val="center"/>
          </w:tcPr>
          <w:p w14:paraId="5120C4B6">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5</w:t>
            </w:r>
          </w:p>
        </w:tc>
        <w:tc>
          <w:tcPr>
            <w:tcW w:w="943" w:type="dxa"/>
            <w:vAlign w:val="center"/>
          </w:tcPr>
          <w:p w14:paraId="3C043FA0">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832" w:type="dxa"/>
            <w:vAlign w:val="center"/>
          </w:tcPr>
          <w:p w14:paraId="65F4D625">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套</w:t>
            </w:r>
          </w:p>
        </w:tc>
        <w:tc>
          <w:tcPr>
            <w:tcW w:w="1537" w:type="dxa"/>
            <w:vAlign w:val="center"/>
          </w:tcPr>
          <w:p w14:paraId="5C6C934B">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伤口简易包扎</w:t>
            </w:r>
          </w:p>
        </w:tc>
      </w:tr>
      <w:tr w14:paraId="206DC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6B434C22">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79C5CAC7">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31</w:t>
            </w:r>
          </w:p>
        </w:tc>
        <w:tc>
          <w:tcPr>
            <w:tcW w:w="1351" w:type="dxa"/>
            <w:vAlign w:val="center"/>
          </w:tcPr>
          <w:p w14:paraId="39A5674D">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规章制度牌</w:t>
            </w:r>
          </w:p>
        </w:tc>
        <w:tc>
          <w:tcPr>
            <w:tcW w:w="2059" w:type="dxa"/>
            <w:vAlign w:val="center"/>
          </w:tcPr>
          <w:p w14:paraId="6D9F7166">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highlight w:val="none"/>
              </w:rPr>
              <w:t>符合国家、行业标准</w:t>
            </w:r>
          </w:p>
        </w:tc>
        <w:tc>
          <w:tcPr>
            <w:tcW w:w="870" w:type="dxa"/>
            <w:vAlign w:val="center"/>
          </w:tcPr>
          <w:p w14:paraId="4908D937">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6</w:t>
            </w:r>
          </w:p>
        </w:tc>
        <w:tc>
          <w:tcPr>
            <w:tcW w:w="943" w:type="dxa"/>
            <w:vAlign w:val="center"/>
          </w:tcPr>
          <w:p w14:paraId="514929FE">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832" w:type="dxa"/>
            <w:vAlign w:val="center"/>
          </w:tcPr>
          <w:p w14:paraId="51DB0992">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块</w:t>
            </w:r>
          </w:p>
        </w:tc>
        <w:tc>
          <w:tcPr>
            <w:tcW w:w="1537" w:type="dxa"/>
            <w:vAlign w:val="center"/>
          </w:tcPr>
          <w:p w14:paraId="65E25B36">
            <w:pPr>
              <w:widowControl/>
              <w:adjustRightInd/>
              <w:jc w:val="center"/>
              <w:rPr>
                <w:rFonts w:hint="eastAsia" w:ascii="宋体" w:hAnsi="宋体" w:eastAsia="宋体" w:cs="宋体"/>
                <w:color w:val="auto"/>
                <w:kern w:val="0"/>
                <w:sz w:val="24"/>
                <w:szCs w:val="24"/>
                <w:highlight w:val="none"/>
                <w:lang w:eastAsia="zh-CN"/>
              </w:rPr>
            </w:pPr>
          </w:p>
        </w:tc>
      </w:tr>
      <w:tr w14:paraId="6E30D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63AA2DBA">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597C7B99">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32</w:t>
            </w:r>
          </w:p>
        </w:tc>
        <w:tc>
          <w:tcPr>
            <w:tcW w:w="1351" w:type="dxa"/>
            <w:vAlign w:val="center"/>
          </w:tcPr>
          <w:p w14:paraId="5EBE2131">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文件柜</w:t>
            </w:r>
          </w:p>
        </w:tc>
        <w:tc>
          <w:tcPr>
            <w:tcW w:w="2059" w:type="dxa"/>
            <w:vAlign w:val="center"/>
          </w:tcPr>
          <w:p w14:paraId="7524E4DE">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highlight w:val="none"/>
              </w:rPr>
              <w:t>符合国家、行业标准</w:t>
            </w:r>
          </w:p>
        </w:tc>
        <w:tc>
          <w:tcPr>
            <w:tcW w:w="870" w:type="dxa"/>
            <w:vAlign w:val="center"/>
          </w:tcPr>
          <w:p w14:paraId="3EB28BFB">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943" w:type="dxa"/>
            <w:vAlign w:val="center"/>
          </w:tcPr>
          <w:p w14:paraId="1CFF92DB">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832" w:type="dxa"/>
            <w:vAlign w:val="center"/>
          </w:tcPr>
          <w:p w14:paraId="19F01FFB">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个</w:t>
            </w:r>
          </w:p>
        </w:tc>
        <w:tc>
          <w:tcPr>
            <w:tcW w:w="1537" w:type="dxa"/>
            <w:vAlign w:val="center"/>
          </w:tcPr>
          <w:p w14:paraId="5B225139">
            <w:pPr>
              <w:widowControl/>
              <w:adjustRightInd/>
              <w:jc w:val="center"/>
              <w:rPr>
                <w:rFonts w:hint="eastAsia" w:ascii="宋体" w:hAnsi="宋体" w:eastAsia="宋体" w:cs="宋体"/>
                <w:color w:val="auto"/>
                <w:kern w:val="0"/>
                <w:sz w:val="24"/>
                <w:szCs w:val="24"/>
                <w:highlight w:val="none"/>
                <w:lang w:eastAsia="zh-CN"/>
              </w:rPr>
            </w:pPr>
          </w:p>
        </w:tc>
      </w:tr>
      <w:tr w14:paraId="19220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485" w:type="dxa"/>
            <w:gridSpan w:val="2"/>
            <w:vAlign w:val="center"/>
          </w:tcPr>
          <w:p w14:paraId="7ACA1833">
            <w:pPr>
              <w:widowControl/>
              <w:adjustRightInd/>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管理要求</w:t>
            </w:r>
          </w:p>
        </w:tc>
        <w:tc>
          <w:tcPr>
            <w:tcW w:w="7592" w:type="dxa"/>
            <w:gridSpan w:val="6"/>
          </w:tcPr>
          <w:p w14:paraId="496959BC">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1.产品必须“三证齐全”。</w:t>
            </w:r>
          </w:p>
          <w:p w14:paraId="517DC60D">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2.物资的数量、品种和质量须</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确认。</w:t>
            </w:r>
          </w:p>
          <w:p w14:paraId="01993B8A">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3.以上为公园仓库库存的最低数量，</w:t>
            </w:r>
            <w:r>
              <w:rPr>
                <w:rFonts w:hint="eastAsia" w:ascii="宋体" w:hAnsi="宋体" w:eastAsia="宋体" w:cs="宋体"/>
                <w:color w:val="auto"/>
                <w:kern w:val="0"/>
                <w:sz w:val="24"/>
                <w:szCs w:val="24"/>
                <w:highlight w:val="none"/>
                <w:lang w:eastAsia="zh-CN"/>
              </w:rPr>
              <w:t>中标人</w:t>
            </w:r>
            <w:r>
              <w:rPr>
                <w:rFonts w:hint="eastAsia" w:ascii="宋体" w:hAnsi="宋体" w:eastAsia="宋体" w:cs="宋体"/>
                <w:color w:val="auto"/>
                <w:kern w:val="0"/>
                <w:sz w:val="24"/>
                <w:szCs w:val="24"/>
                <w:highlight w:val="none"/>
              </w:rPr>
              <w:t>需定期检查、盘点，及时按公园要求补充消耗、过期或失效的物资。</w:t>
            </w:r>
          </w:p>
        </w:tc>
      </w:tr>
    </w:tbl>
    <w:p w14:paraId="2325FE12">
      <w:pPr>
        <w:widowControl/>
        <w:tabs>
          <w:tab w:val="left" w:pos="851"/>
        </w:tabs>
        <w:adjustRightInd/>
        <w:spacing w:line="360" w:lineRule="auto"/>
        <w:ind w:firstLine="480" w:firstLineChars="200"/>
        <w:rPr>
          <w:rFonts w:hint="default" w:ascii="宋体" w:hAnsi="宋体" w:eastAsia="宋体" w:cs="宋体"/>
          <w:b/>
          <w:bCs w:val="0"/>
          <w:color w:val="auto"/>
          <w:kern w:val="0"/>
          <w:sz w:val="24"/>
          <w:highlight w:val="none"/>
          <w:lang w:val="en-US" w:eastAsia="zh-CN"/>
        </w:rPr>
      </w:pPr>
      <w:r>
        <w:rPr>
          <w:rFonts w:hint="eastAsia" w:ascii="宋体" w:hAnsi="宋体" w:cs="宋体"/>
          <w:b/>
          <w:bCs w:val="0"/>
          <w:color w:val="auto"/>
          <w:kern w:val="0"/>
          <w:sz w:val="24"/>
          <w:highlight w:val="none"/>
          <w:lang w:val="en-US" w:eastAsia="zh-CN"/>
        </w:rPr>
        <w:t>⑥</w:t>
      </w:r>
      <w:r>
        <w:rPr>
          <w:rFonts w:hint="eastAsia" w:ascii="宋体" w:hAnsi="宋体" w:eastAsia="宋体" w:cs="宋体"/>
          <w:b/>
          <w:bCs w:val="0"/>
          <w:color w:val="auto"/>
          <w:kern w:val="0"/>
          <w:sz w:val="24"/>
          <w:highlight w:val="none"/>
          <w:lang w:val="en-US" w:eastAsia="zh-CN"/>
        </w:rPr>
        <w:t>设施、设备维修维护类</w:t>
      </w:r>
    </w:p>
    <w:tbl>
      <w:tblPr>
        <w:tblStyle w:val="62"/>
        <w:tblW w:w="9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8236"/>
      </w:tblGrid>
      <w:tr w14:paraId="01EE7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1277" w:type="dxa"/>
            <w:vAlign w:val="center"/>
          </w:tcPr>
          <w:p w14:paraId="1A2C3755">
            <w:pPr>
              <w:jc w:val="center"/>
              <w:rPr>
                <w:rFonts w:hint="default" w:ascii="宋体" w:eastAsia="宋体" w:cs="宋体"/>
                <w:b/>
                <w:bCs/>
                <w:color w:val="auto"/>
                <w:kern w:val="0"/>
                <w:sz w:val="24"/>
                <w:szCs w:val="24"/>
                <w:highlight w:val="none"/>
                <w:lang w:val="en-US" w:eastAsia="zh-CN"/>
              </w:rPr>
            </w:pPr>
            <w:r>
              <w:rPr>
                <w:rFonts w:hint="eastAsia" w:ascii="宋体" w:hAnsi="宋体" w:cs="宋体"/>
                <w:b/>
                <w:bCs/>
                <w:color w:val="auto"/>
                <w:kern w:val="0"/>
                <w:sz w:val="24"/>
                <w:szCs w:val="24"/>
                <w:highlight w:val="none"/>
                <w:lang w:val="en-US" w:eastAsia="zh-CN"/>
              </w:rPr>
              <w:t>维护要求</w:t>
            </w:r>
          </w:p>
        </w:tc>
        <w:tc>
          <w:tcPr>
            <w:tcW w:w="8236" w:type="dxa"/>
            <w:vAlign w:val="center"/>
          </w:tcPr>
          <w:p w14:paraId="7F4C9C04">
            <w:pPr>
              <w:widowControl w:val="0"/>
              <w:rPr>
                <w:rFonts w:hint="default"/>
                <w:highlight w:val="none"/>
                <w:lang w:val="en-US" w:eastAsia="zh-CN"/>
              </w:rPr>
            </w:pPr>
            <w:r>
              <w:rPr>
                <w:rFonts w:hint="eastAsia" w:ascii="宋体" w:hAnsi="宋体" w:eastAsia="宋体" w:cs="宋体"/>
                <w:color w:val="auto"/>
                <w:sz w:val="24"/>
                <w:szCs w:val="24"/>
                <w:highlight w:val="none"/>
                <w:lang w:eastAsia="zh-CN"/>
              </w:rPr>
              <w:t>每年刷新维护内容及要求详见</w:t>
            </w:r>
            <w:r>
              <w:rPr>
                <w:rFonts w:hint="eastAsia" w:ascii="宋体" w:hAnsi="宋体" w:eastAsia="宋体" w:cs="宋体"/>
                <w:color w:val="auto"/>
                <w:sz w:val="24"/>
                <w:szCs w:val="24"/>
                <w:highlight w:val="none"/>
                <w:lang w:val="en-US" w:eastAsia="zh-CN"/>
              </w:rPr>
              <w:t>附件二</w:t>
            </w:r>
            <w:r>
              <w:rPr>
                <w:rFonts w:hint="eastAsia" w:ascii="宋体" w:hAnsi="宋体" w:eastAsia="宋体" w:cs="宋体"/>
                <w:color w:val="auto"/>
                <w:sz w:val="24"/>
                <w:szCs w:val="24"/>
                <w:highlight w:val="none"/>
                <w:lang w:eastAsia="zh-CN"/>
              </w:rPr>
              <w:t>，其中刷新维护</w:t>
            </w:r>
            <w:r>
              <w:rPr>
                <w:rFonts w:hint="eastAsia" w:ascii="宋体" w:hAnsi="宋体" w:eastAsia="宋体" w:cs="宋体"/>
                <w:color w:val="auto"/>
                <w:sz w:val="24"/>
                <w:szCs w:val="24"/>
                <w:highlight w:val="none"/>
              </w:rPr>
              <w:t>包含墙面刷漆、结构修补、防水修复和用电线路检修等</w:t>
            </w:r>
            <w:r>
              <w:rPr>
                <w:rFonts w:hint="eastAsia" w:ascii="宋体" w:hAnsi="宋体" w:eastAsia="宋体" w:cs="宋体"/>
                <w:color w:val="auto"/>
                <w:sz w:val="24"/>
                <w:szCs w:val="24"/>
                <w:highlight w:val="none"/>
                <w:lang w:eastAsia="zh-CN"/>
              </w:rPr>
              <w:t>，道路、广场等</w:t>
            </w:r>
            <w:r>
              <w:rPr>
                <w:rFonts w:hint="eastAsia" w:ascii="宋体" w:hAnsi="宋体" w:eastAsia="宋体" w:cs="宋体"/>
                <w:color w:val="auto"/>
                <w:sz w:val="24"/>
                <w:szCs w:val="24"/>
                <w:highlight w:val="none"/>
              </w:rPr>
              <w:t>硬质铺装维修根据公园实际情况安排修缮维护</w:t>
            </w:r>
            <w:r>
              <w:rPr>
                <w:rFonts w:hint="eastAsia" w:ascii="宋体" w:hAnsi="宋体" w:cs="宋体"/>
                <w:color w:val="auto"/>
                <w:sz w:val="24"/>
                <w:szCs w:val="24"/>
                <w:highlight w:val="none"/>
                <w:lang w:eastAsia="zh-CN"/>
              </w:rPr>
              <w:t>，</w:t>
            </w:r>
            <w:r>
              <w:rPr>
                <w:rFonts w:hint="eastAsia" w:ascii="宋体" w:hAnsi="宋体" w:eastAsia="宋体" w:cs="宋体"/>
                <w:color w:val="auto"/>
                <w:kern w:val="0"/>
                <w:sz w:val="24"/>
                <w:szCs w:val="24"/>
                <w:highlight w:val="none"/>
              </w:rPr>
              <w:t>应急抢修，主要包括供电及给排水等设施</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相关机械设备的维修保养、定期检修，清单附件二。不限于以上设施、设备维修，具体以</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实际需求情况为准</w:t>
            </w: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按实结算</w:t>
            </w:r>
            <w:r>
              <w:rPr>
                <w:rFonts w:hint="eastAsia" w:ascii="宋体" w:hAnsi="宋体" w:eastAsia="宋体" w:cs="宋体"/>
                <w:color w:val="auto"/>
                <w:kern w:val="0"/>
                <w:sz w:val="24"/>
                <w:szCs w:val="24"/>
                <w:highlight w:val="none"/>
              </w:rPr>
              <w:t>。</w:t>
            </w:r>
          </w:p>
        </w:tc>
      </w:tr>
      <w:tr w14:paraId="6B86A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1277" w:type="dxa"/>
            <w:vAlign w:val="center"/>
          </w:tcPr>
          <w:p w14:paraId="691EC80A">
            <w:pPr>
              <w:jc w:val="center"/>
              <w:rPr>
                <w:rFonts w:asci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涉及主要材料要求</w:t>
            </w:r>
          </w:p>
        </w:tc>
        <w:tc>
          <w:tcPr>
            <w:tcW w:w="8236" w:type="dxa"/>
            <w:vAlign w:val="center"/>
          </w:tcPr>
          <w:p w14:paraId="07AB01B8">
            <w:pPr>
              <w:widowControl w:val="0"/>
              <w:numPr>
                <w:ilvl w:val="0"/>
                <w:numId w:val="3"/>
              </w:numPr>
              <w:rPr>
                <w:rFonts w:ascii="宋体" w:eastAsia="宋体" w:cs="宋体"/>
                <w:color w:val="auto"/>
                <w:sz w:val="24"/>
                <w:szCs w:val="24"/>
                <w:highlight w:val="none"/>
              </w:rPr>
            </w:pPr>
            <w:r>
              <w:rPr>
                <w:rFonts w:hint="eastAsia" w:eastAsia="宋体"/>
                <w:bCs/>
                <w:color w:val="auto"/>
                <w:sz w:val="24"/>
                <w:szCs w:val="24"/>
                <w:highlight w:val="none"/>
              </w:rPr>
              <w:t>主要用于</w:t>
            </w:r>
            <w:r>
              <w:rPr>
                <w:rFonts w:hint="eastAsia" w:ascii="宋体" w:hAnsi="宋体" w:eastAsia="宋体" w:cs="宋体"/>
                <w:color w:val="auto"/>
                <w:sz w:val="24"/>
                <w:szCs w:val="24"/>
                <w:highlight w:val="none"/>
              </w:rPr>
              <w:t>园内建筑物、地面、护栏、标识、健身器材、水电设施、垃圾分类点等较大型的设施、设备的常规刷新、维护维修所涉及的</w:t>
            </w:r>
            <w:r>
              <w:rPr>
                <w:rFonts w:hint="eastAsia" w:ascii="宋体" w:hAnsi="宋体" w:eastAsia="宋体" w:cs="宋体"/>
                <w:color w:val="auto"/>
                <w:kern w:val="0"/>
                <w:sz w:val="24"/>
                <w:szCs w:val="24"/>
                <w:highlight w:val="none"/>
              </w:rPr>
              <w:t>油漆、砂石、铺装材料、管线、五金等基本材料</w:t>
            </w:r>
            <w:r>
              <w:rPr>
                <w:rFonts w:hint="eastAsia" w:ascii="宋体" w:hAnsi="宋体" w:eastAsia="宋体" w:cs="宋体"/>
                <w:color w:val="auto"/>
                <w:sz w:val="24"/>
                <w:szCs w:val="24"/>
                <w:highlight w:val="none"/>
              </w:rPr>
              <w:t>，包括但不限于</w:t>
            </w:r>
            <w:r>
              <w:rPr>
                <w:rFonts w:ascii="宋体" w:hAnsi="宋体" w:eastAsia="宋体" w:cs="宋体"/>
                <w:color w:val="auto"/>
                <w:sz w:val="24"/>
                <w:szCs w:val="24"/>
                <w:highlight w:val="none"/>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监控</w:t>
            </w:r>
            <w:r>
              <w:rPr>
                <w:rFonts w:hint="eastAsia" w:ascii="宋体" w:hAnsi="宋体" w:eastAsia="宋体" w:cs="宋体"/>
                <w:color w:val="auto"/>
                <w:sz w:val="24"/>
                <w:szCs w:val="24"/>
                <w:highlight w:val="none"/>
              </w:rPr>
              <w:t>广播系统、</w:t>
            </w:r>
            <w:r>
              <w:rPr>
                <w:rFonts w:hint="eastAsia" w:ascii="宋体" w:hAnsi="宋体" w:eastAsia="宋体" w:cs="宋体"/>
                <w:color w:val="auto"/>
                <w:sz w:val="24"/>
                <w:szCs w:val="24"/>
                <w:highlight w:val="none"/>
                <w:lang w:eastAsia="zh-CN"/>
              </w:rPr>
              <w:t>喷灌系统、雾森系统、智慧灯杆、</w:t>
            </w:r>
            <w:r>
              <w:rPr>
                <w:rFonts w:hint="eastAsia" w:ascii="宋体" w:hAnsi="宋体" w:eastAsia="宋体" w:cs="宋体"/>
                <w:color w:val="auto"/>
                <w:sz w:val="24"/>
                <w:szCs w:val="24"/>
                <w:highlight w:val="none"/>
                <w:lang w:val="en-US" w:eastAsia="zh-CN"/>
              </w:rPr>
              <w:t>LED屏</w:t>
            </w:r>
            <w:r>
              <w:rPr>
                <w:rFonts w:hint="eastAsia" w:ascii="宋体" w:hAnsi="宋体" w:eastAsia="宋体" w:cs="宋体"/>
                <w:color w:val="auto"/>
                <w:sz w:val="24"/>
                <w:szCs w:val="24"/>
                <w:highlight w:val="none"/>
                <w:lang w:eastAsia="zh-CN"/>
              </w:rPr>
              <w:t>等相关设备维修、</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）加压泵、水池、消防设施及供水设施维修、</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）塑木栏杆维修、</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）石柱栏杆铁链维护、</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）亭廊等建筑物维护、</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）办公楼及设备维护、</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）供电设备维护、</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其他设施、设备维护。</w:t>
            </w:r>
          </w:p>
          <w:p w14:paraId="7893678F">
            <w:pPr>
              <w:widowControl w:val="0"/>
              <w:rPr>
                <w:rFonts w:ascii="宋体" w:eastAsia="宋体" w:cs="宋体"/>
                <w:color w:val="auto"/>
                <w:sz w:val="24"/>
                <w:szCs w:val="24"/>
                <w:highlight w:val="none"/>
              </w:rPr>
            </w:pPr>
            <w:r>
              <w:rPr>
                <w:rFonts w:ascii="宋体" w:hAnsi="宋体" w:eastAsia="宋体" w:cs="宋体"/>
                <w:color w:val="auto"/>
                <w:sz w:val="24"/>
                <w:szCs w:val="24"/>
                <w:highlight w:val="none"/>
              </w:rPr>
              <w:t>2.</w:t>
            </w:r>
            <w:r>
              <w:rPr>
                <w:rFonts w:hint="eastAsia" w:ascii="宋体" w:hAnsi="宋体" w:eastAsia="宋体" w:cs="宋体"/>
                <w:color w:val="auto"/>
                <w:sz w:val="24"/>
                <w:szCs w:val="24"/>
                <w:highlight w:val="none"/>
              </w:rPr>
              <w:t>维修维护所用材料配件要求与原本保持一致，若因停产或加工定制原因无法保持一致时，须经</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同意且不低于原本规格及质量标准。</w:t>
            </w:r>
          </w:p>
        </w:tc>
      </w:tr>
      <w:tr w14:paraId="1CC6F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277" w:type="dxa"/>
            <w:vAlign w:val="center"/>
          </w:tcPr>
          <w:p w14:paraId="6AA4B5AD">
            <w:pPr>
              <w:jc w:val="center"/>
              <w:rPr>
                <w:rFonts w:asci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管理要求</w:t>
            </w:r>
          </w:p>
        </w:tc>
        <w:tc>
          <w:tcPr>
            <w:tcW w:w="8236" w:type="dxa"/>
            <w:vAlign w:val="center"/>
          </w:tcPr>
          <w:p w14:paraId="206B4A4D">
            <w:pPr>
              <w:widowControl w:val="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1.采购人根据近年设施修缮及维护情况，具体约定每年完成维护修缮的设施量、质量要求和扣罚标准，不达标予以扣罚。</w:t>
            </w:r>
          </w:p>
          <w:p w14:paraId="2B307FE4">
            <w:pPr>
              <w:widowControl w:val="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2.设施修缮改造费用由采购人委托相关结算审核部门审核后支付（结算时按本项目整体中标下浮率下浮）。</w:t>
            </w:r>
          </w:p>
          <w:p w14:paraId="45FF394D">
            <w:pPr>
              <w:widowControl w:val="0"/>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lang w:val="en-US" w:eastAsia="zh-CN"/>
              </w:rPr>
              <w:t>.修缮范围不包括外包服务、经营单位使用的物业或设施。</w:t>
            </w:r>
          </w:p>
          <w:p w14:paraId="03F0F374">
            <w:pPr>
              <w:widowControl w:val="0"/>
              <w:rPr>
                <w:rFonts w:hint="default" w:eastAsia="宋体"/>
                <w:color w:val="auto"/>
                <w:sz w:val="24"/>
                <w:szCs w:val="24"/>
                <w:highlight w:val="none"/>
                <w:lang w:val="en-US"/>
              </w:rPr>
            </w:pPr>
            <w:r>
              <w:rPr>
                <w:rFonts w:hint="eastAsia" w:ascii="宋体" w:hAnsi="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lang w:val="en-US" w:eastAsia="zh-CN"/>
              </w:rPr>
              <w:t>.中标人需在采购人提出维修需求后24小时之内响应，维修计划以及完成时间需与采购人协商确</w:t>
            </w:r>
            <w:r>
              <w:rPr>
                <w:rFonts w:hint="eastAsia" w:ascii="宋体" w:hAnsi="宋体" w:cs="宋体"/>
                <w:color w:val="auto"/>
                <w:kern w:val="0"/>
                <w:sz w:val="24"/>
                <w:szCs w:val="24"/>
                <w:highlight w:val="none"/>
                <w:lang w:val="en-US" w:eastAsia="zh-CN"/>
              </w:rPr>
              <w:t>定。</w:t>
            </w:r>
          </w:p>
        </w:tc>
      </w:tr>
    </w:tbl>
    <w:p w14:paraId="54B00F71">
      <w:pPr>
        <w:widowControl/>
        <w:tabs>
          <w:tab w:val="left" w:pos="851"/>
        </w:tabs>
        <w:adjustRightInd/>
        <w:spacing w:line="360" w:lineRule="auto"/>
        <w:ind w:firstLine="480" w:firstLineChars="200"/>
        <w:rPr>
          <w:rFonts w:hint="default" w:ascii="宋体" w:hAnsi="宋体" w:eastAsia="宋体" w:cs="宋体"/>
          <w:b/>
          <w:color w:val="auto"/>
          <w:kern w:val="0"/>
          <w:sz w:val="24"/>
          <w:highlight w:val="none"/>
          <w:lang w:val="en-US" w:eastAsia="zh-CN"/>
        </w:rPr>
      </w:pPr>
      <w:r>
        <w:rPr>
          <w:rFonts w:hint="eastAsia" w:ascii="宋体" w:hAnsi="宋体" w:cs="宋体"/>
          <w:b/>
          <w:color w:val="auto"/>
          <w:kern w:val="0"/>
          <w:sz w:val="24"/>
          <w:highlight w:val="none"/>
          <w:lang w:val="en-US" w:eastAsia="zh-CN"/>
        </w:rPr>
        <w:t>⑦</w:t>
      </w:r>
      <w:r>
        <w:rPr>
          <w:rFonts w:hint="eastAsia" w:ascii="宋体" w:hAnsi="宋体" w:eastAsia="宋体" w:cs="宋体"/>
          <w:b/>
          <w:color w:val="auto"/>
          <w:kern w:val="0"/>
          <w:sz w:val="24"/>
          <w:highlight w:val="none"/>
          <w:lang w:val="en-US" w:eastAsia="zh-CN"/>
        </w:rPr>
        <w:t>自动售卖机投放要求</w:t>
      </w:r>
    </w:p>
    <w:p w14:paraId="0DF39A40">
      <w:pPr>
        <w:widowControl w:val="0"/>
        <w:adjustRightInd w:val="0"/>
        <w:spacing w:line="380" w:lineRule="exact"/>
        <w:ind w:firstLine="480"/>
        <w:jc w:val="both"/>
        <w:rPr>
          <w:rFonts w:hint="default" w:ascii="Times New Roman" w:hAnsi="Times New Roman" w:eastAsia="方正书宋简体" w:cs="Times New Roman"/>
          <w:color w:val="auto"/>
          <w:kern w:val="2"/>
          <w:sz w:val="24"/>
          <w:szCs w:val="24"/>
          <w:highlight w:val="none"/>
          <w:lang w:val="en-US" w:eastAsia="zh-CN" w:bidi="ar-SA"/>
        </w:rPr>
      </w:pPr>
      <w:r>
        <w:rPr>
          <w:rFonts w:hint="eastAsia" w:ascii="宋体" w:hAnsi="宋体" w:eastAsia="方正书宋简体" w:cs="宋体"/>
          <w:b/>
          <w:color w:val="auto"/>
          <w:kern w:val="0"/>
          <w:sz w:val="24"/>
          <w:szCs w:val="24"/>
          <w:highlight w:val="none"/>
          <w:lang w:val="en-US" w:eastAsia="zh-CN" w:bidi="ar-SA"/>
        </w:rPr>
        <w:t>a.投标区域及数量</w:t>
      </w:r>
    </w:p>
    <w:tbl>
      <w:tblPr>
        <w:tblStyle w:val="63"/>
        <w:tblW w:w="8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9"/>
        <w:gridCol w:w="3871"/>
        <w:gridCol w:w="1679"/>
        <w:gridCol w:w="2089"/>
      </w:tblGrid>
      <w:tr w14:paraId="3B955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099" w:type="dxa"/>
            <w:noWrap w:val="0"/>
            <w:vAlign w:val="center"/>
          </w:tcPr>
          <w:p w14:paraId="2D837DC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
                <w:bCs/>
                <w:color w:val="auto"/>
                <w:sz w:val="24"/>
                <w:szCs w:val="24"/>
                <w:highlight w:val="none"/>
                <w:u w:val="none"/>
                <w:vertAlign w:val="baseline"/>
                <w:lang w:val="en-US" w:eastAsia="zh-CN"/>
              </w:rPr>
            </w:pPr>
            <w:r>
              <w:rPr>
                <w:rFonts w:hint="eastAsia" w:ascii="宋体" w:hAnsi="宋体" w:eastAsia="宋体" w:cs="宋体"/>
                <w:b/>
                <w:bCs/>
                <w:color w:val="auto"/>
                <w:sz w:val="24"/>
                <w:szCs w:val="24"/>
                <w:highlight w:val="none"/>
                <w:u w:val="none"/>
                <w:vertAlign w:val="baseline"/>
                <w:lang w:val="en-US" w:eastAsia="zh-CN"/>
              </w:rPr>
              <w:t>序号</w:t>
            </w:r>
          </w:p>
        </w:tc>
        <w:tc>
          <w:tcPr>
            <w:tcW w:w="3871" w:type="dxa"/>
            <w:noWrap w:val="0"/>
            <w:vAlign w:val="center"/>
          </w:tcPr>
          <w:p w14:paraId="48A531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auto"/>
                <w:sz w:val="24"/>
                <w:szCs w:val="24"/>
                <w:highlight w:val="none"/>
                <w:u w:val="none"/>
                <w:vertAlign w:val="baseline"/>
                <w:lang w:val="en-US" w:eastAsia="zh-CN"/>
              </w:rPr>
            </w:pPr>
            <w:r>
              <w:rPr>
                <w:rFonts w:hint="eastAsia" w:ascii="宋体" w:hAnsi="宋体" w:eastAsia="宋体" w:cs="宋体"/>
                <w:b/>
                <w:bCs/>
                <w:color w:val="auto"/>
                <w:sz w:val="24"/>
                <w:szCs w:val="24"/>
                <w:highlight w:val="none"/>
                <w:u w:val="none"/>
                <w:vertAlign w:val="baseline"/>
                <w:lang w:val="en-US" w:eastAsia="zh-CN"/>
              </w:rPr>
              <w:t>公园名称</w:t>
            </w:r>
          </w:p>
        </w:tc>
        <w:tc>
          <w:tcPr>
            <w:tcW w:w="1679" w:type="dxa"/>
            <w:noWrap w:val="0"/>
            <w:vAlign w:val="center"/>
          </w:tcPr>
          <w:p w14:paraId="638B02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auto"/>
                <w:sz w:val="24"/>
                <w:szCs w:val="24"/>
                <w:highlight w:val="none"/>
                <w:u w:val="none"/>
                <w:vertAlign w:val="baseline"/>
                <w:lang w:val="en-US" w:eastAsia="zh-CN"/>
              </w:rPr>
            </w:pPr>
            <w:r>
              <w:rPr>
                <w:rFonts w:hint="eastAsia" w:ascii="宋体" w:hAnsi="宋体" w:eastAsia="宋体" w:cs="宋体"/>
                <w:b/>
                <w:bCs/>
                <w:color w:val="auto"/>
                <w:sz w:val="24"/>
                <w:szCs w:val="24"/>
                <w:highlight w:val="none"/>
                <w:u w:val="none"/>
                <w:vertAlign w:val="baseline"/>
                <w:lang w:val="en-US" w:eastAsia="zh-CN"/>
              </w:rPr>
              <w:t>数量</w:t>
            </w:r>
          </w:p>
        </w:tc>
        <w:tc>
          <w:tcPr>
            <w:tcW w:w="2089" w:type="dxa"/>
            <w:noWrap w:val="0"/>
            <w:vAlign w:val="center"/>
          </w:tcPr>
          <w:p w14:paraId="0D6536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
                <w:bCs/>
                <w:color w:val="auto"/>
                <w:sz w:val="24"/>
                <w:szCs w:val="24"/>
                <w:highlight w:val="none"/>
                <w:u w:val="none"/>
                <w:vertAlign w:val="baseline"/>
                <w:lang w:val="en-US" w:eastAsia="zh-CN"/>
              </w:rPr>
            </w:pPr>
            <w:r>
              <w:rPr>
                <w:rFonts w:hint="eastAsia" w:ascii="宋体" w:hAnsi="宋体" w:eastAsia="宋体" w:cs="宋体"/>
                <w:b/>
                <w:bCs/>
                <w:color w:val="auto"/>
                <w:sz w:val="24"/>
                <w:szCs w:val="24"/>
                <w:highlight w:val="none"/>
                <w:u w:val="none"/>
                <w:vertAlign w:val="baseline"/>
                <w:lang w:val="en-US" w:eastAsia="zh-CN"/>
              </w:rPr>
              <w:t>单位</w:t>
            </w:r>
          </w:p>
        </w:tc>
      </w:tr>
      <w:tr w14:paraId="753ED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099" w:type="dxa"/>
            <w:noWrap w:val="0"/>
            <w:vAlign w:val="center"/>
          </w:tcPr>
          <w:p w14:paraId="33F8F7B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4"/>
                <w:szCs w:val="24"/>
                <w:highlight w:val="none"/>
                <w:u w:val="none"/>
                <w:vertAlign w:val="baseline"/>
                <w:lang w:val="en-US" w:eastAsia="zh-CN"/>
              </w:rPr>
            </w:pPr>
            <w:r>
              <w:rPr>
                <w:rFonts w:hint="eastAsia" w:ascii="宋体" w:hAnsi="宋体" w:eastAsia="宋体" w:cs="宋体"/>
                <w:color w:val="auto"/>
                <w:sz w:val="24"/>
                <w:szCs w:val="24"/>
                <w:highlight w:val="none"/>
                <w:u w:val="none"/>
                <w:vertAlign w:val="baseline"/>
                <w:lang w:val="en-US" w:eastAsia="zh-CN"/>
              </w:rPr>
              <w:t>1</w:t>
            </w:r>
          </w:p>
        </w:tc>
        <w:tc>
          <w:tcPr>
            <w:tcW w:w="3871" w:type="dxa"/>
            <w:noWrap w:val="0"/>
            <w:vAlign w:val="center"/>
          </w:tcPr>
          <w:p w14:paraId="5895FCC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4"/>
                <w:szCs w:val="24"/>
                <w:highlight w:val="none"/>
                <w:u w:val="none"/>
                <w:vertAlign w:val="baseline"/>
                <w:lang w:val="en-US" w:eastAsia="zh-CN"/>
              </w:rPr>
            </w:pPr>
            <w:r>
              <w:rPr>
                <w:rFonts w:hint="eastAsia" w:ascii="宋体" w:hAnsi="宋体" w:eastAsia="宋体" w:cs="宋体"/>
                <w:color w:val="auto"/>
                <w:sz w:val="24"/>
                <w:szCs w:val="24"/>
                <w:highlight w:val="none"/>
                <w:u w:val="none"/>
                <w:vertAlign w:val="baseline"/>
                <w:lang w:val="en-US" w:eastAsia="zh-CN"/>
              </w:rPr>
              <w:t>日湖</w:t>
            </w:r>
            <w:r>
              <w:rPr>
                <w:rFonts w:hint="eastAsia" w:ascii="宋体" w:hAnsi="宋体" w:eastAsia="宋体" w:cs="宋体"/>
                <w:color w:val="auto"/>
                <w:sz w:val="24"/>
                <w:szCs w:val="24"/>
                <w:highlight w:val="none"/>
                <w:u w:val="none"/>
                <w:vertAlign w:val="baseline"/>
              </w:rPr>
              <w:t>公园</w:t>
            </w:r>
          </w:p>
        </w:tc>
        <w:tc>
          <w:tcPr>
            <w:tcW w:w="1679" w:type="dxa"/>
            <w:noWrap w:val="0"/>
            <w:vAlign w:val="center"/>
          </w:tcPr>
          <w:p w14:paraId="64978B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4"/>
                <w:szCs w:val="24"/>
                <w:highlight w:val="none"/>
                <w:u w:val="none"/>
                <w:vertAlign w:val="baseline"/>
                <w:lang w:val="en-US" w:eastAsia="zh-CN"/>
              </w:rPr>
            </w:pPr>
            <w:r>
              <w:rPr>
                <w:rFonts w:hint="eastAsia" w:ascii="宋体" w:hAnsi="宋体" w:eastAsia="宋体" w:cs="宋体"/>
                <w:color w:val="auto"/>
                <w:sz w:val="24"/>
                <w:szCs w:val="24"/>
                <w:highlight w:val="none"/>
                <w:u w:val="none"/>
                <w:vertAlign w:val="baseline"/>
                <w:lang w:val="en-US" w:eastAsia="zh-CN"/>
              </w:rPr>
              <w:t>4</w:t>
            </w:r>
          </w:p>
        </w:tc>
        <w:tc>
          <w:tcPr>
            <w:tcW w:w="2089" w:type="dxa"/>
            <w:noWrap w:val="0"/>
            <w:vAlign w:val="center"/>
          </w:tcPr>
          <w:p w14:paraId="275EC9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4"/>
                <w:szCs w:val="24"/>
                <w:highlight w:val="none"/>
                <w:u w:val="none"/>
                <w:vertAlign w:val="baseline"/>
                <w:lang w:val="en-US" w:eastAsia="zh-CN"/>
              </w:rPr>
            </w:pPr>
            <w:r>
              <w:rPr>
                <w:rFonts w:hint="eastAsia" w:ascii="宋体" w:hAnsi="宋体" w:eastAsia="宋体" w:cs="宋体"/>
                <w:color w:val="auto"/>
                <w:sz w:val="24"/>
                <w:szCs w:val="24"/>
                <w:highlight w:val="none"/>
                <w:u w:val="none"/>
                <w:vertAlign w:val="baseline"/>
                <w:lang w:val="en-US" w:eastAsia="zh-CN"/>
              </w:rPr>
              <w:t>台</w:t>
            </w:r>
          </w:p>
        </w:tc>
      </w:tr>
      <w:tr w14:paraId="7EBEB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4970" w:type="dxa"/>
            <w:gridSpan w:val="2"/>
            <w:noWrap w:val="0"/>
            <w:vAlign w:val="center"/>
          </w:tcPr>
          <w:p w14:paraId="196E78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4"/>
                <w:szCs w:val="24"/>
                <w:highlight w:val="none"/>
                <w:u w:val="none"/>
                <w:vertAlign w:val="baseline"/>
                <w:lang w:val="en-US" w:eastAsia="zh-CN"/>
              </w:rPr>
            </w:pPr>
            <w:r>
              <w:rPr>
                <w:rFonts w:hint="eastAsia" w:ascii="宋体" w:hAnsi="宋体" w:eastAsia="宋体" w:cs="宋体"/>
                <w:color w:val="auto"/>
                <w:sz w:val="24"/>
                <w:szCs w:val="24"/>
                <w:highlight w:val="none"/>
                <w:u w:val="none"/>
                <w:vertAlign w:val="baseline"/>
                <w:lang w:val="en-US" w:eastAsia="zh-CN"/>
              </w:rPr>
              <w:t>合计</w:t>
            </w:r>
          </w:p>
        </w:tc>
        <w:tc>
          <w:tcPr>
            <w:tcW w:w="1679" w:type="dxa"/>
            <w:noWrap w:val="0"/>
            <w:vAlign w:val="center"/>
          </w:tcPr>
          <w:p w14:paraId="40DB09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4"/>
                <w:szCs w:val="24"/>
                <w:highlight w:val="none"/>
                <w:u w:val="none"/>
                <w:vertAlign w:val="baseline"/>
                <w:lang w:val="en-US" w:eastAsia="zh-CN"/>
              </w:rPr>
            </w:pPr>
            <w:r>
              <w:rPr>
                <w:rFonts w:hint="eastAsia" w:ascii="宋体" w:hAnsi="宋体" w:eastAsia="宋体" w:cs="宋体"/>
                <w:color w:val="auto"/>
                <w:sz w:val="24"/>
                <w:szCs w:val="24"/>
                <w:highlight w:val="none"/>
                <w:u w:val="none"/>
                <w:vertAlign w:val="baseline"/>
                <w:lang w:val="en-US" w:eastAsia="zh-CN"/>
              </w:rPr>
              <w:t>4</w:t>
            </w:r>
          </w:p>
        </w:tc>
        <w:tc>
          <w:tcPr>
            <w:tcW w:w="2089" w:type="dxa"/>
            <w:noWrap w:val="0"/>
            <w:vAlign w:val="center"/>
          </w:tcPr>
          <w:p w14:paraId="07FDD1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4"/>
                <w:szCs w:val="24"/>
                <w:highlight w:val="none"/>
                <w:u w:val="none"/>
                <w:vertAlign w:val="baseline"/>
                <w:lang w:val="en-US" w:eastAsia="zh-CN"/>
              </w:rPr>
            </w:pPr>
            <w:r>
              <w:rPr>
                <w:rFonts w:hint="eastAsia" w:ascii="宋体" w:hAnsi="宋体" w:eastAsia="宋体" w:cs="宋体"/>
                <w:color w:val="auto"/>
                <w:sz w:val="24"/>
                <w:szCs w:val="24"/>
                <w:highlight w:val="none"/>
                <w:u w:val="none"/>
                <w:vertAlign w:val="baseline"/>
                <w:lang w:val="en-US" w:eastAsia="zh-CN"/>
              </w:rPr>
              <w:t>台</w:t>
            </w:r>
          </w:p>
        </w:tc>
      </w:tr>
    </w:tbl>
    <w:p w14:paraId="6E8A7AEF">
      <w:pPr>
        <w:widowControl w:val="0"/>
        <w:adjustRightInd w:val="0"/>
        <w:spacing w:line="380" w:lineRule="exact"/>
        <w:ind w:firstLine="480"/>
        <w:jc w:val="both"/>
        <w:rPr>
          <w:rFonts w:hint="eastAsia" w:ascii="宋体" w:hAnsi="宋体" w:eastAsia="方正书宋简体" w:cs="宋体"/>
          <w:b/>
          <w:color w:val="auto"/>
          <w:kern w:val="0"/>
          <w:sz w:val="24"/>
          <w:szCs w:val="24"/>
          <w:highlight w:val="none"/>
          <w:lang w:val="en-US" w:eastAsia="zh-CN" w:bidi="ar-SA"/>
        </w:rPr>
      </w:pPr>
      <w:r>
        <w:rPr>
          <w:rFonts w:hint="eastAsia" w:ascii="宋体" w:hAnsi="宋体" w:eastAsia="方正书宋简体" w:cs="宋体"/>
          <w:b/>
          <w:color w:val="auto"/>
          <w:kern w:val="0"/>
          <w:sz w:val="24"/>
          <w:szCs w:val="24"/>
          <w:highlight w:val="none"/>
          <w:lang w:val="en-US" w:eastAsia="zh-CN" w:bidi="ar-SA"/>
        </w:rPr>
        <w:t>b.投标要求</w:t>
      </w:r>
    </w:p>
    <w:p w14:paraId="451A9FF8">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1.自动售卖机</w:t>
      </w:r>
      <w:r>
        <w:rPr>
          <w:rFonts w:hint="eastAsia" w:ascii="宋体" w:hAnsi="宋体" w:eastAsia="宋体" w:cs="宋体"/>
          <w:bCs/>
          <w:color w:val="auto"/>
          <w:kern w:val="0"/>
          <w:sz w:val="24"/>
          <w:highlight w:val="none"/>
          <w:lang w:val="en-US"/>
        </w:rPr>
        <w:t>购置、供电线路敷设由</w:t>
      </w:r>
      <w:r>
        <w:rPr>
          <w:rFonts w:hint="eastAsia" w:ascii="宋体" w:hAnsi="宋体" w:eastAsia="宋体" w:cs="宋体"/>
          <w:bCs/>
          <w:color w:val="auto"/>
          <w:kern w:val="0"/>
          <w:sz w:val="24"/>
          <w:highlight w:val="none"/>
          <w:lang w:val="en-US" w:eastAsia="zh-CN"/>
        </w:rPr>
        <w:t>中标人</w:t>
      </w:r>
      <w:r>
        <w:rPr>
          <w:rFonts w:hint="eastAsia" w:ascii="宋体" w:hAnsi="宋体" w:eastAsia="宋体" w:cs="宋体"/>
          <w:bCs/>
          <w:color w:val="auto"/>
          <w:kern w:val="0"/>
          <w:sz w:val="24"/>
          <w:highlight w:val="none"/>
          <w:lang w:val="en-US"/>
        </w:rPr>
        <w:t>自行负责（包括电路改造、室外遮蔽设施等基建费用，其中放置点位、设备尺寸、涂装方案、供电线路、电表安装方案必须经</w:t>
      </w:r>
      <w:r>
        <w:rPr>
          <w:rFonts w:hint="eastAsia" w:ascii="宋体" w:hAnsi="宋体" w:eastAsia="宋体" w:cs="宋体"/>
          <w:bCs/>
          <w:color w:val="auto"/>
          <w:kern w:val="0"/>
          <w:sz w:val="24"/>
          <w:highlight w:val="none"/>
          <w:lang w:val="en-US" w:eastAsia="zh-CN"/>
        </w:rPr>
        <w:t>采购人</w:t>
      </w:r>
      <w:r>
        <w:rPr>
          <w:rFonts w:hint="eastAsia" w:ascii="宋体" w:hAnsi="宋体" w:eastAsia="宋体" w:cs="宋体"/>
          <w:bCs/>
          <w:color w:val="auto"/>
          <w:kern w:val="0"/>
          <w:sz w:val="24"/>
          <w:highlight w:val="none"/>
          <w:lang w:val="en-US"/>
        </w:rPr>
        <w:t>确认之后才能施工，费用由</w:t>
      </w:r>
      <w:r>
        <w:rPr>
          <w:rFonts w:hint="eastAsia" w:ascii="宋体" w:hAnsi="宋体" w:eastAsia="宋体" w:cs="宋体"/>
          <w:bCs/>
          <w:color w:val="auto"/>
          <w:kern w:val="0"/>
          <w:sz w:val="24"/>
          <w:highlight w:val="none"/>
          <w:lang w:val="en-US" w:eastAsia="zh-CN"/>
        </w:rPr>
        <w:t>中标人</w:t>
      </w:r>
      <w:r>
        <w:rPr>
          <w:rFonts w:hint="eastAsia" w:ascii="宋体" w:hAnsi="宋体" w:eastAsia="宋体" w:cs="宋体"/>
          <w:bCs/>
          <w:color w:val="auto"/>
          <w:kern w:val="0"/>
          <w:sz w:val="24"/>
          <w:highlight w:val="none"/>
          <w:lang w:val="en-US"/>
        </w:rPr>
        <w:t>承担），</w:t>
      </w:r>
      <w:r>
        <w:rPr>
          <w:rFonts w:hint="eastAsia" w:ascii="宋体" w:hAnsi="宋体" w:eastAsia="宋体" w:cs="宋体"/>
          <w:bCs/>
          <w:color w:val="auto"/>
          <w:kern w:val="0"/>
          <w:sz w:val="24"/>
          <w:highlight w:val="none"/>
          <w:lang w:val="en-US" w:eastAsia="zh-CN"/>
        </w:rPr>
        <w:t>采购人</w:t>
      </w:r>
      <w:r>
        <w:rPr>
          <w:rFonts w:hint="eastAsia" w:ascii="宋体" w:hAnsi="宋体" w:eastAsia="宋体" w:cs="宋体"/>
          <w:bCs/>
          <w:color w:val="auto"/>
          <w:kern w:val="0"/>
          <w:sz w:val="24"/>
          <w:highlight w:val="none"/>
          <w:lang w:val="en-US"/>
        </w:rPr>
        <w:t>不承担任何费用</w:t>
      </w:r>
      <w:r>
        <w:rPr>
          <w:rFonts w:hint="eastAsia" w:ascii="宋体" w:hAnsi="宋体" w:eastAsia="宋体" w:cs="宋体"/>
          <w:bCs/>
          <w:color w:val="auto"/>
          <w:kern w:val="0"/>
          <w:sz w:val="24"/>
          <w:highlight w:val="none"/>
          <w:lang w:val="en-US" w:eastAsia="zh-CN"/>
        </w:rPr>
        <w:t>，中标人应在合同签订后1个月内完成自动售卖机的布置。</w:t>
      </w:r>
    </w:p>
    <w:p w14:paraId="4270BCB4">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2.自动售卖机</w:t>
      </w:r>
      <w:r>
        <w:rPr>
          <w:rFonts w:hint="eastAsia" w:ascii="宋体" w:hAnsi="宋体" w:eastAsia="宋体" w:cs="宋体"/>
          <w:bCs/>
          <w:color w:val="auto"/>
          <w:kern w:val="0"/>
          <w:sz w:val="24"/>
          <w:highlight w:val="none"/>
          <w:lang w:val="en-US"/>
        </w:rPr>
        <w:t>支付方式多</w:t>
      </w:r>
      <w:r>
        <w:rPr>
          <w:rFonts w:hint="eastAsia" w:ascii="宋体" w:hAnsi="宋体" w:eastAsia="宋体" w:cs="宋体"/>
          <w:bCs/>
          <w:color w:val="auto"/>
          <w:kern w:val="0"/>
          <w:sz w:val="24"/>
          <w:highlight w:val="none"/>
          <w:lang w:val="en-US" w:eastAsia="zh-CN"/>
        </w:rPr>
        <w:t>样</w:t>
      </w:r>
      <w:r>
        <w:rPr>
          <w:rFonts w:hint="eastAsia" w:ascii="宋体" w:hAnsi="宋体" w:eastAsia="宋体" w:cs="宋体"/>
          <w:bCs/>
          <w:color w:val="auto"/>
          <w:kern w:val="0"/>
          <w:sz w:val="24"/>
          <w:highlight w:val="none"/>
          <w:lang w:val="en-US"/>
        </w:rPr>
        <w:t>化，含现金、银行卡、支付宝、微信等支付形式；</w:t>
      </w:r>
      <w:r>
        <w:rPr>
          <w:rFonts w:hint="eastAsia" w:ascii="宋体" w:hAnsi="宋体" w:eastAsia="宋体" w:cs="宋体"/>
          <w:bCs/>
          <w:color w:val="auto"/>
          <w:kern w:val="0"/>
          <w:sz w:val="24"/>
          <w:highlight w:val="none"/>
          <w:lang w:val="en-US" w:eastAsia="zh-CN"/>
        </w:rPr>
        <w:t>商品</w:t>
      </w:r>
      <w:r>
        <w:rPr>
          <w:rFonts w:hint="eastAsia" w:ascii="宋体" w:hAnsi="宋体" w:eastAsia="宋体" w:cs="宋体"/>
          <w:bCs/>
          <w:color w:val="auto"/>
          <w:kern w:val="0"/>
          <w:sz w:val="24"/>
          <w:highlight w:val="none"/>
          <w:lang w:val="en-US"/>
        </w:rPr>
        <w:t>种类多样化</w:t>
      </w:r>
      <w:r>
        <w:rPr>
          <w:rFonts w:hint="eastAsia" w:ascii="宋体" w:hAnsi="宋体" w:eastAsia="宋体" w:cs="宋体"/>
          <w:bCs/>
          <w:color w:val="auto"/>
          <w:kern w:val="0"/>
          <w:sz w:val="24"/>
          <w:highlight w:val="none"/>
          <w:lang w:val="en-US" w:eastAsia="zh-CN"/>
        </w:rPr>
        <w:t>，明码标价，售价不得高于市场价。</w:t>
      </w:r>
    </w:p>
    <w:p w14:paraId="0A100235">
      <w:pPr>
        <w:widowControl/>
        <w:tabs>
          <w:tab w:val="left" w:pos="851"/>
        </w:tabs>
        <w:adjustRightInd/>
        <w:spacing w:line="360" w:lineRule="auto"/>
        <w:ind w:firstLine="480" w:firstLineChars="200"/>
        <w:rPr>
          <w:rFonts w:hint="default"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3.</w:t>
      </w:r>
      <w:r>
        <w:rPr>
          <w:rFonts w:hint="eastAsia" w:ascii="宋体" w:hAnsi="宋体" w:eastAsia="宋体" w:cs="宋体"/>
          <w:bCs/>
          <w:color w:val="auto"/>
          <w:kern w:val="0"/>
          <w:sz w:val="24"/>
          <w:highlight w:val="none"/>
          <w:lang w:val="en-US"/>
        </w:rPr>
        <w:t>供应商提供的设备必须符合</w:t>
      </w:r>
      <w:r>
        <w:rPr>
          <w:rFonts w:hint="eastAsia" w:ascii="宋体" w:hAnsi="宋体" w:eastAsia="宋体" w:cs="宋体"/>
          <w:bCs/>
          <w:color w:val="auto"/>
          <w:kern w:val="0"/>
          <w:sz w:val="24"/>
          <w:highlight w:val="none"/>
          <w:lang w:val="en-US" w:eastAsia="zh-CN"/>
        </w:rPr>
        <w:t>自动售卖机</w:t>
      </w:r>
      <w:r>
        <w:rPr>
          <w:rFonts w:hint="eastAsia" w:ascii="宋体" w:hAnsi="宋体" w:eastAsia="宋体" w:cs="宋体"/>
          <w:bCs/>
          <w:color w:val="auto"/>
          <w:kern w:val="0"/>
          <w:sz w:val="24"/>
          <w:highlight w:val="none"/>
          <w:lang w:val="en-US"/>
        </w:rPr>
        <w:t>的相关行业规范和国家规定，并由</w:t>
      </w:r>
      <w:r>
        <w:rPr>
          <w:rFonts w:hint="eastAsia" w:ascii="宋体" w:hAnsi="宋体" w:eastAsia="宋体" w:cs="宋体"/>
          <w:bCs/>
          <w:color w:val="auto"/>
          <w:kern w:val="0"/>
          <w:sz w:val="24"/>
          <w:highlight w:val="none"/>
          <w:lang w:val="en-US" w:eastAsia="zh-CN"/>
        </w:rPr>
        <w:t>中标人</w:t>
      </w:r>
      <w:r>
        <w:rPr>
          <w:rFonts w:hint="eastAsia" w:ascii="宋体" w:hAnsi="宋体" w:eastAsia="宋体" w:cs="宋体"/>
          <w:bCs/>
          <w:color w:val="auto"/>
          <w:kern w:val="0"/>
          <w:sz w:val="24"/>
          <w:highlight w:val="none"/>
          <w:lang w:val="en-US"/>
        </w:rPr>
        <w:t>负责设备的日常运</w:t>
      </w:r>
      <w:r>
        <w:rPr>
          <w:rFonts w:hint="eastAsia" w:ascii="宋体" w:hAnsi="宋体" w:eastAsia="宋体" w:cs="宋体"/>
          <w:bCs/>
          <w:color w:val="auto"/>
          <w:kern w:val="0"/>
          <w:sz w:val="24"/>
          <w:highlight w:val="none"/>
          <w:lang w:val="en-US" w:eastAsia="zh-CN"/>
        </w:rPr>
        <w:t>营</w:t>
      </w:r>
      <w:r>
        <w:rPr>
          <w:rFonts w:hint="eastAsia" w:ascii="宋体" w:hAnsi="宋体" w:eastAsia="宋体" w:cs="宋体"/>
          <w:bCs/>
          <w:color w:val="auto"/>
          <w:kern w:val="0"/>
          <w:sz w:val="24"/>
          <w:highlight w:val="none"/>
          <w:lang w:val="en-US"/>
        </w:rPr>
        <w:t>维护</w:t>
      </w:r>
      <w:r>
        <w:rPr>
          <w:rFonts w:hint="eastAsia" w:ascii="宋体" w:hAnsi="宋体" w:eastAsia="宋体" w:cs="宋体"/>
          <w:bCs/>
          <w:color w:val="auto"/>
          <w:kern w:val="0"/>
          <w:sz w:val="24"/>
          <w:highlight w:val="none"/>
          <w:lang w:val="en-US" w:eastAsia="zh-CN"/>
        </w:rPr>
        <w:t>、及时补货，并设立服务热线，对自动售卖机服务提供技术维护支持。</w:t>
      </w:r>
    </w:p>
    <w:p w14:paraId="7965CD8D">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4.中标人</w:t>
      </w:r>
      <w:r>
        <w:rPr>
          <w:rFonts w:hint="eastAsia" w:ascii="宋体" w:hAnsi="宋体" w:eastAsia="宋体" w:cs="宋体"/>
          <w:bCs/>
          <w:color w:val="auto"/>
          <w:kern w:val="0"/>
          <w:sz w:val="24"/>
          <w:highlight w:val="none"/>
          <w:lang w:val="en-US"/>
        </w:rPr>
        <w:t>有权派人员定期或不定期进入经营场地进行自动售卖机的更换、维护，但需向</w:t>
      </w:r>
      <w:r>
        <w:rPr>
          <w:rFonts w:hint="eastAsia" w:ascii="宋体" w:hAnsi="宋体" w:eastAsia="宋体" w:cs="宋体"/>
          <w:bCs/>
          <w:color w:val="auto"/>
          <w:kern w:val="0"/>
          <w:sz w:val="24"/>
          <w:highlight w:val="none"/>
          <w:lang w:val="en-US" w:eastAsia="zh-CN"/>
        </w:rPr>
        <w:t>采购人</w:t>
      </w:r>
      <w:r>
        <w:rPr>
          <w:rFonts w:hint="eastAsia" w:ascii="宋体" w:hAnsi="宋体" w:eastAsia="宋体" w:cs="宋体"/>
          <w:bCs/>
          <w:color w:val="auto"/>
          <w:kern w:val="0"/>
          <w:sz w:val="24"/>
          <w:highlight w:val="none"/>
          <w:lang w:val="en-US"/>
        </w:rPr>
        <w:t>表明身份，并说明目的，</w:t>
      </w:r>
      <w:r>
        <w:rPr>
          <w:rFonts w:hint="eastAsia" w:ascii="宋体" w:hAnsi="宋体" w:eastAsia="宋体" w:cs="宋体"/>
          <w:bCs/>
          <w:color w:val="auto"/>
          <w:kern w:val="0"/>
          <w:sz w:val="24"/>
          <w:highlight w:val="none"/>
          <w:lang w:val="en-US" w:eastAsia="zh-CN"/>
        </w:rPr>
        <w:t>采购人</w:t>
      </w:r>
      <w:r>
        <w:rPr>
          <w:rFonts w:hint="eastAsia" w:ascii="宋体" w:hAnsi="宋体" w:eastAsia="宋体" w:cs="宋体"/>
          <w:bCs/>
          <w:color w:val="auto"/>
          <w:kern w:val="0"/>
          <w:sz w:val="24"/>
          <w:highlight w:val="none"/>
          <w:lang w:val="en-US"/>
        </w:rPr>
        <w:t>可对前述人员的身份进行核实</w:t>
      </w:r>
      <w:r>
        <w:rPr>
          <w:rFonts w:hint="eastAsia" w:ascii="宋体" w:hAnsi="宋体" w:eastAsia="宋体" w:cs="宋体"/>
          <w:bCs/>
          <w:color w:val="auto"/>
          <w:kern w:val="0"/>
          <w:sz w:val="24"/>
          <w:highlight w:val="none"/>
          <w:lang w:val="en-US" w:eastAsia="zh-CN"/>
        </w:rPr>
        <w:t>。</w:t>
      </w:r>
    </w:p>
    <w:p w14:paraId="4D98017C">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5.</w:t>
      </w:r>
      <w:r>
        <w:rPr>
          <w:rFonts w:hint="eastAsia" w:ascii="宋体" w:hAnsi="宋体" w:eastAsia="宋体" w:cs="宋体"/>
          <w:bCs/>
          <w:color w:val="auto"/>
          <w:kern w:val="0"/>
          <w:sz w:val="24"/>
          <w:highlight w:val="none"/>
          <w:lang w:val="en-US"/>
        </w:rPr>
        <w:t>经营过程需办理的相关许可证书等申报手续由</w:t>
      </w:r>
      <w:r>
        <w:rPr>
          <w:rFonts w:hint="eastAsia" w:ascii="宋体" w:hAnsi="宋体" w:eastAsia="宋体" w:cs="宋体"/>
          <w:bCs/>
          <w:color w:val="auto"/>
          <w:kern w:val="0"/>
          <w:sz w:val="24"/>
          <w:highlight w:val="none"/>
          <w:lang w:val="en-US" w:eastAsia="zh-CN"/>
        </w:rPr>
        <w:t>中标人</w:t>
      </w:r>
      <w:r>
        <w:rPr>
          <w:rFonts w:hint="eastAsia" w:ascii="宋体" w:hAnsi="宋体" w:eastAsia="宋体" w:cs="宋体"/>
          <w:bCs/>
          <w:color w:val="auto"/>
          <w:kern w:val="0"/>
          <w:sz w:val="24"/>
          <w:highlight w:val="none"/>
          <w:lang w:val="en-US"/>
        </w:rPr>
        <w:t>自行办理，与</w:t>
      </w:r>
      <w:r>
        <w:rPr>
          <w:rFonts w:hint="eastAsia" w:ascii="宋体" w:hAnsi="宋体" w:eastAsia="宋体" w:cs="宋体"/>
          <w:bCs/>
          <w:color w:val="auto"/>
          <w:kern w:val="0"/>
          <w:sz w:val="24"/>
          <w:highlight w:val="none"/>
          <w:lang w:val="en-US" w:eastAsia="zh-CN"/>
        </w:rPr>
        <w:t>采购人</w:t>
      </w:r>
      <w:r>
        <w:rPr>
          <w:rFonts w:hint="eastAsia" w:ascii="宋体" w:hAnsi="宋体" w:eastAsia="宋体" w:cs="宋体"/>
          <w:bCs/>
          <w:color w:val="auto"/>
          <w:kern w:val="0"/>
          <w:sz w:val="24"/>
          <w:highlight w:val="none"/>
          <w:lang w:val="en-US"/>
        </w:rPr>
        <w:t>无关</w:t>
      </w:r>
      <w:r>
        <w:rPr>
          <w:rFonts w:hint="eastAsia" w:ascii="宋体" w:hAnsi="宋体" w:eastAsia="宋体" w:cs="宋体"/>
          <w:bCs/>
          <w:color w:val="auto"/>
          <w:kern w:val="0"/>
          <w:sz w:val="24"/>
          <w:highlight w:val="none"/>
          <w:lang w:val="en-US" w:eastAsia="zh-CN"/>
        </w:rPr>
        <w:t>。</w:t>
      </w:r>
    </w:p>
    <w:p w14:paraId="40DECF10">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6.中标人</w:t>
      </w:r>
      <w:r>
        <w:rPr>
          <w:rFonts w:hint="eastAsia" w:ascii="宋体" w:hAnsi="宋体" w:eastAsia="宋体" w:cs="宋体"/>
          <w:bCs/>
          <w:color w:val="auto"/>
          <w:kern w:val="0"/>
          <w:sz w:val="24"/>
          <w:highlight w:val="none"/>
          <w:lang w:val="en-US"/>
        </w:rPr>
        <w:t>所供</w:t>
      </w:r>
      <w:r>
        <w:rPr>
          <w:rFonts w:hint="eastAsia" w:ascii="宋体" w:hAnsi="宋体" w:eastAsia="宋体" w:cs="宋体"/>
          <w:bCs/>
          <w:color w:val="auto"/>
          <w:kern w:val="0"/>
          <w:sz w:val="24"/>
          <w:highlight w:val="none"/>
          <w:lang w:val="en-US" w:eastAsia="zh-CN"/>
        </w:rPr>
        <w:t>商品</w:t>
      </w:r>
      <w:r>
        <w:rPr>
          <w:rFonts w:hint="eastAsia" w:ascii="宋体" w:hAnsi="宋体" w:eastAsia="宋体" w:cs="宋体"/>
          <w:bCs/>
          <w:color w:val="auto"/>
          <w:kern w:val="0"/>
          <w:sz w:val="24"/>
          <w:highlight w:val="none"/>
          <w:lang w:val="en-US"/>
        </w:rPr>
        <w:t>必须是正规厂家生产的定型包装食品（密封包装），其产品质量符合食品卫生标准，经检查合格且在质保期内</w:t>
      </w:r>
      <w:r>
        <w:rPr>
          <w:rFonts w:hint="eastAsia" w:ascii="宋体" w:hAnsi="宋体" w:eastAsia="宋体" w:cs="宋体"/>
          <w:bCs/>
          <w:color w:val="auto"/>
          <w:kern w:val="0"/>
          <w:sz w:val="24"/>
          <w:highlight w:val="none"/>
          <w:lang w:val="en-US" w:eastAsia="zh-CN"/>
        </w:rPr>
        <w:t>。</w:t>
      </w:r>
    </w:p>
    <w:p w14:paraId="3C19277C">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7.自动售卖机的所有权、经营权归中标人所有。</w:t>
      </w:r>
    </w:p>
    <w:p w14:paraId="1620789E">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8.</w:t>
      </w:r>
      <w:r>
        <w:rPr>
          <w:rFonts w:hint="eastAsia" w:ascii="宋体" w:hAnsi="宋体" w:eastAsia="宋体" w:cs="宋体"/>
          <w:bCs/>
          <w:color w:val="auto"/>
          <w:kern w:val="0"/>
          <w:sz w:val="24"/>
          <w:highlight w:val="none"/>
          <w:lang w:val="en-US"/>
        </w:rPr>
        <w:t>经营费用及产生的债权、债务由</w:t>
      </w:r>
      <w:r>
        <w:rPr>
          <w:rFonts w:hint="eastAsia" w:ascii="宋体" w:hAnsi="宋体" w:eastAsia="宋体" w:cs="宋体"/>
          <w:bCs/>
          <w:color w:val="auto"/>
          <w:kern w:val="0"/>
          <w:sz w:val="24"/>
          <w:highlight w:val="none"/>
          <w:lang w:val="en-US" w:eastAsia="zh-CN"/>
        </w:rPr>
        <w:t>中标人</w:t>
      </w:r>
      <w:r>
        <w:rPr>
          <w:rFonts w:hint="eastAsia" w:ascii="宋体" w:hAnsi="宋体" w:eastAsia="宋体" w:cs="宋体"/>
          <w:bCs/>
          <w:color w:val="auto"/>
          <w:kern w:val="0"/>
          <w:sz w:val="24"/>
          <w:highlight w:val="none"/>
          <w:lang w:val="en-US"/>
        </w:rPr>
        <w:t>承担。</w:t>
      </w:r>
      <w:r>
        <w:rPr>
          <w:rFonts w:hint="eastAsia" w:ascii="宋体" w:hAnsi="宋体" w:eastAsia="宋体" w:cs="宋体"/>
          <w:bCs/>
          <w:color w:val="auto"/>
          <w:kern w:val="0"/>
          <w:sz w:val="24"/>
          <w:highlight w:val="none"/>
          <w:lang w:val="en-US" w:eastAsia="zh-CN"/>
        </w:rPr>
        <w:t>中标人</w:t>
      </w:r>
      <w:r>
        <w:rPr>
          <w:rFonts w:hint="eastAsia" w:ascii="宋体" w:hAnsi="宋体" w:eastAsia="宋体" w:cs="宋体"/>
          <w:bCs/>
          <w:color w:val="auto"/>
          <w:kern w:val="0"/>
          <w:sz w:val="24"/>
          <w:highlight w:val="none"/>
          <w:lang w:val="en-US"/>
        </w:rPr>
        <w:t>不得擅自将该项目转租、出让给他人，如有违反，</w:t>
      </w:r>
      <w:r>
        <w:rPr>
          <w:rFonts w:hint="eastAsia" w:ascii="宋体" w:hAnsi="宋体" w:eastAsia="宋体" w:cs="宋体"/>
          <w:bCs/>
          <w:color w:val="auto"/>
          <w:kern w:val="0"/>
          <w:sz w:val="24"/>
          <w:highlight w:val="none"/>
          <w:lang w:val="en-US" w:eastAsia="zh-CN"/>
        </w:rPr>
        <w:t>采购人</w:t>
      </w:r>
      <w:r>
        <w:rPr>
          <w:rFonts w:hint="eastAsia" w:ascii="宋体" w:hAnsi="宋体" w:eastAsia="宋体" w:cs="宋体"/>
          <w:bCs/>
          <w:color w:val="auto"/>
          <w:kern w:val="0"/>
          <w:sz w:val="24"/>
          <w:highlight w:val="none"/>
          <w:lang w:val="en-US"/>
        </w:rPr>
        <w:t>有权终止合同</w:t>
      </w:r>
      <w:r>
        <w:rPr>
          <w:rFonts w:hint="eastAsia" w:ascii="宋体" w:hAnsi="宋体" w:eastAsia="宋体" w:cs="宋体"/>
          <w:bCs/>
          <w:color w:val="auto"/>
          <w:kern w:val="0"/>
          <w:sz w:val="24"/>
          <w:highlight w:val="none"/>
          <w:lang w:val="en-US" w:eastAsia="zh-CN"/>
        </w:rPr>
        <w:t>。</w:t>
      </w:r>
    </w:p>
    <w:p w14:paraId="2E2B91C7">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rPr>
      </w:pPr>
      <w:r>
        <w:rPr>
          <w:rFonts w:hint="eastAsia" w:ascii="宋体" w:hAnsi="宋体" w:eastAsia="宋体" w:cs="宋体"/>
          <w:bCs/>
          <w:color w:val="auto"/>
          <w:kern w:val="0"/>
          <w:sz w:val="24"/>
          <w:highlight w:val="none"/>
          <w:lang w:val="en-US" w:eastAsia="zh-CN"/>
        </w:rPr>
        <w:t>9.中标人</w:t>
      </w:r>
      <w:r>
        <w:rPr>
          <w:rFonts w:hint="eastAsia" w:ascii="宋体" w:hAnsi="宋体" w:eastAsia="宋体" w:cs="宋体"/>
          <w:bCs/>
          <w:color w:val="auto"/>
          <w:kern w:val="0"/>
          <w:sz w:val="24"/>
          <w:highlight w:val="none"/>
          <w:lang w:val="en-US"/>
        </w:rPr>
        <w:t>不得进行上述以外的产品销售、机体广告投放等额外的经营内容。</w:t>
      </w:r>
    </w:p>
    <w:p w14:paraId="7FD2E9DE">
      <w:pPr>
        <w:widowControl/>
        <w:tabs>
          <w:tab w:val="left" w:pos="851"/>
        </w:tabs>
        <w:adjustRightInd/>
        <w:spacing w:line="360" w:lineRule="auto"/>
        <w:ind w:firstLine="480" w:firstLineChars="200"/>
        <w:rPr>
          <w:rFonts w:hint="default"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10.中标人须根据采购人要求，机体投放公益性广告。</w:t>
      </w:r>
    </w:p>
    <w:p w14:paraId="47949940">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11.中标人在合作期间应承担自动售卖机的保洁责任，自动售卖机机身出现污渍时应及时进行清理。</w:t>
      </w:r>
    </w:p>
    <w:p w14:paraId="259F59D9">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12.中标人应无条件配合服从工作人员的管理。</w:t>
      </w:r>
    </w:p>
    <w:p w14:paraId="54AF8CF0">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13.合同期内，如遇市政建设或采购人要求等原因需撤柜或换位的，中标人须服从采购人的统一安排和规划进行搬运，由此产生的所有费用均由中标人承担。</w:t>
      </w:r>
    </w:p>
    <w:p w14:paraId="7282166F">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14.如因自动售卖机质量、性能或销售的商品等内在原因给顾客造成损害，责任由中标人承担。</w:t>
      </w:r>
    </w:p>
    <w:p w14:paraId="0CC8B39E">
      <w:pPr>
        <w:widowControl/>
        <w:tabs>
          <w:tab w:val="left" w:pos="851"/>
        </w:tabs>
        <w:adjustRightInd/>
        <w:spacing w:line="360" w:lineRule="auto"/>
        <w:ind w:firstLine="480" w:firstLineChars="200"/>
        <w:rPr>
          <w:rFonts w:hint="default"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15.如因自动售卖机质量等内在原因导致漏电等安全事故发生，由此产生的一切责任和后果由中标人承担，与采购人无关。</w:t>
      </w:r>
    </w:p>
    <w:p w14:paraId="67DA5AF2">
      <w:pPr>
        <w:widowControl/>
        <w:tabs>
          <w:tab w:val="left" w:pos="851"/>
        </w:tabs>
        <w:adjustRightInd/>
        <w:spacing w:line="360" w:lineRule="auto"/>
        <w:ind w:firstLine="480" w:firstLineChars="200"/>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c.费用结算</w:t>
      </w:r>
    </w:p>
    <w:p w14:paraId="42177B92">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1.自动售卖机投放所产生的收益归中标人所有（自负盈亏）。</w:t>
      </w:r>
    </w:p>
    <w:p w14:paraId="4966755B">
      <w:pPr>
        <w:widowControl/>
        <w:tabs>
          <w:tab w:val="left" w:pos="851"/>
        </w:tabs>
        <w:adjustRightInd/>
        <w:spacing w:line="360" w:lineRule="auto"/>
        <w:ind w:firstLine="480" w:firstLineChars="200"/>
        <w:rPr>
          <w:rFonts w:hint="default"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2.自动售卖机费用不参与报价评审，不作下浮，采购人根据评估价（含场地租赁费和水单费）在应付养护费（固定支付部分）中直接扣除。</w:t>
      </w:r>
    </w:p>
    <w:p w14:paraId="38399FC8">
      <w:pPr>
        <w:widowControl/>
        <w:tabs>
          <w:tab w:val="left" w:pos="851"/>
        </w:tabs>
        <w:adjustRightInd/>
        <w:spacing w:line="360" w:lineRule="auto"/>
        <w:outlineLvl w:val="1"/>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（三）水电费要求</w:t>
      </w:r>
    </w:p>
    <w:p w14:paraId="643131F7">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rPr>
      </w:pPr>
      <w:r>
        <w:rPr>
          <w:rFonts w:hint="eastAsia" w:ascii="宋体" w:hAnsi="宋体" w:eastAsia="宋体" w:cs="宋体"/>
          <w:bCs/>
          <w:color w:val="auto"/>
          <w:kern w:val="0"/>
          <w:sz w:val="24"/>
          <w:highlight w:val="none"/>
          <w:lang w:val="en-US"/>
        </w:rPr>
        <w:t>（1）本</w:t>
      </w:r>
      <w:r>
        <w:rPr>
          <w:rFonts w:hint="eastAsia" w:ascii="宋体" w:hAnsi="宋体" w:cs="宋体"/>
          <w:bCs/>
          <w:color w:val="auto"/>
          <w:kern w:val="0"/>
          <w:sz w:val="24"/>
          <w:highlight w:val="none"/>
          <w:lang w:val="en-US" w:eastAsia="zh-CN"/>
        </w:rPr>
        <w:t>标项</w:t>
      </w:r>
      <w:r>
        <w:rPr>
          <w:rFonts w:hint="eastAsia" w:ascii="宋体" w:hAnsi="宋体" w:eastAsia="宋体" w:cs="宋体"/>
          <w:bCs/>
          <w:color w:val="auto"/>
          <w:kern w:val="0"/>
          <w:sz w:val="24"/>
          <w:highlight w:val="none"/>
          <w:lang w:val="en-US"/>
        </w:rPr>
        <w:t>涉及的所有水电费均已包含在投标报价中，投标人投标报价时应予以充分考虑。</w:t>
      </w:r>
      <w:r>
        <w:rPr>
          <w:rFonts w:hint="eastAsia" w:ascii="宋体" w:hAnsi="宋体" w:eastAsia="宋体" w:cs="宋体"/>
          <w:bCs/>
          <w:color w:val="auto"/>
          <w:kern w:val="0"/>
          <w:sz w:val="24"/>
          <w:highlight w:val="none"/>
          <w:lang w:val="en-US" w:eastAsia="zh-CN"/>
        </w:rPr>
        <w:t>本标项</w:t>
      </w:r>
      <w:r>
        <w:rPr>
          <w:rFonts w:hint="eastAsia" w:ascii="宋体" w:hAnsi="宋体" w:eastAsia="宋体" w:cs="宋体"/>
          <w:bCs/>
          <w:color w:val="auto"/>
          <w:kern w:val="0"/>
          <w:sz w:val="24"/>
          <w:highlight w:val="none"/>
          <w:lang w:val="en-US"/>
        </w:rPr>
        <w:t>近一年水费、电费情况如下表示：</w:t>
      </w:r>
    </w:p>
    <w:tbl>
      <w:tblPr>
        <w:tblStyle w:val="62"/>
        <w:tblW w:w="73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5"/>
        <w:gridCol w:w="1216"/>
        <w:gridCol w:w="4967"/>
      </w:tblGrid>
      <w:tr w14:paraId="1388A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155" w:type="dxa"/>
            <w:vAlign w:val="center"/>
          </w:tcPr>
          <w:p w14:paraId="27479F24">
            <w:pPr>
              <w:widowControl w:val="0"/>
              <w:spacing w:line="240" w:lineRule="auto"/>
              <w:ind w:firstLine="0" w:firstLineChars="0"/>
              <w:jc w:val="center"/>
              <w:rPr>
                <w:rFonts w:ascii="宋体" w:hAnsi="Times New Roman"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水费</w:t>
            </w:r>
          </w:p>
        </w:tc>
        <w:tc>
          <w:tcPr>
            <w:tcW w:w="1216" w:type="dxa"/>
            <w:vAlign w:val="center"/>
          </w:tcPr>
          <w:p w14:paraId="759E4C4A">
            <w:pPr>
              <w:widowControl w:val="0"/>
              <w:spacing w:line="240" w:lineRule="auto"/>
              <w:ind w:firstLine="0" w:firstLineChars="0"/>
              <w:jc w:val="center"/>
              <w:rPr>
                <w:rFonts w:ascii="宋体" w:hAnsi="Times New Roman"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电费</w:t>
            </w:r>
          </w:p>
        </w:tc>
        <w:tc>
          <w:tcPr>
            <w:tcW w:w="4967" w:type="dxa"/>
            <w:vAlign w:val="center"/>
          </w:tcPr>
          <w:p w14:paraId="3B24FE12">
            <w:pPr>
              <w:widowControl w:val="0"/>
              <w:spacing w:line="240" w:lineRule="auto"/>
              <w:ind w:firstLine="0" w:firstLineChars="0"/>
              <w:jc w:val="center"/>
              <w:rPr>
                <w:rFonts w:ascii="宋体" w:hAnsi="Times New Roman"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备注</w:t>
            </w:r>
          </w:p>
        </w:tc>
      </w:tr>
      <w:tr w14:paraId="4D48B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155" w:type="dxa"/>
            <w:vAlign w:val="center"/>
          </w:tcPr>
          <w:p w14:paraId="4A13BE6B">
            <w:pPr>
              <w:widowControl/>
              <w:adjustRightInd/>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7.4</w:t>
            </w:r>
            <w:r>
              <w:rPr>
                <w:rFonts w:hint="eastAsia" w:ascii="Times New Roman" w:hAnsi="Times New Roman" w:eastAsia="宋体" w:cs="Times New Roman"/>
                <w:color w:val="auto"/>
                <w:sz w:val="24"/>
                <w:szCs w:val="24"/>
                <w:highlight w:val="none"/>
                <w:lang w:val="en-US" w:eastAsia="zh-CN"/>
              </w:rPr>
              <w:t>万元</w:t>
            </w:r>
          </w:p>
        </w:tc>
        <w:tc>
          <w:tcPr>
            <w:tcW w:w="1216" w:type="dxa"/>
            <w:vAlign w:val="center"/>
          </w:tcPr>
          <w:p w14:paraId="5CD80D7E">
            <w:pPr>
              <w:widowControl/>
              <w:adjustRightInd/>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7</w:t>
            </w:r>
            <w:r>
              <w:rPr>
                <w:rFonts w:hint="eastAsia" w:ascii="Times New Roman" w:hAnsi="Times New Roman" w:eastAsia="宋体" w:cs="Times New Roman"/>
                <w:color w:val="auto"/>
                <w:sz w:val="24"/>
                <w:szCs w:val="24"/>
                <w:highlight w:val="none"/>
                <w:lang w:val="en-US" w:eastAsia="zh-CN"/>
              </w:rPr>
              <w:t>万元</w:t>
            </w:r>
          </w:p>
        </w:tc>
        <w:tc>
          <w:tcPr>
            <w:tcW w:w="4967" w:type="dxa"/>
            <w:vAlign w:val="center"/>
          </w:tcPr>
          <w:p w14:paraId="3BE9CAAD">
            <w:pPr>
              <w:widowControl w:val="0"/>
              <w:spacing w:line="240" w:lineRule="auto"/>
              <w:ind w:left="0" w:leftChars="0" w:firstLine="0" w:firstLineChars="0"/>
              <w:jc w:val="left"/>
              <w:rPr>
                <w:rFonts w:hint="eastAsia" w:ascii="宋体" w:hAnsi="Times New Roman" w:eastAsia="宋体" w:cs="Times New Roman"/>
                <w:color w:val="auto"/>
                <w:kern w:val="2"/>
                <w:sz w:val="24"/>
                <w:szCs w:val="24"/>
                <w:highlight w:val="none"/>
                <w:lang w:val="en-US" w:eastAsia="zh-CN" w:bidi="ar-SA"/>
              </w:rPr>
            </w:pPr>
            <w:r>
              <w:rPr>
                <w:rFonts w:hint="eastAsia" w:ascii="宋体" w:hAnsi="Times New Roman" w:eastAsia="宋体" w:cs="Times New Roman"/>
                <w:color w:val="auto"/>
                <w:kern w:val="2"/>
                <w:sz w:val="24"/>
                <w:szCs w:val="24"/>
                <w:highlight w:val="none"/>
                <w:lang w:val="en-US" w:eastAsia="zh-CN" w:bidi="ar-SA"/>
              </w:rPr>
              <w:t>日湖公园（除去管理所办公用房以及宁海食府、五号空间等外部单位使用水电）</w:t>
            </w:r>
          </w:p>
        </w:tc>
      </w:tr>
    </w:tbl>
    <w:p w14:paraId="49D3CE5D">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（2）公园用水、用电与当年气候条件、游客数量、公园建设等不确定因素存在极大关联，因此，以上数据仅是历史数据供投标人了解，投标人在报价时需综合考虑。</w:t>
      </w:r>
    </w:p>
    <w:p w14:paraId="7C9E4DD6">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3）由于水电费划扣单位为采购人（水电费由采购人代缴），因此，中标人与采购人签订合同后，应在规定时间提前预交三个月用作待扣款，每两个月向采购人按代缴水电费实际总额划至采购人指定账户，以确保水电费的成功划扣。</w:t>
      </w:r>
    </w:p>
    <w:p w14:paraId="669819AF">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（4）实际发生水电费在</w:t>
      </w:r>
      <w:r>
        <w:rPr>
          <w:rFonts w:hint="eastAsia" w:ascii="宋体" w:hAnsi="宋体" w:cs="宋体"/>
          <w:bCs/>
          <w:color w:val="auto"/>
          <w:kern w:val="0"/>
          <w:sz w:val="24"/>
          <w:highlight w:val="none"/>
          <w:lang w:val="en-US" w:eastAsia="zh-CN"/>
        </w:rPr>
        <w:t>31.4</w:t>
      </w:r>
      <w:r>
        <w:rPr>
          <w:rFonts w:hint="eastAsia" w:ascii="宋体" w:hAnsi="宋体" w:eastAsia="宋体" w:cs="宋体"/>
          <w:bCs/>
          <w:color w:val="auto"/>
          <w:kern w:val="0"/>
          <w:sz w:val="24"/>
          <w:highlight w:val="none"/>
          <w:lang w:val="en-US" w:eastAsia="zh-CN"/>
        </w:rPr>
        <w:t>万元内，按实际发生金额结算；实际发生水电费超出</w:t>
      </w:r>
      <w:r>
        <w:rPr>
          <w:rFonts w:hint="eastAsia" w:ascii="宋体" w:hAnsi="宋体" w:cs="宋体"/>
          <w:bCs/>
          <w:color w:val="auto"/>
          <w:kern w:val="0"/>
          <w:sz w:val="24"/>
          <w:highlight w:val="none"/>
          <w:lang w:val="en-US" w:eastAsia="zh-CN"/>
        </w:rPr>
        <w:t>31.4</w:t>
      </w:r>
      <w:r>
        <w:rPr>
          <w:rFonts w:hint="eastAsia" w:ascii="宋体" w:hAnsi="宋体" w:eastAsia="宋体" w:cs="宋体"/>
          <w:bCs/>
          <w:color w:val="auto"/>
          <w:kern w:val="0"/>
          <w:sz w:val="24"/>
          <w:highlight w:val="none"/>
          <w:lang w:val="en-US" w:eastAsia="zh-CN"/>
        </w:rPr>
        <w:t>万元的，超额部分由中标人自行承担，采购人不再额外支付。</w:t>
      </w:r>
    </w:p>
    <w:p w14:paraId="61B28D4F">
      <w:pPr>
        <w:widowControl/>
        <w:tabs>
          <w:tab w:val="left" w:pos="851"/>
        </w:tabs>
        <w:adjustRightInd/>
        <w:spacing w:line="360" w:lineRule="auto"/>
        <w:outlineLvl w:val="1"/>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eastAsia="zh-CN"/>
        </w:rPr>
        <w:t>（</w:t>
      </w:r>
      <w:r>
        <w:rPr>
          <w:rFonts w:hint="eastAsia" w:ascii="宋体" w:hAnsi="宋体" w:eastAsia="宋体" w:cs="宋体"/>
          <w:b/>
          <w:color w:val="auto"/>
          <w:kern w:val="0"/>
          <w:sz w:val="24"/>
          <w:highlight w:val="none"/>
          <w:lang w:val="en-US" w:eastAsia="zh-CN"/>
        </w:rPr>
        <w:t>四</w:t>
      </w:r>
      <w:r>
        <w:rPr>
          <w:rFonts w:hint="eastAsia" w:ascii="宋体" w:hAnsi="宋体" w:eastAsia="宋体" w:cs="宋体"/>
          <w:b/>
          <w:color w:val="auto"/>
          <w:kern w:val="0"/>
          <w:sz w:val="24"/>
          <w:highlight w:val="none"/>
          <w:lang w:eastAsia="zh-CN"/>
        </w:rPr>
        <w:t>）主要材料</w:t>
      </w:r>
      <w:r>
        <w:rPr>
          <w:rFonts w:hint="eastAsia" w:ascii="宋体" w:hAnsi="宋体" w:eastAsia="宋体" w:cs="宋体"/>
          <w:b/>
          <w:color w:val="auto"/>
          <w:kern w:val="0"/>
          <w:sz w:val="24"/>
          <w:highlight w:val="none"/>
          <w:lang w:val="en-US" w:eastAsia="zh-CN"/>
        </w:rPr>
        <w:t>的</w:t>
      </w:r>
      <w:r>
        <w:rPr>
          <w:rFonts w:hint="eastAsia" w:ascii="宋体" w:hAnsi="宋体" w:eastAsia="宋体" w:cs="宋体"/>
          <w:b/>
          <w:color w:val="auto"/>
          <w:kern w:val="0"/>
          <w:sz w:val="24"/>
          <w:highlight w:val="none"/>
        </w:rPr>
        <w:t>其他要求</w:t>
      </w:r>
    </w:p>
    <w:p w14:paraId="429615DD">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完成本项目服务及相关作业人员开展日常作业必须配备的基本材料由中标人无条件提供和配备，包括且不限于人员服装、鞋帽、手套；垃圾袋、清洁剂等保洁用品及相关耗材，费用含入投标总价中，不另行支付。</w:t>
      </w:r>
    </w:p>
    <w:p w14:paraId="671F0052">
      <w:pPr>
        <w:widowControl/>
        <w:tabs>
          <w:tab w:val="left" w:pos="851"/>
        </w:tabs>
        <w:adjustRightInd/>
        <w:spacing w:line="360" w:lineRule="auto"/>
        <w:outlineLvl w:val="1"/>
        <w:rPr>
          <w:rFonts w:ascii="宋体" w:hAnsi="宋体" w:eastAsia="宋体" w:cs="宋体"/>
          <w:b/>
          <w:color w:val="auto"/>
          <w:kern w:val="0"/>
          <w:sz w:val="24"/>
          <w:highlight w:val="none"/>
        </w:rPr>
      </w:pPr>
      <w:r>
        <w:rPr>
          <w:rFonts w:hint="eastAsia" w:ascii="宋体" w:hAnsi="宋体" w:eastAsia="宋体" w:cs="宋体"/>
          <w:b/>
          <w:color w:val="auto"/>
          <w:kern w:val="0"/>
          <w:sz w:val="24"/>
          <w:highlight w:val="none"/>
          <w:lang w:val="en-US" w:eastAsia="zh-CN"/>
        </w:rPr>
        <w:t>▲十</w:t>
      </w:r>
      <w:r>
        <w:rPr>
          <w:rFonts w:hint="eastAsia" w:ascii="宋体" w:hAnsi="宋体" w:eastAsia="宋体" w:cs="宋体"/>
          <w:b/>
          <w:color w:val="auto"/>
          <w:kern w:val="0"/>
          <w:sz w:val="24"/>
          <w:highlight w:val="none"/>
        </w:rPr>
        <w:t>、其他管理要求</w:t>
      </w:r>
    </w:p>
    <w:p w14:paraId="5A5E96FB">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rPr>
        <w:t>1</w:t>
      </w:r>
      <w:r>
        <w:rPr>
          <w:rFonts w:hint="eastAsia" w:ascii="宋体" w:hAnsi="宋体" w:cs="宋体"/>
          <w:bCs/>
          <w:color w:val="auto"/>
          <w:kern w:val="0"/>
          <w:sz w:val="24"/>
          <w:highlight w:val="none"/>
          <w:lang w:eastAsia="zh-CN"/>
        </w:rPr>
        <w:t>.</w:t>
      </w:r>
      <w:r>
        <w:rPr>
          <w:rFonts w:hint="eastAsia" w:ascii="宋体" w:hAnsi="宋体" w:eastAsia="宋体" w:cs="宋体"/>
          <w:bCs/>
          <w:color w:val="auto"/>
          <w:kern w:val="0"/>
          <w:sz w:val="24"/>
          <w:highlight w:val="none"/>
          <w:lang w:eastAsia="zh-CN"/>
        </w:rPr>
        <w:t>投标人承诺，投标文件中所列的所有信息真实准确。若采购人需要，将在接到采购人通知之日起，一日内备齐采购人所需核查的所有证明材料以及设备机械供采购人查验。若无法按时或充分提供相关证明材料及设备机械，同意采购人将其视为投标文件不真实，还可视情况追究相关投标人责任。</w:t>
      </w:r>
    </w:p>
    <w:p w14:paraId="4AD80A76">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2</w:t>
      </w:r>
      <w:r>
        <w:rPr>
          <w:rFonts w:hint="eastAsia" w:ascii="宋体" w:hAnsi="宋体" w:cs="宋体"/>
          <w:bCs/>
          <w:color w:val="auto"/>
          <w:kern w:val="0"/>
          <w:sz w:val="24"/>
          <w:highlight w:val="none"/>
          <w:lang w:val="en-US" w:eastAsia="zh-CN"/>
        </w:rPr>
        <w:t>.</w:t>
      </w:r>
      <w:r>
        <w:rPr>
          <w:rFonts w:hint="eastAsia" w:ascii="宋体" w:hAnsi="宋体" w:eastAsia="宋体" w:cs="宋体"/>
          <w:bCs/>
          <w:color w:val="auto"/>
          <w:kern w:val="0"/>
          <w:sz w:val="24"/>
          <w:highlight w:val="none"/>
          <w:lang w:eastAsia="zh-CN"/>
        </w:rPr>
        <w:t>投标人派驻项目团队内设项目管理团队和项目作业队伍。其中项目管理团队对采购人直接负责，按采购人要求，全面落实好本服务项目。同时项目管理团队通过对项目作业队伍作业人员进行聘用、培训、检查、考评，确保作业队伍人员的工作状态和作业质量，实现各专业块状的融合、互动、协作管理。而项目作业队伍对项目管理团队直接负责，通过专业化运作，条状管理，确保一线作业质量达到公园管理考核标准。</w:t>
      </w:r>
    </w:p>
    <w:p w14:paraId="3851263C">
      <w:pPr>
        <w:widowControl/>
        <w:tabs>
          <w:tab w:val="left" w:pos="851"/>
        </w:tabs>
        <w:adjustRightInd/>
        <w:spacing w:line="360" w:lineRule="auto"/>
        <w:ind w:firstLine="480" w:firstLineChars="200"/>
        <w:rPr>
          <w:rFonts w:hint="default"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3</w:t>
      </w:r>
      <w:r>
        <w:rPr>
          <w:rFonts w:hint="eastAsia" w:ascii="宋体" w:hAnsi="宋体" w:cs="宋体"/>
          <w:bCs/>
          <w:color w:val="auto"/>
          <w:kern w:val="0"/>
          <w:sz w:val="24"/>
          <w:highlight w:val="none"/>
          <w:lang w:val="en-US" w:eastAsia="zh-CN"/>
        </w:rPr>
        <w:t>.</w:t>
      </w:r>
      <w:r>
        <w:rPr>
          <w:rFonts w:hint="eastAsia" w:ascii="宋体" w:hAnsi="宋体" w:eastAsia="宋体" w:cs="宋体"/>
          <w:bCs/>
          <w:color w:val="auto"/>
          <w:kern w:val="0"/>
          <w:sz w:val="24"/>
          <w:highlight w:val="none"/>
          <w:lang w:eastAsia="zh-CN"/>
        </w:rPr>
        <w:t>所有服务于本项目的人员，均应为投标人自有聘用人员，若有转包、擅自违法分包行为，将严肃处理。除最基层的一线普通作业工人岗位，可由投标人项目管理部直接做出调整后报采购人备案外，其他岗位人员的调整均需事先书面报请采购人审核，经采购人审核同意后，跟班至少一周，方可正式交接更换。否则将作违约处理，扣减相应违约金，并有权单方取消合同。</w:t>
      </w:r>
    </w:p>
    <w:p w14:paraId="462CDB36">
      <w:pPr>
        <w:widowControl/>
        <w:tabs>
          <w:tab w:val="left" w:pos="851"/>
        </w:tabs>
        <w:adjustRightInd/>
        <w:spacing w:line="360" w:lineRule="auto"/>
        <w:ind w:firstLine="480" w:firstLineChars="200"/>
        <w:rPr>
          <w:rFonts w:ascii="宋体" w:hAnsi="宋体" w:eastAsia="宋体" w:cs="宋体"/>
          <w:bCs/>
          <w:color w:val="auto"/>
          <w:kern w:val="0"/>
          <w:sz w:val="24"/>
          <w:highlight w:val="none"/>
        </w:rPr>
      </w:pPr>
      <w:r>
        <w:rPr>
          <w:rFonts w:hint="eastAsia" w:ascii="宋体" w:hAnsi="宋体" w:eastAsia="宋体" w:cs="宋体"/>
          <w:bCs/>
          <w:color w:val="auto"/>
          <w:kern w:val="0"/>
          <w:sz w:val="24"/>
          <w:highlight w:val="none"/>
          <w:lang w:val="en-US" w:eastAsia="zh-CN"/>
        </w:rPr>
        <w:t>4</w:t>
      </w:r>
      <w:r>
        <w:rPr>
          <w:rFonts w:hint="eastAsia" w:ascii="宋体" w:hAnsi="宋体" w:cs="宋体"/>
          <w:bCs/>
          <w:color w:val="auto"/>
          <w:kern w:val="0"/>
          <w:sz w:val="24"/>
          <w:highlight w:val="none"/>
          <w:lang w:val="en-US" w:eastAsia="zh-CN"/>
        </w:rPr>
        <w:t>.</w:t>
      </w:r>
      <w:r>
        <w:rPr>
          <w:rFonts w:hint="eastAsia" w:ascii="宋体" w:hAnsi="宋体" w:eastAsia="宋体" w:cs="宋体"/>
          <w:bCs/>
          <w:color w:val="auto"/>
          <w:kern w:val="0"/>
          <w:sz w:val="24"/>
          <w:highlight w:val="none"/>
          <w:lang w:val="en-US" w:eastAsia="zh-CN"/>
        </w:rPr>
        <w:t>因政府政策原因或市政建设需要、征用土地、公园重大建设等因素，采购人有权根据实际情况单方终止或减少投标内容中的部分或全部内容，对应核减相关费用，中标人需无条件服从。</w:t>
      </w:r>
    </w:p>
    <w:p w14:paraId="1EA043AB">
      <w:pPr>
        <w:rPr>
          <w:rFonts w:eastAsia="宋体"/>
          <w:color w:val="auto"/>
          <w:sz w:val="24"/>
          <w:highlight w:val="none"/>
        </w:rPr>
        <w:sectPr>
          <w:pgSz w:w="11906" w:h="16838"/>
          <w:pgMar w:top="1418" w:right="1287" w:bottom="1134" w:left="1621" w:header="851" w:footer="992" w:gutter="0"/>
          <w:pgBorders>
            <w:top w:val="none" w:sz="0" w:space="0"/>
            <w:left w:val="none" w:sz="0" w:space="0"/>
            <w:bottom w:val="none" w:sz="0" w:space="0"/>
            <w:right w:val="none" w:sz="0" w:space="0"/>
          </w:pgBorders>
          <w:pgNumType w:fmt="decimal"/>
          <w:cols w:space="720" w:num="1"/>
          <w:titlePg/>
          <w:docGrid w:type="linesAndChars" w:linePitch="321" w:charSpace="0"/>
        </w:sectPr>
      </w:pPr>
    </w:p>
    <w:p w14:paraId="72F20CB2">
      <w:pPr>
        <w:widowControl/>
        <w:adjustRightInd/>
        <w:spacing w:line="360" w:lineRule="auto"/>
        <w:jc w:val="center"/>
        <w:outlineLvl w:val="1"/>
        <w:rPr>
          <w:rFonts w:hint="eastAsia" w:ascii="宋体" w:hAnsi="宋体" w:eastAsia="宋体" w:cs="宋体"/>
          <w:b/>
          <w:color w:val="auto"/>
          <w:kern w:val="0"/>
          <w:sz w:val="24"/>
          <w:szCs w:val="24"/>
          <w:highlight w:val="none"/>
          <w:lang w:val="en-US" w:eastAsia="zh-CN"/>
        </w:rPr>
      </w:pPr>
      <w:r>
        <w:rPr>
          <w:rFonts w:hint="eastAsia" w:ascii="宋体" w:hAnsi="宋体" w:eastAsia="宋体" w:cs="宋体"/>
          <w:b/>
          <w:color w:val="auto"/>
          <w:kern w:val="0"/>
          <w:sz w:val="24"/>
          <w:szCs w:val="24"/>
          <w:highlight w:val="none"/>
          <w:lang w:val="en-US" w:eastAsia="zh-CN"/>
        </w:rPr>
        <w:t>标项2 绿岛公园（含园林博物馆）、青林湾公园、福民公园、临时盆景园</w:t>
      </w:r>
    </w:p>
    <w:p w14:paraId="31B1DFD9">
      <w:pPr>
        <w:widowControl/>
        <w:adjustRightInd/>
        <w:spacing w:line="360" w:lineRule="auto"/>
        <w:jc w:val="left"/>
        <w:outlineLvl w:val="1"/>
        <w:rPr>
          <w:rFonts w:ascii="宋体" w:hAnsi="宋体" w:eastAsia="宋体" w:cs="宋体"/>
          <w:b/>
          <w:color w:val="auto"/>
          <w:kern w:val="0"/>
          <w:sz w:val="24"/>
          <w:highlight w:val="none"/>
        </w:rPr>
      </w:pPr>
      <w:r>
        <w:rPr>
          <w:rFonts w:hint="eastAsia" w:ascii="宋体" w:hAnsi="宋体" w:eastAsia="宋体" w:cs="宋体"/>
          <w:b/>
          <w:color w:val="auto"/>
          <w:kern w:val="0"/>
          <w:szCs w:val="21"/>
          <w:highlight w:val="none"/>
        </w:rPr>
        <w:t>▲</w:t>
      </w:r>
      <w:r>
        <w:rPr>
          <w:rFonts w:hint="eastAsia" w:ascii="宋体" w:hAnsi="宋体" w:eastAsia="宋体" w:cs="宋体"/>
          <w:b/>
          <w:color w:val="auto"/>
          <w:kern w:val="0"/>
          <w:sz w:val="24"/>
          <w:highlight w:val="none"/>
        </w:rPr>
        <w:t>一、重要商务要求一览表</w:t>
      </w:r>
    </w:p>
    <w:tbl>
      <w:tblPr>
        <w:tblStyle w:val="6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2"/>
        <w:gridCol w:w="1582"/>
        <w:gridCol w:w="6567"/>
      </w:tblGrid>
      <w:tr w14:paraId="55F5E0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42" w:type="dxa"/>
            <w:tcBorders>
              <w:top w:val="single" w:color="auto" w:sz="4" w:space="0"/>
              <w:left w:val="single" w:color="auto" w:sz="4" w:space="0"/>
              <w:bottom w:val="single" w:color="auto" w:sz="4" w:space="0"/>
              <w:right w:val="single" w:color="auto" w:sz="4" w:space="0"/>
            </w:tcBorders>
            <w:vAlign w:val="center"/>
          </w:tcPr>
          <w:p w14:paraId="6521E7ED">
            <w:pPr>
              <w:adjustRightInd/>
              <w:spacing w:line="360" w:lineRule="auto"/>
              <w:contextualSpacing/>
              <w:jc w:val="center"/>
              <w:rPr>
                <w:rFonts w:ascii="宋体" w:hAnsi="宋体" w:eastAsia="宋体" w:cs="宋体"/>
                <w:b/>
                <w:bCs/>
                <w:color w:val="auto"/>
                <w:sz w:val="24"/>
                <w:highlight w:val="none"/>
              </w:rPr>
            </w:pPr>
            <w:r>
              <w:rPr>
                <w:rFonts w:hint="eastAsia" w:ascii="宋体" w:hAnsi="宋体" w:eastAsia="宋体" w:cs="宋体"/>
                <w:b/>
                <w:bCs/>
                <w:color w:val="auto"/>
                <w:sz w:val="24"/>
                <w:highlight w:val="none"/>
              </w:rPr>
              <w:t>序号</w:t>
            </w:r>
          </w:p>
        </w:tc>
        <w:tc>
          <w:tcPr>
            <w:tcW w:w="1582" w:type="dxa"/>
            <w:tcBorders>
              <w:top w:val="single" w:color="auto" w:sz="4" w:space="0"/>
              <w:left w:val="single" w:color="auto" w:sz="4" w:space="0"/>
              <w:bottom w:val="single" w:color="auto" w:sz="4" w:space="0"/>
              <w:right w:val="single" w:color="auto" w:sz="4" w:space="0"/>
            </w:tcBorders>
            <w:vAlign w:val="center"/>
          </w:tcPr>
          <w:p w14:paraId="6E2A4F34">
            <w:pPr>
              <w:adjustRightInd/>
              <w:spacing w:line="360" w:lineRule="auto"/>
              <w:contextualSpacing/>
              <w:jc w:val="center"/>
              <w:rPr>
                <w:rFonts w:ascii="宋体" w:hAnsi="宋体" w:eastAsia="宋体" w:cs="宋体"/>
                <w:b/>
                <w:bCs/>
                <w:color w:val="auto"/>
                <w:sz w:val="24"/>
                <w:highlight w:val="none"/>
              </w:rPr>
            </w:pPr>
            <w:r>
              <w:rPr>
                <w:rFonts w:hint="eastAsia" w:ascii="宋体" w:hAnsi="宋体" w:eastAsia="宋体" w:cs="宋体"/>
                <w:b/>
                <w:bCs/>
                <w:color w:val="auto"/>
                <w:sz w:val="24"/>
                <w:highlight w:val="none"/>
              </w:rPr>
              <w:t>项目</w:t>
            </w:r>
          </w:p>
        </w:tc>
        <w:tc>
          <w:tcPr>
            <w:tcW w:w="6567" w:type="dxa"/>
            <w:tcBorders>
              <w:top w:val="single" w:color="auto" w:sz="4" w:space="0"/>
              <w:left w:val="single" w:color="auto" w:sz="4" w:space="0"/>
              <w:bottom w:val="single" w:color="auto" w:sz="4" w:space="0"/>
              <w:right w:val="single" w:color="auto" w:sz="4" w:space="0"/>
            </w:tcBorders>
            <w:vAlign w:val="center"/>
          </w:tcPr>
          <w:p w14:paraId="4A3CFC38">
            <w:pPr>
              <w:adjustRightInd/>
              <w:spacing w:line="360" w:lineRule="auto"/>
              <w:contextualSpacing/>
              <w:jc w:val="center"/>
              <w:rPr>
                <w:rFonts w:ascii="宋体" w:hAnsi="宋体" w:eastAsia="宋体" w:cs="宋体"/>
                <w:b/>
                <w:bCs/>
                <w:color w:val="auto"/>
                <w:sz w:val="24"/>
                <w:highlight w:val="none"/>
              </w:rPr>
            </w:pPr>
            <w:r>
              <w:rPr>
                <w:rFonts w:hint="eastAsia" w:ascii="宋体" w:hAnsi="宋体" w:eastAsia="宋体" w:cs="宋体"/>
                <w:b/>
                <w:bCs/>
                <w:color w:val="auto"/>
                <w:sz w:val="24"/>
                <w:highlight w:val="none"/>
              </w:rPr>
              <w:t>要 求</w:t>
            </w:r>
          </w:p>
        </w:tc>
      </w:tr>
      <w:tr w14:paraId="292F53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42" w:type="dxa"/>
            <w:tcBorders>
              <w:top w:val="single" w:color="auto" w:sz="4" w:space="0"/>
              <w:left w:val="single" w:color="auto" w:sz="4" w:space="0"/>
              <w:bottom w:val="single" w:color="auto" w:sz="4" w:space="0"/>
              <w:right w:val="single" w:color="auto" w:sz="4" w:space="0"/>
            </w:tcBorders>
            <w:vAlign w:val="center"/>
          </w:tcPr>
          <w:p w14:paraId="14B8C591">
            <w:pPr>
              <w:adjustRightInd/>
              <w:spacing w:line="360" w:lineRule="auto"/>
              <w:contextualSpacing/>
              <w:jc w:val="center"/>
              <w:rPr>
                <w:rFonts w:ascii="宋体" w:hAnsi="宋体" w:eastAsia="宋体" w:cs="宋体"/>
                <w:color w:val="auto"/>
                <w:sz w:val="24"/>
                <w:highlight w:val="none"/>
              </w:rPr>
            </w:pPr>
            <w:r>
              <w:rPr>
                <w:rFonts w:hint="eastAsia" w:ascii="宋体" w:hAnsi="宋体" w:eastAsia="宋体" w:cs="宋体"/>
                <w:color w:val="auto"/>
                <w:sz w:val="24"/>
                <w:highlight w:val="none"/>
              </w:rPr>
              <w:t>1</w:t>
            </w:r>
          </w:p>
        </w:tc>
        <w:tc>
          <w:tcPr>
            <w:tcW w:w="1582" w:type="dxa"/>
            <w:tcBorders>
              <w:top w:val="single" w:color="auto" w:sz="4" w:space="0"/>
              <w:left w:val="single" w:color="auto" w:sz="4" w:space="0"/>
              <w:bottom w:val="single" w:color="auto" w:sz="4" w:space="0"/>
              <w:right w:val="single" w:color="auto" w:sz="4" w:space="0"/>
            </w:tcBorders>
            <w:vAlign w:val="center"/>
          </w:tcPr>
          <w:p w14:paraId="135C970B">
            <w:pPr>
              <w:adjustRightInd/>
              <w:spacing w:line="360" w:lineRule="auto"/>
              <w:contextualSpacing/>
              <w:jc w:val="center"/>
              <w:rPr>
                <w:rFonts w:ascii="宋体" w:hAnsi="宋体" w:eastAsia="宋体" w:cs="宋体"/>
                <w:color w:val="auto"/>
                <w:sz w:val="24"/>
                <w:highlight w:val="none"/>
              </w:rPr>
            </w:pPr>
            <w:r>
              <w:rPr>
                <w:rFonts w:hint="eastAsia" w:ascii="宋体" w:hAnsi="宋体" w:eastAsia="宋体" w:cs="宋体"/>
                <w:color w:val="auto"/>
                <w:sz w:val="24"/>
                <w:highlight w:val="none"/>
              </w:rPr>
              <w:t>服务期限</w:t>
            </w:r>
          </w:p>
        </w:tc>
        <w:tc>
          <w:tcPr>
            <w:tcW w:w="6567" w:type="dxa"/>
            <w:tcBorders>
              <w:top w:val="single" w:color="auto" w:sz="4" w:space="0"/>
              <w:left w:val="single" w:color="auto" w:sz="4" w:space="0"/>
              <w:bottom w:val="single" w:color="auto" w:sz="4" w:space="0"/>
              <w:right w:val="single" w:color="auto" w:sz="4" w:space="0"/>
            </w:tcBorders>
            <w:vAlign w:val="center"/>
          </w:tcPr>
          <w:p w14:paraId="18E4CF83">
            <w:pPr>
              <w:adjustRightInd/>
              <w:spacing w:line="360" w:lineRule="auto"/>
              <w:contextualSpacing/>
              <w:rPr>
                <w:rFonts w:ascii="宋体" w:hAnsi="宋体" w:eastAsia="宋体" w:cs="宋体"/>
                <w:color w:val="auto"/>
                <w:sz w:val="24"/>
                <w:highlight w:val="none"/>
              </w:rPr>
            </w:pPr>
            <w:r>
              <w:rPr>
                <w:rFonts w:hint="eastAsia" w:ascii="宋体" w:hAnsi="宋体" w:eastAsia="宋体" w:cs="宋体"/>
                <w:color w:val="auto"/>
                <w:sz w:val="24"/>
                <w:highlight w:val="none"/>
              </w:rPr>
              <w:t>详见第一部分 招标公告</w:t>
            </w:r>
          </w:p>
        </w:tc>
      </w:tr>
      <w:tr w14:paraId="0A37B3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42" w:type="dxa"/>
            <w:tcBorders>
              <w:top w:val="single" w:color="auto" w:sz="4" w:space="0"/>
              <w:left w:val="single" w:color="auto" w:sz="4" w:space="0"/>
              <w:bottom w:val="single" w:color="auto" w:sz="4" w:space="0"/>
              <w:right w:val="single" w:color="auto" w:sz="4" w:space="0"/>
            </w:tcBorders>
            <w:vAlign w:val="center"/>
          </w:tcPr>
          <w:p w14:paraId="1024143E">
            <w:pPr>
              <w:adjustRightInd/>
              <w:spacing w:line="360" w:lineRule="auto"/>
              <w:contextualSpacing/>
              <w:jc w:val="center"/>
              <w:rPr>
                <w:rFonts w:ascii="宋体" w:hAnsi="宋体" w:eastAsia="宋体" w:cs="宋体"/>
                <w:color w:val="auto"/>
                <w:sz w:val="24"/>
                <w:highlight w:val="none"/>
              </w:rPr>
            </w:pPr>
            <w:r>
              <w:rPr>
                <w:rFonts w:hint="eastAsia" w:ascii="宋体" w:hAnsi="宋体" w:eastAsia="宋体" w:cs="宋体"/>
                <w:color w:val="auto"/>
                <w:sz w:val="24"/>
                <w:highlight w:val="none"/>
              </w:rPr>
              <w:t>2</w:t>
            </w:r>
          </w:p>
        </w:tc>
        <w:tc>
          <w:tcPr>
            <w:tcW w:w="1582" w:type="dxa"/>
            <w:tcBorders>
              <w:top w:val="single" w:color="auto" w:sz="4" w:space="0"/>
              <w:left w:val="single" w:color="auto" w:sz="4" w:space="0"/>
              <w:bottom w:val="single" w:color="auto" w:sz="4" w:space="0"/>
              <w:right w:val="single" w:color="auto" w:sz="4" w:space="0"/>
            </w:tcBorders>
            <w:vAlign w:val="center"/>
          </w:tcPr>
          <w:p w14:paraId="204FC3B3">
            <w:pPr>
              <w:adjustRightInd/>
              <w:spacing w:line="360" w:lineRule="auto"/>
              <w:contextualSpacing/>
              <w:jc w:val="center"/>
              <w:rPr>
                <w:rFonts w:ascii="宋体" w:hAnsi="宋体" w:eastAsia="宋体" w:cs="宋体"/>
                <w:color w:val="auto"/>
                <w:sz w:val="24"/>
                <w:highlight w:val="none"/>
              </w:rPr>
            </w:pPr>
            <w:r>
              <w:rPr>
                <w:rFonts w:hint="eastAsia" w:ascii="宋体" w:hAnsi="宋体" w:eastAsia="宋体" w:cs="宋体"/>
                <w:color w:val="auto"/>
                <w:sz w:val="24"/>
                <w:highlight w:val="none"/>
              </w:rPr>
              <w:t>服务地点</w:t>
            </w:r>
          </w:p>
        </w:tc>
        <w:tc>
          <w:tcPr>
            <w:tcW w:w="6567" w:type="dxa"/>
            <w:tcBorders>
              <w:top w:val="single" w:color="auto" w:sz="4" w:space="0"/>
              <w:left w:val="single" w:color="auto" w:sz="4" w:space="0"/>
              <w:bottom w:val="single" w:color="auto" w:sz="4" w:space="0"/>
              <w:right w:val="single" w:color="auto" w:sz="4" w:space="0"/>
            </w:tcBorders>
            <w:vAlign w:val="center"/>
          </w:tcPr>
          <w:p w14:paraId="52AEBBDE">
            <w:pPr>
              <w:adjustRightInd/>
              <w:spacing w:line="360" w:lineRule="auto"/>
              <w:contextualSpacing/>
              <w:rPr>
                <w:rFonts w:ascii="宋体" w:hAnsi="宋体" w:eastAsia="宋体" w:cs="宋体"/>
                <w:bCs/>
                <w:color w:val="auto"/>
                <w:sz w:val="24"/>
                <w:highlight w:val="none"/>
              </w:rPr>
            </w:pPr>
            <w:r>
              <w:rPr>
                <w:rFonts w:hint="eastAsia" w:ascii="宋体" w:hAnsi="宋体" w:eastAsia="宋体" w:cs="宋体"/>
                <w:color w:val="auto"/>
                <w:sz w:val="24"/>
                <w:highlight w:val="none"/>
              </w:rPr>
              <w:t>宁波市范围内采购人指定地点。</w:t>
            </w:r>
          </w:p>
        </w:tc>
      </w:tr>
      <w:tr w14:paraId="3BCC20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42" w:type="dxa"/>
            <w:tcBorders>
              <w:top w:val="single" w:color="auto" w:sz="4" w:space="0"/>
              <w:left w:val="single" w:color="auto" w:sz="4" w:space="0"/>
              <w:bottom w:val="single" w:color="auto" w:sz="4" w:space="0"/>
              <w:right w:val="single" w:color="auto" w:sz="4" w:space="0"/>
            </w:tcBorders>
            <w:vAlign w:val="center"/>
          </w:tcPr>
          <w:p w14:paraId="413BBE00">
            <w:pPr>
              <w:adjustRightInd/>
              <w:spacing w:line="360" w:lineRule="auto"/>
              <w:contextualSpacing/>
              <w:jc w:val="center"/>
              <w:rPr>
                <w:rFonts w:ascii="宋体" w:hAnsi="宋体" w:eastAsia="宋体" w:cs="宋体"/>
                <w:color w:val="auto"/>
                <w:sz w:val="24"/>
                <w:highlight w:val="none"/>
              </w:rPr>
            </w:pPr>
            <w:r>
              <w:rPr>
                <w:rFonts w:hint="eastAsia" w:ascii="宋体" w:hAnsi="宋体" w:eastAsia="宋体" w:cs="宋体"/>
                <w:color w:val="auto"/>
                <w:sz w:val="24"/>
                <w:highlight w:val="none"/>
              </w:rPr>
              <w:t>3</w:t>
            </w:r>
          </w:p>
        </w:tc>
        <w:tc>
          <w:tcPr>
            <w:tcW w:w="1582" w:type="dxa"/>
            <w:tcBorders>
              <w:top w:val="single" w:color="auto" w:sz="4" w:space="0"/>
              <w:left w:val="single" w:color="auto" w:sz="4" w:space="0"/>
              <w:bottom w:val="single" w:color="auto" w:sz="4" w:space="0"/>
              <w:right w:val="single" w:color="auto" w:sz="4" w:space="0"/>
            </w:tcBorders>
            <w:vAlign w:val="center"/>
          </w:tcPr>
          <w:p w14:paraId="776D4026">
            <w:pPr>
              <w:adjustRightInd/>
              <w:spacing w:line="360" w:lineRule="auto"/>
              <w:contextualSpacing/>
              <w:jc w:val="center"/>
              <w:rPr>
                <w:rFonts w:ascii="宋体" w:hAnsi="宋体" w:eastAsia="宋体" w:cs="宋体"/>
                <w:color w:val="auto"/>
                <w:sz w:val="24"/>
                <w:highlight w:val="none"/>
              </w:rPr>
            </w:pPr>
            <w:r>
              <w:rPr>
                <w:rFonts w:hint="eastAsia" w:ascii="宋体" w:hAnsi="宋体" w:eastAsia="宋体" w:cs="宋体"/>
                <w:color w:val="auto"/>
                <w:sz w:val="24"/>
                <w:highlight w:val="none"/>
              </w:rPr>
              <w:t>付款方式</w:t>
            </w:r>
          </w:p>
        </w:tc>
        <w:tc>
          <w:tcPr>
            <w:tcW w:w="6567" w:type="dxa"/>
            <w:tcBorders>
              <w:top w:val="single" w:color="auto" w:sz="4" w:space="0"/>
              <w:left w:val="single" w:color="auto" w:sz="4" w:space="0"/>
              <w:bottom w:val="single" w:color="auto" w:sz="4" w:space="0"/>
              <w:right w:val="single" w:color="auto" w:sz="4" w:space="0"/>
            </w:tcBorders>
            <w:vAlign w:val="center"/>
          </w:tcPr>
          <w:p w14:paraId="0D894CAF">
            <w:pPr>
              <w:autoSpaceDE w:val="0"/>
              <w:autoSpaceDN w:val="0"/>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合同生效以及具备实施条件后7个工作日内支付年度合同金额（含固定支付和按实结算部分）40%的预付款；预付款从首次支付的养护经费开始抵扣，直至扣完为止。</w:t>
            </w:r>
          </w:p>
          <w:p w14:paraId="1816F505">
            <w:pPr>
              <w:autoSpaceDE w:val="0"/>
              <w:autoSpaceDN w:val="0"/>
              <w:spacing w:line="360" w:lineRule="auto"/>
              <w:contextualSpacing/>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本项目养护经费支付包含“固定支付”和“按实结算”两种</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具体经费分类详见附件</w:t>
            </w:r>
            <w:r>
              <w:rPr>
                <w:rFonts w:hint="eastAsia" w:ascii="宋体" w:hAnsi="宋体" w:cs="宋体"/>
                <w:color w:val="auto"/>
                <w:sz w:val="24"/>
                <w:highlight w:val="none"/>
                <w:lang w:val="en-US" w:eastAsia="zh-CN"/>
              </w:rPr>
              <w:t xml:space="preserve"> </w:t>
            </w:r>
            <w:r>
              <w:rPr>
                <w:rFonts w:hint="eastAsia" w:ascii="宋体" w:hAnsi="宋体" w:eastAsia="宋体" w:cs="宋体"/>
                <w:color w:val="auto"/>
                <w:sz w:val="24"/>
                <w:highlight w:val="none"/>
                <w:lang w:val="en-US" w:eastAsia="zh-CN"/>
              </w:rPr>
              <w:t>设施量清单及编制说明</w:t>
            </w:r>
            <w:r>
              <w:rPr>
                <w:rFonts w:hint="eastAsia" w:ascii="宋体" w:hAnsi="宋体" w:eastAsia="宋体" w:cs="宋体"/>
                <w:color w:val="auto"/>
                <w:sz w:val="24"/>
                <w:highlight w:val="none"/>
                <w:lang w:eastAsia="zh-CN"/>
              </w:rPr>
              <w:t>）：</w:t>
            </w:r>
          </w:p>
          <w:p w14:paraId="527596CB">
            <w:pPr>
              <w:autoSpaceDE w:val="0"/>
              <w:autoSpaceDN w:val="0"/>
              <w:spacing w:line="360" w:lineRule="auto"/>
              <w:contextualSpacing/>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①固定部分：第6个月考核完成且收到发票后7个工作日内支付至50%（同步扣除第1-6月考核扣罚费用），并结合中标下浮率结算；第9个月考核完成且收到发票后7个工作日支付至75%（同步扣除第7-9月考核扣罚费用），并结合中标下浮率结算；12个月考核完成且收到发票后7个工作日后支付至100%（同步扣除第10-12月考核扣罚费用），并结合中标下浮率结算。</w:t>
            </w:r>
          </w:p>
          <w:p w14:paraId="30D3C4A5">
            <w:pPr>
              <w:autoSpaceDE w:val="0"/>
              <w:autoSpaceDN w:val="0"/>
              <w:spacing w:line="360" w:lineRule="auto"/>
              <w:contextualSpacing/>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②按实结算部分：在固定部分支付时同步支付，实际完成量支付进度款至已完成工作量金额（经第三方咨询单位审核金额）的85%，并结合中标下浮率，按实结算，合同期满后支付至审核价的100%，并结合中标下浮率，按实结算。实际发生金额对应核减相关费用（中标人投标文件有核减部分内容报价明细的则根据报价明细扣除，否则按照整体中标下浮比率对该部分费用进行扣除），报价明细和招标文件都没有提及的部分则参考公布的市场信息价或市场询价进行核定，中标人需提供能证明实际发生金额的相关资料由采购人审核确认，实施内容涉及外聘人工、机械、材料的由采购人相关业务部门审核确认。</w:t>
            </w:r>
          </w:p>
        </w:tc>
      </w:tr>
      <w:tr w14:paraId="091CE8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42" w:type="dxa"/>
            <w:tcBorders>
              <w:top w:val="single" w:color="auto" w:sz="4" w:space="0"/>
              <w:left w:val="single" w:color="auto" w:sz="4" w:space="0"/>
              <w:bottom w:val="single" w:color="auto" w:sz="4" w:space="0"/>
              <w:right w:val="single" w:color="auto" w:sz="4" w:space="0"/>
            </w:tcBorders>
            <w:vAlign w:val="center"/>
          </w:tcPr>
          <w:p w14:paraId="1AAC9EB8">
            <w:pPr>
              <w:adjustRightInd/>
              <w:spacing w:line="360" w:lineRule="auto"/>
              <w:contextualSpacing/>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4</w:t>
            </w:r>
          </w:p>
        </w:tc>
        <w:tc>
          <w:tcPr>
            <w:tcW w:w="1582" w:type="dxa"/>
            <w:tcBorders>
              <w:top w:val="single" w:color="auto" w:sz="4" w:space="0"/>
              <w:left w:val="single" w:color="auto" w:sz="4" w:space="0"/>
              <w:bottom w:val="single" w:color="auto" w:sz="4" w:space="0"/>
              <w:right w:val="single" w:color="auto" w:sz="4" w:space="0"/>
            </w:tcBorders>
            <w:vAlign w:val="center"/>
          </w:tcPr>
          <w:p w14:paraId="69FB5785">
            <w:pPr>
              <w:adjustRightInd/>
              <w:spacing w:line="360" w:lineRule="auto"/>
              <w:contextualSpacing/>
              <w:jc w:val="center"/>
              <w:rPr>
                <w:rFonts w:ascii="宋体" w:hAnsi="宋体" w:eastAsia="宋体" w:cs="宋体"/>
                <w:color w:val="auto"/>
                <w:sz w:val="24"/>
                <w:highlight w:val="none"/>
              </w:rPr>
            </w:pPr>
            <w:r>
              <w:rPr>
                <w:rFonts w:hint="eastAsia" w:ascii="宋体" w:hAnsi="宋体" w:eastAsia="宋体" w:cs="宋体"/>
                <w:color w:val="auto"/>
                <w:sz w:val="24"/>
                <w:highlight w:val="none"/>
              </w:rPr>
              <w:t>履约保证金</w:t>
            </w:r>
          </w:p>
        </w:tc>
        <w:tc>
          <w:tcPr>
            <w:tcW w:w="6567" w:type="dxa"/>
            <w:tcBorders>
              <w:top w:val="single" w:color="auto" w:sz="4" w:space="0"/>
              <w:left w:val="single" w:color="auto" w:sz="4" w:space="0"/>
              <w:bottom w:val="single" w:color="auto" w:sz="4" w:space="0"/>
              <w:right w:val="single" w:color="auto" w:sz="4" w:space="0"/>
            </w:tcBorders>
            <w:vAlign w:val="center"/>
          </w:tcPr>
          <w:p w14:paraId="2958A57D">
            <w:pPr>
              <w:adjustRightInd/>
              <w:spacing w:line="360" w:lineRule="auto"/>
              <w:contextualSpacing/>
              <w:rPr>
                <w:rFonts w:ascii="宋体" w:hAnsi="宋体" w:eastAsia="宋体" w:cs="宋体"/>
                <w:color w:val="auto"/>
                <w:sz w:val="24"/>
                <w:highlight w:val="none"/>
              </w:rPr>
            </w:pPr>
            <w:r>
              <w:rPr>
                <w:rFonts w:hint="eastAsia" w:ascii="宋体" w:hAnsi="宋体" w:eastAsia="宋体" w:cs="宋体"/>
                <w:color w:val="auto"/>
                <w:sz w:val="24"/>
                <w:highlight w:val="none"/>
              </w:rPr>
              <w:t>无。</w:t>
            </w:r>
          </w:p>
        </w:tc>
      </w:tr>
      <w:tr w14:paraId="5F657D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42" w:type="dxa"/>
            <w:tcBorders>
              <w:top w:val="single" w:color="auto" w:sz="4" w:space="0"/>
              <w:left w:val="single" w:color="auto" w:sz="4" w:space="0"/>
              <w:bottom w:val="single" w:color="auto" w:sz="4" w:space="0"/>
              <w:right w:val="single" w:color="auto" w:sz="4" w:space="0"/>
            </w:tcBorders>
            <w:vAlign w:val="center"/>
          </w:tcPr>
          <w:p w14:paraId="6698BC5B">
            <w:pPr>
              <w:adjustRightInd/>
              <w:spacing w:line="360" w:lineRule="auto"/>
              <w:contextualSpacing/>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w:t>
            </w:r>
          </w:p>
        </w:tc>
        <w:tc>
          <w:tcPr>
            <w:tcW w:w="1582" w:type="dxa"/>
            <w:tcBorders>
              <w:top w:val="single" w:color="auto" w:sz="4" w:space="0"/>
              <w:left w:val="single" w:color="auto" w:sz="4" w:space="0"/>
              <w:bottom w:val="single" w:color="auto" w:sz="4" w:space="0"/>
              <w:right w:val="single" w:color="auto" w:sz="4" w:space="0"/>
            </w:tcBorders>
            <w:vAlign w:val="center"/>
          </w:tcPr>
          <w:p w14:paraId="6129E094">
            <w:pPr>
              <w:adjustRightInd/>
              <w:spacing w:line="360" w:lineRule="auto"/>
              <w:contextualSpacing/>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违约责任</w:t>
            </w:r>
          </w:p>
        </w:tc>
        <w:tc>
          <w:tcPr>
            <w:tcW w:w="6567" w:type="dxa"/>
            <w:tcBorders>
              <w:top w:val="single" w:color="auto" w:sz="4" w:space="0"/>
              <w:left w:val="single" w:color="auto" w:sz="4" w:space="0"/>
              <w:bottom w:val="single" w:color="auto" w:sz="4" w:space="0"/>
              <w:right w:val="single" w:color="auto" w:sz="4" w:space="0"/>
            </w:tcBorders>
            <w:vAlign w:val="center"/>
          </w:tcPr>
          <w:p w14:paraId="2AA0DE4C">
            <w:pPr>
              <w:spacing w:line="312"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中标</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履行本项目发生以下情形的，按照下列规定执行。同时，采购</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有权调整以下现有违约责任或增加相关违约责任。出现下列情形之一的，按照中标价的5%支付违约金，并承担相应的责任。</w:t>
            </w:r>
          </w:p>
          <w:p w14:paraId="3E7B4359">
            <w:pPr>
              <w:spacing w:line="312"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①</w:t>
            </w:r>
            <w:r>
              <w:rPr>
                <w:rFonts w:hint="eastAsia" w:ascii="宋体" w:hAnsi="宋体" w:eastAsia="宋体" w:cs="宋体"/>
                <w:color w:val="auto"/>
                <w:sz w:val="24"/>
                <w:highlight w:val="none"/>
              </w:rPr>
              <w:t>合同履行期间，中标</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未落实安全防火、防风、防灾和安全生产措施，发生安全事故或者环境污染事故</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中标</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负全责。发生1人以上（含1人）死亡（自然死亡除外）或3人以上（含3人）重伤，并负主要责任的，采购</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有权单方解除合同，而无须向中标</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支付任何费用或承担其他的任何责任</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预付款未使用完的进行扣回</w:t>
            </w:r>
            <w:r>
              <w:rPr>
                <w:rFonts w:hint="eastAsia" w:ascii="宋体" w:hAnsi="宋体" w:eastAsia="宋体" w:cs="宋体"/>
                <w:color w:val="auto"/>
                <w:sz w:val="24"/>
                <w:highlight w:val="none"/>
              </w:rPr>
              <w:t>。</w:t>
            </w:r>
          </w:p>
          <w:p w14:paraId="4F80D4C2">
            <w:pPr>
              <w:spacing w:line="312"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②</w:t>
            </w:r>
            <w:r>
              <w:rPr>
                <w:rFonts w:hint="eastAsia" w:ascii="宋体" w:hAnsi="宋体" w:eastAsia="宋体" w:cs="宋体"/>
                <w:color w:val="auto"/>
                <w:sz w:val="24"/>
                <w:highlight w:val="none"/>
              </w:rPr>
              <w:t>合同履行期间，中标</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因违反劳动管理方面的</w:t>
            </w:r>
            <w:r>
              <w:rPr>
                <w:rFonts w:hint="eastAsia" w:ascii="宋体" w:hAnsi="宋体" w:eastAsia="宋体" w:cs="宋体"/>
                <w:color w:val="auto"/>
                <w:sz w:val="24"/>
                <w:highlight w:val="none"/>
                <w:lang w:eastAsia="zh-CN"/>
              </w:rPr>
              <w:t>法律法规</w:t>
            </w:r>
            <w:r>
              <w:rPr>
                <w:rFonts w:hint="eastAsia" w:ascii="宋体" w:hAnsi="宋体" w:eastAsia="宋体" w:cs="宋体"/>
                <w:color w:val="auto"/>
                <w:sz w:val="24"/>
                <w:highlight w:val="none"/>
              </w:rPr>
              <w:t>、规章及其他一般规范性文件的规定引起10人以上劳资纠纷案件败诉或10人以上歇工事件的，采购</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有权单方解除合同，而无须向中标</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支付任何费用或承担其他的任何责任，由此产生的经济损失和法律责任均全部由中标</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承担，预付款未使用完的进行扣回。</w:t>
            </w:r>
          </w:p>
          <w:p w14:paraId="2D1B87E1">
            <w:pPr>
              <w:spacing w:line="312"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③</w:t>
            </w:r>
            <w:r>
              <w:rPr>
                <w:rFonts w:hint="eastAsia" w:ascii="宋体" w:hAnsi="宋体" w:eastAsia="宋体" w:cs="宋体"/>
                <w:color w:val="auto"/>
                <w:sz w:val="24"/>
                <w:highlight w:val="none"/>
              </w:rPr>
              <w:t>合同履行期间，将公园委托管理的房屋建筑或场地挪作他用或违规用于经营性行为。</w:t>
            </w:r>
          </w:p>
          <w:p w14:paraId="72542B2E">
            <w:pPr>
              <w:spacing w:line="312"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④</w:t>
            </w:r>
            <w:r>
              <w:rPr>
                <w:rFonts w:hint="eastAsia" w:ascii="宋体" w:hAnsi="宋体" w:eastAsia="宋体" w:cs="宋体"/>
                <w:color w:val="auto"/>
                <w:sz w:val="24"/>
                <w:highlight w:val="none"/>
              </w:rPr>
              <w:t>在台风季节、暴雨等抢险救灾情况下，不服从采购</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和政府三防指挥机构的统一指挥和调度等。</w:t>
            </w:r>
          </w:p>
          <w:p w14:paraId="584DE7D9">
            <w:pPr>
              <w:spacing w:line="312"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有以下情形之一的，采购</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有权终止合同，合同期届满未续约或提前终止，中标</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不按时移交，按每日2万元的标准向采购</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支付违约金</w:t>
            </w:r>
            <w:r>
              <w:rPr>
                <w:rFonts w:hint="eastAsia" w:ascii="宋体" w:hAnsi="宋体" w:eastAsia="宋体" w:cs="宋体"/>
                <w:color w:val="auto"/>
                <w:sz w:val="24"/>
                <w:highlight w:val="none"/>
                <w:lang w:eastAsia="zh-CN"/>
              </w:rPr>
              <w:t>：</w:t>
            </w:r>
          </w:p>
          <w:p w14:paraId="199502B9">
            <w:pPr>
              <w:spacing w:line="312"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①</w:t>
            </w:r>
            <w:r>
              <w:rPr>
                <w:rFonts w:hint="eastAsia" w:ascii="宋体" w:hAnsi="宋体" w:eastAsia="宋体" w:cs="宋体"/>
                <w:color w:val="auto"/>
                <w:sz w:val="24"/>
                <w:highlight w:val="none"/>
              </w:rPr>
              <w:t>中标</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擅自将承包的服务转包或分包给第三人的，采购</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有权终止合同。</w:t>
            </w:r>
          </w:p>
          <w:p w14:paraId="13253925">
            <w:pPr>
              <w:spacing w:line="312"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②</w:t>
            </w:r>
            <w:r>
              <w:rPr>
                <w:rFonts w:hint="eastAsia" w:ascii="宋体" w:hAnsi="宋体" w:eastAsia="宋体" w:cs="宋体"/>
                <w:color w:val="auto"/>
                <w:sz w:val="24"/>
                <w:highlight w:val="none"/>
              </w:rPr>
              <w:t>中标</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累计扣罚达到当年固定支付部分服务费10％以上（含10%），采购</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有权终止合同。</w:t>
            </w:r>
          </w:p>
          <w:p w14:paraId="030F3F53">
            <w:pPr>
              <w:spacing w:line="312"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③</w:t>
            </w:r>
            <w:r>
              <w:rPr>
                <w:rFonts w:hint="eastAsia" w:ascii="宋体" w:hAnsi="宋体" w:eastAsia="宋体" w:cs="宋体"/>
                <w:color w:val="auto"/>
                <w:sz w:val="24"/>
                <w:highlight w:val="none"/>
              </w:rPr>
              <w:t>合同期内，中标</w:t>
            </w:r>
            <w:r>
              <w:rPr>
                <w:rFonts w:hint="eastAsia" w:ascii="宋体" w:hAnsi="宋体" w:eastAsia="宋体" w:cs="宋体"/>
                <w:color w:val="auto"/>
                <w:sz w:val="24"/>
                <w:highlight w:val="none"/>
                <w:lang w:eastAsia="zh-CN"/>
              </w:rPr>
              <w:t>人累计</w:t>
            </w:r>
            <w:r>
              <w:rPr>
                <w:rFonts w:hint="eastAsia" w:ascii="宋体" w:hAnsi="宋体" w:eastAsia="宋体" w:cs="宋体"/>
                <w:color w:val="auto"/>
                <w:sz w:val="24"/>
                <w:highlight w:val="none"/>
                <w:lang w:val="en-US" w:eastAsia="zh-CN"/>
              </w:rPr>
              <w:t>二</w:t>
            </w:r>
            <w:r>
              <w:rPr>
                <w:rFonts w:hint="eastAsia" w:ascii="宋体" w:hAnsi="宋体" w:eastAsia="宋体" w:cs="宋体"/>
                <w:color w:val="auto"/>
                <w:sz w:val="24"/>
                <w:highlight w:val="none"/>
              </w:rPr>
              <w:t>次及以上月度综合考核评分为不合格，采购</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有权终止合同。</w:t>
            </w:r>
          </w:p>
          <w:p w14:paraId="0246B1C0">
            <w:pPr>
              <w:spacing w:line="312"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④</w:t>
            </w:r>
            <w:r>
              <w:rPr>
                <w:rFonts w:hint="eastAsia" w:ascii="宋体" w:hAnsi="宋体" w:eastAsia="宋体" w:cs="宋体"/>
                <w:color w:val="auto"/>
                <w:sz w:val="24"/>
                <w:highlight w:val="none"/>
              </w:rPr>
              <w:t>经核实，中标</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有弄虚</w:t>
            </w:r>
            <w:r>
              <w:rPr>
                <w:rFonts w:hint="eastAsia" w:ascii="宋体" w:hAnsi="宋体" w:eastAsia="宋体" w:cs="宋体"/>
                <w:color w:val="auto"/>
                <w:sz w:val="24"/>
                <w:highlight w:val="none"/>
                <w:lang w:eastAsia="zh-CN"/>
              </w:rPr>
              <w:t>作</w:t>
            </w:r>
            <w:r>
              <w:rPr>
                <w:rFonts w:hint="eastAsia" w:ascii="宋体" w:hAnsi="宋体" w:eastAsia="宋体" w:cs="宋体"/>
                <w:color w:val="auto"/>
                <w:sz w:val="24"/>
                <w:highlight w:val="none"/>
              </w:rPr>
              <w:t>假等行为，采购</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有权终止合同。</w:t>
            </w:r>
          </w:p>
          <w:p w14:paraId="6E61AE22">
            <w:pPr>
              <w:spacing w:line="312"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⑤</w:t>
            </w:r>
            <w:r>
              <w:rPr>
                <w:rFonts w:hint="eastAsia" w:ascii="宋体" w:hAnsi="宋体" w:eastAsia="宋体" w:cs="宋体"/>
                <w:color w:val="auto"/>
                <w:sz w:val="24"/>
                <w:highlight w:val="none"/>
              </w:rPr>
              <w:t>中标</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违反</w:t>
            </w:r>
            <w:r>
              <w:rPr>
                <w:rFonts w:hint="eastAsia" w:ascii="宋体" w:hAnsi="宋体" w:eastAsia="宋体" w:cs="宋体"/>
                <w:color w:val="auto"/>
                <w:sz w:val="24"/>
                <w:highlight w:val="none"/>
                <w:lang w:eastAsia="zh-CN"/>
              </w:rPr>
              <w:t>法律法规</w:t>
            </w:r>
            <w:r>
              <w:rPr>
                <w:rFonts w:hint="eastAsia" w:ascii="宋体" w:hAnsi="宋体" w:eastAsia="宋体" w:cs="宋体"/>
                <w:color w:val="auto"/>
                <w:sz w:val="24"/>
                <w:highlight w:val="none"/>
              </w:rPr>
              <w:t>、规章、合同、招标文件</w:t>
            </w:r>
            <w:r>
              <w:rPr>
                <w:rFonts w:hint="eastAsia" w:ascii="宋体" w:hAnsi="宋体" w:eastAsia="宋体" w:cs="宋体"/>
                <w:color w:val="auto"/>
                <w:sz w:val="24"/>
                <w:highlight w:val="none"/>
                <w:lang w:eastAsia="zh-CN"/>
              </w:rPr>
              <w:t>等其他</w:t>
            </w:r>
            <w:r>
              <w:rPr>
                <w:rFonts w:hint="eastAsia" w:ascii="宋体" w:hAnsi="宋体" w:eastAsia="宋体" w:cs="宋体"/>
                <w:color w:val="auto"/>
                <w:sz w:val="24"/>
                <w:highlight w:val="none"/>
              </w:rPr>
              <w:t>相关规范性文件</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严重损害</w:t>
            </w:r>
            <w:r>
              <w:rPr>
                <w:rFonts w:hint="eastAsia" w:ascii="宋体" w:hAnsi="宋体" w:eastAsia="宋体" w:cs="宋体"/>
                <w:color w:val="auto"/>
                <w:sz w:val="24"/>
                <w:highlight w:val="none"/>
                <w:lang w:eastAsia="zh-CN"/>
              </w:rPr>
              <w:t>采购人</w:t>
            </w:r>
            <w:r>
              <w:rPr>
                <w:rFonts w:hint="eastAsia" w:ascii="宋体" w:hAnsi="宋体" w:eastAsia="宋体" w:cs="宋体"/>
                <w:color w:val="auto"/>
                <w:sz w:val="24"/>
                <w:highlight w:val="none"/>
              </w:rPr>
              <w:t>利益或社会公众利益等造成本项目无法履行。</w:t>
            </w:r>
          </w:p>
        </w:tc>
      </w:tr>
    </w:tbl>
    <w:p w14:paraId="79037ACA">
      <w:pPr>
        <w:widowControl/>
        <w:adjustRightInd/>
        <w:spacing w:line="360" w:lineRule="auto"/>
        <w:jc w:val="left"/>
        <w:outlineLvl w:val="1"/>
        <w:rPr>
          <w:rFonts w:hint="default"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rPr>
        <w:t>二、</w:t>
      </w:r>
      <w:r>
        <w:rPr>
          <w:rFonts w:hint="eastAsia" w:ascii="宋体" w:hAnsi="宋体" w:eastAsia="宋体" w:cs="宋体"/>
          <w:b/>
          <w:color w:val="auto"/>
          <w:kern w:val="0"/>
          <w:sz w:val="24"/>
          <w:highlight w:val="none"/>
          <w:lang w:val="en-US" w:eastAsia="zh-CN"/>
        </w:rPr>
        <w:t>项目概况</w:t>
      </w:r>
    </w:p>
    <w:p w14:paraId="2B3FECF4">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绿岛公园位于江北区文教街道，总占地面积约为60150㎡，公园敞开式，24小时开放。绿岛公园位于宁波市江北区，公园三面环水，好似一个悬挂在水中的半岛，目前有2个主要出入口，园路面积约9471.6㎡，水域面积约3046㎡，绿化面积34759㎡，公厕1座，建有园林博物馆、棋院(不在本次服务范围内)、篮球场、花境、鸳鸯桥等设施，园内树木参天，鸟鸣花香，是一个集休闲、文化、康体、生态于一体，以打造绣球花为主题的城市公园。</w:t>
      </w:r>
    </w:p>
    <w:p w14:paraId="62F9D35F">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宁波园林博物馆总建筑面积5449㎡，其中展厅面积1798㎡、管理用房125㎡，绿地面积3526㎡（含水池、亭廊及铺装和园路），博物馆内展陈不同时期的木制、石质、书籍等藏品204件。</w:t>
      </w:r>
    </w:p>
    <w:p w14:paraId="163636D6">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青林湾公园位于海曙区望春街道，总占地面积约为3.97万</w:t>
      </w:r>
      <w:r>
        <w:rPr>
          <w:rFonts w:hint="eastAsia" w:ascii="宋体" w:hAnsi="宋体" w:eastAsia="宋体" w:cs="宋体"/>
          <w:bCs/>
          <w:color w:val="auto"/>
          <w:kern w:val="0"/>
          <w:sz w:val="24"/>
          <w:highlight w:val="none"/>
          <w:lang w:val="en-US" w:eastAsia="zh-CN"/>
        </w:rPr>
        <w:t>平方米</w:t>
      </w:r>
      <w:r>
        <w:rPr>
          <w:rFonts w:hint="eastAsia" w:ascii="宋体" w:hAnsi="宋体" w:eastAsia="宋体" w:cs="宋体"/>
          <w:bCs/>
          <w:color w:val="auto"/>
          <w:kern w:val="0"/>
          <w:sz w:val="24"/>
          <w:highlight w:val="none"/>
        </w:rPr>
        <w:t>，公园敞开式，24小时开放。公园目前有7个出入口，其中绿化面积约 2.30万</w:t>
      </w:r>
      <w:r>
        <w:rPr>
          <w:rFonts w:hint="eastAsia" w:ascii="宋体" w:hAnsi="宋体" w:eastAsia="宋体" w:cs="宋体"/>
          <w:bCs/>
          <w:color w:val="auto"/>
          <w:kern w:val="0"/>
          <w:sz w:val="24"/>
          <w:highlight w:val="none"/>
          <w:lang w:val="en-US" w:eastAsia="zh-CN"/>
        </w:rPr>
        <w:t>平方米</w:t>
      </w:r>
      <w:r>
        <w:rPr>
          <w:rFonts w:hint="eastAsia" w:ascii="宋体" w:hAnsi="宋体" w:eastAsia="宋体" w:cs="宋体"/>
          <w:bCs/>
          <w:color w:val="auto"/>
          <w:kern w:val="0"/>
          <w:sz w:val="24"/>
          <w:highlight w:val="none"/>
        </w:rPr>
        <w:t>，水域面积约 0.</w:t>
      </w:r>
      <w:r>
        <w:rPr>
          <w:rFonts w:hint="eastAsia" w:ascii="宋体" w:hAnsi="宋体" w:eastAsia="宋体" w:cs="宋体"/>
          <w:bCs/>
          <w:color w:val="auto"/>
          <w:kern w:val="0"/>
          <w:sz w:val="24"/>
          <w:highlight w:val="none"/>
          <w:lang w:val="en-US" w:eastAsia="zh-CN"/>
        </w:rPr>
        <w:t>2</w:t>
      </w:r>
      <w:r>
        <w:rPr>
          <w:rFonts w:hint="eastAsia" w:ascii="宋体" w:hAnsi="宋体" w:eastAsia="宋体" w:cs="宋体"/>
          <w:bCs/>
          <w:color w:val="auto"/>
          <w:kern w:val="0"/>
          <w:sz w:val="24"/>
          <w:highlight w:val="none"/>
        </w:rPr>
        <w:t>万</w:t>
      </w:r>
      <w:r>
        <w:rPr>
          <w:rFonts w:hint="eastAsia" w:ascii="宋体" w:hAnsi="宋体" w:eastAsia="宋体" w:cs="宋体"/>
          <w:bCs/>
          <w:color w:val="auto"/>
          <w:kern w:val="0"/>
          <w:sz w:val="24"/>
          <w:highlight w:val="none"/>
          <w:lang w:val="en-US" w:eastAsia="zh-CN"/>
        </w:rPr>
        <w:t>平方米</w:t>
      </w:r>
      <w:r>
        <w:rPr>
          <w:rFonts w:hint="eastAsia" w:ascii="宋体" w:hAnsi="宋体" w:eastAsia="宋体" w:cs="宋体"/>
          <w:bCs/>
          <w:color w:val="auto"/>
          <w:kern w:val="0"/>
          <w:sz w:val="24"/>
          <w:highlight w:val="none"/>
        </w:rPr>
        <w:t>，公共厕所 2 座，另有通用厕间3处。公园总体框架包含“一岛、二广场、三节点”，“一岛”即位于公园中心二千多平米开阔水面上的“水乡渔岛”；“二广场”则是分别为东入口广场（港通古今）与北入口广场（甬港汇芳），“三节点”包括公园西北角的“古渡之韵”、西侧的“水岸风情”以及东南侧的健身广场。</w:t>
      </w:r>
    </w:p>
    <w:p w14:paraId="55F1BD15">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福民公园位于鄞州区福明街道，总占地面积约为2万</w:t>
      </w:r>
      <w:r>
        <w:rPr>
          <w:rFonts w:hint="eastAsia" w:ascii="宋体" w:hAnsi="宋体" w:eastAsia="宋体" w:cs="宋体"/>
          <w:bCs/>
          <w:color w:val="auto"/>
          <w:kern w:val="0"/>
          <w:sz w:val="24"/>
          <w:highlight w:val="none"/>
          <w:lang w:val="en-US" w:eastAsia="zh-CN"/>
        </w:rPr>
        <w:t>平方米</w:t>
      </w:r>
      <w:r>
        <w:rPr>
          <w:rFonts w:hint="eastAsia" w:ascii="宋体" w:hAnsi="宋体" w:eastAsia="宋体" w:cs="宋体"/>
          <w:bCs/>
          <w:color w:val="auto"/>
          <w:kern w:val="0"/>
          <w:sz w:val="24"/>
          <w:highlight w:val="none"/>
        </w:rPr>
        <w:t>，公园敞开式，24小时开放。公园目前有2个出入口，其中绿化面积约1.73万</w:t>
      </w:r>
      <w:r>
        <w:rPr>
          <w:rFonts w:hint="eastAsia" w:ascii="宋体" w:hAnsi="宋体" w:eastAsia="宋体" w:cs="宋体"/>
          <w:bCs/>
          <w:color w:val="auto"/>
          <w:kern w:val="0"/>
          <w:sz w:val="24"/>
          <w:highlight w:val="none"/>
          <w:lang w:val="en-US" w:eastAsia="zh-CN"/>
        </w:rPr>
        <w:t>平方米</w:t>
      </w:r>
      <w:r>
        <w:rPr>
          <w:rFonts w:hint="eastAsia" w:ascii="宋体" w:hAnsi="宋体" w:eastAsia="宋体" w:cs="宋体"/>
          <w:bCs/>
          <w:color w:val="auto"/>
          <w:kern w:val="0"/>
          <w:sz w:val="24"/>
          <w:highlight w:val="none"/>
        </w:rPr>
        <w:t>，公共厕所1座，建有亭廊等设施。</w:t>
      </w:r>
    </w:p>
    <w:p w14:paraId="190F5B39">
      <w:pPr>
        <w:widowControl/>
        <w:tabs>
          <w:tab w:val="left" w:pos="851"/>
        </w:tabs>
        <w:adjustRightInd/>
        <w:spacing w:line="360" w:lineRule="auto"/>
        <w:ind w:firstLine="480" w:firstLineChars="200"/>
        <w:rPr>
          <w:rFonts w:hint="default" w:ascii="宋体" w:hAnsi="宋体" w:eastAsia="宋体" w:cs="宋体"/>
          <w:b/>
          <w:bCs w:val="0"/>
          <w:color w:val="auto"/>
          <w:kern w:val="0"/>
          <w:sz w:val="24"/>
          <w:highlight w:val="none"/>
          <w:lang w:val="en-US" w:eastAsia="zh-CN"/>
        </w:rPr>
      </w:pPr>
      <w:r>
        <w:rPr>
          <w:rFonts w:hint="eastAsia" w:ascii="宋体" w:hAnsi="宋体" w:eastAsia="宋体" w:cs="宋体"/>
          <w:bCs/>
          <w:color w:val="auto"/>
          <w:kern w:val="0"/>
          <w:sz w:val="24"/>
          <w:highlight w:val="none"/>
        </w:rPr>
        <w:t>临时盆景园位于江北区洪塘街道，总占地面积约为</w:t>
      </w:r>
      <w:r>
        <w:rPr>
          <w:rFonts w:hint="eastAsia" w:ascii="宋体" w:hAnsi="宋体" w:cs="宋体"/>
          <w:bCs/>
          <w:color w:val="auto"/>
          <w:kern w:val="0"/>
          <w:sz w:val="24"/>
          <w:highlight w:val="none"/>
          <w:lang w:val="en-US" w:eastAsia="zh-CN"/>
        </w:rPr>
        <w:t>6700</w:t>
      </w:r>
      <w:r>
        <w:rPr>
          <w:rFonts w:hint="eastAsia" w:ascii="宋体" w:hAnsi="宋体" w:eastAsia="宋体" w:cs="宋体"/>
          <w:bCs/>
          <w:color w:val="auto"/>
          <w:kern w:val="0"/>
          <w:sz w:val="24"/>
          <w:highlight w:val="none"/>
        </w:rPr>
        <w:t>㎡，不对外开放。</w:t>
      </w:r>
    </w:p>
    <w:p w14:paraId="112CE796">
      <w:pPr>
        <w:widowControl/>
        <w:tabs>
          <w:tab w:val="left" w:pos="851"/>
        </w:tabs>
        <w:adjustRightInd/>
        <w:spacing w:line="360" w:lineRule="auto"/>
        <w:outlineLvl w:val="1"/>
        <w:rPr>
          <w:rFonts w:ascii="宋体" w:hAnsi="宋体" w:eastAsia="宋体" w:cs="宋体"/>
          <w:b/>
          <w:color w:val="auto"/>
          <w:kern w:val="0"/>
          <w:sz w:val="24"/>
          <w:highlight w:val="none"/>
        </w:rPr>
      </w:pPr>
      <w:r>
        <w:rPr>
          <w:rFonts w:hint="eastAsia" w:ascii="宋体" w:hAnsi="宋体" w:eastAsia="宋体" w:cs="宋体"/>
          <w:b/>
          <w:color w:val="auto"/>
          <w:kern w:val="0"/>
          <w:sz w:val="24"/>
          <w:highlight w:val="none"/>
        </w:rPr>
        <w:t>三、主要服务内容</w:t>
      </w:r>
    </w:p>
    <w:p w14:paraId="3A2226AB">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rPr>
        <w:t>公园综合管理服务主要实施内容：1.固定结算部分：绿化养护、保洁（含水域、公厕）、安保服务、四害消杀（含白蚁防治）、外来入侵物种防范、游客服务等，还包括其他配合公园开展的各项管理服务、各类活动保障、完善应急预案体系、落实极端气候防护、组建应急抢险队伍等相关保障内容。2：按实结算部分：零星设施维护修缮更新（包括管理设施、公共服务设施等）；景观环境提升（包括绿化景观环境提升或服务设施类提升、新优品种或特色苗木引入、水质提升等）；节日活动氛围营造布置；不可预期的增派人员或机械设备；因管理需要按实结算的材料、物资，各类专业服务等。</w:t>
      </w:r>
    </w:p>
    <w:p w14:paraId="1E3DFA04">
      <w:pPr>
        <w:widowControl/>
        <w:tabs>
          <w:tab w:val="left" w:pos="851"/>
        </w:tabs>
        <w:adjustRightInd/>
        <w:spacing w:line="360" w:lineRule="auto"/>
        <w:outlineLvl w:val="1"/>
        <w:rPr>
          <w:rFonts w:hint="default"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四、具体服务要求</w:t>
      </w:r>
    </w:p>
    <w:p w14:paraId="4087044D">
      <w:pPr>
        <w:widowControl/>
        <w:tabs>
          <w:tab w:val="left" w:pos="851"/>
        </w:tabs>
        <w:adjustRightInd/>
        <w:spacing w:line="360" w:lineRule="auto"/>
        <w:ind w:firstLine="482" w:firstLineChars="200"/>
        <w:rPr>
          <w:rFonts w:hint="default"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（一）总体管理要求</w:t>
      </w:r>
    </w:p>
    <w:tbl>
      <w:tblPr>
        <w:tblStyle w:val="62"/>
        <w:tblW w:w="9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7608"/>
        <w:gridCol w:w="929"/>
      </w:tblGrid>
      <w:tr w14:paraId="01BA9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blHeader/>
          <w:jc w:val="center"/>
        </w:trPr>
        <w:tc>
          <w:tcPr>
            <w:tcW w:w="813" w:type="dxa"/>
            <w:vAlign w:val="center"/>
          </w:tcPr>
          <w:p w14:paraId="2DE07EE2">
            <w:pPr>
              <w:widowControl w:val="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类别</w:t>
            </w:r>
          </w:p>
        </w:tc>
        <w:tc>
          <w:tcPr>
            <w:tcW w:w="7608" w:type="dxa"/>
            <w:vAlign w:val="center"/>
          </w:tcPr>
          <w:p w14:paraId="530464F7">
            <w:pPr>
              <w:widowControl w:val="0"/>
              <w:ind w:firstLine="482" w:firstLineChars="20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管理要求</w:t>
            </w:r>
          </w:p>
        </w:tc>
        <w:tc>
          <w:tcPr>
            <w:tcW w:w="929" w:type="dxa"/>
            <w:vAlign w:val="center"/>
          </w:tcPr>
          <w:p w14:paraId="2A5BC5B2">
            <w:pPr>
              <w:widowControl w:val="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备注</w:t>
            </w:r>
          </w:p>
        </w:tc>
      </w:tr>
      <w:tr w14:paraId="79A6C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13" w:type="dxa"/>
            <w:vAlign w:val="center"/>
          </w:tcPr>
          <w:p w14:paraId="4894C8E1">
            <w:pPr>
              <w:widowControl w:val="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合同执行</w:t>
            </w:r>
          </w:p>
        </w:tc>
        <w:tc>
          <w:tcPr>
            <w:tcW w:w="7608" w:type="dxa"/>
            <w:vAlign w:val="center"/>
          </w:tcPr>
          <w:p w14:paraId="4F587EC8">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1.中标人应具有完善的管理机构，管理人员职责明确、管理制度健全、日常运作规范。（中标人需提供公司规范运作的相关管理制度和资料）。</w:t>
            </w:r>
          </w:p>
          <w:p w14:paraId="57E9C777">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2.中标人进场之日开始启动全面的摸底工作，提出项目可行的组织实施方案。</w:t>
            </w:r>
          </w:p>
          <w:p w14:paraId="66A352F9">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3.中标人应建立质量控制体系，对服务状况进行有效监控，每季度向采购人报一份履约自查报告。</w:t>
            </w:r>
          </w:p>
          <w:p w14:paraId="5945B17C">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4.中标人需根据实际需要自行购置确保项目正常运行的办公、管理、维修、养护所需工具、设备、车辆等资产，并承担所需办公、管理、维修、养护的日常费用、人员工资及法定税费等。</w:t>
            </w:r>
          </w:p>
          <w:p w14:paraId="1054E8AF">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5.中标人应设置专门的咨询投诉电话（应在公园公厕、标识牌等明显位置标注）受理游客和其他单位的咨询、投诉、意见反馈，并保证得到有效解决，如果是采购人或监管部门的检查、考核或书面整改通知书，则须在5个工作日内整改，并给予采购人书面回复。</w:t>
            </w:r>
          </w:p>
          <w:p w14:paraId="034BD688">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6.中标人应根据公园管理水平和科技不断发展的情况，自行引进先进的、有效的管理理念和采用更先进、更有效的管理方式和设备。</w:t>
            </w:r>
          </w:p>
          <w:p w14:paraId="52E2FFB7">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7.中标人应当按照法律法规、规章和其他规范性文件的规定开展各项工作。因重大活动、应急事件、突发事件等需要，中标人必须无条件地完成采购人交办的突击工作。</w:t>
            </w:r>
          </w:p>
          <w:p w14:paraId="2E7FE505">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8.在公园管辖区域内有重大活动或接待任务情况下，中标人应服从采购人的统一指挥和调动，并配备充足的安保和服务力量。</w:t>
            </w:r>
          </w:p>
          <w:p w14:paraId="37622851">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9.中标人不得发生拖欠员工工资、劳资纠纷、罢工停工、人员工伤等事件。员工正常工作时间工资（不包括加班费、高温补贴及其他福利）不低于投标承诺的工资水平</w:t>
            </w:r>
            <w:r>
              <w:rPr>
                <w:rFonts w:hint="eastAsia" w:ascii="宋体" w:hAnsi="宋体" w:eastAsia="宋体" w:cs="宋体"/>
                <w:bCs/>
                <w:color w:val="auto"/>
                <w:kern w:val="0"/>
                <w:sz w:val="24"/>
                <w:highlight w:val="none"/>
              </w:rPr>
              <w:t>及宁波市本级的最低工资（按市人社局发布的最新最低工资规定）</w:t>
            </w:r>
            <w:r>
              <w:rPr>
                <w:rFonts w:hint="eastAsia" w:ascii="宋体" w:hAnsi="宋体" w:eastAsia="宋体" w:cs="宋体"/>
                <w:bCs/>
                <w:color w:val="auto"/>
                <w:kern w:val="0"/>
                <w:sz w:val="24"/>
                <w:highlight w:val="none"/>
                <w:lang w:eastAsia="zh-CN"/>
              </w:rPr>
              <w:t>。</w:t>
            </w:r>
          </w:p>
          <w:p w14:paraId="66BCBB58">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10.中标人必须遵守《劳动法》相关规定为员工购买相关社会保险，同时须为全体服务于本项目的人员办理每人最低赔付额度为人民币</w:t>
            </w:r>
            <w:r>
              <w:rPr>
                <w:rFonts w:hint="eastAsia" w:ascii="宋体" w:hAnsi="宋体" w:cs="宋体"/>
                <w:bCs/>
                <w:color w:val="auto"/>
                <w:kern w:val="0"/>
                <w:sz w:val="24"/>
                <w:highlight w:val="none"/>
                <w:lang w:eastAsia="zh-CN"/>
              </w:rPr>
              <w:t>100万</w:t>
            </w:r>
            <w:r>
              <w:rPr>
                <w:rFonts w:hint="eastAsia" w:ascii="宋体" w:hAnsi="宋体" w:eastAsia="宋体" w:cs="宋体"/>
                <w:bCs/>
                <w:color w:val="auto"/>
                <w:kern w:val="0"/>
                <w:sz w:val="24"/>
                <w:highlight w:val="none"/>
                <w:lang w:eastAsia="zh-CN"/>
              </w:rPr>
              <w:t>元的人身意外商业保险，并负责办理社会保险和商业保险的理赔手续和发放保险金。</w:t>
            </w:r>
          </w:p>
          <w:p w14:paraId="39844E28">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11.本项目将纳入智慧园林管理系统，中标人必须按要求配合使用，使用中</w:t>
            </w:r>
            <w:r>
              <w:rPr>
                <w:rFonts w:hint="eastAsia" w:ascii="宋体" w:hAnsi="宋体" w:eastAsia="宋体" w:cs="宋体"/>
                <w:bCs/>
                <w:color w:val="auto"/>
                <w:kern w:val="0"/>
                <w:sz w:val="24"/>
                <w:highlight w:val="none"/>
                <w:lang w:val="en-US" w:eastAsia="zh-CN"/>
              </w:rPr>
              <w:t>可能</w:t>
            </w:r>
            <w:r>
              <w:rPr>
                <w:rFonts w:hint="eastAsia" w:ascii="宋体" w:hAnsi="宋体" w:eastAsia="宋体" w:cs="宋体"/>
                <w:bCs/>
                <w:color w:val="auto"/>
                <w:kern w:val="0"/>
                <w:sz w:val="24"/>
                <w:highlight w:val="none"/>
                <w:lang w:eastAsia="zh-CN"/>
              </w:rPr>
              <w:t>产生的智能工牌等设备购置相关费用均由中标人无条件承担。</w:t>
            </w:r>
          </w:p>
          <w:p w14:paraId="49D473F1">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12.合同期内，中标人服务不达标，采购人有权</w:t>
            </w:r>
            <w:r>
              <w:rPr>
                <w:rFonts w:hint="eastAsia" w:ascii="宋体" w:hAnsi="宋体" w:eastAsia="宋体" w:cs="宋体"/>
                <w:bCs/>
                <w:color w:val="auto"/>
                <w:kern w:val="0"/>
                <w:sz w:val="24"/>
                <w:highlight w:val="none"/>
                <w:lang w:val="en-US" w:eastAsia="zh-CN"/>
              </w:rPr>
              <w:t>终止</w:t>
            </w:r>
            <w:r>
              <w:rPr>
                <w:rFonts w:hint="eastAsia" w:ascii="宋体" w:hAnsi="宋体" w:eastAsia="宋体" w:cs="宋体"/>
                <w:bCs/>
                <w:color w:val="auto"/>
                <w:kern w:val="0"/>
                <w:sz w:val="24"/>
                <w:highlight w:val="none"/>
                <w:lang w:eastAsia="zh-CN"/>
              </w:rPr>
              <w:t>合同。</w:t>
            </w:r>
          </w:p>
          <w:p w14:paraId="6CE1223A">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Cs/>
                <w:color w:val="auto"/>
                <w:kern w:val="0"/>
                <w:sz w:val="24"/>
                <w:highlight w:val="none"/>
                <w:lang w:eastAsia="zh-CN"/>
              </w:rPr>
              <w:t>13.由中标人负责管理维护的专用设施如仓库、工具间、值班休息室等禁止挪作他用。</w:t>
            </w:r>
          </w:p>
        </w:tc>
        <w:tc>
          <w:tcPr>
            <w:tcW w:w="929" w:type="dxa"/>
            <w:vMerge w:val="restart"/>
            <w:vAlign w:val="center"/>
          </w:tcPr>
          <w:p w14:paraId="62D3F376">
            <w:pPr>
              <w:widowControl w:val="0"/>
              <w:jc w:val="center"/>
              <w:rPr>
                <w:rFonts w:hint="eastAsia" w:ascii="宋体" w:hAnsi="宋体" w:eastAsia="宋体" w:cs="宋体"/>
                <w:bCs/>
                <w:color w:val="auto"/>
                <w:sz w:val="24"/>
                <w:szCs w:val="24"/>
                <w:highlight w:val="none"/>
              </w:rPr>
            </w:pPr>
            <w:r>
              <w:rPr>
                <w:rFonts w:hint="eastAsia" w:ascii="宋体" w:hAnsi="宋体" w:eastAsia="宋体" w:cs="宋体"/>
                <w:b/>
                <w:color w:val="auto"/>
                <w:sz w:val="24"/>
                <w:szCs w:val="24"/>
                <w:highlight w:val="none"/>
              </w:rPr>
              <w:t>达到招标文件、合同及相关部门要求。</w:t>
            </w:r>
          </w:p>
        </w:tc>
      </w:tr>
      <w:tr w14:paraId="6E7F9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813" w:type="dxa"/>
            <w:vAlign w:val="center"/>
          </w:tcPr>
          <w:p w14:paraId="79C171DB">
            <w:pPr>
              <w:widowControl w:val="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人员管理</w:t>
            </w:r>
          </w:p>
        </w:tc>
        <w:tc>
          <w:tcPr>
            <w:tcW w:w="7608" w:type="dxa"/>
            <w:vAlign w:val="center"/>
          </w:tcPr>
          <w:p w14:paraId="5DC25439">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1.中标人应在合同签订后10天内将项目管理团队成员名单以及执业资格证书和职称证书的复印件，车辆行驶证的复印件并加盖公章提交给采购人。其他人员有资质要求的也需要提供相关资格证书复印件。</w:t>
            </w:r>
          </w:p>
          <w:p w14:paraId="201B5162">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2.人员考勤达到合同规定要求（要求</w:t>
            </w:r>
            <w:r>
              <w:rPr>
                <w:rFonts w:hint="eastAsia" w:ascii="宋体" w:hAnsi="宋体" w:eastAsia="宋体" w:cs="宋体"/>
                <w:bCs/>
                <w:color w:val="auto"/>
                <w:kern w:val="0"/>
                <w:sz w:val="24"/>
                <w:highlight w:val="none"/>
                <w:lang w:val="en-US" w:eastAsia="zh-CN"/>
              </w:rPr>
              <w:t>中标人采用</w:t>
            </w:r>
            <w:r>
              <w:rPr>
                <w:rFonts w:hint="eastAsia" w:ascii="宋体" w:hAnsi="宋体" w:eastAsia="宋体" w:cs="宋体"/>
                <w:bCs/>
                <w:color w:val="auto"/>
                <w:kern w:val="0"/>
                <w:sz w:val="24"/>
                <w:highlight w:val="none"/>
                <w:lang w:eastAsia="zh-CN"/>
              </w:rPr>
              <w:t>人脸识别仪打卡数据、钉钉打卡或其他考勤方式），在管理服务期间，采购人将根据名单和证件对现场服务人员进行抽查，发现未按招标文件和合同要求到场服务的，中标人应根据招标文件和合同有关条款承担违约责任。</w:t>
            </w:r>
          </w:p>
          <w:p w14:paraId="55F7F9B1">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3.投标人一旦中标，投标</w:t>
            </w:r>
            <w:r>
              <w:rPr>
                <w:rFonts w:hint="eastAsia" w:ascii="宋体" w:hAnsi="宋体" w:eastAsia="宋体" w:cs="宋体"/>
                <w:bCs/>
                <w:color w:val="auto"/>
                <w:kern w:val="0"/>
                <w:sz w:val="24"/>
                <w:highlight w:val="none"/>
                <w:lang w:val="en-US" w:eastAsia="zh-CN"/>
              </w:rPr>
              <w:t>文件中列明的</w:t>
            </w:r>
            <w:r>
              <w:rPr>
                <w:rFonts w:hint="eastAsia" w:ascii="宋体" w:hAnsi="宋体" w:eastAsia="宋体" w:cs="宋体"/>
                <w:bCs/>
                <w:color w:val="auto"/>
                <w:kern w:val="0"/>
                <w:sz w:val="24"/>
                <w:highlight w:val="none"/>
                <w:lang w:eastAsia="zh-CN"/>
              </w:rPr>
              <w:t>项目负责人原则上不可更换，即为该项目的项目负责人；如确需更换，项目负责人必须不低于投标时的要求，并经采购人书面同意。</w:t>
            </w:r>
          </w:p>
          <w:p w14:paraId="12ECBB45">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4.中标人必须与员工签订书面劳动合同并遵守《劳动法》相关规定。</w:t>
            </w:r>
          </w:p>
          <w:p w14:paraId="6B19FA81">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5</w:t>
            </w:r>
            <w:r>
              <w:rPr>
                <w:rFonts w:hint="eastAsia" w:ascii="宋体" w:hAnsi="宋体" w:eastAsia="宋体" w:cs="宋体"/>
                <w:bCs/>
                <w:color w:val="auto"/>
                <w:kern w:val="0"/>
                <w:sz w:val="24"/>
                <w:highlight w:val="none"/>
                <w:lang w:eastAsia="zh-CN"/>
              </w:rPr>
              <w:t>.在服务期限内，中标人须服从采购人的指挥和合理调整。相关人员不称职、不符合采购人的要求，采购人有权要求更换。</w:t>
            </w:r>
          </w:p>
          <w:p w14:paraId="3A5FD589">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6</w:t>
            </w:r>
            <w:r>
              <w:rPr>
                <w:rFonts w:hint="eastAsia" w:ascii="宋体" w:hAnsi="宋体" w:eastAsia="宋体" w:cs="宋体"/>
                <w:bCs/>
                <w:color w:val="auto"/>
                <w:kern w:val="0"/>
                <w:sz w:val="24"/>
                <w:highlight w:val="none"/>
                <w:lang w:eastAsia="zh-CN"/>
              </w:rPr>
              <w:t>.工作人员进行工作时必须按要求统一工作服。一线员工着装样式，按《宁波市园林绿化行业养护作业服装技术指引》的样式标准制作，同时保证服饰材质适用工作需求，包含不限于工作鞋、工作帽、全套服装、反光衣等。</w:t>
            </w:r>
          </w:p>
          <w:p w14:paraId="02B67218">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bCs/>
                <w:color w:val="auto"/>
                <w:kern w:val="0"/>
                <w:sz w:val="24"/>
                <w:highlight w:val="none"/>
                <w:lang w:val="en-US" w:eastAsia="zh-CN"/>
              </w:rPr>
              <w:t>7</w:t>
            </w:r>
            <w:r>
              <w:rPr>
                <w:rFonts w:hint="eastAsia" w:ascii="宋体" w:hAnsi="宋体" w:eastAsia="宋体" w:cs="宋体"/>
                <w:bCs/>
                <w:color w:val="auto"/>
                <w:kern w:val="0"/>
                <w:sz w:val="24"/>
                <w:highlight w:val="none"/>
                <w:lang w:eastAsia="zh-CN"/>
              </w:rPr>
              <w:t>.中标人原则上自行解决员工的生活基地，包括上下班的交通工具。</w:t>
            </w:r>
          </w:p>
        </w:tc>
        <w:tc>
          <w:tcPr>
            <w:tcW w:w="929" w:type="dxa"/>
            <w:vMerge w:val="continue"/>
            <w:vAlign w:val="center"/>
          </w:tcPr>
          <w:p w14:paraId="77D9AAD4">
            <w:pPr>
              <w:widowControl w:val="0"/>
              <w:ind w:firstLine="480" w:firstLineChars="200"/>
              <w:jc w:val="left"/>
              <w:rPr>
                <w:rFonts w:hint="eastAsia" w:ascii="宋体" w:hAnsi="宋体" w:eastAsia="宋体" w:cs="宋体"/>
                <w:bCs/>
                <w:color w:val="auto"/>
                <w:sz w:val="24"/>
                <w:szCs w:val="24"/>
                <w:highlight w:val="none"/>
              </w:rPr>
            </w:pPr>
          </w:p>
        </w:tc>
      </w:tr>
      <w:tr w14:paraId="46554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13" w:type="dxa"/>
            <w:vAlign w:val="center"/>
          </w:tcPr>
          <w:p w14:paraId="5DBF514D">
            <w:pPr>
              <w:widowControl w:val="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机械设备管理</w:t>
            </w:r>
          </w:p>
        </w:tc>
        <w:tc>
          <w:tcPr>
            <w:tcW w:w="7608" w:type="dxa"/>
            <w:vAlign w:val="center"/>
          </w:tcPr>
          <w:p w14:paraId="6D8A6BBF">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1.机械设备按合同要求的种类及数量配备或提供。</w:t>
            </w:r>
          </w:p>
          <w:p w14:paraId="2AE83C98">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2</w:t>
            </w:r>
            <w:r>
              <w:rPr>
                <w:rFonts w:hint="eastAsia" w:ascii="宋体" w:hAnsi="宋体" w:eastAsia="宋体" w:cs="宋体"/>
                <w:bCs/>
                <w:color w:val="auto"/>
                <w:kern w:val="0"/>
                <w:sz w:val="24"/>
                <w:highlight w:val="none"/>
                <w:lang w:eastAsia="zh-CN"/>
              </w:rPr>
              <w:t>.相关作业车辆应符合环保要求，通过年检取得车管部门合格检验标志。</w:t>
            </w:r>
          </w:p>
          <w:p w14:paraId="49BA79B5">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3</w:t>
            </w:r>
            <w:r>
              <w:rPr>
                <w:rFonts w:hint="eastAsia" w:ascii="宋体" w:hAnsi="宋体" w:eastAsia="宋体" w:cs="宋体"/>
                <w:bCs/>
                <w:color w:val="auto"/>
                <w:kern w:val="0"/>
                <w:sz w:val="24"/>
                <w:highlight w:val="none"/>
                <w:lang w:eastAsia="zh-CN"/>
              </w:rPr>
              <w:t>.作业工具使用完成后正确摆放，并保持干净整洁。作业车辆在园区规定地方停放。</w:t>
            </w:r>
          </w:p>
          <w:p w14:paraId="4D03C28C">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4</w:t>
            </w:r>
            <w:r>
              <w:rPr>
                <w:rFonts w:hint="eastAsia" w:ascii="宋体" w:hAnsi="宋体" w:eastAsia="宋体" w:cs="宋体"/>
                <w:bCs/>
                <w:color w:val="auto"/>
                <w:kern w:val="0"/>
                <w:sz w:val="24"/>
                <w:highlight w:val="none"/>
                <w:lang w:eastAsia="zh-CN"/>
              </w:rPr>
              <w:t>.设备应专用于本项目服务，做好日常检查和定期保养，及时上报有关问题和故障，做好设备管理清单和运行日志。</w:t>
            </w:r>
          </w:p>
          <w:p w14:paraId="4F43C209">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5</w:t>
            </w:r>
            <w:r>
              <w:rPr>
                <w:rFonts w:hint="eastAsia" w:ascii="宋体" w:hAnsi="宋体" w:eastAsia="宋体" w:cs="宋体"/>
                <w:bCs/>
                <w:color w:val="auto"/>
                <w:kern w:val="0"/>
                <w:sz w:val="24"/>
                <w:highlight w:val="none"/>
                <w:lang w:eastAsia="zh-CN"/>
              </w:rPr>
              <w:t>.由于采购人特殊要求更换机械设备时，中标人须无条件配合采购人进行更换。</w:t>
            </w:r>
          </w:p>
        </w:tc>
        <w:tc>
          <w:tcPr>
            <w:tcW w:w="929" w:type="dxa"/>
            <w:vMerge w:val="continue"/>
            <w:vAlign w:val="center"/>
          </w:tcPr>
          <w:p w14:paraId="141146D1">
            <w:pPr>
              <w:widowControl w:val="0"/>
              <w:ind w:firstLine="480" w:firstLineChars="200"/>
              <w:jc w:val="left"/>
              <w:rPr>
                <w:rFonts w:hint="eastAsia" w:ascii="宋体" w:hAnsi="宋体" w:eastAsia="宋体" w:cs="宋体"/>
                <w:bCs/>
                <w:color w:val="auto"/>
                <w:sz w:val="24"/>
                <w:szCs w:val="24"/>
                <w:highlight w:val="none"/>
              </w:rPr>
            </w:pPr>
          </w:p>
        </w:tc>
      </w:tr>
      <w:tr w14:paraId="29D72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13" w:type="dxa"/>
            <w:vAlign w:val="center"/>
          </w:tcPr>
          <w:p w14:paraId="4183A280">
            <w:pPr>
              <w:widowControl w:val="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台账管理</w:t>
            </w:r>
          </w:p>
        </w:tc>
        <w:tc>
          <w:tcPr>
            <w:tcW w:w="7608" w:type="dxa"/>
            <w:vAlign w:val="center"/>
          </w:tcPr>
          <w:p w14:paraId="7047C81A">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1.</w:t>
            </w:r>
            <w:r>
              <w:rPr>
                <w:rFonts w:hint="eastAsia" w:ascii="宋体" w:hAnsi="宋体" w:eastAsia="宋体" w:cs="宋体"/>
                <w:bCs/>
                <w:color w:val="auto"/>
                <w:kern w:val="0"/>
                <w:sz w:val="24"/>
                <w:highlight w:val="none"/>
                <w:lang w:eastAsia="zh-CN"/>
              </w:rPr>
              <w:t>中标人必须建立日常管理规章制度，服务规范、设备操作规范及应急响应制度等，健全各种设备、设施的运行维护计划、记录及管理内容的基础档案。</w:t>
            </w:r>
          </w:p>
          <w:p w14:paraId="5988BC1B">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2.</w:t>
            </w:r>
            <w:r>
              <w:rPr>
                <w:rFonts w:hint="eastAsia" w:ascii="宋体" w:hAnsi="宋体" w:eastAsia="宋体" w:cs="宋体"/>
                <w:bCs/>
                <w:color w:val="auto"/>
                <w:kern w:val="0"/>
                <w:sz w:val="24"/>
                <w:highlight w:val="none"/>
                <w:lang w:eastAsia="zh-CN"/>
              </w:rPr>
              <w:t>中标人必须建立公园档案，及时记录，按时上报月报、年度总结。公园档案资料包括：日常养护台账、人员考核台账、日常巡查及整改记录、安全管理台账、设施管理台账、生活垃圾分类管理台账等。</w:t>
            </w:r>
          </w:p>
          <w:p w14:paraId="43D8AAE2">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3.</w:t>
            </w:r>
            <w:r>
              <w:rPr>
                <w:rFonts w:hint="eastAsia" w:ascii="宋体" w:hAnsi="宋体" w:eastAsia="宋体" w:cs="宋体"/>
                <w:bCs/>
                <w:color w:val="auto"/>
                <w:kern w:val="0"/>
                <w:sz w:val="24"/>
                <w:highlight w:val="none"/>
                <w:lang w:eastAsia="zh-CN"/>
              </w:rPr>
              <w:t>公园管理维护中涉及的文件、台账均需要归档，并分别用纸质、电子版保存，由专人负责管理，按要求对文件、台账资料进行备案。</w:t>
            </w:r>
          </w:p>
        </w:tc>
        <w:tc>
          <w:tcPr>
            <w:tcW w:w="929" w:type="dxa"/>
            <w:vMerge w:val="continue"/>
            <w:vAlign w:val="center"/>
          </w:tcPr>
          <w:p w14:paraId="7A75DA30">
            <w:pPr>
              <w:widowControl w:val="0"/>
              <w:ind w:firstLine="480" w:firstLineChars="200"/>
              <w:jc w:val="left"/>
              <w:rPr>
                <w:rFonts w:hint="eastAsia" w:ascii="宋体" w:hAnsi="宋体" w:eastAsia="宋体" w:cs="宋体"/>
                <w:bCs/>
                <w:color w:val="auto"/>
                <w:sz w:val="24"/>
                <w:szCs w:val="24"/>
                <w:highlight w:val="none"/>
              </w:rPr>
            </w:pPr>
          </w:p>
        </w:tc>
      </w:tr>
      <w:tr w14:paraId="11326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13" w:type="dxa"/>
            <w:vAlign w:val="center"/>
          </w:tcPr>
          <w:p w14:paraId="62636151">
            <w:pPr>
              <w:widowControl w:val="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安全文明</w:t>
            </w:r>
          </w:p>
        </w:tc>
        <w:tc>
          <w:tcPr>
            <w:tcW w:w="7608" w:type="dxa"/>
            <w:vAlign w:val="center"/>
          </w:tcPr>
          <w:p w14:paraId="63A98733">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1.</w:t>
            </w:r>
            <w:r>
              <w:rPr>
                <w:rFonts w:hint="eastAsia" w:ascii="宋体" w:hAnsi="宋体" w:eastAsia="宋体" w:cs="宋体"/>
                <w:bCs/>
                <w:color w:val="auto"/>
                <w:kern w:val="0"/>
                <w:sz w:val="24"/>
                <w:highlight w:val="none"/>
                <w:lang w:eastAsia="zh-CN"/>
              </w:rPr>
              <w:t>做好所有员工的安全生产教育，中标人员工上班期间或下班发生的一切人身伤亡事故责任均由中标人自行负责。</w:t>
            </w:r>
          </w:p>
          <w:p w14:paraId="68A58AC4">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2.</w:t>
            </w:r>
            <w:r>
              <w:rPr>
                <w:rFonts w:hint="eastAsia" w:ascii="宋体" w:hAnsi="宋体" w:eastAsia="宋体" w:cs="宋体"/>
                <w:bCs/>
                <w:color w:val="auto"/>
                <w:kern w:val="0"/>
                <w:sz w:val="24"/>
                <w:highlight w:val="none"/>
                <w:lang w:eastAsia="zh-CN"/>
              </w:rPr>
              <w:t>中标人须落实文明服务措施，如应急维修作业前放置好安全围挡、安全标志、警示标线、温馨提示等。</w:t>
            </w:r>
          </w:p>
          <w:p w14:paraId="148D75CC">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default"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3.</w:t>
            </w:r>
            <w:r>
              <w:rPr>
                <w:rFonts w:hint="eastAsia" w:ascii="宋体" w:hAnsi="宋体" w:cs="宋体"/>
                <w:bCs/>
                <w:color w:val="auto"/>
                <w:kern w:val="0"/>
                <w:sz w:val="24"/>
                <w:highlight w:val="none"/>
                <w:lang w:val="en-US" w:eastAsia="zh-CN"/>
              </w:rPr>
              <w:t>若因中标人原因导致采购人或者入园游客发生伤亡事故的，中标人必须第一时间进行应急处理并上报给采购人，一切责任和损失由中标人承担。</w:t>
            </w:r>
          </w:p>
          <w:p w14:paraId="22D80F97">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cs="宋体"/>
                <w:bCs/>
                <w:color w:val="auto"/>
                <w:kern w:val="0"/>
                <w:sz w:val="24"/>
                <w:highlight w:val="none"/>
                <w:lang w:val="en-US" w:eastAsia="zh-CN"/>
              </w:rPr>
              <w:t>4.</w:t>
            </w:r>
            <w:r>
              <w:rPr>
                <w:rFonts w:hint="eastAsia" w:ascii="宋体" w:hAnsi="宋体" w:eastAsia="宋体" w:cs="宋体"/>
                <w:bCs/>
                <w:color w:val="auto"/>
                <w:kern w:val="0"/>
                <w:sz w:val="24"/>
                <w:highlight w:val="none"/>
                <w:lang w:eastAsia="zh-CN"/>
              </w:rPr>
              <w:t>中标人进行日常消杀、病虫害防治等工作时，使用药物必须为国家规定“三证”（农药登记证、生产许可证、产品标准证）齐全的药物，不得使用国家及省市相关部门明令禁止使用的有毒有害药物，在消杀前提前报管理单位，并提前</w:t>
            </w:r>
            <w:r>
              <w:rPr>
                <w:rFonts w:hint="eastAsia" w:ascii="宋体" w:hAnsi="宋体" w:eastAsia="宋体" w:cs="宋体"/>
                <w:bCs/>
                <w:color w:val="auto"/>
                <w:kern w:val="0"/>
                <w:sz w:val="24"/>
                <w:highlight w:val="none"/>
                <w:lang w:val="en-US" w:eastAsia="zh-CN"/>
              </w:rPr>
              <w:t>1</w:t>
            </w:r>
            <w:r>
              <w:rPr>
                <w:rFonts w:hint="eastAsia" w:ascii="宋体" w:hAnsi="宋体" w:eastAsia="宋体" w:cs="宋体"/>
                <w:bCs/>
                <w:color w:val="auto"/>
                <w:kern w:val="0"/>
                <w:sz w:val="24"/>
                <w:highlight w:val="none"/>
                <w:lang w:eastAsia="zh-CN"/>
              </w:rPr>
              <w:t>日在公园主出入口放置提示牌，在消杀时在园路沿线设置警示牌，并做好安全防护措施，杜绝污染环境事故发生，如发生安全事故或者环境污染事故，中标人承担一切经济及法律责任。</w:t>
            </w:r>
          </w:p>
          <w:p w14:paraId="71CE4D77">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cs="宋体"/>
                <w:bCs/>
                <w:color w:val="auto"/>
                <w:kern w:val="0"/>
                <w:sz w:val="24"/>
                <w:highlight w:val="none"/>
                <w:lang w:val="en-US" w:eastAsia="zh-CN"/>
              </w:rPr>
              <w:t>5</w:t>
            </w:r>
            <w:r>
              <w:rPr>
                <w:rFonts w:hint="eastAsia" w:ascii="宋体" w:hAnsi="宋体" w:eastAsia="宋体" w:cs="宋体"/>
                <w:bCs/>
                <w:color w:val="auto"/>
                <w:kern w:val="0"/>
                <w:sz w:val="24"/>
                <w:highlight w:val="none"/>
                <w:lang w:val="en-US" w:eastAsia="zh-CN"/>
              </w:rPr>
              <w:t>.</w:t>
            </w:r>
            <w:r>
              <w:rPr>
                <w:rFonts w:hint="eastAsia" w:ascii="宋体" w:hAnsi="宋体" w:eastAsia="宋体" w:cs="宋体"/>
                <w:bCs/>
                <w:color w:val="auto"/>
                <w:kern w:val="0"/>
                <w:sz w:val="24"/>
                <w:highlight w:val="none"/>
                <w:lang w:eastAsia="zh-CN"/>
              </w:rPr>
              <w:t>对破坏绿化、违法占用或超范围占用绿地的行为及时采取措施制止或上报。</w:t>
            </w:r>
          </w:p>
          <w:p w14:paraId="72D12521">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cs="宋体"/>
                <w:bCs/>
                <w:color w:val="auto"/>
                <w:kern w:val="0"/>
                <w:sz w:val="24"/>
                <w:highlight w:val="none"/>
                <w:lang w:val="en-US" w:eastAsia="zh-CN"/>
              </w:rPr>
              <w:t>6</w:t>
            </w:r>
            <w:r>
              <w:rPr>
                <w:rFonts w:hint="eastAsia" w:ascii="宋体" w:hAnsi="宋体" w:eastAsia="宋体" w:cs="宋体"/>
                <w:bCs/>
                <w:color w:val="auto"/>
                <w:kern w:val="0"/>
                <w:sz w:val="24"/>
                <w:highlight w:val="none"/>
                <w:lang w:val="en-US" w:eastAsia="zh-CN"/>
              </w:rPr>
              <w:t>.</w:t>
            </w:r>
            <w:r>
              <w:rPr>
                <w:rFonts w:hint="eastAsia" w:ascii="宋体" w:hAnsi="宋体" w:eastAsia="宋体" w:cs="宋体"/>
                <w:bCs/>
                <w:color w:val="auto"/>
                <w:kern w:val="0"/>
                <w:sz w:val="24"/>
                <w:highlight w:val="none"/>
                <w:lang w:eastAsia="zh-CN"/>
              </w:rPr>
              <w:t>对绿地改造工程或其他占用单位的不文明施工行为及时制止、纠正，如无围挡、围挡不规范、污染路面等。</w:t>
            </w:r>
          </w:p>
          <w:p w14:paraId="44DDA7D4">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cs="宋体"/>
                <w:bCs/>
                <w:color w:val="auto"/>
                <w:kern w:val="0"/>
                <w:sz w:val="24"/>
                <w:highlight w:val="none"/>
                <w:lang w:val="en-US" w:eastAsia="zh-CN"/>
              </w:rPr>
              <w:t>7</w:t>
            </w:r>
            <w:r>
              <w:rPr>
                <w:rFonts w:hint="eastAsia" w:ascii="宋体" w:hAnsi="宋体" w:eastAsia="宋体" w:cs="宋体"/>
                <w:bCs/>
                <w:color w:val="auto"/>
                <w:kern w:val="0"/>
                <w:sz w:val="24"/>
                <w:highlight w:val="none"/>
                <w:lang w:val="en-US" w:eastAsia="zh-CN"/>
              </w:rPr>
              <w:t>.</w:t>
            </w:r>
            <w:r>
              <w:rPr>
                <w:rFonts w:hint="eastAsia" w:ascii="宋体" w:hAnsi="宋体" w:eastAsia="宋体" w:cs="宋体"/>
                <w:bCs/>
                <w:color w:val="auto"/>
                <w:kern w:val="0"/>
                <w:sz w:val="24"/>
                <w:highlight w:val="none"/>
                <w:lang w:eastAsia="zh-CN"/>
              </w:rPr>
              <w:t>对突发事件造成的绿地损坏及时恢复。</w:t>
            </w:r>
          </w:p>
        </w:tc>
        <w:tc>
          <w:tcPr>
            <w:tcW w:w="929" w:type="dxa"/>
            <w:vMerge w:val="continue"/>
            <w:vAlign w:val="center"/>
          </w:tcPr>
          <w:p w14:paraId="11AE333F">
            <w:pPr>
              <w:widowControl w:val="0"/>
              <w:ind w:firstLine="480" w:firstLineChars="200"/>
              <w:jc w:val="left"/>
              <w:rPr>
                <w:rFonts w:hint="eastAsia" w:ascii="宋体" w:hAnsi="宋体" w:eastAsia="宋体" w:cs="宋体"/>
                <w:bCs/>
                <w:color w:val="auto"/>
                <w:sz w:val="24"/>
                <w:szCs w:val="24"/>
                <w:highlight w:val="none"/>
              </w:rPr>
            </w:pPr>
          </w:p>
        </w:tc>
      </w:tr>
      <w:tr w14:paraId="3B644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813" w:type="dxa"/>
            <w:vAlign w:val="center"/>
          </w:tcPr>
          <w:p w14:paraId="3F887C83">
            <w:pPr>
              <w:widowControl w:val="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响应程度</w:t>
            </w:r>
          </w:p>
        </w:tc>
        <w:tc>
          <w:tcPr>
            <w:tcW w:w="7608" w:type="dxa"/>
            <w:vAlign w:val="center"/>
          </w:tcPr>
          <w:p w14:paraId="57CA6CB9">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1</w:t>
            </w:r>
            <w:r>
              <w:rPr>
                <w:rFonts w:hint="eastAsia" w:ascii="宋体" w:hAnsi="宋体" w:eastAsia="宋体" w:cs="宋体"/>
                <w:bCs/>
                <w:color w:val="auto"/>
                <w:kern w:val="0"/>
                <w:sz w:val="24"/>
                <w:highlight w:val="none"/>
                <w:lang w:eastAsia="zh-CN"/>
              </w:rPr>
              <w:t>.积极配合采购人推进各项工作，推广使用新优品种，主动应用新技术、新机械、新设备投入日常养护管理当中。</w:t>
            </w:r>
          </w:p>
          <w:p w14:paraId="6A519773">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2</w:t>
            </w:r>
            <w:r>
              <w:rPr>
                <w:rFonts w:hint="eastAsia" w:ascii="宋体" w:hAnsi="宋体" w:eastAsia="宋体" w:cs="宋体"/>
                <w:bCs/>
                <w:color w:val="auto"/>
                <w:kern w:val="0"/>
                <w:sz w:val="24"/>
                <w:highlight w:val="none"/>
                <w:lang w:eastAsia="zh-CN"/>
              </w:rPr>
              <w:t>.在</w:t>
            </w:r>
            <w:r>
              <w:rPr>
                <w:rFonts w:hint="eastAsia" w:ascii="宋体" w:hAnsi="宋体" w:eastAsia="宋体" w:cs="宋体"/>
                <w:bCs/>
                <w:color w:val="auto"/>
                <w:kern w:val="0"/>
                <w:sz w:val="24"/>
                <w:highlight w:val="none"/>
                <w:lang w:val="en-US" w:eastAsia="zh-CN"/>
              </w:rPr>
              <w:t>合同签订之日起30日内</w:t>
            </w:r>
            <w:r>
              <w:rPr>
                <w:rFonts w:hint="eastAsia" w:ascii="宋体" w:hAnsi="宋体" w:eastAsia="宋体" w:cs="宋体"/>
                <w:bCs/>
                <w:color w:val="auto"/>
                <w:kern w:val="0"/>
                <w:sz w:val="24"/>
                <w:highlight w:val="none"/>
                <w:lang w:eastAsia="zh-CN"/>
              </w:rPr>
              <w:t>完成合同始止过渡期的服务及人员交接。</w:t>
            </w:r>
          </w:p>
          <w:p w14:paraId="61D8C8BD">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3</w:t>
            </w:r>
            <w:r>
              <w:rPr>
                <w:rFonts w:hint="eastAsia" w:ascii="宋体" w:hAnsi="宋体" w:eastAsia="宋体" w:cs="宋体"/>
                <w:bCs/>
                <w:color w:val="auto"/>
                <w:kern w:val="0"/>
                <w:sz w:val="24"/>
                <w:highlight w:val="none"/>
                <w:lang w:eastAsia="zh-CN"/>
              </w:rPr>
              <w:t>.因工作需要召集的各种会议（或者有关指令），中标人相关人员要按会议要求准时参加。</w:t>
            </w:r>
          </w:p>
          <w:p w14:paraId="0C0B1E53">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4</w:t>
            </w:r>
            <w:r>
              <w:rPr>
                <w:rFonts w:hint="eastAsia" w:ascii="宋体" w:hAnsi="宋体" w:eastAsia="宋体" w:cs="宋体"/>
                <w:bCs/>
                <w:color w:val="auto"/>
                <w:kern w:val="0"/>
                <w:sz w:val="24"/>
                <w:highlight w:val="none"/>
                <w:lang w:eastAsia="zh-CN"/>
              </w:rPr>
              <w:t>.相关检查发现的问题、上级领导巡查及社会投诉信访问题、媒体曝光的问题及时整改。</w:t>
            </w:r>
          </w:p>
          <w:p w14:paraId="2267CD3C">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5</w:t>
            </w:r>
            <w:r>
              <w:rPr>
                <w:rFonts w:hint="eastAsia" w:ascii="宋体" w:hAnsi="宋体" w:eastAsia="宋体" w:cs="宋体"/>
                <w:bCs/>
                <w:color w:val="auto"/>
                <w:kern w:val="0"/>
                <w:sz w:val="24"/>
                <w:highlight w:val="none"/>
                <w:lang w:eastAsia="zh-CN"/>
              </w:rPr>
              <w:t>.迎检任务或突发事件处理的工作到位、措施得力、保障到位。</w:t>
            </w:r>
          </w:p>
        </w:tc>
        <w:tc>
          <w:tcPr>
            <w:tcW w:w="929" w:type="dxa"/>
            <w:vMerge w:val="continue"/>
            <w:vAlign w:val="center"/>
          </w:tcPr>
          <w:p w14:paraId="3485560C">
            <w:pPr>
              <w:widowControl w:val="0"/>
              <w:ind w:firstLine="480" w:firstLineChars="200"/>
              <w:jc w:val="left"/>
              <w:rPr>
                <w:rFonts w:hint="eastAsia" w:ascii="宋体" w:hAnsi="宋体" w:eastAsia="宋体" w:cs="宋体"/>
                <w:bCs/>
                <w:color w:val="auto"/>
                <w:sz w:val="24"/>
                <w:szCs w:val="24"/>
                <w:highlight w:val="none"/>
              </w:rPr>
            </w:pPr>
          </w:p>
        </w:tc>
      </w:tr>
      <w:tr w14:paraId="3196B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13" w:type="dxa"/>
            <w:vAlign w:val="center"/>
          </w:tcPr>
          <w:p w14:paraId="74F5B7D7">
            <w:pPr>
              <w:widowControl w:val="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工作计划及培训</w:t>
            </w:r>
          </w:p>
        </w:tc>
        <w:tc>
          <w:tcPr>
            <w:tcW w:w="7608" w:type="dxa"/>
            <w:vAlign w:val="center"/>
          </w:tcPr>
          <w:p w14:paraId="6BDDFC13">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1.</w:t>
            </w:r>
            <w:r>
              <w:rPr>
                <w:rFonts w:hint="eastAsia" w:ascii="宋体" w:hAnsi="宋体" w:eastAsia="宋体" w:cs="宋体"/>
                <w:bCs/>
                <w:color w:val="auto"/>
                <w:kern w:val="0"/>
                <w:sz w:val="24"/>
                <w:highlight w:val="none"/>
                <w:lang w:eastAsia="zh-CN"/>
              </w:rPr>
              <w:t>中标人应完善培训体系，编写各项作业规程，制定培训计划，使一线岗位熟练掌握并切实遵守。培训体系中必须包括夏季水域安全管理、公园应急疏散、设施管理等内容。</w:t>
            </w:r>
          </w:p>
          <w:p w14:paraId="3B6D015E">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2.对新入职员工进行岗前培训，包括但不限于本项目招标文件及其附件、投标文件等其他管理需求应注意的相关内容。每个季度开展专项安全或专业技能培训，危险作业对相关作业人员进行岗前安全培训。如发生安全事故， 中标人负责事故处理的一切费用。</w:t>
            </w:r>
          </w:p>
          <w:p w14:paraId="4A46CE3D">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3.按要求制定作业计划、工作方案、应急预案等报采购人审核。</w:t>
            </w:r>
          </w:p>
          <w:p w14:paraId="59F6C045">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default"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4</w:t>
            </w:r>
            <w:r>
              <w:rPr>
                <w:rFonts w:hint="eastAsia" w:ascii="宋体" w:hAnsi="宋体" w:cs="宋体"/>
                <w:bCs/>
                <w:color w:val="auto"/>
                <w:kern w:val="0"/>
                <w:sz w:val="24"/>
                <w:highlight w:val="none"/>
                <w:lang w:val="en-US" w:eastAsia="zh-CN"/>
              </w:rPr>
              <w:t>.工作培训</w:t>
            </w:r>
            <w:r>
              <w:rPr>
                <w:rFonts w:hint="eastAsia" w:ascii="宋体" w:hAnsi="宋体" w:eastAsia="宋体" w:cs="宋体"/>
                <w:bCs/>
                <w:color w:val="auto"/>
                <w:kern w:val="0"/>
                <w:sz w:val="24"/>
                <w:highlight w:val="none"/>
                <w:lang w:val="en-US" w:eastAsia="zh-CN"/>
              </w:rPr>
              <w:t>每季度不少于一次（与应急响应演练二选一）。</w:t>
            </w:r>
          </w:p>
        </w:tc>
        <w:tc>
          <w:tcPr>
            <w:tcW w:w="929" w:type="dxa"/>
            <w:vMerge w:val="continue"/>
            <w:vAlign w:val="center"/>
          </w:tcPr>
          <w:p w14:paraId="1A180826">
            <w:pPr>
              <w:widowControl w:val="0"/>
              <w:ind w:firstLine="480" w:firstLineChars="200"/>
              <w:jc w:val="left"/>
              <w:rPr>
                <w:rFonts w:hint="eastAsia" w:ascii="宋体" w:hAnsi="宋体" w:eastAsia="宋体" w:cs="宋体"/>
                <w:bCs/>
                <w:color w:val="auto"/>
                <w:sz w:val="24"/>
                <w:szCs w:val="24"/>
                <w:highlight w:val="none"/>
              </w:rPr>
            </w:pPr>
          </w:p>
        </w:tc>
      </w:tr>
      <w:tr w14:paraId="47BDF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13" w:type="dxa"/>
            <w:vAlign w:val="center"/>
          </w:tcPr>
          <w:p w14:paraId="5314564C">
            <w:pPr>
              <w:jc w:val="center"/>
              <w:rPr>
                <w:rFonts w:hint="eastAsia" w:ascii="宋体" w:hAnsi="宋体" w:eastAsia="宋体" w:cs="宋体"/>
                <w:b/>
                <w:color w:val="auto"/>
                <w:sz w:val="24"/>
                <w:szCs w:val="24"/>
                <w:highlight w:val="none"/>
              </w:rPr>
            </w:pPr>
            <w:r>
              <w:rPr>
                <w:rFonts w:hint="eastAsia" w:ascii="宋体" w:hAnsi="宋体" w:eastAsia="宋体" w:cs="宋体"/>
                <w:b/>
                <w:bCs w:val="0"/>
                <w:color w:val="auto"/>
                <w:sz w:val="24"/>
                <w:szCs w:val="24"/>
                <w:highlight w:val="none"/>
              </w:rPr>
              <w:t>应急响应</w:t>
            </w:r>
          </w:p>
        </w:tc>
        <w:tc>
          <w:tcPr>
            <w:tcW w:w="7608" w:type="dxa"/>
            <w:vAlign w:val="center"/>
          </w:tcPr>
          <w:p w14:paraId="476DD6D3">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1.</w:t>
            </w:r>
            <w:r>
              <w:rPr>
                <w:rFonts w:hint="eastAsia" w:ascii="宋体" w:hAnsi="宋体" w:eastAsia="宋体" w:cs="宋体"/>
                <w:bCs/>
                <w:color w:val="auto"/>
                <w:kern w:val="0"/>
                <w:sz w:val="24"/>
                <w:highlight w:val="none"/>
                <w:lang w:eastAsia="zh-CN"/>
              </w:rPr>
              <w:t>在台风、洪涝、雨雪冰冻等特殊天气情况下，公园全范围加强防御措施，设立明显警示标志，禁止行人进入危险区段；做好园内的设施设备安全保护；提前针对绿化合理修剪，加固护树设施；对排水沟渠进行清理疏通。</w:t>
            </w:r>
          </w:p>
          <w:p w14:paraId="5378F34E">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2.</w:t>
            </w:r>
            <w:r>
              <w:rPr>
                <w:rFonts w:hint="eastAsia" w:ascii="宋体" w:hAnsi="宋体" w:eastAsia="宋体" w:cs="宋体"/>
                <w:bCs/>
                <w:color w:val="auto"/>
                <w:kern w:val="0"/>
                <w:sz w:val="24"/>
                <w:highlight w:val="none"/>
                <w:lang w:eastAsia="zh-CN"/>
              </w:rPr>
              <w:t>中标人必须及时巡查、发现和及时消除园内安全隐患，精心看护园内绿地及绿地上设施设备，做好三防及火灾等防范工作，在重大灾害时需及时调度增派人员、车辆和机械满足需要，对灾害引起的破坏及时清理修复。</w:t>
            </w:r>
          </w:p>
          <w:p w14:paraId="0C06CCED">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3.</w:t>
            </w:r>
            <w:r>
              <w:rPr>
                <w:rFonts w:hint="eastAsia" w:ascii="宋体" w:hAnsi="宋体" w:eastAsia="宋体" w:cs="宋体"/>
                <w:bCs/>
                <w:color w:val="auto"/>
                <w:kern w:val="0"/>
                <w:sz w:val="24"/>
                <w:highlight w:val="none"/>
                <w:lang w:eastAsia="zh-CN"/>
              </w:rPr>
              <w:t>中标人必须结合公园实际情况，制定应对台风、洪涝、雨雪冰冻、消防、突发公共事件的应急预案。</w:t>
            </w:r>
          </w:p>
          <w:p w14:paraId="27ABAEA6">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4.</w:t>
            </w:r>
            <w:r>
              <w:rPr>
                <w:rFonts w:hint="eastAsia" w:ascii="宋体" w:hAnsi="宋体" w:eastAsia="宋体" w:cs="宋体"/>
                <w:bCs/>
                <w:color w:val="auto"/>
                <w:kern w:val="0"/>
                <w:sz w:val="24"/>
                <w:highlight w:val="none"/>
                <w:lang w:eastAsia="zh-CN"/>
              </w:rPr>
              <w:t>中标人根据应急抢险工作预案、建立应急机制，组织一支应急队伍</w:t>
            </w:r>
            <w:r>
              <w:rPr>
                <w:rFonts w:hint="eastAsia" w:ascii="宋体" w:hAnsi="宋体" w:eastAsia="宋体" w:cs="宋体"/>
                <w:bCs/>
                <w:color w:val="auto"/>
                <w:kern w:val="0"/>
                <w:sz w:val="24"/>
                <w:highlight w:val="none"/>
                <w:lang w:val="en-US" w:eastAsia="zh-CN"/>
              </w:rPr>
              <w:t>不少于10人</w:t>
            </w:r>
            <w:r>
              <w:rPr>
                <w:rFonts w:hint="eastAsia" w:ascii="宋体" w:hAnsi="宋体" w:eastAsia="宋体" w:cs="宋体"/>
                <w:bCs/>
                <w:color w:val="auto"/>
                <w:kern w:val="0"/>
                <w:sz w:val="24"/>
                <w:highlight w:val="none"/>
                <w:lang w:eastAsia="zh-CN"/>
              </w:rPr>
              <w:t>，遇到台风、洪涝、雨雪冰冻等抢险救灾或机动应急事项时，无条件服从指挥并开展不限于本标项公园场地的抢险救灾等工作。</w:t>
            </w:r>
            <w:r>
              <w:rPr>
                <w:rFonts w:hint="eastAsia" w:ascii="宋体" w:hAnsi="宋体" w:eastAsia="宋体" w:cs="宋体"/>
                <w:bCs/>
                <w:color w:val="auto"/>
                <w:kern w:val="0"/>
                <w:sz w:val="24"/>
                <w:highlight w:val="none"/>
                <w:lang w:val="en-US" w:eastAsia="zh-CN"/>
              </w:rPr>
              <w:t>该队伍进行支援任务时，应配备有接送车辆，携带完成当次任务的必要装备，做好后勤保障工作。该队伍执行任务时不能影响公园正常运行。</w:t>
            </w:r>
          </w:p>
          <w:p w14:paraId="2315674A">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5.</w:t>
            </w:r>
            <w:r>
              <w:rPr>
                <w:rFonts w:hint="eastAsia" w:ascii="宋体" w:hAnsi="宋体" w:eastAsia="宋体" w:cs="宋体"/>
                <w:bCs/>
                <w:color w:val="auto"/>
                <w:kern w:val="0"/>
                <w:sz w:val="24"/>
                <w:highlight w:val="none"/>
                <w:lang w:eastAsia="zh-CN"/>
              </w:rPr>
              <w:t>中标人要求定期开展应急抢险技能培训和实操练习，涉及高空作业、机械设备使用等要求应急队伍成员必须具备相关操作或资格证书，要求应急队伍成员能熟练掌握抢险的基本技能。</w:t>
            </w:r>
          </w:p>
          <w:p w14:paraId="58F94BCC">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default"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6.应急响应</w:t>
            </w:r>
            <w:r>
              <w:rPr>
                <w:rFonts w:hint="eastAsia" w:ascii="宋体" w:hAnsi="宋体" w:cs="宋体"/>
                <w:bCs/>
                <w:color w:val="auto"/>
                <w:kern w:val="0"/>
                <w:sz w:val="24"/>
                <w:highlight w:val="none"/>
                <w:lang w:val="en-US" w:eastAsia="zh-CN"/>
              </w:rPr>
              <w:t>演练</w:t>
            </w:r>
            <w:r>
              <w:rPr>
                <w:rFonts w:hint="eastAsia" w:ascii="宋体" w:hAnsi="宋体" w:eastAsia="宋体" w:cs="宋体"/>
                <w:bCs/>
                <w:color w:val="auto"/>
                <w:kern w:val="0"/>
                <w:sz w:val="24"/>
                <w:highlight w:val="none"/>
                <w:lang w:val="en-US" w:eastAsia="zh-CN"/>
              </w:rPr>
              <w:t>每季度不少于一次（与培训二选一）。</w:t>
            </w:r>
          </w:p>
        </w:tc>
        <w:tc>
          <w:tcPr>
            <w:tcW w:w="929" w:type="dxa"/>
            <w:vAlign w:val="center"/>
          </w:tcPr>
          <w:p w14:paraId="29479822">
            <w:pPr>
              <w:widowControl w:val="0"/>
              <w:ind w:firstLine="480" w:firstLineChars="200"/>
              <w:jc w:val="left"/>
              <w:rPr>
                <w:rFonts w:hint="eastAsia" w:ascii="宋体" w:hAnsi="宋体" w:eastAsia="宋体" w:cs="宋体"/>
                <w:bCs/>
                <w:color w:val="auto"/>
                <w:sz w:val="24"/>
                <w:szCs w:val="24"/>
                <w:highlight w:val="none"/>
              </w:rPr>
            </w:pPr>
          </w:p>
        </w:tc>
      </w:tr>
      <w:tr w14:paraId="270DA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13" w:type="dxa"/>
            <w:vAlign w:val="center"/>
          </w:tcPr>
          <w:p w14:paraId="790F727C">
            <w:pPr>
              <w:jc w:val="center"/>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关于核减经费</w:t>
            </w:r>
          </w:p>
        </w:tc>
        <w:tc>
          <w:tcPr>
            <w:tcW w:w="7608" w:type="dxa"/>
            <w:vAlign w:val="center"/>
          </w:tcPr>
          <w:p w14:paraId="3432FFB5">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合同期内，若公园绿地、公厕等设施等因市政基础建设等原因发生外单位借、占用问题，中标人必须无条件配合采购人开展相关经费核减工作，在不影响公园正常运营前提下，由中标人向采购人提交核减费用明细，经采购人审核，双方协商一致后，通过养护联系单方式。</w:t>
            </w:r>
          </w:p>
        </w:tc>
        <w:tc>
          <w:tcPr>
            <w:tcW w:w="929" w:type="dxa"/>
            <w:vAlign w:val="center"/>
          </w:tcPr>
          <w:p w14:paraId="42DA3DBF">
            <w:pPr>
              <w:widowControl w:val="0"/>
              <w:ind w:firstLine="480" w:firstLineChars="200"/>
              <w:jc w:val="left"/>
              <w:rPr>
                <w:rFonts w:hint="eastAsia" w:ascii="宋体" w:hAnsi="宋体" w:eastAsia="宋体" w:cs="宋体"/>
                <w:bCs/>
                <w:color w:val="auto"/>
                <w:sz w:val="24"/>
                <w:szCs w:val="24"/>
                <w:highlight w:val="none"/>
              </w:rPr>
            </w:pPr>
          </w:p>
        </w:tc>
      </w:tr>
      <w:tr w14:paraId="77359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813" w:type="dxa"/>
            <w:vAlign w:val="center"/>
          </w:tcPr>
          <w:p w14:paraId="451276E6">
            <w:pPr>
              <w:jc w:val="center"/>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本项目主要执行及参照的相关标准或规范性文件</w:t>
            </w:r>
          </w:p>
        </w:tc>
        <w:tc>
          <w:tcPr>
            <w:tcW w:w="7608" w:type="dxa"/>
            <w:vAlign w:val="center"/>
          </w:tcPr>
          <w:p w14:paraId="0C3799AE">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1.</w:t>
            </w:r>
            <w:r>
              <w:rPr>
                <w:rFonts w:hint="eastAsia" w:ascii="宋体" w:hAnsi="宋体" w:eastAsia="宋体" w:cs="宋体"/>
                <w:bCs/>
                <w:color w:val="auto"/>
                <w:kern w:val="0"/>
                <w:sz w:val="24"/>
                <w:highlight w:val="none"/>
                <w:lang w:eastAsia="zh-CN"/>
              </w:rPr>
              <w:t>《公园服务基本要求》（GBT 38584-2020）</w:t>
            </w:r>
          </w:p>
          <w:p w14:paraId="68031AB9">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2.</w:t>
            </w:r>
            <w:r>
              <w:rPr>
                <w:rFonts w:hint="eastAsia" w:ascii="宋体" w:hAnsi="宋体" w:eastAsia="宋体" w:cs="宋体"/>
                <w:bCs/>
                <w:color w:val="auto"/>
                <w:kern w:val="0"/>
                <w:sz w:val="24"/>
                <w:highlight w:val="none"/>
                <w:lang w:eastAsia="zh-CN"/>
              </w:rPr>
              <w:t>《城市绿地养护技术规范》（DB3302/T1117-2020）</w:t>
            </w:r>
          </w:p>
          <w:p w14:paraId="62214644">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3.</w:t>
            </w:r>
            <w:r>
              <w:rPr>
                <w:rFonts w:hint="eastAsia" w:ascii="宋体" w:hAnsi="宋体" w:eastAsia="宋体" w:cs="宋体"/>
                <w:bCs/>
                <w:color w:val="auto"/>
                <w:kern w:val="0"/>
                <w:sz w:val="24"/>
                <w:highlight w:val="none"/>
                <w:lang w:eastAsia="zh-CN"/>
              </w:rPr>
              <w:t>《宁波市城区绿地养护管理综合考核办法》（</w:t>
            </w:r>
            <w:r>
              <w:rPr>
                <w:rFonts w:hint="eastAsia" w:ascii="宋体" w:hAnsi="宋体" w:eastAsia="宋体" w:cs="宋体"/>
                <w:bCs/>
                <w:color w:val="auto"/>
                <w:kern w:val="0"/>
                <w:sz w:val="24"/>
                <w:highlight w:val="none"/>
                <w:lang w:val="en-US" w:eastAsia="zh-CN"/>
              </w:rPr>
              <w:t>2022</w:t>
            </w:r>
            <w:r>
              <w:rPr>
                <w:rFonts w:hint="eastAsia" w:ascii="宋体" w:hAnsi="宋体" w:eastAsia="宋体" w:cs="宋体"/>
                <w:bCs/>
                <w:color w:val="auto"/>
                <w:kern w:val="0"/>
                <w:sz w:val="24"/>
                <w:highlight w:val="none"/>
                <w:lang w:eastAsia="zh-CN"/>
              </w:rPr>
              <w:t>）</w:t>
            </w:r>
          </w:p>
          <w:p w14:paraId="63DB3E6D">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注：</w:t>
            </w:r>
          </w:p>
          <w:p w14:paraId="1EA14E67">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1.包括且不限于列举文件范围，相关文件如有调整，则按调整后的标准执行。</w:t>
            </w:r>
          </w:p>
          <w:p w14:paraId="29C39790">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2.若相关标准规范相关内容或要求有冲突或不一致时，按较严格地执行。</w:t>
            </w:r>
          </w:p>
          <w:p w14:paraId="39072562">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3.</w:t>
            </w:r>
            <w:r>
              <w:rPr>
                <w:rFonts w:hint="eastAsia" w:ascii="宋体" w:hAnsi="宋体" w:eastAsia="宋体" w:cs="宋体"/>
                <w:bCs/>
                <w:color w:val="auto"/>
                <w:kern w:val="0"/>
                <w:sz w:val="24"/>
                <w:highlight w:val="none"/>
                <w:lang w:eastAsia="zh-CN"/>
              </w:rPr>
              <w:t>相关文件如有调整，则按调整后的标准执行；本合同规定的考核及评分标准自调整之日起开始实施。</w:t>
            </w:r>
          </w:p>
        </w:tc>
        <w:tc>
          <w:tcPr>
            <w:tcW w:w="929" w:type="dxa"/>
            <w:vAlign w:val="center"/>
          </w:tcPr>
          <w:p w14:paraId="2C49B4BF">
            <w:pPr>
              <w:jc w:val="left"/>
              <w:rPr>
                <w:rFonts w:hint="eastAsia" w:ascii="宋体" w:hAnsi="宋体" w:eastAsia="宋体" w:cs="宋体"/>
                <w:bCs/>
                <w:color w:val="auto"/>
                <w:sz w:val="24"/>
                <w:szCs w:val="24"/>
                <w:highlight w:val="none"/>
              </w:rPr>
            </w:pPr>
          </w:p>
        </w:tc>
      </w:tr>
    </w:tbl>
    <w:p w14:paraId="5AB1D465">
      <w:pPr>
        <w:widowControl/>
        <w:tabs>
          <w:tab w:val="left" w:pos="851"/>
        </w:tabs>
        <w:adjustRightInd/>
        <w:spacing w:line="360" w:lineRule="auto"/>
        <w:ind w:firstLine="482" w:firstLineChars="200"/>
        <w:rPr>
          <w:rFonts w:hint="default"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（二）服务质量要求</w:t>
      </w:r>
    </w:p>
    <w:tbl>
      <w:tblPr>
        <w:tblStyle w:val="62"/>
        <w:tblW w:w="93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263"/>
        <w:gridCol w:w="4106"/>
        <w:gridCol w:w="3317"/>
      </w:tblGrid>
      <w:tr w14:paraId="3C02F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923" w:type="dxa"/>
            <w:gridSpan w:val="2"/>
            <w:noWrap w:val="0"/>
            <w:vAlign w:val="center"/>
          </w:tcPr>
          <w:p w14:paraId="36A67306">
            <w:pPr>
              <w:widowControl/>
              <w:autoSpaceDE w:val="0"/>
              <w:autoSpaceDN w:val="0"/>
              <w:spacing w:beforeLines="50"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类别</w:t>
            </w:r>
          </w:p>
        </w:tc>
        <w:tc>
          <w:tcPr>
            <w:tcW w:w="4106" w:type="dxa"/>
            <w:noWrap w:val="0"/>
            <w:vAlign w:val="top"/>
          </w:tcPr>
          <w:p w14:paraId="1619EE07">
            <w:pPr>
              <w:widowControl/>
              <w:autoSpaceDE w:val="0"/>
              <w:autoSpaceDN w:val="0"/>
              <w:spacing w:beforeLines="50"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管理服务</w:t>
            </w:r>
            <w:r>
              <w:rPr>
                <w:rFonts w:hint="eastAsia" w:ascii="宋体" w:hAnsi="宋体" w:eastAsia="宋体" w:cs="宋体"/>
                <w:b/>
                <w:bCs/>
                <w:color w:val="auto"/>
                <w:sz w:val="24"/>
                <w:szCs w:val="24"/>
                <w:highlight w:val="none"/>
              </w:rPr>
              <w:t>要求</w:t>
            </w:r>
          </w:p>
        </w:tc>
        <w:tc>
          <w:tcPr>
            <w:tcW w:w="3317" w:type="dxa"/>
            <w:noWrap w:val="0"/>
            <w:vAlign w:val="top"/>
          </w:tcPr>
          <w:p w14:paraId="7256D7A3">
            <w:pPr>
              <w:widowControl/>
              <w:autoSpaceDE w:val="0"/>
              <w:autoSpaceDN w:val="0"/>
              <w:spacing w:beforeLines="50"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质量要求</w:t>
            </w:r>
          </w:p>
        </w:tc>
      </w:tr>
      <w:tr w14:paraId="41B89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923" w:type="dxa"/>
            <w:gridSpan w:val="2"/>
            <w:tcBorders>
              <w:bottom w:val="single" w:color="auto" w:sz="4" w:space="0"/>
            </w:tcBorders>
            <w:noWrap w:val="0"/>
            <w:vAlign w:val="center"/>
          </w:tcPr>
          <w:p w14:paraId="23D3F18B">
            <w:pPr>
              <w:keepNext w:val="0"/>
              <w:keepLines w:val="0"/>
              <w:pageBreakBefore w:val="0"/>
              <w:widowControl/>
              <w:kinsoku/>
              <w:wordWrap/>
              <w:overflowPunct/>
              <w:topLinePunct w:val="0"/>
              <w:autoSpaceDE w:val="0"/>
              <w:autoSpaceDN w:val="0"/>
              <w:bidi w:val="0"/>
              <w:adjustRightInd/>
              <w:snapToGrid/>
              <w:spacing w:line="24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绿化养护</w:t>
            </w:r>
          </w:p>
        </w:tc>
        <w:tc>
          <w:tcPr>
            <w:tcW w:w="4106" w:type="dxa"/>
            <w:noWrap w:val="0"/>
            <w:vAlign w:val="center"/>
          </w:tcPr>
          <w:p w14:paraId="382504EF">
            <w:pPr>
              <w:numPr>
                <w:ilvl w:val="3"/>
                <w:numId w:val="0"/>
              </w:numPr>
              <w:spacing w:before="50" w:after="50"/>
              <w:outlineLvl w:val="9"/>
              <w:rPr>
                <w:rFonts w:hint="eastAsia" w:ascii="宋体" w:hAnsi="宋体" w:eastAsia="宋体" w:cs="宋体"/>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严格按照《城市绿地养护技术规范》（DB3302/T1117-2020）做好质保期内的绿化养护工作。</w:t>
            </w:r>
          </w:p>
        </w:tc>
        <w:tc>
          <w:tcPr>
            <w:tcW w:w="3317" w:type="dxa"/>
            <w:noWrap w:val="0"/>
            <w:vAlign w:val="center"/>
          </w:tcPr>
          <w:p w14:paraId="3FC132AA">
            <w:pPr>
              <w:numPr>
                <w:ilvl w:val="3"/>
                <w:numId w:val="0"/>
              </w:numPr>
              <w:spacing w:before="50" w:after="50"/>
              <w:jc w:val="left"/>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养护质量达到《城市绿地养护质量等级标准》（DB3302/T 1016—2018）中一级公园绿地养护质量标准。</w:t>
            </w:r>
          </w:p>
        </w:tc>
      </w:tr>
      <w:tr w14:paraId="581DC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tblHeader/>
          <w:jc w:val="center"/>
        </w:trPr>
        <w:tc>
          <w:tcPr>
            <w:tcW w:w="660" w:type="dxa"/>
            <w:vMerge w:val="restart"/>
            <w:noWrap w:val="0"/>
            <w:vAlign w:val="center"/>
          </w:tcPr>
          <w:p w14:paraId="47C79C31">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公园深度</w:t>
            </w:r>
            <w:r>
              <w:rPr>
                <w:rFonts w:hint="eastAsia" w:ascii="宋体" w:hAnsi="宋体" w:eastAsia="宋体" w:cs="宋体"/>
                <w:b/>
                <w:bCs/>
                <w:color w:val="auto"/>
                <w:sz w:val="24"/>
                <w:szCs w:val="24"/>
                <w:highlight w:val="none"/>
                <w:lang w:eastAsia="zh-CN"/>
              </w:rPr>
              <w:t>保洁</w:t>
            </w:r>
          </w:p>
        </w:tc>
        <w:tc>
          <w:tcPr>
            <w:tcW w:w="1263" w:type="dxa"/>
            <w:noWrap w:val="0"/>
            <w:vAlign w:val="center"/>
          </w:tcPr>
          <w:p w14:paraId="3920B848">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城市家具</w:t>
            </w:r>
          </w:p>
        </w:tc>
        <w:tc>
          <w:tcPr>
            <w:tcW w:w="4106" w:type="dxa"/>
            <w:noWrap w:val="0"/>
            <w:vAlign w:val="center"/>
          </w:tcPr>
          <w:p w14:paraId="26215791">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每日循环擦拭园椅、石凳（花坛边缘）</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每日</w:t>
            </w:r>
            <w:r>
              <w:rPr>
                <w:rFonts w:hint="eastAsia" w:ascii="宋体" w:hAnsi="宋体" w:eastAsia="宋体" w:cs="宋体"/>
                <w:color w:val="auto"/>
                <w:sz w:val="24"/>
                <w:szCs w:val="24"/>
                <w:highlight w:val="none"/>
                <w:lang w:val="en-US" w:eastAsia="zh-CN"/>
              </w:rPr>
              <w:t>2次</w:t>
            </w:r>
            <w:r>
              <w:rPr>
                <w:rFonts w:hint="eastAsia" w:ascii="宋体" w:hAnsi="宋体" w:eastAsia="宋体" w:cs="宋体"/>
                <w:color w:val="auto"/>
                <w:sz w:val="24"/>
                <w:szCs w:val="24"/>
                <w:highlight w:val="none"/>
              </w:rPr>
              <w:t>擦拭果壳箱箱体</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早中晚各1次清理果壳箱垃圾</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每日</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次擦拭指示牌、配电箱</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每日</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次擦拭不锈钢、木质栏杆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每日</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次擦拭雕塑小品</w:t>
            </w:r>
            <w:r>
              <w:rPr>
                <w:rFonts w:hint="eastAsia" w:ascii="宋体" w:hAnsi="宋体" w:eastAsia="宋体" w:cs="宋体"/>
                <w:color w:val="auto"/>
                <w:sz w:val="24"/>
                <w:szCs w:val="24"/>
                <w:highlight w:val="none"/>
                <w:lang w:val="en-US" w:eastAsia="zh-CN"/>
              </w:rPr>
              <w:t>等</w:t>
            </w:r>
            <w:r>
              <w:rPr>
                <w:rFonts w:hint="eastAsia" w:ascii="宋体" w:hAnsi="宋体" w:eastAsia="宋体" w:cs="宋体"/>
                <w:color w:val="auto"/>
                <w:sz w:val="24"/>
                <w:szCs w:val="24"/>
                <w:highlight w:val="none"/>
                <w:lang w:eastAsia="zh-CN"/>
              </w:rPr>
              <w:t>。</w:t>
            </w:r>
          </w:p>
        </w:tc>
        <w:tc>
          <w:tcPr>
            <w:tcW w:w="3317" w:type="dxa"/>
            <w:noWrap w:val="0"/>
            <w:vAlign w:val="center"/>
          </w:tcPr>
          <w:p w14:paraId="325B4FD4">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无明显灰尘和污渍，手摸无污迹感，凳上积水及时清理干净，无蜘蛛网等</w:t>
            </w:r>
            <w:r>
              <w:rPr>
                <w:rFonts w:hint="eastAsia" w:ascii="宋体" w:hAnsi="宋体" w:eastAsia="宋体" w:cs="宋体"/>
                <w:color w:val="auto"/>
                <w:sz w:val="24"/>
                <w:szCs w:val="24"/>
                <w:highlight w:val="none"/>
                <w:lang w:eastAsia="zh-CN"/>
              </w:rPr>
              <w:t>，作业时间内</w:t>
            </w:r>
            <w:r>
              <w:rPr>
                <w:rFonts w:hint="eastAsia" w:ascii="宋体" w:hAnsi="宋体" w:eastAsia="宋体" w:cs="宋体"/>
                <w:color w:val="auto"/>
                <w:kern w:val="0"/>
                <w:sz w:val="24"/>
                <w:szCs w:val="24"/>
                <w:highlight w:val="none"/>
                <w:lang w:eastAsia="zh-CN" w:bidi="ar"/>
              </w:rPr>
              <w:t>垃圾</w:t>
            </w:r>
            <w:r>
              <w:rPr>
                <w:rFonts w:hint="eastAsia" w:ascii="宋体" w:hAnsi="宋体" w:eastAsia="宋体" w:cs="宋体"/>
                <w:color w:val="auto"/>
                <w:kern w:val="0"/>
                <w:sz w:val="24"/>
                <w:szCs w:val="24"/>
                <w:highlight w:val="none"/>
                <w:lang w:bidi="ar"/>
              </w:rPr>
              <w:t>停留时间不超过30分钟</w:t>
            </w:r>
            <w:r>
              <w:rPr>
                <w:rFonts w:hint="eastAsia" w:ascii="宋体" w:hAnsi="宋体" w:eastAsia="宋体" w:cs="宋体"/>
                <w:color w:val="auto"/>
                <w:kern w:val="0"/>
                <w:sz w:val="24"/>
                <w:szCs w:val="24"/>
                <w:highlight w:val="none"/>
                <w:lang w:eastAsia="zh-CN" w:bidi="ar"/>
              </w:rPr>
              <w:t>。</w:t>
            </w:r>
          </w:p>
        </w:tc>
      </w:tr>
      <w:tr w14:paraId="50863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tblHeader/>
          <w:jc w:val="center"/>
        </w:trPr>
        <w:tc>
          <w:tcPr>
            <w:tcW w:w="660" w:type="dxa"/>
            <w:vMerge w:val="continue"/>
            <w:noWrap w:val="0"/>
            <w:vAlign w:val="center"/>
          </w:tcPr>
          <w:p w14:paraId="253BD17F">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rPr>
            </w:pPr>
          </w:p>
        </w:tc>
        <w:tc>
          <w:tcPr>
            <w:tcW w:w="1263" w:type="dxa"/>
            <w:noWrap w:val="0"/>
            <w:vAlign w:val="center"/>
          </w:tcPr>
          <w:p w14:paraId="0870D5C3">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铺装路面</w:t>
            </w:r>
          </w:p>
        </w:tc>
        <w:tc>
          <w:tcPr>
            <w:tcW w:w="4106" w:type="dxa"/>
            <w:noWrap w:val="0"/>
            <w:vAlign w:val="top"/>
          </w:tcPr>
          <w:p w14:paraId="129A17D0">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每日7点前全面清扫</w:t>
            </w:r>
            <w:r>
              <w:rPr>
                <w:rFonts w:hint="eastAsia" w:ascii="宋体" w:hAnsi="宋体" w:eastAsia="宋体" w:cs="宋体"/>
                <w:color w:val="auto"/>
                <w:sz w:val="24"/>
                <w:szCs w:val="24"/>
                <w:highlight w:val="none"/>
                <w:lang w:eastAsia="zh-CN"/>
              </w:rPr>
              <w:t>园路、</w:t>
            </w:r>
            <w:r>
              <w:rPr>
                <w:rFonts w:hint="eastAsia" w:ascii="宋体" w:hAnsi="宋体" w:eastAsia="宋体" w:cs="宋体"/>
                <w:color w:val="auto"/>
                <w:sz w:val="24"/>
                <w:szCs w:val="24"/>
                <w:highlight w:val="none"/>
              </w:rPr>
              <w:t>铺装可见垃圾，7点后人工巡检</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每日</w:t>
            </w:r>
            <w:r>
              <w:rPr>
                <w:rFonts w:hint="eastAsia" w:ascii="宋体" w:hAnsi="宋体" w:eastAsia="宋体" w:cs="宋体"/>
                <w:color w:val="auto"/>
                <w:sz w:val="24"/>
                <w:szCs w:val="24"/>
                <w:highlight w:val="none"/>
                <w:lang w:eastAsia="zh-CN"/>
              </w:rPr>
              <w:t>主园路、</w:t>
            </w:r>
            <w:r>
              <w:rPr>
                <w:rFonts w:hint="eastAsia" w:ascii="宋体" w:hAnsi="宋体" w:eastAsia="宋体" w:cs="宋体"/>
                <w:color w:val="auto"/>
                <w:sz w:val="24"/>
                <w:szCs w:val="24"/>
                <w:highlight w:val="none"/>
              </w:rPr>
              <w:t>广场铺装循环清扫</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每日</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次清扫</w:t>
            </w:r>
            <w:r>
              <w:rPr>
                <w:rFonts w:hint="eastAsia" w:ascii="宋体" w:hAnsi="宋体" w:eastAsia="宋体" w:cs="宋体"/>
                <w:color w:val="auto"/>
                <w:sz w:val="24"/>
                <w:szCs w:val="24"/>
                <w:highlight w:val="none"/>
                <w:lang w:eastAsia="zh-CN"/>
              </w:rPr>
              <w:t>次要</w:t>
            </w:r>
            <w:r>
              <w:rPr>
                <w:rFonts w:hint="eastAsia" w:ascii="宋体" w:hAnsi="宋体" w:eastAsia="宋体" w:cs="宋体"/>
                <w:color w:val="auto"/>
                <w:sz w:val="24"/>
                <w:szCs w:val="24"/>
                <w:highlight w:val="none"/>
              </w:rPr>
              <w:t>园路</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每周</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次冲洗</w:t>
            </w:r>
            <w:r>
              <w:rPr>
                <w:rFonts w:hint="eastAsia" w:ascii="宋体" w:hAnsi="宋体" w:eastAsia="宋体" w:cs="宋体"/>
                <w:color w:val="auto"/>
                <w:sz w:val="24"/>
                <w:szCs w:val="24"/>
                <w:highlight w:val="none"/>
                <w:lang w:eastAsia="zh-CN"/>
              </w:rPr>
              <w:t>园内主要铺装广场；</w:t>
            </w:r>
            <w:r>
              <w:rPr>
                <w:rFonts w:hint="eastAsia" w:ascii="宋体" w:hAnsi="宋体" w:eastAsia="宋体" w:cs="宋体"/>
                <w:color w:val="auto"/>
                <w:sz w:val="24"/>
                <w:szCs w:val="24"/>
                <w:highlight w:val="none"/>
              </w:rPr>
              <w:t>每月</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次深度清洗铺装园路</w:t>
            </w:r>
            <w:r>
              <w:rPr>
                <w:rFonts w:hint="eastAsia" w:ascii="宋体" w:hAnsi="宋体" w:eastAsia="宋体" w:cs="宋体"/>
                <w:color w:val="auto"/>
                <w:sz w:val="24"/>
                <w:szCs w:val="24"/>
                <w:highlight w:val="none"/>
              </w:rPr>
              <w:tab/>
            </w:r>
          </w:p>
        </w:tc>
        <w:tc>
          <w:tcPr>
            <w:tcW w:w="3317" w:type="dxa"/>
            <w:noWrap w:val="0"/>
            <w:vAlign w:val="center"/>
          </w:tcPr>
          <w:p w14:paraId="1933698F">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铺装见本色，地面无污渍、无垃圾、无积泥、无青苔，接缝无杂草</w:t>
            </w:r>
            <w:r>
              <w:rPr>
                <w:rFonts w:hint="eastAsia" w:ascii="宋体" w:hAnsi="宋体" w:eastAsia="宋体" w:cs="宋体"/>
                <w:color w:val="auto"/>
                <w:sz w:val="24"/>
                <w:szCs w:val="24"/>
                <w:highlight w:val="none"/>
                <w:lang w:eastAsia="zh-CN"/>
              </w:rPr>
              <w:t>，作业时间内</w:t>
            </w:r>
            <w:r>
              <w:rPr>
                <w:rFonts w:hint="eastAsia" w:ascii="宋体" w:hAnsi="宋体" w:eastAsia="宋体" w:cs="宋体"/>
                <w:color w:val="auto"/>
                <w:kern w:val="0"/>
                <w:sz w:val="24"/>
                <w:szCs w:val="24"/>
                <w:highlight w:val="none"/>
                <w:lang w:eastAsia="zh-CN" w:bidi="ar"/>
              </w:rPr>
              <w:t>垃圾</w:t>
            </w:r>
            <w:r>
              <w:rPr>
                <w:rFonts w:hint="eastAsia" w:ascii="宋体" w:hAnsi="宋体" w:eastAsia="宋体" w:cs="宋体"/>
                <w:color w:val="auto"/>
                <w:kern w:val="0"/>
                <w:sz w:val="24"/>
                <w:szCs w:val="24"/>
                <w:highlight w:val="none"/>
                <w:lang w:bidi="ar"/>
              </w:rPr>
              <w:t>停留时间不超过30分钟</w:t>
            </w:r>
            <w:r>
              <w:rPr>
                <w:rFonts w:hint="eastAsia" w:ascii="宋体" w:hAnsi="宋体" w:eastAsia="宋体" w:cs="宋体"/>
                <w:color w:val="auto"/>
                <w:kern w:val="0"/>
                <w:sz w:val="24"/>
                <w:szCs w:val="24"/>
                <w:highlight w:val="none"/>
                <w:lang w:eastAsia="zh-CN" w:bidi="ar"/>
              </w:rPr>
              <w:t>。</w:t>
            </w:r>
          </w:p>
        </w:tc>
      </w:tr>
      <w:tr w14:paraId="4E88F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tblHeader/>
          <w:jc w:val="center"/>
        </w:trPr>
        <w:tc>
          <w:tcPr>
            <w:tcW w:w="660" w:type="dxa"/>
            <w:vMerge w:val="continue"/>
            <w:noWrap w:val="0"/>
            <w:vAlign w:val="center"/>
          </w:tcPr>
          <w:p w14:paraId="35C0490E">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rPr>
            </w:pPr>
          </w:p>
        </w:tc>
        <w:tc>
          <w:tcPr>
            <w:tcW w:w="1263" w:type="dxa"/>
            <w:noWrap w:val="0"/>
            <w:vAlign w:val="center"/>
          </w:tcPr>
          <w:p w14:paraId="2C71B5FD">
            <w:pPr>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建构筑物</w:t>
            </w:r>
          </w:p>
        </w:tc>
        <w:tc>
          <w:tcPr>
            <w:tcW w:w="4106" w:type="dxa"/>
            <w:noWrap w:val="0"/>
            <w:vAlign w:val="top"/>
          </w:tcPr>
          <w:p w14:paraId="016B86B5">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每日</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次清理蜘蛛网</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每月</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次屋顶清理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每月</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次冲洗青石栏杆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每周</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次清洁亭、廊、立柱</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每月</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次清洁玻璃顶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每3个月</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次清理房屋立面</w:t>
            </w:r>
            <w:r>
              <w:rPr>
                <w:rFonts w:hint="eastAsia" w:ascii="宋体" w:hAnsi="宋体" w:eastAsia="宋体" w:cs="宋体"/>
                <w:color w:val="auto"/>
                <w:sz w:val="24"/>
                <w:szCs w:val="24"/>
                <w:highlight w:val="none"/>
                <w:lang w:eastAsia="zh-CN"/>
              </w:rPr>
              <w:t>。</w:t>
            </w:r>
          </w:p>
        </w:tc>
        <w:tc>
          <w:tcPr>
            <w:tcW w:w="3317" w:type="dxa"/>
            <w:noWrap w:val="0"/>
            <w:vAlign w:val="top"/>
          </w:tcPr>
          <w:p w14:paraId="6768A493">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无蜘蛛网、无积尘、无青苔、无</w:t>
            </w:r>
            <w:r>
              <w:rPr>
                <w:rFonts w:hint="eastAsia" w:ascii="宋体" w:hAnsi="宋体" w:eastAsia="宋体" w:cs="宋体"/>
                <w:color w:val="auto"/>
                <w:sz w:val="24"/>
                <w:szCs w:val="24"/>
                <w:highlight w:val="none"/>
                <w:lang w:eastAsia="zh-CN"/>
              </w:rPr>
              <w:t>污渍</w:t>
            </w:r>
            <w:r>
              <w:rPr>
                <w:rFonts w:hint="eastAsia" w:ascii="宋体" w:hAnsi="宋体" w:eastAsia="宋体" w:cs="宋体"/>
                <w:color w:val="auto"/>
                <w:sz w:val="24"/>
                <w:szCs w:val="24"/>
                <w:highlight w:val="none"/>
              </w:rPr>
              <w:t>，石材见本色</w:t>
            </w:r>
            <w:r>
              <w:rPr>
                <w:rFonts w:hint="eastAsia" w:ascii="宋体" w:hAnsi="宋体" w:eastAsia="宋体" w:cs="宋体"/>
                <w:color w:val="auto"/>
                <w:sz w:val="24"/>
                <w:szCs w:val="24"/>
                <w:highlight w:val="none"/>
                <w:lang w:eastAsia="zh-CN"/>
              </w:rPr>
              <w:t>，作业时间内</w:t>
            </w:r>
            <w:r>
              <w:rPr>
                <w:rFonts w:hint="eastAsia" w:ascii="宋体" w:hAnsi="宋体" w:eastAsia="宋体" w:cs="宋体"/>
                <w:color w:val="auto"/>
                <w:kern w:val="0"/>
                <w:sz w:val="24"/>
                <w:szCs w:val="24"/>
                <w:highlight w:val="none"/>
                <w:lang w:eastAsia="zh-CN" w:bidi="ar"/>
              </w:rPr>
              <w:t>垃圾</w:t>
            </w:r>
            <w:r>
              <w:rPr>
                <w:rFonts w:hint="eastAsia" w:ascii="宋体" w:hAnsi="宋体" w:eastAsia="宋体" w:cs="宋体"/>
                <w:color w:val="auto"/>
                <w:kern w:val="0"/>
                <w:sz w:val="24"/>
                <w:szCs w:val="24"/>
                <w:highlight w:val="none"/>
                <w:lang w:bidi="ar"/>
              </w:rPr>
              <w:t>停留时间不超过30 分钟</w:t>
            </w:r>
            <w:r>
              <w:rPr>
                <w:rFonts w:hint="eastAsia" w:ascii="宋体" w:hAnsi="宋体" w:eastAsia="宋体" w:cs="宋体"/>
                <w:color w:val="auto"/>
                <w:kern w:val="0"/>
                <w:sz w:val="24"/>
                <w:szCs w:val="24"/>
                <w:highlight w:val="none"/>
                <w:lang w:eastAsia="zh-CN" w:bidi="ar"/>
              </w:rPr>
              <w:t>。</w:t>
            </w:r>
          </w:p>
        </w:tc>
      </w:tr>
      <w:tr w14:paraId="60210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tblHeader/>
          <w:jc w:val="center"/>
        </w:trPr>
        <w:tc>
          <w:tcPr>
            <w:tcW w:w="660" w:type="dxa"/>
            <w:vMerge w:val="continue"/>
            <w:noWrap w:val="0"/>
            <w:vAlign w:val="center"/>
          </w:tcPr>
          <w:p w14:paraId="3D74A569">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rPr>
            </w:pPr>
          </w:p>
        </w:tc>
        <w:tc>
          <w:tcPr>
            <w:tcW w:w="1263" w:type="dxa"/>
            <w:noWrap w:val="0"/>
            <w:vAlign w:val="center"/>
          </w:tcPr>
          <w:p w14:paraId="4076F103">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绿化保洁</w:t>
            </w:r>
          </w:p>
        </w:tc>
        <w:tc>
          <w:tcPr>
            <w:tcW w:w="4106" w:type="dxa"/>
            <w:noWrap w:val="0"/>
            <w:vAlign w:val="center"/>
          </w:tcPr>
          <w:p w14:paraId="36AFF42D">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每日循环</w:t>
            </w:r>
            <w:r>
              <w:rPr>
                <w:rFonts w:hint="eastAsia" w:ascii="宋体" w:hAnsi="宋体" w:eastAsia="宋体" w:cs="宋体"/>
                <w:color w:val="auto"/>
                <w:sz w:val="24"/>
                <w:szCs w:val="24"/>
                <w:highlight w:val="none"/>
                <w:lang w:eastAsia="zh-CN"/>
              </w:rPr>
              <w:t>清理</w:t>
            </w:r>
            <w:r>
              <w:rPr>
                <w:rFonts w:hint="eastAsia" w:ascii="宋体" w:hAnsi="宋体" w:eastAsia="宋体" w:cs="宋体"/>
                <w:color w:val="auto"/>
                <w:sz w:val="24"/>
                <w:szCs w:val="24"/>
                <w:highlight w:val="none"/>
              </w:rPr>
              <w:t>绿地内白色垃圾、烟蒂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枯枝</w:t>
            </w:r>
            <w:r>
              <w:rPr>
                <w:rFonts w:hint="eastAsia" w:ascii="宋体" w:hAnsi="宋体" w:eastAsia="宋体" w:cs="宋体"/>
                <w:color w:val="auto"/>
                <w:sz w:val="24"/>
                <w:szCs w:val="24"/>
                <w:highlight w:val="none"/>
                <w:lang w:eastAsia="zh-CN"/>
              </w:rPr>
              <w:t>等，</w:t>
            </w:r>
            <w:r>
              <w:rPr>
                <w:rFonts w:hint="eastAsia" w:ascii="宋体" w:hAnsi="宋体" w:eastAsia="宋体" w:cs="宋体"/>
                <w:color w:val="auto"/>
                <w:sz w:val="24"/>
                <w:szCs w:val="24"/>
                <w:highlight w:val="none"/>
              </w:rPr>
              <w:t>每月</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次清理雨水沟、窨井落叶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ab/>
            </w:r>
          </w:p>
        </w:tc>
        <w:tc>
          <w:tcPr>
            <w:tcW w:w="3317" w:type="dxa"/>
            <w:noWrap w:val="0"/>
            <w:vAlign w:val="top"/>
          </w:tcPr>
          <w:p w14:paraId="5D75DD2F">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绿化整洁、完好，绿地无杂物、垃圾</w:t>
            </w:r>
            <w:r>
              <w:rPr>
                <w:rFonts w:hint="eastAsia" w:ascii="宋体" w:hAnsi="宋体" w:eastAsia="宋体" w:cs="宋体"/>
                <w:color w:val="auto"/>
                <w:sz w:val="24"/>
                <w:szCs w:val="24"/>
                <w:highlight w:val="none"/>
                <w:lang w:eastAsia="zh-CN"/>
              </w:rPr>
              <w:t>及其他</w:t>
            </w:r>
            <w:r>
              <w:rPr>
                <w:rFonts w:hint="eastAsia" w:ascii="宋体" w:hAnsi="宋体" w:eastAsia="宋体" w:cs="宋体"/>
                <w:color w:val="auto"/>
                <w:sz w:val="24"/>
                <w:szCs w:val="24"/>
                <w:highlight w:val="none"/>
              </w:rPr>
              <w:t>废弃物</w:t>
            </w:r>
            <w:r>
              <w:rPr>
                <w:rFonts w:hint="eastAsia" w:ascii="宋体" w:hAnsi="宋体" w:eastAsia="宋体" w:cs="宋体"/>
                <w:color w:val="auto"/>
                <w:sz w:val="24"/>
                <w:szCs w:val="24"/>
                <w:highlight w:val="none"/>
                <w:lang w:eastAsia="zh-CN"/>
              </w:rPr>
              <w:t>，作业时间内</w:t>
            </w:r>
            <w:r>
              <w:rPr>
                <w:rFonts w:hint="eastAsia" w:ascii="宋体" w:hAnsi="宋体" w:eastAsia="宋体" w:cs="宋体"/>
                <w:color w:val="auto"/>
                <w:kern w:val="0"/>
                <w:sz w:val="24"/>
                <w:szCs w:val="24"/>
                <w:highlight w:val="none"/>
                <w:lang w:bidi="ar"/>
              </w:rPr>
              <w:t>垃圾停留时间不超过 30 分钟</w:t>
            </w:r>
            <w:r>
              <w:rPr>
                <w:rFonts w:hint="eastAsia" w:ascii="宋体" w:hAnsi="宋体" w:eastAsia="宋体" w:cs="宋体"/>
                <w:color w:val="auto"/>
                <w:kern w:val="0"/>
                <w:sz w:val="24"/>
                <w:szCs w:val="24"/>
                <w:highlight w:val="none"/>
                <w:lang w:eastAsia="zh-CN" w:bidi="ar"/>
              </w:rPr>
              <w:t>。</w:t>
            </w:r>
          </w:p>
        </w:tc>
      </w:tr>
      <w:tr w14:paraId="00F31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4" w:hRule="atLeast"/>
          <w:tblHeader/>
          <w:jc w:val="center"/>
        </w:trPr>
        <w:tc>
          <w:tcPr>
            <w:tcW w:w="660" w:type="dxa"/>
            <w:vMerge w:val="continue"/>
            <w:noWrap w:val="0"/>
            <w:vAlign w:val="center"/>
          </w:tcPr>
          <w:p w14:paraId="3580D1CC">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rPr>
            </w:pPr>
          </w:p>
        </w:tc>
        <w:tc>
          <w:tcPr>
            <w:tcW w:w="1263" w:type="dxa"/>
            <w:noWrap w:val="0"/>
            <w:vAlign w:val="center"/>
          </w:tcPr>
          <w:p w14:paraId="72362177">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垃圾分类及清运</w:t>
            </w:r>
          </w:p>
        </w:tc>
        <w:tc>
          <w:tcPr>
            <w:tcW w:w="4106" w:type="dxa"/>
            <w:noWrap w:val="0"/>
            <w:vAlign w:val="top"/>
          </w:tcPr>
          <w:p w14:paraId="685A202B">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产生的垃圾进行分类减量处理，尽可能循环利用，错峰时间作业进行垃圾归集和运输，确保</w:t>
            </w:r>
            <w:r>
              <w:rPr>
                <w:rFonts w:hint="eastAsia" w:ascii="宋体" w:hAnsi="宋体" w:eastAsia="宋体" w:cs="宋体"/>
                <w:color w:val="auto"/>
                <w:sz w:val="24"/>
                <w:szCs w:val="24"/>
                <w:highlight w:val="none"/>
                <w:lang w:eastAsia="zh-CN"/>
              </w:rPr>
              <w:t>园内每日</w:t>
            </w:r>
            <w:r>
              <w:rPr>
                <w:rFonts w:hint="eastAsia" w:ascii="宋体" w:hAnsi="宋体" w:eastAsia="宋体" w:cs="宋体"/>
                <w:color w:val="auto"/>
                <w:sz w:val="24"/>
                <w:szCs w:val="24"/>
                <w:highlight w:val="none"/>
              </w:rPr>
              <w:t>8:00-18:00无垃圾堆放，不得在绿地及路旁遗留垃圾。由于台风、暴雨等不可抗力因素无条件增加垃圾清运任务。垃圾清运要求实行日产日清，垃圾车辆每天擦洗，保洁车辆需有醒目警示标志</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垃圾</w:t>
            </w:r>
            <w:r>
              <w:rPr>
                <w:rFonts w:hint="eastAsia" w:ascii="宋体" w:hAnsi="宋体" w:eastAsia="宋体" w:cs="宋体"/>
                <w:color w:val="auto"/>
                <w:sz w:val="24"/>
                <w:szCs w:val="24"/>
                <w:highlight w:val="none"/>
                <w:lang w:eastAsia="zh-CN"/>
              </w:rPr>
              <w:t>车</w:t>
            </w:r>
            <w:r>
              <w:rPr>
                <w:rFonts w:hint="eastAsia" w:ascii="宋体" w:hAnsi="宋体" w:eastAsia="宋体" w:cs="宋体"/>
                <w:color w:val="auto"/>
                <w:sz w:val="24"/>
                <w:szCs w:val="24"/>
                <w:highlight w:val="none"/>
              </w:rPr>
              <w:t>严禁停放在草坪、地被植物上。</w:t>
            </w:r>
          </w:p>
        </w:tc>
        <w:tc>
          <w:tcPr>
            <w:tcW w:w="3317" w:type="dxa"/>
            <w:noWrap w:val="0"/>
            <w:vAlign w:val="center"/>
          </w:tcPr>
          <w:p w14:paraId="66F92F70">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确保垃圾收集设施清洁、正常，规范安全使用，</w:t>
            </w:r>
            <w:r>
              <w:rPr>
                <w:rFonts w:hint="eastAsia" w:ascii="宋体" w:hAnsi="宋体" w:eastAsia="宋体" w:cs="宋体"/>
                <w:color w:val="auto"/>
                <w:sz w:val="24"/>
                <w:szCs w:val="24"/>
                <w:highlight w:val="none"/>
                <w:lang w:eastAsia="zh-CN"/>
              </w:rPr>
              <w:t>垃圾车</w:t>
            </w:r>
            <w:r>
              <w:rPr>
                <w:rFonts w:hint="eastAsia" w:ascii="宋体" w:hAnsi="宋体" w:eastAsia="宋体" w:cs="宋体"/>
                <w:color w:val="auto"/>
                <w:sz w:val="24"/>
                <w:szCs w:val="24"/>
                <w:highlight w:val="none"/>
              </w:rPr>
              <w:t>运输无滴漏撒情况</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无污迹，车外无吊挂杂物，车辆无破损</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垃圾车</w:t>
            </w:r>
            <w:r>
              <w:rPr>
                <w:rFonts w:hint="eastAsia" w:ascii="宋体" w:hAnsi="宋体" w:eastAsia="宋体" w:cs="宋体"/>
                <w:color w:val="auto"/>
                <w:sz w:val="24"/>
                <w:szCs w:val="24"/>
                <w:highlight w:val="none"/>
                <w:lang w:eastAsia="zh-CN"/>
              </w:rPr>
              <w:t>、保洁作业车定点停放规范，无乱停放现象。</w:t>
            </w:r>
          </w:p>
        </w:tc>
      </w:tr>
      <w:tr w14:paraId="583D1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tblHeader/>
          <w:jc w:val="center"/>
        </w:trPr>
        <w:tc>
          <w:tcPr>
            <w:tcW w:w="1923" w:type="dxa"/>
            <w:gridSpan w:val="2"/>
            <w:noWrap w:val="0"/>
            <w:vAlign w:val="center"/>
          </w:tcPr>
          <w:p w14:paraId="202FD5EC">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公厕</w:t>
            </w:r>
            <w:r>
              <w:rPr>
                <w:rFonts w:hint="eastAsia" w:ascii="宋体" w:hAnsi="宋体" w:eastAsia="宋体" w:cs="宋体"/>
                <w:b/>
                <w:bCs/>
                <w:color w:val="auto"/>
                <w:sz w:val="24"/>
                <w:szCs w:val="24"/>
                <w:highlight w:val="none"/>
                <w:lang w:eastAsia="zh-CN"/>
              </w:rPr>
              <w:t>管理</w:t>
            </w:r>
          </w:p>
        </w:tc>
        <w:tc>
          <w:tcPr>
            <w:tcW w:w="4106" w:type="dxa"/>
            <w:noWrap w:val="0"/>
            <w:vAlign w:val="center"/>
          </w:tcPr>
          <w:p w14:paraId="09CC207C">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按照《公共厕所保洁与服务规范》（DB3302T1081-201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 xml:space="preserve">）标准。确保精细化保洁质量，促进长效常态管理。  </w:t>
            </w:r>
          </w:p>
        </w:tc>
        <w:tc>
          <w:tcPr>
            <w:tcW w:w="3317" w:type="dxa"/>
            <w:noWrap w:val="0"/>
            <w:vAlign w:val="center"/>
          </w:tcPr>
          <w:p w14:paraId="1B93FF2A">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做到公厕干净整洁无异味、设施设备正常使用、</w:t>
            </w:r>
            <w:r>
              <w:rPr>
                <w:rFonts w:hint="eastAsia" w:ascii="宋体" w:hAnsi="宋体" w:eastAsia="宋体" w:cs="宋体"/>
                <w:color w:val="auto"/>
                <w:sz w:val="24"/>
                <w:szCs w:val="24"/>
                <w:highlight w:val="none"/>
              </w:rPr>
              <w:t>免费厕纸和洗手液</w:t>
            </w:r>
            <w:r>
              <w:rPr>
                <w:rFonts w:hint="eastAsia" w:ascii="宋体" w:hAnsi="宋体" w:eastAsia="宋体" w:cs="宋体"/>
                <w:color w:val="auto"/>
                <w:sz w:val="24"/>
                <w:szCs w:val="24"/>
                <w:highlight w:val="none"/>
                <w:lang w:eastAsia="zh-CN"/>
              </w:rPr>
              <w:t>补充及时，</w:t>
            </w:r>
            <w:r>
              <w:rPr>
                <w:rFonts w:hint="eastAsia" w:ascii="宋体" w:hAnsi="宋体" w:eastAsia="宋体" w:cs="宋体"/>
                <w:color w:val="auto"/>
                <w:sz w:val="24"/>
                <w:szCs w:val="24"/>
                <w:highlight w:val="none"/>
                <w:lang w:val="en-US" w:eastAsia="zh-CN"/>
              </w:rPr>
              <w:t>11-3月提供热水洗手</w:t>
            </w:r>
            <w:r>
              <w:rPr>
                <w:rFonts w:hint="eastAsia" w:ascii="宋体" w:hAnsi="宋体" w:eastAsia="宋体" w:cs="宋体"/>
                <w:color w:val="auto"/>
                <w:kern w:val="0"/>
                <w:sz w:val="24"/>
                <w:szCs w:val="24"/>
                <w:highlight w:val="none"/>
                <w:lang w:bidi="ar"/>
              </w:rPr>
              <w:t xml:space="preserve">。 </w:t>
            </w:r>
          </w:p>
        </w:tc>
      </w:tr>
      <w:tr w14:paraId="33BDB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tblHeader/>
          <w:jc w:val="center"/>
        </w:trPr>
        <w:tc>
          <w:tcPr>
            <w:tcW w:w="1923" w:type="dxa"/>
            <w:gridSpan w:val="2"/>
            <w:noWrap w:val="0"/>
            <w:vAlign w:val="center"/>
          </w:tcPr>
          <w:p w14:paraId="1D9F3F2E">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绿化垃圾</w:t>
            </w:r>
          </w:p>
          <w:p w14:paraId="4EA18961">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资源利用</w:t>
            </w:r>
          </w:p>
        </w:tc>
        <w:tc>
          <w:tcPr>
            <w:tcW w:w="4106" w:type="dxa"/>
            <w:noWrap w:val="0"/>
            <w:vAlign w:val="center"/>
          </w:tcPr>
          <w:p w14:paraId="01A35DA5">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中标人应与具备园林绿化垃圾资源化终端处置能力（非中转）的企业签订收运处置协议，规范运输，确保园林绿化垃圾进行资源化利用。后续若相关部门出台相关管理规范，则按相关规范执行。</w:t>
            </w:r>
          </w:p>
        </w:tc>
        <w:tc>
          <w:tcPr>
            <w:tcW w:w="3317" w:type="dxa"/>
            <w:noWrap w:val="0"/>
            <w:vAlign w:val="center"/>
          </w:tcPr>
          <w:p w14:paraId="7BB9FE12">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资源化利用后的产物要按比例</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返回用于公园日常养护。</w:t>
            </w:r>
          </w:p>
        </w:tc>
      </w:tr>
      <w:tr w14:paraId="42EA8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tblHeader/>
          <w:jc w:val="center"/>
        </w:trPr>
        <w:tc>
          <w:tcPr>
            <w:tcW w:w="1923" w:type="dxa"/>
            <w:gridSpan w:val="2"/>
            <w:noWrap w:val="0"/>
            <w:vAlign w:val="center"/>
          </w:tcPr>
          <w:p w14:paraId="519F9484">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lang w:eastAsia="zh-CN"/>
              </w:rPr>
              <w:t>水体保洁</w:t>
            </w:r>
          </w:p>
        </w:tc>
        <w:tc>
          <w:tcPr>
            <w:tcW w:w="4106" w:type="dxa"/>
            <w:noWrap w:val="0"/>
            <w:vAlign w:val="center"/>
          </w:tcPr>
          <w:p w14:paraId="0EFF8A59">
            <w:pPr>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及时打捞断草、树叶</w:t>
            </w:r>
            <w:r>
              <w:rPr>
                <w:rFonts w:hint="eastAsia" w:ascii="宋体" w:hAnsi="宋体" w:eastAsia="宋体" w:cs="宋体"/>
                <w:color w:val="auto"/>
                <w:sz w:val="24"/>
                <w:szCs w:val="24"/>
                <w:highlight w:val="none"/>
                <w:lang w:eastAsia="zh-CN"/>
              </w:rPr>
              <w:t>、垃圾等水</w:t>
            </w:r>
            <w:r>
              <w:rPr>
                <w:rFonts w:hint="eastAsia" w:ascii="宋体" w:hAnsi="宋体" w:eastAsia="宋体" w:cs="宋体"/>
                <w:color w:val="auto"/>
                <w:sz w:val="24"/>
                <w:szCs w:val="24"/>
                <w:highlight w:val="none"/>
              </w:rPr>
              <w:t>面漂浮物</w:t>
            </w:r>
            <w:r>
              <w:rPr>
                <w:rFonts w:hint="eastAsia" w:ascii="宋体" w:hAnsi="宋体" w:eastAsia="宋体" w:cs="宋体"/>
                <w:color w:val="auto"/>
                <w:sz w:val="24"/>
                <w:szCs w:val="24"/>
                <w:highlight w:val="none"/>
                <w:lang w:eastAsia="zh-CN"/>
              </w:rPr>
              <w:t>，及时清理青苔，及时应对处理水质各类问题。</w:t>
            </w:r>
          </w:p>
        </w:tc>
        <w:tc>
          <w:tcPr>
            <w:tcW w:w="3317" w:type="dxa"/>
            <w:noWrap w:val="0"/>
            <w:vAlign w:val="center"/>
          </w:tcPr>
          <w:p w14:paraId="680C171C">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保持水面清洁，</w:t>
            </w:r>
            <w:r>
              <w:rPr>
                <w:rFonts w:hint="eastAsia" w:ascii="宋体" w:hAnsi="宋体" w:eastAsia="宋体" w:cs="宋体"/>
                <w:color w:val="auto"/>
                <w:sz w:val="24"/>
                <w:szCs w:val="24"/>
                <w:highlight w:val="none"/>
              </w:rPr>
              <w:t>水体长期维持无黑臭和无大面积蓝绿藻爆发等情况。</w:t>
            </w:r>
          </w:p>
        </w:tc>
      </w:tr>
      <w:tr w14:paraId="4C7CA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0" w:hRule="atLeast"/>
          <w:tblHeader/>
          <w:jc w:val="center"/>
        </w:trPr>
        <w:tc>
          <w:tcPr>
            <w:tcW w:w="1923" w:type="dxa"/>
            <w:gridSpan w:val="2"/>
            <w:noWrap w:val="0"/>
            <w:vAlign w:val="center"/>
          </w:tcPr>
          <w:p w14:paraId="0070E8E0">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设施维护</w:t>
            </w:r>
          </w:p>
        </w:tc>
        <w:tc>
          <w:tcPr>
            <w:tcW w:w="4106" w:type="dxa"/>
            <w:noWrap w:val="0"/>
            <w:vAlign w:val="center"/>
          </w:tcPr>
          <w:p w14:paraId="0A6A11E6">
            <w:pPr>
              <w:widowControl w:val="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lang w:eastAsia="zh-CN"/>
              </w:rPr>
              <w:t>中标人</w:t>
            </w:r>
            <w:r>
              <w:rPr>
                <w:rFonts w:hint="eastAsia" w:ascii="宋体" w:hAnsi="宋体" w:eastAsia="宋体" w:cs="宋体"/>
                <w:bCs/>
                <w:color w:val="auto"/>
                <w:sz w:val="24"/>
                <w:szCs w:val="24"/>
                <w:highlight w:val="none"/>
              </w:rPr>
              <w:t>每周对公园设施定期巡检，并按要求填写巡检记录表。</w:t>
            </w:r>
          </w:p>
          <w:p w14:paraId="666106DF">
            <w:pPr>
              <w:widowControl w:val="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故障响应：（1）特殊或重要设备的，如监控系统，</w:t>
            </w:r>
            <w:r>
              <w:rPr>
                <w:rFonts w:hint="eastAsia" w:ascii="宋体" w:hAnsi="宋体" w:eastAsia="宋体" w:cs="宋体"/>
                <w:bCs/>
                <w:color w:val="auto"/>
                <w:sz w:val="24"/>
                <w:szCs w:val="24"/>
                <w:highlight w:val="none"/>
                <w:lang w:eastAsia="zh-CN"/>
              </w:rPr>
              <w:t>中标人</w:t>
            </w:r>
            <w:r>
              <w:rPr>
                <w:rFonts w:hint="eastAsia" w:ascii="宋体" w:hAnsi="宋体" w:eastAsia="宋体" w:cs="宋体"/>
                <w:bCs/>
                <w:color w:val="auto"/>
                <w:sz w:val="24"/>
                <w:szCs w:val="24"/>
                <w:highlight w:val="none"/>
              </w:rPr>
              <w:t>在接到公园电话或书面的检修通知后，必须1小时响应，一般故障技术人员4小时内到达现场，重大事故（8个以上摄像头不能正常工作）技术人员2小时内到达现场进行处理。（2）其他故障的，必须24小时内响应。</w:t>
            </w:r>
          </w:p>
          <w:p w14:paraId="644B035E">
            <w:pPr>
              <w:widowControl w:val="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.维修过程中要按要求进行安全文明作业。</w:t>
            </w:r>
          </w:p>
          <w:p w14:paraId="472C3261">
            <w:pPr>
              <w:widowControl w:val="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.维修作业无正当理由必须按照</w:t>
            </w:r>
            <w:r>
              <w:rPr>
                <w:rFonts w:hint="eastAsia" w:ascii="宋体" w:hAnsi="宋体" w:eastAsia="宋体" w:cs="宋体"/>
                <w:bCs/>
                <w:color w:val="auto"/>
                <w:sz w:val="24"/>
                <w:szCs w:val="24"/>
                <w:highlight w:val="none"/>
                <w:lang w:eastAsia="zh-CN"/>
              </w:rPr>
              <w:t>采购人</w:t>
            </w:r>
            <w:r>
              <w:rPr>
                <w:rFonts w:hint="eastAsia" w:ascii="宋体" w:hAnsi="宋体" w:eastAsia="宋体" w:cs="宋体"/>
                <w:bCs/>
                <w:color w:val="auto"/>
                <w:sz w:val="24"/>
                <w:szCs w:val="24"/>
                <w:highlight w:val="none"/>
              </w:rPr>
              <w:t>指令期限内完工。</w:t>
            </w:r>
          </w:p>
          <w:p w14:paraId="12F20383">
            <w:pPr>
              <w:widowControl w:val="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5.加强公园网络安全维护巡查，确保公园安全网络不受入侵。</w:t>
            </w:r>
          </w:p>
        </w:tc>
        <w:tc>
          <w:tcPr>
            <w:tcW w:w="3317" w:type="dxa"/>
            <w:noWrap w:val="0"/>
            <w:vAlign w:val="center"/>
          </w:tcPr>
          <w:p w14:paraId="6CBC7CE8">
            <w:pPr>
              <w:jc w:val="both"/>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eastAsia="zh-CN"/>
              </w:rPr>
              <w:t>园内</w:t>
            </w:r>
            <w:r>
              <w:rPr>
                <w:rFonts w:hint="eastAsia" w:ascii="宋体" w:hAnsi="宋体" w:eastAsia="宋体" w:cs="宋体"/>
                <w:bCs/>
                <w:color w:val="auto"/>
                <w:sz w:val="24"/>
                <w:szCs w:val="24"/>
                <w:highlight w:val="none"/>
              </w:rPr>
              <w:t>设施完好率达100</w:t>
            </w:r>
            <w:r>
              <w:rPr>
                <w:rFonts w:hint="eastAsia" w:ascii="宋体" w:hAnsi="宋体" w:eastAsia="宋体" w:cs="宋体"/>
                <w:bCs/>
                <w:color w:val="auto"/>
                <w:sz w:val="24"/>
                <w:szCs w:val="24"/>
                <w:highlight w:val="none"/>
                <w:lang w:val="en-US" w:eastAsia="zh-CN"/>
              </w:rPr>
              <w:t>%，设施破损、设备故障后能快速响应处理。</w:t>
            </w:r>
          </w:p>
        </w:tc>
      </w:tr>
      <w:tr w14:paraId="2A705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tblHeader/>
          <w:jc w:val="center"/>
        </w:trPr>
        <w:tc>
          <w:tcPr>
            <w:tcW w:w="1923" w:type="dxa"/>
            <w:gridSpan w:val="2"/>
            <w:noWrap w:val="0"/>
            <w:vAlign w:val="center"/>
          </w:tcPr>
          <w:p w14:paraId="5249ADD8">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公园绿地</w:t>
            </w:r>
          </w:p>
          <w:p w14:paraId="1E3E26A6">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开放共享</w:t>
            </w:r>
          </w:p>
        </w:tc>
        <w:tc>
          <w:tcPr>
            <w:tcW w:w="4106" w:type="dxa"/>
            <w:noWrap w:val="0"/>
            <w:vAlign w:val="center"/>
          </w:tcPr>
          <w:p w14:paraId="6226809E">
            <w:pPr>
              <w:widowControl w:val="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根据《宁波市城市公园绿地开放共享试点工作实施方案》和《宁波市公园绿地开放共享管理指引（试行）》，做好共享草坪养护管理，加大垃圾清运频次，完善配套服务设施，劝阻不文明行为，完善应急处理预案，做好人流安全管理。</w:t>
            </w:r>
          </w:p>
        </w:tc>
        <w:tc>
          <w:tcPr>
            <w:tcW w:w="3317" w:type="dxa"/>
            <w:noWrap w:val="0"/>
            <w:vAlign w:val="center"/>
          </w:tcPr>
          <w:p w14:paraId="67F0347D">
            <w:pPr>
              <w:jc w:val="both"/>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达到《宁波市城市公园绿地开放共享试点工作实施方案》和《宁波市公园绿地开放共享管理指引（试行）》相关质量要求。</w:t>
            </w:r>
          </w:p>
        </w:tc>
      </w:tr>
      <w:tr w14:paraId="585F9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tblHeader/>
          <w:jc w:val="center"/>
        </w:trPr>
        <w:tc>
          <w:tcPr>
            <w:tcW w:w="1923" w:type="dxa"/>
            <w:gridSpan w:val="2"/>
            <w:noWrap w:val="0"/>
            <w:vAlign w:val="center"/>
          </w:tcPr>
          <w:p w14:paraId="7EB9F236">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公园分级分类</w:t>
            </w:r>
          </w:p>
        </w:tc>
        <w:tc>
          <w:tcPr>
            <w:tcW w:w="4106" w:type="dxa"/>
            <w:noWrap w:val="0"/>
            <w:vAlign w:val="center"/>
          </w:tcPr>
          <w:p w14:paraId="4CD0BD4F">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根据《宁波市城市管理局关于进一步做好宁波市城市公园分级分类管理和园长制工作的通知》《宁波市城市公园分级评分标准》做好绿化养护、设施维护、清卫保洁及园容园貌提升、文明游园和服务管理、园艺景观、设施服务、科普和文化展示等内容。</w:t>
            </w:r>
          </w:p>
        </w:tc>
        <w:tc>
          <w:tcPr>
            <w:tcW w:w="3317" w:type="dxa"/>
            <w:noWrap w:val="0"/>
            <w:vAlign w:val="center"/>
          </w:tcPr>
          <w:p w14:paraId="557C1211">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根据《宁波市城市公园分级评分标准》，达到五星级公园标准，被降星或摘星的，采购人有权无条件解除合同，相关责任和损失由中标人承担。</w:t>
            </w:r>
          </w:p>
        </w:tc>
      </w:tr>
      <w:tr w14:paraId="07FD2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4" w:hRule="atLeast"/>
          <w:tblHeader/>
          <w:jc w:val="center"/>
        </w:trPr>
        <w:tc>
          <w:tcPr>
            <w:tcW w:w="1923" w:type="dxa"/>
            <w:gridSpan w:val="2"/>
            <w:noWrap w:val="0"/>
            <w:vAlign w:val="center"/>
          </w:tcPr>
          <w:p w14:paraId="537F6391">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安全管理</w:t>
            </w:r>
          </w:p>
        </w:tc>
        <w:tc>
          <w:tcPr>
            <w:tcW w:w="4106" w:type="dxa"/>
            <w:noWrap w:val="0"/>
            <w:vAlign w:val="center"/>
          </w:tcPr>
          <w:p w14:paraId="573A4CB4">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做好公园治安、消防、防盗、反恐防暴、防灾害事故等安全防范工作，保护采购人及入园游客的人身及财产安全，承担公园应急救援，维护游园秩序，对不文明行为及时劝导、说明、纠正，高度警惕各类违法行为苗头，及时发现并配合公安部门制（防）止打架斗殴、敲诈勒索、盗抢诈骗等各类治安或刑事案件。相关责任由中标人承担。</w:t>
            </w:r>
          </w:p>
        </w:tc>
        <w:tc>
          <w:tcPr>
            <w:tcW w:w="3317" w:type="dxa"/>
            <w:noWrap w:val="0"/>
            <w:vAlign w:val="center"/>
          </w:tcPr>
          <w:p w14:paraId="07B056A3">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园内安全，游园秩序井然，无不文明现象、无安全事故</w:t>
            </w:r>
          </w:p>
        </w:tc>
      </w:tr>
      <w:tr w14:paraId="42E9C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4" w:hRule="atLeast"/>
          <w:tblHeader/>
          <w:jc w:val="center"/>
        </w:trPr>
        <w:tc>
          <w:tcPr>
            <w:tcW w:w="1923" w:type="dxa"/>
            <w:gridSpan w:val="2"/>
            <w:noWrap w:val="0"/>
            <w:vAlign w:val="center"/>
          </w:tcPr>
          <w:p w14:paraId="4B574D15">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lang w:eastAsia="zh-CN"/>
              </w:rPr>
              <w:t>极端气候防护</w:t>
            </w:r>
          </w:p>
        </w:tc>
        <w:tc>
          <w:tcPr>
            <w:tcW w:w="4106" w:type="dxa"/>
            <w:noWrap w:val="0"/>
            <w:vAlign w:val="center"/>
          </w:tcPr>
          <w:p w14:paraId="4C2F9365">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预先做好防汛防台防涝以及冰冻雪灾的应急预案和物资准备工作，梅雨、台风季节随时进行安全巡查，发现险情及时处理。</w:t>
            </w:r>
            <w:r>
              <w:rPr>
                <w:rFonts w:hint="eastAsia" w:ascii="宋体" w:hAnsi="宋体" w:eastAsia="宋体" w:cs="宋体"/>
                <w:color w:val="auto"/>
                <w:sz w:val="24"/>
                <w:szCs w:val="24"/>
                <w:highlight w:val="none"/>
                <w:lang w:eastAsia="zh-CN"/>
              </w:rPr>
              <w:t>在</w:t>
            </w:r>
            <w:r>
              <w:rPr>
                <w:rFonts w:hint="eastAsia" w:ascii="宋体" w:hAnsi="宋体" w:eastAsia="宋体" w:cs="宋体"/>
                <w:color w:val="auto"/>
                <w:sz w:val="24"/>
                <w:szCs w:val="24"/>
                <w:highlight w:val="none"/>
              </w:rPr>
              <w:t>台风季节</w:t>
            </w:r>
            <w:r>
              <w:rPr>
                <w:rFonts w:hint="eastAsia" w:ascii="宋体" w:hAnsi="宋体" w:eastAsia="宋体" w:cs="宋体"/>
                <w:color w:val="auto"/>
                <w:sz w:val="24"/>
                <w:szCs w:val="24"/>
                <w:highlight w:val="none"/>
                <w:lang w:eastAsia="zh-CN"/>
              </w:rPr>
              <w:t>做好</w:t>
            </w:r>
            <w:r>
              <w:rPr>
                <w:rFonts w:hint="eastAsia" w:ascii="宋体" w:hAnsi="宋体" w:eastAsia="宋体" w:cs="宋体"/>
                <w:color w:val="auto"/>
                <w:sz w:val="24"/>
                <w:szCs w:val="24"/>
                <w:highlight w:val="none"/>
              </w:rPr>
              <w:t>对高大乔木和抗风能力较差的树种</w:t>
            </w:r>
            <w:r>
              <w:rPr>
                <w:rFonts w:hint="eastAsia" w:ascii="宋体" w:hAnsi="宋体" w:eastAsia="宋体" w:cs="宋体"/>
                <w:color w:val="auto"/>
                <w:sz w:val="24"/>
                <w:szCs w:val="24"/>
                <w:highlight w:val="none"/>
                <w:lang w:eastAsia="zh-CN"/>
              </w:rPr>
              <w:t>的</w:t>
            </w:r>
            <w:r>
              <w:rPr>
                <w:rFonts w:hint="eastAsia" w:ascii="宋体" w:hAnsi="宋体" w:eastAsia="宋体" w:cs="宋体"/>
                <w:color w:val="auto"/>
                <w:sz w:val="24"/>
                <w:szCs w:val="24"/>
                <w:highlight w:val="none"/>
              </w:rPr>
              <w:t>疏枝、</w:t>
            </w:r>
            <w:r>
              <w:rPr>
                <w:rFonts w:hint="eastAsia" w:ascii="宋体" w:hAnsi="宋体" w:eastAsia="宋体" w:cs="宋体"/>
                <w:color w:val="auto"/>
                <w:sz w:val="24"/>
                <w:szCs w:val="24"/>
                <w:highlight w:val="none"/>
                <w:lang w:eastAsia="zh-CN"/>
              </w:rPr>
              <w:t>支撑</w:t>
            </w:r>
            <w:r>
              <w:rPr>
                <w:rFonts w:hint="eastAsia" w:ascii="宋体" w:hAnsi="宋体" w:eastAsia="宋体" w:cs="宋体"/>
                <w:color w:val="auto"/>
                <w:sz w:val="24"/>
                <w:szCs w:val="24"/>
                <w:highlight w:val="none"/>
              </w:rPr>
              <w:t>等加固工作，发生水涝后及时对植物进行排水、遮阴和修剪，冰冻雪灾时对植物进行草包绑扎等防冻措施，并组织人力物力配合做好灾后恢复工作。</w:t>
            </w:r>
          </w:p>
        </w:tc>
        <w:tc>
          <w:tcPr>
            <w:tcW w:w="3317" w:type="dxa"/>
            <w:noWrap w:val="0"/>
            <w:vAlign w:val="center"/>
          </w:tcPr>
          <w:p w14:paraId="4FD2CC34">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及时</w:t>
            </w:r>
            <w:r>
              <w:rPr>
                <w:rFonts w:hint="eastAsia" w:ascii="宋体" w:hAnsi="宋体" w:eastAsia="宋体" w:cs="宋体"/>
                <w:color w:val="auto"/>
                <w:sz w:val="24"/>
                <w:szCs w:val="24"/>
                <w:highlight w:val="none"/>
              </w:rPr>
              <w:t>做好</w:t>
            </w:r>
            <w:r>
              <w:rPr>
                <w:rFonts w:hint="eastAsia" w:ascii="宋体" w:hAnsi="宋体" w:eastAsia="宋体" w:cs="宋体"/>
                <w:color w:val="auto"/>
                <w:sz w:val="24"/>
                <w:szCs w:val="24"/>
                <w:highlight w:val="none"/>
                <w:lang w:eastAsia="zh-CN"/>
              </w:rPr>
              <w:t>各项防护</w:t>
            </w:r>
            <w:r>
              <w:rPr>
                <w:rFonts w:hint="eastAsia" w:ascii="宋体" w:hAnsi="宋体" w:eastAsia="宋体" w:cs="宋体"/>
                <w:color w:val="auto"/>
                <w:sz w:val="24"/>
                <w:szCs w:val="24"/>
                <w:highlight w:val="none"/>
              </w:rPr>
              <w:t>措施</w:t>
            </w:r>
            <w:r>
              <w:rPr>
                <w:rFonts w:hint="eastAsia" w:ascii="宋体" w:hAnsi="宋体" w:eastAsia="宋体" w:cs="宋体"/>
                <w:color w:val="auto"/>
                <w:sz w:val="24"/>
                <w:szCs w:val="24"/>
                <w:highlight w:val="none"/>
                <w:lang w:eastAsia="zh-CN"/>
              </w:rPr>
              <w:t>，确保措施到位</w:t>
            </w:r>
            <w:r>
              <w:rPr>
                <w:rFonts w:hint="eastAsia" w:ascii="宋体" w:hAnsi="宋体" w:eastAsia="宋体" w:cs="宋体"/>
                <w:color w:val="auto"/>
                <w:sz w:val="24"/>
                <w:szCs w:val="24"/>
                <w:highlight w:val="none"/>
              </w:rPr>
              <w:t>，灾后</w:t>
            </w:r>
            <w:r>
              <w:rPr>
                <w:rFonts w:hint="eastAsia" w:ascii="宋体" w:hAnsi="宋体" w:eastAsia="宋体" w:cs="宋体"/>
                <w:color w:val="auto"/>
                <w:sz w:val="24"/>
                <w:szCs w:val="24"/>
                <w:highlight w:val="none"/>
                <w:lang w:eastAsia="zh-CN"/>
              </w:rPr>
              <w:t>第一时间</w:t>
            </w:r>
            <w:r>
              <w:rPr>
                <w:rFonts w:hint="eastAsia" w:ascii="宋体" w:hAnsi="宋体" w:eastAsia="宋体" w:cs="宋体"/>
                <w:color w:val="auto"/>
                <w:sz w:val="24"/>
                <w:szCs w:val="24"/>
                <w:highlight w:val="none"/>
              </w:rPr>
              <w:t>做好恢复工作。</w:t>
            </w:r>
          </w:p>
        </w:tc>
      </w:tr>
      <w:tr w14:paraId="1B15C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tblHeader/>
          <w:jc w:val="center"/>
        </w:trPr>
        <w:tc>
          <w:tcPr>
            <w:tcW w:w="1923" w:type="dxa"/>
            <w:gridSpan w:val="2"/>
            <w:noWrap w:val="0"/>
            <w:vAlign w:val="center"/>
          </w:tcPr>
          <w:p w14:paraId="5DFA25F0">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rPr>
              <w:t>安全生产</w:t>
            </w:r>
          </w:p>
        </w:tc>
        <w:tc>
          <w:tcPr>
            <w:tcW w:w="4106" w:type="dxa"/>
            <w:noWrap w:val="0"/>
            <w:vAlign w:val="center"/>
          </w:tcPr>
          <w:p w14:paraId="593C9AB2">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做好安全生产和安全文明作业。督促</w:t>
            </w:r>
            <w:r>
              <w:rPr>
                <w:rFonts w:hint="eastAsia" w:ascii="宋体" w:hAnsi="宋体" w:eastAsia="宋体" w:cs="宋体"/>
                <w:color w:val="auto"/>
                <w:sz w:val="24"/>
                <w:szCs w:val="24"/>
                <w:highlight w:val="none"/>
                <w:lang w:eastAsia="zh-CN"/>
              </w:rPr>
              <w:t>原施工单位</w:t>
            </w:r>
            <w:r>
              <w:rPr>
                <w:rFonts w:hint="eastAsia" w:ascii="宋体" w:hAnsi="宋体" w:eastAsia="宋体" w:cs="宋体"/>
                <w:color w:val="auto"/>
                <w:sz w:val="24"/>
                <w:szCs w:val="24"/>
                <w:highlight w:val="none"/>
              </w:rPr>
              <w:t>安全规范操作</w:t>
            </w:r>
            <w:r>
              <w:rPr>
                <w:rFonts w:hint="eastAsia" w:ascii="宋体" w:hAnsi="宋体" w:eastAsia="宋体" w:cs="宋体"/>
                <w:color w:val="auto"/>
                <w:sz w:val="24"/>
                <w:szCs w:val="24"/>
                <w:highlight w:val="none"/>
                <w:lang w:eastAsia="zh-CN"/>
              </w:rPr>
              <w:t>机械设备及安全使用农药化肥、汽油等物资</w:t>
            </w:r>
            <w:r>
              <w:rPr>
                <w:rFonts w:hint="eastAsia" w:ascii="宋体" w:hAnsi="宋体" w:eastAsia="宋体" w:cs="宋体"/>
                <w:color w:val="auto"/>
                <w:sz w:val="24"/>
                <w:szCs w:val="24"/>
                <w:highlight w:val="none"/>
              </w:rPr>
              <w:t>；对于高温等特殊天气，做好作业人员的劳动保障措施。</w:t>
            </w:r>
          </w:p>
        </w:tc>
        <w:tc>
          <w:tcPr>
            <w:tcW w:w="3317" w:type="dxa"/>
            <w:noWrap w:val="0"/>
            <w:vAlign w:val="center"/>
          </w:tcPr>
          <w:p w14:paraId="6A455468">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全年不发生</w:t>
            </w:r>
            <w:r>
              <w:rPr>
                <w:rFonts w:hint="eastAsia" w:ascii="宋体" w:hAnsi="宋体" w:eastAsia="宋体" w:cs="宋体"/>
                <w:color w:val="auto"/>
                <w:sz w:val="24"/>
                <w:szCs w:val="24"/>
                <w:highlight w:val="none"/>
                <w:lang w:eastAsia="zh-CN"/>
              </w:rPr>
              <w:t>各类</w:t>
            </w:r>
            <w:r>
              <w:rPr>
                <w:rFonts w:hint="eastAsia" w:ascii="宋体" w:hAnsi="宋体" w:eastAsia="宋体" w:cs="宋体"/>
                <w:color w:val="auto"/>
                <w:sz w:val="24"/>
                <w:szCs w:val="24"/>
                <w:highlight w:val="none"/>
              </w:rPr>
              <w:t>安全责任事故。</w:t>
            </w:r>
          </w:p>
        </w:tc>
      </w:tr>
      <w:tr w14:paraId="24394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923" w:type="dxa"/>
            <w:gridSpan w:val="2"/>
            <w:noWrap w:val="0"/>
            <w:vAlign w:val="center"/>
          </w:tcPr>
          <w:p w14:paraId="33125034">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四害消杀</w:t>
            </w:r>
          </w:p>
        </w:tc>
        <w:tc>
          <w:tcPr>
            <w:tcW w:w="4106" w:type="dxa"/>
            <w:noWrap w:val="0"/>
            <w:vAlign w:val="center"/>
          </w:tcPr>
          <w:p w14:paraId="2AB51486">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每月不少于</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次，每次防治人员不少于2人，使用的药品“三证”齐全。</w:t>
            </w:r>
          </w:p>
        </w:tc>
        <w:tc>
          <w:tcPr>
            <w:tcW w:w="3317" w:type="dxa"/>
            <w:vMerge w:val="restart"/>
            <w:noWrap w:val="0"/>
            <w:vAlign w:val="center"/>
          </w:tcPr>
          <w:p w14:paraId="247EB90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四害消杀效果达到国家C级标准，符合爱卫部门相关要求；白蚁防治做到不发生伤人事件，不危害园内建筑、植物等，符合爱卫部门相关要求。</w:t>
            </w:r>
          </w:p>
        </w:tc>
      </w:tr>
      <w:tr w14:paraId="48ECF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923" w:type="dxa"/>
            <w:gridSpan w:val="2"/>
            <w:noWrap w:val="0"/>
            <w:vAlign w:val="center"/>
          </w:tcPr>
          <w:p w14:paraId="56125107">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白蚁防治</w:t>
            </w:r>
          </w:p>
        </w:tc>
        <w:tc>
          <w:tcPr>
            <w:tcW w:w="4106" w:type="dxa"/>
            <w:noWrap w:val="0"/>
            <w:vAlign w:val="center"/>
          </w:tcPr>
          <w:p w14:paraId="4B50F39B">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及时发现及时处理，使用的药品“三证”齐全。</w:t>
            </w:r>
          </w:p>
        </w:tc>
        <w:tc>
          <w:tcPr>
            <w:tcW w:w="3317" w:type="dxa"/>
            <w:vMerge w:val="continue"/>
            <w:noWrap w:val="0"/>
            <w:vAlign w:val="center"/>
          </w:tcPr>
          <w:p w14:paraId="6DDBAED9">
            <w:pPr>
              <w:rPr>
                <w:rFonts w:hint="eastAsia" w:ascii="宋体" w:hAnsi="宋体" w:eastAsia="宋体" w:cs="宋体"/>
                <w:color w:val="auto"/>
                <w:sz w:val="24"/>
                <w:szCs w:val="24"/>
                <w:highlight w:val="none"/>
              </w:rPr>
            </w:pPr>
          </w:p>
        </w:tc>
      </w:tr>
      <w:tr w14:paraId="4DDA0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923" w:type="dxa"/>
            <w:gridSpan w:val="2"/>
            <w:noWrap w:val="0"/>
            <w:vAlign w:val="center"/>
          </w:tcPr>
          <w:p w14:paraId="37FF0183">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外来入侵</w:t>
            </w:r>
          </w:p>
          <w:p w14:paraId="3F4B70B7">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物种防范</w:t>
            </w:r>
          </w:p>
        </w:tc>
        <w:tc>
          <w:tcPr>
            <w:tcW w:w="4106" w:type="dxa"/>
            <w:noWrap w:val="0"/>
            <w:vAlign w:val="center"/>
          </w:tcPr>
          <w:p w14:paraId="73B746DE">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根据《重点管理外来入侵物种名录》及时进行防范，发现外来入侵物种及时上报处置。</w:t>
            </w:r>
          </w:p>
        </w:tc>
        <w:tc>
          <w:tcPr>
            <w:tcW w:w="3317" w:type="dxa"/>
            <w:noWrap w:val="0"/>
            <w:vAlign w:val="center"/>
          </w:tcPr>
          <w:p w14:paraId="1C60DB1A">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及时发现，及时上报处置。</w:t>
            </w:r>
          </w:p>
        </w:tc>
      </w:tr>
      <w:tr w14:paraId="106C4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tblHeader/>
          <w:jc w:val="center"/>
        </w:trPr>
        <w:tc>
          <w:tcPr>
            <w:tcW w:w="1923" w:type="dxa"/>
            <w:gridSpan w:val="2"/>
            <w:noWrap w:val="0"/>
            <w:vAlign w:val="center"/>
          </w:tcPr>
          <w:p w14:paraId="26612AF6">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节日氛围营造</w:t>
            </w:r>
          </w:p>
        </w:tc>
        <w:tc>
          <w:tcPr>
            <w:tcW w:w="4106" w:type="dxa"/>
            <w:noWrap w:val="0"/>
            <w:vAlign w:val="center"/>
          </w:tcPr>
          <w:p w14:paraId="4265240E">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春节、国庆等节假日，在采购人指定的范围进行相关的花卉布置，并根据要求悬挂国旗、灯笼等。</w:t>
            </w:r>
            <w:r>
              <w:rPr>
                <w:rFonts w:hint="eastAsia" w:ascii="宋体" w:hAnsi="宋体" w:eastAsia="宋体" w:cs="宋体"/>
                <w:color w:val="auto"/>
                <w:sz w:val="24"/>
                <w:szCs w:val="24"/>
                <w:highlight w:val="none"/>
              </w:rPr>
              <w:t>节前1个月完成方案设计，节前</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天完成布置</w:t>
            </w:r>
            <w:r>
              <w:rPr>
                <w:rFonts w:hint="eastAsia" w:ascii="宋体" w:hAnsi="宋体" w:eastAsia="宋体" w:cs="宋体"/>
                <w:color w:val="auto"/>
                <w:sz w:val="24"/>
                <w:szCs w:val="24"/>
                <w:highlight w:val="none"/>
                <w:lang w:eastAsia="zh-CN"/>
              </w:rPr>
              <w:t>。</w:t>
            </w:r>
          </w:p>
        </w:tc>
        <w:tc>
          <w:tcPr>
            <w:tcW w:w="3317" w:type="dxa"/>
            <w:noWrap w:val="0"/>
            <w:vAlign w:val="center"/>
          </w:tcPr>
          <w:p w14:paraId="6226C187">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达到高标准景观效果。</w:t>
            </w:r>
          </w:p>
        </w:tc>
      </w:tr>
      <w:tr w14:paraId="378EB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tblHeader/>
          <w:jc w:val="center"/>
        </w:trPr>
        <w:tc>
          <w:tcPr>
            <w:tcW w:w="1923" w:type="dxa"/>
            <w:gridSpan w:val="2"/>
            <w:noWrap w:val="0"/>
            <w:vAlign w:val="center"/>
          </w:tcPr>
          <w:p w14:paraId="4AA5B481">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台账管理</w:t>
            </w:r>
          </w:p>
        </w:tc>
        <w:tc>
          <w:tcPr>
            <w:tcW w:w="4106" w:type="dxa"/>
            <w:noWrap w:val="0"/>
            <w:vAlign w:val="center"/>
          </w:tcPr>
          <w:p w14:paraId="498F4210">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按时修订、完善、记录、整理、上报各类管理台账</w:t>
            </w:r>
            <w:r>
              <w:rPr>
                <w:rFonts w:hint="eastAsia" w:ascii="宋体" w:hAnsi="宋体" w:eastAsia="宋体" w:cs="宋体"/>
                <w:color w:val="auto"/>
                <w:sz w:val="24"/>
                <w:szCs w:val="24"/>
                <w:highlight w:val="none"/>
                <w:lang w:eastAsia="zh-CN"/>
              </w:rPr>
              <w:t>。</w:t>
            </w:r>
          </w:p>
        </w:tc>
        <w:tc>
          <w:tcPr>
            <w:tcW w:w="3317" w:type="dxa"/>
            <w:noWrap w:val="0"/>
            <w:vAlign w:val="center"/>
          </w:tcPr>
          <w:p w14:paraId="1D878E7E">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确保</w:t>
            </w:r>
            <w:r>
              <w:rPr>
                <w:rFonts w:hint="eastAsia" w:ascii="宋体" w:hAnsi="宋体" w:eastAsia="宋体" w:cs="宋体"/>
                <w:color w:val="auto"/>
                <w:sz w:val="24"/>
                <w:szCs w:val="24"/>
                <w:highlight w:val="none"/>
                <w:lang w:eastAsia="zh-CN"/>
              </w:rPr>
              <w:t>根据采购人要求，</w:t>
            </w:r>
            <w:r>
              <w:rPr>
                <w:rFonts w:hint="eastAsia" w:ascii="宋体" w:hAnsi="宋体" w:eastAsia="宋体" w:cs="宋体"/>
                <w:color w:val="auto"/>
                <w:sz w:val="24"/>
                <w:szCs w:val="24"/>
                <w:highlight w:val="none"/>
              </w:rPr>
              <w:t>按时修订、完善、记录、整理、上报各类管理台账</w:t>
            </w:r>
            <w:r>
              <w:rPr>
                <w:rFonts w:hint="eastAsia" w:ascii="宋体" w:hAnsi="宋体" w:eastAsia="宋体" w:cs="宋体"/>
                <w:color w:val="auto"/>
                <w:sz w:val="24"/>
                <w:szCs w:val="24"/>
                <w:highlight w:val="none"/>
                <w:lang w:eastAsia="zh-CN"/>
              </w:rPr>
              <w:t>。</w:t>
            </w:r>
          </w:p>
        </w:tc>
      </w:tr>
      <w:tr w14:paraId="17C2F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tblHeader/>
          <w:jc w:val="center"/>
        </w:trPr>
        <w:tc>
          <w:tcPr>
            <w:tcW w:w="1923" w:type="dxa"/>
            <w:gridSpan w:val="2"/>
            <w:noWrap w:val="0"/>
            <w:vAlign w:val="center"/>
          </w:tcPr>
          <w:p w14:paraId="665F878D">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园林博物馆其他服务要求</w:t>
            </w:r>
          </w:p>
        </w:tc>
        <w:tc>
          <w:tcPr>
            <w:tcW w:w="4106" w:type="dxa"/>
            <w:noWrap w:val="0"/>
            <w:vAlign w:val="center"/>
          </w:tcPr>
          <w:p w14:paraId="52707CA0">
            <w:pPr>
              <w:numPr>
                <w:ilvl w:val="0"/>
                <w:numId w:val="4"/>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全博物馆屋顶清扫，包括玻璃曲廊顶，面积约1675平方米，每月1次，落叶季加密清扫频率。</w:t>
            </w:r>
          </w:p>
          <w:p w14:paraId="2FF83992">
            <w:pPr>
              <w:numPr>
                <w:ilvl w:val="0"/>
                <w:numId w:val="4"/>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室内展厅精品植物摆放，需要至少30盆，要求：耐阴易养。</w:t>
            </w:r>
          </w:p>
          <w:p w14:paraId="2CCE85AF">
            <w:pPr>
              <w:numPr>
                <w:ilvl w:val="0"/>
                <w:numId w:val="0"/>
              </w:numPr>
              <w:ind w:leftChars="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鱼池清洗，一年10次。</w:t>
            </w:r>
          </w:p>
        </w:tc>
        <w:tc>
          <w:tcPr>
            <w:tcW w:w="3317" w:type="dxa"/>
            <w:noWrap w:val="0"/>
            <w:vAlign w:val="center"/>
          </w:tcPr>
          <w:p w14:paraId="52D6932D">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清洗水池时</w:t>
            </w:r>
            <w:r>
              <w:rPr>
                <w:rFonts w:hint="eastAsia" w:ascii="宋体" w:hAnsi="宋体" w:eastAsia="宋体" w:cs="宋体"/>
                <w:color w:val="auto"/>
                <w:sz w:val="24"/>
                <w:szCs w:val="24"/>
                <w:highlight w:val="none"/>
                <w:lang w:val="en-US" w:eastAsia="zh-CN"/>
              </w:rPr>
              <w:t>需要</w:t>
            </w:r>
            <w:r>
              <w:rPr>
                <w:rFonts w:hint="eastAsia" w:ascii="宋体" w:hAnsi="宋体" w:eastAsia="宋体" w:cs="宋体"/>
                <w:color w:val="auto"/>
                <w:sz w:val="24"/>
                <w:szCs w:val="24"/>
                <w:highlight w:val="none"/>
                <w:lang w:eastAsia="zh-CN"/>
              </w:rPr>
              <w:t>注意锦鲤保护</w:t>
            </w:r>
          </w:p>
        </w:tc>
      </w:tr>
    </w:tbl>
    <w:p w14:paraId="6F31D540">
      <w:pPr>
        <w:widowControl/>
        <w:tabs>
          <w:tab w:val="left" w:pos="851"/>
        </w:tabs>
        <w:adjustRightInd/>
        <w:spacing w:line="360" w:lineRule="auto"/>
        <w:ind w:firstLine="482" w:firstLineChars="200"/>
        <w:rPr>
          <w:rFonts w:hint="eastAsia"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（三）设施维护要求</w:t>
      </w:r>
    </w:p>
    <w:p w14:paraId="26981906">
      <w:pPr>
        <w:widowControl/>
        <w:tabs>
          <w:tab w:val="left" w:pos="851"/>
        </w:tabs>
        <w:adjustRightInd/>
        <w:spacing w:line="360" w:lineRule="auto"/>
        <w:ind w:firstLine="482" w:firstLineChars="200"/>
        <w:rPr>
          <w:rFonts w:hint="eastAsia"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（1）公共厕所</w:t>
      </w:r>
    </w:p>
    <w:p w14:paraId="64EB20B1">
      <w:pPr>
        <w:widowControl/>
        <w:tabs>
          <w:tab w:val="left" w:pos="851"/>
        </w:tabs>
        <w:adjustRightInd/>
        <w:spacing w:line="360" w:lineRule="auto"/>
        <w:ind w:firstLine="482" w:firstLineChars="200"/>
        <w:rPr>
          <w:rFonts w:hint="default"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①公厕开放要求</w:t>
      </w:r>
    </w:p>
    <w:tbl>
      <w:tblPr>
        <w:tblStyle w:val="62"/>
        <w:tblW w:w="107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449"/>
        <w:gridCol w:w="1009"/>
        <w:gridCol w:w="883"/>
        <w:gridCol w:w="867"/>
        <w:gridCol w:w="835"/>
        <w:gridCol w:w="881"/>
        <w:gridCol w:w="884"/>
        <w:gridCol w:w="866"/>
        <w:gridCol w:w="900"/>
        <w:gridCol w:w="850"/>
        <w:gridCol w:w="918"/>
      </w:tblGrid>
      <w:tr w14:paraId="64E3F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27" w:type="dxa"/>
            <w:vMerge w:val="restart"/>
            <w:vAlign w:val="center"/>
          </w:tcPr>
          <w:p w14:paraId="41557FA9">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序号</w:t>
            </w:r>
          </w:p>
        </w:tc>
        <w:tc>
          <w:tcPr>
            <w:tcW w:w="1449" w:type="dxa"/>
            <w:vMerge w:val="restart"/>
            <w:vAlign w:val="center"/>
          </w:tcPr>
          <w:p w14:paraId="46A719DE">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公厕名称</w:t>
            </w:r>
          </w:p>
        </w:tc>
        <w:tc>
          <w:tcPr>
            <w:tcW w:w="1009" w:type="dxa"/>
            <w:vMerge w:val="restart"/>
            <w:vAlign w:val="center"/>
          </w:tcPr>
          <w:p w14:paraId="4A03898B">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总面积</w:t>
            </w:r>
          </w:p>
          <w:p w14:paraId="369B87D4">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w:t>
            </w:r>
          </w:p>
        </w:tc>
        <w:tc>
          <w:tcPr>
            <w:tcW w:w="7884" w:type="dxa"/>
            <w:gridSpan w:val="9"/>
            <w:vAlign w:val="center"/>
          </w:tcPr>
          <w:p w14:paraId="4163E482">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其中</w:t>
            </w:r>
          </w:p>
        </w:tc>
      </w:tr>
      <w:tr w14:paraId="16871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27" w:type="dxa"/>
            <w:vMerge w:val="continue"/>
            <w:vAlign w:val="center"/>
          </w:tcPr>
          <w:p w14:paraId="6406BAA8">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p>
        </w:tc>
        <w:tc>
          <w:tcPr>
            <w:tcW w:w="1449" w:type="dxa"/>
            <w:vMerge w:val="continue"/>
            <w:vAlign w:val="center"/>
          </w:tcPr>
          <w:p w14:paraId="21DC9AB0">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p>
        </w:tc>
        <w:tc>
          <w:tcPr>
            <w:tcW w:w="1009" w:type="dxa"/>
            <w:vMerge w:val="continue"/>
            <w:vAlign w:val="center"/>
          </w:tcPr>
          <w:p w14:paraId="6A0F69E7">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p>
        </w:tc>
        <w:tc>
          <w:tcPr>
            <w:tcW w:w="2585" w:type="dxa"/>
            <w:gridSpan w:val="3"/>
            <w:vAlign w:val="center"/>
          </w:tcPr>
          <w:p w14:paraId="2434283D">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男厕</w:t>
            </w:r>
          </w:p>
        </w:tc>
        <w:tc>
          <w:tcPr>
            <w:tcW w:w="1765" w:type="dxa"/>
            <w:gridSpan w:val="2"/>
            <w:vAlign w:val="center"/>
          </w:tcPr>
          <w:p w14:paraId="001A8AB6">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女厕</w:t>
            </w:r>
          </w:p>
        </w:tc>
        <w:tc>
          <w:tcPr>
            <w:tcW w:w="866" w:type="dxa"/>
            <w:vMerge w:val="restart"/>
            <w:vAlign w:val="center"/>
          </w:tcPr>
          <w:p w14:paraId="4EB335C6">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工具房面积</w:t>
            </w:r>
          </w:p>
          <w:p w14:paraId="4E691BA7">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w:t>
            </w:r>
          </w:p>
        </w:tc>
        <w:tc>
          <w:tcPr>
            <w:tcW w:w="900" w:type="dxa"/>
            <w:vMerge w:val="restart"/>
            <w:vAlign w:val="center"/>
          </w:tcPr>
          <w:p w14:paraId="0C447811">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母婴室面积（㎡）</w:t>
            </w:r>
          </w:p>
        </w:tc>
        <w:tc>
          <w:tcPr>
            <w:tcW w:w="850" w:type="dxa"/>
            <w:vMerge w:val="restart"/>
            <w:vAlign w:val="center"/>
          </w:tcPr>
          <w:p w14:paraId="42F45CCA">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第三卫生间（㎡）</w:t>
            </w:r>
          </w:p>
        </w:tc>
        <w:tc>
          <w:tcPr>
            <w:tcW w:w="918" w:type="dxa"/>
            <w:vMerge w:val="restart"/>
            <w:vAlign w:val="center"/>
          </w:tcPr>
          <w:p w14:paraId="16E5A20F">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残疾人厕所（㎡）</w:t>
            </w:r>
          </w:p>
        </w:tc>
      </w:tr>
      <w:tr w14:paraId="5DDA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427" w:type="dxa"/>
            <w:vMerge w:val="continue"/>
            <w:vAlign w:val="center"/>
          </w:tcPr>
          <w:p w14:paraId="776ABAEF">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p>
        </w:tc>
        <w:tc>
          <w:tcPr>
            <w:tcW w:w="1449" w:type="dxa"/>
            <w:vMerge w:val="continue"/>
            <w:vAlign w:val="center"/>
          </w:tcPr>
          <w:p w14:paraId="50874AC6">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p>
        </w:tc>
        <w:tc>
          <w:tcPr>
            <w:tcW w:w="1009" w:type="dxa"/>
            <w:vMerge w:val="continue"/>
            <w:vAlign w:val="center"/>
          </w:tcPr>
          <w:p w14:paraId="3904EF7F">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p>
        </w:tc>
        <w:tc>
          <w:tcPr>
            <w:tcW w:w="883" w:type="dxa"/>
            <w:vAlign w:val="center"/>
          </w:tcPr>
          <w:p w14:paraId="0404D96B">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面积（㎡）</w:t>
            </w:r>
          </w:p>
        </w:tc>
        <w:tc>
          <w:tcPr>
            <w:tcW w:w="867" w:type="dxa"/>
            <w:vAlign w:val="center"/>
          </w:tcPr>
          <w:p w14:paraId="2AA27AEE">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小便斗（个）</w:t>
            </w:r>
          </w:p>
        </w:tc>
        <w:tc>
          <w:tcPr>
            <w:tcW w:w="835" w:type="dxa"/>
            <w:vAlign w:val="center"/>
          </w:tcPr>
          <w:p w14:paraId="39FECD76">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蹲位（个）</w:t>
            </w:r>
          </w:p>
        </w:tc>
        <w:tc>
          <w:tcPr>
            <w:tcW w:w="881" w:type="dxa"/>
            <w:vAlign w:val="center"/>
          </w:tcPr>
          <w:p w14:paraId="1AB5C295">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面积（㎡）</w:t>
            </w:r>
          </w:p>
        </w:tc>
        <w:tc>
          <w:tcPr>
            <w:tcW w:w="884" w:type="dxa"/>
            <w:vAlign w:val="center"/>
          </w:tcPr>
          <w:p w14:paraId="743E9F26">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蹲位</w:t>
            </w:r>
          </w:p>
          <w:p w14:paraId="17FE6F9A">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（个）</w:t>
            </w:r>
          </w:p>
        </w:tc>
        <w:tc>
          <w:tcPr>
            <w:tcW w:w="866" w:type="dxa"/>
            <w:vMerge w:val="continue"/>
            <w:vAlign w:val="center"/>
          </w:tcPr>
          <w:p w14:paraId="1DB66877">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color w:val="auto"/>
                <w:kern w:val="2"/>
                <w:sz w:val="24"/>
                <w:szCs w:val="24"/>
                <w:highlight w:val="none"/>
                <w:lang w:val="en-US" w:eastAsia="zh-CN" w:bidi="ar-SA"/>
              </w:rPr>
            </w:pPr>
          </w:p>
        </w:tc>
        <w:tc>
          <w:tcPr>
            <w:tcW w:w="900" w:type="dxa"/>
            <w:vMerge w:val="continue"/>
            <w:vAlign w:val="center"/>
          </w:tcPr>
          <w:p w14:paraId="7B55DADE">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color w:val="auto"/>
                <w:kern w:val="2"/>
                <w:sz w:val="24"/>
                <w:szCs w:val="24"/>
                <w:highlight w:val="none"/>
                <w:lang w:val="en-US" w:eastAsia="zh-CN" w:bidi="ar-SA"/>
              </w:rPr>
            </w:pPr>
          </w:p>
        </w:tc>
        <w:tc>
          <w:tcPr>
            <w:tcW w:w="850" w:type="dxa"/>
            <w:vMerge w:val="continue"/>
            <w:vAlign w:val="center"/>
          </w:tcPr>
          <w:p w14:paraId="33DF364F">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color w:val="auto"/>
                <w:kern w:val="2"/>
                <w:sz w:val="24"/>
                <w:szCs w:val="24"/>
                <w:highlight w:val="none"/>
                <w:lang w:val="en-US" w:eastAsia="zh-CN" w:bidi="ar-SA"/>
              </w:rPr>
            </w:pPr>
          </w:p>
        </w:tc>
        <w:tc>
          <w:tcPr>
            <w:tcW w:w="918" w:type="dxa"/>
            <w:vMerge w:val="continue"/>
            <w:vAlign w:val="center"/>
          </w:tcPr>
          <w:p w14:paraId="3F0EE9A4">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color w:val="auto"/>
                <w:kern w:val="2"/>
                <w:sz w:val="24"/>
                <w:szCs w:val="24"/>
                <w:highlight w:val="none"/>
                <w:lang w:val="en-US" w:eastAsia="zh-CN" w:bidi="ar-SA"/>
              </w:rPr>
            </w:pPr>
          </w:p>
        </w:tc>
      </w:tr>
      <w:tr w14:paraId="043A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427" w:type="dxa"/>
            <w:vAlign w:val="center"/>
          </w:tcPr>
          <w:p w14:paraId="0B2B52CB">
            <w:pPr>
              <w:keepNext w:val="0"/>
              <w:keepLines w:val="0"/>
              <w:pageBreakBefore w:val="0"/>
              <w:widowControl w:val="0"/>
              <w:kinsoku/>
              <w:wordWrap/>
              <w:overflowPunct/>
              <w:topLinePunct w:val="0"/>
              <w:bidi w:val="0"/>
              <w:adjustRightInd/>
              <w:snapToGrid/>
              <w:spacing w:beforeAutospacing="0" w:afterAutospacing="0"/>
              <w:ind w:right="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w:t>
            </w:r>
          </w:p>
        </w:tc>
        <w:tc>
          <w:tcPr>
            <w:tcW w:w="1449" w:type="dxa"/>
            <w:vAlign w:val="center"/>
          </w:tcPr>
          <w:p w14:paraId="5F644BE6">
            <w:pPr>
              <w:keepNext w:val="0"/>
              <w:keepLines w:val="0"/>
              <w:pageBreakBefore w:val="0"/>
              <w:widowControl w:val="0"/>
              <w:kinsoku/>
              <w:wordWrap/>
              <w:overflowPunct/>
              <w:topLinePunct w:val="0"/>
              <w:bidi w:val="0"/>
              <w:adjustRightInd/>
              <w:snapToGrid/>
              <w:spacing w:beforeAutospacing="0" w:afterAutospacing="0" w:line="360" w:lineRule="auto"/>
              <w:ind w:right="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绿岛公园</w:t>
            </w:r>
          </w:p>
        </w:tc>
        <w:tc>
          <w:tcPr>
            <w:tcW w:w="1009" w:type="dxa"/>
            <w:vAlign w:val="center"/>
          </w:tcPr>
          <w:p w14:paraId="6A18960C">
            <w:pPr>
              <w:keepNext w:val="0"/>
              <w:keepLines w:val="0"/>
              <w:pageBreakBefore w:val="0"/>
              <w:widowControl w:val="0"/>
              <w:kinsoku/>
              <w:wordWrap/>
              <w:overflowPunct/>
              <w:topLinePunct w:val="0"/>
              <w:bidi w:val="0"/>
              <w:snapToGrid/>
              <w:spacing w:beforeAutospacing="0" w:afterAutospacing="0" w:line="240" w:lineRule="auto"/>
              <w:ind w:right="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37.14</w:t>
            </w:r>
          </w:p>
        </w:tc>
        <w:tc>
          <w:tcPr>
            <w:tcW w:w="883" w:type="dxa"/>
            <w:vAlign w:val="center"/>
          </w:tcPr>
          <w:p w14:paraId="358725E5">
            <w:pPr>
              <w:keepNext w:val="0"/>
              <w:keepLines w:val="0"/>
              <w:pageBreakBefore w:val="0"/>
              <w:widowControl w:val="0"/>
              <w:kinsoku/>
              <w:wordWrap/>
              <w:overflowPunct/>
              <w:topLinePunct w:val="0"/>
              <w:bidi w:val="0"/>
              <w:adjustRightInd/>
              <w:snapToGrid/>
              <w:spacing w:beforeAutospacing="0" w:afterAutospacing="0" w:line="240" w:lineRule="auto"/>
              <w:ind w:right="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21.77</w:t>
            </w:r>
          </w:p>
        </w:tc>
        <w:tc>
          <w:tcPr>
            <w:tcW w:w="867" w:type="dxa"/>
            <w:vAlign w:val="center"/>
          </w:tcPr>
          <w:p w14:paraId="052E29AF">
            <w:pPr>
              <w:keepNext w:val="0"/>
              <w:keepLines w:val="0"/>
              <w:pageBreakBefore w:val="0"/>
              <w:widowControl w:val="0"/>
              <w:kinsoku/>
              <w:wordWrap/>
              <w:overflowPunct/>
              <w:topLinePunct w:val="0"/>
              <w:bidi w:val="0"/>
              <w:adjustRightInd/>
              <w:snapToGrid/>
              <w:spacing w:beforeAutospacing="0" w:afterAutospacing="0" w:line="240" w:lineRule="auto"/>
              <w:ind w:right="0"/>
              <w:jc w:val="center"/>
              <w:textAlignment w:val="auto"/>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w:t>
            </w:r>
          </w:p>
        </w:tc>
        <w:tc>
          <w:tcPr>
            <w:tcW w:w="835" w:type="dxa"/>
            <w:vAlign w:val="center"/>
          </w:tcPr>
          <w:p w14:paraId="64682893">
            <w:pPr>
              <w:keepNext w:val="0"/>
              <w:keepLines w:val="0"/>
              <w:pageBreakBefore w:val="0"/>
              <w:widowControl w:val="0"/>
              <w:kinsoku/>
              <w:wordWrap/>
              <w:overflowPunct/>
              <w:topLinePunct w:val="0"/>
              <w:bidi w:val="0"/>
              <w:adjustRightInd/>
              <w:snapToGrid/>
              <w:spacing w:beforeAutospacing="0" w:afterAutospacing="0" w:line="240" w:lineRule="auto"/>
              <w:ind w:right="0"/>
              <w:jc w:val="center"/>
              <w:textAlignment w:val="auto"/>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w:t>
            </w:r>
          </w:p>
        </w:tc>
        <w:tc>
          <w:tcPr>
            <w:tcW w:w="881" w:type="dxa"/>
            <w:vAlign w:val="center"/>
          </w:tcPr>
          <w:p w14:paraId="23C66B45">
            <w:pPr>
              <w:keepNext w:val="0"/>
              <w:keepLines w:val="0"/>
              <w:pageBreakBefore w:val="0"/>
              <w:widowControl w:val="0"/>
              <w:kinsoku/>
              <w:wordWrap/>
              <w:overflowPunct/>
              <w:topLinePunct w:val="0"/>
              <w:bidi w:val="0"/>
              <w:adjustRightInd/>
              <w:snapToGrid/>
              <w:spacing w:beforeAutospacing="0" w:afterAutospacing="0" w:line="240" w:lineRule="auto"/>
              <w:ind w:right="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15.37</w:t>
            </w:r>
          </w:p>
        </w:tc>
        <w:tc>
          <w:tcPr>
            <w:tcW w:w="884" w:type="dxa"/>
            <w:vAlign w:val="center"/>
          </w:tcPr>
          <w:p w14:paraId="21A43074">
            <w:pPr>
              <w:keepNext w:val="0"/>
              <w:keepLines w:val="0"/>
              <w:pageBreakBefore w:val="0"/>
              <w:widowControl w:val="0"/>
              <w:kinsoku/>
              <w:wordWrap/>
              <w:overflowPunct/>
              <w:topLinePunct w:val="0"/>
              <w:bidi w:val="0"/>
              <w:adjustRightInd/>
              <w:snapToGrid/>
              <w:spacing w:beforeAutospacing="0" w:afterAutospacing="0" w:line="240" w:lineRule="auto"/>
              <w:ind w:right="0"/>
              <w:jc w:val="center"/>
              <w:textAlignment w:val="auto"/>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w:t>
            </w:r>
          </w:p>
        </w:tc>
        <w:tc>
          <w:tcPr>
            <w:tcW w:w="866" w:type="dxa"/>
            <w:vAlign w:val="center"/>
          </w:tcPr>
          <w:p w14:paraId="55D7EC28">
            <w:pPr>
              <w:keepNext w:val="0"/>
              <w:keepLines w:val="0"/>
              <w:pageBreakBefore w:val="0"/>
              <w:widowControl w:val="0"/>
              <w:kinsoku/>
              <w:wordWrap/>
              <w:overflowPunct/>
              <w:topLinePunct w:val="0"/>
              <w:bidi w:val="0"/>
              <w:adjustRightInd/>
              <w:snapToGrid/>
              <w:spacing w:beforeAutospacing="0" w:afterAutospacing="0" w:line="240" w:lineRule="auto"/>
              <w:ind w:right="0"/>
              <w:jc w:val="center"/>
              <w:textAlignment w:val="auto"/>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w:t>
            </w:r>
          </w:p>
        </w:tc>
        <w:tc>
          <w:tcPr>
            <w:tcW w:w="900" w:type="dxa"/>
            <w:vAlign w:val="center"/>
          </w:tcPr>
          <w:p w14:paraId="6FD03BB6">
            <w:pPr>
              <w:keepNext w:val="0"/>
              <w:keepLines w:val="0"/>
              <w:pageBreakBefore w:val="0"/>
              <w:widowControl w:val="0"/>
              <w:kinsoku/>
              <w:wordWrap/>
              <w:overflowPunct/>
              <w:topLinePunct w:val="0"/>
              <w:bidi w:val="0"/>
              <w:adjustRightInd/>
              <w:snapToGrid/>
              <w:spacing w:beforeAutospacing="0" w:afterAutospacing="0" w:line="240" w:lineRule="auto"/>
              <w:ind w:right="0"/>
              <w:jc w:val="center"/>
              <w:textAlignment w:val="auto"/>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w:t>
            </w:r>
          </w:p>
        </w:tc>
        <w:tc>
          <w:tcPr>
            <w:tcW w:w="850" w:type="dxa"/>
            <w:vAlign w:val="center"/>
          </w:tcPr>
          <w:p w14:paraId="6CBD1971">
            <w:pPr>
              <w:keepNext w:val="0"/>
              <w:keepLines w:val="0"/>
              <w:pageBreakBefore w:val="0"/>
              <w:widowControl w:val="0"/>
              <w:kinsoku/>
              <w:wordWrap/>
              <w:overflowPunct/>
              <w:topLinePunct w:val="0"/>
              <w:bidi w:val="0"/>
              <w:adjustRightInd/>
              <w:snapToGrid/>
              <w:spacing w:beforeAutospacing="0" w:afterAutospacing="0" w:line="240" w:lineRule="auto"/>
              <w:ind w:right="0"/>
              <w:jc w:val="center"/>
              <w:textAlignment w:val="auto"/>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w:t>
            </w:r>
          </w:p>
        </w:tc>
        <w:tc>
          <w:tcPr>
            <w:tcW w:w="918" w:type="dxa"/>
            <w:vAlign w:val="center"/>
          </w:tcPr>
          <w:p w14:paraId="55A5387E">
            <w:pPr>
              <w:keepNext w:val="0"/>
              <w:keepLines w:val="0"/>
              <w:pageBreakBefore w:val="0"/>
              <w:widowControl w:val="0"/>
              <w:kinsoku/>
              <w:wordWrap/>
              <w:overflowPunct/>
              <w:topLinePunct w:val="0"/>
              <w:bidi w:val="0"/>
              <w:adjustRightInd/>
              <w:snapToGrid/>
              <w:spacing w:beforeAutospacing="0" w:afterAutospacing="0" w:line="240" w:lineRule="auto"/>
              <w:ind w:right="0"/>
              <w:jc w:val="center"/>
              <w:textAlignment w:val="auto"/>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w:t>
            </w:r>
          </w:p>
        </w:tc>
      </w:tr>
      <w:tr w14:paraId="4DA50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427" w:type="dxa"/>
            <w:vAlign w:val="center"/>
          </w:tcPr>
          <w:p w14:paraId="5D98D371">
            <w:pPr>
              <w:keepNext w:val="0"/>
              <w:keepLines w:val="0"/>
              <w:pageBreakBefore w:val="0"/>
              <w:widowControl w:val="0"/>
              <w:kinsoku/>
              <w:wordWrap/>
              <w:overflowPunct/>
              <w:topLinePunct w:val="0"/>
              <w:bidi w:val="0"/>
              <w:adjustRightInd/>
              <w:snapToGrid/>
              <w:spacing w:beforeAutospacing="0" w:afterAutospacing="0"/>
              <w:ind w:right="0" w:firstLine="0" w:firstLineChars="0"/>
              <w:jc w:val="center"/>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w:t>
            </w:r>
          </w:p>
        </w:tc>
        <w:tc>
          <w:tcPr>
            <w:tcW w:w="1449" w:type="dxa"/>
            <w:vAlign w:val="center"/>
          </w:tcPr>
          <w:p w14:paraId="6A982847">
            <w:pPr>
              <w:keepNext w:val="0"/>
              <w:keepLines w:val="0"/>
              <w:pageBreakBefore w:val="0"/>
              <w:widowControl w:val="0"/>
              <w:kinsoku/>
              <w:wordWrap/>
              <w:overflowPunct/>
              <w:topLinePunct w:val="0"/>
              <w:bidi w:val="0"/>
              <w:adjustRightInd/>
              <w:snapToGrid/>
              <w:spacing w:beforeAutospacing="0" w:afterAutospacing="0" w:line="360" w:lineRule="auto"/>
              <w:ind w:right="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博物馆厕所</w:t>
            </w:r>
          </w:p>
        </w:tc>
        <w:tc>
          <w:tcPr>
            <w:tcW w:w="1009" w:type="dxa"/>
            <w:vAlign w:val="center"/>
          </w:tcPr>
          <w:p w14:paraId="7352FAC4">
            <w:pPr>
              <w:keepNext w:val="0"/>
              <w:keepLines w:val="0"/>
              <w:pageBreakBefore w:val="0"/>
              <w:widowControl w:val="0"/>
              <w:kinsoku/>
              <w:wordWrap/>
              <w:overflowPunct/>
              <w:topLinePunct w:val="0"/>
              <w:bidi w:val="0"/>
              <w:snapToGrid/>
              <w:spacing w:beforeAutospacing="0" w:afterAutospacing="0" w:line="240" w:lineRule="auto"/>
              <w:ind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42.5</w:t>
            </w:r>
          </w:p>
        </w:tc>
        <w:tc>
          <w:tcPr>
            <w:tcW w:w="883" w:type="dxa"/>
            <w:vAlign w:val="center"/>
          </w:tcPr>
          <w:p w14:paraId="56660C22">
            <w:pPr>
              <w:keepNext w:val="0"/>
              <w:keepLines w:val="0"/>
              <w:pageBreakBefore w:val="0"/>
              <w:widowControl w:val="0"/>
              <w:kinsoku/>
              <w:wordWrap/>
              <w:overflowPunct/>
              <w:topLinePunct w:val="0"/>
              <w:bidi w:val="0"/>
              <w:adjustRightInd/>
              <w:snapToGrid/>
              <w:spacing w:beforeAutospacing="0" w:afterAutospacing="0" w:line="240" w:lineRule="auto"/>
              <w:ind w:right="0"/>
              <w:jc w:val="center"/>
              <w:textAlignment w:val="auto"/>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11</w:t>
            </w:r>
          </w:p>
        </w:tc>
        <w:tc>
          <w:tcPr>
            <w:tcW w:w="867" w:type="dxa"/>
            <w:vAlign w:val="center"/>
          </w:tcPr>
          <w:p w14:paraId="7DCCB5C2">
            <w:pPr>
              <w:keepNext w:val="0"/>
              <w:keepLines w:val="0"/>
              <w:pageBreakBefore w:val="0"/>
              <w:widowControl w:val="0"/>
              <w:kinsoku/>
              <w:wordWrap/>
              <w:overflowPunct/>
              <w:topLinePunct w:val="0"/>
              <w:bidi w:val="0"/>
              <w:adjustRightInd/>
              <w:snapToGrid/>
              <w:spacing w:beforeAutospacing="0" w:afterAutospacing="0" w:line="240" w:lineRule="auto"/>
              <w:ind w:right="0"/>
              <w:jc w:val="center"/>
              <w:textAlignment w:val="auto"/>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w:t>
            </w:r>
          </w:p>
        </w:tc>
        <w:tc>
          <w:tcPr>
            <w:tcW w:w="835" w:type="dxa"/>
            <w:vAlign w:val="center"/>
          </w:tcPr>
          <w:p w14:paraId="05B19F7F">
            <w:pPr>
              <w:keepNext w:val="0"/>
              <w:keepLines w:val="0"/>
              <w:pageBreakBefore w:val="0"/>
              <w:widowControl w:val="0"/>
              <w:kinsoku/>
              <w:wordWrap/>
              <w:overflowPunct/>
              <w:topLinePunct w:val="0"/>
              <w:bidi w:val="0"/>
              <w:adjustRightInd/>
              <w:snapToGrid/>
              <w:spacing w:beforeAutospacing="0" w:afterAutospacing="0" w:line="240" w:lineRule="auto"/>
              <w:ind w:right="0"/>
              <w:jc w:val="center"/>
              <w:textAlignment w:val="auto"/>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w:t>
            </w:r>
          </w:p>
        </w:tc>
        <w:tc>
          <w:tcPr>
            <w:tcW w:w="881" w:type="dxa"/>
            <w:vAlign w:val="center"/>
          </w:tcPr>
          <w:p w14:paraId="1BB0CD91">
            <w:pPr>
              <w:keepNext w:val="0"/>
              <w:keepLines w:val="0"/>
              <w:pageBreakBefore w:val="0"/>
              <w:widowControl w:val="0"/>
              <w:kinsoku/>
              <w:wordWrap/>
              <w:overflowPunct/>
              <w:topLinePunct w:val="0"/>
              <w:bidi w:val="0"/>
              <w:adjustRightInd/>
              <w:snapToGrid/>
              <w:spacing w:beforeAutospacing="0" w:afterAutospacing="0" w:line="240" w:lineRule="auto"/>
              <w:ind w:right="0"/>
              <w:jc w:val="center"/>
              <w:textAlignment w:val="auto"/>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11</w:t>
            </w:r>
          </w:p>
        </w:tc>
        <w:tc>
          <w:tcPr>
            <w:tcW w:w="884" w:type="dxa"/>
            <w:vAlign w:val="center"/>
          </w:tcPr>
          <w:p w14:paraId="349E1838">
            <w:pPr>
              <w:keepNext w:val="0"/>
              <w:keepLines w:val="0"/>
              <w:pageBreakBefore w:val="0"/>
              <w:widowControl w:val="0"/>
              <w:kinsoku/>
              <w:wordWrap/>
              <w:overflowPunct/>
              <w:topLinePunct w:val="0"/>
              <w:bidi w:val="0"/>
              <w:adjustRightInd/>
              <w:snapToGrid/>
              <w:spacing w:beforeAutospacing="0" w:afterAutospacing="0" w:line="240" w:lineRule="auto"/>
              <w:ind w:right="0"/>
              <w:jc w:val="center"/>
              <w:textAlignment w:val="auto"/>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w:t>
            </w:r>
          </w:p>
        </w:tc>
        <w:tc>
          <w:tcPr>
            <w:tcW w:w="866" w:type="dxa"/>
            <w:vAlign w:val="center"/>
          </w:tcPr>
          <w:p w14:paraId="1232C0B1">
            <w:pPr>
              <w:keepNext w:val="0"/>
              <w:keepLines w:val="0"/>
              <w:pageBreakBefore w:val="0"/>
              <w:widowControl w:val="0"/>
              <w:kinsoku/>
              <w:wordWrap/>
              <w:overflowPunct/>
              <w:topLinePunct w:val="0"/>
              <w:bidi w:val="0"/>
              <w:adjustRightInd/>
              <w:snapToGrid/>
              <w:spacing w:beforeAutospacing="0" w:afterAutospacing="0" w:line="240" w:lineRule="auto"/>
              <w:ind w:right="0"/>
              <w:jc w:val="center"/>
              <w:textAlignment w:val="auto"/>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w:t>
            </w:r>
          </w:p>
        </w:tc>
        <w:tc>
          <w:tcPr>
            <w:tcW w:w="900" w:type="dxa"/>
            <w:vAlign w:val="center"/>
          </w:tcPr>
          <w:p w14:paraId="6539B903">
            <w:pPr>
              <w:keepNext w:val="0"/>
              <w:keepLines w:val="0"/>
              <w:pageBreakBefore w:val="0"/>
              <w:widowControl w:val="0"/>
              <w:kinsoku/>
              <w:wordWrap/>
              <w:overflowPunct/>
              <w:topLinePunct w:val="0"/>
              <w:bidi w:val="0"/>
              <w:adjustRightInd/>
              <w:snapToGrid/>
              <w:spacing w:beforeAutospacing="0" w:afterAutospacing="0" w:line="240" w:lineRule="auto"/>
              <w:ind w:right="0"/>
              <w:jc w:val="center"/>
              <w:textAlignment w:val="auto"/>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3.2</w:t>
            </w:r>
          </w:p>
        </w:tc>
        <w:tc>
          <w:tcPr>
            <w:tcW w:w="850" w:type="dxa"/>
            <w:vAlign w:val="center"/>
          </w:tcPr>
          <w:p w14:paraId="0B496D48">
            <w:pPr>
              <w:keepNext w:val="0"/>
              <w:keepLines w:val="0"/>
              <w:pageBreakBefore w:val="0"/>
              <w:widowControl w:val="0"/>
              <w:kinsoku/>
              <w:wordWrap/>
              <w:overflowPunct/>
              <w:topLinePunct w:val="0"/>
              <w:bidi w:val="0"/>
              <w:adjustRightInd/>
              <w:snapToGrid/>
              <w:spacing w:beforeAutospacing="0" w:afterAutospacing="0" w:line="240" w:lineRule="auto"/>
              <w:ind w:right="0"/>
              <w:jc w:val="center"/>
              <w:textAlignment w:val="auto"/>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6.5</w:t>
            </w:r>
          </w:p>
        </w:tc>
        <w:tc>
          <w:tcPr>
            <w:tcW w:w="918" w:type="dxa"/>
            <w:vAlign w:val="center"/>
          </w:tcPr>
          <w:p w14:paraId="2A6C7E2A">
            <w:pPr>
              <w:keepNext w:val="0"/>
              <w:keepLines w:val="0"/>
              <w:pageBreakBefore w:val="0"/>
              <w:widowControl w:val="0"/>
              <w:kinsoku/>
              <w:wordWrap/>
              <w:overflowPunct/>
              <w:topLinePunct w:val="0"/>
              <w:bidi w:val="0"/>
              <w:adjustRightInd/>
              <w:snapToGrid/>
              <w:spacing w:beforeAutospacing="0" w:afterAutospacing="0" w:line="240" w:lineRule="auto"/>
              <w:ind w:right="0"/>
              <w:jc w:val="center"/>
              <w:textAlignment w:val="auto"/>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w:t>
            </w:r>
          </w:p>
        </w:tc>
      </w:tr>
      <w:tr w14:paraId="30AD2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427" w:type="dxa"/>
            <w:vAlign w:val="center"/>
          </w:tcPr>
          <w:p w14:paraId="27E77D56">
            <w:pPr>
              <w:keepNext w:val="0"/>
              <w:keepLines w:val="0"/>
              <w:pageBreakBefore w:val="0"/>
              <w:widowControl w:val="0"/>
              <w:kinsoku/>
              <w:wordWrap/>
              <w:overflowPunct/>
              <w:topLinePunct w:val="0"/>
              <w:bidi w:val="0"/>
              <w:adjustRightInd/>
              <w:snapToGrid/>
              <w:spacing w:beforeAutospacing="0" w:afterAutospacing="0"/>
              <w:ind w:right="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w:t>
            </w:r>
          </w:p>
        </w:tc>
        <w:tc>
          <w:tcPr>
            <w:tcW w:w="1449" w:type="dxa"/>
            <w:vAlign w:val="center"/>
          </w:tcPr>
          <w:p w14:paraId="108FC6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right="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青林湾公厕</w:t>
            </w:r>
          </w:p>
        </w:tc>
        <w:tc>
          <w:tcPr>
            <w:tcW w:w="1009" w:type="dxa"/>
            <w:vAlign w:val="center"/>
          </w:tcPr>
          <w:p w14:paraId="328DEFDC">
            <w:pPr>
              <w:keepNext w:val="0"/>
              <w:keepLines w:val="0"/>
              <w:pageBreakBefore w:val="0"/>
              <w:widowControl w:val="0"/>
              <w:kinsoku/>
              <w:wordWrap/>
              <w:overflowPunct/>
              <w:topLinePunct w:val="0"/>
              <w:bidi w:val="0"/>
              <w:snapToGrid/>
              <w:spacing w:beforeAutospacing="0" w:afterAutospacing="0" w:line="240" w:lineRule="auto"/>
              <w:ind w:right="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110</w:t>
            </w:r>
          </w:p>
        </w:tc>
        <w:tc>
          <w:tcPr>
            <w:tcW w:w="883" w:type="dxa"/>
            <w:vAlign w:val="center"/>
          </w:tcPr>
          <w:p w14:paraId="0CB726DC">
            <w:pPr>
              <w:keepNext w:val="0"/>
              <w:keepLines w:val="0"/>
              <w:pageBreakBefore w:val="0"/>
              <w:widowControl w:val="0"/>
              <w:kinsoku/>
              <w:wordWrap/>
              <w:overflowPunct/>
              <w:topLinePunct w:val="0"/>
              <w:bidi w:val="0"/>
              <w:adjustRightInd/>
              <w:snapToGrid/>
              <w:spacing w:beforeAutospacing="0" w:afterAutospacing="0" w:line="240" w:lineRule="auto"/>
              <w:ind w:right="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40</w:t>
            </w:r>
          </w:p>
        </w:tc>
        <w:tc>
          <w:tcPr>
            <w:tcW w:w="867" w:type="dxa"/>
            <w:vAlign w:val="center"/>
          </w:tcPr>
          <w:p w14:paraId="3DE8BC5B">
            <w:pPr>
              <w:keepNext w:val="0"/>
              <w:keepLines w:val="0"/>
              <w:pageBreakBefore w:val="0"/>
              <w:widowControl w:val="0"/>
              <w:kinsoku/>
              <w:wordWrap/>
              <w:overflowPunct/>
              <w:topLinePunct w:val="0"/>
              <w:bidi w:val="0"/>
              <w:adjustRightInd/>
              <w:snapToGrid/>
              <w:spacing w:beforeAutospacing="0" w:afterAutospacing="0" w:line="240" w:lineRule="auto"/>
              <w:ind w:right="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13</w:t>
            </w:r>
          </w:p>
        </w:tc>
        <w:tc>
          <w:tcPr>
            <w:tcW w:w="835" w:type="dxa"/>
            <w:vAlign w:val="center"/>
          </w:tcPr>
          <w:p w14:paraId="3DCDB345">
            <w:pPr>
              <w:keepNext w:val="0"/>
              <w:keepLines w:val="0"/>
              <w:pageBreakBefore w:val="0"/>
              <w:widowControl w:val="0"/>
              <w:kinsoku/>
              <w:wordWrap/>
              <w:overflowPunct/>
              <w:topLinePunct w:val="0"/>
              <w:bidi w:val="0"/>
              <w:adjustRightInd/>
              <w:snapToGrid/>
              <w:spacing w:beforeAutospacing="0" w:afterAutospacing="0" w:line="240" w:lineRule="auto"/>
              <w:ind w:right="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10</w:t>
            </w:r>
          </w:p>
        </w:tc>
        <w:tc>
          <w:tcPr>
            <w:tcW w:w="881" w:type="dxa"/>
            <w:vAlign w:val="center"/>
          </w:tcPr>
          <w:p w14:paraId="77F6577D">
            <w:pPr>
              <w:keepNext w:val="0"/>
              <w:keepLines w:val="0"/>
              <w:pageBreakBefore w:val="0"/>
              <w:widowControl w:val="0"/>
              <w:kinsoku/>
              <w:wordWrap/>
              <w:overflowPunct/>
              <w:topLinePunct w:val="0"/>
              <w:bidi w:val="0"/>
              <w:adjustRightInd/>
              <w:snapToGrid/>
              <w:spacing w:beforeAutospacing="0" w:afterAutospacing="0" w:line="240" w:lineRule="auto"/>
              <w:ind w:right="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40</w:t>
            </w:r>
          </w:p>
        </w:tc>
        <w:tc>
          <w:tcPr>
            <w:tcW w:w="884" w:type="dxa"/>
            <w:vAlign w:val="center"/>
          </w:tcPr>
          <w:p w14:paraId="4209F944">
            <w:pPr>
              <w:keepNext w:val="0"/>
              <w:keepLines w:val="0"/>
              <w:pageBreakBefore w:val="0"/>
              <w:widowControl w:val="0"/>
              <w:kinsoku/>
              <w:wordWrap/>
              <w:overflowPunct/>
              <w:topLinePunct w:val="0"/>
              <w:bidi w:val="0"/>
              <w:adjustRightInd/>
              <w:snapToGrid/>
              <w:spacing w:beforeAutospacing="0" w:afterAutospacing="0" w:line="240" w:lineRule="auto"/>
              <w:ind w:right="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11</w:t>
            </w:r>
          </w:p>
        </w:tc>
        <w:tc>
          <w:tcPr>
            <w:tcW w:w="866" w:type="dxa"/>
            <w:vAlign w:val="center"/>
          </w:tcPr>
          <w:p w14:paraId="3F8D59FA">
            <w:pPr>
              <w:keepNext w:val="0"/>
              <w:keepLines w:val="0"/>
              <w:pageBreakBefore w:val="0"/>
              <w:widowControl w:val="0"/>
              <w:kinsoku/>
              <w:wordWrap/>
              <w:overflowPunct/>
              <w:topLinePunct w:val="0"/>
              <w:bidi w:val="0"/>
              <w:adjustRightInd/>
              <w:snapToGrid/>
              <w:spacing w:beforeAutospacing="0" w:afterAutospacing="0" w:line="240" w:lineRule="auto"/>
              <w:ind w:right="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5</w:t>
            </w:r>
          </w:p>
        </w:tc>
        <w:tc>
          <w:tcPr>
            <w:tcW w:w="900" w:type="dxa"/>
            <w:vAlign w:val="center"/>
          </w:tcPr>
          <w:p w14:paraId="28576EB5">
            <w:pPr>
              <w:keepNext w:val="0"/>
              <w:keepLines w:val="0"/>
              <w:pageBreakBefore w:val="0"/>
              <w:widowControl w:val="0"/>
              <w:kinsoku/>
              <w:wordWrap/>
              <w:overflowPunct/>
              <w:topLinePunct w:val="0"/>
              <w:bidi w:val="0"/>
              <w:adjustRightInd/>
              <w:snapToGrid/>
              <w:spacing w:beforeAutospacing="0" w:afterAutospacing="0" w:line="240" w:lineRule="auto"/>
              <w:ind w:right="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w:t>
            </w:r>
          </w:p>
        </w:tc>
        <w:tc>
          <w:tcPr>
            <w:tcW w:w="850" w:type="dxa"/>
            <w:vAlign w:val="center"/>
          </w:tcPr>
          <w:p w14:paraId="624499DF">
            <w:pPr>
              <w:keepNext w:val="0"/>
              <w:keepLines w:val="0"/>
              <w:pageBreakBefore w:val="0"/>
              <w:widowControl w:val="0"/>
              <w:kinsoku/>
              <w:wordWrap/>
              <w:overflowPunct/>
              <w:topLinePunct w:val="0"/>
              <w:bidi w:val="0"/>
              <w:adjustRightInd/>
              <w:snapToGrid/>
              <w:spacing w:beforeAutospacing="0" w:afterAutospacing="0" w:line="240" w:lineRule="auto"/>
              <w:ind w:right="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w:t>
            </w:r>
          </w:p>
        </w:tc>
        <w:tc>
          <w:tcPr>
            <w:tcW w:w="918" w:type="dxa"/>
            <w:vAlign w:val="center"/>
          </w:tcPr>
          <w:p w14:paraId="189C70E5">
            <w:pPr>
              <w:keepNext w:val="0"/>
              <w:keepLines w:val="0"/>
              <w:pageBreakBefore w:val="0"/>
              <w:widowControl w:val="0"/>
              <w:kinsoku/>
              <w:wordWrap/>
              <w:overflowPunct/>
              <w:topLinePunct w:val="0"/>
              <w:bidi w:val="0"/>
              <w:adjustRightInd/>
              <w:snapToGrid/>
              <w:spacing w:beforeAutospacing="0" w:afterAutospacing="0" w:line="240" w:lineRule="auto"/>
              <w:ind w:right="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4</w:t>
            </w:r>
          </w:p>
        </w:tc>
      </w:tr>
      <w:tr w14:paraId="7EF12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27" w:type="dxa"/>
            <w:vAlign w:val="center"/>
          </w:tcPr>
          <w:p w14:paraId="012436C0">
            <w:pPr>
              <w:keepNext w:val="0"/>
              <w:keepLines w:val="0"/>
              <w:pageBreakBefore w:val="0"/>
              <w:widowControl w:val="0"/>
              <w:kinsoku/>
              <w:wordWrap/>
              <w:overflowPunct/>
              <w:topLinePunct w:val="0"/>
              <w:bidi w:val="0"/>
              <w:adjustRightInd/>
              <w:snapToGrid/>
              <w:spacing w:beforeAutospacing="0" w:afterAutospacing="0"/>
              <w:ind w:right="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w:t>
            </w:r>
          </w:p>
        </w:tc>
        <w:tc>
          <w:tcPr>
            <w:tcW w:w="1449" w:type="dxa"/>
            <w:vAlign w:val="center"/>
          </w:tcPr>
          <w:p w14:paraId="0C69E930">
            <w:pPr>
              <w:keepNext w:val="0"/>
              <w:keepLines w:val="0"/>
              <w:pageBreakBefore w:val="0"/>
              <w:widowControl w:val="0"/>
              <w:kinsoku/>
              <w:wordWrap/>
              <w:overflowPunct/>
              <w:topLinePunct w:val="0"/>
              <w:bidi w:val="0"/>
              <w:adjustRightInd/>
              <w:snapToGrid/>
              <w:spacing w:beforeAutospacing="0" w:afterAutospacing="0" w:line="360" w:lineRule="auto"/>
              <w:ind w:right="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福民公厕</w:t>
            </w:r>
          </w:p>
        </w:tc>
        <w:tc>
          <w:tcPr>
            <w:tcW w:w="1009" w:type="dxa"/>
            <w:vAlign w:val="center"/>
          </w:tcPr>
          <w:p w14:paraId="79F2E2C4">
            <w:pPr>
              <w:keepNext w:val="0"/>
              <w:keepLines w:val="0"/>
              <w:pageBreakBefore w:val="0"/>
              <w:widowControl w:val="0"/>
              <w:kinsoku/>
              <w:wordWrap/>
              <w:overflowPunct/>
              <w:topLinePunct w:val="0"/>
              <w:bidi w:val="0"/>
              <w:snapToGrid/>
              <w:spacing w:beforeAutospacing="0" w:afterAutospacing="0" w:line="240" w:lineRule="auto"/>
              <w:ind w:right="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120</w:t>
            </w:r>
          </w:p>
        </w:tc>
        <w:tc>
          <w:tcPr>
            <w:tcW w:w="883" w:type="dxa"/>
            <w:vAlign w:val="center"/>
          </w:tcPr>
          <w:p w14:paraId="5ADAE4B8">
            <w:pPr>
              <w:keepNext w:val="0"/>
              <w:keepLines w:val="0"/>
              <w:pageBreakBefore w:val="0"/>
              <w:widowControl w:val="0"/>
              <w:kinsoku/>
              <w:wordWrap/>
              <w:overflowPunct/>
              <w:topLinePunct w:val="0"/>
              <w:bidi w:val="0"/>
              <w:adjustRightInd/>
              <w:snapToGrid/>
              <w:spacing w:beforeAutospacing="0" w:afterAutospacing="0" w:line="240" w:lineRule="auto"/>
              <w:ind w:right="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22</w:t>
            </w:r>
          </w:p>
        </w:tc>
        <w:tc>
          <w:tcPr>
            <w:tcW w:w="867" w:type="dxa"/>
            <w:vAlign w:val="center"/>
          </w:tcPr>
          <w:p w14:paraId="2B4F32C4">
            <w:pPr>
              <w:keepNext w:val="0"/>
              <w:keepLines w:val="0"/>
              <w:pageBreakBefore w:val="0"/>
              <w:widowControl w:val="0"/>
              <w:kinsoku/>
              <w:wordWrap/>
              <w:overflowPunct/>
              <w:topLinePunct w:val="0"/>
              <w:bidi w:val="0"/>
              <w:adjustRightInd/>
              <w:snapToGrid/>
              <w:spacing w:beforeAutospacing="0" w:afterAutospacing="0" w:line="240" w:lineRule="auto"/>
              <w:ind w:right="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w:t>
            </w:r>
          </w:p>
        </w:tc>
        <w:tc>
          <w:tcPr>
            <w:tcW w:w="835" w:type="dxa"/>
            <w:vAlign w:val="center"/>
          </w:tcPr>
          <w:p w14:paraId="5DACD599">
            <w:pPr>
              <w:keepNext w:val="0"/>
              <w:keepLines w:val="0"/>
              <w:pageBreakBefore w:val="0"/>
              <w:widowControl w:val="0"/>
              <w:kinsoku/>
              <w:wordWrap/>
              <w:overflowPunct/>
              <w:topLinePunct w:val="0"/>
              <w:bidi w:val="0"/>
              <w:adjustRightInd/>
              <w:snapToGrid/>
              <w:spacing w:beforeAutospacing="0" w:afterAutospacing="0" w:line="240" w:lineRule="auto"/>
              <w:ind w:right="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w:t>
            </w:r>
          </w:p>
        </w:tc>
        <w:tc>
          <w:tcPr>
            <w:tcW w:w="881" w:type="dxa"/>
            <w:vAlign w:val="center"/>
          </w:tcPr>
          <w:p w14:paraId="293C5C6A">
            <w:pPr>
              <w:keepNext w:val="0"/>
              <w:keepLines w:val="0"/>
              <w:pageBreakBefore w:val="0"/>
              <w:widowControl w:val="0"/>
              <w:kinsoku/>
              <w:wordWrap/>
              <w:overflowPunct/>
              <w:topLinePunct w:val="0"/>
              <w:bidi w:val="0"/>
              <w:adjustRightInd/>
              <w:snapToGrid/>
              <w:spacing w:beforeAutospacing="0" w:afterAutospacing="0" w:line="240" w:lineRule="auto"/>
              <w:ind w:right="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30</w:t>
            </w:r>
          </w:p>
        </w:tc>
        <w:tc>
          <w:tcPr>
            <w:tcW w:w="884" w:type="dxa"/>
            <w:vAlign w:val="center"/>
          </w:tcPr>
          <w:p w14:paraId="4C15C6C9">
            <w:pPr>
              <w:keepNext w:val="0"/>
              <w:keepLines w:val="0"/>
              <w:pageBreakBefore w:val="0"/>
              <w:widowControl w:val="0"/>
              <w:kinsoku/>
              <w:wordWrap/>
              <w:overflowPunct/>
              <w:topLinePunct w:val="0"/>
              <w:bidi w:val="0"/>
              <w:adjustRightInd/>
              <w:snapToGrid/>
              <w:spacing w:beforeAutospacing="0" w:afterAutospacing="0" w:line="240" w:lineRule="auto"/>
              <w:ind w:right="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10</w:t>
            </w:r>
          </w:p>
        </w:tc>
        <w:tc>
          <w:tcPr>
            <w:tcW w:w="866" w:type="dxa"/>
            <w:vAlign w:val="center"/>
          </w:tcPr>
          <w:p w14:paraId="265A6DA0">
            <w:pPr>
              <w:keepNext w:val="0"/>
              <w:keepLines w:val="0"/>
              <w:pageBreakBefore w:val="0"/>
              <w:widowControl w:val="0"/>
              <w:kinsoku/>
              <w:wordWrap/>
              <w:overflowPunct/>
              <w:topLinePunct w:val="0"/>
              <w:bidi w:val="0"/>
              <w:adjustRightInd/>
              <w:snapToGrid/>
              <w:spacing w:beforeAutospacing="0" w:afterAutospacing="0" w:line="240" w:lineRule="auto"/>
              <w:ind w:right="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5.6</w:t>
            </w:r>
          </w:p>
        </w:tc>
        <w:tc>
          <w:tcPr>
            <w:tcW w:w="900" w:type="dxa"/>
            <w:vAlign w:val="center"/>
          </w:tcPr>
          <w:p w14:paraId="1F19EDBA">
            <w:pPr>
              <w:keepNext w:val="0"/>
              <w:keepLines w:val="0"/>
              <w:pageBreakBefore w:val="0"/>
              <w:widowControl w:val="0"/>
              <w:kinsoku/>
              <w:wordWrap/>
              <w:overflowPunct/>
              <w:topLinePunct w:val="0"/>
              <w:bidi w:val="0"/>
              <w:adjustRightInd/>
              <w:snapToGrid/>
              <w:spacing w:beforeAutospacing="0" w:afterAutospacing="0" w:line="240" w:lineRule="auto"/>
              <w:ind w:right="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8</w:t>
            </w:r>
          </w:p>
        </w:tc>
        <w:tc>
          <w:tcPr>
            <w:tcW w:w="850" w:type="dxa"/>
            <w:vAlign w:val="center"/>
          </w:tcPr>
          <w:p w14:paraId="020AD4ED">
            <w:pPr>
              <w:keepNext w:val="0"/>
              <w:keepLines w:val="0"/>
              <w:pageBreakBefore w:val="0"/>
              <w:widowControl w:val="0"/>
              <w:kinsoku/>
              <w:wordWrap/>
              <w:overflowPunct/>
              <w:topLinePunct w:val="0"/>
              <w:bidi w:val="0"/>
              <w:adjustRightInd/>
              <w:snapToGrid/>
              <w:spacing w:beforeAutospacing="0" w:afterAutospacing="0" w:line="240" w:lineRule="auto"/>
              <w:ind w:right="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w:t>
            </w:r>
          </w:p>
        </w:tc>
        <w:tc>
          <w:tcPr>
            <w:tcW w:w="918" w:type="dxa"/>
            <w:vAlign w:val="center"/>
          </w:tcPr>
          <w:p w14:paraId="781FF66A">
            <w:pPr>
              <w:keepNext w:val="0"/>
              <w:keepLines w:val="0"/>
              <w:pageBreakBefore w:val="0"/>
              <w:widowControl w:val="0"/>
              <w:kinsoku/>
              <w:wordWrap/>
              <w:overflowPunct/>
              <w:topLinePunct w:val="0"/>
              <w:bidi w:val="0"/>
              <w:adjustRightInd/>
              <w:snapToGrid/>
              <w:spacing w:beforeAutospacing="0" w:afterAutospacing="0" w:line="240" w:lineRule="auto"/>
              <w:ind w:right="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w:t>
            </w:r>
          </w:p>
        </w:tc>
      </w:tr>
      <w:tr w14:paraId="6136E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27" w:type="dxa"/>
            <w:vAlign w:val="center"/>
          </w:tcPr>
          <w:p w14:paraId="78B80D24">
            <w:pPr>
              <w:keepNext w:val="0"/>
              <w:keepLines w:val="0"/>
              <w:pageBreakBefore w:val="0"/>
              <w:widowControl w:val="0"/>
              <w:kinsoku/>
              <w:wordWrap/>
              <w:overflowPunct/>
              <w:topLinePunct w:val="0"/>
              <w:bidi w:val="0"/>
              <w:adjustRightInd/>
              <w:snapToGrid/>
              <w:spacing w:beforeAutospacing="0" w:afterAutospacing="0"/>
              <w:ind w:right="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相关说明</w:t>
            </w:r>
          </w:p>
        </w:tc>
        <w:tc>
          <w:tcPr>
            <w:tcW w:w="10342" w:type="dxa"/>
            <w:gridSpan w:val="11"/>
            <w:vAlign w:val="center"/>
          </w:tcPr>
          <w:p w14:paraId="53F743A3">
            <w:pP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1.公厕开放时间：24小时开放。</w:t>
            </w:r>
          </w:p>
          <w:p w14:paraId="3E8915B3">
            <w:pPr>
              <w:widowControl w:val="0"/>
              <w:spacing w:line="240" w:lineRule="auto"/>
              <w:jc w:val="both"/>
              <w:rPr>
                <w:rFonts w:hint="default"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0"/>
                <w:sz w:val="24"/>
                <w:szCs w:val="24"/>
                <w:highlight w:val="none"/>
                <w:lang w:val="en-US" w:eastAsia="zh-CN" w:bidi="ar-SA"/>
              </w:rPr>
              <w:t>2.公厕保洁时间：</w:t>
            </w:r>
            <w:r>
              <w:rPr>
                <w:rFonts w:hint="eastAsia" w:ascii="宋体" w:hAnsi="宋体" w:eastAsia="宋体" w:cs="宋体"/>
                <w:b w:val="0"/>
                <w:bCs/>
                <w:color w:val="auto"/>
                <w:kern w:val="2"/>
                <w:sz w:val="24"/>
                <w:szCs w:val="24"/>
                <w:highlight w:val="none"/>
                <w:lang w:val="en-US" w:eastAsia="zh-CN" w:bidi="ar-SA"/>
              </w:rPr>
              <w:t>四月至十一月5:00—22:00，十二月至三月6:00-20:00，其中博物馆厕所同步其开放时间进行保洁。</w:t>
            </w:r>
          </w:p>
          <w:p w14:paraId="7E9BACF1">
            <w:pPr>
              <w:widowControl w:val="0"/>
              <w:ind w:firstLine="0" w:firstLineChars="0"/>
              <w:jc w:val="both"/>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3</w:t>
            </w:r>
            <w:r>
              <w:rPr>
                <w:rFonts w:hint="eastAsia" w:ascii="宋体" w:hAnsi="宋体" w:eastAsia="宋体" w:cs="宋体"/>
                <w:b w:val="0"/>
                <w:bCs/>
                <w:color w:val="auto"/>
                <w:kern w:val="0"/>
                <w:sz w:val="24"/>
                <w:szCs w:val="24"/>
                <w:highlight w:val="none"/>
                <w:lang w:val="en-US" w:eastAsia="zh-CN" w:bidi="ar-SA"/>
              </w:rPr>
              <w:t>.</w:t>
            </w:r>
            <w:r>
              <w:rPr>
                <w:rFonts w:hint="eastAsia" w:ascii="宋体" w:hAnsi="宋体" w:eastAsia="宋体" w:cs="宋体"/>
                <w:bCs/>
                <w:color w:val="auto"/>
                <w:kern w:val="2"/>
                <w:sz w:val="24"/>
                <w:szCs w:val="24"/>
                <w:highlight w:val="none"/>
                <w:lang w:val="en-US" w:eastAsia="zh-CN" w:bidi="ar-SA"/>
              </w:rPr>
              <w:t>厕位计算：</w:t>
            </w:r>
          </w:p>
          <w:p w14:paraId="0E85F57C">
            <w:pPr>
              <w:widowControl w:val="0"/>
              <w:ind w:firstLine="0" w:firstLineChars="0"/>
              <w:jc w:val="both"/>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1）配有母婴室的公厕按每1个母婴室等同于2个厕位；</w:t>
            </w:r>
          </w:p>
          <w:p w14:paraId="2D52067D">
            <w:pPr>
              <w:widowControl w:val="0"/>
              <w:ind w:firstLine="0" w:firstLineChars="0"/>
              <w:jc w:val="both"/>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2）配有第三卫生间的公厕按每1个第三卫生间等同于3个厕位；</w:t>
            </w:r>
          </w:p>
          <w:p w14:paraId="693072CE">
            <w:pP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3）男厕两个小便斗（包括成人及儿童）按等同于1个厕位蹲位；</w:t>
            </w:r>
          </w:p>
          <w:p w14:paraId="395477AE">
            <w:pP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4.达到四星级标准。</w:t>
            </w:r>
          </w:p>
          <w:p w14:paraId="293E2695">
            <w:pPr>
              <w:rPr>
                <w:rFonts w:hint="default"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5.实际合同执行过程中，若因厕所封停、改建等需要核减经费时，需根据设施量清单相应核减金额。</w:t>
            </w:r>
          </w:p>
        </w:tc>
      </w:tr>
    </w:tbl>
    <w:p w14:paraId="2AE9355C">
      <w:pPr>
        <w:widowControl/>
        <w:tabs>
          <w:tab w:val="left" w:pos="851"/>
        </w:tabs>
        <w:adjustRightInd/>
        <w:spacing w:line="360" w:lineRule="auto"/>
        <w:ind w:firstLine="0" w:firstLineChars="0"/>
        <w:rPr>
          <w:rFonts w:hint="default"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（2）其他设施</w:t>
      </w:r>
    </w:p>
    <w:p w14:paraId="1ED81124">
      <w:pPr>
        <w:widowControl/>
        <w:tabs>
          <w:tab w:val="left" w:pos="851"/>
        </w:tabs>
        <w:adjustRightInd/>
        <w:spacing w:line="360" w:lineRule="auto"/>
        <w:outlineLvl w:val="1"/>
        <w:rPr>
          <w:rFonts w:hint="default"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其余主要管理设施量清单详见（附件</w:t>
      </w:r>
      <w:r>
        <w:rPr>
          <w:rFonts w:hint="eastAsia" w:ascii="宋体" w:hAnsi="宋体" w:cs="宋体"/>
          <w:b/>
          <w:color w:val="auto"/>
          <w:kern w:val="0"/>
          <w:sz w:val="24"/>
          <w:highlight w:val="none"/>
          <w:lang w:val="en-US" w:eastAsia="zh-CN"/>
        </w:rPr>
        <w:t xml:space="preserve"> </w:t>
      </w:r>
      <w:r>
        <w:rPr>
          <w:rFonts w:hint="eastAsia" w:ascii="宋体" w:hAnsi="宋体" w:eastAsia="宋体" w:cs="宋体"/>
          <w:b/>
          <w:color w:val="auto"/>
          <w:kern w:val="0"/>
          <w:sz w:val="24"/>
          <w:highlight w:val="none"/>
          <w:lang w:val="en-US" w:eastAsia="zh-CN"/>
        </w:rPr>
        <w:t>设施量清单及编制说明）</w:t>
      </w:r>
    </w:p>
    <w:p w14:paraId="19120DE9">
      <w:pPr>
        <w:widowControl/>
        <w:tabs>
          <w:tab w:val="left" w:pos="851"/>
        </w:tabs>
        <w:adjustRightInd/>
        <w:spacing w:line="360" w:lineRule="auto"/>
        <w:outlineLvl w:val="1"/>
        <w:rPr>
          <w:rFonts w:ascii="宋体" w:hAnsi="宋体" w:eastAsia="宋体" w:cs="宋体"/>
          <w:b/>
          <w:color w:val="auto"/>
          <w:kern w:val="0"/>
          <w:sz w:val="24"/>
          <w:highlight w:val="none"/>
        </w:rPr>
      </w:pPr>
      <w:r>
        <w:rPr>
          <w:rFonts w:hint="eastAsia" w:ascii="宋体" w:hAnsi="宋体" w:eastAsia="宋体" w:cs="宋体"/>
          <w:b/>
          <w:color w:val="auto"/>
          <w:kern w:val="0"/>
          <w:sz w:val="24"/>
          <w:highlight w:val="none"/>
          <w:lang w:val="en-US" w:eastAsia="zh-CN"/>
        </w:rPr>
        <w:t>五</w:t>
      </w:r>
      <w:r>
        <w:rPr>
          <w:rFonts w:hint="eastAsia" w:ascii="宋体" w:hAnsi="宋体" w:eastAsia="宋体" w:cs="宋体"/>
          <w:b/>
          <w:color w:val="auto"/>
          <w:kern w:val="0"/>
          <w:sz w:val="24"/>
          <w:highlight w:val="none"/>
        </w:rPr>
        <w:t>、人员岗位配置要求</w:t>
      </w:r>
    </w:p>
    <w:p w14:paraId="58443BD5">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本项目派驻团队人员分为“管理团队”和“</w:t>
      </w:r>
      <w:r>
        <w:rPr>
          <w:rFonts w:hint="eastAsia" w:ascii="宋体" w:hAnsi="宋体" w:eastAsia="宋体" w:cs="宋体"/>
          <w:bCs/>
          <w:color w:val="auto"/>
          <w:kern w:val="0"/>
          <w:sz w:val="24"/>
          <w:highlight w:val="none"/>
          <w:lang w:eastAsia="zh-CN"/>
        </w:rPr>
        <w:t>作业</w:t>
      </w:r>
      <w:r>
        <w:rPr>
          <w:rFonts w:hint="eastAsia" w:ascii="宋体" w:hAnsi="宋体" w:eastAsia="宋体" w:cs="宋体"/>
          <w:bCs/>
          <w:color w:val="auto"/>
          <w:kern w:val="0"/>
          <w:sz w:val="24"/>
          <w:highlight w:val="none"/>
        </w:rPr>
        <w:t>队伍”。管理团队直接对</w:t>
      </w:r>
      <w:r>
        <w:rPr>
          <w:rFonts w:hint="eastAsia" w:ascii="宋体" w:hAnsi="宋体" w:eastAsia="宋体" w:cs="宋体"/>
          <w:bCs/>
          <w:color w:val="auto"/>
          <w:kern w:val="0"/>
          <w:sz w:val="24"/>
          <w:highlight w:val="none"/>
          <w:lang w:eastAsia="zh-CN"/>
        </w:rPr>
        <w:t>采购人</w:t>
      </w:r>
      <w:r>
        <w:rPr>
          <w:rFonts w:hint="eastAsia" w:ascii="宋体" w:hAnsi="宋体" w:eastAsia="宋体" w:cs="宋体"/>
          <w:bCs/>
          <w:color w:val="auto"/>
          <w:kern w:val="0"/>
          <w:sz w:val="24"/>
          <w:highlight w:val="none"/>
        </w:rPr>
        <w:t>负责，按采购人</w:t>
      </w:r>
      <w:r>
        <w:rPr>
          <w:rFonts w:hint="eastAsia" w:ascii="宋体" w:hAnsi="宋体" w:eastAsia="宋体" w:cs="宋体"/>
          <w:bCs/>
          <w:color w:val="auto"/>
          <w:kern w:val="0"/>
          <w:sz w:val="24"/>
          <w:highlight w:val="none"/>
          <w:lang w:eastAsia="zh-CN"/>
        </w:rPr>
        <w:t>管理部门</w:t>
      </w:r>
      <w:r>
        <w:rPr>
          <w:rFonts w:hint="eastAsia" w:ascii="宋体" w:hAnsi="宋体" w:eastAsia="宋体" w:cs="宋体"/>
          <w:bCs/>
          <w:color w:val="auto"/>
          <w:kern w:val="0"/>
          <w:sz w:val="24"/>
          <w:highlight w:val="none"/>
        </w:rPr>
        <w:t>要求，全面落实好本服务项目，并负责对</w:t>
      </w:r>
      <w:r>
        <w:rPr>
          <w:rFonts w:hint="eastAsia" w:ascii="宋体" w:hAnsi="宋体" w:eastAsia="宋体" w:cs="宋体"/>
          <w:bCs/>
          <w:color w:val="auto"/>
          <w:kern w:val="0"/>
          <w:sz w:val="24"/>
          <w:highlight w:val="none"/>
          <w:lang w:eastAsia="zh-CN"/>
        </w:rPr>
        <w:t>作业队伍</w:t>
      </w:r>
      <w:r>
        <w:rPr>
          <w:rFonts w:hint="eastAsia" w:ascii="宋体" w:hAnsi="宋体" w:eastAsia="宋体" w:cs="宋体"/>
          <w:bCs/>
          <w:color w:val="auto"/>
          <w:kern w:val="0"/>
          <w:sz w:val="24"/>
          <w:highlight w:val="none"/>
        </w:rPr>
        <w:t>的一线作业人员进行聘用、培训、检查、考评，确保项目运营状态和作业质量，实现各专业块状的融合、互动与协作，通过专业化运作，条块管理相结合，确保作业质量达到综合管理考核标准。</w:t>
      </w:r>
      <w:r>
        <w:rPr>
          <w:rFonts w:hint="eastAsia" w:ascii="宋体" w:hAnsi="宋体" w:eastAsia="宋体" w:cs="宋体"/>
          <w:bCs/>
          <w:color w:val="auto"/>
          <w:kern w:val="0"/>
          <w:sz w:val="24"/>
          <w:highlight w:val="none"/>
          <w:lang w:eastAsia="zh-CN"/>
        </w:rPr>
        <w:t>作业</w:t>
      </w:r>
      <w:r>
        <w:rPr>
          <w:rFonts w:hint="eastAsia" w:ascii="宋体" w:hAnsi="宋体" w:eastAsia="宋体" w:cs="宋体"/>
          <w:bCs/>
          <w:color w:val="auto"/>
          <w:kern w:val="0"/>
          <w:sz w:val="24"/>
          <w:highlight w:val="none"/>
        </w:rPr>
        <w:t>队伍对管理团队直接负责，通过专业化运作，条状管理，确保一线作业质量达到采购人管理考核标准。</w:t>
      </w:r>
    </w:p>
    <w:p w14:paraId="7ED567AB">
      <w:pPr>
        <w:widowControl/>
        <w:tabs>
          <w:tab w:val="left" w:pos="851"/>
        </w:tabs>
        <w:adjustRightInd/>
        <w:spacing w:line="360" w:lineRule="auto"/>
        <w:ind w:firstLine="482" w:firstLineChars="200"/>
        <w:rPr>
          <w:rFonts w:hint="eastAsia"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（一）“管理团队”主要职责及岗位设置标准</w:t>
      </w:r>
    </w:p>
    <w:tbl>
      <w:tblPr>
        <w:tblStyle w:val="62"/>
        <w:tblW w:w="94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816"/>
        <w:gridCol w:w="2930"/>
        <w:gridCol w:w="2976"/>
        <w:gridCol w:w="1883"/>
      </w:tblGrid>
      <w:tr w14:paraId="31D4D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833" w:type="dxa"/>
            <w:noWrap w:val="0"/>
            <w:vAlign w:val="center"/>
          </w:tcPr>
          <w:p w14:paraId="366592DD">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岗位名称</w:t>
            </w:r>
          </w:p>
        </w:tc>
        <w:tc>
          <w:tcPr>
            <w:tcW w:w="816" w:type="dxa"/>
            <w:noWrap w:val="0"/>
            <w:vAlign w:val="center"/>
          </w:tcPr>
          <w:p w14:paraId="4298C985">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岗位数量</w:t>
            </w:r>
          </w:p>
        </w:tc>
        <w:tc>
          <w:tcPr>
            <w:tcW w:w="2930" w:type="dxa"/>
            <w:noWrap w:val="0"/>
            <w:vAlign w:val="center"/>
          </w:tcPr>
          <w:p w14:paraId="228B0A40">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岗位职责</w:t>
            </w:r>
          </w:p>
        </w:tc>
        <w:tc>
          <w:tcPr>
            <w:tcW w:w="2976" w:type="dxa"/>
            <w:noWrap w:val="0"/>
            <w:vAlign w:val="center"/>
          </w:tcPr>
          <w:p w14:paraId="47AF86A0">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考勤要求</w:t>
            </w:r>
          </w:p>
        </w:tc>
        <w:tc>
          <w:tcPr>
            <w:tcW w:w="1883" w:type="dxa"/>
            <w:noWrap w:val="0"/>
            <w:vAlign w:val="center"/>
          </w:tcPr>
          <w:p w14:paraId="39534014">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p>
        </w:tc>
      </w:tr>
      <w:tr w14:paraId="053D0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833" w:type="dxa"/>
            <w:noWrap w:val="0"/>
            <w:vAlign w:val="center"/>
          </w:tcPr>
          <w:p w14:paraId="3F8B9C66">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kern w:val="0"/>
                <w:sz w:val="24"/>
                <w:szCs w:val="24"/>
                <w:highlight w:val="none"/>
                <w:lang w:eastAsia="zh-CN"/>
              </w:rPr>
              <w:t>项目负责人</w:t>
            </w:r>
          </w:p>
        </w:tc>
        <w:tc>
          <w:tcPr>
            <w:tcW w:w="816" w:type="dxa"/>
            <w:noWrap w:val="0"/>
            <w:vAlign w:val="center"/>
          </w:tcPr>
          <w:p w14:paraId="3CCB66BB">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930" w:type="dxa"/>
            <w:noWrap w:val="0"/>
            <w:vAlign w:val="center"/>
          </w:tcPr>
          <w:p w14:paraId="1BA0690F">
            <w:pPr>
              <w:keepNext w:val="0"/>
              <w:keepLines w:val="0"/>
              <w:pageBreakBefore w:val="0"/>
              <w:kinsoku/>
              <w:wordWrap/>
              <w:overflowPunct/>
              <w:topLinePunct w:val="0"/>
              <w:autoSpaceDE/>
              <w:autoSpaceDN/>
              <w:bidi w:val="0"/>
              <w:adjustRightInd w:val="0"/>
              <w:snapToGri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负责项目整体管理。</w:t>
            </w:r>
          </w:p>
        </w:tc>
        <w:tc>
          <w:tcPr>
            <w:tcW w:w="2976" w:type="dxa"/>
            <w:noWrap w:val="0"/>
            <w:vAlign w:val="center"/>
          </w:tcPr>
          <w:p w14:paraId="360C3DD9">
            <w:pPr>
              <w:keepNext w:val="0"/>
              <w:keepLines w:val="0"/>
              <w:pageBreakBefore w:val="0"/>
              <w:kinsoku/>
              <w:wordWrap/>
              <w:overflowPunct/>
              <w:topLinePunct w:val="0"/>
              <w:autoSpaceDE/>
              <w:autoSpaceDN/>
              <w:bidi w:val="0"/>
              <w:adjustRightInd w:val="0"/>
              <w:snapToGrid/>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驻点公园，每周在岗</w:t>
            </w:r>
            <w:r>
              <w:rPr>
                <w:rFonts w:hint="eastAsia" w:ascii="宋体" w:hAnsi="宋体" w:eastAsia="宋体" w:cs="宋体"/>
                <w:color w:val="auto"/>
                <w:sz w:val="24"/>
                <w:szCs w:val="24"/>
                <w:highlight w:val="none"/>
                <w:lang w:val="en-US" w:eastAsia="zh-CN"/>
              </w:rPr>
              <w:t>5天</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重大活动、</w:t>
            </w:r>
            <w:r>
              <w:rPr>
                <w:rFonts w:hint="eastAsia" w:ascii="宋体" w:hAnsi="宋体" w:eastAsia="宋体" w:cs="宋体"/>
                <w:color w:val="auto"/>
                <w:kern w:val="0"/>
                <w:sz w:val="24"/>
                <w:szCs w:val="24"/>
                <w:highlight w:val="none"/>
              </w:rPr>
              <w:t>节假日及应急</w:t>
            </w:r>
            <w:r>
              <w:rPr>
                <w:rFonts w:hint="eastAsia" w:ascii="宋体" w:hAnsi="宋体" w:eastAsia="宋体" w:cs="宋体"/>
                <w:color w:val="auto"/>
                <w:kern w:val="0"/>
                <w:sz w:val="24"/>
                <w:szCs w:val="24"/>
                <w:highlight w:val="none"/>
                <w:lang w:eastAsia="zh-CN"/>
              </w:rPr>
              <w:t>响应</w:t>
            </w:r>
            <w:r>
              <w:rPr>
                <w:rFonts w:hint="eastAsia" w:ascii="宋体" w:hAnsi="宋体" w:eastAsia="宋体" w:cs="宋体"/>
                <w:color w:val="auto"/>
                <w:kern w:val="0"/>
                <w:sz w:val="24"/>
                <w:szCs w:val="24"/>
                <w:highlight w:val="none"/>
              </w:rPr>
              <w:t>时期需</w:t>
            </w:r>
            <w:r>
              <w:rPr>
                <w:rFonts w:hint="eastAsia" w:ascii="宋体" w:hAnsi="宋体" w:eastAsia="宋体" w:cs="宋体"/>
                <w:color w:val="auto"/>
                <w:kern w:val="0"/>
                <w:sz w:val="24"/>
                <w:szCs w:val="24"/>
                <w:highlight w:val="none"/>
                <w:lang w:eastAsia="zh-CN"/>
              </w:rPr>
              <w:t>在岗。</w:t>
            </w:r>
          </w:p>
        </w:tc>
        <w:tc>
          <w:tcPr>
            <w:tcW w:w="1883" w:type="dxa"/>
            <w:vMerge w:val="restart"/>
            <w:noWrap w:val="0"/>
            <w:vAlign w:val="center"/>
          </w:tcPr>
          <w:p w14:paraId="4F74E478">
            <w:pPr>
              <w:keepNext w:val="0"/>
              <w:keepLines w:val="0"/>
              <w:pageBreakBefore w:val="0"/>
              <w:kinsoku/>
              <w:wordWrap/>
              <w:overflowPunct/>
              <w:topLinePunct w:val="0"/>
              <w:autoSpaceDE/>
              <w:autoSpaceDN/>
              <w:bidi w:val="0"/>
              <w:adjustRightInd w:val="0"/>
              <w:snapToGrid/>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投标</w:t>
            </w:r>
            <w:r>
              <w:rPr>
                <w:rFonts w:hint="eastAsia" w:ascii="宋体" w:hAnsi="宋体" w:eastAsia="宋体" w:cs="宋体"/>
                <w:color w:val="auto"/>
                <w:sz w:val="24"/>
                <w:szCs w:val="24"/>
                <w:highlight w:val="none"/>
                <w:lang w:eastAsia="zh-CN"/>
              </w:rPr>
              <w:t>人</w:t>
            </w:r>
            <w:r>
              <w:rPr>
                <w:rFonts w:hint="eastAsia" w:ascii="宋体" w:hAnsi="宋体" w:eastAsia="宋体" w:cs="宋体"/>
                <w:color w:val="auto"/>
                <w:sz w:val="24"/>
                <w:szCs w:val="24"/>
                <w:highlight w:val="none"/>
              </w:rPr>
              <w:t>为其缴纳的投标截止时间前3个月</w:t>
            </w:r>
            <w:r>
              <w:rPr>
                <w:rFonts w:hint="eastAsia" w:ascii="宋体" w:hAnsi="宋体" w:eastAsia="宋体" w:cs="宋体"/>
                <w:color w:val="auto"/>
                <w:sz w:val="24"/>
                <w:szCs w:val="24"/>
                <w:highlight w:val="none"/>
                <w:lang w:eastAsia="zh-CN"/>
              </w:rPr>
              <w:t>任意一月</w:t>
            </w:r>
            <w:r>
              <w:rPr>
                <w:rFonts w:hint="eastAsia" w:ascii="宋体" w:hAnsi="宋体" w:eastAsia="宋体" w:cs="宋体"/>
                <w:color w:val="auto"/>
                <w:sz w:val="24"/>
                <w:szCs w:val="24"/>
                <w:highlight w:val="none"/>
              </w:rPr>
              <w:t>的社保证明</w:t>
            </w:r>
            <w:r>
              <w:rPr>
                <w:rFonts w:hint="eastAsia" w:ascii="宋体" w:hAnsi="宋体" w:eastAsia="宋体" w:cs="宋体"/>
                <w:color w:val="auto"/>
                <w:sz w:val="24"/>
                <w:szCs w:val="24"/>
                <w:highlight w:val="none"/>
                <w:lang w:eastAsia="zh-CN"/>
              </w:rPr>
              <w:t>，编入商务技术文件中。</w:t>
            </w:r>
          </w:p>
        </w:tc>
      </w:tr>
      <w:tr w14:paraId="24C24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33" w:type="dxa"/>
            <w:noWrap w:val="0"/>
            <w:vAlign w:val="center"/>
          </w:tcPr>
          <w:p w14:paraId="5E018E59">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eastAsia="zh-CN"/>
              </w:rPr>
              <w:t>园容</w:t>
            </w:r>
            <w:r>
              <w:rPr>
                <w:rFonts w:hint="eastAsia" w:ascii="宋体" w:hAnsi="宋体" w:eastAsia="宋体" w:cs="宋体"/>
                <w:b/>
                <w:bCs/>
                <w:color w:val="auto"/>
                <w:kern w:val="0"/>
                <w:sz w:val="24"/>
                <w:szCs w:val="24"/>
                <w:highlight w:val="none"/>
              </w:rPr>
              <w:t>主管</w:t>
            </w:r>
          </w:p>
        </w:tc>
        <w:tc>
          <w:tcPr>
            <w:tcW w:w="816" w:type="dxa"/>
            <w:noWrap w:val="0"/>
            <w:vAlign w:val="center"/>
          </w:tcPr>
          <w:p w14:paraId="12C99D14">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p>
        </w:tc>
        <w:tc>
          <w:tcPr>
            <w:tcW w:w="2930" w:type="dxa"/>
            <w:noWrap w:val="0"/>
            <w:vAlign w:val="center"/>
          </w:tcPr>
          <w:p w14:paraId="6045038A">
            <w:pPr>
              <w:keepNext w:val="0"/>
              <w:keepLines w:val="0"/>
              <w:pageBreakBefore w:val="0"/>
              <w:kinsoku/>
              <w:wordWrap/>
              <w:overflowPunct/>
              <w:topLinePunct w:val="0"/>
              <w:autoSpaceDE/>
              <w:autoSpaceDN/>
              <w:bidi w:val="0"/>
              <w:adjustRightInd w:val="0"/>
              <w:snapToGrid/>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负责</w:t>
            </w:r>
            <w:r>
              <w:rPr>
                <w:rFonts w:hint="eastAsia" w:ascii="宋体" w:hAnsi="宋体" w:eastAsia="宋体" w:cs="宋体"/>
                <w:color w:val="auto"/>
                <w:sz w:val="24"/>
                <w:szCs w:val="24"/>
                <w:highlight w:val="none"/>
                <w:lang w:eastAsia="zh-CN"/>
              </w:rPr>
              <w:t>管理</w:t>
            </w:r>
            <w:r>
              <w:rPr>
                <w:rFonts w:hint="eastAsia" w:ascii="宋体" w:hAnsi="宋体" w:eastAsia="宋体" w:cs="宋体"/>
                <w:color w:val="auto"/>
                <w:sz w:val="24"/>
                <w:szCs w:val="24"/>
                <w:highlight w:val="none"/>
              </w:rPr>
              <w:t>公园</w:t>
            </w:r>
            <w:r>
              <w:rPr>
                <w:rFonts w:hint="eastAsia" w:ascii="宋体" w:hAnsi="宋体" w:eastAsia="宋体" w:cs="宋体"/>
                <w:color w:val="auto"/>
                <w:sz w:val="24"/>
                <w:szCs w:val="24"/>
                <w:highlight w:val="none"/>
                <w:lang w:eastAsia="zh-CN"/>
              </w:rPr>
              <w:t>日常绿化养护；负责公园接待保障。</w:t>
            </w:r>
          </w:p>
        </w:tc>
        <w:tc>
          <w:tcPr>
            <w:tcW w:w="2976" w:type="dxa"/>
            <w:noWrap w:val="0"/>
            <w:vAlign w:val="center"/>
          </w:tcPr>
          <w:p w14:paraId="1C17B874">
            <w:pPr>
              <w:keepNext w:val="0"/>
              <w:keepLines w:val="0"/>
              <w:pageBreakBefore w:val="0"/>
              <w:kinsoku/>
              <w:wordWrap/>
              <w:overflowPunct/>
              <w:topLinePunct w:val="0"/>
              <w:autoSpaceDE/>
              <w:autoSpaceDN/>
              <w:bidi w:val="0"/>
              <w:adjustRightInd w:val="0"/>
              <w:snapToGrid/>
              <w:jc w:val="left"/>
              <w:textAlignment w:val="auto"/>
              <w:rPr>
                <w:rFonts w:hint="eastAsia" w:ascii="宋体" w:hAnsi="宋体" w:eastAsia="宋体" w:cs="宋体"/>
                <w:color w:val="auto"/>
                <w:sz w:val="24"/>
                <w:szCs w:val="24"/>
                <w:highlight w:val="none"/>
                <w:shd w:val="pct10" w:color="auto" w:fill="FFFFFF"/>
                <w:lang w:eastAsia="zh-CN"/>
              </w:rPr>
            </w:pPr>
            <w:r>
              <w:rPr>
                <w:rFonts w:hint="eastAsia" w:ascii="宋体" w:hAnsi="宋体" w:eastAsia="宋体" w:cs="宋体"/>
                <w:color w:val="auto"/>
                <w:kern w:val="0"/>
                <w:sz w:val="24"/>
                <w:szCs w:val="24"/>
                <w:highlight w:val="none"/>
              </w:rPr>
              <w:t>驻点公园，现场管理。</w:t>
            </w:r>
            <w:r>
              <w:rPr>
                <w:rFonts w:hint="eastAsia" w:ascii="宋体" w:hAnsi="宋体" w:eastAsia="宋体" w:cs="宋体"/>
                <w:color w:val="auto"/>
                <w:sz w:val="24"/>
                <w:szCs w:val="24"/>
                <w:highlight w:val="none"/>
              </w:rPr>
              <w:t>每周在岗</w:t>
            </w:r>
            <w:r>
              <w:rPr>
                <w:rFonts w:hint="eastAsia" w:ascii="宋体" w:hAnsi="宋体" w:eastAsia="宋体" w:cs="宋体"/>
                <w:color w:val="auto"/>
                <w:sz w:val="24"/>
                <w:szCs w:val="24"/>
                <w:highlight w:val="none"/>
                <w:lang w:val="en-US" w:eastAsia="zh-CN"/>
              </w:rPr>
              <w:t>6天</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重大活动、</w:t>
            </w:r>
            <w:r>
              <w:rPr>
                <w:rFonts w:hint="eastAsia" w:ascii="宋体" w:hAnsi="宋体" w:eastAsia="宋体" w:cs="宋体"/>
                <w:color w:val="auto"/>
                <w:kern w:val="0"/>
                <w:sz w:val="24"/>
                <w:szCs w:val="24"/>
                <w:highlight w:val="none"/>
              </w:rPr>
              <w:t>节假日及应急时期需值班</w:t>
            </w:r>
            <w:r>
              <w:rPr>
                <w:rFonts w:hint="eastAsia" w:ascii="宋体" w:hAnsi="宋体" w:eastAsia="宋体" w:cs="宋体"/>
                <w:color w:val="auto"/>
                <w:kern w:val="0"/>
                <w:sz w:val="24"/>
                <w:szCs w:val="24"/>
                <w:highlight w:val="none"/>
                <w:lang w:eastAsia="zh-CN"/>
              </w:rPr>
              <w:t>。</w:t>
            </w:r>
          </w:p>
        </w:tc>
        <w:tc>
          <w:tcPr>
            <w:tcW w:w="1883" w:type="dxa"/>
            <w:vMerge w:val="continue"/>
            <w:noWrap w:val="0"/>
            <w:vAlign w:val="top"/>
          </w:tcPr>
          <w:p w14:paraId="565DAB3F">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color w:val="auto"/>
                <w:sz w:val="24"/>
                <w:szCs w:val="24"/>
                <w:highlight w:val="none"/>
              </w:rPr>
            </w:pPr>
          </w:p>
        </w:tc>
      </w:tr>
      <w:tr w14:paraId="517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833" w:type="dxa"/>
            <w:noWrap w:val="0"/>
            <w:vAlign w:val="center"/>
          </w:tcPr>
          <w:p w14:paraId="0B053B41">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eastAsia="zh-CN"/>
              </w:rPr>
              <w:t>安全</w:t>
            </w:r>
            <w:r>
              <w:rPr>
                <w:rFonts w:hint="eastAsia" w:ascii="宋体" w:hAnsi="宋体" w:eastAsia="宋体" w:cs="宋体"/>
                <w:b/>
                <w:bCs/>
                <w:color w:val="auto"/>
                <w:kern w:val="0"/>
                <w:sz w:val="24"/>
                <w:szCs w:val="24"/>
                <w:highlight w:val="none"/>
              </w:rPr>
              <w:t>主管</w:t>
            </w:r>
          </w:p>
        </w:tc>
        <w:tc>
          <w:tcPr>
            <w:tcW w:w="816" w:type="dxa"/>
            <w:noWrap w:val="0"/>
            <w:vAlign w:val="center"/>
          </w:tcPr>
          <w:p w14:paraId="3D3DEE26">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p>
        </w:tc>
        <w:tc>
          <w:tcPr>
            <w:tcW w:w="2930" w:type="dxa"/>
            <w:noWrap w:val="0"/>
            <w:vAlign w:val="center"/>
          </w:tcPr>
          <w:p w14:paraId="0FF15DD7">
            <w:pPr>
              <w:keepNext w:val="0"/>
              <w:keepLines w:val="0"/>
              <w:pageBreakBefore w:val="0"/>
              <w:kinsoku/>
              <w:wordWrap/>
              <w:overflowPunct/>
              <w:topLinePunct w:val="0"/>
              <w:autoSpaceDE/>
              <w:autoSpaceDN/>
              <w:bidi w:val="0"/>
              <w:adjustRightInd w:val="0"/>
              <w:snapToGri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负责整个项目的安全保卫和安全生产管理工作</w:t>
            </w:r>
            <w:r>
              <w:rPr>
                <w:rFonts w:hint="eastAsia" w:ascii="宋体" w:hAnsi="宋体" w:eastAsia="宋体" w:cs="宋体"/>
                <w:color w:val="auto"/>
                <w:sz w:val="24"/>
                <w:szCs w:val="24"/>
                <w:highlight w:val="none"/>
                <w:lang w:eastAsia="zh-CN"/>
              </w:rPr>
              <w:t>，负责公园应急响应工作</w:t>
            </w:r>
            <w:r>
              <w:rPr>
                <w:rFonts w:hint="eastAsia" w:ascii="宋体" w:hAnsi="宋体" w:eastAsia="宋体" w:cs="宋体"/>
                <w:color w:val="auto"/>
                <w:sz w:val="24"/>
                <w:szCs w:val="24"/>
                <w:highlight w:val="none"/>
              </w:rPr>
              <w:t>，负责公园设施维修管理。</w:t>
            </w:r>
          </w:p>
        </w:tc>
        <w:tc>
          <w:tcPr>
            <w:tcW w:w="2976" w:type="dxa"/>
            <w:noWrap w:val="0"/>
            <w:vAlign w:val="center"/>
          </w:tcPr>
          <w:p w14:paraId="3F1E5BCA">
            <w:pPr>
              <w:keepNext w:val="0"/>
              <w:keepLines w:val="0"/>
              <w:pageBreakBefore w:val="0"/>
              <w:kinsoku/>
              <w:wordWrap/>
              <w:overflowPunct/>
              <w:topLinePunct w:val="0"/>
              <w:autoSpaceDE/>
              <w:autoSpaceDN/>
              <w:bidi w:val="0"/>
              <w:adjustRightInd w:val="0"/>
              <w:snapToGrid/>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驻点公园，现场管理和技术指导。每周在岗</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天，</w:t>
            </w:r>
            <w:r>
              <w:rPr>
                <w:rFonts w:hint="eastAsia" w:ascii="宋体" w:hAnsi="宋体" w:eastAsia="宋体" w:cs="宋体"/>
                <w:color w:val="auto"/>
                <w:sz w:val="24"/>
                <w:szCs w:val="24"/>
                <w:highlight w:val="none"/>
                <w:lang w:eastAsia="zh-CN"/>
              </w:rPr>
              <w:t>重大活动、</w:t>
            </w:r>
            <w:r>
              <w:rPr>
                <w:rFonts w:hint="eastAsia" w:ascii="宋体" w:hAnsi="宋体" w:eastAsia="宋体" w:cs="宋体"/>
                <w:color w:val="auto"/>
                <w:sz w:val="24"/>
                <w:szCs w:val="24"/>
                <w:highlight w:val="none"/>
              </w:rPr>
              <w:t>节假日及应急时期需值班</w:t>
            </w:r>
            <w:r>
              <w:rPr>
                <w:rFonts w:hint="eastAsia" w:ascii="宋体" w:hAnsi="宋体" w:eastAsia="宋体" w:cs="宋体"/>
                <w:color w:val="auto"/>
                <w:sz w:val="24"/>
                <w:szCs w:val="24"/>
                <w:highlight w:val="none"/>
                <w:lang w:eastAsia="zh-CN"/>
              </w:rPr>
              <w:t>。</w:t>
            </w:r>
          </w:p>
        </w:tc>
        <w:tc>
          <w:tcPr>
            <w:tcW w:w="1883" w:type="dxa"/>
            <w:vMerge w:val="continue"/>
            <w:noWrap w:val="0"/>
            <w:vAlign w:val="top"/>
          </w:tcPr>
          <w:p w14:paraId="76E31CAF">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color w:val="auto"/>
                <w:sz w:val="24"/>
                <w:szCs w:val="24"/>
                <w:highlight w:val="none"/>
              </w:rPr>
            </w:pPr>
          </w:p>
        </w:tc>
      </w:tr>
      <w:tr w14:paraId="40F5F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833" w:type="dxa"/>
            <w:noWrap w:val="0"/>
            <w:vAlign w:val="center"/>
          </w:tcPr>
          <w:p w14:paraId="1D05DE24">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kern w:val="0"/>
                <w:sz w:val="24"/>
                <w:szCs w:val="24"/>
                <w:highlight w:val="none"/>
                <w:lang w:eastAsia="zh-CN"/>
              </w:rPr>
              <w:t>文员</w:t>
            </w:r>
          </w:p>
        </w:tc>
        <w:tc>
          <w:tcPr>
            <w:tcW w:w="816" w:type="dxa"/>
            <w:noWrap w:val="0"/>
            <w:vAlign w:val="center"/>
          </w:tcPr>
          <w:p w14:paraId="721BA52C">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2930" w:type="dxa"/>
            <w:noWrap w:val="0"/>
            <w:vAlign w:val="center"/>
          </w:tcPr>
          <w:p w14:paraId="0CFFBD1C">
            <w:pPr>
              <w:keepNext w:val="0"/>
              <w:keepLines w:val="0"/>
              <w:pageBreakBefore w:val="0"/>
              <w:kinsoku/>
              <w:wordWrap/>
              <w:overflowPunct/>
              <w:topLinePunct w:val="0"/>
              <w:autoSpaceDE/>
              <w:autoSpaceDN/>
              <w:bidi w:val="0"/>
              <w:adjustRightInd w:val="0"/>
              <w:snapToGrid/>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负责整个项目的台账管理及资料上报，负责公园</w:t>
            </w:r>
            <w:r>
              <w:rPr>
                <w:rFonts w:hint="eastAsia" w:ascii="宋体" w:hAnsi="宋体" w:eastAsia="宋体" w:cs="宋体"/>
                <w:color w:val="auto"/>
                <w:sz w:val="24"/>
                <w:szCs w:val="24"/>
                <w:highlight w:val="none"/>
              </w:rPr>
              <w:t>宣传和投诉处理</w:t>
            </w:r>
            <w:r>
              <w:rPr>
                <w:rFonts w:hint="eastAsia" w:ascii="宋体" w:hAnsi="宋体" w:eastAsia="宋体" w:cs="宋体"/>
                <w:color w:val="auto"/>
                <w:sz w:val="24"/>
                <w:szCs w:val="24"/>
                <w:highlight w:val="none"/>
                <w:lang w:eastAsia="zh-CN"/>
              </w:rPr>
              <w:t>。</w:t>
            </w:r>
          </w:p>
        </w:tc>
        <w:tc>
          <w:tcPr>
            <w:tcW w:w="2976" w:type="dxa"/>
            <w:noWrap w:val="0"/>
            <w:vAlign w:val="center"/>
          </w:tcPr>
          <w:p w14:paraId="088A9FF9">
            <w:pPr>
              <w:keepNext w:val="0"/>
              <w:keepLines w:val="0"/>
              <w:pageBreakBefore w:val="0"/>
              <w:kinsoku/>
              <w:wordWrap/>
              <w:overflowPunct/>
              <w:topLinePunct w:val="0"/>
              <w:autoSpaceDE/>
              <w:autoSpaceDN/>
              <w:bidi w:val="0"/>
              <w:adjustRightInd w:val="0"/>
              <w:snapToGrid/>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驻点公园，每周在岗</w:t>
            </w:r>
            <w:r>
              <w:rPr>
                <w:rFonts w:hint="eastAsia" w:ascii="宋体" w:hAnsi="宋体" w:eastAsia="宋体" w:cs="宋体"/>
                <w:color w:val="auto"/>
                <w:sz w:val="24"/>
                <w:szCs w:val="24"/>
                <w:highlight w:val="none"/>
                <w:lang w:val="en-US" w:eastAsia="zh-CN"/>
              </w:rPr>
              <w:t>5天。</w:t>
            </w:r>
          </w:p>
        </w:tc>
        <w:tc>
          <w:tcPr>
            <w:tcW w:w="1883" w:type="dxa"/>
            <w:vMerge w:val="continue"/>
            <w:noWrap w:val="0"/>
            <w:vAlign w:val="top"/>
          </w:tcPr>
          <w:p w14:paraId="1A7B5FC2">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color w:val="auto"/>
                <w:sz w:val="24"/>
                <w:szCs w:val="24"/>
                <w:highlight w:val="none"/>
              </w:rPr>
            </w:pPr>
          </w:p>
        </w:tc>
      </w:tr>
      <w:tr w14:paraId="08B55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833" w:type="dxa"/>
            <w:noWrap w:val="0"/>
            <w:vAlign w:val="top"/>
          </w:tcPr>
          <w:p w14:paraId="6F0C0282">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小计</w:t>
            </w:r>
          </w:p>
        </w:tc>
        <w:tc>
          <w:tcPr>
            <w:tcW w:w="816" w:type="dxa"/>
            <w:noWrap w:val="0"/>
            <w:vAlign w:val="top"/>
          </w:tcPr>
          <w:p w14:paraId="7FC2E487">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7789" w:type="dxa"/>
            <w:gridSpan w:val="3"/>
            <w:noWrap w:val="0"/>
            <w:vAlign w:val="top"/>
          </w:tcPr>
          <w:p w14:paraId="63308D7C">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color w:val="auto"/>
                <w:sz w:val="24"/>
                <w:szCs w:val="24"/>
                <w:highlight w:val="none"/>
              </w:rPr>
            </w:pPr>
          </w:p>
        </w:tc>
      </w:tr>
      <w:tr w14:paraId="25F65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833" w:type="dxa"/>
            <w:noWrap w:val="0"/>
            <w:vAlign w:val="center"/>
          </w:tcPr>
          <w:p w14:paraId="5756768D">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kern w:val="0"/>
                <w:sz w:val="24"/>
                <w:szCs w:val="24"/>
                <w:highlight w:val="none"/>
                <w:lang w:eastAsia="zh-CN"/>
              </w:rPr>
              <w:t>主要职责</w:t>
            </w:r>
          </w:p>
          <w:p w14:paraId="6879EE88">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4"/>
                <w:szCs w:val="24"/>
                <w:highlight w:val="none"/>
              </w:rPr>
            </w:pPr>
          </w:p>
        </w:tc>
        <w:tc>
          <w:tcPr>
            <w:tcW w:w="8605" w:type="dxa"/>
            <w:gridSpan w:val="4"/>
            <w:noWrap w:val="0"/>
            <w:vAlign w:val="top"/>
          </w:tcPr>
          <w:p w14:paraId="4B0B6DFD">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1.对</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负责，全面开展好本服务项目；对项目提出完善性建议性意见，供</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参考，以实现本服务项目质量持续改进的目标；配合</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开展公园相关管理活动；</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要求</w:t>
            </w:r>
            <w:r>
              <w:rPr>
                <w:rFonts w:hint="eastAsia" w:ascii="宋体" w:hAnsi="宋体" w:eastAsia="宋体" w:cs="宋体"/>
                <w:color w:val="auto"/>
                <w:kern w:val="0"/>
                <w:sz w:val="24"/>
                <w:szCs w:val="24"/>
                <w:highlight w:val="none"/>
                <w:lang w:eastAsia="zh-CN"/>
              </w:rPr>
              <w:t>的其他</w:t>
            </w:r>
            <w:r>
              <w:rPr>
                <w:rFonts w:hint="eastAsia" w:ascii="宋体" w:hAnsi="宋体" w:eastAsia="宋体" w:cs="宋体"/>
                <w:color w:val="auto"/>
                <w:kern w:val="0"/>
                <w:sz w:val="24"/>
                <w:szCs w:val="24"/>
                <w:highlight w:val="none"/>
              </w:rPr>
              <w:t>与本项目服务内容有关的工作。</w:t>
            </w:r>
          </w:p>
          <w:p w14:paraId="43BA67E5">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2.对</w:t>
            </w:r>
            <w:r>
              <w:rPr>
                <w:rFonts w:hint="eastAsia" w:ascii="宋体" w:hAnsi="宋体" w:eastAsia="宋体" w:cs="宋体"/>
                <w:color w:val="auto"/>
                <w:kern w:val="0"/>
                <w:sz w:val="24"/>
                <w:szCs w:val="24"/>
                <w:highlight w:val="none"/>
                <w:lang w:eastAsia="zh-CN"/>
              </w:rPr>
              <w:t>作业队伍</w:t>
            </w:r>
            <w:r>
              <w:rPr>
                <w:rFonts w:hint="eastAsia" w:ascii="宋体" w:hAnsi="宋体" w:eastAsia="宋体" w:cs="宋体"/>
                <w:color w:val="auto"/>
                <w:kern w:val="0"/>
                <w:sz w:val="24"/>
                <w:szCs w:val="24"/>
                <w:highlight w:val="none"/>
              </w:rPr>
              <w:t>的作业人员进行全面管理，制定各项管理制度，对其开展的各专项工作进行检查、</w:t>
            </w:r>
            <w:r>
              <w:rPr>
                <w:rFonts w:hint="eastAsia" w:ascii="宋体" w:hAnsi="宋体" w:eastAsia="宋体" w:cs="宋体"/>
                <w:color w:val="auto"/>
                <w:kern w:val="0"/>
                <w:sz w:val="24"/>
                <w:szCs w:val="24"/>
                <w:highlight w:val="none"/>
                <w:lang w:eastAsia="zh-CN"/>
              </w:rPr>
              <w:t>考核</w:t>
            </w:r>
            <w:r>
              <w:rPr>
                <w:rFonts w:hint="eastAsia" w:ascii="宋体" w:hAnsi="宋体" w:eastAsia="宋体" w:cs="宋体"/>
                <w:color w:val="auto"/>
                <w:kern w:val="0"/>
                <w:sz w:val="24"/>
                <w:szCs w:val="24"/>
                <w:highlight w:val="none"/>
              </w:rPr>
              <w:t>，确保人员到位、服务质量达标；负责对</w:t>
            </w:r>
            <w:r>
              <w:rPr>
                <w:rFonts w:hint="eastAsia" w:ascii="宋体" w:hAnsi="宋体" w:eastAsia="宋体" w:cs="宋体"/>
                <w:color w:val="auto"/>
                <w:kern w:val="0"/>
                <w:sz w:val="24"/>
                <w:szCs w:val="24"/>
                <w:highlight w:val="none"/>
                <w:lang w:eastAsia="zh-CN"/>
              </w:rPr>
              <w:t>作业队伍</w:t>
            </w:r>
            <w:r>
              <w:rPr>
                <w:rFonts w:hint="eastAsia" w:ascii="宋体" w:hAnsi="宋体" w:eastAsia="宋体" w:cs="宋体"/>
                <w:color w:val="auto"/>
                <w:kern w:val="0"/>
                <w:sz w:val="24"/>
                <w:szCs w:val="24"/>
                <w:highlight w:val="none"/>
              </w:rPr>
              <w:t>人员进行聘用、人员培训、合理分工、应急演练等</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及时妥善解决好</w:t>
            </w:r>
            <w:r>
              <w:rPr>
                <w:rFonts w:hint="eastAsia" w:ascii="宋体" w:hAnsi="宋体" w:eastAsia="宋体" w:cs="宋体"/>
                <w:color w:val="auto"/>
                <w:kern w:val="0"/>
                <w:sz w:val="24"/>
                <w:szCs w:val="24"/>
                <w:highlight w:val="none"/>
                <w:lang w:eastAsia="zh-CN"/>
              </w:rPr>
              <w:t>作业队伍</w:t>
            </w:r>
            <w:r>
              <w:rPr>
                <w:rFonts w:hint="eastAsia" w:ascii="宋体" w:hAnsi="宋体" w:eastAsia="宋体" w:cs="宋体"/>
                <w:color w:val="auto"/>
                <w:kern w:val="0"/>
                <w:sz w:val="24"/>
                <w:szCs w:val="24"/>
                <w:highlight w:val="none"/>
              </w:rPr>
              <w:t>在一线作业中存在的各类问题。</w:t>
            </w:r>
          </w:p>
          <w:p w14:paraId="1A8F8EF1">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3.定期收集市民游客对公园</w:t>
            </w:r>
            <w:r>
              <w:rPr>
                <w:rFonts w:hint="eastAsia" w:ascii="宋体" w:hAnsi="宋体" w:eastAsia="宋体" w:cs="宋体"/>
                <w:color w:val="auto"/>
                <w:kern w:val="0"/>
                <w:sz w:val="24"/>
                <w:szCs w:val="24"/>
                <w:highlight w:val="none"/>
                <w:lang w:eastAsia="zh-CN"/>
              </w:rPr>
              <w:t>综合</w:t>
            </w:r>
            <w:r>
              <w:rPr>
                <w:rFonts w:hint="eastAsia" w:ascii="宋体" w:hAnsi="宋体" w:eastAsia="宋体" w:cs="宋体"/>
                <w:color w:val="auto"/>
                <w:kern w:val="0"/>
                <w:sz w:val="24"/>
                <w:szCs w:val="24"/>
                <w:highlight w:val="none"/>
              </w:rPr>
              <w:t>服务相关的各类意见和建议，对属于本服务项目服务范围内的合理意见和建议，提出相应措施方案，在工作中予以完善改进；对不属于本服务项目服务范围内的，书面整理后反馈</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，并为公园完善改进市民游客服务体验提供技术指导支持。</w:t>
            </w:r>
          </w:p>
          <w:p w14:paraId="565FA049">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要求完成的与本项目服务</w:t>
            </w:r>
            <w:r>
              <w:rPr>
                <w:rFonts w:hint="eastAsia" w:ascii="宋体" w:hAnsi="宋体" w:eastAsia="宋体" w:cs="宋体"/>
                <w:color w:val="auto"/>
                <w:kern w:val="0"/>
                <w:sz w:val="24"/>
                <w:szCs w:val="24"/>
                <w:highlight w:val="none"/>
                <w:lang w:eastAsia="zh-CN"/>
              </w:rPr>
              <w:t>相关的其他</w:t>
            </w:r>
            <w:r>
              <w:rPr>
                <w:rFonts w:hint="eastAsia" w:ascii="宋体" w:hAnsi="宋体" w:eastAsia="宋体" w:cs="宋体"/>
                <w:color w:val="auto"/>
                <w:kern w:val="0"/>
                <w:sz w:val="24"/>
                <w:szCs w:val="24"/>
                <w:highlight w:val="none"/>
              </w:rPr>
              <w:t xml:space="preserve">工作。 </w:t>
            </w:r>
          </w:p>
        </w:tc>
      </w:tr>
      <w:tr w14:paraId="02FA4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833" w:type="dxa"/>
            <w:noWrap w:val="0"/>
            <w:vAlign w:val="center"/>
          </w:tcPr>
          <w:p w14:paraId="0F82F2CA">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eastAsia="zh-CN"/>
              </w:rPr>
              <w:t>具体管理要求</w:t>
            </w:r>
          </w:p>
        </w:tc>
        <w:tc>
          <w:tcPr>
            <w:tcW w:w="8605" w:type="dxa"/>
            <w:gridSpan w:val="4"/>
            <w:noWrap w:val="0"/>
            <w:vAlign w:val="top"/>
          </w:tcPr>
          <w:p w14:paraId="1A6D8A8C">
            <w:pPr>
              <w:keepNext w:val="0"/>
              <w:keepLines w:val="0"/>
              <w:pageBreakBefore w:val="0"/>
              <w:kinsoku/>
              <w:wordWrap/>
              <w:overflowPunct/>
              <w:topLinePunct w:val="0"/>
              <w:autoSpaceDE/>
              <w:autoSpaceDN/>
              <w:bidi w:val="0"/>
              <w:adjustRightInd w:val="0"/>
              <w:snapToGrid/>
              <w:jc w:val="left"/>
              <w:textAlignment w:val="auto"/>
              <w:rPr>
                <w:rFonts w:hint="eastAsia" w:ascii="宋体" w:hAnsi="宋体" w:eastAsia="宋体" w:cs="宋体"/>
                <w:b w:val="0"/>
                <w:bCs w:val="0"/>
                <w:color w:val="auto"/>
                <w:kern w:val="0"/>
                <w:sz w:val="24"/>
                <w:szCs w:val="24"/>
                <w:highlight w:val="none"/>
                <w:lang w:eastAsia="zh-CN"/>
              </w:rPr>
            </w:pPr>
            <w:r>
              <w:rPr>
                <w:rFonts w:hint="eastAsia" w:ascii="宋体" w:hAnsi="宋体" w:eastAsia="宋体" w:cs="宋体"/>
                <w:b w:val="0"/>
                <w:bCs w:val="0"/>
                <w:color w:val="auto"/>
                <w:kern w:val="0"/>
                <w:sz w:val="24"/>
                <w:szCs w:val="24"/>
                <w:highlight w:val="none"/>
                <w:lang w:eastAsia="zh-CN"/>
              </w:rPr>
              <w:t>1.人员备案要求：中标人在上岗后一个月内将人员资料报采购人管理单位备案。变更前须征得采购人同意，如确需更换的（因不可抗力因素、重大疾病、死亡、等原因变更的除外），在满足招标文件的要求下，更换人员需曾参加过同类项目，有工作经验，职称等于或高于被更换人员，变更后7天内完成备案。备案资料包括：人员管理规定、人员岗位表、技术人员资质证明、变更记录。</w:t>
            </w:r>
          </w:p>
          <w:p w14:paraId="378C2E09">
            <w:pPr>
              <w:keepNext w:val="0"/>
              <w:keepLines w:val="0"/>
              <w:pageBreakBefore w:val="0"/>
              <w:kinsoku/>
              <w:wordWrap/>
              <w:overflowPunct/>
              <w:topLinePunct w:val="0"/>
              <w:autoSpaceDE/>
              <w:autoSpaceDN/>
              <w:bidi w:val="0"/>
              <w:adjustRightInd w:val="0"/>
              <w:snapToGrid/>
              <w:jc w:val="left"/>
              <w:textAlignment w:val="auto"/>
              <w:rPr>
                <w:rFonts w:hint="eastAsia" w:ascii="宋体" w:hAnsi="宋体" w:eastAsia="宋体" w:cs="宋体"/>
                <w:b w:val="0"/>
                <w:bCs w:val="0"/>
                <w:color w:val="auto"/>
                <w:kern w:val="0"/>
                <w:sz w:val="24"/>
                <w:szCs w:val="24"/>
                <w:highlight w:val="none"/>
                <w:lang w:eastAsia="zh-CN"/>
              </w:rPr>
            </w:pPr>
            <w:r>
              <w:rPr>
                <w:rFonts w:hint="eastAsia" w:ascii="宋体" w:hAnsi="宋体" w:eastAsia="宋体" w:cs="宋体"/>
                <w:b w:val="0"/>
                <w:bCs w:val="0"/>
                <w:color w:val="auto"/>
                <w:kern w:val="0"/>
                <w:sz w:val="24"/>
                <w:szCs w:val="24"/>
                <w:highlight w:val="none"/>
                <w:lang w:eastAsia="zh-CN"/>
              </w:rPr>
              <w:t>2.以上岗位数为每天需要开展工作的最低岗位数，要求到岗率必须100%。在管理服务期间，采购人将根据名单对现场作业人员进行抽查，发现未按招标文件和合同要求到场服务的，中标人须根据招标文件和合同有关条款承担违约责任。</w:t>
            </w:r>
          </w:p>
          <w:p w14:paraId="04B4A937">
            <w:pPr>
              <w:keepNext w:val="0"/>
              <w:keepLines w:val="0"/>
              <w:pageBreakBefore w:val="0"/>
              <w:kinsoku/>
              <w:wordWrap/>
              <w:overflowPunct/>
              <w:topLinePunct w:val="0"/>
              <w:autoSpaceDE/>
              <w:autoSpaceDN/>
              <w:bidi w:val="0"/>
              <w:adjustRightInd w:val="0"/>
              <w:snapToGrid/>
              <w:jc w:val="left"/>
              <w:textAlignment w:val="auto"/>
              <w:rPr>
                <w:rFonts w:hint="eastAsia" w:ascii="宋体" w:hAnsi="宋体" w:eastAsia="宋体" w:cs="宋体"/>
                <w:b w:val="0"/>
                <w:bCs w:val="0"/>
                <w:color w:val="auto"/>
                <w:kern w:val="0"/>
                <w:sz w:val="24"/>
                <w:szCs w:val="24"/>
                <w:highlight w:val="none"/>
                <w:lang w:eastAsia="zh-CN"/>
              </w:rPr>
            </w:pPr>
            <w:r>
              <w:rPr>
                <w:rFonts w:hint="eastAsia" w:ascii="宋体" w:hAnsi="宋体" w:eastAsia="宋体" w:cs="宋体"/>
                <w:b w:val="0"/>
                <w:bCs w:val="0"/>
                <w:color w:val="auto"/>
                <w:kern w:val="0"/>
                <w:sz w:val="24"/>
                <w:szCs w:val="24"/>
                <w:highlight w:val="none"/>
                <w:lang w:eastAsia="zh-CN"/>
              </w:rPr>
              <w:t>3.中标人必须严格遵守关于劳动合同、工资福利、社保、住房公积金、加班费等有关规定，做好社会治安综合治理等工作，如发生违纪、违法事件，中标人承担一切经济责任和法律责任。中标人不得拖欠员工工资（含加班工资）。</w:t>
            </w:r>
          </w:p>
          <w:p w14:paraId="0E18DB35">
            <w:pPr>
              <w:keepNext w:val="0"/>
              <w:keepLines w:val="0"/>
              <w:pageBreakBefore w:val="0"/>
              <w:kinsoku/>
              <w:wordWrap/>
              <w:overflowPunct/>
              <w:topLinePunct w:val="0"/>
              <w:autoSpaceDE/>
              <w:autoSpaceDN/>
              <w:bidi w:val="0"/>
              <w:adjustRightInd w:val="0"/>
              <w:snapToGrid/>
              <w:jc w:val="left"/>
              <w:textAlignment w:val="auto"/>
              <w:rPr>
                <w:rFonts w:hint="eastAsia" w:ascii="宋体" w:hAnsi="宋体" w:eastAsia="宋体" w:cs="宋体"/>
                <w:b w:val="0"/>
                <w:bCs w:val="0"/>
                <w:color w:val="auto"/>
                <w:kern w:val="0"/>
                <w:sz w:val="24"/>
                <w:szCs w:val="24"/>
                <w:highlight w:val="none"/>
                <w:lang w:eastAsia="zh-CN"/>
              </w:rPr>
            </w:pPr>
            <w:r>
              <w:rPr>
                <w:rFonts w:hint="eastAsia" w:ascii="宋体" w:hAnsi="宋体" w:eastAsia="宋体" w:cs="宋体"/>
                <w:b w:val="0"/>
                <w:bCs w:val="0"/>
                <w:color w:val="auto"/>
                <w:kern w:val="0"/>
                <w:sz w:val="24"/>
                <w:szCs w:val="24"/>
                <w:highlight w:val="none"/>
                <w:lang w:eastAsia="zh-CN"/>
              </w:rPr>
              <w:t>4.作业队伍工作人员工资标准应参考人社部门最新一期指导工资，以保证服务人员的稳定性、积极性和专业性。</w:t>
            </w:r>
          </w:p>
          <w:p w14:paraId="409E7258">
            <w:pPr>
              <w:keepNext w:val="0"/>
              <w:keepLines w:val="0"/>
              <w:pageBreakBefore w:val="0"/>
              <w:kinsoku/>
              <w:wordWrap/>
              <w:overflowPunct/>
              <w:topLinePunct w:val="0"/>
              <w:autoSpaceDE/>
              <w:autoSpaceDN/>
              <w:bidi w:val="0"/>
              <w:adjustRightInd w:val="0"/>
              <w:snapToGrid/>
              <w:jc w:val="left"/>
              <w:textAlignment w:val="auto"/>
              <w:rPr>
                <w:rFonts w:hint="eastAsia" w:ascii="宋体" w:hAnsi="宋体" w:eastAsia="宋体" w:cs="宋体"/>
                <w:b w:val="0"/>
                <w:bCs w:val="0"/>
                <w:color w:val="auto"/>
                <w:kern w:val="0"/>
                <w:sz w:val="24"/>
                <w:szCs w:val="24"/>
                <w:highlight w:val="none"/>
                <w:lang w:eastAsia="zh-CN"/>
              </w:rPr>
            </w:pPr>
            <w:r>
              <w:rPr>
                <w:rFonts w:hint="eastAsia" w:ascii="宋体" w:hAnsi="宋体" w:eastAsia="宋体" w:cs="宋体"/>
                <w:b w:val="0"/>
                <w:bCs w:val="0"/>
                <w:color w:val="auto"/>
                <w:kern w:val="0"/>
                <w:sz w:val="24"/>
                <w:szCs w:val="24"/>
                <w:highlight w:val="none"/>
                <w:lang w:eastAsia="zh-CN"/>
              </w:rPr>
              <w:t>5.在服务期限内，中标人须服从采购人的指挥和合理调整。相关人员不称职、不符合采购人要求的，采购人有权要求更换，中标人须在15日之内更换。</w:t>
            </w:r>
          </w:p>
          <w:p w14:paraId="0064084B">
            <w:pPr>
              <w:keepNext w:val="0"/>
              <w:keepLines w:val="0"/>
              <w:pageBreakBefore w:val="0"/>
              <w:kinsoku/>
              <w:wordWrap/>
              <w:overflowPunct/>
              <w:topLinePunct w:val="0"/>
              <w:autoSpaceDE/>
              <w:autoSpaceDN/>
              <w:bidi w:val="0"/>
              <w:adjustRightInd w:val="0"/>
              <w:snapToGrid/>
              <w:jc w:val="left"/>
              <w:textAlignment w:val="auto"/>
              <w:rPr>
                <w:rFonts w:hint="eastAsia" w:ascii="宋体" w:hAnsi="宋体" w:eastAsia="宋体" w:cs="宋体"/>
                <w:b w:val="0"/>
                <w:bCs w:val="0"/>
                <w:color w:val="auto"/>
                <w:kern w:val="0"/>
                <w:sz w:val="24"/>
                <w:szCs w:val="24"/>
                <w:highlight w:val="none"/>
                <w:lang w:eastAsia="zh-CN"/>
              </w:rPr>
            </w:pPr>
            <w:r>
              <w:rPr>
                <w:rFonts w:hint="eastAsia" w:ascii="宋体" w:hAnsi="宋体" w:eastAsia="宋体" w:cs="宋体"/>
                <w:b w:val="0"/>
                <w:bCs w:val="0"/>
                <w:color w:val="auto"/>
                <w:kern w:val="0"/>
                <w:sz w:val="24"/>
                <w:szCs w:val="24"/>
                <w:highlight w:val="none"/>
                <w:lang w:eastAsia="zh-CN"/>
              </w:rPr>
              <w:t>6.中标人应保证该项目所有员工的年龄满足岗位设定的年龄，未设定年龄要求的应该要满足《劳动法》相关规定。</w:t>
            </w:r>
          </w:p>
          <w:p w14:paraId="3AAC4A4D">
            <w:pPr>
              <w:keepNext w:val="0"/>
              <w:keepLines w:val="0"/>
              <w:pageBreakBefore w:val="0"/>
              <w:kinsoku/>
              <w:wordWrap/>
              <w:overflowPunct/>
              <w:topLinePunct w:val="0"/>
              <w:autoSpaceDE/>
              <w:autoSpaceDN/>
              <w:bidi w:val="0"/>
              <w:adjustRightInd w:val="0"/>
              <w:snapToGrid/>
              <w:jc w:val="left"/>
              <w:textAlignment w:val="auto"/>
              <w:rPr>
                <w:rFonts w:hint="eastAsia" w:ascii="宋体" w:hAnsi="宋体" w:eastAsia="宋体" w:cs="宋体"/>
                <w:b w:val="0"/>
                <w:bCs w:val="0"/>
                <w:color w:val="auto"/>
                <w:kern w:val="0"/>
                <w:sz w:val="24"/>
                <w:szCs w:val="24"/>
                <w:highlight w:val="none"/>
                <w:lang w:eastAsia="zh-CN"/>
              </w:rPr>
            </w:pPr>
            <w:r>
              <w:rPr>
                <w:rFonts w:hint="eastAsia" w:ascii="宋体" w:hAnsi="宋体" w:eastAsia="宋体" w:cs="宋体"/>
                <w:b w:val="0"/>
                <w:bCs w:val="0"/>
                <w:color w:val="auto"/>
                <w:kern w:val="0"/>
                <w:sz w:val="24"/>
                <w:szCs w:val="24"/>
                <w:highlight w:val="none"/>
                <w:lang w:eastAsia="zh-CN"/>
              </w:rPr>
              <w:t>7.工作人员进行工作时必须按要求统一工作服。相同工种必须统一着装样式，按统一设计的样式标准制作，包含不限于全套服装、工作鞋、工作帽、反光衣等。</w:t>
            </w:r>
          </w:p>
          <w:p w14:paraId="6C133EEA">
            <w:pPr>
              <w:keepNext w:val="0"/>
              <w:keepLines w:val="0"/>
              <w:pageBreakBefore w:val="0"/>
              <w:kinsoku/>
              <w:wordWrap/>
              <w:overflowPunct/>
              <w:topLinePunct w:val="0"/>
              <w:autoSpaceDE/>
              <w:autoSpaceDN/>
              <w:bidi w:val="0"/>
              <w:adjustRightInd w:val="0"/>
              <w:snapToGrid/>
              <w:jc w:val="left"/>
              <w:textAlignment w:val="auto"/>
              <w:rPr>
                <w:rFonts w:hint="eastAsia" w:ascii="宋体" w:hAnsi="宋体" w:eastAsia="宋体" w:cs="宋体"/>
                <w:b w:val="0"/>
                <w:bCs w:val="0"/>
                <w:color w:val="auto"/>
                <w:kern w:val="0"/>
                <w:sz w:val="24"/>
                <w:szCs w:val="24"/>
                <w:highlight w:val="none"/>
                <w:lang w:eastAsia="zh-CN"/>
              </w:rPr>
            </w:pPr>
            <w:r>
              <w:rPr>
                <w:rFonts w:hint="eastAsia" w:ascii="宋体" w:hAnsi="宋体" w:eastAsia="宋体" w:cs="宋体"/>
                <w:b w:val="0"/>
                <w:bCs w:val="0"/>
                <w:color w:val="auto"/>
                <w:kern w:val="0"/>
                <w:sz w:val="24"/>
                <w:szCs w:val="24"/>
                <w:highlight w:val="none"/>
                <w:lang w:eastAsia="zh-CN"/>
              </w:rPr>
              <w:t>8.中标人原则上自行解决员工的生活基地，包括上下班的交通工具。中标人应根据公园管理实际情况，组建应急保障队伍，除满足公园需求外，还须服从宁波市园林绿化中心统一指挥调度。</w:t>
            </w:r>
          </w:p>
          <w:p w14:paraId="6A8F2293">
            <w:pPr>
              <w:keepNext w:val="0"/>
              <w:keepLines w:val="0"/>
              <w:pageBreakBefore w:val="0"/>
              <w:kinsoku/>
              <w:wordWrap/>
              <w:overflowPunct/>
              <w:topLinePunct w:val="0"/>
              <w:autoSpaceDE/>
              <w:autoSpaceDN/>
              <w:bidi w:val="0"/>
              <w:adjustRightInd w:val="0"/>
              <w:snapToGrid/>
              <w:jc w:val="left"/>
              <w:textAlignment w:val="auto"/>
              <w:rPr>
                <w:rFonts w:hint="eastAsia" w:ascii="宋体" w:hAnsi="宋体" w:eastAsia="宋体" w:cs="宋体"/>
                <w:b w:val="0"/>
                <w:bCs w:val="0"/>
                <w:color w:val="auto"/>
                <w:kern w:val="0"/>
                <w:sz w:val="24"/>
                <w:szCs w:val="24"/>
                <w:highlight w:val="none"/>
                <w:lang w:eastAsia="zh-CN"/>
              </w:rPr>
            </w:pPr>
            <w:r>
              <w:rPr>
                <w:rFonts w:hint="eastAsia" w:ascii="宋体" w:hAnsi="宋体" w:eastAsia="宋体" w:cs="宋体"/>
                <w:b w:val="0"/>
                <w:bCs w:val="0"/>
                <w:color w:val="auto"/>
                <w:kern w:val="0"/>
                <w:sz w:val="24"/>
                <w:szCs w:val="24"/>
                <w:highlight w:val="none"/>
                <w:lang w:eastAsia="zh-CN"/>
              </w:rPr>
              <w:t>9.中标人负责安排员工参加业务技术的培训学习，应安排岗前培训。岗位人员调整时，新进员工资格应满足岗位任职条件，方可上岗，否则按缺岗扣款。</w:t>
            </w:r>
          </w:p>
          <w:p w14:paraId="638993AC">
            <w:pPr>
              <w:keepNext w:val="0"/>
              <w:keepLines w:val="0"/>
              <w:pageBreakBefore w:val="0"/>
              <w:kinsoku/>
              <w:wordWrap/>
              <w:overflowPunct/>
              <w:topLinePunct w:val="0"/>
              <w:autoSpaceDE/>
              <w:autoSpaceDN/>
              <w:bidi w:val="0"/>
              <w:adjustRightInd w:val="0"/>
              <w:snapToGrid/>
              <w:jc w:val="left"/>
              <w:textAlignment w:val="auto"/>
              <w:rPr>
                <w:rFonts w:hint="eastAsia" w:ascii="宋体" w:hAnsi="宋体" w:eastAsia="宋体" w:cs="宋体"/>
                <w:b w:val="0"/>
                <w:bCs w:val="0"/>
                <w:color w:val="auto"/>
                <w:kern w:val="0"/>
                <w:sz w:val="24"/>
                <w:szCs w:val="24"/>
                <w:highlight w:val="none"/>
                <w:lang w:eastAsia="zh-CN"/>
              </w:rPr>
            </w:pPr>
            <w:r>
              <w:rPr>
                <w:rFonts w:hint="eastAsia" w:ascii="宋体" w:hAnsi="宋体" w:eastAsia="宋体" w:cs="宋体"/>
                <w:b w:val="0"/>
                <w:bCs w:val="0"/>
                <w:color w:val="auto"/>
                <w:kern w:val="0"/>
                <w:sz w:val="24"/>
                <w:szCs w:val="24"/>
                <w:highlight w:val="none"/>
                <w:lang w:eastAsia="zh-CN"/>
              </w:rPr>
              <w:t>10.中标人应根据采购人要求在公园重大活动、花展等期间增派人员。</w:t>
            </w:r>
          </w:p>
          <w:p w14:paraId="174DD300">
            <w:pPr>
              <w:keepNext w:val="0"/>
              <w:keepLines w:val="0"/>
              <w:pageBreakBefore w:val="0"/>
              <w:kinsoku/>
              <w:wordWrap/>
              <w:overflowPunct/>
              <w:topLinePunct w:val="0"/>
              <w:autoSpaceDE/>
              <w:autoSpaceDN/>
              <w:bidi w:val="0"/>
              <w:adjustRightInd w:val="0"/>
              <w:snapToGrid/>
              <w:jc w:val="left"/>
              <w:textAlignment w:val="auto"/>
              <w:rPr>
                <w:rFonts w:hint="eastAsia" w:ascii="宋体" w:hAnsi="宋体" w:eastAsia="宋体" w:cs="宋体"/>
                <w:b w:val="0"/>
                <w:bCs w:val="0"/>
                <w:color w:val="auto"/>
                <w:kern w:val="0"/>
                <w:sz w:val="24"/>
                <w:szCs w:val="24"/>
                <w:highlight w:val="none"/>
                <w:lang w:eastAsia="zh-CN"/>
              </w:rPr>
            </w:pPr>
            <w:r>
              <w:rPr>
                <w:rFonts w:hint="eastAsia" w:ascii="宋体" w:hAnsi="宋体" w:eastAsia="宋体" w:cs="宋体"/>
                <w:b w:val="0"/>
                <w:bCs w:val="0"/>
                <w:color w:val="auto"/>
                <w:kern w:val="0"/>
                <w:sz w:val="24"/>
                <w:szCs w:val="24"/>
                <w:highlight w:val="none"/>
                <w:lang w:eastAsia="zh-CN"/>
              </w:rPr>
              <w:t>11.作业队伍各岗位上岗时间若有调整，根据采购人调整后的要求统一执行。</w:t>
            </w:r>
          </w:p>
          <w:p w14:paraId="7C24CDB6">
            <w:pPr>
              <w:keepNext w:val="0"/>
              <w:keepLines w:val="0"/>
              <w:pageBreakBefore w:val="0"/>
              <w:kinsoku/>
              <w:wordWrap/>
              <w:overflowPunct/>
              <w:topLinePunct w:val="0"/>
              <w:autoSpaceDE/>
              <w:autoSpaceDN/>
              <w:bidi w:val="0"/>
              <w:adjustRightInd w:val="0"/>
              <w:snapToGrid/>
              <w:jc w:val="left"/>
              <w:textAlignment w:val="auto"/>
              <w:rPr>
                <w:rFonts w:hint="eastAsia" w:ascii="宋体" w:hAnsi="宋体" w:eastAsia="宋体" w:cs="宋体"/>
                <w:b/>
                <w:bCs/>
                <w:color w:val="auto"/>
                <w:kern w:val="0"/>
                <w:sz w:val="24"/>
                <w:szCs w:val="24"/>
                <w:highlight w:val="none"/>
                <w:lang w:eastAsia="zh-CN"/>
              </w:rPr>
            </w:pPr>
            <w:r>
              <w:rPr>
                <w:rFonts w:hint="eastAsia" w:ascii="宋体" w:hAnsi="宋体" w:eastAsia="宋体" w:cs="宋体"/>
                <w:b w:val="0"/>
                <w:bCs w:val="0"/>
                <w:color w:val="auto"/>
                <w:kern w:val="0"/>
                <w:sz w:val="24"/>
                <w:szCs w:val="24"/>
                <w:highlight w:val="none"/>
                <w:lang w:eastAsia="zh-CN"/>
              </w:rPr>
              <w:t>12.采购人根据工作需要，有权调整岗位及任职条件。</w:t>
            </w:r>
          </w:p>
        </w:tc>
      </w:tr>
    </w:tbl>
    <w:p w14:paraId="28EC61F6">
      <w:pPr>
        <w:widowControl/>
        <w:tabs>
          <w:tab w:val="left" w:pos="851"/>
        </w:tabs>
        <w:adjustRightInd/>
        <w:spacing w:line="360" w:lineRule="auto"/>
        <w:ind w:firstLine="482" w:firstLineChars="200"/>
        <w:rPr>
          <w:rFonts w:hint="eastAsia"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（二）“作业队伍”主要职责及岗位设置标准</w:t>
      </w:r>
    </w:p>
    <w:p w14:paraId="4974F3DB">
      <w:pPr>
        <w:widowControl/>
        <w:tabs>
          <w:tab w:val="left" w:pos="851"/>
        </w:tabs>
        <w:adjustRightInd/>
        <w:spacing w:line="360" w:lineRule="auto"/>
        <w:ind w:firstLine="482" w:firstLineChars="200"/>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①绿岛公园</w:t>
      </w:r>
    </w:p>
    <w:tbl>
      <w:tblPr>
        <w:tblStyle w:val="62"/>
        <w:tblW w:w="96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993"/>
        <w:gridCol w:w="779"/>
        <w:gridCol w:w="2973"/>
        <w:gridCol w:w="1541"/>
        <w:gridCol w:w="1268"/>
        <w:gridCol w:w="1240"/>
      </w:tblGrid>
      <w:tr w14:paraId="3C0CB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808" w:type="dxa"/>
            <w:vAlign w:val="center"/>
          </w:tcPr>
          <w:p w14:paraId="5C7E202E">
            <w:pPr>
              <w:widowControl/>
              <w:adjustRightInd/>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类别</w:t>
            </w:r>
          </w:p>
        </w:tc>
        <w:tc>
          <w:tcPr>
            <w:tcW w:w="993" w:type="dxa"/>
            <w:vAlign w:val="center"/>
          </w:tcPr>
          <w:p w14:paraId="40A33F4B">
            <w:pPr>
              <w:widowControl/>
              <w:adjustRightInd/>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岗位</w:t>
            </w:r>
          </w:p>
          <w:p w14:paraId="41186A0E">
            <w:pPr>
              <w:widowControl/>
              <w:adjustRightInd/>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名称</w:t>
            </w:r>
          </w:p>
        </w:tc>
        <w:tc>
          <w:tcPr>
            <w:tcW w:w="779" w:type="dxa"/>
            <w:vAlign w:val="center"/>
          </w:tcPr>
          <w:p w14:paraId="091331AA">
            <w:pPr>
              <w:widowControl/>
              <w:adjustRightInd/>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岗位数量</w:t>
            </w:r>
          </w:p>
        </w:tc>
        <w:tc>
          <w:tcPr>
            <w:tcW w:w="2973" w:type="dxa"/>
            <w:vAlign w:val="center"/>
          </w:tcPr>
          <w:p w14:paraId="0837EFB2">
            <w:pPr>
              <w:widowControl/>
              <w:adjustRightInd/>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岗位职责</w:t>
            </w:r>
          </w:p>
        </w:tc>
        <w:tc>
          <w:tcPr>
            <w:tcW w:w="1541" w:type="dxa"/>
            <w:vAlign w:val="center"/>
          </w:tcPr>
          <w:p w14:paraId="3A009744">
            <w:pPr>
              <w:widowControl/>
              <w:adjustRightInd/>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任职条件（执业资格、年龄、工作经验等）</w:t>
            </w:r>
          </w:p>
        </w:tc>
        <w:tc>
          <w:tcPr>
            <w:tcW w:w="1268" w:type="dxa"/>
            <w:vAlign w:val="center"/>
          </w:tcPr>
          <w:p w14:paraId="6C333485">
            <w:pPr>
              <w:widowControl/>
              <w:adjustRightInd/>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上岗时间</w:t>
            </w:r>
          </w:p>
        </w:tc>
        <w:tc>
          <w:tcPr>
            <w:tcW w:w="1240" w:type="dxa"/>
            <w:vAlign w:val="center"/>
          </w:tcPr>
          <w:p w14:paraId="1C8879FC">
            <w:pPr>
              <w:widowControl/>
              <w:adjustRightInd/>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p>
        </w:tc>
      </w:tr>
      <w:tr w14:paraId="78146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808" w:type="dxa"/>
            <w:vAlign w:val="center"/>
          </w:tcPr>
          <w:p w14:paraId="066D9084">
            <w:pPr>
              <w:widowControl/>
              <w:adjustRightInd/>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绿化</w:t>
            </w:r>
          </w:p>
        </w:tc>
        <w:tc>
          <w:tcPr>
            <w:tcW w:w="993" w:type="dxa"/>
            <w:vAlign w:val="center"/>
          </w:tcPr>
          <w:p w14:paraId="01B7547E">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绿化</w:t>
            </w:r>
          </w:p>
          <w:p w14:paraId="7688CC1A">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养护</w:t>
            </w:r>
          </w:p>
        </w:tc>
        <w:tc>
          <w:tcPr>
            <w:tcW w:w="779" w:type="dxa"/>
            <w:vAlign w:val="center"/>
          </w:tcPr>
          <w:p w14:paraId="0315D8BB">
            <w:pPr>
              <w:widowControl/>
              <w:adjustRightInd/>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5</w:t>
            </w:r>
          </w:p>
        </w:tc>
        <w:tc>
          <w:tcPr>
            <w:tcW w:w="2973" w:type="dxa"/>
            <w:vAlign w:val="center"/>
          </w:tcPr>
          <w:p w14:paraId="43E3E401">
            <w:pPr>
              <w:widowControl w:val="0"/>
              <w:ind w:firstLine="0" w:firstLineChars="0"/>
              <w:jc w:val="both"/>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负责园内（含园林博物馆室外绿化）的植物修剪、浇水、施肥、除杂草、植物补植、植物病虫害防治防台防汛等工作；掌握绿化机械设备的使用和对使用的机具进行清洁、保养。</w:t>
            </w:r>
          </w:p>
        </w:tc>
        <w:tc>
          <w:tcPr>
            <w:tcW w:w="1541" w:type="dxa"/>
            <w:vAlign w:val="center"/>
          </w:tcPr>
          <w:p w14:paraId="13C91508">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有相关工作经验，法定工作年龄，且须具备人社部门或者主管部门认证的绿化工或草坪工证书</w:t>
            </w:r>
          </w:p>
        </w:tc>
        <w:tc>
          <w:tcPr>
            <w:tcW w:w="1268" w:type="dxa"/>
            <w:vAlign w:val="center"/>
          </w:tcPr>
          <w:p w14:paraId="2C155A07">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每日在岗不少于8小时</w:t>
            </w:r>
          </w:p>
        </w:tc>
        <w:tc>
          <w:tcPr>
            <w:tcW w:w="1240" w:type="dxa"/>
            <w:vAlign w:val="center"/>
          </w:tcPr>
          <w:p w14:paraId="6FA6F1A4">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绿化工或草坪工证书，允许中标人在合同签订后6个月内配足，否则考核后进行扣罚。</w:t>
            </w:r>
          </w:p>
        </w:tc>
      </w:tr>
      <w:tr w14:paraId="2066C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808" w:type="dxa"/>
            <w:vMerge w:val="restart"/>
            <w:vAlign w:val="center"/>
          </w:tcPr>
          <w:p w14:paraId="3441DF38">
            <w:pPr>
              <w:widowControl/>
              <w:adjustRightInd/>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保洁</w:t>
            </w:r>
          </w:p>
        </w:tc>
        <w:tc>
          <w:tcPr>
            <w:tcW w:w="993" w:type="dxa"/>
            <w:vAlign w:val="center"/>
          </w:tcPr>
          <w:p w14:paraId="54AF9BD0">
            <w:pPr>
              <w:widowControl/>
              <w:adjustRightInd/>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广场铺装深度保洁</w:t>
            </w:r>
          </w:p>
        </w:tc>
        <w:tc>
          <w:tcPr>
            <w:tcW w:w="779" w:type="dxa"/>
            <w:vAlign w:val="center"/>
          </w:tcPr>
          <w:p w14:paraId="63271A43">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2973" w:type="dxa"/>
            <w:vAlign w:val="center"/>
          </w:tcPr>
          <w:p w14:paraId="227E4C9D">
            <w:pPr>
              <w:widowControl/>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负责户外公共区域内广场铺装、路面、绿化的深度保洁，确保公共区域的保洁符合“席地而坐”公园的卫生标准。</w:t>
            </w:r>
          </w:p>
        </w:tc>
        <w:tc>
          <w:tcPr>
            <w:tcW w:w="1541" w:type="dxa"/>
            <w:vAlign w:val="center"/>
          </w:tcPr>
          <w:p w14:paraId="7D435B13">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有相关工作经验，法定工作年龄</w:t>
            </w:r>
          </w:p>
        </w:tc>
        <w:tc>
          <w:tcPr>
            <w:tcW w:w="1268" w:type="dxa"/>
            <w:vAlign w:val="center"/>
          </w:tcPr>
          <w:p w14:paraId="04662B92">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每日在岗不少于</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小时</w:t>
            </w:r>
          </w:p>
        </w:tc>
        <w:tc>
          <w:tcPr>
            <w:tcW w:w="1240" w:type="dxa"/>
            <w:vAlign w:val="center"/>
          </w:tcPr>
          <w:p w14:paraId="0B03CB19">
            <w:pPr>
              <w:widowControl/>
              <w:adjustRightInd/>
              <w:jc w:val="left"/>
              <w:rPr>
                <w:rFonts w:hint="eastAsia" w:ascii="宋体" w:hAnsi="宋体" w:eastAsia="宋体" w:cs="宋体"/>
                <w:color w:val="auto"/>
                <w:sz w:val="24"/>
                <w:szCs w:val="24"/>
                <w:highlight w:val="none"/>
              </w:rPr>
            </w:pPr>
          </w:p>
        </w:tc>
      </w:tr>
      <w:tr w14:paraId="69957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808" w:type="dxa"/>
            <w:vMerge w:val="continue"/>
            <w:vAlign w:val="center"/>
          </w:tcPr>
          <w:p w14:paraId="7353E97B">
            <w:pPr>
              <w:widowControl/>
              <w:adjustRightInd/>
              <w:jc w:val="center"/>
              <w:rPr>
                <w:rFonts w:hint="eastAsia" w:ascii="宋体" w:hAnsi="宋体" w:eastAsia="宋体" w:cs="宋体"/>
                <w:b/>
                <w:bCs/>
                <w:color w:val="auto"/>
                <w:sz w:val="24"/>
                <w:szCs w:val="24"/>
                <w:highlight w:val="none"/>
              </w:rPr>
            </w:pPr>
          </w:p>
        </w:tc>
        <w:tc>
          <w:tcPr>
            <w:tcW w:w="993" w:type="dxa"/>
            <w:vAlign w:val="center"/>
          </w:tcPr>
          <w:p w14:paraId="33224048">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设施深度保洁</w:t>
            </w:r>
          </w:p>
        </w:tc>
        <w:tc>
          <w:tcPr>
            <w:tcW w:w="779" w:type="dxa"/>
            <w:vAlign w:val="center"/>
          </w:tcPr>
          <w:p w14:paraId="10F3F7D8">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973" w:type="dxa"/>
            <w:vAlign w:val="center"/>
          </w:tcPr>
          <w:p w14:paraId="3F53F9E8">
            <w:pPr>
              <w:widowControl/>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负责户外公共区域内建构筑物、城市家具、游乐设施的深度保洁，确保公共区域的保洁符合“席地而坐”公园的卫生标准。</w:t>
            </w:r>
          </w:p>
        </w:tc>
        <w:tc>
          <w:tcPr>
            <w:tcW w:w="1541" w:type="dxa"/>
            <w:vAlign w:val="center"/>
          </w:tcPr>
          <w:p w14:paraId="39FB7CF5">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有相关工作经验，法定工作年龄</w:t>
            </w:r>
          </w:p>
        </w:tc>
        <w:tc>
          <w:tcPr>
            <w:tcW w:w="1268" w:type="dxa"/>
            <w:vAlign w:val="center"/>
          </w:tcPr>
          <w:p w14:paraId="5D43BFA9">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每日在岗不少于8小时</w:t>
            </w:r>
          </w:p>
        </w:tc>
        <w:tc>
          <w:tcPr>
            <w:tcW w:w="1240" w:type="dxa"/>
            <w:vAlign w:val="center"/>
          </w:tcPr>
          <w:p w14:paraId="192DB8C7">
            <w:pPr>
              <w:widowControl/>
              <w:adjustRightInd/>
              <w:jc w:val="left"/>
              <w:rPr>
                <w:rFonts w:hint="eastAsia" w:ascii="宋体" w:hAnsi="宋体" w:eastAsia="宋体" w:cs="宋体"/>
                <w:color w:val="auto"/>
                <w:sz w:val="24"/>
                <w:szCs w:val="24"/>
                <w:highlight w:val="none"/>
              </w:rPr>
            </w:pPr>
          </w:p>
        </w:tc>
      </w:tr>
      <w:tr w14:paraId="5121D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808" w:type="dxa"/>
            <w:vMerge w:val="continue"/>
            <w:vAlign w:val="center"/>
          </w:tcPr>
          <w:p w14:paraId="5800C564">
            <w:pPr>
              <w:widowControl/>
              <w:adjustRightInd/>
              <w:jc w:val="center"/>
              <w:rPr>
                <w:rFonts w:hint="eastAsia" w:ascii="宋体" w:hAnsi="宋体" w:eastAsia="宋体" w:cs="宋体"/>
                <w:b/>
                <w:bCs/>
                <w:color w:val="auto"/>
                <w:sz w:val="24"/>
                <w:szCs w:val="24"/>
                <w:highlight w:val="none"/>
              </w:rPr>
            </w:pPr>
          </w:p>
        </w:tc>
        <w:tc>
          <w:tcPr>
            <w:tcW w:w="993" w:type="dxa"/>
            <w:vAlign w:val="center"/>
          </w:tcPr>
          <w:p w14:paraId="7096A0D8">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公厕</w:t>
            </w:r>
          </w:p>
          <w:p w14:paraId="56E5286B">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保洁</w:t>
            </w:r>
          </w:p>
        </w:tc>
        <w:tc>
          <w:tcPr>
            <w:tcW w:w="779" w:type="dxa"/>
            <w:vAlign w:val="center"/>
          </w:tcPr>
          <w:p w14:paraId="0E8A3DBA">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973" w:type="dxa"/>
            <w:vAlign w:val="center"/>
          </w:tcPr>
          <w:p w14:paraId="7F654305">
            <w:pPr>
              <w:widowControl/>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负责公园公共厕所卫生保洁。</w:t>
            </w:r>
          </w:p>
        </w:tc>
        <w:tc>
          <w:tcPr>
            <w:tcW w:w="1541" w:type="dxa"/>
            <w:vAlign w:val="center"/>
          </w:tcPr>
          <w:p w14:paraId="4808C9B3">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有相关工作经验，法定工作年龄</w:t>
            </w:r>
          </w:p>
        </w:tc>
        <w:tc>
          <w:tcPr>
            <w:tcW w:w="1268" w:type="dxa"/>
            <w:vAlign w:val="center"/>
          </w:tcPr>
          <w:p w14:paraId="402A5782">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每日在岗不少于16小时</w:t>
            </w:r>
          </w:p>
        </w:tc>
        <w:tc>
          <w:tcPr>
            <w:tcW w:w="1240" w:type="dxa"/>
          </w:tcPr>
          <w:p w14:paraId="6F074E4D">
            <w:pPr>
              <w:widowControl/>
              <w:adjustRightInd/>
              <w:jc w:val="center"/>
              <w:rPr>
                <w:rFonts w:hint="eastAsia" w:ascii="宋体" w:hAnsi="宋体" w:eastAsia="宋体" w:cs="宋体"/>
                <w:color w:val="auto"/>
                <w:sz w:val="24"/>
                <w:szCs w:val="24"/>
                <w:highlight w:val="none"/>
              </w:rPr>
            </w:pPr>
          </w:p>
        </w:tc>
      </w:tr>
      <w:tr w14:paraId="7B987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jc w:val="center"/>
        </w:trPr>
        <w:tc>
          <w:tcPr>
            <w:tcW w:w="808" w:type="dxa"/>
            <w:vMerge w:val="continue"/>
            <w:vAlign w:val="center"/>
          </w:tcPr>
          <w:p w14:paraId="0B40F555">
            <w:pPr>
              <w:widowControl/>
              <w:adjustRightInd/>
              <w:jc w:val="center"/>
              <w:rPr>
                <w:rFonts w:hint="eastAsia" w:ascii="宋体" w:hAnsi="宋体" w:eastAsia="宋体" w:cs="宋体"/>
                <w:b/>
                <w:bCs/>
                <w:color w:val="auto"/>
                <w:sz w:val="24"/>
                <w:szCs w:val="24"/>
                <w:highlight w:val="none"/>
              </w:rPr>
            </w:pPr>
          </w:p>
        </w:tc>
        <w:tc>
          <w:tcPr>
            <w:tcW w:w="993" w:type="dxa"/>
            <w:vAlign w:val="center"/>
          </w:tcPr>
          <w:p w14:paraId="4219C0EE">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水域保洁</w:t>
            </w:r>
          </w:p>
        </w:tc>
        <w:tc>
          <w:tcPr>
            <w:tcW w:w="779" w:type="dxa"/>
            <w:vAlign w:val="center"/>
          </w:tcPr>
          <w:p w14:paraId="17B01D7D">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973" w:type="dxa"/>
            <w:vAlign w:val="center"/>
          </w:tcPr>
          <w:p w14:paraId="23395B1E">
            <w:pPr>
              <w:widowControl/>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负责公园水域、内循环区域水域保洁及水质维护</w:t>
            </w:r>
          </w:p>
        </w:tc>
        <w:tc>
          <w:tcPr>
            <w:tcW w:w="1541" w:type="dxa"/>
            <w:vAlign w:val="center"/>
          </w:tcPr>
          <w:p w14:paraId="6A899327">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有相关工作经验，法定工作年龄，会游泳</w:t>
            </w:r>
          </w:p>
        </w:tc>
        <w:tc>
          <w:tcPr>
            <w:tcW w:w="1268" w:type="dxa"/>
            <w:vAlign w:val="center"/>
          </w:tcPr>
          <w:p w14:paraId="6B64AF4E">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每日在岗不少于8小时</w:t>
            </w:r>
          </w:p>
        </w:tc>
        <w:tc>
          <w:tcPr>
            <w:tcW w:w="1240" w:type="dxa"/>
          </w:tcPr>
          <w:p w14:paraId="5D1B7B4D">
            <w:pPr>
              <w:widowControl/>
              <w:adjustRightInd/>
              <w:jc w:val="center"/>
              <w:rPr>
                <w:rFonts w:hint="eastAsia" w:ascii="宋体" w:hAnsi="宋体" w:eastAsia="宋体" w:cs="宋体"/>
                <w:color w:val="auto"/>
                <w:sz w:val="24"/>
                <w:szCs w:val="24"/>
                <w:highlight w:val="none"/>
              </w:rPr>
            </w:pPr>
          </w:p>
        </w:tc>
      </w:tr>
      <w:tr w14:paraId="013F8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808" w:type="dxa"/>
            <w:vMerge w:val="restart"/>
            <w:vAlign w:val="center"/>
          </w:tcPr>
          <w:p w14:paraId="1C0EA690">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安保服务</w:t>
            </w:r>
          </w:p>
        </w:tc>
        <w:tc>
          <w:tcPr>
            <w:tcW w:w="993" w:type="dxa"/>
            <w:vAlign w:val="center"/>
          </w:tcPr>
          <w:p w14:paraId="1C1D3AD4">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保安</w:t>
            </w:r>
            <w:r>
              <w:rPr>
                <w:rFonts w:hint="eastAsia" w:ascii="宋体" w:hAnsi="宋体" w:cs="宋体"/>
                <w:color w:val="auto"/>
                <w:kern w:val="0"/>
                <w:sz w:val="24"/>
                <w:szCs w:val="24"/>
                <w:highlight w:val="none"/>
                <w:lang w:val="en-US" w:eastAsia="zh-CN"/>
              </w:rPr>
              <w:t>员</w:t>
            </w:r>
            <w:r>
              <w:rPr>
                <w:rFonts w:hint="eastAsia" w:ascii="宋体" w:hAnsi="宋体" w:eastAsia="宋体" w:cs="宋体"/>
                <w:color w:val="auto"/>
                <w:kern w:val="0"/>
                <w:sz w:val="24"/>
                <w:szCs w:val="24"/>
                <w:highlight w:val="none"/>
              </w:rPr>
              <w:t>（全天）</w:t>
            </w:r>
          </w:p>
        </w:tc>
        <w:tc>
          <w:tcPr>
            <w:tcW w:w="779" w:type="dxa"/>
            <w:vAlign w:val="center"/>
          </w:tcPr>
          <w:p w14:paraId="440E43CA">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2973" w:type="dxa"/>
            <w:vMerge w:val="restart"/>
            <w:vAlign w:val="center"/>
          </w:tcPr>
          <w:p w14:paraId="4F4A2E2F">
            <w:pPr>
              <w:widowControl/>
              <w:adjustRightInd/>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负责园区安全生产，维护园区游客秩序工作；</w:t>
            </w:r>
            <w:r>
              <w:rPr>
                <w:rFonts w:hint="eastAsia" w:ascii="宋体" w:hAnsi="宋体" w:eastAsia="宋体" w:cs="宋体"/>
                <w:color w:val="auto"/>
                <w:sz w:val="24"/>
                <w:szCs w:val="24"/>
                <w:highlight w:val="none"/>
                <w:shd w:val="clear" w:color="auto" w:fill="FFFFFF"/>
                <w:lang w:val="zh-TW" w:bidi="zh-TW"/>
              </w:rPr>
              <w:t>负责</w:t>
            </w:r>
            <w:r>
              <w:rPr>
                <w:rFonts w:hint="eastAsia" w:ascii="宋体" w:hAnsi="宋体" w:eastAsia="宋体" w:cs="宋体"/>
                <w:color w:val="auto"/>
                <w:sz w:val="24"/>
                <w:szCs w:val="24"/>
                <w:highlight w:val="none"/>
                <w:shd w:val="clear" w:color="auto" w:fill="FFFFFF"/>
                <w:lang w:bidi="zh-TW"/>
              </w:rPr>
              <w:t>监控室24小时管理。</w:t>
            </w:r>
          </w:p>
        </w:tc>
        <w:tc>
          <w:tcPr>
            <w:tcW w:w="1541" w:type="dxa"/>
            <w:vMerge w:val="restart"/>
            <w:vAlign w:val="center"/>
          </w:tcPr>
          <w:p w14:paraId="259D792A">
            <w:pPr>
              <w:widowControl/>
              <w:adjustRightInd/>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有相关工作经验。55</w:t>
            </w:r>
            <w:r>
              <w:rPr>
                <w:rFonts w:hint="eastAsia" w:ascii="宋体" w:hAnsi="宋体" w:eastAsia="宋体" w:cs="宋体"/>
                <w:color w:val="auto"/>
                <w:sz w:val="24"/>
                <w:szCs w:val="24"/>
                <w:highlight w:val="none"/>
              </w:rPr>
              <w:t>周岁</w:t>
            </w:r>
            <w:r>
              <w:rPr>
                <w:rFonts w:hint="eastAsia" w:ascii="宋体" w:hAnsi="宋体" w:eastAsia="宋体" w:cs="宋体"/>
                <w:color w:val="auto"/>
                <w:kern w:val="0"/>
                <w:sz w:val="24"/>
                <w:szCs w:val="24"/>
                <w:highlight w:val="none"/>
              </w:rPr>
              <w:t>以下。</w:t>
            </w:r>
          </w:p>
          <w:p w14:paraId="08D91C0F">
            <w:pPr>
              <w:widowControl/>
              <w:adjustRightInd/>
              <w:rPr>
                <w:rFonts w:hint="eastAsia" w:ascii="宋体" w:hAnsi="宋体" w:eastAsia="宋体" w:cs="宋体"/>
                <w:color w:val="auto"/>
                <w:kern w:val="0"/>
                <w:sz w:val="24"/>
                <w:szCs w:val="24"/>
                <w:highlight w:val="none"/>
              </w:rPr>
            </w:pPr>
          </w:p>
        </w:tc>
        <w:tc>
          <w:tcPr>
            <w:tcW w:w="1268" w:type="dxa"/>
            <w:vAlign w:val="center"/>
          </w:tcPr>
          <w:p w14:paraId="3840DA10">
            <w:pPr>
              <w:widowControl/>
              <w:adjustRightInd/>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每日24小时在岗</w:t>
            </w:r>
          </w:p>
        </w:tc>
        <w:tc>
          <w:tcPr>
            <w:tcW w:w="1240" w:type="dxa"/>
            <w:vMerge w:val="restart"/>
            <w:vAlign w:val="center"/>
          </w:tcPr>
          <w:p w14:paraId="3F102C09">
            <w:pPr>
              <w:widowControl/>
              <w:adjustRightInd/>
              <w:jc w:val="left"/>
              <w:rPr>
                <w:rFonts w:hint="eastAsia" w:ascii="宋体" w:hAnsi="宋体" w:eastAsia="宋体" w:cs="宋体"/>
                <w:color w:val="auto"/>
                <w:kern w:val="0"/>
                <w:sz w:val="24"/>
                <w:szCs w:val="24"/>
                <w:highlight w:val="none"/>
              </w:rPr>
            </w:pPr>
          </w:p>
        </w:tc>
      </w:tr>
      <w:tr w14:paraId="6F4D7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08" w:type="dxa"/>
            <w:vMerge w:val="continue"/>
            <w:vAlign w:val="center"/>
          </w:tcPr>
          <w:p w14:paraId="78F60225">
            <w:pPr>
              <w:widowControl/>
              <w:adjustRightInd/>
              <w:jc w:val="center"/>
              <w:rPr>
                <w:rFonts w:hint="eastAsia" w:ascii="宋体" w:hAnsi="宋体" w:eastAsia="宋体" w:cs="宋体"/>
                <w:b/>
                <w:bCs/>
                <w:color w:val="auto"/>
                <w:kern w:val="0"/>
                <w:sz w:val="24"/>
                <w:szCs w:val="24"/>
                <w:highlight w:val="none"/>
              </w:rPr>
            </w:pPr>
          </w:p>
        </w:tc>
        <w:tc>
          <w:tcPr>
            <w:tcW w:w="993" w:type="dxa"/>
            <w:vAlign w:val="center"/>
          </w:tcPr>
          <w:p w14:paraId="7B8CF171">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保安员（日间）</w:t>
            </w:r>
          </w:p>
        </w:tc>
        <w:tc>
          <w:tcPr>
            <w:tcW w:w="779" w:type="dxa"/>
            <w:vAlign w:val="center"/>
          </w:tcPr>
          <w:p w14:paraId="50265F27">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2973" w:type="dxa"/>
            <w:vMerge w:val="continue"/>
            <w:vAlign w:val="center"/>
          </w:tcPr>
          <w:p w14:paraId="1BBE37F4">
            <w:pPr>
              <w:widowControl/>
              <w:adjustRightInd/>
              <w:rPr>
                <w:rFonts w:hint="eastAsia" w:ascii="宋体" w:hAnsi="宋体" w:eastAsia="宋体" w:cs="宋体"/>
                <w:color w:val="auto"/>
                <w:kern w:val="0"/>
                <w:sz w:val="24"/>
                <w:szCs w:val="24"/>
                <w:highlight w:val="none"/>
              </w:rPr>
            </w:pPr>
          </w:p>
        </w:tc>
        <w:tc>
          <w:tcPr>
            <w:tcW w:w="1541" w:type="dxa"/>
            <w:vMerge w:val="continue"/>
            <w:vAlign w:val="center"/>
          </w:tcPr>
          <w:p w14:paraId="48B19FB3">
            <w:pPr>
              <w:widowControl/>
              <w:adjustRightInd/>
              <w:jc w:val="left"/>
              <w:rPr>
                <w:rFonts w:hint="eastAsia" w:ascii="宋体" w:hAnsi="宋体" w:eastAsia="宋体" w:cs="宋体"/>
                <w:color w:val="auto"/>
                <w:kern w:val="0"/>
                <w:sz w:val="24"/>
                <w:szCs w:val="24"/>
                <w:highlight w:val="none"/>
              </w:rPr>
            </w:pPr>
          </w:p>
        </w:tc>
        <w:tc>
          <w:tcPr>
            <w:tcW w:w="1268" w:type="dxa"/>
            <w:vAlign w:val="center"/>
          </w:tcPr>
          <w:p w14:paraId="2DF9F60F">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每日12小时在岗</w:t>
            </w:r>
          </w:p>
        </w:tc>
        <w:tc>
          <w:tcPr>
            <w:tcW w:w="1240" w:type="dxa"/>
            <w:vMerge w:val="continue"/>
            <w:vAlign w:val="center"/>
          </w:tcPr>
          <w:p w14:paraId="15346AA4">
            <w:pPr>
              <w:widowControl/>
              <w:adjustRightInd/>
              <w:rPr>
                <w:rFonts w:hint="eastAsia" w:ascii="宋体" w:hAnsi="宋体" w:eastAsia="宋体" w:cs="宋体"/>
                <w:color w:val="auto"/>
                <w:kern w:val="0"/>
                <w:sz w:val="24"/>
                <w:szCs w:val="24"/>
                <w:highlight w:val="none"/>
              </w:rPr>
            </w:pPr>
          </w:p>
        </w:tc>
      </w:tr>
      <w:tr w14:paraId="4192D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808" w:type="dxa"/>
          </w:tcPr>
          <w:p w14:paraId="78900619">
            <w:pPr>
              <w:widowControl/>
              <w:adjustRightInd/>
              <w:jc w:val="center"/>
              <w:rPr>
                <w:rFonts w:hint="eastAsia" w:ascii="宋体" w:hAnsi="宋体" w:eastAsia="宋体" w:cs="宋体"/>
                <w:color w:val="auto"/>
                <w:kern w:val="0"/>
                <w:sz w:val="24"/>
                <w:szCs w:val="24"/>
                <w:highlight w:val="none"/>
              </w:rPr>
            </w:pPr>
          </w:p>
        </w:tc>
        <w:tc>
          <w:tcPr>
            <w:tcW w:w="993" w:type="dxa"/>
          </w:tcPr>
          <w:p w14:paraId="75A9477D">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小计</w:t>
            </w:r>
          </w:p>
        </w:tc>
        <w:tc>
          <w:tcPr>
            <w:tcW w:w="779" w:type="dxa"/>
          </w:tcPr>
          <w:p w14:paraId="6964CE6E">
            <w:pPr>
              <w:widowControl/>
              <w:adjustRightInd/>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6</w:t>
            </w:r>
          </w:p>
        </w:tc>
        <w:tc>
          <w:tcPr>
            <w:tcW w:w="2973" w:type="dxa"/>
          </w:tcPr>
          <w:p w14:paraId="14A8920F">
            <w:pPr>
              <w:widowControl/>
              <w:adjustRightInd/>
              <w:jc w:val="center"/>
              <w:rPr>
                <w:rFonts w:hint="eastAsia" w:ascii="宋体" w:hAnsi="宋体" w:eastAsia="宋体" w:cs="宋体"/>
                <w:color w:val="auto"/>
                <w:kern w:val="0"/>
                <w:sz w:val="24"/>
                <w:szCs w:val="24"/>
                <w:highlight w:val="none"/>
              </w:rPr>
            </w:pPr>
          </w:p>
        </w:tc>
        <w:tc>
          <w:tcPr>
            <w:tcW w:w="1541" w:type="dxa"/>
          </w:tcPr>
          <w:p w14:paraId="1CE3DED6">
            <w:pPr>
              <w:widowControl/>
              <w:adjustRightInd/>
              <w:jc w:val="center"/>
              <w:rPr>
                <w:rFonts w:hint="eastAsia" w:ascii="宋体" w:hAnsi="宋体" w:eastAsia="宋体" w:cs="宋体"/>
                <w:color w:val="auto"/>
                <w:kern w:val="0"/>
                <w:sz w:val="24"/>
                <w:szCs w:val="24"/>
                <w:highlight w:val="none"/>
              </w:rPr>
            </w:pPr>
          </w:p>
        </w:tc>
        <w:tc>
          <w:tcPr>
            <w:tcW w:w="1268" w:type="dxa"/>
          </w:tcPr>
          <w:p w14:paraId="1FE11884">
            <w:pPr>
              <w:widowControl/>
              <w:adjustRightInd/>
              <w:jc w:val="center"/>
              <w:rPr>
                <w:rFonts w:hint="eastAsia" w:ascii="宋体" w:hAnsi="宋体" w:eastAsia="宋体" w:cs="宋体"/>
                <w:color w:val="auto"/>
                <w:kern w:val="0"/>
                <w:sz w:val="24"/>
                <w:szCs w:val="24"/>
                <w:highlight w:val="none"/>
              </w:rPr>
            </w:pPr>
          </w:p>
        </w:tc>
        <w:tc>
          <w:tcPr>
            <w:tcW w:w="1240" w:type="dxa"/>
          </w:tcPr>
          <w:p w14:paraId="16FFFE00">
            <w:pPr>
              <w:widowControl/>
              <w:adjustRightInd/>
              <w:jc w:val="center"/>
              <w:rPr>
                <w:rFonts w:hint="eastAsia" w:ascii="宋体" w:hAnsi="宋体" w:eastAsia="宋体" w:cs="宋体"/>
                <w:color w:val="auto"/>
                <w:kern w:val="0"/>
                <w:sz w:val="24"/>
                <w:szCs w:val="24"/>
                <w:highlight w:val="none"/>
              </w:rPr>
            </w:pPr>
          </w:p>
        </w:tc>
      </w:tr>
    </w:tbl>
    <w:p w14:paraId="12DC534A">
      <w:pPr>
        <w:widowControl/>
        <w:tabs>
          <w:tab w:val="left" w:pos="851"/>
        </w:tabs>
        <w:adjustRightInd/>
        <w:spacing w:line="360" w:lineRule="auto"/>
        <w:ind w:firstLine="482" w:firstLineChars="200"/>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②园林博物馆</w:t>
      </w:r>
    </w:p>
    <w:tbl>
      <w:tblPr>
        <w:tblStyle w:val="63"/>
        <w:tblW w:w="960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09"/>
        <w:gridCol w:w="996"/>
        <w:gridCol w:w="780"/>
        <w:gridCol w:w="2976"/>
        <w:gridCol w:w="1536"/>
        <w:gridCol w:w="1272"/>
        <w:gridCol w:w="1239"/>
      </w:tblGrid>
      <w:tr w14:paraId="4889B9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9" w:type="dxa"/>
            <w:vAlign w:val="center"/>
          </w:tcPr>
          <w:p w14:paraId="781276BD">
            <w:pPr>
              <w:widowControl/>
              <w:adjustRightInd/>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类别</w:t>
            </w:r>
          </w:p>
        </w:tc>
        <w:tc>
          <w:tcPr>
            <w:tcW w:w="996" w:type="dxa"/>
            <w:vAlign w:val="center"/>
          </w:tcPr>
          <w:p w14:paraId="3A50B1BA">
            <w:pPr>
              <w:widowControl/>
              <w:adjustRightInd/>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岗位名称</w:t>
            </w:r>
          </w:p>
        </w:tc>
        <w:tc>
          <w:tcPr>
            <w:tcW w:w="780" w:type="dxa"/>
            <w:vAlign w:val="center"/>
          </w:tcPr>
          <w:p w14:paraId="1ECA9030">
            <w:pPr>
              <w:widowControl/>
              <w:adjustRightInd/>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岗位数量</w:t>
            </w:r>
          </w:p>
        </w:tc>
        <w:tc>
          <w:tcPr>
            <w:tcW w:w="2976" w:type="dxa"/>
            <w:vAlign w:val="center"/>
          </w:tcPr>
          <w:p w14:paraId="3E2FB46D">
            <w:pPr>
              <w:widowControl/>
              <w:adjustRightInd/>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岗位职责</w:t>
            </w:r>
          </w:p>
        </w:tc>
        <w:tc>
          <w:tcPr>
            <w:tcW w:w="1536" w:type="dxa"/>
            <w:vAlign w:val="center"/>
          </w:tcPr>
          <w:p w14:paraId="75E09A7E">
            <w:pPr>
              <w:widowControl/>
              <w:adjustRightInd/>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任职条件</w:t>
            </w:r>
          </w:p>
        </w:tc>
        <w:tc>
          <w:tcPr>
            <w:tcW w:w="1272" w:type="dxa"/>
            <w:vAlign w:val="center"/>
          </w:tcPr>
          <w:p w14:paraId="3EF821B0">
            <w:pPr>
              <w:widowControl/>
              <w:adjustRightInd/>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上岗时间</w:t>
            </w:r>
          </w:p>
        </w:tc>
        <w:tc>
          <w:tcPr>
            <w:tcW w:w="1239" w:type="dxa"/>
            <w:vAlign w:val="center"/>
          </w:tcPr>
          <w:p w14:paraId="11141E08">
            <w:pPr>
              <w:widowControl/>
              <w:adjustRightInd/>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备注</w:t>
            </w:r>
          </w:p>
        </w:tc>
      </w:tr>
      <w:tr w14:paraId="6E45A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88" w:hRule="atLeast"/>
          <w:jc w:val="center"/>
        </w:trPr>
        <w:tc>
          <w:tcPr>
            <w:tcW w:w="809" w:type="dxa"/>
            <w:vMerge w:val="restart"/>
            <w:vAlign w:val="center"/>
          </w:tcPr>
          <w:p w14:paraId="0C8DD395">
            <w:pPr>
              <w:widowControl/>
              <w:adjustRightInd/>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保洁</w:t>
            </w:r>
          </w:p>
        </w:tc>
        <w:tc>
          <w:tcPr>
            <w:tcW w:w="996" w:type="dxa"/>
            <w:vAlign w:val="center"/>
          </w:tcPr>
          <w:p w14:paraId="445884D3">
            <w:pPr>
              <w:widowControl/>
              <w:adjustRightInd/>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设施深度保洁</w:t>
            </w:r>
          </w:p>
        </w:tc>
        <w:tc>
          <w:tcPr>
            <w:tcW w:w="780" w:type="dxa"/>
            <w:vMerge w:val="restart"/>
            <w:vAlign w:val="center"/>
          </w:tcPr>
          <w:p w14:paraId="0F6A041D">
            <w:pPr>
              <w:widowControl/>
              <w:adjustRightInd/>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2976" w:type="dxa"/>
            <w:vAlign w:val="center"/>
          </w:tcPr>
          <w:p w14:paraId="6B758B62">
            <w:pPr>
              <w:widowControl/>
              <w:adjustRightInd/>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负责展馆内外区域地面</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楼道、家具、设施、标识标牌、玻璃门窗柜</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垃圾箱等保洁工作。</w:t>
            </w:r>
          </w:p>
        </w:tc>
        <w:tc>
          <w:tcPr>
            <w:tcW w:w="1536" w:type="dxa"/>
            <w:vMerge w:val="restart"/>
            <w:vAlign w:val="center"/>
          </w:tcPr>
          <w:p w14:paraId="2E5E688E">
            <w:pPr>
              <w:widowControl/>
              <w:adjustRightInd/>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有相关工作经验，法定工作年龄</w:t>
            </w:r>
          </w:p>
        </w:tc>
        <w:tc>
          <w:tcPr>
            <w:tcW w:w="1272" w:type="dxa"/>
            <w:vMerge w:val="restart"/>
            <w:vAlign w:val="center"/>
          </w:tcPr>
          <w:p w14:paraId="79987FCA">
            <w:pPr>
              <w:widowControl/>
              <w:adjustRightInd/>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每日在岗不少于8小时</w:t>
            </w:r>
          </w:p>
        </w:tc>
        <w:tc>
          <w:tcPr>
            <w:tcW w:w="1239" w:type="dxa"/>
            <w:vMerge w:val="restart"/>
            <w:vAlign w:val="center"/>
          </w:tcPr>
          <w:p w14:paraId="09CE02CF">
            <w:pPr>
              <w:widowControl/>
              <w:adjustRightInd/>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其中一人兼职重要接待活动的讲解工作；</w:t>
            </w:r>
            <w:r>
              <w:rPr>
                <w:rFonts w:hint="eastAsia" w:ascii="宋体" w:hAnsi="宋体" w:eastAsia="宋体" w:cs="宋体"/>
                <w:color w:val="auto"/>
                <w:sz w:val="24"/>
                <w:highlight w:val="none"/>
              </w:rPr>
              <w:t>鱼池清洗、玻璃廊顶、场馆屋顶清扫</w:t>
            </w:r>
            <w:r>
              <w:rPr>
                <w:rFonts w:hint="eastAsia" w:ascii="宋体" w:hAnsi="宋体" w:eastAsia="宋体" w:cs="宋体"/>
                <w:color w:val="auto"/>
                <w:sz w:val="24"/>
                <w:highlight w:val="none"/>
                <w:lang w:val="en-US" w:eastAsia="zh-CN"/>
              </w:rPr>
              <w:t>由</w:t>
            </w:r>
            <w:r>
              <w:rPr>
                <w:rFonts w:hint="eastAsia" w:ascii="宋体" w:hAnsi="宋体" w:eastAsia="宋体" w:cs="宋体"/>
                <w:color w:val="auto"/>
                <w:sz w:val="24"/>
                <w:highlight w:val="none"/>
              </w:rPr>
              <w:t>养护单位另</w:t>
            </w:r>
            <w:r>
              <w:rPr>
                <w:rFonts w:hint="eastAsia" w:ascii="宋体" w:hAnsi="宋体" w:eastAsia="宋体" w:cs="宋体"/>
                <w:color w:val="auto"/>
                <w:sz w:val="24"/>
                <w:highlight w:val="none"/>
                <w:lang w:val="en-US" w:eastAsia="zh-CN"/>
              </w:rPr>
              <w:t>行</w:t>
            </w:r>
            <w:r>
              <w:rPr>
                <w:rFonts w:hint="eastAsia" w:ascii="宋体" w:hAnsi="宋体" w:eastAsia="宋体" w:cs="宋体"/>
                <w:color w:val="auto"/>
                <w:sz w:val="24"/>
                <w:highlight w:val="none"/>
              </w:rPr>
              <w:t>安排人员</w:t>
            </w:r>
            <w:r>
              <w:rPr>
                <w:rFonts w:hint="eastAsia" w:ascii="宋体" w:hAnsi="宋体" w:eastAsia="宋体" w:cs="宋体"/>
                <w:color w:val="auto"/>
                <w:sz w:val="24"/>
                <w:highlight w:val="none"/>
                <w:lang w:val="en-US" w:eastAsia="zh-CN"/>
              </w:rPr>
              <w:t>实施</w:t>
            </w:r>
            <w:r>
              <w:rPr>
                <w:rFonts w:hint="eastAsia" w:ascii="宋体" w:hAnsi="宋体" w:eastAsia="宋体" w:cs="宋体"/>
                <w:color w:val="auto"/>
                <w:sz w:val="24"/>
                <w:highlight w:val="none"/>
              </w:rPr>
              <w:t>。</w:t>
            </w:r>
          </w:p>
        </w:tc>
      </w:tr>
      <w:tr w14:paraId="080DEF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8" w:hRule="atLeast"/>
          <w:jc w:val="center"/>
        </w:trPr>
        <w:tc>
          <w:tcPr>
            <w:tcW w:w="809" w:type="dxa"/>
            <w:vMerge w:val="continue"/>
            <w:vAlign w:val="center"/>
          </w:tcPr>
          <w:p w14:paraId="50397EE5">
            <w:pPr>
              <w:widowControl/>
              <w:adjustRightInd/>
              <w:jc w:val="center"/>
              <w:rPr>
                <w:rFonts w:hint="eastAsia" w:ascii="宋体" w:hAnsi="宋体" w:eastAsia="宋体" w:cs="宋体"/>
                <w:b/>
                <w:bCs/>
                <w:color w:val="auto"/>
                <w:sz w:val="24"/>
                <w:highlight w:val="none"/>
              </w:rPr>
            </w:pPr>
          </w:p>
        </w:tc>
        <w:tc>
          <w:tcPr>
            <w:tcW w:w="996" w:type="dxa"/>
            <w:vAlign w:val="center"/>
          </w:tcPr>
          <w:p w14:paraId="64D61D56">
            <w:pPr>
              <w:widowControl/>
              <w:adjustRightInd/>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公厕保洁</w:t>
            </w:r>
          </w:p>
        </w:tc>
        <w:tc>
          <w:tcPr>
            <w:tcW w:w="780" w:type="dxa"/>
            <w:vMerge w:val="continue"/>
            <w:vAlign w:val="center"/>
          </w:tcPr>
          <w:p w14:paraId="029016AB">
            <w:pPr>
              <w:widowControl/>
              <w:adjustRightInd/>
              <w:jc w:val="center"/>
              <w:rPr>
                <w:rFonts w:hint="eastAsia" w:ascii="宋体" w:hAnsi="宋体" w:eastAsia="宋体" w:cs="宋体"/>
                <w:color w:val="auto"/>
                <w:sz w:val="24"/>
                <w:highlight w:val="none"/>
              </w:rPr>
            </w:pPr>
          </w:p>
        </w:tc>
        <w:tc>
          <w:tcPr>
            <w:tcW w:w="2976" w:type="dxa"/>
            <w:vAlign w:val="center"/>
          </w:tcPr>
          <w:p w14:paraId="44666210">
            <w:pPr>
              <w:widowControl/>
              <w:adjustRightInd/>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负责</w:t>
            </w:r>
            <w:r>
              <w:rPr>
                <w:rFonts w:hint="eastAsia" w:ascii="宋体" w:hAnsi="宋体" w:eastAsia="宋体" w:cs="宋体"/>
                <w:color w:val="auto"/>
                <w:sz w:val="24"/>
                <w:highlight w:val="none"/>
                <w:lang w:val="en-US" w:eastAsia="zh-CN"/>
              </w:rPr>
              <w:t>馆内</w:t>
            </w:r>
            <w:r>
              <w:rPr>
                <w:rFonts w:hint="eastAsia" w:ascii="宋体" w:hAnsi="宋体" w:eastAsia="宋体" w:cs="宋体"/>
                <w:color w:val="auto"/>
                <w:sz w:val="24"/>
                <w:highlight w:val="none"/>
              </w:rPr>
              <w:t>公共厕所、母婴室等的卫生保洁。</w:t>
            </w:r>
          </w:p>
        </w:tc>
        <w:tc>
          <w:tcPr>
            <w:tcW w:w="1536" w:type="dxa"/>
            <w:vMerge w:val="continue"/>
            <w:vAlign w:val="center"/>
          </w:tcPr>
          <w:p w14:paraId="602F5647">
            <w:pPr>
              <w:widowControl/>
              <w:adjustRightInd/>
              <w:jc w:val="center"/>
              <w:rPr>
                <w:rFonts w:hint="eastAsia" w:ascii="宋体" w:hAnsi="宋体" w:eastAsia="宋体" w:cs="宋体"/>
                <w:color w:val="auto"/>
                <w:sz w:val="24"/>
                <w:highlight w:val="none"/>
              </w:rPr>
            </w:pPr>
          </w:p>
        </w:tc>
        <w:tc>
          <w:tcPr>
            <w:tcW w:w="1272" w:type="dxa"/>
            <w:vMerge w:val="continue"/>
            <w:vAlign w:val="center"/>
          </w:tcPr>
          <w:p w14:paraId="020BF199">
            <w:pPr>
              <w:widowControl/>
              <w:adjustRightInd/>
              <w:jc w:val="center"/>
              <w:rPr>
                <w:rFonts w:hint="eastAsia" w:ascii="宋体" w:hAnsi="宋体" w:eastAsia="宋体" w:cs="宋体"/>
                <w:color w:val="auto"/>
                <w:sz w:val="24"/>
                <w:highlight w:val="none"/>
              </w:rPr>
            </w:pPr>
          </w:p>
        </w:tc>
        <w:tc>
          <w:tcPr>
            <w:tcW w:w="1239" w:type="dxa"/>
            <w:vMerge w:val="continue"/>
            <w:vAlign w:val="center"/>
          </w:tcPr>
          <w:p w14:paraId="2298C3EF">
            <w:pPr>
              <w:widowControl/>
              <w:adjustRightInd/>
              <w:jc w:val="center"/>
              <w:rPr>
                <w:rFonts w:hint="eastAsia" w:ascii="宋体" w:hAnsi="宋体" w:eastAsia="宋体" w:cs="宋体"/>
                <w:color w:val="auto"/>
                <w:sz w:val="24"/>
                <w:highlight w:val="none"/>
              </w:rPr>
            </w:pPr>
          </w:p>
        </w:tc>
      </w:tr>
      <w:tr w14:paraId="32FC51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9" w:type="dxa"/>
            <w:vMerge w:val="restart"/>
            <w:vAlign w:val="center"/>
          </w:tcPr>
          <w:p w14:paraId="3A9E7A0F">
            <w:pPr>
              <w:widowControl/>
              <w:adjustRightInd/>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安保服务</w:t>
            </w:r>
          </w:p>
        </w:tc>
        <w:tc>
          <w:tcPr>
            <w:tcW w:w="996" w:type="dxa"/>
            <w:vAlign w:val="center"/>
          </w:tcPr>
          <w:p w14:paraId="2E084300">
            <w:pPr>
              <w:widowControl/>
              <w:adjustRightInd/>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保安（日间）</w:t>
            </w:r>
          </w:p>
        </w:tc>
        <w:tc>
          <w:tcPr>
            <w:tcW w:w="780" w:type="dxa"/>
            <w:vAlign w:val="center"/>
          </w:tcPr>
          <w:p w14:paraId="0B17C277">
            <w:pPr>
              <w:widowControl/>
              <w:adjustRightInd/>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2976" w:type="dxa"/>
            <w:vAlign w:val="center"/>
          </w:tcPr>
          <w:p w14:paraId="46F6F9A6">
            <w:pPr>
              <w:widowControl/>
              <w:adjustRightInd/>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负责馆内日常安全巡查；维护馆内游客秩序工作；负责馆内水域保洁；协助鱼池清洗工作；协助玻璃廊顶、场馆屋顶保洁工作。</w:t>
            </w:r>
          </w:p>
        </w:tc>
        <w:tc>
          <w:tcPr>
            <w:tcW w:w="1536" w:type="dxa"/>
            <w:vAlign w:val="center"/>
          </w:tcPr>
          <w:p w14:paraId="07716CDF">
            <w:pPr>
              <w:widowControl/>
              <w:adjustRightInd/>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有相关工作经验，法定工作年龄</w:t>
            </w:r>
          </w:p>
        </w:tc>
        <w:tc>
          <w:tcPr>
            <w:tcW w:w="1272" w:type="dxa"/>
            <w:vAlign w:val="center"/>
          </w:tcPr>
          <w:p w14:paraId="28BDFDB7">
            <w:pPr>
              <w:widowControl/>
              <w:adjustRightInd/>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每日在岗不少于8小时</w:t>
            </w:r>
          </w:p>
        </w:tc>
        <w:tc>
          <w:tcPr>
            <w:tcW w:w="1239" w:type="dxa"/>
            <w:vAlign w:val="center"/>
          </w:tcPr>
          <w:p w14:paraId="41469FC5">
            <w:pPr>
              <w:widowControl/>
              <w:adjustRightInd/>
              <w:jc w:val="center"/>
              <w:rPr>
                <w:rFonts w:hint="eastAsia" w:ascii="宋体" w:hAnsi="宋体" w:eastAsia="宋体" w:cs="宋体"/>
                <w:color w:val="auto"/>
                <w:sz w:val="24"/>
                <w:highlight w:val="none"/>
              </w:rPr>
            </w:pPr>
          </w:p>
        </w:tc>
      </w:tr>
      <w:tr w14:paraId="48D54E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9" w:type="dxa"/>
            <w:vMerge w:val="continue"/>
            <w:vAlign w:val="center"/>
          </w:tcPr>
          <w:p w14:paraId="7DEB642C">
            <w:pPr>
              <w:widowControl w:val="0"/>
              <w:jc w:val="center"/>
              <w:rPr>
                <w:rFonts w:eastAsia="宋体"/>
                <w:color w:val="auto"/>
                <w:highlight w:val="none"/>
              </w:rPr>
            </w:pPr>
          </w:p>
        </w:tc>
        <w:tc>
          <w:tcPr>
            <w:tcW w:w="996" w:type="dxa"/>
            <w:vAlign w:val="center"/>
          </w:tcPr>
          <w:p w14:paraId="6DE49B37">
            <w:pPr>
              <w:widowControl/>
              <w:adjustRightInd/>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保安（夜间）</w:t>
            </w:r>
          </w:p>
        </w:tc>
        <w:tc>
          <w:tcPr>
            <w:tcW w:w="780" w:type="dxa"/>
            <w:vAlign w:val="center"/>
          </w:tcPr>
          <w:p w14:paraId="6ADE97F8">
            <w:pPr>
              <w:widowControl/>
              <w:adjustRightInd/>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2976" w:type="dxa"/>
            <w:vAlign w:val="center"/>
          </w:tcPr>
          <w:p w14:paraId="122D7240">
            <w:pPr>
              <w:widowControl/>
              <w:adjustRightInd/>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负责馆内夜间安全</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做好</w:t>
            </w:r>
            <w:r>
              <w:rPr>
                <w:rFonts w:hint="eastAsia" w:ascii="宋体" w:hAnsi="宋体" w:eastAsia="宋体" w:cs="宋体"/>
                <w:color w:val="auto"/>
                <w:sz w:val="24"/>
                <w:highlight w:val="none"/>
              </w:rPr>
              <w:t>巡查</w:t>
            </w:r>
            <w:r>
              <w:rPr>
                <w:rFonts w:hint="eastAsia" w:ascii="宋体" w:hAnsi="宋体" w:eastAsia="宋体" w:cs="宋体"/>
                <w:color w:val="auto"/>
                <w:sz w:val="24"/>
                <w:highlight w:val="none"/>
                <w:lang w:val="en-US" w:eastAsia="zh-CN"/>
              </w:rPr>
              <w:t>工作</w:t>
            </w:r>
            <w:r>
              <w:rPr>
                <w:rFonts w:hint="eastAsia" w:ascii="宋体" w:hAnsi="宋体" w:eastAsia="宋体" w:cs="宋体"/>
                <w:color w:val="auto"/>
                <w:sz w:val="24"/>
                <w:highlight w:val="none"/>
              </w:rPr>
              <w:t>。</w:t>
            </w:r>
          </w:p>
        </w:tc>
        <w:tc>
          <w:tcPr>
            <w:tcW w:w="1536" w:type="dxa"/>
            <w:vAlign w:val="center"/>
          </w:tcPr>
          <w:p w14:paraId="7B55557E">
            <w:pPr>
              <w:widowControl/>
              <w:adjustRightInd/>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有相关工作经验，法定工作年龄</w:t>
            </w:r>
          </w:p>
        </w:tc>
        <w:tc>
          <w:tcPr>
            <w:tcW w:w="1272" w:type="dxa"/>
            <w:vAlign w:val="center"/>
          </w:tcPr>
          <w:p w14:paraId="2FD7A07E">
            <w:pPr>
              <w:widowControl/>
              <w:adjustRightInd/>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每日在岗不少于8小时</w:t>
            </w:r>
          </w:p>
        </w:tc>
        <w:tc>
          <w:tcPr>
            <w:tcW w:w="1239" w:type="dxa"/>
            <w:vAlign w:val="center"/>
          </w:tcPr>
          <w:p w14:paraId="57A48F34">
            <w:pPr>
              <w:widowControl/>
              <w:adjustRightInd/>
              <w:jc w:val="center"/>
              <w:rPr>
                <w:rFonts w:hint="eastAsia" w:ascii="宋体" w:hAnsi="宋体" w:eastAsia="宋体" w:cs="宋体"/>
                <w:color w:val="auto"/>
                <w:sz w:val="24"/>
                <w:highlight w:val="none"/>
              </w:rPr>
            </w:pPr>
          </w:p>
        </w:tc>
      </w:tr>
      <w:tr w14:paraId="0271DC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9" w:type="dxa"/>
            <w:vAlign w:val="center"/>
          </w:tcPr>
          <w:p w14:paraId="719CC0AB">
            <w:pPr>
              <w:widowControl w:val="0"/>
              <w:jc w:val="center"/>
              <w:rPr>
                <w:rFonts w:eastAsia="宋体"/>
                <w:color w:val="auto"/>
                <w:highlight w:val="none"/>
              </w:rPr>
            </w:pPr>
          </w:p>
        </w:tc>
        <w:tc>
          <w:tcPr>
            <w:tcW w:w="996" w:type="dxa"/>
            <w:vAlign w:val="center"/>
          </w:tcPr>
          <w:p w14:paraId="1AA51957">
            <w:pPr>
              <w:widowControl/>
              <w:adjustRightInd/>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小计</w:t>
            </w:r>
          </w:p>
        </w:tc>
        <w:tc>
          <w:tcPr>
            <w:tcW w:w="780" w:type="dxa"/>
            <w:vAlign w:val="center"/>
          </w:tcPr>
          <w:p w14:paraId="5724745F">
            <w:pPr>
              <w:widowControl/>
              <w:adjustRightInd/>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7</w:t>
            </w:r>
          </w:p>
        </w:tc>
        <w:tc>
          <w:tcPr>
            <w:tcW w:w="2976" w:type="dxa"/>
            <w:vAlign w:val="center"/>
          </w:tcPr>
          <w:p w14:paraId="6A78903A">
            <w:pPr>
              <w:widowControl/>
              <w:adjustRightInd/>
              <w:jc w:val="center"/>
              <w:rPr>
                <w:rFonts w:hint="eastAsia" w:ascii="宋体" w:hAnsi="宋体" w:eastAsia="宋体" w:cs="宋体"/>
                <w:color w:val="auto"/>
                <w:sz w:val="24"/>
                <w:highlight w:val="none"/>
              </w:rPr>
            </w:pPr>
          </w:p>
        </w:tc>
        <w:tc>
          <w:tcPr>
            <w:tcW w:w="1536" w:type="dxa"/>
            <w:vAlign w:val="center"/>
          </w:tcPr>
          <w:p w14:paraId="2750E2F3">
            <w:pPr>
              <w:widowControl/>
              <w:adjustRightInd/>
              <w:jc w:val="center"/>
              <w:rPr>
                <w:rFonts w:hint="eastAsia" w:ascii="宋体" w:hAnsi="宋体" w:eastAsia="宋体" w:cs="宋体"/>
                <w:color w:val="auto"/>
                <w:sz w:val="24"/>
                <w:highlight w:val="none"/>
              </w:rPr>
            </w:pPr>
          </w:p>
        </w:tc>
        <w:tc>
          <w:tcPr>
            <w:tcW w:w="1272" w:type="dxa"/>
            <w:vAlign w:val="center"/>
          </w:tcPr>
          <w:p w14:paraId="5C026EF8">
            <w:pPr>
              <w:widowControl/>
              <w:adjustRightInd/>
              <w:jc w:val="center"/>
              <w:rPr>
                <w:rFonts w:hint="eastAsia" w:ascii="宋体" w:hAnsi="宋体" w:eastAsia="宋体" w:cs="宋体"/>
                <w:color w:val="auto"/>
                <w:sz w:val="24"/>
                <w:highlight w:val="none"/>
              </w:rPr>
            </w:pPr>
          </w:p>
        </w:tc>
        <w:tc>
          <w:tcPr>
            <w:tcW w:w="1239" w:type="dxa"/>
            <w:vAlign w:val="center"/>
          </w:tcPr>
          <w:p w14:paraId="1F347E40">
            <w:pPr>
              <w:widowControl/>
              <w:adjustRightInd/>
              <w:jc w:val="center"/>
              <w:rPr>
                <w:rFonts w:hint="eastAsia" w:ascii="宋体" w:hAnsi="宋体" w:eastAsia="宋体" w:cs="宋体"/>
                <w:color w:val="auto"/>
                <w:sz w:val="24"/>
                <w:highlight w:val="none"/>
              </w:rPr>
            </w:pPr>
          </w:p>
        </w:tc>
      </w:tr>
    </w:tbl>
    <w:p w14:paraId="4A11B423">
      <w:pPr>
        <w:widowControl/>
        <w:tabs>
          <w:tab w:val="left" w:pos="851"/>
        </w:tabs>
        <w:adjustRightInd/>
        <w:spacing w:line="360" w:lineRule="auto"/>
        <w:ind w:firstLine="482" w:firstLineChars="200"/>
        <w:rPr>
          <w:rFonts w:hint="default" w:ascii="宋体" w:hAnsi="宋体" w:eastAsia="宋体" w:cs="宋体"/>
          <w:b/>
          <w:color w:val="auto"/>
          <w:kern w:val="0"/>
          <w:sz w:val="24"/>
          <w:highlight w:val="none"/>
          <w:lang w:val="en-US" w:eastAsia="zh-CN"/>
        </w:rPr>
      </w:pPr>
    </w:p>
    <w:p w14:paraId="5F3A974F">
      <w:pPr>
        <w:widowControl/>
        <w:tabs>
          <w:tab w:val="left" w:pos="851"/>
        </w:tabs>
        <w:adjustRightInd/>
        <w:spacing w:line="360" w:lineRule="auto"/>
        <w:ind w:firstLine="482" w:firstLineChars="200"/>
        <w:rPr>
          <w:rFonts w:hint="default"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③青林湾公园</w:t>
      </w:r>
    </w:p>
    <w:tbl>
      <w:tblPr>
        <w:tblStyle w:val="62"/>
        <w:tblW w:w="98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305"/>
        <w:gridCol w:w="795"/>
        <w:gridCol w:w="2385"/>
        <w:gridCol w:w="1854"/>
        <w:gridCol w:w="1240"/>
        <w:gridCol w:w="1550"/>
      </w:tblGrid>
      <w:tr w14:paraId="22D4E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blHeader/>
          <w:jc w:val="center"/>
        </w:trPr>
        <w:tc>
          <w:tcPr>
            <w:tcW w:w="738" w:type="dxa"/>
            <w:noWrap w:val="0"/>
            <w:vAlign w:val="center"/>
          </w:tcPr>
          <w:p w14:paraId="19BC6963">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类别</w:t>
            </w:r>
          </w:p>
        </w:tc>
        <w:tc>
          <w:tcPr>
            <w:tcW w:w="1305" w:type="dxa"/>
            <w:noWrap w:val="0"/>
            <w:vAlign w:val="center"/>
          </w:tcPr>
          <w:p w14:paraId="1589C432">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岗位</w:t>
            </w:r>
          </w:p>
          <w:p w14:paraId="1A5DB7F6">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名称</w:t>
            </w:r>
          </w:p>
        </w:tc>
        <w:tc>
          <w:tcPr>
            <w:tcW w:w="795" w:type="dxa"/>
            <w:noWrap w:val="0"/>
            <w:vAlign w:val="center"/>
          </w:tcPr>
          <w:p w14:paraId="592E15FF">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岗位数量</w:t>
            </w:r>
          </w:p>
        </w:tc>
        <w:tc>
          <w:tcPr>
            <w:tcW w:w="2385" w:type="dxa"/>
            <w:noWrap w:val="0"/>
            <w:vAlign w:val="center"/>
          </w:tcPr>
          <w:p w14:paraId="02B94E4D">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岗位职责</w:t>
            </w:r>
          </w:p>
        </w:tc>
        <w:tc>
          <w:tcPr>
            <w:tcW w:w="1854" w:type="dxa"/>
            <w:noWrap w:val="0"/>
            <w:vAlign w:val="center"/>
          </w:tcPr>
          <w:p w14:paraId="3A750105">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任职条件（执业资格、年龄、工作经验等）</w:t>
            </w:r>
          </w:p>
        </w:tc>
        <w:tc>
          <w:tcPr>
            <w:tcW w:w="1240" w:type="dxa"/>
            <w:noWrap w:val="0"/>
            <w:vAlign w:val="center"/>
          </w:tcPr>
          <w:p w14:paraId="0F13FAD3">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上岗</w:t>
            </w:r>
          </w:p>
          <w:p w14:paraId="2931769C">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时间</w:t>
            </w:r>
          </w:p>
        </w:tc>
        <w:tc>
          <w:tcPr>
            <w:tcW w:w="1550" w:type="dxa"/>
            <w:noWrap w:val="0"/>
            <w:vAlign w:val="center"/>
          </w:tcPr>
          <w:p w14:paraId="3A759B4C">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p>
        </w:tc>
      </w:tr>
      <w:tr w14:paraId="64724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38" w:type="dxa"/>
            <w:noWrap w:val="0"/>
            <w:vAlign w:val="center"/>
          </w:tcPr>
          <w:p w14:paraId="7097ED3F">
            <w:pPr>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绿化</w:t>
            </w:r>
          </w:p>
        </w:tc>
        <w:tc>
          <w:tcPr>
            <w:tcW w:w="1305" w:type="dxa"/>
            <w:noWrap w:val="0"/>
            <w:vAlign w:val="center"/>
          </w:tcPr>
          <w:p w14:paraId="760E19E2">
            <w:pPr>
              <w:jc w:val="center"/>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绿化</w:t>
            </w:r>
          </w:p>
          <w:p w14:paraId="06DD380B">
            <w:pPr>
              <w:jc w:val="center"/>
              <w:rPr>
                <w:rFonts w:hint="eastAsia" w:ascii="宋体" w:hAnsi="宋体" w:eastAsia="宋体" w:cs="宋体"/>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养护</w:t>
            </w:r>
          </w:p>
        </w:tc>
        <w:tc>
          <w:tcPr>
            <w:tcW w:w="795" w:type="dxa"/>
            <w:noWrap w:val="0"/>
            <w:vAlign w:val="center"/>
          </w:tcPr>
          <w:p w14:paraId="339186F1">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2385" w:type="dxa"/>
            <w:noWrap w:val="0"/>
            <w:vAlign w:val="center"/>
          </w:tcPr>
          <w:p w14:paraId="39F894A5">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负责</w:t>
            </w:r>
            <w:r>
              <w:rPr>
                <w:rFonts w:hint="eastAsia" w:ascii="宋体" w:hAnsi="宋体" w:eastAsia="宋体" w:cs="宋体"/>
                <w:color w:val="auto"/>
                <w:kern w:val="0"/>
                <w:sz w:val="24"/>
                <w:szCs w:val="24"/>
                <w:highlight w:val="none"/>
                <w:lang w:eastAsia="zh-CN"/>
              </w:rPr>
              <w:t>园</w:t>
            </w:r>
            <w:r>
              <w:rPr>
                <w:rFonts w:hint="eastAsia" w:ascii="宋体" w:hAnsi="宋体" w:eastAsia="宋体" w:cs="宋体"/>
                <w:color w:val="auto"/>
                <w:kern w:val="0"/>
                <w:sz w:val="24"/>
                <w:szCs w:val="24"/>
                <w:highlight w:val="none"/>
              </w:rPr>
              <w:t>内植物修剪、浇水、施肥、除杂草、植物补植、植物病虫害防治</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防台</w:t>
            </w:r>
            <w:r>
              <w:rPr>
                <w:rFonts w:hint="eastAsia" w:ascii="宋体" w:hAnsi="宋体" w:eastAsia="宋体" w:cs="宋体"/>
                <w:color w:val="auto"/>
                <w:kern w:val="0"/>
                <w:sz w:val="24"/>
                <w:szCs w:val="24"/>
                <w:highlight w:val="none"/>
                <w:lang w:eastAsia="zh-CN"/>
              </w:rPr>
              <w:t>防汛</w:t>
            </w:r>
            <w:r>
              <w:rPr>
                <w:rFonts w:hint="eastAsia" w:ascii="宋体" w:hAnsi="宋体" w:eastAsia="宋体" w:cs="宋体"/>
                <w:color w:val="auto"/>
                <w:kern w:val="0"/>
                <w:sz w:val="24"/>
                <w:szCs w:val="24"/>
                <w:highlight w:val="none"/>
              </w:rPr>
              <w:t>等工作；掌握绿化机械设备的使用和对使用的机具进行清洁、保养。</w:t>
            </w:r>
          </w:p>
        </w:tc>
        <w:tc>
          <w:tcPr>
            <w:tcW w:w="1854" w:type="dxa"/>
            <w:noWrap w:val="0"/>
            <w:vAlign w:val="center"/>
          </w:tcPr>
          <w:p w14:paraId="264A6FCD">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有相关工作经验，法定工作年龄，且须具备人社部门或者主管部门认证的绿化工或草坪工证书</w:t>
            </w:r>
          </w:p>
        </w:tc>
        <w:tc>
          <w:tcPr>
            <w:tcW w:w="1240" w:type="dxa"/>
            <w:noWrap w:val="0"/>
            <w:vAlign w:val="center"/>
          </w:tcPr>
          <w:p w14:paraId="5B95420F">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每日在岗不少于8小时</w:t>
            </w:r>
          </w:p>
        </w:tc>
        <w:tc>
          <w:tcPr>
            <w:tcW w:w="1550" w:type="dxa"/>
            <w:noWrap w:val="0"/>
            <w:vAlign w:val="center"/>
          </w:tcPr>
          <w:p w14:paraId="79328FD0">
            <w:p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绿化工或草坪工证书，允许中标人在合同签订后6个月内配足，否则考核后进行扣罚。</w:t>
            </w:r>
          </w:p>
        </w:tc>
      </w:tr>
      <w:tr w14:paraId="3BA79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738" w:type="dxa"/>
            <w:vMerge w:val="restart"/>
            <w:noWrap w:val="0"/>
            <w:vAlign w:val="center"/>
          </w:tcPr>
          <w:p w14:paraId="3A54E4D6">
            <w:pPr>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保洁</w:t>
            </w:r>
          </w:p>
        </w:tc>
        <w:tc>
          <w:tcPr>
            <w:tcW w:w="1305" w:type="dxa"/>
            <w:noWrap w:val="0"/>
            <w:vAlign w:val="center"/>
          </w:tcPr>
          <w:p w14:paraId="5C2EED0F">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广场铺装深度保洁</w:t>
            </w:r>
          </w:p>
        </w:tc>
        <w:tc>
          <w:tcPr>
            <w:tcW w:w="795" w:type="dxa"/>
            <w:noWrap w:val="0"/>
            <w:vAlign w:val="center"/>
          </w:tcPr>
          <w:p w14:paraId="52CC16A4">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2385" w:type="dxa"/>
            <w:noWrap w:val="0"/>
            <w:vAlign w:val="center"/>
          </w:tcPr>
          <w:p w14:paraId="0B1AEF11">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highlight w:val="none"/>
                <w:lang w:eastAsia="zh-CN"/>
              </w:rPr>
              <w:t>负责户外公共区域内广场铺装、路面、绿化的深度保洁，确保公共区域的保洁符合“席地而坐”公园的卫生标准。</w:t>
            </w:r>
          </w:p>
        </w:tc>
        <w:tc>
          <w:tcPr>
            <w:tcW w:w="1854" w:type="dxa"/>
            <w:noWrap w:val="0"/>
            <w:vAlign w:val="center"/>
          </w:tcPr>
          <w:p w14:paraId="41E98FDD">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有相关工作经验，法定工作年龄</w:t>
            </w:r>
          </w:p>
        </w:tc>
        <w:tc>
          <w:tcPr>
            <w:tcW w:w="1240" w:type="dxa"/>
            <w:noWrap w:val="0"/>
            <w:vAlign w:val="center"/>
          </w:tcPr>
          <w:p w14:paraId="6980796E">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每日在岗不少于10小时</w:t>
            </w:r>
          </w:p>
        </w:tc>
        <w:tc>
          <w:tcPr>
            <w:tcW w:w="1550" w:type="dxa"/>
            <w:noWrap w:val="0"/>
            <w:vAlign w:val="center"/>
          </w:tcPr>
          <w:p w14:paraId="09A20826">
            <w:pPr>
              <w:jc w:val="left"/>
              <w:rPr>
                <w:rFonts w:hint="eastAsia" w:ascii="宋体" w:hAnsi="宋体" w:eastAsia="宋体" w:cs="宋体"/>
                <w:color w:val="auto"/>
                <w:sz w:val="24"/>
                <w:szCs w:val="24"/>
                <w:highlight w:val="none"/>
                <w:lang w:val="en-US" w:eastAsia="zh-CN"/>
              </w:rPr>
            </w:pPr>
          </w:p>
        </w:tc>
      </w:tr>
      <w:tr w14:paraId="19F41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8" w:type="dxa"/>
            <w:vMerge w:val="continue"/>
            <w:noWrap w:val="0"/>
            <w:vAlign w:val="center"/>
          </w:tcPr>
          <w:p w14:paraId="5B737050">
            <w:pPr>
              <w:jc w:val="center"/>
              <w:rPr>
                <w:rFonts w:hint="eastAsia" w:ascii="宋体" w:hAnsi="宋体" w:eastAsia="宋体" w:cs="宋体"/>
                <w:b/>
                <w:bCs/>
                <w:color w:val="auto"/>
                <w:sz w:val="24"/>
                <w:szCs w:val="24"/>
                <w:highlight w:val="none"/>
              </w:rPr>
            </w:pPr>
          </w:p>
        </w:tc>
        <w:tc>
          <w:tcPr>
            <w:tcW w:w="1305" w:type="dxa"/>
            <w:noWrap w:val="0"/>
            <w:vAlign w:val="center"/>
          </w:tcPr>
          <w:p w14:paraId="7E4093EF">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设施深度保洁</w:t>
            </w:r>
          </w:p>
        </w:tc>
        <w:tc>
          <w:tcPr>
            <w:tcW w:w="795" w:type="dxa"/>
            <w:noWrap w:val="0"/>
            <w:vAlign w:val="center"/>
          </w:tcPr>
          <w:p w14:paraId="656F686A">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p>
        </w:tc>
        <w:tc>
          <w:tcPr>
            <w:tcW w:w="2385" w:type="dxa"/>
            <w:noWrap w:val="0"/>
            <w:vAlign w:val="center"/>
          </w:tcPr>
          <w:p w14:paraId="0873105B">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lang w:eastAsia="zh-CN"/>
              </w:rPr>
              <w:t>负责户外公共区域内建构筑物、城市家具、</w:t>
            </w:r>
            <w:r>
              <w:rPr>
                <w:rFonts w:hint="eastAsia" w:ascii="宋体" w:hAnsi="宋体" w:eastAsia="宋体" w:cs="宋体"/>
                <w:color w:val="auto"/>
                <w:sz w:val="24"/>
                <w:szCs w:val="24"/>
                <w:highlight w:val="none"/>
                <w:lang w:val="en-US" w:eastAsia="zh-CN"/>
              </w:rPr>
              <w:t>其他</w:t>
            </w:r>
            <w:r>
              <w:rPr>
                <w:rFonts w:hint="eastAsia" w:ascii="宋体" w:hAnsi="宋体" w:eastAsia="宋体" w:cs="宋体"/>
                <w:color w:val="auto"/>
                <w:sz w:val="24"/>
                <w:szCs w:val="24"/>
                <w:highlight w:val="none"/>
                <w:lang w:eastAsia="zh-CN"/>
              </w:rPr>
              <w:t>设施的深度保洁，确保公共区域的保洁符合“席地而坐”公园的卫生标准。</w:t>
            </w:r>
          </w:p>
        </w:tc>
        <w:tc>
          <w:tcPr>
            <w:tcW w:w="1854" w:type="dxa"/>
            <w:noWrap w:val="0"/>
            <w:vAlign w:val="center"/>
          </w:tcPr>
          <w:p w14:paraId="16E77D6F">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有相关工作经验，法定工作年龄</w:t>
            </w:r>
          </w:p>
        </w:tc>
        <w:tc>
          <w:tcPr>
            <w:tcW w:w="1240" w:type="dxa"/>
            <w:noWrap w:val="0"/>
            <w:vAlign w:val="center"/>
          </w:tcPr>
          <w:p w14:paraId="55BD731A">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lang w:val="en-US" w:eastAsia="zh-CN"/>
              </w:rPr>
              <w:t>每日在岗不少于8小时</w:t>
            </w:r>
          </w:p>
        </w:tc>
        <w:tc>
          <w:tcPr>
            <w:tcW w:w="1550" w:type="dxa"/>
            <w:noWrap w:val="0"/>
            <w:vAlign w:val="top"/>
          </w:tcPr>
          <w:p w14:paraId="14BB4AE4">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公共厕所2人，通用厕间1人</w:t>
            </w:r>
          </w:p>
        </w:tc>
      </w:tr>
      <w:tr w14:paraId="5BCA9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738" w:type="dxa"/>
            <w:vMerge w:val="continue"/>
            <w:noWrap w:val="0"/>
            <w:vAlign w:val="center"/>
          </w:tcPr>
          <w:p w14:paraId="5C20264F">
            <w:pPr>
              <w:jc w:val="center"/>
              <w:rPr>
                <w:rFonts w:hint="eastAsia" w:ascii="宋体" w:hAnsi="宋体" w:eastAsia="宋体" w:cs="宋体"/>
                <w:b/>
                <w:bCs/>
                <w:color w:val="auto"/>
                <w:sz w:val="24"/>
                <w:szCs w:val="24"/>
                <w:highlight w:val="none"/>
              </w:rPr>
            </w:pPr>
          </w:p>
        </w:tc>
        <w:tc>
          <w:tcPr>
            <w:tcW w:w="1305" w:type="dxa"/>
            <w:noWrap w:val="0"/>
            <w:vAlign w:val="center"/>
          </w:tcPr>
          <w:p w14:paraId="58FE1DD4">
            <w:pPr>
              <w:jc w:val="center"/>
              <w:rPr>
                <w:rFonts w:hint="default" w:ascii="宋体" w:hAnsi="宋体" w:eastAsia="宋体" w:cs="宋体"/>
                <w:color w:val="auto"/>
                <w:sz w:val="24"/>
                <w:szCs w:val="24"/>
                <w:highlight w:val="none"/>
                <w:lang w:val="en-US"/>
              </w:rPr>
            </w:pPr>
            <w:r>
              <w:rPr>
                <w:rFonts w:hint="default" w:ascii="宋体" w:hAnsi="宋体" w:eastAsia="宋体" w:cs="宋体"/>
                <w:color w:val="auto"/>
                <w:sz w:val="24"/>
                <w:szCs w:val="24"/>
                <w:highlight w:val="none"/>
                <w:lang w:val="en-US"/>
              </w:rPr>
              <w:t>公厕</w:t>
            </w:r>
          </w:p>
          <w:p w14:paraId="3FE3AF64">
            <w:pPr>
              <w:jc w:val="center"/>
              <w:rPr>
                <w:rFonts w:hint="default" w:ascii="宋体" w:hAnsi="宋体" w:eastAsia="宋体" w:cs="宋体"/>
                <w:color w:val="auto"/>
                <w:sz w:val="24"/>
                <w:szCs w:val="24"/>
                <w:highlight w:val="none"/>
                <w:lang w:val="en-US"/>
              </w:rPr>
            </w:pPr>
            <w:r>
              <w:rPr>
                <w:rFonts w:hint="default" w:ascii="宋体" w:hAnsi="宋体" w:eastAsia="宋体" w:cs="宋体"/>
                <w:color w:val="auto"/>
                <w:sz w:val="24"/>
                <w:szCs w:val="24"/>
                <w:highlight w:val="none"/>
                <w:lang w:val="en-US"/>
              </w:rPr>
              <w:t>保洁</w:t>
            </w:r>
          </w:p>
        </w:tc>
        <w:tc>
          <w:tcPr>
            <w:tcW w:w="795" w:type="dxa"/>
            <w:noWrap w:val="0"/>
            <w:vAlign w:val="center"/>
          </w:tcPr>
          <w:p w14:paraId="36357C96">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2385" w:type="dxa"/>
            <w:noWrap w:val="0"/>
            <w:vAlign w:val="center"/>
          </w:tcPr>
          <w:p w14:paraId="3867495E">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负责公园公共厕所、母婴室等的卫生保洁。</w:t>
            </w:r>
          </w:p>
        </w:tc>
        <w:tc>
          <w:tcPr>
            <w:tcW w:w="1854" w:type="dxa"/>
            <w:noWrap w:val="0"/>
            <w:vAlign w:val="center"/>
          </w:tcPr>
          <w:p w14:paraId="6FEC20DF">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有相关工作经验，法定工作年龄</w:t>
            </w:r>
          </w:p>
        </w:tc>
        <w:tc>
          <w:tcPr>
            <w:tcW w:w="1240" w:type="dxa"/>
            <w:noWrap w:val="0"/>
            <w:vAlign w:val="center"/>
          </w:tcPr>
          <w:p w14:paraId="5C1B023A">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公共厕所：日均在岗不少于16小时；</w:t>
            </w:r>
          </w:p>
          <w:p w14:paraId="0F43D2A9">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通用厕间：工作日在岗不少于8小时</w:t>
            </w:r>
          </w:p>
        </w:tc>
        <w:tc>
          <w:tcPr>
            <w:tcW w:w="1550" w:type="dxa"/>
            <w:noWrap w:val="0"/>
            <w:vAlign w:val="top"/>
          </w:tcPr>
          <w:p w14:paraId="7D3F0568">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公共厕所2人，通用厕间1人。4-11月：6-20点；12-3月：5-22点</w:t>
            </w:r>
          </w:p>
        </w:tc>
      </w:tr>
      <w:tr w14:paraId="51E7B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738" w:type="dxa"/>
            <w:vMerge w:val="continue"/>
            <w:noWrap w:val="0"/>
            <w:vAlign w:val="center"/>
          </w:tcPr>
          <w:p w14:paraId="1E8BF3C2">
            <w:pPr>
              <w:jc w:val="center"/>
              <w:rPr>
                <w:rFonts w:hint="eastAsia" w:ascii="宋体" w:hAnsi="宋体" w:eastAsia="宋体" w:cs="宋体"/>
                <w:b/>
                <w:bCs/>
                <w:color w:val="auto"/>
                <w:sz w:val="24"/>
                <w:szCs w:val="24"/>
                <w:highlight w:val="none"/>
              </w:rPr>
            </w:pPr>
          </w:p>
        </w:tc>
        <w:tc>
          <w:tcPr>
            <w:tcW w:w="1305" w:type="dxa"/>
            <w:noWrap w:val="0"/>
            <w:vAlign w:val="center"/>
          </w:tcPr>
          <w:p w14:paraId="0080F2F3">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水域保洁</w:t>
            </w:r>
          </w:p>
        </w:tc>
        <w:tc>
          <w:tcPr>
            <w:tcW w:w="795" w:type="dxa"/>
            <w:noWrap w:val="0"/>
            <w:vAlign w:val="center"/>
          </w:tcPr>
          <w:p w14:paraId="5EB1D4BA">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2385" w:type="dxa"/>
            <w:noWrap w:val="0"/>
            <w:vAlign w:val="center"/>
          </w:tcPr>
          <w:p w14:paraId="7918DC45">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负责公园水域保洁作业</w:t>
            </w:r>
            <w:r>
              <w:rPr>
                <w:rFonts w:hint="eastAsia" w:ascii="宋体" w:hAnsi="宋体" w:eastAsia="宋体" w:cs="宋体"/>
                <w:color w:val="auto"/>
                <w:kern w:val="0"/>
                <w:sz w:val="24"/>
                <w:szCs w:val="24"/>
                <w:highlight w:val="none"/>
                <w:lang w:val="en-US" w:eastAsia="zh-CN"/>
              </w:rPr>
              <w:t>及水质维护</w:t>
            </w:r>
            <w:r>
              <w:rPr>
                <w:rFonts w:hint="eastAsia" w:ascii="宋体" w:hAnsi="宋体" w:eastAsia="宋体" w:cs="宋体"/>
                <w:color w:val="auto"/>
                <w:kern w:val="0"/>
                <w:sz w:val="24"/>
                <w:szCs w:val="24"/>
                <w:highlight w:val="none"/>
                <w:lang w:eastAsia="zh-CN"/>
              </w:rPr>
              <w:t>作业</w:t>
            </w:r>
          </w:p>
        </w:tc>
        <w:tc>
          <w:tcPr>
            <w:tcW w:w="1854" w:type="dxa"/>
            <w:noWrap w:val="0"/>
            <w:vAlign w:val="center"/>
          </w:tcPr>
          <w:p w14:paraId="3DC7AE26">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有相关工作经验，法定工作年龄，会游泳</w:t>
            </w:r>
          </w:p>
        </w:tc>
        <w:tc>
          <w:tcPr>
            <w:tcW w:w="1240" w:type="dxa"/>
            <w:noWrap w:val="0"/>
            <w:vAlign w:val="center"/>
          </w:tcPr>
          <w:p w14:paraId="080F1BB6">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每</w:t>
            </w:r>
            <w:r>
              <w:rPr>
                <w:rFonts w:hint="eastAsia" w:ascii="宋体" w:hAnsi="宋体" w:eastAsia="宋体" w:cs="宋体"/>
                <w:color w:val="auto"/>
                <w:kern w:val="0"/>
                <w:sz w:val="24"/>
                <w:szCs w:val="24"/>
                <w:highlight w:val="none"/>
                <w:lang w:val="en-US" w:eastAsia="zh-CN"/>
              </w:rPr>
              <w:t>日</w:t>
            </w:r>
            <w:r>
              <w:rPr>
                <w:rFonts w:hint="eastAsia" w:ascii="宋体" w:hAnsi="宋体" w:eastAsia="宋体" w:cs="宋体"/>
                <w:color w:val="auto"/>
                <w:kern w:val="0"/>
                <w:sz w:val="24"/>
                <w:szCs w:val="24"/>
                <w:highlight w:val="none"/>
                <w:lang w:eastAsia="zh-CN"/>
              </w:rPr>
              <w:t>在岗</w:t>
            </w:r>
            <w:r>
              <w:rPr>
                <w:rFonts w:hint="eastAsia" w:ascii="宋体" w:hAnsi="宋体" w:eastAsia="宋体" w:cs="宋体"/>
                <w:color w:val="auto"/>
                <w:kern w:val="0"/>
                <w:sz w:val="24"/>
                <w:szCs w:val="24"/>
                <w:highlight w:val="none"/>
                <w:lang w:val="en-US" w:eastAsia="zh-CN"/>
              </w:rPr>
              <w:t>8小时</w:t>
            </w:r>
          </w:p>
        </w:tc>
        <w:tc>
          <w:tcPr>
            <w:tcW w:w="1550" w:type="dxa"/>
            <w:noWrap w:val="0"/>
            <w:vAlign w:val="top"/>
          </w:tcPr>
          <w:p w14:paraId="556C7402">
            <w:pPr>
              <w:jc w:val="center"/>
              <w:rPr>
                <w:rFonts w:hint="eastAsia" w:ascii="宋体" w:hAnsi="宋体" w:eastAsia="宋体" w:cs="宋体"/>
                <w:color w:val="auto"/>
                <w:sz w:val="24"/>
                <w:szCs w:val="24"/>
                <w:highlight w:val="none"/>
              </w:rPr>
            </w:pPr>
          </w:p>
        </w:tc>
      </w:tr>
      <w:tr w14:paraId="7EB00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738" w:type="dxa"/>
            <w:vMerge w:val="restart"/>
            <w:noWrap w:val="0"/>
            <w:vAlign w:val="center"/>
          </w:tcPr>
          <w:p w14:paraId="702AAE61">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安保服务</w:t>
            </w:r>
          </w:p>
        </w:tc>
        <w:tc>
          <w:tcPr>
            <w:tcW w:w="1305" w:type="dxa"/>
            <w:noWrap w:val="0"/>
            <w:vAlign w:val="center"/>
          </w:tcPr>
          <w:p w14:paraId="00971F10">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保安</w:t>
            </w:r>
            <w:r>
              <w:rPr>
                <w:rFonts w:hint="eastAsia" w:ascii="宋体" w:hAnsi="宋体" w:eastAsia="宋体" w:cs="宋体"/>
                <w:color w:val="auto"/>
                <w:sz w:val="24"/>
                <w:szCs w:val="24"/>
                <w:highlight w:val="none"/>
                <w:lang w:val="en-US" w:eastAsia="zh-CN"/>
              </w:rPr>
              <w:t>1</w:t>
            </w:r>
          </w:p>
        </w:tc>
        <w:tc>
          <w:tcPr>
            <w:tcW w:w="795" w:type="dxa"/>
            <w:noWrap w:val="0"/>
            <w:vAlign w:val="center"/>
          </w:tcPr>
          <w:p w14:paraId="5BCAE441">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1</w:t>
            </w:r>
          </w:p>
        </w:tc>
        <w:tc>
          <w:tcPr>
            <w:tcW w:w="2385" w:type="dxa"/>
            <w:vMerge w:val="restart"/>
            <w:noWrap w:val="0"/>
            <w:vAlign w:val="center"/>
          </w:tcPr>
          <w:p w14:paraId="3B2BBF92">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负责园区安全生产，维护园区游客秩序工作</w:t>
            </w:r>
            <w:r>
              <w:rPr>
                <w:rFonts w:hint="eastAsia" w:ascii="宋体" w:hAnsi="宋体" w:eastAsia="宋体" w:cs="宋体"/>
                <w:color w:val="auto"/>
                <w:kern w:val="0"/>
                <w:sz w:val="24"/>
                <w:szCs w:val="24"/>
                <w:highlight w:val="none"/>
                <w:lang w:val="en-US" w:eastAsia="zh-CN"/>
              </w:rPr>
              <w:t>。</w:t>
            </w:r>
          </w:p>
        </w:tc>
        <w:tc>
          <w:tcPr>
            <w:tcW w:w="1854" w:type="dxa"/>
            <w:vMerge w:val="restart"/>
            <w:noWrap w:val="0"/>
            <w:vAlign w:val="center"/>
          </w:tcPr>
          <w:p w14:paraId="605F9D0B">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r>
              <w:rPr>
                <w:rFonts w:hint="eastAsia" w:ascii="宋体" w:hAnsi="宋体" w:eastAsia="宋体" w:cs="宋体"/>
                <w:color w:val="auto"/>
                <w:kern w:val="0"/>
                <w:sz w:val="24"/>
                <w:szCs w:val="24"/>
                <w:highlight w:val="none"/>
                <w:lang w:val="en-US" w:eastAsia="zh-CN"/>
              </w:rPr>
              <w:t>5周</w:t>
            </w:r>
            <w:r>
              <w:rPr>
                <w:rFonts w:hint="eastAsia" w:ascii="宋体" w:hAnsi="宋体" w:eastAsia="宋体" w:cs="宋体"/>
                <w:color w:val="auto"/>
                <w:kern w:val="0"/>
                <w:sz w:val="24"/>
                <w:szCs w:val="24"/>
                <w:highlight w:val="none"/>
              </w:rPr>
              <w:t>岁以下</w:t>
            </w:r>
            <w:r>
              <w:rPr>
                <w:rFonts w:hint="eastAsia" w:ascii="宋体" w:hAnsi="宋体" w:eastAsia="宋体" w:cs="宋体"/>
                <w:color w:val="auto"/>
                <w:kern w:val="0"/>
                <w:sz w:val="24"/>
                <w:szCs w:val="24"/>
                <w:highlight w:val="none"/>
                <w:lang w:eastAsia="zh-CN"/>
              </w:rPr>
              <w:t>，有相关经验</w:t>
            </w:r>
            <w:r>
              <w:rPr>
                <w:rFonts w:hint="eastAsia" w:ascii="宋体" w:hAnsi="宋体" w:eastAsia="宋体" w:cs="宋体"/>
                <w:color w:val="auto"/>
                <w:kern w:val="0"/>
                <w:sz w:val="24"/>
                <w:szCs w:val="24"/>
                <w:highlight w:val="none"/>
              </w:rPr>
              <w:t>。</w:t>
            </w:r>
          </w:p>
        </w:tc>
        <w:tc>
          <w:tcPr>
            <w:tcW w:w="1240" w:type="dxa"/>
            <w:noWrap w:val="0"/>
            <w:vAlign w:val="center"/>
          </w:tcPr>
          <w:p w14:paraId="066115B3">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每日在岗不少于12小时</w:t>
            </w:r>
          </w:p>
        </w:tc>
        <w:tc>
          <w:tcPr>
            <w:tcW w:w="1550" w:type="dxa"/>
            <w:vMerge w:val="restart"/>
            <w:noWrap w:val="0"/>
            <w:vAlign w:val="center"/>
          </w:tcPr>
          <w:p w14:paraId="14C9AF55">
            <w:pPr>
              <w:jc w:val="left"/>
              <w:rPr>
                <w:rFonts w:hint="eastAsia" w:ascii="宋体" w:hAnsi="宋体" w:eastAsia="宋体" w:cs="宋体"/>
                <w:color w:val="auto"/>
                <w:kern w:val="0"/>
                <w:sz w:val="24"/>
                <w:szCs w:val="24"/>
                <w:highlight w:val="none"/>
                <w:lang w:val="en-US" w:eastAsia="zh-CN"/>
              </w:rPr>
            </w:pPr>
          </w:p>
        </w:tc>
      </w:tr>
      <w:tr w14:paraId="3CD9B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38" w:type="dxa"/>
            <w:vMerge w:val="continue"/>
            <w:noWrap w:val="0"/>
            <w:vAlign w:val="center"/>
          </w:tcPr>
          <w:p w14:paraId="6B6D87D1">
            <w:pPr>
              <w:jc w:val="center"/>
              <w:rPr>
                <w:rFonts w:hint="eastAsia" w:ascii="宋体" w:hAnsi="宋体" w:eastAsia="宋体" w:cs="宋体"/>
                <w:b/>
                <w:bCs/>
                <w:color w:val="auto"/>
                <w:kern w:val="0"/>
                <w:sz w:val="24"/>
                <w:szCs w:val="24"/>
                <w:highlight w:val="none"/>
              </w:rPr>
            </w:pPr>
          </w:p>
        </w:tc>
        <w:tc>
          <w:tcPr>
            <w:tcW w:w="1305" w:type="dxa"/>
            <w:noWrap w:val="0"/>
            <w:vAlign w:val="center"/>
          </w:tcPr>
          <w:p w14:paraId="5D2CA48D">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保安</w:t>
            </w:r>
            <w:r>
              <w:rPr>
                <w:rFonts w:hint="eastAsia" w:ascii="宋体" w:hAnsi="宋体" w:eastAsia="宋体" w:cs="宋体"/>
                <w:color w:val="auto"/>
                <w:sz w:val="24"/>
                <w:szCs w:val="24"/>
                <w:highlight w:val="none"/>
                <w:lang w:val="en-US" w:eastAsia="zh-CN"/>
              </w:rPr>
              <w:t>2</w:t>
            </w:r>
          </w:p>
        </w:tc>
        <w:tc>
          <w:tcPr>
            <w:tcW w:w="795" w:type="dxa"/>
            <w:noWrap w:val="0"/>
            <w:vAlign w:val="center"/>
          </w:tcPr>
          <w:p w14:paraId="563AACC6">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1</w:t>
            </w:r>
          </w:p>
        </w:tc>
        <w:tc>
          <w:tcPr>
            <w:tcW w:w="2385" w:type="dxa"/>
            <w:vMerge w:val="continue"/>
            <w:noWrap w:val="0"/>
            <w:vAlign w:val="center"/>
          </w:tcPr>
          <w:p w14:paraId="179EA08A">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rPr>
            </w:pPr>
          </w:p>
        </w:tc>
        <w:tc>
          <w:tcPr>
            <w:tcW w:w="1854" w:type="dxa"/>
            <w:vMerge w:val="continue"/>
            <w:noWrap w:val="0"/>
            <w:vAlign w:val="center"/>
          </w:tcPr>
          <w:p w14:paraId="69030B2E">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rPr>
            </w:pPr>
          </w:p>
        </w:tc>
        <w:tc>
          <w:tcPr>
            <w:tcW w:w="1240" w:type="dxa"/>
            <w:noWrap w:val="0"/>
            <w:vAlign w:val="center"/>
          </w:tcPr>
          <w:p w14:paraId="1F313AA3">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每日在岗不少于24小时</w:t>
            </w:r>
          </w:p>
        </w:tc>
        <w:tc>
          <w:tcPr>
            <w:tcW w:w="1550" w:type="dxa"/>
            <w:vMerge w:val="continue"/>
            <w:noWrap w:val="0"/>
            <w:vAlign w:val="center"/>
          </w:tcPr>
          <w:p w14:paraId="7CAFD9C6">
            <w:pPr>
              <w:jc w:val="both"/>
              <w:rPr>
                <w:rFonts w:hint="eastAsia" w:ascii="宋体" w:hAnsi="宋体" w:eastAsia="宋体" w:cs="宋体"/>
                <w:color w:val="auto"/>
                <w:kern w:val="0"/>
                <w:sz w:val="24"/>
                <w:szCs w:val="24"/>
                <w:highlight w:val="none"/>
                <w:lang w:val="en-US" w:eastAsia="zh-CN"/>
              </w:rPr>
            </w:pPr>
          </w:p>
        </w:tc>
      </w:tr>
      <w:tr w14:paraId="519E7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38" w:type="dxa"/>
            <w:noWrap w:val="0"/>
            <w:vAlign w:val="top"/>
          </w:tcPr>
          <w:p w14:paraId="51E72DF4">
            <w:pPr>
              <w:jc w:val="center"/>
              <w:rPr>
                <w:rFonts w:hint="eastAsia" w:ascii="宋体" w:hAnsi="宋体" w:eastAsia="宋体" w:cs="宋体"/>
                <w:color w:val="auto"/>
                <w:kern w:val="0"/>
                <w:sz w:val="24"/>
                <w:szCs w:val="24"/>
                <w:highlight w:val="none"/>
              </w:rPr>
            </w:pPr>
          </w:p>
        </w:tc>
        <w:tc>
          <w:tcPr>
            <w:tcW w:w="1305" w:type="dxa"/>
            <w:noWrap w:val="0"/>
            <w:vAlign w:val="top"/>
          </w:tcPr>
          <w:p w14:paraId="5C09C914">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小计</w:t>
            </w:r>
          </w:p>
        </w:tc>
        <w:tc>
          <w:tcPr>
            <w:tcW w:w="795" w:type="dxa"/>
            <w:noWrap w:val="0"/>
            <w:vAlign w:val="top"/>
          </w:tcPr>
          <w:p w14:paraId="7B80A77E">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3</w:t>
            </w:r>
          </w:p>
        </w:tc>
        <w:tc>
          <w:tcPr>
            <w:tcW w:w="2385" w:type="dxa"/>
            <w:noWrap w:val="0"/>
            <w:vAlign w:val="top"/>
          </w:tcPr>
          <w:p w14:paraId="7DAE4676">
            <w:pPr>
              <w:jc w:val="center"/>
              <w:rPr>
                <w:rFonts w:hint="eastAsia" w:ascii="宋体" w:hAnsi="宋体" w:eastAsia="宋体" w:cs="宋体"/>
                <w:color w:val="auto"/>
                <w:kern w:val="0"/>
                <w:sz w:val="24"/>
                <w:szCs w:val="24"/>
                <w:highlight w:val="none"/>
              </w:rPr>
            </w:pPr>
          </w:p>
        </w:tc>
        <w:tc>
          <w:tcPr>
            <w:tcW w:w="1854" w:type="dxa"/>
            <w:noWrap w:val="0"/>
            <w:vAlign w:val="top"/>
          </w:tcPr>
          <w:p w14:paraId="105014B4">
            <w:pPr>
              <w:jc w:val="center"/>
              <w:rPr>
                <w:rFonts w:hint="eastAsia" w:ascii="宋体" w:hAnsi="宋体" w:eastAsia="宋体" w:cs="宋体"/>
                <w:color w:val="auto"/>
                <w:kern w:val="0"/>
                <w:sz w:val="24"/>
                <w:szCs w:val="24"/>
                <w:highlight w:val="none"/>
              </w:rPr>
            </w:pPr>
          </w:p>
        </w:tc>
        <w:tc>
          <w:tcPr>
            <w:tcW w:w="1240" w:type="dxa"/>
            <w:noWrap w:val="0"/>
            <w:vAlign w:val="top"/>
          </w:tcPr>
          <w:p w14:paraId="3F652F4B">
            <w:pPr>
              <w:jc w:val="center"/>
              <w:rPr>
                <w:rFonts w:hint="eastAsia" w:ascii="宋体" w:hAnsi="宋体" w:eastAsia="宋体" w:cs="宋体"/>
                <w:color w:val="auto"/>
                <w:kern w:val="0"/>
                <w:sz w:val="24"/>
                <w:szCs w:val="24"/>
                <w:highlight w:val="none"/>
              </w:rPr>
            </w:pPr>
          </w:p>
        </w:tc>
        <w:tc>
          <w:tcPr>
            <w:tcW w:w="1550" w:type="dxa"/>
            <w:noWrap w:val="0"/>
            <w:vAlign w:val="top"/>
          </w:tcPr>
          <w:p w14:paraId="0E24A0E9">
            <w:pPr>
              <w:jc w:val="center"/>
              <w:rPr>
                <w:rFonts w:hint="eastAsia" w:ascii="宋体" w:hAnsi="宋体" w:eastAsia="宋体" w:cs="宋体"/>
                <w:color w:val="auto"/>
                <w:kern w:val="0"/>
                <w:sz w:val="24"/>
                <w:szCs w:val="24"/>
                <w:highlight w:val="none"/>
              </w:rPr>
            </w:pPr>
          </w:p>
        </w:tc>
      </w:tr>
    </w:tbl>
    <w:p w14:paraId="7EEB8760">
      <w:pPr>
        <w:widowControl/>
        <w:tabs>
          <w:tab w:val="left" w:pos="851"/>
        </w:tabs>
        <w:adjustRightInd/>
        <w:spacing w:line="360" w:lineRule="auto"/>
        <w:ind w:firstLine="482" w:firstLineChars="200"/>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④福民公园</w:t>
      </w:r>
    </w:p>
    <w:tbl>
      <w:tblPr>
        <w:tblStyle w:val="62"/>
        <w:tblW w:w="100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901"/>
        <w:gridCol w:w="750"/>
        <w:gridCol w:w="2325"/>
        <w:gridCol w:w="1978"/>
        <w:gridCol w:w="1805"/>
        <w:gridCol w:w="1505"/>
      </w:tblGrid>
      <w:tr w14:paraId="782C9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8" w:type="dxa"/>
            <w:noWrap w:val="0"/>
            <w:vAlign w:val="center"/>
          </w:tcPr>
          <w:p w14:paraId="58E1E2E5">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类别</w:t>
            </w:r>
          </w:p>
        </w:tc>
        <w:tc>
          <w:tcPr>
            <w:tcW w:w="901" w:type="dxa"/>
            <w:noWrap w:val="0"/>
            <w:vAlign w:val="center"/>
          </w:tcPr>
          <w:p w14:paraId="49F97898">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岗位</w:t>
            </w:r>
          </w:p>
          <w:p w14:paraId="4CCAB1B0">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名称</w:t>
            </w:r>
          </w:p>
        </w:tc>
        <w:tc>
          <w:tcPr>
            <w:tcW w:w="750" w:type="dxa"/>
            <w:noWrap w:val="0"/>
            <w:vAlign w:val="center"/>
          </w:tcPr>
          <w:p w14:paraId="1908626D">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岗位数量</w:t>
            </w:r>
          </w:p>
        </w:tc>
        <w:tc>
          <w:tcPr>
            <w:tcW w:w="2325" w:type="dxa"/>
            <w:noWrap w:val="0"/>
            <w:vAlign w:val="center"/>
          </w:tcPr>
          <w:p w14:paraId="72FA48E2">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岗位职责</w:t>
            </w:r>
          </w:p>
        </w:tc>
        <w:tc>
          <w:tcPr>
            <w:tcW w:w="1978" w:type="dxa"/>
            <w:noWrap w:val="0"/>
            <w:vAlign w:val="center"/>
          </w:tcPr>
          <w:p w14:paraId="413C192E">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任职条件（执业资格、年龄、工作经验等）</w:t>
            </w:r>
          </w:p>
        </w:tc>
        <w:tc>
          <w:tcPr>
            <w:tcW w:w="1805" w:type="dxa"/>
            <w:noWrap w:val="0"/>
            <w:vAlign w:val="center"/>
          </w:tcPr>
          <w:p w14:paraId="78FB8CED">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上岗时间</w:t>
            </w:r>
          </w:p>
        </w:tc>
        <w:tc>
          <w:tcPr>
            <w:tcW w:w="1505" w:type="dxa"/>
            <w:noWrap w:val="0"/>
            <w:vAlign w:val="center"/>
          </w:tcPr>
          <w:p w14:paraId="3B555FF3">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p>
        </w:tc>
      </w:tr>
      <w:tr w14:paraId="4E4BC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738" w:type="dxa"/>
            <w:noWrap w:val="0"/>
            <w:vAlign w:val="center"/>
          </w:tcPr>
          <w:p w14:paraId="2E57F394">
            <w:pPr>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绿化</w:t>
            </w:r>
          </w:p>
        </w:tc>
        <w:tc>
          <w:tcPr>
            <w:tcW w:w="901" w:type="dxa"/>
            <w:noWrap w:val="0"/>
            <w:vAlign w:val="center"/>
          </w:tcPr>
          <w:p w14:paraId="53E3C4DE">
            <w:pPr>
              <w:jc w:val="center"/>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绿化</w:t>
            </w:r>
          </w:p>
          <w:p w14:paraId="6F96614F">
            <w:pPr>
              <w:jc w:val="center"/>
              <w:rPr>
                <w:rFonts w:hint="eastAsia" w:ascii="宋体" w:hAnsi="宋体" w:eastAsia="宋体" w:cs="宋体"/>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养护</w:t>
            </w:r>
          </w:p>
        </w:tc>
        <w:tc>
          <w:tcPr>
            <w:tcW w:w="750" w:type="dxa"/>
            <w:noWrap w:val="0"/>
            <w:vAlign w:val="center"/>
          </w:tcPr>
          <w:p w14:paraId="62D194F9">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2325" w:type="dxa"/>
            <w:noWrap w:val="0"/>
            <w:vAlign w:val="center"/>
          </w:tcPr>
          <w:p w14:paraId="7532F2F8">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负责</w:t>
            </w:r>
            <w:r>
              <w:rPr>
                <w:rFonts w:hint="eastAsia" w:ascii="宋体" w:hAnsi="宋体" w:eastAsia="宋体" w:cs="宋体"/>
                <w:color w:val="auto"/>
                <w:kern w:val="0"/>
                <w:sz w:val="24"/>
                <w:szCs w:val="24"/>
                <w:highlight w:val="none"/>
                <w:lang w:eastAsia="zh-CN"/>
              </w:rPr>
              <w:t>园</w:t>
            </w:r>
            <w:r>
              <w:rPr>
                <w:rFonts w:hint="eastAsia" w:ascii="宋体" w:hAnsi="宋体" w:eastAsia="宋体" w:cs="宋体"/>
                <w:color w:val="auto"/>
                <w:kern w:val="0"/>
                <w:sz w:val="24"/>
                <w:szCs w:val="24"/>
                <w:highlight w:val="none"/>
              </w:rPr>
              <w:t>内植物修剪、浇水、施肥、除杂草、植物补植、植物病虫害防治</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防台</w:t>
            </w:r>
            <w:r>
              <w:rPr>
                <w:rFonts w:hint="eastAsia" w:ascii="宋体" w:hAnsi="宋体" w:eastAsia="宋体" w:cs="宋体"/>
                <w:color w:val="auto"/>
                <w:kern w:val="0"/>
                <w:sz w:val="24"/>
                <w:szCs w:val="24"/>
                <w:highlight w:val="none"/>
                <w:lang w:eastAsia="zh-CN"/>
              </w:rPr>
              <w:t>防汛</w:t>
            </w:r>
            <w:r>
              <w:rPr>
                <w:rFonts w:hint="eastAsia" w:ascii="宋体" w:hAnsi="宋体" w:eastAsia="宋体" w:cs="宋体"/>
                <w:color w:val="auto"/>
                <w:kern w:val="0"/>
                <w:sz w:val="24"/>
                <w:szCs w:val="24"/>
                <w:highlight w:val="none"/>
              </w:rPr>
              <w:t>等工作；掌握绿化机械设备的使用和对使用的机具进行清洁、保养。</w:t>
            </w:r>
          </w:p>
        </w:tc>
        <w:tc>
          <w:tcPr>
            <w:tcW w:w="1978" w:type="dxa"/>
            <w:noWrap w:val="0"/>
            <w:vAlign w:val="center"/>
          </w:tcPr>
          <w:p w14:paraId="43BC7E6F">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有相关工作经验，法定工作年龄，且须具备人社部门或者主管部门认证的绿化工或草坪工证书</w:t>
            </w:r>
          </w:p>
        </w:tc>
        <w:tc>
          <w:tcPr>
            <w:tcW w:w="1805" w:type="dxa"/>
            <w:noWrap w:val="0"/>
            <w:vAlign w:val="center"/>
          </w:tcPr>
          <w:p w14:paraId="0619C58B">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每日在岗不少于8小时</w:t>
            </w:r>
          </w:p>
        </w:tc>
        <w:tc>
          <w:tcPr>
            <w:tcW w:w="1505" w:type="dxa"/>
            <w:noWrap w:val="0"/>
            <w:vAlign w:val="center"/>
          </w:tcPr>
          <w:p w14:paraId="16290D8C">
            <w:p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绿化工或草坪工证书，允许中标人在合同签订后6个月内配足，否则考核后进行扣罚。</w:t>
            </w:r>
          </w:p>
        </w:tc>
      </w:tr>
      <w:tr w14:paraId="73D12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738" w:type="dxa"/>
            <w:vMerge w:val="restart"/>
            <w:noWrap w:val="0"/>
            <w:vAlign w:val="center"/>
          </w:tcPr>
          <w:p w14:paraId="25DA90EE">
            <w:pPr>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保洁</w:t>
            </w:r>
          </w:p>
        </w:tc>
        <w:tc>
          <w:tcPr>
            <w:tcW w:w="901" w:type="dxa"/>
            <w:noWrap w:val="0"/>
            <w:vAlign w:val="center"/>
          </w:tcPr>
          <w:p w14:paraId="0BFA6FF4">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公园保洁</w:t>
            </w:r>
          </w:p>
        </w:tc>
        <w:tc>
          <w:tcPr>
            <w:tcW w:w="750" w:type="dxa"/>
            <w:noWrap w:val="0"/>
            <w:vAlign w:val="center"/>
          </w:tcPr>
          <w:p w14:paraId="447E2394">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2325" w:type="dxa"/>
            <w:noWrap w:val="0"/>
            <w:vAlign w:val="center"/>
          </w:tcPr>
          <w:p w14:paraId="6D5B1508">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负责户外公共区域（含绿地及硬地铺装）的日常保洁及区域内的设施、雕塑、路灯、休憩设施、标识牌、垃圾分类点等设施的擦洗工作。</w:t>
            </w:r>
          </w:p>
        </w:tc>
        <w:tc>
          <w:tcPr>
            <w:tcW w:w="1978" w:type="dxa"/>
            <w:noWrap w:val="0"/>
            <w:vAlign w:val="center"/>
          </w:tcPr>
          <w:p w14:paraId="2EB6B23F">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有相关工作经验，法定工作年龄</w:t>
            </w:r>
          </w:p>
        </w:tc>
        <w:tc>
          <w:tcPr>
            <w:tcW w:w="1805" w:type="dxa"/>
            <w:noWrap w:val="0"/>
            <w:vAlign w:val="center"/>
          </w:tcPr>
          <w:p w14:paraId="6655C2A2">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每日在岗不少于8小时</w:t>
            </w:r>
          </w:p>
        </w:tc>
        <w:tc>
          <w:tcPr>
            <w:tcW w:w="1505" w:type="dxa"/>
            <w:noWrap w:val="0"/>
            <w:vAlign w:val="center"/>
          </w:tcPr>
          <w:p w14:paraId="280C7FCD">
            <w:pPr>
              <w:jc w:val="left"/>
              <w:rPr>
                <w:rFonts w:hint="eastAsia" w:ascii="宋体" w:hAnsi="宋体" w:eastAsia="宋体" w:cs="宋体"/>
                <w:color w:val="auto"/>
                <w:sz w:val="24"/>
                <w:szCs w:val="24"/>
                <w:highlight w:val="none"/>
                <w:lang w:val="en-US" w:eastAsia="zh-CN"/>
              </w:rPr>
            </w:pPr>
          </w:p>
        </w:tc>
      </w:tr>
      <w:tr w14:paraId="3252A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8" w:type="dxa"/>
            <w:vMerge w:val="continue"/>
            <w:noWrap w:val="0"/>
            <w:vAlign w:val="center"/>
          </w:tcPr>
          <w:p w14:paraId="7EDF2D29">
            <w:pPr>
              <w:jc w:val="center"/>
              <w:rPr>
                <w:rFonts w:hint="eastAsia" w:ascii="宋体" w:hAnsi="宋体" w:eastAsia="宋体" w:cs="宋体"/>
                <w:b/>
                <w:bCs/>
                <w:color w:val="auto"/>
                <w:sz w:val="24"/>
                <w:szCs w:val="24"/>
                <w:highlight w:val="none"/>
              </w:rPr>
            </w:pPr>
          </w:p>
        </w:tc>
        <w:tc>
          <w:tcPr>
            <w:tcW w:w="901" w:type="dxa"/>
            <w:noWrap w:val="0"/>
            <w:vAlign w:val="center"/>
          </w:tcPr>
          <w:p w14:paraId="550C582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公厕</w:t>
            </w:r>
          </w:p>
          <w:p w14:paraId="4928646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保洁</w:t>
            </w:r>
          </w:p>
        </w:tc>
        <w:tc>
          <w:tcPr>
            <w:tcW w:w="750" w:type="dxa"/>
            <w:noWrap w:val="0"/>
            <w:vAlign w:val="center"/>
          </w:tcPr>
          <w:p w14:paraId="10C27CF7">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p>
        </w:tc>
        <w:tc>
          <w:tcPr>
            <w:tcW w:w="2325" w:type="dxa"/>
            <w:noWrap w:val="0"/>
            <w:vAlign w:val="center"/>
          </w:tcPr>
          <w:p w14:paraId="6634683B">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负责</w:t>
            </w:r>
            <w:r>
              <w:rPr>
                <w:rFonts w:hint="eastAsia" w:ascii="宋体" w:hAnsi="宋体" w:eastAsia="宋体" w:cs="宋体"/>
                <w:color w:val="auto"/>
                <w:kern w:val="0"/>
                <w:sz w:val="24"/>
                <w:szCs w:val="24"/>
                <w:highlight w:val="none"/>
                <w:lang w:eastAsia="zh-CN"/>
              </w:rPr>
              <w:t>公园</w:t>
            </w:r>
            <w:r>
              <w:rPr>
                <w:rFonts w:hint="eastAsia" w:ascii="宋体" w:hAnsi="宋体" w:eastAsia="宋体" w:cs="宋体"/>
                <w:color w:val="auto"/>
                <w:kern w:val="0"/>
                <w:sz w:val="24"/>
                <w:szCs w:val="24"/>
                <w:highlight w:val="none"/>
              </w:rPr>
              <w:t>公共厕所</w:t>
            </w:r>
            <w:r>
              <w:rPr>
                <w:rFonts w:hint="eastAsia" w:ascii="宋体" w:hAnsi="宋体" w:eastAsia="宋体" w:cs="宋体"/>
                <w:color w:val="auto"/>
                <w:kern w:val="0"/>
                <w:sz w:val="24"/>
                <w:szCs w:val="24"/>
                <w:highlight w:val="none"/>
                <w:lang w:eastAsia="zh-CN"/>
              </w:rPr>
              <w:t>、母婴室等的</w:t>
            </w:r>
            <w:r>
              <w:rPr>
                <w:rFonts w:hint="eastAsia" w:ascii="宋体" w:hAnsi="宋体" w:eastAsia="宋体" w:cs="宋体"/>
                <w:color w:val="auto"/>
                <w:kern w:val="0"/>
                <w:sz w:val="24"/>
                <w:szCs w:val="24"/>
                <w:highlight w:val="none"/>
              </w:rPr>
              <w:t>卫生保洁。</w:t>
            </w:r>
          </w:p>
        </w:tc>
        <w:tc>
          <w:tcPr>
            <w:tcW w:w="1978" w:type="dxa"/>
            <w:noWrap w:val="0"/>
            <w:vAlign w:val="center"/>
          </w:tcPr>
          <w:p w14:paraId="2A78FE06">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有相关工作经验，法定工作年龄</w:t>
            </w:r>
          </w:p>
        </w:tc>
        <w:tc>
          <w:tcPr>
            <w:tcW w:w="1805" w:type="dxa"/>
            <w:noWrap w:val="0"/>
            <w:vAlign w:val="center"/>
          </w:tcPr>
          <w:p w14:paraId="040DE2A7">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每日在岗不少于16小时</w:t>
            </w:r>
          </w:p>
        </w:tc>
        <w:tc>
          <w:tcPr>
            <w:tcW w:w="1505" w:type="dxa"/>
            <w:noWrap w:val="0"/>
            <w:vAlign w:val="top"/>
          </w:tcPr>
          <w:p w14:paraId="39328201">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4-11月：6-20点；12-3月：5-22点</w:t>
            </w:r>
          </w:p>
        </w:tc>
      </w:tr>
      <w:tr w14:paraId="5CFD0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8" w:type="dxa"/>
            <w:noWrap w:val="0"/>
            <w:vAlign w:val="top"/>
          </w:tcPr>
          <w:p w14:paraId="072EFEEB">
            <w:pPr>
              <w:jc w:val="center"/>
              <w:rPr>
                <w:rFonts w:hint="eastAsia" w:ascii="宋体" w:hAnsi="宋体" w:eastAsia="宋体" w:cs="宋体"/>
                <w:color w:val="auto"/>
                <w:kern w:val="0"/>
                <w:sz w:val="24"/>
                <w:szCs w:val="24"/>
                <w:highlight w:val="none"/>
              </w:rPr>
            </w:pPr>
          </w:p>
        </w:tc>
        <w:tc>
          <w:tcPr>
            <w:tcW w:w="901" w:type="dxa"/>
            <w:noWrap w:val="0"/>
            <w:vAlign w:val="top"/>
          </w:tcPr>
          <w:p w14:paraId="7F77EEE6">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小计</w:t>
            </w:r>
          </w:p>
        </w:tc>
        <w:tc>
          <w:tcPr>
            <w:tcW w:w="750" w:type="dxa"/>
            <w:noWrap w:val="0"/>
            <w:vAlign w:val="top"/>
          </w:tcPr>
          <w:p w14:paraId="1D70FDBA">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2325" w:type="dxa"/>
            <w:noWrap w:val="0"/>
            <w:vAlign w:val="top"/>
          </w:tcPr>
          <w:p w14:paraId="5E46CA1D">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rPr>
            </w:pPr>
          </w:p>
        </w:tc>
        <w:tc>
          <w:tcPr>
            <w:tcW w:w="1978" w:type="dxa"/>
            <w:noWrap w:val="0"/>
            <w:vAlign w:val="top"/>
          </w:tcPr>
          <w:p w14:paraId="2130155E">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rPr>
            </w:pPr>
          </w:p>
        </w:tc>
        <w:tc>
          <w:tcPr>
            <w:tcW w:w="1805" w:type="dxa"/>
            <w:noWrap w:val="0"/>
            <w:vAlign w:val="top"/>
          </w:tcPr>
          <w:p w14:paraId="64D59B7C">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rPr>
            </w:pPr>
          </w:p>
        </w:tc>
        <w:tc>
          <w:tcPr>
            <w:tcW w:w="1505" w:type="dxa"/>
            <w:noWrap w:val="0"/>
            <w:vAlign w:val="top"/>
          </w:tcPr>
          <w:p w14:paraId="366C5E32">
            <w:pPr>
              <w:jc w:val="center"/>
              <w:rPr>
                <w:rFonts w:hint="eastAsia" w:ascii="宋体" w:hAnsi="宋体" w:eastAsia="宋体" w:cs="宋体"/>
                <w:color w:val="auto"/>
                <w:kern w:val="0"/>
                <w:sz w:val="24"/>
                <w:szCs w:val="24"/>
                <w:highlight w:val="none"/>
              </w:rPr>
            </w:pPr>
          </w:p>
        </w:tc>
      </w:tr>
    </w:tbl>
    <w:p w14:paraId="00DF93F2">
      <w:pPr>
        <w:widowControl/>
        <w:tabs>
          <w:tab w:val="left" w:pos="851"/>
        </w:tabs>
        <w:adjustRightInd/>
        <w:spacing w:line="360" w:lineRule="auto"/>
        <w:ind w:firstLine="482" w:firstLineChars="200"/>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⑤临时盆景园</w:t>
      </w:r>
    </w:p>
    <w:tbl>
      <w:tblPr>
        <w:tblStyle w:val="62"/>
        <w:tblW w:w="101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095"/>
        <w:gridCol w:w="705"/>
        <w:gridCol w:w="2593"/>
        <w:gridCol w:w="1967"/>
        <w:gridCol w:w="1440"/>
        <w:gridCol w:w="1572"/>
      </w:tblGrid>
      <w:tr w14:paraId="57DF7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782" w:type="dxa"/>
            <w:noWrap w:val="0"/>
            <w:vAlign w:val="center"/>
          </w:tcPr>
          <w:p w14:paraId="1EAA50CC">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类别</w:t>
            </w:r>
          </w:p>
        </w:tc>
        <w:tc>
          <w:tcPr>
            <w:tcW w:w="1095" w:type="dxa"/>
            <w:noWrap w:val="0"/>
            <w:vAlign w:val="center"/>
          </w:tcPr>
          <w:p w14:paraId="68DA8193">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岗位</w:t>
            </w:r>
          </w:p>
          <w:p w14:paraId="68F2CD40">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名称</w:t>
            </w:r>
          </w:p>
        </w:tc>
        <w:tc>
          <w:tcPr>
            <w:tcW w:w="705" w:type="dxa"/>
            <w:noWrap w:val="0"/>
            <w:vAlign w:val="center"/>
          </w:tcPr>
          <w:p w14:paraId="422C0991">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岗位数量</w:t>
            </w:r>
          </w:p>
        </w:tc>
        <w:tc>
          <w:tcPr>
            <w:tcW w:w="2593" w:type="dxa"/>
            <w:noWrap w:val="0"/>
            <w:vAlign w:val="center"/>
          </w:tcPr>
          <w:p w14:paraId="6377696A">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岗位职责</w:t>
            </w:r>
          </w:p>
        </w:tc>
        <w:tc>
          <w:tcPr>
            <w:tcW w:w="1967" w:type="dxa"/>
            <w:noWrap w:val="0"/>
            <w:vAlign w:val="center"/>
          </w:tcPr>
          <w:p w14:paraId="5A885114">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任职条件（执业资格、年龄、工作经验等）</w:t>
            </w:r>
          </w:p>
        </w:tc>
        <w:tc>
          <w:tcPr>
            <w:tcW w:w="1440" w:type="dxa"/>
            <w:noWrap w:val="0"/>
            <w:vAlign w:val="center"/>
          </w:tcPr>
          <w:p w14:paraId="269BDF81">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上岗时间</w:t>
            </w:r>
          </w:p>
        </w:tc>
        <w:tc>
          <w:tcPr>
            <w:tcW w:w="1572" w:type="dxa"/>
            <w:noWrap w:val="0"/>
            <w:vAlign w:val="center"/>
          </w:tcPr>
          <w:p w14:paraId="58816679">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p>
        </w:tc>
      </w:tr>
      <w:tr w14:paraId="6868E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782" w:type="dxa"/>
            <w:noWrap w:val="0"/>
            <w:vAlign w:val="center"/>
          </w:tcPr>
          <w:p w14:paraId="5A5A066C">
            <w:pPr>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绿化</w:t>
            </w:r>
          </w:p>
        </w:tc>
        <w:tc>
          <w:tcPr>
            <w:tcW w:w="1095" w:type="dxa"/>
            <w:noWrap w:val="0"/>
            <w:vAlign w:val="center"/>
          </w:tcPr>
          <w:p w14:paraId="1DC39463">
            <w:pPr>
              <w:jc w:val="center"/>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绿化</w:t>
            </w:r>
          </w:p>
          <w:p w14:paraId="54351E29">
            <w:pPr>
              <w:jc w:val="center"/>
              <w:rPr>
                <w:rFonts w:hint="eastAsia" w:ascii="宋体" w:hAnsi="宋体" w:eastAsia="宋体" w:cs="宋体"/>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养护</w:t>
            </w:r>
          </w:p>
        </w:tc>
        <w:tc>
          <w:tcPr>
            <w:tcW w:w="705" w:type="dxa"/>
            <w:noWrap w:val="0"/>
            <w:vAlign w:val="center"/>
          </w:tcPr>
          <w:p w14:paraId="08345237">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2593" w:type="dxa"/>
            <w:noWrap w:val="0"/>
            <w:vAlign w:val="center"/>
          </w:tcPr>
          <w:p w14:paraId="4E4F1727">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负责</w:t>
            </w:r>
            <w:r>
              <w:rPr>
                <w:rFonts w:hint="eastAsia" w:ascii="宋体" w:hAnsi="宋体" w:eastAsia="宋体" w:cs="宋体"/>
                <w:color w:val="auto"/>
                <w:kern w:val="0"/>
                <w:sz w:val="24"/>
                <w:szCs w:val="24"/>
                <w:highlight w:val="none"/>
                <w:lang w:eastAsia="zh-CN"/>
              </w:rPr>
              <w:t>园</w:t>
            </w:r>
            <w:r>
              <w:rPr>
                <w:rFonts w:hint="eastAsia" w:ascii="宋体" w:hAnsi="宋体" w:eastAsia="宋体" w:cs="宋体"/>
                <w:color w:val="auto"/>
                <w:kern w:val="0"/>
                <w:sz w:val="24"/>
                <w:szCs w:val="24"/>
                <w:highlight w:val="none"/>
              </w:rPr>
              <w:t>内植物修剪、浇水、施肥、除杂草、植物补植、植物病虫害防治</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防台</w:t>
            </w:r>
            <w:r>
              <w:rPr>
                <w:rFonts w:hint="eastAsia" w:ascii="宋体" w:hAnsi="宋体" w:eastAsia="宋体" w:cs="宋体"/>
                <w:color w:val="auto"/>
                <w:kern w:val="0"/>
                <w:sz w:val="24"/>
                <w:szCs w:val="24"/>
                <w:highlight w:val="none"/>
                <w:lang w:eastAsia="zh-CN"/>
              </w:rPr>
              <w:t>防汛</w:t>
            </w:r>
            <w:r>
              <w:rPr>
                <w:rFonts w:hint="eastAsia" w:ascii="宋体" w:hAnsi="宋体" w:eastAsia="宋体" w:cs="宋体"/>
                <w:color w:val="auto"/>
                <w:kern w:val="0"/>
                <w:sz w:val="24"/>
                <w:szCs w:val="24"/>
                <w:highlight w:val="none"/>
              </w:rPr>
              <w:t>等工作；掌握绿化机械设备的使用和对使用的机具进行清洁、保养。</w:t>
            </w:r>
          </w:p>
        </w:tc>
        <w:tc>
          <w:tcPr>
            <w:tcW w:w="1967" w:type="dxa"/>
            <w:noWrap w:val="0"/>
            <w:vAlign w:val="center"/>
          </w:tcPr>
          <w:p w14:paraId="6BCC6B22">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有相关工作经验，法定工作年龄，且须具备人社部门或者主管部门认证的绿化工或草坪工证书</w:t>
            </w:r>
          </w:p>
        </w:tc>
        <w:tc>
          <w:tcPr>
            <w:tcW w:w="1440" w:type="dxa"/>
            <w:noWrap w:val="0"/>
            <w:vAlign w:val="center"/>
          </w:tcPr>
          <w:p w14:paraId="5908EADC">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一周5日，每日在岗不少于8小时</w:t>
            </w:r>
          </w:p>
        </w:tc>
        <w:tc>
          <w:tcPr>
            <w:tcW w:w="1572" w:type="dxa"/>
            <w:noWrap w:val="0"/>
            <w:vAlign w:val="center"/>
          </w:tcPr>
          <w:p w14:paraId="1C0BCC7E">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绿化工或草坪工证书，允许中标人在合同签订后6个月内配足，否则考核后进行扣罚。</w:t>
            </w:r>
          </w:p>
        </w:tc>
      </w:tr>
      <w:tr w14:paraId="395E9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782" w:type="dxa"/>
            <w:noWrap w:val="0"/>
            <w:vAlign w:val="center"/>
          </w:tcPr>
          <w:p w14:paraId="4F595EC0">
            <w:pPr>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其他</w:t>
            </w:r>
          </w:p>
        </w:tc>
        <w:tc>
          <w:tcPr>
            <w:tcW w:w="1095" w:type="dxa"/>
            <w:noWrap w:val="0"/>
            <w:vAlign w:val="center"/>
          </w:tcPr>
          <w:p w14:paraId="5BA1AE98">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专业造型师</w:t>
            </w:r>
          </w:p>
        </w:tc>
        <w:tc>
          <w:tcPr>
            <w:tcW w:w="705" w:type="dxa"/>
            <w:noWrap w:val="0"/>
            <w:vAlign w:val="center"/>
          </w:tcPr>
          <w:p w14:paraId="18DBB9B0">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2593" w:type="dxa"/>
            <w:noWrap w:val="0"/>
            <w:vAlign w:val="center"/>
          </w:tcPr>
          <w:p w14:paraId="6E4F0119">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负责</w:t>
            </w:r>
            <w:r>
              <w:rPr>
                <w:rFonts w:hint="eastAsia" w:ascii="宋体" w:hAnsi="宋体" w:eastAsia="宋体" w:cs="宋体"/>
                <w:color w:val="auto"/>
                <w:kern w:val="0"/>
                <w:sz w:val="24"/>
                <w:szCs w:val="24"/>
                <w:highlight w:val="none"/>
                <w:lang w:eastAsia="zh-CN"/>
              </w:rPr>
              <w:t>盆景造型</w:t>
            </w:r>
          </w:p>
        </w:tc>
        <w:tc>
          <w:tcPr>
            <w:tcW w:w="1967" w:type="dxa"/>
            <w:noWrap w:val="0"/>
            <w:vAlign w:val="center"/>
          </w:tcPr>
          <w:p w14:paraId="3D93D2FC">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有相关工作经验，法定工作年龄</w:t>
            </w:r>
          </w:p>
        </w:tc>
        <w:tc>
          <w:tcPr>
            <w:tcW w:w="1440" w:type="dxa"/>
            <w:noWrap w:val="0"/>
            <w:vAlign w:val="center"/>
          </w:tcPr>
          <w:p w14:paraId="4CD810ED">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一周5日，每日在岗不少于8小时</w:t>
            </w:r>
          </w:p>
        </w:tc>
        <w:tc>
          <w:tcPr>
            <w:tcW w:w="1572" w:type="dxa"/>
            <w:noWrap w:val="0"/>
            <w:vAlign w:val="center"/>
          </w:tcPr>
          <w:p w14:paraId="708FBCA5">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p>
        </w:tc>
      </w:tr>
      <w:tr w14:paraId="26C4B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82" w:type="dxa"/>
            <w:noWrap w:val="0"/>
            <w:vAlign w:val="top"/>
          </w:tcPr>
          <w:p w14:paraId="6FB72BBF">
            <w:pPr>
              <w:jc w:val="center"/>
              <w:rPr>
                <w:rFonts w:hint="eastAsia" w:ascii="宋体" w:hAnsi="宋体" w:eastAsia="宋体" w:cs="宋体"/>
                <w:color w:val="auto"/>
                <w:kern w:val="0"/>
                <w:sz w:val="24"/>
                <w:szCs w:val="24"/>
                <w:highlight w:val="none"/>
              </w:rPr>
            </w:pPr>
          </w:p>
        </w:tc>
        <w:tc>
          <w:tcPr>
            <w:tcW w:w="1095" w:type="dxa"/>
            <w:noWrap w:val="0"/>
            <w:vAlign w:val="top"/>
          </w:tcPr>
          <w:p w14:paraId="2C8C129D">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小计</w:t>
            </w:r>
          </w:p>
        </w:tc>
        <w:tc>
          <w:tcPr>
            <w:tcW w:w="705" w:type="dxa"/>
            <w:noWrap w:val="0"/>
            <w:vAlign w:val="top"/>
          </w:tcPr>
          <w:p w14:paraId="4FAD933B">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2593" w:type="dxa"/>
            <w:noWrap w:val="0"/>
            <w:vAlign w:val="top"/>
          </w:tcPr>
          <w:p w14:paraId="44FCB90D">
            <w:pPr>
              <w:jc w:val="center"/>
              <w:rPr>
                <w:rFonts w:hint="eastAsia" w:ascii="宋体" w:hAnsi="宋体" w:eastAsia="宋体" w:cs="宋体"/>
                <w:color w:val="auto"/>
                <w:kern w:val="0"/>
                <w:sz w:val="24"/>
                <w:szCs w:val="24"/>
                <w:highlight w:val="none"/>
              </w:rPr>
            </w:pPr>
          </w:p>
        </w:tc>
        <w:tc>
          <w:tcPr>
            <w:tcW w:w="1967" w:type="dxa"/>
            <w:noWrap w:val="0"/>
            <w:vAlign w:val="top"/>
          </w:tcPr>
          <w:p w14:paraId="49E371D7">
            <w:pPr>
              <w:jc w:val="center"/>
              <w:rPr>
                <w:rFonts w:hint="eastAsia" w:ascii="宋体" w:hAnsi="宋体" w:eastAsia="宋体" w:cs="宋体"/>
                <w:color w:val="auto"/>
                <w:kern w:val="0"/>
                <w:sz w:val="24"/>
                <w:szCs w:val="24"/>
                <w:highlight w:val="none"/>
              </w:rPr>
            </w:pPr>
          </w:p>
        </w:tc>
        <w:tc>
          <w:tcPr>
            <w:tcW w:w="1440" w:type="dxa"/>
            <w:noWrap w:val="0"/>
            <w:vAlign w:val="top"/>
          </w:tcPr>
          <w:p w14:paraId="326E1712">
            <w:pPr>
              <w:jc w:val="center"/>
              <w:rPr>
                <w:rFonts w:hint="eastAsia" w:ascii="宋体" w:hAnsi="宋体" w:eastAsia="宋体" w:cs="宋体"/>
                <w:color w:val="auto"/>
                <w:kern w:val="0"/>
                <w:sz w:val="24"/>
                <w:szCs w:val="24"/>
                <w:highlight w:val="none"/>
              </w:rPr>
            </w:pPr>
          </w:p>
        </w:tc>
        <w:tc>
          <w:tcPr>
            <w:tcW w:w="1572" w:type="dxa"/>
            <w:noWrap w:val="0"/>
            <w:vAlign w:val="top"/>
          </w:tcPr>
          <w:p w14:paraId="1E019435">
            <w:pPr>
              <w:jc w:val="center"/>
              <w:rPr>
                <w:rFonts w:hint="eastAsia" w:ascii="宋体" w:hAnsi="宋体" w:eastAsia="宋体" w:cs="宋体"/>
                <w:color w:val="auto"/>
                <w:kern w:val="0"/>
                <w:sz w:val="24"/>
                <w:szCs w:val="24"/>
                <w:highlight w:val="none"/>
              </w:rPr>
            </w:pPr>
          </w:p>
        </w:tc>
      </w:tr>
    </w:tbl>
    <w:p w14:paraId="7C431C54">
      <w:pPr>
        <w:widowControl/>
        <w:tabs>
          <w:tab w:val="left" w:pos="851"/>
        </w:tabs>
        <w:adjustRightInd/>
        <w:spacing w:line="360" w:lineRule="auto"/>
        <w:outlineLvl w:val="1"/>
        <w:rPr>
          <w:rFonts w:ascii="宋体" w:hAnsi="宋体" w:eastAsia="宋体" w:cs="宋体"/>
          <w:b/>
          <w:color w:val="auto"/>
          <w:kern w:val="0"/>
          <w:sz w:val="24"/>
          <w:highlight w:val="none"/>
        </w:rPr>
      </w:pPr>
      <w:r>
        <w:rPr>
          <w:rFonts w:hint="eastAsia" w:ascii="宋体" w:hAnsi="宋体" w:eastAsia="宋体" w:cs="宋体"/>
          <w:b/>
          <w:color w:val="auto"/>
          <w:kern w:val="0"/>
          <w:sz w:val="24"/>
          <w:highlight w:val="none"/>
          <w:lang w:val="en-US" w:eastAsia="zh-CN"/>
        </w:rPr>
        <w:t>六</w:t>
      </w:r>
      <w:r>
        <w:rPr>
          <w:rFonts w:hint="eastAsia" w:ascii="宋体" w:hAnsi="宋体" w:eastAsia="宋体" w:cs="宋体"/>
          <w:b/>
          <w:color w:val="auto"/>
          <w:kern w:val="0"/>
          <w:sz w:val="24"/>
          <w:highlight w:val="none"/>
        </w:rPr>
        <w:t>、机械化设备配备要求</w:t>
      </w:r>
    </w:p>
    <w:p w14:paraId="2BA1955F">
      <w:pPr>
        <w:widowControl/>
        <w:tabs>
          <w:tab w:val="left" w:pos="851"/>
        </w:tabs>
        <w:adjustRightInd/>
        <w:spacing w:line="360" w:lineRule="auto"/>
        <w:outlineLvl w:val="1"/>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eastAsia="zh-CN"/>
        </w:rPr>
        <w:t>（</w:t>
      </w:r>
      <w:r>
        <w:rPr>
          <w:rFonts w:hint="eastAsia" w:ascii="宋体" w:hAnsi="宋体" w:eastAsia="宋体" w:cs="宋体"/>
          <w:b/>
          <w:color w:val="auto"/>
          <w:kern w:val="0"/>
          <w:sz w:val="24"/>
          <w:highlight w:val="none"/>
          <w:lang w:val="en-US" w:eastAsia="zh-CN"/>
        </w:rPr>
        <w:t>一</w:t>
      </w:r>
      <w:r>
        <w:rPr>
          <w:rFonts w:hint="eastAsia" w:ascii="宋体" w:hAnsi="宋体" w:eastAsia="宋体" w:cs="宋体"/>
          <w:b/>
          <w:color w:val="auto"/>
          <w:kern w:val="0"/>
          <w:sz w:val="24"/>
          <w:highlight w:val="none"/>
          <w:lang w:eastAsia="zh-CN"/>
        </w:rPr>
        <w:t>）</w:t>
      </w:r>
      <w:r>
        <w:rPr>
          <w:rFonts w:hint="eastAsia" w:ascii="宋体" w:hAnsi="宋体" w:eastAsia="宋体" w:cs="宋体"/>
          <w:b/>
          <w:color w:val="auto"/>
          <w:kern w:val="0"/>
          <w:sz w:val="24"/>
          <w:highlight w:val="none"/>
          <w:lang w:val="en-US" w:eastAsia="zh-CN"/>
        </w:rPr>
        <w:t>设备最低数量要求</w:t>
      </w:r>
    </w:p>
    <w:p w14:paraId="0E0C0B53">
      <w:pPr>
        <w:widowControl/>
        <w:tabs>
          <w:tab w:val="left" w:pos="851"/>
        </w:tabs>
        <w:adjustRightInd/>
        <w:spacing w:line="360" w:lineRule="auto"/>
        <w:outlineLvl w:val="1"/>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①绿岛公园</w:t>
      </w:r>
    </w:p>
    <w:tbl>
      <w:tblPr>
        <w:tblStyle w:val="62"/>
        <w:tblW w:w="97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398"/>
        <w:gridCol w:w="656"/>
        <w:gridCol w:w="994"/>
        <w:gridCol w:w="820"/>
        <w:gridCol w:w="566"/>
        <w:gridCol w:w="3438"/>
        <w:gridCol w:w="1339"/>
        <w:gridCol w:w="1095"/>
      </w:tblGrid>
      <w:tr w14:paraId="41040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63" w:type="dxa"/>
            <w:gridSpan w:val="2"/>
            <w:vAlign w:val="center"/>
          </w:tcPr>
          <w:p w14:paraId="263CBF13">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类别</w:t>
            </w:r>
          </w:p>
        </w:tc>
        <w:tc>
          <w:tcPr>
            <w:tcW w:w="656" w:type="dxa"/>
            <w:vAlign w:val="center"/>
          </w:tcPr>
          <w:p w14:paraId="42526E31">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序号</w:t>
            </w:r>
          </w:p>
        </w:tc>
        <w:tc>
          <w:tcPr>
            <w:tcW w:w="994" w:type="dxa"/>
            <w:vAlign w:val="center"/>
          </w:tcPr>
          <w:p w14:paraId="06180274">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设备名称</w:t>
            </w:r>
          </w:p>
        </w:tc>
        <w:tc>
          <w:tcPr>
            <w:tcW w:w="820" w:type="dxa"/>
            <w:vAlign w:val="center"/>
          </w:tcPr>
          <w:p w14:paraId="5C4E8138">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最低数量要求</w:t>
            </w:r>
          </w:p>
        </w:tc>
        <w:tc>
          <w:tcPr>
            <w:tcW w:w="566" w:type="dxa"/>
            <w:vAlign w:val="center"/>
          </w:tcPr>
          <w:p w14:paraId="7EBBBE1C">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单位</w:t>
            </w:r>
          </w:p>
        </w:tc>
        <w:tc>
          <w:tcPr>
            <w:tcW w:w="3438" w:type="dxa"/>
            <w:vAlign w:val="center"/>
          </w:tcPr>
          <w:p w14:paraId="05A47237">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参考样式（具体参数）</w:t>
            </w:r>
          </w:p>
        </w:tc>
        <w:tc>
          <w:tcPr>
            <w:tcW w:w="1339" w:type="dxa"/>
            <w:vAlign w:val="center"/>
          </w:tcPr>
          <w:p w14:paraId="6431F43E">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使用及维护要求（使用率）</w:t>
            </w:r>
          </w:p>
        </w:tc>
        <w:tc>
          <w:tcPr>
            <w:tcW w:w="1095" w:type="dxa"/>
            <w:vAlign w:val="center"/>
          </w:tcPr>
          <w:p w14:paraId="431DF6FC">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备注</w:t>
            </w:r>
          </w:p>
        </w:tc>
      </w:tr>
      <w:tr w14:paraId="06A52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jc w:val="center"/>
        </w:trPr>
        <w:tc>
          <w:tcPr>
            <w:tcW w:w="465" w:type="dxa"/>
            <w:vMerge w:val="restart"/>
            <w:vAlign w:val="center"/>
          </w:tcPr>
          <w:p w14:paraId="4A3A6365">
            <w:pPr>
              <w:widowControl/>
              <w:adjustRightInd/>
              <w:jc w:val="left"/>
              <w:rPr>
                <w:rFonts w:hint="eastAsia" w:ascii="宋体" w:hAnsi="宋体" w:eastAsia="宋体" w:cs="宋体"/>
                <w:b/>
                <w:bCs/>
                <w:color w:val="auto"/>
                <w:kern w:val="0"/>
                <w:sz w:val="24"/>
                <w:szCs w:val="24"/>
                <w:highlight w:val="none"/>
              </w:rPr>
            </w:pPr>
          </w:p>
        </w:tc>
        <w:tc>
          <w:tcPr>
            <w:tcW w:w="398" w:type="dxa"/>
            <w:vMerge w:val="restart"/>
            <w:vAlign w:val="center"/>
          </w:tcPr>
          <w:p w14:paraId="2B80E5F3">
            <w:pPr>
              <w:widowControl/>
              <w:adjustRightInd/>
              <w:jc w:val="left"/>
              <w:rPr>
                <w:rFonts w:hint="eastAsia" w:ascii="宋体" w:hAnsi="宋体" w:eastAsia="宋体" w:cs="宋体"/>
                <w:b/>
                <w:bCs/>
                <w:color w:val="auto"/>
                <w:kern w:val="0"/>
                <w:sz w:val="24"/>
                <w:szCs w:val="24"/>
                <w:highlight w:val="none"/>
              </w:rPr>
            </w:pPr>
          </w:p>
        </w:tc>
        <w:tc>
          <w:tcPr>
            <w:tcW w:w="656" w:type="dxa"/>
            <w:vAlign w:val="center"/>
          </w:tcPr>
          <w:p w14:paraId="1E597057">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994" w:type="dxa"/>
            <w:vAlign w:val="center"/>
          </w:tcPr>
          <w:p w14:paraId="7264EB84">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高压清洗车</w:t>
            </w:r>
          </w:p>
        </w:tc>
        <w:tc>
          <w:tcPr>
            <w:tcW w:w="820" w:type="dxa"/>
            <w:vAlign w:val="center"/>
          </w:tcPr>
          <w:p w14:paraId="42425D2E">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w:t>
            </w:r>
          </w:p>
        </w:tc>
        <w:tc>
          <w:tcPr>
            <w:tcW w:w="566" w:type="dxa"/>
            <w:vAlign w:val="center"/>
          </w:tcPr>
          <w:p w14:paraId="376AB83C">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台</w:t>
            </w:r>
          </w:p>
        </w:tc>
        <w:tc>
          <w:tcPr>
            <w:tcW w:w="3438" w:type="dxa"/>
            <w:vAlign w:val="center"/>
          </w:tcPr>
          <w:p w14:paraId="2EBA7C60">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drawing>
                <wp:inline distT="0" distB="0" distL="114300" distR="114300">
                  <wp:extent cx="2041525" cy="1549400"/>
                  <wp:effectExtent l="0" t="0" r="15875" b="1270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32"/>
                          <a:stretch>
                            <a:fillRect/>
                          </a:stretch>
                        </pic:blipFill>
                        <pic:spPr>
                          <a:xfrm>
                            <a:off x="0" y="0"/>
                            <a:ext cx="2041525" cy="1549400"/>
                          </a:xfrm>
                          <a:prstGeom prst="rect">
                            <a:avLst/>
                          </a:prstGeom>
                          <a:noFill/>
                          <a:ln>
                            <a:noFill/>
                          </a:ln>
                        </pic:spPr>
                      </pic:pic>
                    </a:graphicData>
                  </a:graphic>
                </wp:inline>
              </w:drawing>
            </w:r>
          </w:p>
        </w:tc>
        <w:tc>
          <w:tcPr>
            <w:tcW w:w="1339" w:type="dxa"/>
            <w:vAlign w:val="center"/>
          </w:tcPr>
          <w:p w14:paraId="42C08A66">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整齐、清洁、润滑、安全、完好</w:t>
            </w:r>
          </w:p>
        </w:tc>
        <w:tc>
          <w:tcPr>
            <w:tcW w:w="1095" w:type="dxa"/>
            <w:vAlign w:val="center"/>
          </w:tcPr>
          <w:p w14:paraId="54C33BF7">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用于公园园路及广场地面顽固污渍及屋顶污渍的清洗。</w:t>
            </w:r>
          </w:p>
        </w:tc>
      </w:tr>
      <w:tr w14:paraId="5819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65" w:type="dxa"/>
            <w:vMerge w:val="continue"/>
            <w:vAlign w:val="center"/>
          </w:tcPr>
          <w:p w14:paraId="5879FDC6">
            <w:pPr>
              <w:widowControl/>
              <w:adjustRightInd/>
              <w:jc w:val="left"/>
              <w:rPr>
                <w:rFonts w:hint="eastAsia" w:ascii="宋体" w:hAnsi="宋体" w:eastAsia="宋体" w:cs="宋体"/>
                <w:b/>
                <w:bCs/>
                <w:color w:val="auto"/>
                <w:kern w:val="0"/>
                <w:sz w:val="24"/>
                <w:szCs w:val="24"/>
                <w:highlight w:val="none"/>
              </w:rPr>
            </w:pPr>
          </w:p>
        </w:tc>
        <w:tc>
          <w:tcPr>
            <w:tcW w:w="398" w:type="dxa"/>
            <w:vMerge w:val="continue"/>
            <w:vAlign w:val="center"/>
          </w:tcPr>
          <w:p w14:paraId="0AD5F56A">
            <w:pPr>
              <w:widowControl/>
              <w:adjustRightInd/>
              <w:jc w:val="left"/>
              <w:rPr>
                <w:rFonts w:hint="eastAsia" w:ascii="宋体" w:hAnsi="宋体" w:eastAsia="宋体" w:cs="宋体"/>
                <w:b/>
                <w:bCs/>
                <w:color w:val="auto"/>
                <w:kern w:val="0"/>
                <w:sz w:val="24"/>
                <w:szCs w:val="24"/>
                <w:highlight w:val="none"/>
              </w:rPr>
            </w:pPr>
          </w:p>
        </w:tc>
        <w:tc>
          <w:tcPr>
            <w:tcW w:w="656" w:type="dxa"/>
            <w:vAlign w:val="center"/>
          </w:tcPr>
          <w:p w14:paraId="6F73B21F">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2</w:t>
            </w:r>
          </w:p>
        </w:tc>
        <w:tc>
          <w:tcPr>
            <w:tcW w:w="994" w:type="dxa"/>
            <w:vAlign w:val="center"/>
          </w:tcPr>
          <w:p w14:paraId="2922259F">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垃圾清运车</w:t>
            </w:r>
          </w:p>
        </w:tc>
        <w:tc>
          <w:tcPr>
            <w:tcW w:w="820" w:type="dxa"/>
            <w:vAlign w:val="center"/>
          </w:tcPr>
          <w:p w14:paraId="3CEE79CC">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w:t>
            </w:r>
          </w:p>
        </w:tc>
        <w:tc>
          <w:tcPr>
            <w:tcW w:w="566" w:type="dxa"/>
            <w:vAlign w:val="center"/>
          </w:tcPr>
          <w:p w14:paraId="119051F2">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辆</w:t>
            </w:r>
          </w:p>
        </w:tc>
        <w:tc>
          <w:tcPr>
            <w:tcW w:w="3438" w:type="dxa"/>
            <w:vAlign w:val="center"/>
          </w:tcPr>
          <w:p w14:paraId="654FA995">
            <w:pPr>
              <w:widowControl w:val="0"/>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电动四轮车</w:t>
            </w:r>
          </w:p>
        </w:tc>
        <w:tc>
          <w:tcPr>
            <w:tcW w:w="1339" w:type="dxa"/>
            <w:vAlign w:val="center"/>
          </w:tcPr>
          <w:p w14:paraId="57DC9D84">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整齐、清洁、润滑、安全、完好</w:t>
            </w:r>
          </w:p>
        </w:tc>
        <w:tc>
          <w:tcPr>
            <w:tcW w:w="1095" w:type="dxa"/>
            <w:vAlign w:val="center"/>
          </w:tcPr>
          <w:p w14:paraId="2A0CCAF6">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小巧轻便，用于公园内生活垃圾、绿化垃圾的清运。</w:t>
            </w:r>
          </w:p>
        </w:tc>
      </w:tr>
      <w:tr w14:paraId="46D94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465" w:type="dxa"/>
            <w:vMerge w:val="continue"/>
            <w:vAlign w:val="center"/>
          </w:tcPr>
          <w:p w14:paraId="677031EA">
            <w:pPr>
              <w:widowControl/>
              <w:adjustRightInd/>
              <w:jc w:val="left"/>
              <w:rPr>
                <w:rFonts w:hint="eastAsia" w:ascii="宋体" w:hAnsi="宋体" w:eastAsia="宋体" w:cs="宋体"/>
                <w:b/>
                <w:bCs/>
                <w:color w:val="auto"/>
                <w:kern w:val="0"/>
                <w:sz w:val="24"/>
                <w:szCs w:val="24"/>
                <w:highlight w:val="none"/>
              </w:rPr>
            </w:pPr>
          </w:p>
        </w:tc>
        <w:tc>
          <w:tcPr>
            <w:tcW w:w="398" w:type="dxa"/>
            <w:vMerge w:val="continue"/>
            <w:vAlign w:val="center"/>
          </w:tcPr>
          <w:p w14:paraId="65C91925">
            <w:pPr>
              <w:widowControl/>
              <w:adjustRightInd/>
              <w:jc w:val="left"/>
              <w:rPr>
                <w:rFonts w:hint="eastAsia" w:ascii="宋体" w:hAnsi="宋体" w:eastAsia="宋体" w:cs="宋体"/>
                <w:b/>
                <w:bCs/>
                <w:color w:val="auto"/>
                <w:kern w:val="0"/>
                <w:sz w:val="24"/>
                <w:szCs w:val="24"/>
                <w:highlight w:val="none"/>
              </w:rPr>
            </w:pPr>
          </w:p>
        </w:tc>
        <w:tc>
          <w:tcPr>
            <w:tcW w:w="656" w:type="dxa"/>
            <w:vAlign w:val="center"/>
          </w:tcPr>
          <w:p w14:paraId="5F5B6745">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3</w:t>
            </w:r>
          </w:p>
        </w:tc>
        <w:tc>
          <w:tcPr>
            <w:tcW w:w="994" w:type="dxa"/>
            <w:vAlign w:val="center"/>
          </w:tcPr>
          <w:p w14:paraId="3B4442C2">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保洁工具车</w:t>
            </w:r>
          </w:p>
        </w:tc>
        <w:tc>
          <w:tcPr>
            <w:tcW w:w="820" w:type="dxa"/>
            <w:vAlign w:val="center"/>
          </w:tcPr>
          <w:p w14:paraId="52D6DC2D">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566" w:type="dxa"/>
            <w:vAlign w:val="center"/>
          </w:tcPr>
          <w:p w14:paraId="06AD8B2F">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台</w:t>
            </w:r>
          </w:p>
        </w:tc>
        <w:tc>
          <w:tcPr>
            <w:tcW w:w="3438" w:type="dxa"/>
            <w:vAlign w:val="center"/>
          </w:tcPr>
          <w:p w14:paraId="459B148D">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小巧轻便、样式美观、功能多样实用</w:t>
            </w:r>
          </w:p>
        </w:tc>
        <w:tc>
          <w:tcPr>
            <w:tcW w:w="1339" w:type="dxa"/>
            <w:vAlign w:val="center"/>
          </w:tcPr>
          <w:p w14:paraId="4295937A">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整齐、清洁、润滑、安全、完好</w:t>
            </w:r>
          </w:p>
        </w:tc>
        <w:tc>
          <w:tcPr>
            <w:tcW w:w="1095" w:type="dxa"/>
            <w:vAlign w:val="center"/>
          </w:tcPr>
          <w:p w14:paraId="18320526">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r>
      <w:tr w14:paraId="341DA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3" w:hRule="atLeast"/>
          <w:jc w:val="center"/>
        </w:trPr>
        <w:tc>
          <w:tcPr>
            <w:tcW w:w="465" w:type="dxa"/>
            <w:vMerge w:val="continue"/>
            <w:vAlign w:val="center"/>
          </w:tcPr>
          <w:p w14:paraId="36657572">
            <w:pPr>
              <w:widowControl/>
              <w:adjustRightInd/>
              <w:jc w:val="left"/>
              <w:rPr>
                <w:rFonts w:hint="eastAsia" w:ascii="宋体" w:hAnsi="宋体" w:eastAsia="宋体" w:cs="宋体"/>
                <w:b/>
                <w:bCs/>
                <w:color w:val="auto"/>
                <w:kern w:val="0"/>
                <w:sz w:val="24"/>
                <w:szCs w:val="24"/>
                <w:highlight w:val="none"/>
              </w:rPr>
            </w:pPr>
          </w:p>
        </w:tc>
        <w:tc>
          <w:tcPr>
            <w:tcW w:w="398" w:type="dxa"/>
            <w:vMerge w:val="restart"/>
            <w:vAlign w:val="center"/>
          </w:tcPr>
          <w:p w14:paraId="2211C3D4">
            <w:pPr>
              <w:widowControl/>
              <w:adjustRightInd/>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植物养护</w:t>
            </w:r>
          </w:p>
        </w:tc>
        <w:tc>
          <w:tcPr>
            <w:tcW w:w="656" w:type="dxa"/>
            <w:vAlign w:val="center"/>
          </w:tcPr>
          <w:p w14:paraId="2B0B46D3">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994" w:type="dxa"/>
            <w:vAlign w:val="center"/>
          </w:tcPr>
          <w:p w14:paraId="2CE933E2">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高空修剪车</w:t>
            </w:r>
          </w:p>
        </w:tc>
        <w:tc>
          <w:tcPr>
            <w:tcW w:w="820" w:type="dxa"/>
            <w:vAlign w:val="center"/>
          </w:tcPr>
          <w:p w14:paraId="3D5B1BDD">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566" w:type="dxa"/>
            <w:vAlign w:val="center"/>
          </w:tcPr>
          <w:p w14:paraId="7C446F77">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台</w:t>
            </w:r>
          </w:p>
        </w:tc>
        <w:tc>
          <w:tcPr>
            <w:tcW w:w="3438" w:type="dxa"/>
            <w:vAlign w:val="center"/>
          </w:tcPr>
          <w:p w14:paraId="253141CA">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最大作业高度20米以上</w:t>
            </w:r>
          </w:p>
        </w:tc>
        <w:tc>
          <w:tcPr>
            <w:tcW w:w="1339" w:type="dxa"/>
            <w:vAlign w:val="center"/>
          </w:tcPr>
          <w:p w14:paraId="58170909">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整齐、清洁、润滑、安全、完好</w:t>
            </w:r>
          </w:p>
        </w:tc>
        <w:tc>
          <w:tcPr>
            <w:tcW w:w="1095" w:type="dxa"/>
            <w:vAlign w:val="center"/>
          </w:tcPr>
          <w:p w14:paraId="12982BEB">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适用于高度较高的树木修剪及路灯检修等高空作业。</w:t>
            </w:r>
          </w:p>
        </w:tc>
      </w:tr>
      <w:tr w14:paraId="0F1B8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65" w:type="dxa"/>
            <w:vMerge w:val="continue"/>
            <w:vAlign w:val="center"/>
          </w:tcPr>
          <w:p w14:paraId="1D89A641">
            <w:pPr>
              <w:widowControl/>
              <w:adjustRightInd/>
              <w:jc w:val="left"/>
              <w:rPr>
                <w:rFonts w:hint="eastAsia" w:ascii="宋体" w:hAnsi="宋体" w:eastAsia="宋体" w:cs="宋体"/>
                <w:b/>
                <w:bCs/>
                <w:color w:val="auto"/>
                <w:kern w:val="0"/>
                <w:sz w:val="24"/>
                <w:szCs w:val="24"/>
                <w:highlight w:val="none"/>
              </w:rPr>
            </w:pPr>
          </w:p>
        </w:tc>
        <w:tc>
          <w:tcPr>
            <w:tcW w:w="398" w:type="dxa"/>
            <w:vMerge w:val="continue"/>
            <w:vAlign w:val="center"/>
          </w:tcPr>
          <w:p w14:paraId="09CA19FB">
            <w:pPr>
              <w:widowControl/>
              <w:adjustRightInd/>
              <w:jc w:val="left"/>
              <w:rPr>
                <w:rFonts w:hint="eastAsia" w:ascii="宋体" w:hAnsi="宋体" w:eastAsia="宋体" w:cs="宋体"/>
                <w:b/>
                <w:bCs/>
                <w:color w:val="auto"/>
                <w:kern w:val="0"/>
                <w:sz w:val="24"/>
                <w:szCs w:val="24"/>
                <w:highlight w:val="none"/>
              </w:rPr>
            </w:pPr>
          </w:p>
        </w:tc>
        <w:tc>
          <w:tcPr>
            <w:tcW w:w="656" w:type="dxa"/>
            <w:vAlign w:val="center"/>
          </w:tcPr>
          <w:p w14:paraId="7A7146AF">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994" w:type="dxa"/>
            <w:vAlign w:val="center"/>
          </w:tcPr>
          <w:p w14:paraId="42240175">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高枝油锯</w:t>
            </w:r>
          </w:p>
        </w:tc>
        <w:tc>
          <w:tcPr>
            <w:tcW w:w="820" w:type="dxa"/>
            <w:vAlign w:val="center"/>
          </w:tcPr>
          <w:p w14:paraId="79E14E0E">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566" w:type="dxa"/>
            <w:vAlign w:val="center"/>
          </w:tcPr>
          <w:p w14:paraId="079A6C35">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把</w:t>
            </w:r>
          </w:p>
        </w:tc>
        <w:tc>
          <w:tcPr>
            <w:tcW w:w="3438" w:type="dxa"/>
            <w:vAlign w:val="center"/>
          </w:tcPr>
          <w:p w14:paraId="39EC60C5">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drawing>
                <wp:inline distT="0" distB="0" distL="114300" distR="114300">
                  <wp:extent cx="1876425" cy="1428750"/>
                  <wp:effectExtent l="0" t="0" r="9525" b="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35"/>
                          <a:stretch>
                            <a:fillRect/>
                          </a:stretch>
                        </pic:blipFill>
                        <pic:spPr>
                          <a:xfrm>
                            <a:off x="0" y="0"/>
                            <a:ext cx="1876425" cy="1428750"/>
                          </a:xfrm>
                          <a:prstGeom prst="rect">
                            <a:avLst/>
                          </a:prstGeom>
                          <a:noFill/>
                          <a:ln>
                            <a:noFill/>
                          </a:ln>
                        </pic:spPr>
                      </pic:pic>
                    </a:graphicData>
                  </a:graphic>
                </wp:inline>
              </w:drawing>
            </w:r>
          </w:p>
        </w:tc>
        <w:tc>
          <w:tcPr>
            <w:tcW w:w="1339" w:type="dxa"/>
            <w:vAlign w:val="center"/>
          </w:tcPr>
          <w:p w14:paraId="290001EA">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整齐、清洁、润滑、安全、完好</w:t>
            </w:r>
          </w:p>
        </w:tc>
        <w:tc>
          <w:tcPr>
            <w:tcW w:w="1095" w:type="dxa"/>
            <w:vAlign w:val="center"/>
          </w:tcPr>
          <w:p w14:paraId="1C1EA938">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主要用来修剪一些比较高的枝桠。</w:t>
            </w:r>
          </w:p>
        </w:tc>
      </w:tr>
      <w:tr w14:paraId="3C025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65" w:type="dxa"/>
            <w:vMerge w:val="continue"/>
            <w:vAlign w:val="center"/>
          </w:tcPr>
          <w:p w14:paraId="607EE998">
            <w:pPr>
              <w:widowControl/>
              <w:adjustRightInd/>
              <w:jc w:val="left"/>
              <w:rPr>
                <w:rFonts w:hint="eastAsia" w:ascii="宋体" w:hAnsi="宋体" w:eastAsia="宋体" w:cs="宋体"/>
                <w:b/>
                <w:bCs/>
                <w:color w:val="auto"/>
                <w:kern w:val="0"/>
                <w:sz w:val="24"/>
                <w:szCs w:val="24"/>
                <w:highlight w:val="none"/>
              </w:rPr>
            </w:pPr>
          </w:p>
        </w:tc>
        <w:tc>
          <w:tcPr>
            <w:tcW w:w="398" w:type="dxa"/>
            <w:vMerge w:val="continue"/>
            <w:vAlign w:val="center"/>
          </w:tcPr>
          <w:p w14:paraId="2EC78B02">
            <w:pPr>
              <w:widowControl/>
              <w:adjustRightInd/>
              <w:jc w:val="left"/>
              <w:rPr>
                <w:rFonts w:hint="eastAsia" w:ascii="宋体" w:hAnsi="宋体" w:eastAsia="宋体" w:cs="宋体"/>
                <w:b/>
                <w:bCs/>
                <w:color w:val="auto"/>
                <w:kern w:val="0"/>
                <w:sz w:val="24"/>
                <w:szCs w:val="24"/>
                <w:highlight w:val="none"/>
              </w:rPr>
            </w:pPr>
          </w:p>
        </w:tc>
        <w:tc>
          <w:tcPr>
            <w:tcW w:w="656" w:type="dxa"/>
            <w:vAlign w:val="center"/>
          </w:tcPr>
          <w:p w14:paraId="0EAAC11E">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994" w:type="dxa"/>
            <w:vAlign w:val="center"/>
          </w:tcPr>
          <w:p w14:paraId="1F0A4229">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油（电）锯</w:t>
            </w:r>
          </w:p>
        </w:tc>
        <w:tc>
          <w:tcPr>
            <w:tcW w:w="820" w:type="dxa"/>
            <w:vAlign w:val="center"/>
          </w:tcPr>
          <w:p w14:paraId="19428667">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566" w:type="dxa"/>
            <w:vAlign w:val="center"/>
          </w:tcPr>
          <w:p w14:paraId="0D84A552">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把</w:t>
            </w:r>
          </w:p>
        </w:tc>
        <w:tc>
          <w:tcPr>
            <w:tcW w:w="3438" w:type="dxa"/>
            <w:vAlign w:val="center"/>
          </w:tcPr>
          <w:p w14:paraId="06BBC6DF">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drawing>
                <wp:inline distT="0" distB="0" distL="114300" distR="114300">
                  <wp:extent cx="2000250" cy="1581150"/>
                  <wp:effectExtent l="0" t="0" r="0" b="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36"/>
                          <a:stretch>
                            <a:fillRect/>
                          </a:stretch>
                        </pic:blipFill>
                        <pic:spPr>
                          <a:xfrm>
                            <a:off x="0" y="0"/>
                            <a:ext cx="2000250" cy="1581150"/>
                          </a:xfrm>
                          <a:prstGeom prst="rect">
                            <a:avLst/>
                          </a:prstGeom>
                          <a:noFill/>
                          <a:ln>
                            <a:noFill/>
                          </a:ln>
                        </pic:spPr>
                      </pic:pic>
                    </a:graphicData>
                  </a:graphic>
                </wp:inline>
              </w:drawing>
            </w:r>
          </w:p>
        </w:tc>
        <w:tc>
          <w:tcPr>
            <w:tcW w:w="1339" w:type="dxa"/>
            <w:vAlign w:val="center"/>
          </w:tcPr>
          <w:p w14:paraId="219D20FA">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整齐、清洁、润滑、安全、完好</w:t>
            </w:r>
          </w:p>
        </w:tc>
        <w:tc>
          <w:tcPr>
            <w:tcW w:w="1095" w:type="dxa"/>
            <w:vAlign w:val="center"/>
          </w:tcPr>
          <w:p w14:paraId="7A95C7B5">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广泛用在林业伐木取材</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园林修枝锯树。</w:t>
            </w:r>
          </w:p>
        </w:tc>
      </w:tr>
      <w:tr w14:paraId="13573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465" w:type="dxa"/>
            <w:vMerge w:val="continue"/>
            <w:vAlign w:val="center"/>
          </w:tcPr>
          <w:p w14:paraId="0AAD5684">
            <w:pPr>
              <w:widowControl/>
              <w:adjustRightInd/>
              <w:jc w:val="left"/>
              <w:rPr>
                <w:rFonts w:hint="eastAsia" w:ascii="宋体" w:hAnsi="宋体" w:eastAsia="宋体" w:cs="宋体"/>
                <w:b/>
                <w:bCs/>
                <w:color w:val="auto"/>
                <w:kern w:val="0"/>
                <w:sz w:val="24"/>
                <w:szCs w:val="24"/>
                <w:highlight w:val="none"/>
              </w:rPr>
            </w:pPr>
          </w:p>
        </w:tc>
        <w:tc>
          <w:tcPr>
            <w:tcW w:w="398" w:type="dxa"/>
            <w:vMerge w:val="continue"/>
            <w:vAlign w:val="center"/>
          </w:tcPr>
          <w:p w14:paraId="26854BB7">
            <w:pPr>
              <w:widowControl/>
              <w:adjustRightInd/>
              <w:jc w:val="left"/>
              <w:rPr>
                <w:rFonts w:hint="eastAsia" w:ascii="宋体" w:hAnsi="宋体" w:eastAsia="宋体" w:cs="宋体"/>
                <w:b/>
                <w:bCs/>
                <w:color w:val="auto"/>
                <w:kern w:val="0"/>
                <w:sz w:val="24"/>
                <w:szCs w:val="24"/>
                <w:highlight w:val="none"/>
              </w:rPr>
            </w:pPr>
          </w:p>
        </w:tc>
        <w:tc>
          <w:tcPr>
            <w:tcW w:w="656" w:type="dxa"/>
            <w:vAlign w:val="center"/>
          </w:tcPr>
          <w:p w14:paraId="3CFCD326">
            <w:pPr>
              <w:widowControl w:val="0"/>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4</w:t>
            </w:r>
          </w:p>
        </w:tc>
        <w:tc>
          <w:tcPr>
            <w:tcW w:w="994" w:type="dxa"/>
            <w:vAlign w:val="center"/>
          </w:tcPr>
          <w:p w14:paraId="74961C9C">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割灌机</w:t>
            </w:r>
          </w:p>
        </w:tc>
        <w:tc>
          <w:tcPr>
            <w:tcW w:w="820" w:type="dxa"/>
            <w:vAlign w:val="center"/>
          </w:tcPr>
          <w:p w14:paraId="2D9987BE">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566" w:type="dxa"/>
            <w:vAlign w:val="center"/>
          </w:tcPr>
          <w:p w14:paraId="1452A616">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台</w:t>
            </w:r>
          </w:p>
        </w:tc>
        <w:tc>
          <w:tcPr>
            <w:tcW w:w="3438" w:type="dxa"/>
            <w:vAlign w:val="center"/>
          </w:tcPr>
          <w:p w14:paraId="484B1FF4">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drawing>
                <wp:inline distT="0" distB="0" distL="114300" distR="114300">
                  <wp:extent cx="1676400" cy="1371600"/>
                  <wp:effectExtent l="0" t="0" r="0" b="0"/>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38"/>
                          <a:stretch>
                            <a:fillRect/>
                          </a:stretch>
                        </pic:blipFill>
                        <pic:spPr>
                          <a:xfrm>
                            <a:off x="0" y="0"/>
                            <a:ext cx="1676400" cy="1371600"/>
                          </a:xfrm>
                          <a:prstGeom prst="rect">
                            <a:avLst/>
                          </a:prstGeom>
                          <a:noFill/>
                          <a:ln>
                            <a:noFill/>
                          </a:ln>
                        </pic:spPr>
                      </pic:pic>
                    </a:graphicData>
                  </a:graphic>
                </wp:inline>
              </w:drawing>
            </w:r>
          </w:p>
        </w:tc>
        <w:tc>
          <w:tcPr>
            <w:tcW w:w="1339" w:type="dxa"/>
            <w:vAlign w:val="center"/>
          </w:tcPr>
          <w:p w14:paraId="205F0586">
            <w:pPr>
              <w:widowControl w:val="0"/>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整齐、清洁、润滑、安全、完好</w:t>
            </w:r>
          </w:p>
        </w:tc>
        <w:tc>
          <w:tcPr>
            <w:tcW w:w="1095" w:type="dxa"/>
            <w:vAlign w:val="center"/>
          </w:tcPr>
          <w:p w14:paraId="472271D4">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r>
      <w:tr w14:paraId="0A0F6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465" w:type="dxa"/>
            <w:vMerge w:val="continue"/>
            <w:vAlign w:val="center"/>
          </w:tcPr>
          <w:p w14:paraId="48711CBB">
            <w:pPr>
              <w:widowControl/>
              <w:adjustRightInd/>
              <w:jc w:val="left"/>
              <w:rPr>
                <w:rFonts w:hint="eastAsia" w:ascii="宋体" w:hAnsi="宋体" w:eastAsia="宋体" w:cs="宋体"/>
                <w:b/>
                <w:bCs/>
                <w:color w:val="auto"/>
                <w:kern w:val="0"/>
                <w:sz w:val="24"/>
                <w:szCs w:val="24"/>
                <w:highlight w:val="none"/>
              </w:rPr>
            </w:pPr>
          </w:p>
        </w:tc>
        <w:tc>
          <w:tcPr>
            <w:tcW w:w="398" w:type="dxa"/>
            <w:vMerge w:val="continue"/>
            <w:vAlign w:val="center"/>
          </w:tcPr>
          <w:p w14:paraId="4FA9710F">
            <w:pPr>
              <w:widowControl/>
              <w:adjustRightInd/>
              <w:jc w:val="left"/>
              <w:rPr>
                <w:rFonts w:hint="eastAsia" w:ascii="宋体" w:hAnsi="宋体" w:eastAsia="宋体" w:cs="宋体"/>
                <w:b/>
                <w:bCs/>
                <w:color w:val="auto"/>
                <w:kern w:val="0"/>
                <w:sz w:val="24"/>
                <w:szCs w:val="24"/>
                <w:highlight w:val="none"/>
              </w:rPr>
            </w:pPr>
          </w:p>
        </w:tc>
        <w:tc>
          <w:tcPr>
            <w:tcW w:w="656" w:type="dxa"/>
            <w:vAlign w:val="center"/>
          </w:tcPr>
          <w:p w14:paraId="1DB7E90A">
            <w:pPr>
              <w:widowControl w:val="0"/>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5</w:t>
            </w:r>
          </w:p>
        </w:tc>
        <w:tc>
          <w:tcPr>
            <w:tcW w:w="994" w:type="dxa"/>
            <w:vAlign w:val="center"/>
          </w:tcPr>
          <w:p w14:paraId="1AECD47D">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草坪机</w:t>
            </w:r>
          </w:p>
        </w:tc>
        <w:tc>
          <w:tcPr>
            <w:tcW w:w="820" w:type="dxa"/>
            <w:vAlign w:val="center"/>
          </w:tcPr>
          <w:p w14:paraId="2EFD8693">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566" w:type="dxa"/>
            <w:vAlign w:val="center"/>
          </w:tcPr>
          <w:p w14:paraId="470524AB">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台</w:t>
            </w:r>
          </w:p>
        </w:tc>
        <w:tc>
          <w:tcPr>
            <w:tcW w:w="3438" w:type="dxa"/>
            <w:vAlign w:val="center"/>
          </w:tcPr>
          <w:p w14:paraId="30F056A4">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drawing>
                <wp:inline distT="0" distB="0" distL="114300" distR="114300">
                  <wp:extent cx="2000250" cy="1819275"/>
                  <wp:effectExtent l="0" t="0" r="0" b="9525"/>
                  <wp:docPr id="36" name="图片 8" descr="C:/Users/Administrator/Desktop/cpj.jpgcp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descr="C:/Users/Administrator/Desktop/cpj.jpgcpj"/>
                          <pic:cNvPicPr>
                            <a:picLocks noChangeAspect="1"/>
                          </pic:cNvPicPr>
                        </pic:nvPicPr>
                        <pic:blipFill>
                          <a:blip r:embed="rId39"/>
                          <a:srcRect t="4540" b="4540"/>
                          <a:stretch>
                            <a:fillRect/>
                          </a:stretch>
                        </pic:blipFill>
                        <pic:spPr>
                          <a:xfrm>
                            <a:off x="0" y="0"/>
                            <a:ext cx="2000250" cy="1819275"/>
                          </a:xfrm>
                          <a:prstGeom prst="rect">
                            <a:avLst/>
                          </a:prstGeom>
                          <a:noFill/>
                          <a:ln>
                            <a:noFill/>
                          </a:ln>
                        </pic:spPr>
                      </pic:pic>
                    </a:graphicData>
                  </a:graphic>
                </wp:inline>
              </w:drawing>
            </w:r>
          </w:p>
        </w:tc>
        <w:tc>
          <w:tcPr>
            <w:tcW w:w="1339" w:type="dxa"/>
            <w:vAlign w:val="center"/>
          </w:tcPr>
          <w:p w14:paraId="152DC2E0">
            <w:pPr>
              <w:widowControl w:val="0"/>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整齐、清洁、润滑、安全、完好</w:t>
            </w:r>
          </w:p>
        </w:tc>
        <w:tc>
          <w:tcPr>
            <w:tcW w:w="1095" w:type="dxa"/>
            <w:vAlign w:val="center"/>
          </w:tcPr>
          <w:p w14:paraId="7CCEC200">
            <w:pPr>
              <w:widowControl w:val="0"/>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用于对平地或山丘的草坪进行修整。</w:t>
            </w:r>
          </w:p>
        </w:tc>
      </w:tr>
      <w:tr w14:paraId="0CEE8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465" w:type="dxa"/>
            <w:vMerge w:val="continue"/>
            <w:vAlign w:val="center"/>
          </w:tcPr>
          <w:p w14:paraId="2E8303BB">
            <w:pPr>
              <w:widowControl/>
              <w:adjustRightInd/>
              <w:jc w:val="left"/>
              <w:rPr>
                <w:rFonts w:hint="eastAsia" w:ascii="宋体" w:hAnsi="宋体" w:eastAsia="宋体" w:cs="宋体"/>
                <w:b/>
                <w:bCs/>
                <w:color w:val="auto"/>
                <w:kern w:val="0"/>
                <w:sz w:val="24"/>
                <w:szCs w:val="24"/>
                <w:highlight w:val="none"/>
              </w:rPr>
            </w:pPr>
          </w:p>
        </w:tc>
        <w:tc>
          <w:tcPr>
            <w:tcW w:w="398" w:type="dxa"/>
            <w:vMerge w:val="continue"/>
            <w:vAlign w:val="center"/>
          </w:tcPr>
          <w:p w14:paraId="1140217C">
            <w:pPr>
              <w:widowControl/>
              <w:adjustRightInd/>
              <w:jc w:val="left"/>
              <w:rPr>
                <w:rFonts w:hint="eastAsia" w:ascii="宋体" w:hAnsi="宋体" w:eastAsia="宋体" w:cs="宋体"/>
                <w:b/>
                <w:bCs/>
                <w:color w:val="auto"/>
                <w:kern w:val="0"/>
                <w:sz w:val="24"/>
                <w:szCs w:val="24"/>
                <w:highlight w:val="none"/>
              </w:rPr>
            </w:pPr>
          </w:p>
        </w:tc>
        <w:tc>
          <w:tcPr>
            <w:tcW w:w="656" w:type="dxa"/>
            <w:vAlign w:val="center"/>
          </w:tcPr>
          <w:p w14:paraId="496500B3">
            <w:pPr>
              <w:widowControl w:val="0"/>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6</w:t>
            </w:r>
          </w:p>
        </w:tc>
        <w:tc>
          <w:tcPr>
            <w:tcW w:w="994" w:type="dxa"/>
            <w:vAlign w:val="center"/>
          </w:tcPr>
          <w:p w14:paraId="6E473291">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割边机</w:t>
            </w:r>
          </w:p>
        </w:tc>
        <w:tc>
          <w:tcPr>
            <w:tcW w:w="820" w:type="dxa"/>
            <w:vAlign w:val="center"/>
          </w:tcPr>
          <w:p w14:paraId="1D83A27A">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566" w:type="dxa"/>
            <w:vAlign w:val="center"/>
          </w:tcPr>
          <w:p w14:paraId="2A0FE2E8">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台</w:t>
            </w:r>
          </w:p>
        </w:tc>
        <w:tc>
          <w:tcPr>
            <w:tcW w:w="3438" w:type="dxa"/>
            <w:vAlign w:val="center"/>
          </w:tcPr>
          <w:p w14:paraId="2D777265">
            <w:pPr>
              <w:widowControl w:val="0"/>
              <w:adjustRightInd/>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drawing>
                <wp:inline distT="0" distB="0" distL="114300" distR="114300">
                  <wp:extent cx="2247900" cy="1562100"/>
                  <wp:effectExtent l="0" t="0" r="0" b="0"/>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40"/>
                          <a:stretch>
                            <a:fillRect/>
                          </a:stretch>
                        </pic:blipFill>
                        <pic:spPr>
                          <a:xfrm>
                            <a:off x="0" y="0"/>
                            <a:ext cx="2247900" cy="1562100"/>
                          </a:xfrm>
                          <a:prstGeom prst="rect">
                            <a:avLst/>
                          </a:prstGeom>
                          <a:noFill/>
                          <a:ln>
                            <a:noFill/>
                          </a:ln>
                        </pic:spPr>
                      </pic:pic>
                    </a:graphicData>
                  </a:graphic>
                </wp:inline>
              </w:drawing>
            </w:r>
          </w:p>
        </w:tc>
        <w:tc>
          <w:tcPr>
            <w:tcW w:w="1339" w:type="dxa"/>
            <w:vAlign w:val="center"/>
          </w:tcPr>
          <w:p w14:paraId="76B9E247">
            <w:pPr>
              <w:widowControl w:val="0"/>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整齐、清洁、润滑、安全、完好</w:t>
            </w:r>
          </w:p>
        </w:tc>
        <w:tc>
          <w:tcPr>
            <w:tcW w:w="1095" w:type="dxa"/>
            <w:vAlign w:val="center"/>
          </w:tcPr>
          <w:p w14:paraId="506F5779">
            <w:pPr>
              <w:widowControl w:val="0"/>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主要用于草坪绿地边缘的修剪</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通过切断蔓延到草坪界限以外的根茎</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使草坪边缘线整齐以保持草坪的美观。</w:t>
            </w:r>
          </w:p>
        </w:tc>
      </w:tr>
      <w:tr w14:paraId="0FDA8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65" w:type="dxa"/>
            <w:vMerge w:val="continue"/>
            <w:vAlign w:val="center"/>
          </w:tcPr>
          <w:p w14:paraId="7E805585">
            <w:pPr>
              <w:widowControl/>
              <w:adjustRightInd/>
              <w:jc w:val="left"/>
              <w:rPr>
                <w:rFonts w:hint="eastAsia" w:ascii="宋体" w:hAnsi="宋体" w:eastAsia="宋体" w:cs="宋体"/>
                <w:b/>
                <w:bCs/>
                <w:color w:val="auto"/>
                <w:kern w:val="0"/>
                <w:sz w:val="24"/>
                <w:szCs w:val="24"/>
                <w:highlight w:val="none"/>
              </w:rPr>
            </w:pPr>
          </w:p>
        </w:tc>
        <w:tc>
          <w:tcPr>
            <w:tcW w:w="398" w:type="dxa"/>
            <w:vMerge w:val="continue"/>
            <w:vAlign w:val="center"/>
          </w:tcPr>
          <w:p w14:paraId="035812F2">
            <w:pPr>
              <w:widowControl/>
              <w:adjustRightInd/>
              <w:jc w:val="left"/>
              <w:rPr>
                <w:rFonts w:hint="eastAsia" w:ascii="宋体" w:hAnsi="宋体" w:eastAsia="宋体" w:cs="宋体"/>
                <w:b/>
                <w:bCs/>
                <w:color w:val="auto"/>
                <w:kern w:val="0"/>
                <w:sz w:val="24"/>
                <w:szCs w:val="24"/>
                <w:highlight w:val="none"/>
              </w:rPr>
            </w:pPr>
          </w:p>
        </w:tc>
        <w:tc>
          <w:tcPr>
            <w:tcW w:w="656" w:type="dxa"/>
            <w:vAlign w:val="center"/>
          </w:tcPr>
          <w:p w14:paraId="33FAEA1A">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7</w:t>
            </w:r>
          </w:p>
        </w:tc>
        <w:tc>
          <w:tcPr>
            <w:tcW w:w="994" w:type="dxa"/>
            <w:vAlign w:val="center"/>
          </w:tcPr>
          <w:p w14:paraId="25EC162B">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新能源户外吹风机</w:t>
            </w:r>
          </w:p>
        </w:tc>
        <w:tc>
          <w:tcPr>
            <w:tcW w:w="820" w:type="dxa"/>
            <w:vAlign w:val="center"/>
          </w:tcPr>
          <w:p w14:paraId="07B8F558">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2</w:t>
            </w:r>
          </w:p>
        </w:tc>
        <w:tc>
          <w:tcPr>
            <w:tcW w:w="566" w:type="dxa"/>
            <w:vAlign w:val="center"/>
          </w:tcPr>
          <w:p w14:paraId="7E17DA95">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台</w:t>
            </w:r>
          </w:p>
        </w:tc>
        <w:tc>
          <w:tcPr>
            <w:tcW w:w="3438" w:type="dxa"/>
            <w:vAlign w:val="center"/>
          </w:tcPr>
          <w:p w14:paraId="03DFBE25">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drawing>
                <wp:inline distT="0" distB="0" distL="114300" distR="114300">
                  <wp:extent cx="2045335" cy="1497965"/>
                  <wp:effectExtent l="0" t="0" r="12065" b="698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41"/>
                          <a:stretch>
                            <a:fillRect/>
                          </a:stretch>
                        </pic:blipFill>
                        <pic:spPr>
                          <a:xfrm>
                            <a:off x="0" y="0"/>
                            <a:ext cx="2045335" cy="1497965"/>
                          </a:xfrm>
                          <a:prstGeom prst="rect">
                            <a:avLst/>
                          </a:prstGeom>
                          <a:noFill/>
                          <a:ln>
                            <a:noFill/>
                          </a:ln>
                        </pic:spPr>
                      </pic:pic>
                    </a:graphicData>
                  </a:graphic>
                </wp:inline>
              </w:drawing>
            </w:r>
          </w:p>
        </w:tc>
        <w:tc>
          <w:tcPr>
            <w:tcW w:w="1339" w:type="dxa"/>
            <w:vAlign w:val="center"/>
          </w:tcPr>
          <w:p w14:paraId="681B31A8">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整齐、清洁、润滑、安全、完好</w:t>
            </w:r>
          </w:p>
        </w:tc>
        <w:tc>
          <w:tcPr>
            <w:tcW w:w="1095" w:type="dxa"/>
            <w:vAlign w:val="center"/>
          </w:tcPr>
          <w:p w14:paraId="7D386C57">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用于清理路面树叶、纸屑、杂物及绿篱、花坛里的落叶</w:t>
            </w:r>
          </w:p>
        </w:tc>
      </w:tr>
      <w:tr w14:paraId="62EAC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65" w:type="dxa"/>
            <w:vMerge w:val="continue"/>
            <w:vAlign w:val="center"/>
          </w:tcPr>
          <w:p w14:paraId="42EF3653">
            <w:pPr>
              <w:widowControl/>
              <w:adjustRightInd/>
              <w:jc w:val="left"/>
              <w:rPr>
                <w:rFonts w:hint="eastAsia" w:ascii="宋体" w:hAnsi="宋体" w:eastAsia="宋体" w:cs="宋体"/>
                <w:b/>
                <w:bCs/>
                <w:color w:val="auto"/>
                <w:kern w:val="0"/>
                <w:sz w:val="24"/>
                <w:szCs w:val="24"/>
                <w:highlight w:val="none"/>
              </w:rPr>
            </w:pPr>
          </w:p>
        </w:tc>
        <w:tc>
          <w:tcPr>
            <w:tcW w:w="398" w:type="dxa"/>
            <w:vMerge w:val="continue"/>
            <w:vAlign w:val="center"/>
          </w:tcPr>
          <w:p w14:paraId="401A2A39">
            <w:pPr>
              <w:widowControl/>
              <w:adjustRightInd/>
              <w:jc w:val="left"/>
              <w:rPr>
                <w:rFonts w:hint="eastAsia" w:ascii="宋体" w:hAnsi="宋体" w:eastAsia="宋体" w:cs="宋体"/>
                <w:b/>
                <w:bCs/>
                <w:color w:val="auto"/>
                <w:kern w:val="0"/>
                <w:sz w:val="24"/>
                <w:szCs w:val="24"/>
                <w:highlight w:val="none"/>
              </w:rPr>
            </w:pPr>
          </w:p>
        </w:tc>
        <w:tc>
          <w:tcPr>
            <w:tcW w:w="656" w:type="dxa"/>
            <w:vAlign w:val="center"/>
          </w:tcPr>
          <w:p w14:paraId="042EB26C">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8</w:t>
            </w:r>
          </w:p>
        </w:tc>
        <w:tc>
          <w:tcPr>
            <w:tcW w:w="994" w:type="dxa"/>
            <w:vAlign w:val="center"/>
          </w:tcPr>
          <w:p w14:paraId="2065466E">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背负式喷粉机</w:t>
            </w:r>
          </w:p>
        </w:tc>
        <w:tc>
          <w:tcPr>
            <w:tcW w:w="820" w:type="dxa"/>
            <w:vAlign w:val="center"/>
          </w:tcPr>
          <w:p w14:paraId="34720ADE">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w:t>
            </w:r>
          </w:p>
        </w:tc>
        <w:tc>
          <w:tcPr>
            <w:tcW w:w="566" w:type="dxa"/>
            <w:vAlign w:val="center"/>
          </w:tcPr>
          <w:p w14:paraId="434DA2C8">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台</w:t>
            </w:r>
          </w:p>
        </w:tc>
        <w:tc>
          <w:tcPr>
            <w:tcW w:w="3438" w:type="dxa"/>
            <w:vAlign w:val="center"/>
          </w:tcPr>
          <w:p w14:paraId="48594CAE">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drawing>
                <wp:inline distT="0" distB="0" distL="114300" distR="114300">
                  <wp:extent cx="1609725" cy="1905000"/>
                  <wp:effectExtent l="0" t="0" r="9525" b="0"/>
                  <wp:docPr id="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
                          <pic:cNvPicPr>
                            <a:picLocks noChangeAspect="1"/>
                          </pic:cNvPicPr>
                        </pic:nvPicPr>
                        <pic:blipFill>
                          <a:blip r:embed="rId42"/>
                          <a:stretch>
                            <a:fillRect/>
                          </a:stretch>
                        </pic:blipFill>
                        <pic:spPr>
                          <a:xfrm>
                            <a:off x="0" y="0"/>
                            <a:ext cx="1609725" cy="1905000"/>
                          </a:xfrm>
                          <a:prstGeom prst="rect">
                            <a:avLst/>
                          </a:prstGeom>
                          <a:noFill/>
                          <a:ln>
                            <a:noFill/>
                          </a:ln>
                        </pic:spPr>
                      </pic:pic>
                    </a:graphicData>
                  </a:graphic>
                </wp:inline>
              </w:drawing>
            </w:r>
          </w:p>
        </w:tc>
        <w:tc>
          <w:tcPr>
            <w:tcW w:w="1339" w:type="dxa"/>
            <w:vAlign w:val="center"/>
          </w:tcPr>
          <w:p w14:paraId="0CDC164C">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整齐、清洁、润滑、安全、完好</w:t>
            </w:r>
          </w:p>
        </w:tc>
        <w:tc>
          <w:tcPr>
            <w:tcW w:w="1095" w:type="dxa"/>
            <w:vAlign w:val="center"/>
          </w:tcPr>
          <w:p w14:paraId="281547AA">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小巧轻便，可以进行药物喷雾、超低量喷雾、喷粉等项作业。</w:t>
            </w:r>
          </w:p>
        </w:tc>
      </w:tr>
      <w:tr w14:paraId="15A63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65" w:type="dxa"/>
            <w:vMerge w:val="continue"/>
            <w:vAlign w:val="center"/>
          </w:tcPr>
          <w:p w14:paraId="1BC7F6AA">
            <w:pPr>
              <w:widowControl/>
              <w:adjustRightInd/>
              <w:jc w:val="left"/>
              <w:rPr>
                <w:rFonts w:hint="eastAsia" w:ascii="宋体" w:hAnsi="宋体" w:eastAsia="宋体" w:cs="宋体"/>
                <w:b/>
                <w:bCs/>
                <w:color w:val="auto"/>
                <w:kern w:val="0"/>
                <w:sz w:val="24"/>
                <w:szCs w:val="24"/>
                <w:highlight w:val="none"/>
              </w:rPr>
            </w:pPr>
          </w:p>
        </w:tc>
        <w:tc>
          <w:tcPr>
            <w:tcW w:w="398" w:type="dxa"/>
            <w:vMerge w:val="continue"/>
            <w:vAlign w:val="center"/>
          </w:tcPr>
          <w:p w14:paraId="0E333D8E">
            <w:pPr>
              <w:widowControl/>
              <w:adjustRightInd/>
              <w:jc w:val="left"/>
              <w:rPr>
                <w:rFonts w:hint="eastAsia" w:ascii="宋体" w:hAnsi="宋体" w:eastAsia="宋体" w:cs="宋体"/>
                <w:b/>
                <w:bCs/>
                <w:color w:val="auto"/>
                <w:kern w:val="0"/>
                <w:sz w:val="24"/>
                <w:szCs w:val="24"/>
                <w:highlight w:val="none"/>
              </w:rPr>
            </w:pPr>
          </w:p>
        </w:tc>
        <w:tc>
          <w:tcPr>
            <w:tcW w:w="656" w:type="dxa"/>
            <w:vAlign w:val="center"/>
          </w:tcPr>
          <w:p w14:paraId="04227AAB">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9</w:t>
            </w:r>
          </w:p>
        </w:tc>
        <w:tc>
          <w:tcPr>
            <w:tcW w:w="994" w:type="dxa"/>
            <w:vAlign w:val="center"/>
          </w:tcPr>
          <w:p w14:paraId="051FB79C">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打药车</w:t>
            </w:r>
          </w:p>
        </w:tc>
        <w:tc>
          <w:tcPr>
            <w:tcW w:w="820" w:type="dxa"/>
            <w:vAlign w:val="center"/>
          </w:tcPr>
          <w:p w14:paraId="251D37F2">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w:t>
            </w:r>
          </w:p>
        </w:tc>
        <w:tc>
          <w:tcPr>
            <w:tcW w:w="566" w:type="dxa"/>
            <w:vAlign w:val="center"/>
          </w:tcPr>
          <w:p w14:paraId="741ADD0A">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台</w:t>
            </w:r>
          </w:p>
        </w:tc>
        <w:tc>
          <w:tcPr>
            <w:tcW w:w="3438" w:type="dxa"/>
            <w:vAlign w:val="center"/>
          </w:tcPr>
          <w:p w14:paraId="134F646F">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drawing>
                <wp:inline distT="0" distB="0" distL="114300" distR="114300">
                  <wp:extent cx="1952625" cy="1190625"/>
                  <wp:effectExtent l="0" t="0" r="9525" b="9525"/>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r:embed="rId43"/>
                          <a:stretch>
                            <a:fillRect/>
                          </a:stretch>
                        </pic:blipFill>
                        <pic:spPr>
                          <a:xfrm>
                            <a:off x="0" y="0"/>
                            <a:ext cx="1952625" cy="1190625"/>
                          </a:xfrm>
                          <a:prstGeom prst="rect">
                            <a:avLst/>
                          </a:prstGeom>
                          <a:noFill/>
                          <a:ln>
                            <a:noFill/>
                          </a:ln>
                        </pic:spPr>
                      </pic:pic>
                    </a:graphicData>
                  </a:graphic>
                </wp:inline>
              </w:drawing>
            </w:r>
          </w:p>
        </w:tc>
        <w:tc>
          <w:tcPr>
            <w:tcW w:w="1339" w:type="dxa"/>
            <w:vAlign w:val="center"/>
          </w:tcPr>
          <w:p w14:paraId="0F946D0E">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整齐、清洁、润滑、安全、完好</w:t>
            </w:r>
          </w:p>
        </w:tc>
        <w:tc>
          <w:tcPr>
            <w:tcW w:w="1095" w:type="dxa"/>
            <w:vAlign w:val="center"/>
          </w:tcPr>
          <w:p w14:paraId="01114611">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可用于公园病虫害防治，提高公园打药效率</w:t>
            </w:r>
          </w:p>
        </w:tc>
      </w:tr>
      <w:tr w14:paraId="1F0FB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65" w:type="dxa"/>
            <w:vMerge w:val="continue"/>
            <w:vAlign w:val="center"/>
          </w:tcPr>
          <w:p w14:paraId="6602003E">
            <w:pPr>
              <w:widowControl/>
              <w:adjustRightInd/>
              <w:jc w:val="left"/>
              <w:rPr>
                <w:rFonts w:hint="eastAsia" w:ascii="宋体" w:hAnsi="宋体" w:eastAsia="宋体" w:cs="宋体"/>
                <w:b/>
                <w:bCs/>
                <w:color w:val="auto"/>
                <w:kern w:val="0"/>
                <w:sz w:val="24"/>
                <w:szCs w:val="24"/>
                <w:highlight w:val="none"/>
              </w:rPr>
            </w:pPr>
          </w:p>
        </w:tc>
        <w:tc>
          <w:tcPr>
            <w:tcW w:w="398" w:type="dxa"/>
            <w:vMerge w:val="continue"/>
            <w:vAlign w:val="center"/>
          </w:tcPr>
          <w:p w14:paraId="1653FB3F">
            <w:pPr>
              <w:widowControl/>
              <w:adjustRightInd/>
              <w:jc w:val="left"/>
              <w:rPr>
                <w:rFonts w:hint="eastAsia" w:ascii="宋体" w:hAnsi="宋体" w:eastAsia="宋体" w:cs="宋体"/>
                <w:b/>
                <w:bCs/>
                <w:color w:val="auto"/>
                <w:kern w:val="0"/>
                <w:sz w:val="24"/>
                <w:szCs w:val="24"/>
                <w:highlight w:val="none"/>
              </w:rPr>
            </w:pPr>
          </w:p>
        </w:tc>
        <w:tc>
          <w:tcPr>
            <w:tcW w:w="656" w:type="dxa"/>
            <w:vAlign w:val="center"/>
          </w:tcPr>
          <w:p w14:paraId="2D623D47">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w:t>
            </w:r>
          </w:p>
        </w:tc>
        <w:tc>
          <w:tcPr>
            <w:tcW w:w="994" w:type="dxa"/>
            <w:vAlign w:val="center"/>
          </w:tcPr>
          <w:p w14:paraId="485586D0">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打孔机</w:t>
            </w:r>
          </w:p>
        </w:tc>
        <w:tc>
          <w:tcPr>
            <w:tcW w:w="820" w:type="dxa"/>
            <w:vAlign w:val="center"/>
          </w:tcPr>
          <w:p w14:paraId="0398F3BB">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w:t>
            </w:r>
          </w:p>
        </w:tc>
        <w:tc>
          <w:tcPr>
            <w:tcW w:w="566" w:type="dxa"/>
            <w:vAlign w:val="center"/>
          </w:tcPr>
          <w:p w14:paraId="5F2597F4">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台</w:t>
            </w:r>
          </w:p>
        </w:tc>
        <w:tc>
          <w:tcPr>
            <w:tcW w:w="3438" w:type="dxa"/>
            <w:vAlign w:val="center"/>
          </w:tcPr>
          <w:p w14:paraId="145E916F">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r>
              <w:rPr>
                <w:rFonts w:hint="eastAsia" w:ascii="宋体" w:hAnsi="宋体" w:eastAsia="宋体" w:cs="宋体"/>
                <w:color w:val="auto"/>
                <w:sz w:val="24"/>
                <w:szCs w:val="24"/>
                <w:highlight w:val="none"/>
              </w:rPr>
              <w:drawing>
                <wp:inline distT="0" distB="0" distL="114300" distR="114300">
                  <wp:extent cx="1952625" cy="1352550"/>
                  <wp:effectExtent l="0" t="0" r="9525" b="0"/>
                  <wp:docPr id="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pic:cNvPicPr>
                            <a:picLocks noChangeAspect="1"/>
                          </pic:cNvPicPr>
                        </pic:nvPicPr>
                        <pic:blipFill>
                          <a:blip r:embed="rId44"/>
                          <a:stretch>
                            <a:fillRect/>
                          </a:stretch>
                        </pic:blipFill>
                        <pic:spPr>
                          <a:xfrm>
                            <a:off x="0" y="0"/>
                            <a:ext cx="1952625" cy="1352550"/>
                          </a:xfrm>
                          <a:prstGeom prst="rect">
                            <a:avLst/>
                          </a:prstGeom>
                          <a:noFill/>
                          <a:ln>
                            <a:noFill/>
                          </a:ln>
                        </pic:spPr>
                      </pic:pic>
                    </a:graphicData>
                  </a:graphic>
                </wp:inline>
              </w:drawing>
            </w:r>
          </w:p>
        </w:tc>
        <w:tc>
          <w:tcPr>
            <w:tcW w:w="1339" w:type="dxa"/>
            <w:vAlign w:val="center"/>
          </w:tcPr>
          <w:p w14:paraId="0E9F5031">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整齐、清洁、润滑、安全、完好</w:t>
            </w:r>
          </w:p>
        </w:tc>
        <w:tc>
          <w:tcPr>
            <w:tcW w:w="1095" w:type="dxa"/>
            <w:vAlign w:val="center"/>
          </w:tcPr>
          <w:p w14:paraId="36FDB86F">
            <w:pPr>
              <w:widowControl w:val="0"/>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用于板结土壤的通气，可结合施肥使用。</w:t>
            </w:r>
          </w:p>
        </w:tc>
      </w:tr>
      <w:tr w14:paraId="4262C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5" w:hRule="atLeast"/>
          <w:jc w:val="center"/>
        </w:trPr>
        <w:tc>
          <w:tcPr>
            <w:tcW w:w="465" w:type="dxa"/>
            <w:vMerge w:val="continue"/>
            <w:vAlign w:val="center"/>
          </w:tcPr>
          <w:p w14:paraId="1E265C59">
            <w:pPr>
              <w:widowControl/>
              <w:adjustRightInd/>
              <w:jc w:val="left"/>
              <w:rPr>
                <w:rFonts w:hint="eastAsia" w:ascii="宋体" w:hAnsi="宋体" w:eastAsia="宋体" w:cs="宋体"/>
                <w:b/>
                <w:bCs/>
                <w:color w:val="auto"/>
                <w:kern w:val="0"/>
                <w:sz w:val="24"/>
                <w:szCs w:val="24"/>
                <w:highlight w:val="none"/>
              </w:rPr>
            </w:pPr>
          </w:p>
        </w:tc>
        <w:tc>
          <w:tcPr>
            <w:tcW w:w="398" w:type="dxa"/>
            <w:vMerge w:val="continue"/>
            <w:vAlign w:val="center"/>
          </w:tcPr>
          <w:p w14:paraId="0B7936DA">
            <w:pPr>
              <w:widowControl/>
              <w:adjustRightInd/>
              <w:jc w:val="left"/>
              <w:rPr>
                <w:rFonts w:hint="eastAsia" w:ascii="宋体" w:hAnsi="宋体" w:eastAsia="宋体" w:cs="宋体"/>
                <w:b/>
                <w:bCs/>
                <w:color w:val="auto"/>
                <w:kern w:val="0"/>
                <w:sz w:val="24"/>
                <w:szCs w:val="24"/>
                <w:highlight w:val="none"/>
              </w:rPr>
            </w:pPr>
          </w:p>
        </w:tc>
        <w:tc>
          <w:tcPr>
            <w:tcW w:w="656" w:type="dxa"/>
            <w:vAlign w:val="center"/>
          </w:tcPr>
          <w:p w14:paraId="44484180">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11</w:t>
            </w:r>
          </w:p>
        </w:tc>
        <w:tc>
          <w:tcPr>
            <w:tcW w:w="994" w:type="dxa"/>
            <w:vAlign w:val="center"/>
          </w:tcPr>
          <w:p w14:paraId="631ECA0B">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绿篱机</w:t>
            </w:r>
          </w:p>
        </w:tc>
        <w:tc>
          <w:tcPr>
            <w:tcW w:w="820" w:type="dxa"/>
            <w:vAlign w:val="center"/>
          </w:tcPr>
          <w:p w14:paraId="0EA692F3">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566" w:type="dxa"/>
            <w:vAlign w:val="center"/>
          </w:tcPr>
          <w:p w14:paraId="5444A905">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台　</w:t>
            </w:r>
          </w:p>
        </w:tc>
        <w:tc>
          <w:tcPr>
            <w:tcW w:w="3438" w:type="dxa"/>
            <w:vAlign w:val="center"/>
          </w:tcPr>
          <w:p w14:paraId="1A892570">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r>
              <w:rPr>
                <w:rFonts w:hint="eastAsia" w:ascii="宋体" w:hAnsi="宋体" w:eastAsia="宋体" w:cs="宋体"/>
                <w:color w:val="auto"/>
                <w:sz w:val="24"/>
                <w:szCs w:val="24"/>
                <w:highlight w:val="none"/>
              </w:rPr>
              <w:drawing>
                <wp:inline distT="0" distB="0" distL="114300" distR="114300">
                  <wp:extent cx="1990725" cy="1533525"/>
                  <wp:effectExtent l="0" t="0" r="9525" b="9525"/>
                  <wp:docPr id="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
                          <pic:cNvPicPr>
                            <a:picLocks noChangeAspect="1"/>
                          </pic:cNvPicPr>
                        </pic:nvPicPr>
                        <pic:blipFill>
                          <a:blip r:embed="rId45"/>
                          <a:stretch>
                            <a:fillRect/>
                          </a:stretch>
                        </pic:blipFill>
                        <pic:spPr>
                          <a:xfrm>
                            <a:off x="0" y="0"/>
                            <a:ext cx="1990725" cy="1533525"/>
                          </a:xfrm>
                          <a:prstGeom prst="rect">
                            <a:avLst/>
                          </a:prstGeom>
                          <a:noFill/>
                          <a:ln>
                            <a:noFill/>
                          </a:ln>
                        </pic:spPr>
                      </pic:pic>
                    </a:graphicData>
                  </a:graphic>
                </wp:inline>
              </w:drawing>
            </w:r>
          </w:p>
        </w:tc>
        <w:tc>
          <w:tcPr>
            <w:tcW w:w="1339" w:type="dxa"/>
            <w:vAlign w:val="center"/>
          </w:tcPr>
          <w:p w14:paraId="01E95200">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整齐、清洁、润滑、安全、完好</w:t>
            </w:r>
          </w:p>
        </w:tc>
        <w:tc>
          <w:tcPr>
            <w:tcW w:w="1095" w:type="dxa"/>
            <w:vAlign w:val="center"/>
          </w:tcPr>
          <w:p w14:paraId="5562EEF7">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可用绿篱修剪</w:t>
            </w:r>
          </w:p>
        </w:tc>
      </w:tr>
      <w:tr w14:paraId="72E96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65" w:type="dxa"/>
            <w:vMerge w:val="continue"/>
            <w:vAlign w:val="center"/>
          </w:tcPr>
          <w:p w14:paraId="103F166D">
            <w:pPr>
              <w:widowControl/>
              <w:adjustRightInd/>
              <w:jc w:val="left"/>
              <w:rPr>
                <w:rFonts w:hint="eastAsia" w:ascii="宋体" w:hAnsi="宋体" w:eastAsia="宋体" w:cs="宋体"/>
                <w:b/>
                <w:bCs/>
                <w:color w:val="auto"/>
                <w:kern w:val="0"/>
                <w:sz w:val="24"/>
                <w:szCs w:val="24"/>
                <w:highlight w:val="none"/>
              </w:rPr>
            </w:pPr>
          </w:p>
        </w:tc>
        <w:tc>
          <w:tcPr>
            <w:tcW w:w="398" w:type="dxa"/>
            <w:vAlign w:val="center"/>
          </w:tcPr>
          <w:p w14:paraId="52CD2CEF">
            <w:pPr>
              <w:widowControl/>
              <w:adjustRightInd/>
              <w:jc w:val="left"/>
              <w:rPr>
                <w:rFonts w:hint="eastAsia" w:ascii="宋体" w:hAnsi="宋体" w:eastAsia="宋体" w:cs="宋体"/>
                <w:b/>
                <w:bCs/>
                <w:color w:val="auto"/>
                <w:kern w:val="0"/>
                <w:sz w:val="24"/>
                <w:szCs w:val="24"/>
                <w:highlight w:val="none"/>
              </w:rPr>
            </w:pPr>
          </w:p>
        </w:tc>
        <w:tc>
          <w:tcPr>
            <w:tcW w:w="656" w:type="dxa"/>
            <w:vAlign w:val="center"/>
          </w:tcPr>
          <w:p w14:paraId="4ECACE94">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12</w:t>
            </w:r>
          </w:p>
        </w:tc>
        <w:tc>
          <w:tcPr>
            <w:tcW w:w="994" w:type="dxa"/>
            <w:vAlign w:val="center"/>
          </w:tcPr>
          <w:p w14:paraId="79F3BCE1">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水泵</w:t>
            </w:r>
          </w:p>
        </w:tc>
        <w:tc>
          <w:tcPr>
            <w:tcW w:w="820" w:type="dxa"/>
            <w:vAlign w:val="center"/>
          </w:tcPr>
          <w:p w14:paraId="4FF18EBA">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566" w:type="dxa"/>
            <w:vAlign w:val="center"/>
          </w:tcPr>
          <w:p w14:paraId="192558BD">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台</w:t>
            </w:r>
          </w:p>
        </w:tc>
        <w:tc>
          <w:tcPr>
            <w:tcW w:w="3438" w:type="dxa"/>
            <w:vAlign w:val="center"/>
          </w:tcPr>
          <w:p w14:paraId="3F1C27E7">
            <w:pPr>
              <w:widowControl/>
              <w:adjustRightInd/>
              <w:jc w:val="center"/>
              <w:rPr>
                <w:rFonts w:hint="eastAsia" w:ascii="宋体" w:hAnsi="宋体" w:eastAsia="宋体" w:cs="宋体"/>
                <w:color w:val="auto"/>
                <w:sz w:val="24"/>
                <w:szCs w:val="24"/>
                <w:highlight w:val="none"/>
              </w:rPr>
            </w:pPr>
          </w:p>
        </w:tc>
        <w:tc>
          <w:tcPr>
            <w:tcW w:w="1339" w:type="dxa"/>
            <w:vAlign w:val="center"/>
          </w:tcPr>
          <w:p w14:paraId="5FF843E9">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整齐、清洁、润滑、安全、完好</w:t>
            </w:r>
          </w:p>
        </w:tc>
        <w:tc>
          <w:tcPr>
            <w:tcW w:w="1095" w:type="dxa"/>
            <w:vAlign w:val="center"/>
          </w:tcPr>
          <w:p w14:paraId="658BA966">
            <w:pPr>
              <w:widowControl/>
              <w:adjustRightInd/>
              <w:jc w:val="center"/>
              <w:rPr>
                <w:rFonts w:hint="eastAsia" w:ascii="宋体" w:hAnsi="宋体" w:eastAsia="宋体" w:cs="宋体"/>
                <w:color w:val="auto"/>
                <w:kern w:val="0"/>
                <w:sz w:val="24"/>
                <w:szCs w:val="24"/>
                <w:highlight w:val="none"/>
              </w:rPr>
            </w:pPr>
          </w:p>
        </w:tc>
      </w:tr>
      <w:tr w14:paraId="719AF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465" w:type="dxa"/>
            <w:vMerge w:val="continue"/>
            <w:vAlign w:val="center"/>
          </w:tcPr>
          <w:p w14:paraId="7E70ACA2">
            <w:pPr>
              <w:widowControl/>
              <w:adjustRightInd/>
              <w:jc w:val="left"/>
              <w:rPr>
                <w:rFonts w:hint="eastAsia" w:ascii="宋体" w:hAnsi="宋体" w:eastAsia="宋体" w:cs="宋体"/>
                <w:b/>
                <w:bCs/>
                <w:color w:val="auto"/>
                <w:kern w:val="0"/>
                <w:sz w:val="24"/>
                <w:szCs w:val="24"/>
                <w:highlight w:val="none"/>
              </w:rPr>
            </w:pPr>
          </w:p>
        </w:tc>
        <w:tc>
          <w:tcPr>
            <w:tcW w:w="398" w:type="dxa"/>
            <w:vAlign w:val="center"/>
          </w:tcPr>
          <w:p w14:paraId="216F5949">
            <w:pPr>
              <w:widowControl/>
              <w:adjustRightInd/>
              <w:jc w:val="left"/>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kern w:val="0"/>
                <w:sz w:val="24"/>
                <w:szCs w:val="24"/>
                <w:highlight w:val="none"/>
                <w:lang w:eastAsia="zh-CN"/>
              </w:rPr>
              <w:t>安全保障</w:t>
            </w:r>
          </w:p>
        </w:tc>
        <w:tc>
          <w:tcPr>
            <w:tcW w:w="656" w:type="dxa"/>
            <w:vAlign w:val="center"/>
          </w:tcPr>
          <w:p w14:paraId="56349011">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1</w:t>
            </w:r>
          </w:p>
        </w:tc>
        <w:tc>
          <w:tcPr>
            <w:tcW w:w="994" w:type="dxa"/>
            <w:vAlign w:val="center"/>
          </w:tcPr>
          <w:p w14:paraId="3AB9D100">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电动自行车</w:t>
            </w:r>
          </w:p>
        </w:tc>
        <w:tc>
          <w:tcPr>
            <w:tcW w:w="820" w:type="dxa"/>
            <w:vAlign w:val="center"/>
          </w:tcPr>
          <w:p w14:paraId="7B108484">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566" w:type="dxa"/>
            <w:vAlign w:val="center"/>
          </w:tcPr>
          <w:p w14:paraId="1AB2160B">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辆</w:t>
            </w:r>
          </w:p>
        </w:tc>
        <w:tc>
          <w:tcPr>
            <w:tcW w:w="3438" w:type="dxa"/>
            <w:vAlign w:val="center"/>
          </w:tcPr>
          <w:p w14:paraId="18D9B1EF">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锂电池，符合新国标标准。</w:t>
            </w:r>
          </w:p>
          <w:p w14:paraId="2035967F">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339" w:type="dxa"/>
            <w:vAlign w:val="center"/>
          </w:tcPr>
          <w:p w14:paraId="3E0E7124">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整齐、清洁、润滑、安全、完好</w:t>
            </w:r>
          </w:p>
        </w:tc>
        <w:tc>
          <w:tcPr>
            <w:tcW w:w="1095" w:type="dxa"/>
            <w:vAlign w:val="center"/>
          </w:tcPr>
          <w:p w14:paraId="4DBC1514">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r>
      <w:tr w14:paraId="3E300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jc w:val="center"/>
        </w:trPr>
        <w:tc>
          <w:tcPr>
            <w:tcW w:w="465" w:type="dxa"/>
            <w:vMerge w:val="restart"/>
            <w:vAlign w:val="center"/>
          </w:tcPr>
          <w:p w14:paraId="5EA36BCA">
            <w:pPr>
              <w:widowControl/>
              <w:adjustRightInd/>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升级配备</w:t>
            </w:r>
          </w:p>
        </w:tc>
        <w:tc>
          <w:tcPr>
            <w:tcW w:w="398" w:type="dxa"/>
            <w:vAlign w:val="center"/>
          </w:tcPr>
          <w:p w14:paraId="27291691">
            <w:pPr>
              <w:widowControl/>
              <w:adjustRightInd/>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植物养护</w:t>
            </w:r>
          </w:p>
        </w:tc>
        <w:tc>
          <w:tcPr>
            <w:tcW w:w="656" w:type="dxa"/>
            <w:vAlign w:val="center"/>
          </w:tcPr>
          <w:p w14:paraId="6C278DDC">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994" w:type="dxa"/>
            <w:vAlign w:val="center"/>
          </w:tcPr>
          <w:p w14:paraId="6A181C41">
            <w:pPr>
              <w:widowControl/>
              <w:adjustRightInd/>
              <w:jc w:val="center"/>
              <w:rPr>
                <w:rFonts w:hint="eastAsia" w:ascii="宋体" w:hAnsi="宋体" w:eastAsia="宋体" w:cs="宋体"/>
                <w:color w:val="auto"/>
                <w:kern w:val="0"/>
                <w:sz w:val="24"/>
                <w:szCs w:val="24"/>
                <w:highlight w:val="none"/>
              </w:rPr>
            </w:pPr>
          </w:p>
          <w:p w14:paraId="46889FD9">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无人机打药设备</w:t>
            </w:r>
          </w:p>
          <w:p w14:paraId="4E159A1D">
            <w:pPr>
              <w:widowControl/>
              <w:adjustRightInd/>
              <w:jc w:val="center"/>
              <w:rPr>
                <w:rFonts w:hint="eastAsia" w:ascii="宋体" w:hAnsi="宋体" w:eastAsia="宋体" w:cs="宋体"/>
                <w:color w:val="auto"/>
                <w:kern w:val="0"/>
                <w:sz w:val="24"/>
                <w:szCs w:val="24"/>
                <w:highlight w:val="none"/>
              </w:rPr>
            </w:pPr>
          </w:p>
        </w:tc>
        <w:tc>
          <w:tcPr>
            <w:tcW w:w="820" w:type="dxa"/>
            <w:vAlign w:val="center"/>
          </w:tcPr>
          <w:p w14:paraId="16931FF5">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w:t>
            </w:r>
          </w:p>
        </w:tc>
        <w:tc>
          <w:tcPr>
            <w:tcW w:w="566" w:type="dxa"/>
            <w:vAlign w:val="center"/>
          </w:tcPr>
          <w:p w14:paraId="6A795D79">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架</w:t>
            </w:r>
          </w:p>
        </w:tc>
        <w:tc>
          <w:tcPr>
            <w:tcW w:w="3438" w:type="dxa"/>
            <w:vAlign w:val="center"/>
          </w:tcPr>
          <w:p w14:paraId="7DA39FD7">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飞行高度不小于20米；药箱容量不小于50L；</w:t>
            </w:r>
          </w:p>
          <w:p w14:paraId="4DDEBB9D">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339" w:type="dxa"/>
            <w:vAlign w:val="center"/>
          </w:tcPr>
          <w:p w14:paraId="14118D1F">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整齐、清洁、润滑、安全、完好</w:t>
            </w:r>
          </w:p>
        </w:tc>
        <w:tc>
          <w:tcPr>
            <w:tcW w:w="1095" w:type="dxa"/>
            <w:vAlign w:val="center"/>
          </w:tcPr>
          <w:p w14:paraId="2BA0F949">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r>
      <w:tr w14:paraId="060B3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9" w:hRule="atLeast"/>
          <w:jc w:val="center"/>
        </w:trPr>
        <w:tc>
          <w:tcPr>
            <w:tcW w:w="465" w:type="dxa"/>
            <w:vMerge w:val="continue"/>
            <w:vAlign w:val="center"/>
          </w:tcPr>
          <w:p w14:paraId="498D4A01">
            <w:pPr>
              <w:widowControl/>
              <w:adjustRightInd/>
              <w:jc w:val="left"/>
              <w:rPr>
                <w:rFonts w:hint="eastAsia" w:ascii="宋体" w:hAnsi="宋体" w:eastAsia="宋体" w:cs="宋体"/>
                <w:b/>
                <w:bCs/>
                <w:color w:val="auto"/>
                <w:kern w:val="0"/>
                <w:sz w:val="24"/>
                <w:szCs w:val="24"/>
                <w:highlight w:val="none"/>
              </w:rPr>
            </w:pPr>
          </w:p>
        </w:tc>
        <w:tc>
          <w:tcPr>
            <w:tcW w:w="398" w:type="dxa"/>
            <w:vAlign w:val="center"/>
          </w:tcPr>
          <w:p w14:paraId="14D79168">
            <w:pPr>
              <w:widowControl/>
              <w:adjustRightInd/>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安全保障</w:t>
            </w:r>
          </w:p>
        </w:tc>
        <w:tc>
          <w:tcPr>
            <w:tcW w:w="656" w:type="dxa"/>
            <w:vAlign w:val="center"/>
          </w:tcPr>
          <w:p w14:paraId="13A6422B">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994" w:type="dxa"/>
            <w:vAlign w:val="center"/>
          </w:tcPr>
          <w:p w14:paraId="5BA7DB2A">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定向巡航无人机</w:t>
            </w:r>
          </w:p>
        </w:tc>
        <w:tc>
          <w:tcPr>
            <w:tcW w:w="820" w:type="dxa"/>
            <w:vAlign w:val="center"/>
          </w:tcPr>
          <w:p w14:paraId="5C546EB6">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w:t>
            </w:r>
          </w:p>
        </w:tc>
        <w:tc>
          <w:tcPr>
            <w:tcW w:w="566" w:type="dxa"/>
            <w:vAlign w:val="center"/>
          </w:tcPr>
          <w:p w14:paraId="7B5C8E65">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架</w:t>
            </w:r>
          </w:p>
        </w:tc>
        <w:tc>
          <w:tcPr>
            <w:tcW w:w="3438" w:type="dxa"/>
            <w:vAlign w:val="center"/>
          </w:tcPr>
          <w:p w14:paraId="146F9C1F">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最大飞行时间超过20分钟，最大有效信号距离超过3公里，摄像头4K以上。</w:t>
            </w:r>
          </w:p>
        </w:tc>
        <w:tc>
          <w:tcPr>
            <w:tcW w:w="1339" w:type="dxa"/>
            <w:vAlign w:val="center"/>
          </w:tcPr>
          <w:p w14:paraId="59899FED">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整齐、清洁、润滑、安全、完好</w:t>
            </w:r>
          </w:p>
        </w:tc>
        <w:tc>
          <w:tcPr>
            <w:tcW w:w="1095" w:type="dxa"/>
            <w:vAlign w:val="center"/>
          </w:tcPr>
          <w:p w14:paraId="65D0B984">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r>
      <w:tr w14:paraId="283C2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465" w:type="dxa"/>
            <w:vAlign w:val="center"/>
          </w:tcPr>
          <w:p w14:paraId="1A1AA70F">
            <w:pPr>
              <w:widowControl/>
              <w:adjustRightInd/>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管理要求</w:t>
            </w:r>
          </w:p>
        </w:tc>
        <w:tc>
          <w:tcPr>
            <w:tcW w:w="9306" w:type="dxa"/>
            <w:gridSpan w:val="8"/>
            <w:vAlign w:val="center"/>
          </w:tcPr>
          <w:p w14:paraId="2FF7294E">
            <w:pPr>
              <w:widowControl w:val="0"/>
              <w:ind w:firstLine="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完成服务相关人员开展日常作业必须配备的基本工具、器械不列入本清单，由中标人无条件提供，费用包干。主要指完成相关作业必备的无动力装置或通讯工具，包括1）手推车、工具车、垃圾铲（灰斗）、扫把、拖布、抹布等清洁工具；2）人工打药机、枝剪、水管等植物养护工具；3）五金等维修工具等；4）安保、服务人员对讲机等通讯工具；5）口罩、手套等。</w:t>
            </w:r>
          </w:p>
          <w:p w14:paraId="5A61EDBE">
            <w:pPr>
              <w:widowControl w:val="0"/>
              <w:ind w:firstLine="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2.本清单仅要求经常性使用且要求常驻公园的机械设备。</w:t>
            </w:r>
          </w:p>
          <w:p w14:paraId="462FEDFF">
            <w:pPr>
              <w:widowControl w:val="0"/>
              <w:ind w:firstLine="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3.本清单所有机械设备需在合同签订</w:t>
            </w:r>
            <w:r>
              <w:rPr>
                <w:rFonts w:hint="eastAsia" w:ascii="宋体" w:hAnsi="宋体" w:cs="宋体"/>
                <w:color w:val="auto"/>
                <w:kern w:val="2"/>
                <w:sz w:val="24"/>
                <w:szCs w:val="24"/>
                <w:highlight w:val="none"/>
                <w:lang w:val="en-US" w:eastAsia="zh-CN" w:bidi="ar-SA"/>
              </w:rPr>
              <w:t>之日起</w:t>
            </w:r>
            <w:r>
              <w:rPr>
                <w:rFonts w:hint="eastAsia" w:ascii="宋体" w:hAnsi="宋体" w:eastAsia="宋体" w:cs="宋体"/>
                <w:color w:val="auto"/>
                <w:kern w:val="2"/>
                <w:sz w:val="24"/>
                <w:szCs w:val="24"/>
                <w:highlight w:val="none"/>
                <w:lang w:val="en-US" w:eastAsia="zh-CN" w:bidi="ar-SA"/>
              </w:rPr>
              <w:t>10日内配齐，仅限于在本项目中使用，保养记录和存放地点须向采购单位备案，随时预备检查。机械设备均应在闲时进行维修保养，工作期间如发生故障无法正常使用，中标人须无条件提供同等规格或以上的机械设备。</w:t>
            </w:r>
          </w:p>
          <w:p w14:paraId="71C6418A">
            <w:pPr>
              <w:widowControl w:val="0"/>
              <w:ind w:firstLine="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4.以上车辆机械设备数量为满足本标段的最低配备要求，供应商应根据本标段实际情况配备足够的车辆机械设备。</w:t>
            </w:r>
          </w:p>
          <w:p w14:paraId="57E28243">
            <w:pPr>
              <w:widowControl w:val="0"/>
              <w:ind w:firstLine="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5.相关机械设备的操作使用、维护保养由中标人负责，费用包干。</w:t>
            </w:r>
          </w:p>
          <w:p w14:paraId="087C9190">
            <w:pPr>
              <w:widowControl w:val="0"/>
              <w:ind w:firstLine="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6.本清单机械设备生产制造时间要求为2021年1月份以后，具备国家认可的合格证书，性能良好；属于租赁的机械设备，租赁时间必须长于本项目招标服务时限或一致，不得短于项目服务时限。</w:t>
            </w:r>
          </w:p>
        </w:tc>
      </w:tr>
    </w:tbl>
    <w:p w14:paraId="146D9779">
      <w:pPr>
        <w:widowControl/>
        <w:tabs>
          <w:tab w:val="left" w:pos="851"/>
        </w:tabs>
        <w:adjustRightInd/>
        <w:spacing w:line="360" w:lineRule="auto"/>
        <w:outlineLvl w:val="1"/>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②园林博物馆</w:t>
      </w:r>
    </w:p>
    <w:tbl>
      <w:tblPr>
        <w:tblStyle w:val="62"/>
        <w:tblW w:w="97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487"/>
        <w:gridCol w:w="567"/>
        <w:gridCol w:w="980"/>
        <w:gridCol w:w="834"/>
        <w:gridCol w:w="566"/>
        <w:gridCol w:w="3687"/>
        <w:gridCol w:w="1090"/>
        <w:gridCol w:w="1095"/>
      </w:tblGrid>
      <w:tr w14:paraId="0DFB0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952" w:type="dxa"/>
            <w:gridSpan w:val="2"/>
            <w:vAlign w:val="center"/>
          </w:tcPr>
          <w:p w14:paraId="5BEBD444">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类别</w:t>
            </w:r>
          </w:p>
        </w:tc>
        <w:tc>
          <w:tcPr>
            <w:tcW w:w="567" w:type="dxa"/>
            <w:vAlign w:val="center"/>
          </w:tcPr>
          <w:p w14:paraId="3729EC59">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序号</w:t>
            </w:r>
          </w:p>
        </w:tc>
        <w:tc>
          <w:tcPr>
            <w:tcW w:w="980" w:type="dxa"/>
            <w:vAlign w:val="center"/>
          </w:tcPr>
          <w:p w14:paraId="7FF24F6F">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设备名称</w:t>
            </w:r>
          </w:p>
        </w:tc>
        <w:tc>
          <w:tcPr>
            <w:tcW w:w="834" w:type="dxa"/>
            <w:vAlign w:val="center"/>
          </w:tcPr>
          <w:p w14:paraId="555B12C2">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最低数量要求</w:t>
            </w:r>
          </w:p>
        </w:tc>
        <w:tc>
          <w:tcPr>
            <w:tcW w:w="566" w:type="dxa"/>
            <w:vAlign w:val="center"/>
          </w:tcPr>
          <w:p w14:paraId="3F319F3D">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单位</w:t>
            </w:r>
          </w:p>
        </w:tc>
        <w:tc>
          <w:tcPr>
            <w:tcW w:w="3687" w:type="dxa"/>
            <w:vAlign w:val="center"/>
          </w:tcPr>
          <w:p w14:paraId="77B2C9DE">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参考样式（具体参数）</w:t>
            </w:r>
          </w:p>
        </w:tc>
        <w:tc>
          <w:tcPr>
            <w:tcW w:w="1090" w:type="dxa"/>
            <w:vAlign w:val="center"/>
          </w:tcPr>
          <w:p w14:paraId="3DD03CDD">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使用及维护要求（使用率）</w:t>
            </w:r>
          </w:p>
        </w:tc>
        <w:tc>
          <w:tcPr>
            <w:tcW w:w="1095" w:type="dxa"/>
            <w:vAlign w:val="center"/>
          </w:tcPr>
          <w:p w14:paraId="1CB78488">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备注</w:t>
            </w:r>
          </w:p>
        </w:tc>
      </w:tr>
      <w:tr w14:paraId="3C029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65" w:type="dxa"/>
            <w:vMerge w:val="restart"/>
            <w:vAlign w:val="center"/>
          </w:tcPr>
          <w:p w14:paraId="26C60EC3">
            <w:pPr>
              <w:widowControl/>
              <w:adjustRightInd/>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基础配备</w:t>
            </w:r>
          </w:p>
        </w:tc>
        <w:tc>
          <w:tcPr>
            <w:tcW w:w="487" w:type="dxa"/>
            <w:vMerge w:val="restart"/>
            <w:vAlign w:val="center"/>
          </w:tcPr>
          <w:p w14:paraId="00C1A8EC">
            <w:pPr>
              <w:widowControl/>
              <w:adjustRightInd/>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卫生保洁</w:t>
            </w:r>
          </w:p>
        </w:tc>
        <w:tc>
          <w:tcPr>
            <w:tcW w:w="567" w:type="dxa"/>
            <w:vAlign w:val="center"/>
          </w:tcPr>
          <w:p w14:paraId="49D475D9">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980" w:type="dxa"/>
            <w:vAlign w:val="center"/>
          </w:tcPr>
          <w:p w14:paraId="7D990A9B">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地面吹干机</w:t>
            </w:r>
          </w:p>
        </w:tc>
        <w:tc>
          <w:tcPr>
            <w:tcW w:w="834" w:type="dxa"/>
            <w:vAlign w:val="center"/>
          </w:tcPr>
          <w:p w14:paraId="4613274F">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w:t>
            </w:r>
          </w:p>
        </w:tc>
        <w:tc>
          <w:tcPr>
            <w:tcW w:w="566" w:type="dxa"/>
            <w:vAlign w:val="center"/>
          </w:tcPr>
          <w:p w14:paraId="1550EDF6">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台</w:t>
            </w:r>
          </w:p>
        </w:tc>
        <w:tc>
          <w:tcPr>
            <w:tcW w:w="3687" w:type="dxa"/>
            <w:vAlign w:val="center"/>
          </w:tcPr>
          <w:p w14:paraId="00BC1E4F">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b/>
                <w:color w:val="auto"/>
                <w:sz w:val="24"/>
                <w:szCs w:val="24"/>
                <w:highlight w:val="none"/>
                <w:lang w:val="en-US" w:eastAsia="zh-CN"/>
              </w:rPr>
              <w:drawing>
                <wp:inline distT="0" distB="0" distL="114300" distR="114300">
                  <wp:extent cx="976630" cy="1124585"/>
                  <wp:effectExtent l="0" t="0" r="13970" b="18415"/>
                  <wp:docPr id="43" name="图片 43" descr="e0f058d1453815a2f2e567fad084b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e0f058d1453815a2f2e567fad084b94"/>
                          <pic:cNvPicPr>
                            <a:picLocks noChangeAspect="1"/>
                          </pic:cNvPicPr>
                        </pic:nvPicPr>
                        <pic:blipFill>
                          <a:blip r:embed="rId48"/>
                          <a:stretch>
                            <a:fillRect/>
                          </a:stretch>
                        </pic:blipFill>
                        <pic:spPr>
                          <a:xfrm>
                            <a:off x="0" y="0"/>
                            <a:ext cx="976630" cy="1124585"/>
                          </a:xfrm>
                          <a:prstGeom prst="rect">
                            <a:avLst/>
                          </a:prstGeom>
                        </pic:spPr>
                      </pic:pic>
                    </a:graphicData>
                  </a:graphic>
                </wp:inline>
              </w:drawing>
            </w:r>
          </w:p>
        </w:tc>
        <w:tc>
          <w:tcPr>
            <w:tcW w:w="1090" w:type="dxa"/>
            <w:vAlign w:val="center"/>
          </w:tcPr>
          <w:p w14:paraId="2456A1CD">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整齐、清洁、润滑、安全、完好</w:t>
            </w:r>
          </w:p>
        </w:tc>
        <w:tc>
          <w:tcPr>
            <w:tcW w:w="1095" w:type="dxa"/>
            <w:vAlign w:val="center"/>
          </w:tcPr>
          <w:p w14:paraId="5F3AD8B3">
            <w:pPr>
              <w:widowControl/>
              <w:adjustRightInd/>
              <w:jc w:val="left"/>
              <w:rPr>
                <w:rFonts w:hint="eastAsia" w:ascii="宋体" w:hAnsi="宋体" w:eastAsia="宋体" w:cs="宋体"/>
                <w:color w:val="auto"/>
                <w:kern w:val="0"/>
                <w:sz w:val="24"/>
                <w:szCs w:val="24"/>
                <w:highlight w:val="none"/>
              </w:rPr>
            </w:pPr>
          </w:p>
        </w:tc>
      </w:tr>
      <w:tr w14:paraId="33E04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jc w:val="center"/>
        </w:trPr>
        <w:tc>
          <w:tcPr>
            <w:tcW w:w="465" w:type="dxa"/>
            <w:vMerge w:val="continue"/>
            <w:vAlign w:val="center"/>
          </w:tcPr>
          <w:p w14:paraId="025286C0">
            <w:pPr>
              <w:widowControl/>
              <w:adjustRightInd/>
              <w:jc w:val="left"/>
              <w:rPr>
                <w:rFonts w:hint="eastAsia" w:ascii="宋体" w:hAnsi="宋体" w:eastAsia="宋体" w:cs="宋体"/>
                <w:b/>
                <w:bCs/>
                <w:color w:val="auto"/>
                <w:kern w:val="0"/>
                <w:sz w:val="24"/>
                <w:szCs w:val="24"/>
                <w:highlight w:val="none"/>
              </w:rPr>
            </w:pPr>
          </w:p>
        </w:tc>
        <w:tc>
          <w:tcPr>
            <w:tcW w:w="487" w:type="dxa"/>
            <w:vMerge w:val="continue"/>
            <w:vAlign w:val="center"/>
          </w:tcPr>
          <w:p w14:paraId="4FD3A836">
            <w:pPr>
              <w:widowControl/>
              <w:adjustRightInd/>
              <w:jc w:val="left"/>
              <w:rPr>
                <w:rFonts w:hint="eastAsia" w:ascii="宋体" w:hAnsi="宋体" w:eastAsia="宋体" w:cs="宋体"/>
                <w:b/>
                <w:bCs/>
                <w:color w:val="auto"/>
                <w:kern w:val="0"/>
                <w:sz w:val="24"/>
                <w:szCs w:val="24"/>
                <w:highlight w:val="none"/>
              </w:rPr>
            </w:pPr>
          </w:p>
        </w:tc>
        <w:tc>
          <w:tcPr>
            <w:tcW w:w="567" w:type="dxa"/>
            <w:vAlign w:val="center"/>
          </w:tcPr>
          <w:p w14:paraId="27C6A36B">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980" w:type="dxa"/>
            <w:vAlign w:val="center"/>
          </w:tcPr>
          <w:p w14:paraId="62A0DE8F">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高压清洗机</w:t>
            </w:r>
          </w:p>
        </w:tc>
        <w:tc>
          <w:tcPr>
            <w:tcW w:w="834" w:type="dxa"/>
            <w:vAlign w:val="center"/>
          </w:tcPr>
          <w:p w14:paraId="6F390CBC">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1</w:t>
            </w:r>
          </w:p>
        </w:tc>
        <w:tc>
          <w:tcPr>
            <w:tcW w:w="566" w:type="dxa"/>
            <w:vAlign w:val="center"/>
          </w:tcPr>
          <w:p w14:paraId="1EECC722">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台</w:t>
            </w:r>
          </w:p>
        </w:tc>
        <w:tc>
          <w:tcPr>
            <w:tcW w:w="3687" w:type="dxa"/>
            <w:vAlign w:val="center"/>
          </w:tcPr>
          <w:p w14:paraId="5743852D">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drawing>
                <wp:inline distT="0" distB="0" distL="114300" distR="114300">
                  <wp:extent cx="1619250" cy="1619250"/>
                  <wp:effectExtent l="0" t="0" r="0" b="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49"/>
                          <a:stretch>
                            <a:fillRect/>
                          </a:stretch>
                        </pic:blipFill>
                        <pic:spPr>
                          <a:xfrm>
                            <a:off x="0" y="0"/>
                            <a:ext cx="1619250" cy="1619250"/>
                          </a:xfrm>
                          <a:prstGeom prst="rect">
                            <a:avLst/>
                          </a:prstGeom>
                          <a:noFill/>
                          <a:ln>
                            <a:noFill/>
                          </a:ln>
                        </pic:spPr>
                      </pic:pic>
                    </a:graphicData>
                  </a:graphic>
                </wp:inline>
              </w:drawing>
            </w:r>
          </w:p>
        </w:tc>
        <w:tc>
          <w:tcPr>
            <w:tcW w:w="1090" w:type="dxa"/>
            <w:vAlign w:val="center"/>
          </w:tcPr>
          <w:p w14:paraId="6A73AC70">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整齐、清洁、润滑、安全、完好</w:t>
            </w:r>
          </w:p>
        </w:tc>
        <w:tc>
          <w:tcPr>
            <w:tcW w:w="1095" w:type="dxa"/>
            <w:vAlign w:val="center"/>
          </w:tcPr>
          <w:p w14:paraId="624D299B">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用于公园</w:t>
            </w:r>
            <w:r>
              <w:rPr>
                <w:rFonts w:hint="eastAsia" w:ascii="宋体" w:hAnsi="宋体" w:eastAsia="宋体" w:cs="宋体"/>
                <w:color w:val="auto"/>
                <w:kern w:val="0"/>
                <w:sz w:val="24"/>
                <w:szCs w:val="24"/>
                <w:highlight w:val="none"/>
                <w:lang w:val="en-US" w:eastAsia="zh-CN"/>
              </w:rPr>
              <w:t>园路</w:t>
            </w:r>
            <w:r>
              <w:rPr>
                <w:rFonts w:hint="eastAsia" w:ascii="宋体" w:hAnsi="宋体" w:eastAsia="宋体" w:cs="宋体"/>
                <w:color w:val="auto"/>
                <w:kern w:val="0"/>
                <w:sz w:val="24"/>
                <w:szCs w:val="24"/>
                <w:highlight w:val="none"/>
              </w:rPr>
              <w:t>及广场地面顽固污渍及屋顶污渍的清洗。</w:t>
            </w:r>
          </w:p>
        </w:tc>
      </w:tr>
      <w:tr w14:paraId="5F3E5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465" w:type="dxa"/>
            <w:vMerge w:val="continue"/>
            <w:vAlign w:val="center"/>
          </w:tcPr>
          <w:p w14:paraId="7301A329">
            <w:pPr>
              <w:widowControl/>
              <w:adjustRightInd/>
              <w:jc w:val="left"/>
              <w:rPr>
                <w:rFonts w:hint="eastAsia" w:ascii="宋体" w:hAnsi="宋体" w:eastAsia="宋体" w:cs="宋体"/>
                <w:b/>
                <w:bCs/>
                <w:color w:val="auto"/>
                <w:kern w:val="0"/>
                <w:sz w:val="24"/>
                <w:szCs w:val="24"/>
                <w:highlight w:val="none"/>
              </w:rPr>
            </w:pPr>
          </w:p>
        </w:tc>
        <w:tc>
          <w:tcPr>
            <w:tcW w:w="487" w:type="dxa"/>
            <w:vMerge w:val="continue"/>
            <w:vAlign w:val="center"/>
          </w:tcPr>
          <w:p w14:paraId="4BA9301B">
            <w:pPr>
              <w:widowControl/>
              <w:adjustRightInd/>
              <w:jc w:val="left"/>
              <w:rPr>
                <w:rFonts w:hint="eastAsia" w:ascii="宋体" w:hAnsi="宋体" w:eastAsia="宋体" w:cs="宋体"/>
                <w:b/>
                <w:bCs/>
                <w:color w:val="auto"/>
                <w:kern w:val="0"/>
                <w:sz w:val="24"/>
                <w:szCs w:val="24"/>
                <w:highlight w:val="none"/>
              </w:rPr>
            </w:pPr>
          </w:p>
        </w:tc>
        <w:tc>
          <w:tcPr>
            <w:tcW w:w="567" w:type="dxa"/>
            <w:vAlign w:val="center"/>
          </w:tcPr>
          <w:p w14:paraId="59E32723">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3</w:t>
            </w:r>
          </w:p>
        </w:tc>
        <w:tc>
          <w:tcPr>
            <w:tcW w:w="980" w:type="dxa"/>
            <w:vAlign w:val="center"/>
          </w:tcPr>
          <w:p w14:paraId="49054743">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保洁工具车</w:t>
            </w:r>
          </w:p>
        </w:tc>
        <w:tc>
          <w:tcPr>
            <w:tcW w:w="834" w:type="dxa"/>
            <w:vAlign w:val="center"/>
          </w:tcPr>
          <w:p w14:paraId="6B758BED">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566" w:type="dxa"/>
            <w:vAlign w:val="center"/>
          </w:tcPr>
          <w:p w14:paraId="41626274">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台</w:t>
            </w:r>
          </w:p>
        </w:tc>
        <w:tc>
          <w:tcPr>
            <w:tcW w:w="3687" w:type="dxa"/>
            <w:vAlign w:val="center"/>
          </w:tcPr>
          <w:p w14:paraId="5C7D3442">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小巧轻便、样式美观、功能多样实用</w:t>
            </w:r>
          </w:p>
        </w:tc>
        <w:tc>
          <w:tcPr>
            <w:tcW w:w="1090" w:type="dxa"/>
            <w:vAlign w:val="center"/>
          </w:tcPr>
          <w:p w14:paraId="370BDC3E">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整齐、清洁、润滑、安全、完好</w:t>
            </w:r>
          </w:p>
        </w:tc>
        <w:tc>
          <w:tcPr>
            <w:tcW w:w="1095" w:type="dxa"/>
            <w:vAlign w:val="center"/>
          </w:tcPr>
          <w:p w14:paraId="3FE95A5F">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r>
      <w:tr w14:paraId="3315F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9" w:hRule="atLeast"/>
          <w:jc w:val="center"/>
        </w:trPr>
        <w:tc>
          <w:tcPr>
            <w:tcW w:w="465" w:type="dxa"/>
            <w:vMerge w:val="continue"/>
            <w:vAlign w:val="center"/>
          </w:tcPr>
          <w:p w14:paraId="49E88253">
            <w:pPr>
              <w:widowControl/>
              <w:adjustRightInd/>
              <w:jc w:val="left"/>
              <w:rPr>
                <w:rFonts w:hint="eastAsia" w:ascii="宋体" w:hAnsi="宋体" w:eastAsia="宋体" w:cs="宋体"/>
                <w:b/>
                <w:bCs/>
                <w:color w:val="auto"/>
                <w:kern w:val="0"/>
                <w:sz w:val="24"/>
                <w:szCs w:val="24"/>
                <w:highlight w:val="none"/>
              </w:rPr>
            </w:pPr>
          </w:p>
        </w:tc>
        <w:tc>
          <w:tcPr>
            <w:tcW w:w="487" w:type="dxa"/>
            <w:vMerge w:val="continue"/>
            <w:vAlign w:val="center"/>
          </w:tcPr>
          <w:p w14:paraId="074F0D9B">
            <w:pPr>
              <w:widowControl/>
              <w:adjustRightInd/>
              <w:jc w:val="left"/>
              <w:rPr>
                <w:rFonts w:hint="eastAsia" w:ascii="宋体" w:hAnsi="宋体" w:eastAsia="宋体" w:cs="宋体"/>
                <w:b/>
                <w:bCs/>
                <w:color w:val="auto"/>
                <w:kern w:val="0"/>
                <w:sz w:val="24"/>
                <w:szCs w:val="24"/>
                <w:highlight w:val="none"/>
              </w:rPr>
            </w:pPr>
          </w:p>
        </w:tc>
        <w:tc>
          <w:tcPr>
            <w:tcW w:w="567" w:type="dxa"/>
            <w:vAlign w:val="center"/>
          </w:tcPr>
          <w:p w14:paraId="0C1ECC6B">
            <w:pPr>
              <w:widowControl w:val="0"/>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4</w:t>
            </w:r>
          </w:p>
        </w:tc>
        <w:tc>
          <w:tcPr>
            <w:tcW w:w="980" w:type="dxa"/>
            <w:vAlign w:val="center"/>
          </w:tcPr>
          <w:p w14:paraId="40486C31">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b w:val="0"/>
                <w:bCs/>
                <w:color w:val="auto"/>
                <w:sz w:val="24"/>
                <w:szCs w:val="24"/>
                <w:highlight w:val="none"/>
                <w:lang w:val="en-US" w:eastAsia="zh-CN"/>
              </w:rPr>
              <w:t>手推式</w:t>
            </w:r>
            <w:r>
              <w:rPr>
                <w:rFonts w:hint="eastAsia" w:ascii="宋体" w:hAnsi="宋体" w:eastAsia="宋体" w:cs="宋体"/>
                <w:b w:val="0"/>
                <w:bCs/>
                <w:color w:val="auto"/>
                <w:kern w:val="32"/>
                <w:sz w:val="24"/>
                <w:szCs w:val="24"/>
                <w:highlight w:val="none"/>
                <w:lang w:val="en-US" w:eastAsia="zh-CN"/>
              </w:rPr>
              <w:t>扫地机</w:t>
            </w:r>
          </w:p>
        </w:tc>
        <w:tc>
          <w:tcPr>
            <w:tcW w:w="834" w:type="dxa"/>
            <w:vAlign w:val="center"/>
          </w:tcPr>
          <w:p w14:paraId="7068F2E4">
            <w:pPr>
              <w:widowControl w:val="0"/>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566" w:type="dxa"/>
            <w:vAlign w:val="center"/>
          </w:tcPr>
          <w:p w14:paraId="130493CF">
            <w:pPr>
              <w:widowControl w:val="0"/>
              <w:adjustRightInd/>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台</w:t>
            </w:r>
          </w:p>
        </w:tc>
        <w:tc>
          <w:tcPr>
            <w:tcW w:w="3687" w:type="dxa"/>
            <w:vAlign w:val="center"/>
          </w:tcPr>
          <w:p w14:paraId="029A2F09">
            <w:pPr>
              <w:widowControl w:val="0"/>
              <w:adjustRightInd/>
              <w:jc w:val="center"/>
              <w:rPr>
                <w:rFonts w:hint="eastAsia" w:ascii="宋体" w:hAnsi="宋体" w:eastAsia="宋体" w:cs="宋体"/>
                <w:color w:val="auto"/>
                <w:kern w:val="0"/>
                <w:sz w:val="24"/>
                <w:szCs w:val="24"/>
                <w:highlight w:val="none"/>
              </w:rPr>
            </w:pPr>
            <w:r>
              <w:rPr>
                <w:rFonts w:hint="eastAsia" w:ascii="宋体" w:hAnsi="宋体" w:eastAsia="宋体" w:cs="宋体"/>
                <w:b/>
                <w:color w:val="auto"/>
                <w:sz w:val="24"/>
                <w:szCs w:val="24"/>
                <w:highlight w:val="none"/>
                <w:lang w:val="en-US" w:eastAsia="zh-CN"/>
              </w:rPr>
              <w:drawing>
                <wp:inline distT="0" distB="0" distL="114300" distR="114300">
                  <wp:extent cx="1326515" cy="1285240"/>
                  <wp:effectExtent l="0" t="0" r="6985" b="10160"/>
                  <wp:docPr id="85" name="图片 85" descr="171031360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1710313604322"/>
                          <pic:cNvPicPr>
                            <a:picLocks noChangeAspect="1"/>
                          </pic:cNvPicPr>
                        </pic:nvPicPr>
                        <pic:blipFill>
                          <a:blip r:embed="rId50"/>
                          <a:stretch>
                            <a:fillRect/>
                          </a:stretch>
                        </pic:blipFill>
                        <pic:spPr>
                          <a:xfrm>
                            <a:off x="0" y="0"/>
                            <a:ext cx="1326515" cy="1285240"/>
                          </a:xfrm>
                          <a:prstGeom prst="rect">
                            <a:avLst/>
                          </a:prstGeom>
                        </pic:spPr>
                      </pic:pic>
                    </a:graphicData>
                  </a:graphic>
                </wp:inline>
              </w:drawing>
            </w:r>
          </w:p>
        </w:tc>
        <w:tc>
          <w:tcPr>
            <w:tcW w:w="1090" w:type="dxa"/>
            <w:vAlign w:val="center"/>
          </w:tcPr>
          <w:p w14:paraId="017C7900">
            <w:pPr>
              <w:widowControl w:val="0"/>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整齐、清洁、润滑、安全、完好</w:t>
            </w:r>
          </w:p>
        </w:tc>
        <w:tc>
          <w:tcPr>
            <w:tcW w:w="1095" w:type="dxa"/>
            <w:vAlign w:val="center"/>
          </w:tcPr>
          <w:p w14:paraId="7BC97F5B">
            <w:pPr>
              <w:widowControl/>
              <w:adjustRightInd/>
              <w:jc w:val="left"/>
              <w:rPr>
                <w:rFonts w:hint="eastAsia" w:ascii="宋体" w:hAnsi="宋体" w:eastAsia="宋体" w:cs="宋体"/>
                <w:color w:val="auto"/>
                <w:kern w:val="0"/>
                <w:sz w:val="24"/>
                <w:szCs w:val="24"/>
                <w:highlight w:val="none"/>
              </w:rPr>
            </w:pPr>
          </w:p>
        </w:tc>
      </w:tr>
      <w:tr w14:paraId="43408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6" w:hRule="atLeast"/>
          <w:jc w:val="center"/>
        </w:trPr>
        <w:tc>
          <w:tcPr>
            <w:tcW w:w="465" w:type="dxa"/>
            <w:vMerge w:val="continue"/>
            <w:vAlign w:val="center"/>
          </w:tcPr>
          <w:p w14:paraId="70E206FD">
            <w:pPr>
              <w:widowControl/>
              <w:adjustRightInd/>
              <w:jc w:val="left"/>
              <w:rPr>
                <w:rFonts w:hint="eastAsia" w:ascii="宋体" w:hAnsi="宋体" w:eastAsia="宋体" w:cs="宋体"/>
                <w:b/>
                <w:bCs/>
                <w:color w:val="auto"/>
                <w:kern w:val="0"/>
                <w:sz w:val="24"/>
                <w:szCs w:val="24"/>
                <w:highlight w:val="none"/>
              </w:rPr>
            </w:pPr>
          </w:p>
        </w:tc>
        <w:tc>
          <w:tcPr>
            <w:tcW w:w="487" w:type="dxa"/>
            <w:vMerge w:val="continue"/>
            <w:vAlign w:val="center"/>
          </w:tcPr>
          <w:p w14:paraId="115D34CC">
            <w:pPr>
              <w:widowControl/>
              <w:adjustRightInd/>
              <w:jc w:val="left"/>
              <w:rPr>
                <w:rFonts w:hint="eastAsia" w:ascii="宋体" w:hAnsi="宋体" w:eastAsia="宋体" w:cs="宋体"/>
                <w:b/>
                <w:bCs/>
                <w:color w:val="auto"/>
                <w:kern w:val="0"/>
                <w:sz w:val="24"/>
                <w:szCs w:val="24"/>
                <w:highlight w:val="none"/>
              </w:rPr>
            </w:pPr>
          </w:p>
        </w:tc>
        <w:tc>
          <w:tcPr>
            <w:tcW w:w="567" w:type="dxa"/>
            <w:vAlign w:val="center"/>
          </w:tcPr>
          <w:p w14:paraId="4435A2D2">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5</w:t>
            </w:r>
          </w:p>
        </w:tc>
        <w:tc>
          <w:tcPr>
            <w:tcW w:w="980" w:type="dxa"/>
            <w:vAlign w:val="center"/>
          </w:tcPr>
          <w:p w14:paraId="337952FE">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户外吹风机</w:t>
            </w:r>
          </w:p>
        </w:tc>
        <w:tc>
          <w:tcPr>
            <w:tcW w:w="834" w:type="dxa"/>
            <w:vAlign w:val="center"/>
          </w:tcPr>
          <w:p w14:paraId="6335E50E">
            <w:pPr>
              <w:widowControl/>
              <w:adjustRightIn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1</w:t>
            </w:r>
          </w:p>
        </w:tc>
        <w:tc>
          <w:tcPr>
            <w:tcW w:w="566" w:type="dxa"/>
            <w:vAlign w:val="center"/>
          </w:tcPr>
          <w:p w14:paraId="7BEF29BA">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台</w:t>
            </w:r>
          </w:p>
        </w:tc>
        <w:tc>
          <w:tcPr>
            <w:tcW w:w="3687" w:type="dxa"/>
            <w:vAlign w:val="center"/>
          </w:tcPr>
          <w:p w14:paraId="4E1C5F5A">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drawing>
                <wp:inline distT="0" distB="0" distL="114300" distR="114300">
                  <wp:extent cx="1930400" cy="1202055"/>
                  <wp:effectExtent l="0" t="0" r="12700" b="17145"/>
                  <wp:docPr id="4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0"/>
                          <pic:cNvPicPr>
                            <a:picLocks noChangeAspect="1"/>
                          </pic:cNvPicPr>
                        </pic:nvPicPr>
                        <pic:blipFill>
                          <a:blip r:embed="rId51"/>
                          <a:stretch>
                            <a:fillRect/>
                          </a:stretch>
                        </pic:blipFill>
                        <pic:spPr>
                          <a:xfrm>
                            <a:off x="0" y="0"/>
                            <a:ext cx="1930400" cy="1202055"/>
                          </a:xfrm>
                          <a:prstGeom prst="rect">
                            <a:avLst/>
                          </a:prstGeom>
                          <a:noFill/>
                          <a:ln>
                            <a:noFill/>
                          </a:ln>
                        </pic:spPr>
                      </pic:pic>
                    </a:graphicData>
                  </a:graphic>
                </wp:inline>
              </w:drawing>
            </w:r>
          </w:p>
        </w:tc>
        <w:tc>
          <w:tcPr>
            <w:tcW w:w="1090" w:type="dxa"/>
            <w:vAlign w:val="center"/>
          </w:tcPr>
          <w:p w14:paraId="7DD84905">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整齐、清洁、润滑、安全、完好</w:t>
            </w:r>
          </w:p>
        </w:tc>
        <w:tc>
          <w:tcPr>
            <w:tcW w:w="1095" w:type="dxa"/>
            <w:vAlign w:val="center"/>
          </w:tcPr>
          <w:p w14:paraId="2C6C8E97">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用于清理路面树叶、纸屑、杂物及绿篱、花坛里的落叶</w:t>
            </w:r>
          </w:p>
        </w:tc>
      </w:tr>
      <w:tr w14:paraId="40922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65" w:type="dxa"/>
            <w:vAlign w:val="center"/>
          </w:tcPr>
          <w:p w14:paraId="7AB97234">
            <w:pPr>
              <w:widowControl/>
              <w:adjustRightInd/>
              <w:jc w:val="left"/>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kern w:val="0"/>
                <w:sz w:val="24"/>
                <w:szCs w:val="24"/>
                <w:highlight w:val="none"/>
                <w:lang w:eastAsia="zh-CN"/>
              </w:rPr>
              <w:t>管理要求</w:t>
            </w:r>
          </w:p>
        </w:tc>
        <w:tc>
          <w:tcPr>
            <w:tcW w:w="9306" w:type="dxa"/>
            <w:gridSpan w:val="8"/>
            <w:vAlign w:val="center"/>
          </w:tcPr>
          <w:p w14:paraId="28782A23">
            <w:pPr>
              <w:widowControl/>
              <w:autoSpaceDE/>
              <w:autoSpaceDN/>
              <w:adjustRightInd/>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完成服务相关人员开展日常作业必须配备的基本工具、器械不列入本清单，由中标人无条件提供，费用包干。主要指完成相关作业必备的无动力装置或通讯工具，包括1）手推车、工具车、垃圾铲（灰斗）、扫把、拖布、抹布等清洁工具；2）人工打药机、枝剪、水管等植物养护工具；3）五金等维修工具等；4）安保、服务人员对讲机等通讯工具；5）口罩、手套等。</w:t>
            </w:r>
          </w:p>
          <w:p w14:paraId="5763F485">
            <w:pPr>
              <w:widowControl/>
              <w:autoSpaceDE/>
              <w:autoSpaceDN/>
              <w:adjustRightInd/>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2.本清单仅要求经常性使用且要求常驻公园的机械设备。</w:t>
            </w:r>
          </w:p>
          <w:p w14:paraId="56FBECB7">
            <w:pPr>
              <w:widowControl/>
              <w:autoSpaceDE/>
              <w:autoSpaceDN/>
              <w:adjustRightInd/>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清单所有机械设备需在合同签订之日起10日内配齐，仅限于在本项目中使用，保养记录和存放地点须向采购单位备案，随时预备检查。机械设备均应在闲时进行维修保养，工作期间如发生故障无法正常使用，中标人须无条件提供同等规格或以上的机械设备。</w:t>
            </w:r>
          </w:p>
          <w:p w14:paraId="14A68FBA">
            <w:pPr>
              <w:widowControl/>
              <w:autoSpaceDE/>
              <w:autoSpaceDN/>
              <w:adjustRightInd/>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4.以上车辆机械设备数量为满足本标段的最低配备要求，供应商应根据本标段实际情况配备足够的车辆机械设备。</w:t>
            </w:r>
          </w:p>
          <w:p w14:paraId="6B95FEC7">
            <w:pPr>
              <w:widowControl/>
              <w:autoSpaceDE/>
              <w:autoSpaceDN/>
              <w:adjustRightInd/>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5.相关机械设备的操作使用、维护保养由中标人负责，费用包干。</w:t>
            </w:r>
          </w:p>
          <w:p w14:paraId="60917BF8">
            <w:pPr>
              <w:widowControl/>
              <w:adjustRightInd/>
              <w:jc w:val="left"/>
              <w:rPr>
                <w:rFonts w:hint="default" w:ascii="宋体" w:hAnsi="宋体" w:eastAsia="宋体" w:cs="宋体"/>
                <w:color w:val="auto"/>
                <w:kern w:val="0"/>
                <w:sz w:val="24"/>
                <w:szCs w:val="24"/>
                <w:highlight w:val="none"/>
                <w:lang w:val="en-US"/>
              </w:rPr>
            </w:pPr>
            <w:r>
              <w:rPr>
                <w:rFonts w:hint="eastAsia" w:ascii="宋体" w:hAnsi="宋体" w:eastAsia="宋体" w:cs="宋体"/>
                <w:color w:val="auto"/>
                <w:kern w:val="2"/>
                <w:sz w:val="24"/>
                <w:szCs w:val="24"/>
                <w:highlight w:val="none"/>
                <w:lang w:val="en-US" w:eastAsia="zh-CN" w:bidi="ar-SA"/>
              </w:rPr>
              <w:t>6.本清单机械设备生产制造时间要求为2021年1月份以后，具备国家认可的合格证书，性能良好；属于租赁的机械设备，租赁时间必须长于本项目招标服务时限或一致，不得短于项目服务时限。</w:t>
            </w:r>
          </w:p>
        </w:tc>
      </w:tr>
    </w:tbl>
    <w:p w14:paraId="483BEEDE">
      <w:pPr>
        <w:widowControl/>
        <w:tabs>
          <w:tab w:val="left" w:pos="851"/>
        </w:tabs>
        <w:adjustRightInd/>
        <w:spacing w:line="360" w:lineRule="auto"/>
        <w:outlineLvl w:val="1"/>
        <w:rPr>
          <w:rFonts w:hint="default"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③青林湾公园、福民公园、临时盆景园</w:t>
      </w:r>
    </w:p>
    <w:tbl>
      <w:tblPr>
        <w:tblStyle w:val="62"/>
        <w:tblW w:w="57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996"/>
        <w:gridCol w:w="972"/>
        <w:gridCol w:w="756"/>
        <w:gridCol w:w="672"/>
        <w:gridCol w:w="864"/>
        <w:gridCol w:w="388"/>
        <w:gridCol w:w="2460"/>
        <w:gridCol w:w="1282"/>
        <w:gridCol w:w="929"/>
      </w:tblGrid>
      <w:tr w14:paraId="335F3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blHeader/>
          <w:jc w:val="center"/>
        </w:trPr>
        <w:tc>
          <w:tcPr>
            <w:tcW w:w="237" w:type="pct"/>
            <w:vAlign w:val="center"/>
          </w:tcPr>
          <w:p w14:paraId="2E6151C4">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序号</w:t>
            </w:r>
          </w:p>
        </w:tc>
        <w:tc>
          <w:tcPr>
            <w:tcW w:w="508" w:type="pct"/>
            <w:vAlign w:val="center"/>
          </w:tcPr>
          <w:p w14:paraId="3B8AD044">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设备名称</w:t>
            </w:r>
          </w:p>
        </w:tc>
        <w:tc>
          <w:tcPr>
            <w:tcW w:w="496" w:type="pct"/>
            <w:vAlign w:val="center"/>
          </w:tcPr>
          <w:p w14:paraId="0739B1CB">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最低数量要求</w:t>
            </w:r>
          </w:p>
        </w:tc>
        <w:tc>
          <w:tcPr>
            <w:tcW w:w="386" w:type="pct"/>
            <w:vAlign w:val="center"/>
          </w:tcPr>
          <w:p w14:paraId="73EC716D">
            <w:pPr>
              <w:jc w:val="center"/>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kern w:val="0"/>
                <w:sz w:val="24"/>
                <w:szCs w:val="24"/>
                <w:highlight w:val="none"/>
                <w:lang w:eastAsia="zh-CN"/>
              </w:rPr>
              <w:t>青林湾</w:t>
            </w:r>
          </w:p>
        </w:tc>
        <w:tc>
          <w:tcPr>
            <w:tcW w:w="343" w:type="pct"/>
            <w:vAlign w:val="center"/>
          </w:tcPr>
          <w:p w14:paraId="1042906A">
            <w:pPr>
              <w:jc w:val="center"/>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kern w:val="0"/>
                <w:sz w:val="24"/>
                <w:szCs w:val="24"/>
                <w:highlight w:val="none"/>
                <w:lang w:eastAsia="zh-CN"/>
              </w:rPr>
              <w:t>福民</w:t>
            </w:r>
          </w:p>
        </w:tc>
        <w:tc>
          <w:tcPr>
            <w:tcW w:w="441" w:type="pct"/>
            <w:vAlign w:val="center"/>
          </w:tcPr>
          <w:p w14:paraId="09D860C6">
            <w:pPr>
              <w:jc w:val="center"/>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kern w:val="0"/>
                <w:sz w:val="24"/>
                <w:szCs w:val="24"/>
                <w:highlight w:val="none"/>
                <w:lang w:eastAsia="zh-CN"/>
              </w:rPr>
              <w:t>临时盆景园</w:t>
            </w:r>
          </w:p>
        </w:tc>
        <w:tc>
          <w:tcPr>
            <w:tcW w:w="198" w:type="pct"/>
            <w:vAlign w:val="center"/>
          </w:tcPr>
          <w:p w14:paraId="51446687">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单位</w:t>
            </w:r>
          </w:p>
        </w:tc>
        <w:tc>
          <w:tcPr>
            <w:tcW w:w="1257" w:type="pct"/>
            <w:vAlign w:val="center"/>
          </w:tcPr>
          <w:p w14:paraId="2D4B149F">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参考样式（具体参数）</w:t>
            </w:r>
          </w:p>
        </w:tc>
        <w:tc>
          <w:tcPr>
            <w:tcW w:w="655" w:type="pct"/>
            <w:vAlign w:val="center"/>
          </w:tcPr>
          <w:p w14:paraId="20CFF506">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使用及维护要求</w:t>
            </w:r>
          </w:p>
        </w:tc>
        <w:tc>
          <w:tcPr>
            <w:tcW w:w="474" w:type="pct"/>
            <w:vAlign w:val="center"/>
          </w:tcPr>
          <w:p w14:paraId="4D5E4B06">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备注</w:t>
            </w:r>
          </w:p>
        </w:tc>
      </w:tr>
      <w:tr w14:paraId="5EB27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jc w:val="center"/>
        </w:trPr>
        <w:tc>
          <w:tcPr>
            <w:tcW w:w="237" w:type="pct"/>
            <w:vAlign w:val="center"/>
          </w:tcPr>
          <w:p w14:paraId="0B398888">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508" w:type="pct"/>
            <w:vAlign w:val="center"/>
          </w:tcPr>
          <w:p w14:paraId="347ECFE2">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高压洗</w:t>
            </w:r>
            <w:r>
              <w:rPr>
                <w:rFonts w:hint="eastAsia" w:ascii="宋体" w:hAnsi="宋体" w:eastAsia="宋体" w:cs="宋体"/>
                <w:color w:val="auto"/>
                <w:kern w:val="0"/>
                <w:sz w:val="24"/>
                <w:szCs w:val="24"/>
                <w:highlight w:val="none"/>
                <w:lang w:eastAsia="zh-CN"/>
              </w:rPr>
              <w:t>地</w:t>
            </w:r>
            <w:r>
              <w:rPr>
                <w:rFonts w:hint="eastAsia" w:ascii="宋体" w:hAnsi="宋体" w:eastAsia="宋体" w:cs="宋体"/>
                <w:color w:val="auto"/>
                <w:kern w:val="0"/>
                <w:sz w:val="24"/>
                <w:szCs w:val="24"/>
                <w:highlight w:val="none"/>
              </w:rPr>
              <w:t>机</w:t>
            </w:r>
          </w:p>
        </w:tc>
        <w:tc>
          <w:tcPr>
            <w:tcW w:w="496" w:type="pct"/>
            <w:vAlign w:val="center"/>
          </w:tcPr>
          <w:p w14:paraId="5DCF372F">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386" w:type="pct"/>
            <w:vAlign w:val="center"/>
          </w:tcPr>
          <w:p w14:paraId="25FE1F59">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343" w:type="pct"/>
            <w:vAlign w:val="center"/>
          </w:tcPr>
          <w:p w14:paraId="53AD9788">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w:t>
            </w:r>
          </w:p>
        </w:tc>
        <w:tc>
          <w:tcPr>
            <w:tcW w:w="441" w:type="pct"/>
            <w:vAlign w:val="center"/>
          </w:tcPr>
          <w:p w14:paraId="21543EEB">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w:t>
            </w:r>
          </w:p>
        </w:tc>
        <w:tc>
          <w:tcPr>
            <w:tcW w:w="198" w:type="pct"/>
            <w:vAlign w:val="center"/>
          </w:tcPr>
          <w:p w14:paraId="7E6BD283">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台</w:t>
            </w:r>
          </w:p>
        </w:tc>
        <w:tc>
          <w:tcPr>
            <w:tcW w:w="1257" w:type="pct"/>
            <w:vAlign w:val="center"/>
          </w:tcPr>
          <w:p w14:paraId="489EC060">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drawing>
                <wp:inline distT="0" distB="0" distL="114300" distR="114300">
                  <wp:extent cx="1569085" cy="1345565"/>
                  <wp:effectExtent l="0" t="0" r="12065" b="6985"/>
                  <wp:docPr id="46" name="图片 46" descr="171247968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712479686657"/>
                          <pic:cNvPicPr>
                            <a:picLocks noChangeAspect="1"/>
                          </pic:cNvPicPr>
                        </pic:nvPicPr>
                        <pic:blipFill>
                          <a:blip r:embed="rId52"/>
                          <a:stretch>
                            <a:fillRect/>
                          </a:stretch>
                        </pic:blipFill>
                        <pic:spPr>
                          <a:xfrm>
                            <a:off x="0" y="0"/>
                            <a:ext cx="1569085" cy="1345565"/>
                          </a:xfrm>
                          <a:prstGeom prst="rect">
                            <a:avLst/>
                          </a:prstGeom>
                        </pic:spPr>
                      </pic:pic>
                    </a:graphicData>
                  </a:graphic>
                </wp:inline>
              </w:drawing>
            </w:r>
          </w:p>
        </w:tc>
        <w:tc>
          <w:tcPr>
            <w:tcW w:w="655" w:type="pct"/>
            <w:vAlign w:val="center"/>
          </w:tcPr>
          <w:p w14:paraId="78FF4643">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整齐、清洁、润滑、安全、完好</w:t>
            </w:r>
          </w:p>
        </w:tc>
        <w:tc>
          <w:tcPr>
            <w:tcW w:w="474" w:type="pct"/>
            <w:vAlign w:val="center"/>
          </w:tcPr>
          <w:p w14:paraId="197F5634">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p>
        </w:tc>
      </w:tr>
      <w:tr w14:paraId="6120E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37" w:type="pct"/>
            <w:vAlign w:val="center"/>
          </w:tcPr>
          <w:p w14:paraId="1B016C51">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508" w:type="pct"/>
            <w:vAlign w:val="center"/>
          </w:tcPr>
          <w:p w14:paraId="76DE5369">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垃圾清运车</w:t>
            </w:r>
          </w:p>
        </w:tc>
        <w:tc>
          <w:tcPr>
            <w:tcW w:w="496" w:type="pct"/>
            <w:vAlign w:val="center"/>
          </w:tcPr>
          <w:p w14:paraId="498740F9">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1</w:t>
            </w:r>
          </w:p>
        </w:tc>
        <w:tc>
          <w:tcPr>
            <w:tcW w:w="386" w:type="pct"/>
            <w:vAlign w:val="center"/>
          </w:tcPr>
          <w:p w14:paraId="2897E697">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343" w:type="pct"/>
            <w:vAlign w:val="center"/>
          </w:tcPr>
          <w:p w14:paraId="35309A64">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w:t>
            </w:r>
          </w:p>
        </w:tc>
        <w:tc>
          <w:tcPr>
            <w:tcW w:w="441" w:type="pct"/>
            <w:vAlign w:val="center"/>
          </w:tcPr>
          <w:p w14:paraId="0D95ACB3">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w:t>
            </w:r>
          </w:p>
        </w:tc>
        <w:tc>
          <w:tcPr>
            <w:tcW w:w="198" w:type="pct"/>
            <w:vAlign w:val="center"/>
          </w:tcPr>
          <w:p w14:paraId="2FED7C90">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辆</w:t>
            </w:r>
          </w:p>
        </w:tc>
        <w:tc>
          <w:tcPr>
            <w:tcW w:w="1257" w:type="pct"/>
            <w:vAlign w:val="center"/>
          </w:tcPr>
          <w:p w14:paraId="15203BF4">
            <w:pPr>
              <w:widowControl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c>
          <w:tcPr>
            <w:tcW w:w="655" w:type="pct"/>
            <w:vAlign w:val="center"/>
          </w:tcPr>
          <w:p w14:paraId="7549095B">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整齐、清洁、润滑、安全、完好</w:t>
            </w:r>
          </w:p>
        </w:tc>
        <w:tc>
          <w:tcPr>
            <w:tcW w:w="474" w:type="pct"/>
            <w:vAlign w:val="center"/>
          </w:tcPr>
          <w:p w14:paraId="35CCE1F6">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保证日常修剪后绿化垃圾清运需求</w:t>
            </w:r>
          </w:p>
        </w:tc>
      </w:tr>
      <w:tr w14:paraId="1F3A4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3" w:hRule="atLeast"/>
          <w:jc w:val="center"/>
        </w:trPr>
        <w:tc>
          <w:tcPr>
            <w:tcW w:w="237" w:type="pct"/>
            <w:vAlign w:val="center"/>
          </w:tcPr>
          <w:p w14:paraId="6DB8EA36">
            <w:pPr>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w:t>
            </w:r>
          </w:p>
        </w:tc>
        <w:tc>
          <w:tcPr>
            <w:tcW w:w="508" w:type="pct"/>
            <w:vAlign w:val="center"/>
          </w:tcPr>
          <w:p w14:paraId="29B66989">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保洁工具车</w:t>
            </w:r>
          </w:p>
        </w:tc>
        <w:tc>
          <w:tcPr>
            <w:tcW w:w="496" w:type="pct"/>
            <w:vAlign w:val="center"/>
          </w:tcPr>
          <w:p w14:paraId="121A8FF7">
            <w:pPr>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6</w:t>
            </w:r>
          </w:p>
        </w:tc>
        <w:tc>
          <w:tcPr>
            <w:tcW w:w="386" w:type="pct"/>
            <w:vAlign w:val="center"/>
          </w:tcPr>
          <w:p w14:paraId="1D2EF8DA">
            <w:pPr>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w:t>
            </w:r>
          </w:p>
        </w:tc>
        <w:tc>
          <w:tcPr>
            <w:tcW w:w="343" w:type="pct"/>
            <w:vAlign w:val="center"/>
          </w:tcPr>
          <w:p w14:paraId="75A87AE8">
            <w:pPr>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441" w:type="pct"/>
            <w:vAlign w:val="center"/>
          </w:tcPr>
          <w:p w14:paraId="019D864B">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w:t>
            </w:r>
          </w:p>
        </w:tc>
        <w:tc>
          <w:tcPr>
            <w:tcW w:w="198" w:type="pct"/>
            <w:vAlign w:val="center"/>
          </w:tcPr>
          <w:p w14:paraId="40E235F0">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台</w:t>
            </w:r>
          </w:p>
        </w:tc>
        <w:tc>
          <w:tcPr>
            <w:tcW w:w="1257" w:type="pct"/>
            <w:vAlign w:val="center"/>
          </w:tcPr>
          <w:p w14:paraId="6E2EA5DA">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小巧轻便、样式美观、功能多样实用</w:t>
            </w:r>
          </w:p>
        </w:tc>
        <w:tc>
          <w:tcPr>
            <w:tcW w:w="655" w:type="pct"/>
            <w:vAlign w:val="center"/>
          </w:tcPr>
          <w:p w14:paraId="43AF3B87">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整齐、清洁、润滑、安全、完好</w:t>
            </w:r>
          </w:p>
        </w:tc>
        <w:tc>
          <w:tcPr>
            <w:tcW w:w="474" w:type="pct"/>
            <w:vAlign w:val="center"/>
          </w:tcPr>
          <w:p w14:paraId="6DFDA9A7">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p>
        </w:tc>
      </w:tr>
      <w:tr w14:paraId="4B439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37" w:type="pct"/>
            <w:vAlign w:val="center"/>
          </w:tcPr>
          <w:p w14:paraId="33982701">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w:t>
            </w:r>
          </w:p>
        </w:tc>
        <w:tc>
          <w:tcPr>
            <w:tcW w:w="508" w:type="pct"/>
            <w:vAlign w:val="center"/>
          </w:tcPr>
          <w:p w14:paraId="764589B2">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油（电）锯</w:t>
            </w:r>
          </w:p>
        </w:tc>
        <w:tc>
          <w:tcPr>
            <w:tcW w:w="496" w:type="pct"/>
            <w:vAlign w:val="center"/>
          </w:tcPr>
          <w:p w14:paraId="496F7D82">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w:t>
            </w:r>
          </w:p>
        </w:tc>
        <w:tc>
          <w:tcPr>
            <w:tcW w:w="386" w:type="pct"/>
            <w:vAlign w:val="center"/>
          </w:tcPr>
          <w:p w14:paraId="2C1134DB">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343" w:type="pct"/>
            <w:vAlign w:val="center"/>
          </w:tcPr>
          <w:p w14:paraId="0D3DB3EE">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441" w:type="pct"/>
            <w:vAlign w:val="center"/>
          </w:tcPr>
          <w:p w14:paraId="2FB3BD6F">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1(12寸）</w:t>
            </w:r>
          </w:p>
        </w:tc>
        <w:tc>
          <w:tcPr>
            <w:tcW w:w="198" w:type="pct"/>
            <w:vAlign w:val="center"/>
          </w:tcPr>
          <w:p w14:paraId="248684C3">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把</w:t>
            </w:r>
          </w:p>
        </w:tc>
        <w:tc>
          <w:tcPr>
            <w:tcW w:w="1257" w:type="pct"/>
            <w:vAlign w:val="center"/>
          </w:tcPr>
          <w:p w14:paraId="169DD4DB">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drawing>
                <wp:inline distT="0" distB="0" distL="114300" distR="114300">
                  <wp:extent cx="1619250" cy="1280160"/>
                  <wp:effectExtent l="0" t="0" r="0" b="1524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pic:cNvPicPr>
                        </pic:nvPicPr>
                        <pic:blipFill>
                          <a:blip r:embed="rId36"/>
                          <a:stretch>
                            <a:fillRect/>
                          </a:stretch>
                        </pic:blipFill>
                        <pic:spPr>
                          <a:xfrm>
                            <a:off x="0" y="0"/>
                            <a:ext cx="1619250" cy="1280160"/>
                          </a:xfrm>
                          <a:prstGeom prst="rect">
                            <a:avLst/>
                          </a:prstGeom>
                          <a:noFill/>
                          <a:ln>
                            <a:noFill/>
                          </a:ln>
                        </pic:spPr>
                      </pic:pic>
                    </a:graphicData>
                  </a:graphic>
                </wp:inline>
              </w:drawing>
            </w:r>
          </w:p>
        </w:tc>
        <w:tc>
          <w:tcPr>
            <w:tcW w:w="655" w:type="pct"/>
            <w:vAlign w:val="center"/>
          </w:tcPr>
          <w:p w14:paraId="7ED42FE0">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整齐、清洁、润滑、安全、完好</w:t>
            </w:r>
          </w:p>
        </w:tc>
        <w:tc>
          <w:tcPr>
            <w:tcW w:w="474" w:type="pct"/>
            <w:vAlign w:val="center"/>
          </w:tcPr>
          <w:p w14:paraId="0141E0B8">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p>
        </w:tc>
      </w:tr>
      <w:tr w14:paraId="03CC6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9" w:hRule="atLeast"/>
          <w:jc w:val="center"/>
        </w:trPr>
        <w:tc>
          <w:tcPr>
            <w:tcW w:w="237" w:type="pct"/>
            <w:vAlign w:val="center"/>
          </w:tcPr>
          <w:p w14:paraId="00D60144">
            <w:pPr>
              <w:widowControl w:val="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w:t>
            </w:r>
          </w:p>
        </w:tc>
        <w:tc>
          <w:tcPr>
            <w:tcW w:w="508" w:type="pct"/>
            <w:vAlign w:val="center"/>
          </w:tcPr>
          <w:p w14:paraId="1023F15E">
            <w:pPr>
              <w:widowControl w:val="0"/>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手推</w:t>
            </w:r>
            <w:r>
              <w:rPr>
                <w:rFonts w:hint="eastAsia" w:ascii="宋体" w:hAnsi="宋体" w:eastAsia="宋体" w:cs="宋体"/>
                <w:color w:val="auto"/>
                <w:kern w:val="0"/>
                <w:sz w:val="24"/>
                <w:szCs w:val="24"/>
                <w:highlight w:val="none"/>
              </w:rPr>
              <w:t>草坪</w:t>
            </w:r>
            <w:r>
              <w:rPr>
                <w:rFonts w:hint="eastAsia" w:ascii="宋体" w:hAnsi="宋体" w:eastAsia="宋体" w:cs="宋体"/>
                <w:color w:val="auto"/>
                <w:kern w:val="0"/>
                <w:sz w:val="24"/>
                <w:szCs w:val="24"/>
                <w:highlight w:val="none"/>
                <w:lang w:eastAsia="zh-CN"/>
              </w:rPr>
              <w:t>机</w:t>
            </w:r>
          </w:p>
        </w:tc>
        <w:tc>
          <w:tcPr>
            <w:tcW w:w="496" w:type="pct"/>
            <w:vAlign w:val="center"/>
          </w:tcPr>
          <w:p w14:paraId="77BFA598">
            <w:pPr>
              <w:widowControl w:val="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386" w:type="pct"/>
            <w:vAlign w:val="center"/>
          </w:tcPr>
          <w:p w14:paraId="65105A49">
            <w:pPr>
              <w:widowControl w:val="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343" w:type="pct"/>
            <w:vAlign w:val="center"/>
          </w:tcPr>
          <w:p w14:paraId="764C77C5">
            <w:pPr>
              <w:widowControl w:val="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441" w:type="pct"/>
            <w:vAlign w:val="center"/>
          </w:tcPr>
          <w:p w14:paraId="1654B4AA">
            <w:pPr>
              <w:widowControl w:val="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w:t>
            </w:r>
          </w:p>
        </w:tc>
        <w:tc>
          <w:tcPr>
            <w:tcW w:w="198" w:type="pct"/>
            <w:vAlign w:val="center"/>
          </w:tcPr>
          <w:p w14:paraId="11AF154E">
            <w:pPr>
              <w:widowControl w:val="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辆</w:t>
            </w:r>
          </w:p>
        </w:tc>
        <w:tc>
          <w:tcPr>
            <w:tcW w:w="1257" w:type="pct"/>
            <w:vAlign w:val="center"/>
          </w:tcPr>
          <w:p w14:paraId="06E61D21">
            <w:pPr>
              <w:widowControl w:val="0"/>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drawing>
                <wp:inline distT="0" distB="0" distL="114300" distR="114300">
                  <wp:extent cx="1461770" cy="1250950"/>
                  <wp:effectExtent l="0" t="0" r="5080" b="6350"/>
                  <wp:docPr id="48" name="图片 48" descr="C:/Users/Administrator/Desktop/cpj.jpgcp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istrator/Desktop/cpj.jpgcpj"/>
                          <pic:cNvPicPr>
                            <a:picLocks noChangeAspect="1"/>
                          </pic:cNvPicPr>
                        </pic:nvPicPr>
                        <pic:blipFill>
                          <a:blip r:embed="rId39"/>
                          <a:srcRect t="7211" b="7211"/>
                          <a:stretch>
                            <a:fillRect/>
                          </a:stretch>
                        </pic:blipFill>
                        <pic:spPr>
                          <a:xfrm>
                            <a:off x="0" y="0"/>
                            <a:ext cx="1461770" cy="1250950"/>
                          </a:xfrm>
                          <a:prstGeom prst="rect">
                            <a:avLst/>
                          </a:prstGeom>
                        </pic:spPr>
                      </pic:pic>
                    </a:graphicData>
                  </a:graphic>
                </wp:inline>
              </w:drawing>
            </w:r>
          </w:p>
        </w:tc>
        <w:tc>
          <w:tcPr>
            <w:tcW w:w="655" w:type="pct"/>
            <w:vAlign w:val="center"/>
          </w:tcPr>
          <w:p w14:paraId="22C5F8A3">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整齐、清洁、润滑、安全、完好</w:t>
            </w:r>
          </w:p>
        </w:tc>
        <w:tc>
          <w:tcPr>
            <w:tcW w:w="474" w:type="pct"/>
            <w:vAlign w:val="center"/>
          </w:tcPr>
          <w:p w14:paraId="56B9F772">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推荐油电混合配备</w:t>
            </w:r>
          </w:p>
        </w:tc>
      </w:tr>
      <w:tr w14:paraId="4A143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37" w:type="pct"/>
            <w:vAlign w:val="center"/>
          </w:tcPr>
          <w:p w14:paraId="348BDEBB">
            <w:pPr>
              <w:widowControl w:val="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6</w:t>
            </w:r>
          </w:p>
        </w:tc>
        <w:tc>
          <w:tcPr>
            <w:tcW w:w="508" w:type="pct"/>
            <w:vAlign w:val="center"/>
          </w:tcPr>
          <w:p w14:paraId="51EC244A">
            <w:pPr>
              <w:widowControl w:val="0"/>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割灌割草机</w:t>
            </w:r>
          </w:p>
        </w:tc>
        <w:tc>
          <w:tcPr>
            <w:tcW w:w="496" w:type="pct"/>
            <w:vAlign w:val="center"/>
          </w:tcPr>
          <w:p w14:paraId="0EF82BD2">
            <w:pPr>
              <w:widowControl w:val="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386" w:type="pct"/>
            <w:vAlign w:val="center"/>
          </w:tcPr>
          <w:p w14:paraId="2D344891">
            <w:pPr>
              <w:widowControl w:val="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343" w:type="pct"/>
            <w:vAlign w:val="center"/>
          </w:tcPr>
          <w:p w14:paraId="4E65815D">
            <w:pPr>
              <w:widowControl w:val="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441" w:type="pct"/>
            <w:vAlign w:val="center"/>
          </w:tcPr>
          <w:p w14:paraId="19EDE700">
            <w:pPr>
              <w:widowControl w:val="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w:t>
            </w:r>
          </w:p>
        </w:tc>
        <w:tc>
          <w:tcPr>
            <w:tcW w:w="198" w:type="pct"/>
            <w:vAlign w:val="center"/>
          </w:tcPr>
          <w:p w14:paraId="08B93179">
            <w:pPr>
              <w:widowControl w:val="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台</w:t>
            </w:r>
          </w:p>
        </w:tc>
        <w:tc>
          <w:tcPr>
            <w:tcW w:w="1257" w:type="pct"/>
            <w:vAlign w:val="center"/>
          </w:tcPr>
          <w:p w14:paraId="3F2B0D37">
            <w:pPr>
              <w:widowControl w:val="0"/>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drawing>
                <wp:inline distT="0" distB="0" distL="114300" distR="114300">
                  <wp:extent cx="1521460" cy="1040130"/>
                  <wp:effectExtent l="0" t="0" r="2540" b="7620"/>
                  <wp:docPr id="49" name="图片 49" descr="171247915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712479150176"/>
                          <pic:cNvPicPr>
                            <a:picLocks noChangeAspect="1"/>
                          </pic:cNvPicPr>
                        </pic:nvPicPr>
                        <pic:blipFill>
                          <a:blip r:embed="rId53"/>
                          <a:stretch>
                            <a:fillRect/>
                          </a:stretch>
                        </pic:blipFill>
                        <pic:spPr>
                          <a:xfrm>
                            <a:off x="0" y="0"/>
                            <a:ext cx="1521460" cy="1040130"/>
                          </a:xfrm>
                          <a:prstGeom prst="rect">
                            <a:avLst/>
                          </a:prstGeom>
                        </pic:spPr>
                      </pic:pic>
                    </a:graphicData>
                  </a:graphic>
                </wp:inline>
              </w:drawing>
            </w:r>
          </w:p>
        </w:tc>
        <w:tc>
          <w:tcPr>
            <w:tcW w:w="655" w:type="pct"/>
            <w:vAlign w:val="center"/>
          </w:tcPr>
          <w:p w14:paraId="4FDE6E6A">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整齐、清洁、润滑、安全、完好</w:t>
            </w:r>
          </w:p>
        </w:tc>
        <w:tc>
          <w:tcPr>
            <w:tcW w:w="474" w:type="pct"/>
            <w:vAlign w:val="center"/>
          </w:tcPr>
          <w:p w14:paraId="71A4E9C1">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推荐油电混合配备</w:t>
            </w:r>
          </w:p>
        </w:tc>
      </w:tr>
      <w:tr w14:paraId="26C59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37" w:type="pct"/>
            <w:vAlign w:val="center"/>
          </w:tcPr>
          <w:p w14:paraId="19F787FA">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7</w:t>
            </w:r>
          </w:p>
        </w:tc>
        <w:tc>
          <w:tcPr>
            <w:tcW w:w="508" w:type="pct"/>
            <w:vAlign w:val="center"/>
          </w:tcPr>
          <w:p w14:paraId="713B1434">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电动</w:t>
            </w:r>
            <w:r>
              <w:rPr>
                <w:rFonts w:hint="eastAsia" w:ascii="宋体" w:hAnsi="宋体" w:eastAsia="宋体" w:cs="宋体"/>
                <w:color w:val="auto"/>
                <w:kern w:val="0"/>
                <w:sz w:val="24"/>
                <w:szCs w:val="24"/>
                <w:highlight w:val="none"/>
              </w:rPr>
              <w:t>吹风机</w:t>
            </w:r>
          </w:p>
        </w:tc>
        <w:tc>
          <w:tcPr>
            <w:tcW w:w="496" w:type="pct"/>
            <w:vAlign w:val="center"/>
          </w:tcPr>
          <w:p w14:paraId="5844E200">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w:t>
            </w:r>
          </w:p>
        </w:tc>
        <w:tc>
          <w:tcPr>
            <w:tcW w:w="386" w:type="pct"/>
            <w:vAlign w:val="center"/>
          </w:tcPr>
          <w:p w14:paraId="74CDA110">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343" w:type="pct"/>
            <w:vAlign w:val="center"/>
          </w:tcPr>
          <w:p w14:paraId="1C7AA2FE">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441" w:type="pct"/>
            <w:vAlign w:val="center"/>
          </w:tcPr>
          <w:p w14:paraId="36673ACD">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w:t>
            </w:r>
          </w:p>
        </w:tc>
        <w:tc>
          <w:tcPr>
            <w:tcW w:w="198" w:type="pct"/>
            <w:vAlign w:val="center"/>
          </w:tcPr>
          <w:p w14:paraId="0E243FEA">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台</w:t>
            </w:r>
          </w:p>
        </w:tc>
        <w:tc>
          <w:tcPr>
            <w:tcW w:w="1257" w:type="pct"/>
            <w:vAlign w:val="center"/>
          </w:tcPr>
          <w:p w14:paraId="1A27201E">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drawing>
                <wp:inline distT="0" distB="0" distL="114300" distR="114300">
                  <wp:extent cx="1652270" cy="1028700"/>
                  <wp:effectExtent l="0" t="0" r="5080" b="0"/>
                  <wp:docPr id="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
                          <pic:cNvPicPr>
                            <a:picLocks noChangeAspect="1"/>
                          </pic:cNvPicPr>
                        </pic:nvPicPr>
                        <pic:blipFill>
                          <a:blip r:embed="rId51"/>
                          <a:stretch>
                            <a:fillRect/>
                          </a:stretch>
                        </pic:blipFill>
                        <pic:spPr>
                          <a:xfrm>
                            <a:off x="0" y="0"/>
                            <a:ext cx="1652270" cy="1028700"/>
                          </a:xfrm>
                          <a:prstGeom prst="rect">
                            <a:avLst/>
                          </a:prstGeom>
                          <a:noFill/>
                          <a:ln>
                            <a:noFill/>
                          </a:ln>
                        </pic:spPr>
                      </pic:pic>
                    </a:graphicData>
                  </a:graphic>
                </wp:inline>
              </w:drawing>
            </w:r>
          </w:p>
        </w:tc>
        <w:tc>
          <w:tcPr>
            <w:tcW w:w="655" w:type="pct"/>
            <w:vAlign w:val="center"/>
          </w:tcPr>
          <w:p w14:paraId="193CD76E">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整齐、清洁、润滑、安全、完好</w:t>
            </w:r>
          </w:p>
        </w:tc>
        <w:tc>
          <w:tcPr>
            <w:tcW w:w="474" w:type="pct"/>
            <w:vAlign w:val="center"/>
          </w:tcPr>
          <w:p w14:paraId="64B77D56">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优先选择低噪音款</w:t>
            </w:r>
          </w:p>
        </w:tc>
      </w:tr>
      <w:tr w14:paraId="44092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jc w:val="center"/>
        </w:trPr>
        <w:tc>
          <w:tcPr>
            <w:tcW w:w="237" w:type="pct"/>
            <w:vAlign w:val="center"/>
          </w:tcPr>
          <w:p w14:paraId="1679B83C">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8</w:t>
            </w:r>
          </w:p>
        </w:tc>
        <w:tc>
          <w:tcPr>
            <w:tcW w:w="508" w:type="pct"/>
            <w:vAlign w:val="center"/>
          </w:tcPr>
          <w:p w14:paraId="65432AA7">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打药车</w:t>
            </w:r>
          </w:p>
        </w:tc>
        <w:tc>
          <w:tcPr>
            <w:tcW w:w="496" w:type="pct"/>
            <w:vAlign w:val="center"/>
          </w:tcPr>
          <w:p w14:paraId="0E144588">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386" w:type="pct"/>
            <w:vAlign w:val="center"/>
          </w:tcPr>
          <w:p w14:paraId="284CF9FB">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343" w:type="pct"/>
            <w:vAlign w:val="center"/>
          </w:tcPr>
          <w:p w14:paraId="71FD3619">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441" w:type="pct"/>
            <w:vAlign w:val="center"/>
          </w:tcPr>
          <w:p w14:paraId="672DA471">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w:t>
            </w:r>
          </w:p>
        </w:tc>
        <w:tc>
          <w:tcPr>
            <w:tcW w:w="198" w:type="pct"/>
            <w:vAlign w:val="center"/>
          </w:tcPr>
          <w:p w14:paraId="67608D4E">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台</w:t>
            </w:r>
          </w:p>
        </w:tc>
        <w:tc>
          <w:tcPr>
            <w:tcW w:w="1257" w:type="pct"/>
            <w:vAlign w:val="center"/>
          </w:tcPr>
          <w:p w14:paraId="27CA9F43">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drawing>
                <wp:inline distT="0" distB="0" distL="114300" distR="114300">
                  <wp:extent cx="1528445" cy="1016635"/>
                  <wp:effectExtent l="0" t="0" r="14605" b="12065"/>
                  <wp:docPr id="51" name="图片 51" descr="1712479239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712479239676"/>
                          <pic:cNvPicPr>
                            <a:picLocks noChangeAspect="1"/>
                          </pic:cNvPicPr>
                        </pic:nvPicPr>
                        <pic:blipFill>
                          <a:blip r:embed="rId54"/>
                          <a:stretch>
                            <a:fillRect/>
                          </a:stretch>
                        </pic:blipFill>
                        <pic:spPr>
                          <a:xfrm>
                            <a:off x="0" y="0"/>
                            <a:ext cx="1528445" cy="1016635"/>
                          </a:xfrm>
                          <a:prstGeom prst="rect">
                            <a:avLst/>
                          </a:prstGeom>
                        </pic:spPr>
                      </pic:pic>
                    </a:graphicData>
                  </a:graphic>
                </wp:inline>
              </w:drawing>
            </w:r>
          </w:p>
        </w:tc>
        <w:tc>
          <w:tcPr>
            <w:tcW w:w="655" w:type="pct"/>
            <w:vAlign w:val="center"/>
          </w:tcPr>
          <w:p w14:paraId="6DE69574">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整齐、清洁、润滑、安全、完好</w:t>
            </w:r>
          </w:p>
        </w:tc>
        <w:tc>
          <w:tcPr>
            <w:tcW w:w="474" w:type="pct"/>
            <w:vAlign w:val="center"/>
          </w:tcPr>
          <w:p w14:paraId="07E2E120">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p>
        </w:tc>
      </w:tr>
      <w:tr w14:paraId="57945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37" w:type="pct"/>
            <w:vAlign w:val="center"/>
          </w:tcPr>
          <w:p w14:paraId="45ED534D">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9</w:t>
            </w:r>
          </w:p>
        </w:tc>
        <w:tc>
          <w:tcPr>
            <w:tcW w:w="508" w:type="pct"/>
            <w:vAlign w:val="center"/>
          </w:tcPr>
          <w:p w14:paraId="74681254">
            <w:pPr>
              <w:widowControl w:val="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绿篱机</w:t>
            </w:r>
          </w:p>
        </w:tc>
        <w:tc>
          <w:tcPr>
            <w:tcW w:w="496" w:type="pct"/>
            <w:vAlign w:val="center"/>
          </w:tcPr>
          <w:p w14:paraId="5F48B9B9">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w:t>
            </w:r>
          </w:p>
        </w:tc>
        <w:tc>
          <w:tcPr>
            <w:tcW w:w="386" w:type="pct"/>
            <w:vAlign w:val="center"/>
          </w:tcPr>
          <w:p w14:paraId="09297A56">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343" w:type="pct"/>
            <w:vAlign w:val="center"/>
          </w:tcPr>
          <w:p w14:paraId="77E13327">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441" w:type="pct"/>
            <w:vAlign w:val="center"/>
          </w:tcPr>
          <w:p w14:paraId="0CB7ACFD">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w:t>
            </w:r>
          </w:p>
        </w:tc>
        <w:tc>
          <w:tcPr>
            <w:tcW w:w="198" w:type="pct"/>
            <w:vAlign w:val="center"/>
          </w:tcPr>
          <w:p w14:paraId="34532CE4">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台</w:t>
            </w:r>
          </w:p>
        </w:tc>
        <w:tc>
          <w:tcPr>
            <w:tcW w:w="1257" w:type="pct"/>
            <w:vAlign w:val="center"/>
          </w:tcPr>
          <w:p w14:paraId="67FC9580">
            <w:pPr>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r>
              <w:rPr>
                <w:rFonts w:hint="eastAsia" w:ascii="宋体" w:hAnsi="宋体" w:eastAsia="宋体" w:cs="宋体"/>
                <w:color w:val="auto"/>
                <w:sz w:val="24"/>
                <w:szCs w:val="24"/>
                <w:highlight w:val="none"/>
              </w:rPr>
              <w:drawing>
                <wp:inline distT="0" distB="0" distL="114300" distR="114300">
                  <wp:extent cx="1647825" cy="1269365"/>
                  <wp:effectExtent l="0" t="0" r="9525" b="6985"/>
                  <wp:docPr id="5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4"/>
                          <pic:cNvPicPr>
                            <a:picLocks noChangeAspect="1"/>
                          </pic:cNvPicPr>
                        </pic:nvPicPr>
                        <pic:blipFill>
                          <a:blip r:embed="rId45"/>
                          <a:stretch>
                            <a:fillRect/>
                          </a:stretch>
                        </pic:blipFill>
                        <pic:spPr>
                          <a:xfrm>
                            <a:off x="0" y="0"/>
                            <a:ext cx="1647825" cy="1269365"/>
                          </a:xfrm>
                          <a:prstGeom prst="rect">
                            <a:avLst/>
                          </a:prstGeom>
                          <a:noFill/>
                          <a:ln>
                            <a:noFill/>
                          </a:ln>
                        </pic:spPr>
                      </pic:pic>
                    </a:graphicData>
                  </a:graphic>
                </wp:inline>
              </w:drawing>
            </w:r>
          </w:p>
        </w:tc>
        <w:tc>
          <w:tcPr>
            <w:tcW w:w="655" w:type="pct"/>
            <w:vAlign w:val="center"/>
          </w:tcPr>
          <w:p w14:paraId="0062388D">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整齐、清洁、润滑、安全、完好</w:t>
            </w:r>
          </w:p>
        </w:tc>
        <w:tc>
          <w:tcPr>
            <w:tcW w:w="474" w:type="pct"/>
            <w:vAlign w:val="center"/>
          </w:tcPr>
          <w:p w14:paraId="2698AE0F">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p>
        </w:tc>
      </w:tr>
      <w:tr w14:paraId="11A31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237" w:type="pct"/>
            <w:vAlign w:val="center"/>
          </w:tcPr>
          <w:p w14:paraId="0EA15615">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w:t>
            </w:r>
          </w:p>
        </w:tc>
        <w:tc>
          <w:tcPr>
            <w:tcW w:w="508" w:type="pct"/>
            <w:vAlign w:val="center"/>
          </w:tcPr>
          <w:p w14:paraId="3738B396">
            <w:pPr>
              <w:widowControl w:val="0"/>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高枝油锯</w:t>
            </w:r>
          </w:p>
        </w:tc>
        <w:tc>
          <w:tcPr>
            <w:tcW w:w="496" w:type="pct"/>
            <w:vAlign w:val="center"/>
          </w:tcPr>
          <w:p w14:paraId="691272BF">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386" w:type="pct"/>
            <w:vAlign w:val="center"/>
          </w:tcPr>
          <w:p w14:paraId="0695F886">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343" w:type="pct"/>
            <w:vAlign w:val="center"/>
          </w:tcPr>
          <w:p w14:paraId="1DF355BC">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441" w:type="pct"/>
            <w:vAlign w:val="center"/>
          </w:tcPr>
          <w:p w14:paraId="43E0B83E">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w:t>
            </w:r>
          </w:p>
        </w:tc>
        <w:tc>
          <w:tcPr>
            <w:tcW w:w="198" w:type="pct"/>
            <w:vAlign w:val="center"/>
          </w:tcPr>
          <w:p w14:paraId="15C349EA">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把</w:t>
            </w:r>
          </w:p>
        </w:tc>
        <w:tc>
          <w:tcPr>
            <w:tcW w:w="1257" w:type="pct"/>
            <w:vAlign w:val="center"/>
          </w:tcPr>
          <w:p w14:paraId="49ACC0F3">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drawing>
                <wp:inline distT="0" distB="0" distL="114300" distR="114300">
                  <wp:extent cx="1613535" cy="1228725"/>
                  <wp:effectExtent l="0" t="0" r="5715" b="9525"/>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35"/>
                          <a:stretch>
                            <a:fillRect/>
                          </a:stretch>
                        </pic:blipFill>
                        <pic:spPr>
                          <a:xfrm>
                            <a:off x="0" y="0"/>
                            <a:ext cx="1613535" cy="1228725"/>
                          </a:xfrm>
                          <a:prstGeom prst="rect">
                            <a:avLst/>
                          </a:prstGeom>
                          <a:noFill/>
                          <a:ln>
                            <a:noFill/>
                          </a:ln>
                        </pic:spPr>
                      </pic:pic>
                    </a:graphicData>
                  </a:graphic>
                </wp:inline>
              </w:drawing>
            </w:r>
          </w:p>
        </w:tc>
        <w:tc>
          <w:tcPr>
            <w:tcW w:w="655" w:type="pct"/>
            <w:vAlign w:val="center"/>
          </w:tcPr>
          <w:p w14:paraId="7EE96FB6">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整齐、清洁、润滑、安全、完好</w:t>
            </w:r>
          </w:p>
        </w:tc>
        <w:tc>
          <w:tcPr>
            <w:tcW w:w="474" w:type="pct"/>
            <w:vAlign w:val="center"/>
          </w:tcPr>
          <w:p w14:paraId="07428F8F">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p>
        </w:tc>
      </w:tr>
      <w:tr w14:paraId="3DC8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237" w:type="pct"/>
            <w:vAlign w:val="center"/>
          </w:tcPr>
          <w:p w14:paraId="52BA3793">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11</w:t>
            </w:r>
          </w:p>
        </w:tc>
        <w:tc>
          <w:tcPr>
            <w:tcW w:w="508" w:type="pct"/>
            <w:vAlign w:val="center"/>
          </w:tcPr>
          <w:p w14:paraId="5774E842">
            <w:pPr>
              <w:widowControl w:val="0"/>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水泵</w:t>
            </w:r>
          </w:p>
        </w:tc>
        <w:tc>
          <w:tcPr>
            <w:tcW w:w="496" w:type="pct"/>
            <w:vAlign w:val="center"/>
          </w:tcPr>
          <w:p w14:paraId="30473D41">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w:t>
            </w:r>
          </w:p>
        </w:tc>
        <w:tc>
          <w:tcPr>
            <w:tcW w:w="386" w:type="pct"/>
            <w:vAlign w:val="center"/>
          </w:tcPr>
          <w:p w14:paraId="1272AAEC">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343" w:type="pct"/>
            <w:vAlign w:val="center"/>
          </w:tcPr>
          <w:p w14:paraId="5C78C754">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441" w:type="pct"/>
            <w:vAlign w:val="center"/>
          </w:tcPr>
          <w:p w14:paraId="08346EAD">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w:t>
            </w:r>
          </w:p>
        </w:tc>
        <w:tc>
          <w:tcPr>
            <w:tcW w:w="198" w:type="pct"/>
            <w:vAlign w:val="center"/>
          </w:tcPr>
          <w:p w14:paraId="2C45E8FA">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台</w:t>
            </w:r>
          </w:p>
        </w:tc>
        <w:tc>
          <w:tcPr>
            <w:tcW w:w="1257" w:type="pct"/>
            <w:vAlign w:val="center"/>
          </w:tcPr>
          <w:p w14:paraId="67B15CAF">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w:t>
            </w:r>
          </w:p>
        </w:tc>
        <w:tc>
          <w:tcPr>
            <w:tcW w:w="655" w:type="pct"/>
            <w:vAlign w:val="center"/>
          </w:tcPr>
          <w:p w14:paraId="495AC4A2">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p>
        </w:tc>
        <w:tc>
          <w:tcPr>
            <w:tcW w:w="474" w:type="pct"/>
            <w:vAlign w:val="center"/>
          </w:tcPr>
          <w:p w14:paraId="09907058">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p>
        </w:tc>
      </w:tr>
      <w:tr w14:paraId="293B4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237" w:type="pct"/>
            <w:vAlign w:val="center"/>
          </w:tcPr>
          <w:p w14:paraId="1B109D85">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12</w:t>
            </w:r>
          </w:p>
        </w:tc>
        <w:tc>
          <w:tcPr>
            <w:tcW w:w="508" w:type="pct"/>
            <w:vAlign w:val="center"/>
          </w:tcPr>
          <w:p w14:paraId="587C2886">
            <w:pPr>
              <w:widowControl w:val="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巡逻车</w:t>
            </w:r>
          </w:p>
        </w:tc>
        <w:tc>
          <w:tcPr>
            <w:tcW w:w="496" w:type="pct"/>
            <w:vAlign w:val="center"/>
          </w:tcPr>
          <w:p w14:paraId="7EA03E10">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386" w:type="pct"/>
            <w:vAlign w:val="center"/>
          </w:tcPr>
          <w:p w14:paraId="08BBF211">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343" w:type="pct"/>
            <w:vAlign w:val="center"/>
          </w:tcPr>
          <w:p w14:paraId="1F900C24">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w:t>
            </w:r>
          </w:p>
        </w:tc>
        <w:tc>
          <w:tcPr>
            <w:tcW w:w="441" w:type="pct"/>
            <w:vAlign w:val="center"/>
          </w:tcPr>
          <w:p w14:paraId="2DD180BA">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w:t>
            </w:r>
          </w:p>
        </w:tc>
        <w:tc>
          <w:tcPr>
            <w:tcW w:w="198" w:type="pct"/>
            <w:vAlign w:val="center"/>
          </w:tcPr>
          <w:p w14:paraId="603E771F">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辆</w:t>
            </w:r>
          </w:p>
        </w:tc>
        <w:tc>
          <w:tcPr>
            <w:tcW w:w="1257" w:type="pct"/>
            <w:vAlign w:val="center"/>
          </w:tcPr>
          <w:p w14:paraId="2294E391">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w:t>
            </w:r>
          </w:p>
        </w:tc>
        <w:tc>
          <w:tcPr>
            <w:tcW w:w="655" w:type="pct"/>
            <w:vAlign w:val="center"/>
          </w:tcPr>
          <w:p w14:paraId="2F89033A">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p>
        </w:tc>
        <w:tc>
          <w:tcPr>
            <w:tcW w:w="474" w:type="pct"/>
            <w:vAlign w:val="center"/>
          </w:tcPr>
          <w:p w14:paraId="50FCC020">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电动新能源</w:t>
            </w:r>
          </w:p>
        </w:tc>
      </w:tr>
      <w:tr w14:paraId="36F4A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237" w:type="pct"/>
            <w:vAlign w:val="center"/>
          </w:tcPr>
          <w:p w14:paraId="7D2702FD">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13</w:t>
            </w:r>
          </w:p>
        </w:tc>
        <w:tc>
          <w:tcPr>
            <w:tcW w:w="508" w:type="pct"/>
            <w:vAlign w:val="center"/>
          </w:tcPr>
          <w:p w14:paraId="4E8DEFB8">
            <w:pPr>
              <w:widowControl w:val="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盆景制作车</w:t>
            </w:r>
          </w:p>
        </w:tc>
        <w:tc>
          <w:tcPr>
            <w:tcW w:w="496" w:type="pct"/>
            <w:vAlign w:val="center"/>
          </w:tcPr>
          <w:p w14:paraId="65A482A8">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386" w:type="pct"/>
            <w:vAlign w:val="center"/>
          </w:tcPr>
          <w:p w14:paraId="2FBA7784">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w:t>
            </w:r>
          </w:p>
        </w:tc>
        <w:tc>
          <w:tcPr>
            <w:tcW w:w="343" w:type="pct"/>
            <w:vAlign w:val="center"/>
          </w:tcPr>
          <w:p w14:paraId="70EB3EE7">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w:t>
            </w:r>
          </w:p>
        </w:tc>
        <w:tc>
          <w:tcPr>
            <w:tcW w:w="441" w:type="pct"/>
            <w:vAlign w:val="center"/>
          </w:tcPr>
          <w:p w14:paraId="7BC0A083">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198" w:type="pct"/>
            <w:vAlign w:val="center"/>
          </w:tcPr>
          <w:p w14:paraId="7C035203">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台</w:t>
            </w:r>
          </w:p>
        </w:tc>
        <w:tc>
          <w:tcPr>
            <w:tcW w:w="1257" w:type="pct"/>
            <w:vAlign w:val="center"/>
          </w:tcPr>
          <w:p w14:paraId="3E59204B">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w:t>
            </w:r>
          </w:p>
        </w:tc>
        <w:tc>
          <w:tcPr>
            <w:tcW w:w="655" w:type="pct"/>
            <w:vAlign w:val="center"/>
          </w:tcPr>
          <w:p w14:paraId="2DBC4339">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p>
        </w:tc>
        <w:tc>
          <w:tcPr>
            <w:tcW w:w="474" w:type="pct"/>
            <w:vAlign w:val="center"/>
          </w:tcPr>
          <w:p w14:paraId="6F63DB12">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p>
        </w:tc>
      </w:tr>
      <w:tr w14:paraId="185AA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237" w:type="pct"/>
            <w:vAlign w:val="center"/>
          </w:tcPr>
          <w:p w14:paraId="376C230D">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管理要求</w:t>
            </w:r>
          </w:p>
        </w:tc>
        <w:tc>
          <w:tcPr>
            <w:tcW w:w="4762" w:type="pct"/>
            <w:gridSpan w:val="9"/>
            <w:vAlign w:val="center"/>
          </w:tcPr>
          <w:p w14:paraId="5553EFF6">
            <w:pPr>
              <w:keepNext w:val="0"/>
              <w:keepLines w:val="0"/>
              <w:pageBreakBefore w:val="0"/>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完成服务相关人员开展日常作业必须配备的基本工具、器械不列入本清单，由中标人无条件提供，费用包干。主要指完成相关作业必备的无动力装置或通讯工具，包括1）手推车、工具车、垃圾铲（灰斗）、扫把、拖布、抹布等清洁工具；2）人工打药机、枝剪、水管等植物养护工具；3）五金等维修工具等；4）安保、服务人员对讲机等通讯工具；5）口罩、手套等。</w:t>
            </w:r>
          </w:p>
          <w:p w14:paraId="3B60353B">
            <w:pPr>
              <w:keepNext w:val="0"/>
              <w:keepLines w:val="0"/>
              <w:pageBreakBefore w:val="0"/>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2.本清单仅要求经常性使用且要求常驻公园的机械设备。</w:t>
            </w:r>
          </w:p>
          <w:p w14:paraId="5A36DDFB">
            <w:pPr>
              <w:keepNext w:val="0"/>
              <w:keepLines w:val="0"/>
              <w:pageBreakBefore w:val="0"/>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本清单所有机械设备需在合同签订之日起10日内配齐，仅限于在本项目中使用，保养记录和存放地点须向采购单位备案，随时预备检查。机械设备均应在闲时进行维修保养，工作期间如发生故障无法正常使用，中标人须无条件提供同等规格或以上的机械设备。</w:t>
            </w:r>
          </w:p>
          <w:p w14:paraId="27D97CA2">
            <w:pPr>
              <w:keepNext w:val="0"/>
              <w:keepLines w:val="0"/>
              <w:pageBreakBefore w:val="0"/>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4.以上车辆机械设备数量为满足本标段的最低配备要求，供应商应根据本标段实际情况配备足够的车辆机械设备。</w:t>
            </w:r>
          </w:p>
          <w:p w14:paraId="322F4A49">
            <w:pPr>
              <w:keepNext w:val="0"/>
              <w:keepLines w:val="0"/>
              <w:pageBreakBefore w:val="0"/>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5.相关机械设备的操作使用、维护保养由中标人负责，费用包干。</w:t>
            </w:r>
          </w:p>
          <w:p w14:paraId="01255D79">
            <w:pPr>
              <w:keepNext w:val="0"/>
              <w:keepLines w:val="0"/>
              <w:pageBreakBefore w:val="0"/>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6.本清单机械设备生产制造时间要求为2021年1月份以后，具备国家认可的合格证书，性能良好；属于租赁的机械设备，租赁时间必须长于本项目招标服务时限或一致，不得短于项目服务时限。</w:t>
            </w:r>
          </w:p>
        </w:tc>
      </w:tr>
    </w:tbl>
    <w:p w14:paraId="6E1971B7">
      <w:pPr>
        <w:widowControl/>
        <w:tabs>
          <w:tab w:val="left" w:pos="851"/>
        </w:tabs>
        <w:adjustRightInd/>
        <w:spacing w:line="360" w:lineRule="auto"/>
        <w:outlineLvl w:val="1"/>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eastAsia="zh-CN"/>
        </w:rPr>
        <w:t>（</w:t>
      </w:r>
      <w:r>
        <w:rPr>
          <w:rFonts w:hint="eastAsia" w:ascii="宋体" w:hAnsi="宋体" w:eastAsia="宋体" w:cs="宋体"/>
          <w:b/>
          <w:color w:val="auto"/>
          <w:kern w:val="0"/>
          <w:sz w:val="24"/>
          <w:highlight w:val="none"/>
          <w:lang w:val="en-US" w:eastAsia="zh-CN"/>
        </w:rPr>
        <w:t>二</w:t>
      </w:r>
      <w:r>
        <w:rPr>
          <w:rFonts w:hint="eastAsia" w:ascii="宋体" w:hAnsi="宋体" w:eastAsia="宋体" w:cs="宋体"/>
          <w:b/>
          <w:color w:val="auto"/>
          <w:kern w:val="0"/>
          <w:sz w:val="24"/>
          <w:highlight w:val="none"/>
          <w:lang w:eastAsia="zh-CN"/>
        </w:rPr>
        <w:t>）</w:t>
      </w:r>
      <w:r>
        <w:rPr>
          <w:rFonts w:hint="eastAsia" w:ascii="宋体" w:hAnsi="宋体" w:eastAsia="宋体" w:cs="宋体"/>
          <w:b/>
          <w:color w:val="auto"/>
          <w:kern w:val="0"/>
          <w:sz w:val="24"/>
          <w:highlight w:val="none"/>
          <w:lang w:val="en-US" w:eastAsia="zh-CN"/>
        </w:rPr>
        <w:t>采购人</w:t>
      </w:r>
      <w:r>
        <w:rPr>
          <w:rFonts w:hint="eastAsia" w:ascii="宋体" w:hAnsi="宋体" w:eastAsia="宋体" w:cs="宋体"/>
          <w:b/>
          <w:color w:val="auto"/>
          <w:kern w:val="0"/>
          <w:sz w:val="24"/>
          <w:highlight w:val="none"/>
          <w:lang w:eastAsia="zh-CN"/>
        </w:rPr>
        <w:t>可提供设备清单</w:t>
      </w:r>
    </w:p>
    <w:p w14:paraId="74B314E4">
      <w:pPr>
        <w:widowControl/>
        <w:tabs>
          <w:tab w:val="left" w:pos="851"/>
        </w:tabs>
        <w:adjustRightInd/>
        <w:spacing w:line="360" w:lineRule="auto"/>
        <w:ind w:firstLine="482" w:firstLineChars="200"/>
        <w:rPr>
          <w:rFonts w:hint="default"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①绿岛公园</w:t>
      </w:r>
    </w:p>
    <w:p w14:paraId="07CA4F99">
      <w:pPr>
        <w:widowControl/>
        <w:tabs>
          <w:tab w:val="left" w:pos="851"/>
        </w:tabs>
        <w:adjustRightInd/>
        <w:spacing w:line="360" w:lineRule="auto"/>
        <w:ind w:firstLine="482" w:firstLineChars="200"/>
        <w:rPr>
          <w:rFonts w:hint="default"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无。</w:t>
      </w:r>
    </w:p>
    <w:p w14:paraId="3417DCD3">
      <w:pPr>
        <w:widowControl/>
        <w:tabs>
          <w:tab w:val="left" w:pos="851"/>
        </w:tabs>
        <w:adjustRightInd/>
        <w:spacing w:line="360" w:lineRule="auto"/>
        <w:ind w:firstLine="482" w:firstLineChars="200"/>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②博物馆</w:t>
      </w:r>
    </w:p>
    <w:p w14:paraId="6D24F118">
      <w:pPr>
        <w:widowControl/>
        <w:tabs>
          <w:tab w:val="left" w:pos="851"/>
        </w:tabs>
        <w:adjustRightInd/>
        <w:spacing w:line="360" w:lineRule="auto"/>
        <w:ind w:firstLine="482" w:firstLineChars="200"/>
        <w:rPr>
          <w:rFonts w:hint="default"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无。</w:t>
      </w:r>
    </w:p>
    <w:p w14:paraId="13C088F6">
      <w:pPr>
        <w:widowControl/>
        <w:tabs>
          <w:tab w:val="left" w:pos="851"/>
        </w:tabs>
        <w:adjustRightInd/>
        <w:spacing w:line="360" w:lineRule="auto"/>
        <w:ind w:firstLine="482" w:firstLineChars="200"/>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③福民公园、青林湾公园</w:t>
      </w:r>
    </w:p>
    <w:tbl>
      <w:tblPr>
        <w:tblStyle w:val="62"/>
        <w:tblW w:w="4461"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28"/>
        <w:gridCol w:w="1656"/>
        <w:gridCol w:w="1727"/>
        <w:gridCol w:w="1178"/>
        <w:gridCol w:w="2214"/>
      </w:tblGrid>
      <w:tr w14:paraId="598A3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FFC4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序号</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C134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设备名称</w:t>
            </w:r>
          </w:p>
        </w:tc>
        <w:tc>
          <w:tcPr>
            <w:tcW w:w="11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84B0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 量</w:t>
            </w:r>
          </w:p>
        </w:tc>
        <w:tc>
          <w:tcPr>
            <w:tcW w:w="7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E314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单位</w:t>
            </w:r>
          </w:p>
        </w:tc>
        <w:tc>
          <w:tcPr>
            <w:tcW w:w="1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52C7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使用及维护要求</w:t>
            </w:r>
          </w:p>
        </w:tc>
      </w:tr>
      <w:tr w14:paraId="654D8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9D05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9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5A0E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草坪车</w:t>
            </w: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243B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D3E4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1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A36E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整齐、清洁、润滑、安全、完好</w:t>
            </w:r>
          </w:p>
        </w:tc>
      </w:tr>
      <w:tr w14:paraId="72063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9AC0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9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3641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草坪机</w:t>
            </w: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49CC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DADF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1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333A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整齐、清洁、润滑、安全、完好</w:t>
            </w:r>
          </w:p>
        </w:tc>
      </w:tr>
      <w:tr w14:paraId="1CBD6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E2B5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9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6260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割灌机</w:t>
            </w: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8891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FF03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1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1ED1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整齐、清洁、润滑、安全、完好</w:t>
            </w:r>
          </w:p>
        </w:tc>
      </w:tr>
      <w:tr w14:paraId="3B278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1FAA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9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2415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高枝绿篱机</w:t>
            </w: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71A6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63EB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1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33A2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整齐、清洁、润滑、安全、完好</w:t>
            </w:r>
          </w:p>
        </w:tc>
      </w:tr>
      <w:tr w14:paraId="400E0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9E7E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9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B996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绿篱机</w:t>
            </w: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1A78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BAA5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1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C8F4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整齐、清洁、润滑、安全、完好</w:t>
            </w:r>
          </w:p>
        </w:tc>
      </w:tr>
      <w:tr w14:paraId="1D210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CC27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9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F8E7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油锯</w:t>
            </w: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8391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C99C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把</w:t>
            </w:r>
          </w:p>
        </w:tc>
        <w:tc>
          <w:tcPr>
            <w:tcW w:w="1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008A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整齐、清洁、润滑、安全、完好</w:t>
            </w:r>
          </w:p>
        </w:tc>
      </w:tr>
      <w:tr w14:paraId="1DB1A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6FDF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9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72F3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高枝锯</w:t>
            </w: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6BB9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2CF1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把</w:t>
            </w:r>
          </w:p>
        </w:tc>
        <w:tc>
          <w:tcPr>
            <w:tcW w:w="1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B166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整齐、清洁、润滑、安全、完好</w:t>
            </w:r>
          </w:p>
        </w:tc>
      </w:tr>
      <w:tr w14:paraId="51AFC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500C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9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8294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高枝油锯</w:t>
            </w: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2D96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22C7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把</w:t>
            </w:r>
          </w:p>
        </w:tc>
        <w:tc>
          <w:tcPr>
            <w:tcW w:w="1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B19A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整齐、清洁、润滑、安全、完好</w:t>
            </w:r>
          </w:p>
        </w:tc>
      </w:tr>
      <w:tr w14:paraId="32D26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FCE5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9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0C38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打药机</w:t>
            </w: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861F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765A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1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D5E9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整齐、清洁、润滑、安全、完好</w:t>
            </w:r>
          </w:p>
        </w:tc>
      </w:tr>
      <w:tr w14:paraId="3DE41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14C0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9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AFB0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打药车</w:t>
            </w: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2859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3D0D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1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398C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整齐、清洁、润滑、安全、完好</w:t>
            </w:r>
          </w:p>
        </w:tc>
      </w:tr>
      <w:tr w14:paraId="05063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9D64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9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62B6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微耕机</w:t>
            </w: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3DBC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3419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1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5CBA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整齐、清洁、润滑、安全、完好</w:t>
            </w:r>
          </w:p>
        </w:tc>
      </w:tr>
      <w:tr w14:paraId="7C313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2E0D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9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B1C2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高压清洗机</w:t>
            </w: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4851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72CF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1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9EA2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整齐、清洁、润滑、安全、完好</w:t>
            </w:r>
          </w:p>
        </w:tc>
      </w:tr>
      <w:tr w14:paraId="35AAB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9012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w:t>
            </w:r>
          </w:p>
        </w:tc>
        <w:tc>
          <w:tcPr>
            <w:tcW w:w="9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9448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背负式吹风机</w:t>
            </w: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9BAD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11E6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1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2C17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整齐、清洁、润滑、安全、完好</w:t>
            </w:r>
          </w:p>
        </w:tc>
      </w:tr>
      <w:tr w14:paraId="00946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C995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w:t>
            </w:r>
          </w:p>
        </w:tc>
        <w:tc>
          <w:tcPr>
            <w:tcW w:w="9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C471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吹吸两用风机</w:t>
            </w: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70E5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1121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1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3D2E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整齐、清洁、润滑、安全、完好</w:t>
            </w:r>
          </w:p>
        </w:tc>
      </w:tr>
      <w:tr w14:paraId="29952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6908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9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B77A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高空作业平台</w:t>
            </w: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B251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A5AF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1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BED3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整齐、清洁、润滑、安全、完好</w:t>
            </w:r>
          </w:p>
        </w:tc>
      </w:tr>
      <w:tr w14:paraId="6ADDF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FDD3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w:t>
            </w:r>
          </w:p>
        </w:tc>
        <w:tc>
          <w:tcPr>
            <w:tcW w:w="9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9A50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水泵</w:t>
            </w: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C439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AE25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1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9DC2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整齐、清洁、润滑、安全、完好</w:t>
            </w:r>
          </w:p>
        </w:tc>
      </w:tr>
    </w:tbl>
    <w:p w14:paraId="7772E948">
      <w:pPr>
        <w:widowControl/>
        <w:tabs>
          <w:tab w:val="left" w:pos="851"/>
        </w:tabs>
        <w:adjustRightInd/>
        <w:spacing w:line="360" w:lineRule="auto"/>
        <w:ind w:firstLine="482" w:firstLineChars="200"/>
        <w:rPr>
          <w:rFonts w:hint="default"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④临时盆景园</w:t>
      </w:r>
    </w:p>
    <w:tbl>
      <w:tblPr>
        <w:tblStyle w:val="62"/>
        <w:tblW w:w="76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87"/>
        <w:gridCol w:w="1696"/>
        <w:gridCol w:w="854"/>
        <w:gridCol w:w="727"/>
        <w:gridCol w:w="3473"/>
      </w:tblGrid>
      <w:tr w14:paraId="3DE63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A0CD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序号</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8055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设备名称</w:t>
            </w: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3B88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数量</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307D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单位</w:t>
            </w:r>
          </w:p>
        </w:tc>
        <w:tc>
          <w:tcPr>
            <w:tcW w:w="3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08C9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使用及维护要求</w:t>
            </w:r>
          </w:p>
        </w:tc>
      </w:tr>
      <w:tr w14:paraId="3A9F1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A5F8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295A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背负式喷雾机</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2820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BE17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3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089B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整齐、清洁、润滑、安全、完好</w:t>
            </w:r>
          </w:p>
        </w:tc>
      </w:tr>
      <w:tr w14:paraId="0082D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6A42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4128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打药机</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0D2F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FE07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3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18A1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整齐、清洁、润滑、安全、完好</w:t>
            </w:r>
          </w:p>
        </w:tc>
      </w:tr>
    </w:tbl>
    <w:p w14:paraId="16C78CFA">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采购人提供的设备由中标人使用并维护，无法维修、租赁到期或报废后由中标人提供同等或以上规格机械设备供项目使用，优先使用新能源设备；置换后的保洁车、垃圾清运车等车辆要求优先采用新能源车辆。</w:t>
      </w:r>
    </w:p>
    <w:p w14:paraId="3A35303A">
      <w:pPr>
        <w:widowControl/>
        <w:tabs>
          <w:tab w:val="left" w:pos="851"/>
        </w:tabs>
        <w:adjustRightInd/>
        <w:spacing w:line="360" w:lineRule="auto"/>
        <w:ind w:firstLine="480" w:firstLineChars="200"/>
        <w:rPr>
          <w:rFonts w:hint="default"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采购人提供的设备</w:t>
      </w:r>
      <w:r>
        <w:rPr>
          <w:rFonts w:hint="eastAsia" w:ascii="宋体" w:hAnsi="宋体" w:eastAsia="宋体" w:cs="宋体"/>
          <w:bCs/>
          <w:color w:val="auto"/>
          <w:kern w:val="0"/>
          <w:sz w:val="24"/>
          <w:highlight w:val="none"/>
        </w:rPr>
        <w:t>的操作使用、维护保养由中标</w:t>
      </w:r>
      <w:r>
        <w:rPr>
          <w:rFonts w:hint="eastAsia" w:ascii="宋体" w:hAnsi="宋体" w:eastAsia="宋体" w:cs="宋体"/>
          <w:bCs/>
          <w:color w:val="auto"/>
          <w:kern w:val="0"/>
          <w:sz w:val="24"/>
          <w:highlight w:val="none"/>
          <w:lang w:eastAsia="zh-CN"/>
        </w:rPr>
        <w:t>人</w:t>
      </w:r>
      <w:r>
        <w:rPr>
          <w:rFonts w:hint="eastAsia" w:ascii="宋体" w:hAnsi="宋体" w:eastAsia="宋体" w:cs="宋体"/>
          <w:bCs/>
          <w:color w:val="auto"/>
          <w:kern w:val="0"/>
          <w:sz w:val="24"/>
          <w:highlight w:val="none"/>
        </w:rPr>
        <w:t>负责，费用包干。</w:t>
      </w:r>
    </w:p>
    <w:p w14:paraId="316028DE">
      <w:pPr>
        <w:widowControl/>
        <w:tabs>
          <w:tab w:val="left" w:pos="851"/>
        </w:tabs>
        <w:adjustRightInd/>
        <w:spacing w:line="360" w:lineRule="auto"/>
        <w:outlineLvl w:val="1"/>
        <w:rPr>
          <w:rFonts w:ascii="宋体" w:hAnsi="宋体" w:eastAsia="宋体" w:cs="宋体"/>
          <w:b/>
          <w:color w:val="auto"/>
          <w:kern w:val="0"/>
          <w:sz w:val="24"/>
          <w:highlight w:val="none"/>
        </w:rPr>
      </w:pPr>
      <w:r>
        <w:rPr>
          <w:rFonts w:hint="eastAsia" w:ascii="宋体" w:hAnsi="宋体" w:eastAsia="宋体" w:cs="宋体"/>
          <w:b/>
          <w:color w:val="auto"/>
          <w:kern w:val="0"/>
          <w:sz w:val="24"/>
          <w:highlight w:val="none"/>
          <w:lang w:val="en-US" w:eastAsia="zh-CN"/>
        </w:rPr>
        <w:t>七</w:t>
      </w:r>
      <w:r>
        <w:rPr>
          <w:rFonts w:hint="eastAsia" w:ascii="宋体" w:hAnsi="宋体" w:eastAsia="宋体" w:cs="宋体"/>
          <w:b/>
          <w:color w:val="auto"/>
          <w:kern w:val="0"/>
          <w:sz w:val="24"/>
          <w:highlight w:val="none"/>
        </w:rPr>
        <w:t>、</w:t>
      </w:r>
      <w:r>
        <w:rPr>
          <w:rFonts w:hint="eastAsia" w:ascii="宋体" w:hAnsi="宋体" w:eastAsia="宋体" w:cs="宋体"/>
          <w:b/>
          <w:color w:val="auto"/>
          <w:kern w:val="0"/>
          <w:sz w:val="24"/>
          <w:highlight w:val="none"/>
          <w:lang w:val="en-US" w:eastAsia="zh-CN"/>
        </w:rPr>
        <w:t>台账</w:t>
      </w:r>
      <w:r>
        <w:rPr>
          <w:rFonts w:hint="eastAsia" w:ascii="宋体" w:hAnsi="宋体" w:eastAsia="宋体" w:cs="宋体"/>
          <w:b/>
          <w:color w:val="auto"/>
          <w:kern w:val="0"/>
          <w:sz w:val="24"/>
          <w:highlight w:val="none"/>
        </w:rPr>
        <w:t>要求</w:t>
      </w:r>
    </w:p>
    <w:tbl>
      <w:tblPr>
        <w:tblStyle w:val="62"/>
        <w:tblW w:w="8647" w:type="dxa"/>
        <w:jc w:val="center"/>
        <w:tblLayout w:type="fixed"/>
        <w:tblCellMar>
          <w:top w:w="0" w:type="dxa"/>
          <w:left w:w="0" w:type="dxa"/>
          <w:bottom w:w="0" w:type="dxa"/>
          <w:right w:w="0" w:type="dxa"/>
        </w:tblCellMar>
      </w:tblPr>
      <w:tblGrid>
        <w:gridCol w:w="1281"/>
        <w:gridCol w:w="4646"/>
        <w:gridCol w:w="2720"/>
      </w:tblGrid>
      <w:tr w14:paraId="7FD1517F">
        <w:tblPrEx>
          <w:tblCellMar>
            <w:top w:w="0" w:type="dxa"/>
            <w:left w:w="0" w:type="dxa"/>
            <w:bottom w:w="0" w:type="dxa"/>
            <w:right w:w="0" w:type="dxa"/>
          </w:tblCellMar>
        </w:tblPrEx>
        <w:trPr>
          <w:trHeight w:val="397" w:hRule="atLeast"/>
          <w:jc w:val="center"/>
        </w:trPr>
        <w:tc>
          <w:tcPr>
            <w:tcW w:w="128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F98AD63">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台账类别</w:t>
            </w: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097B772">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台账名称</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FE0B675">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相关标准要求</w:t>
            </w:r>
          </w:p>
        </w:tc>
      </w:tr>
      <w:tr w14:paraId="43D21E7D">
        <w:tblPrEx>
          <w:tblCellMar>
            <w:top w:w="0" w:type="dxa"/>
            <w:left w:w="0" w:type="dxa"/>
            <w:bottom w:w="0" w:type="dxa"/>
            <w:right w:w="0" w:type="dxa"/>
          </w:tblCellMar>
        </w:tblPrEx>
        <w:trPr>
          <w:trHeight w:val="261" w:hRule="atLeast"/>
          <w:jc w:val="center"/>
        </w:trPr>
        <w:tc>
          <w:tcPr>
            <w:tcW w:w="1281"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C21C8EE">
            <w:pPr>
              <w:widowControl/>
              <w:jc w:val="left"/>
              <w:textAlignment w:val="center"/>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1.项目基本情况</w:t>
            </w: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E8E2C72">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1.1招、投标文件</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425FE09">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1B203A09">
        <w:tblPrEx>
          <w:tblCellMar>
            <w:top w:w="0" w:type="dxa"/>
            <w:left w:w="0" w:type="dxa"/>
            <w:bottom w:w="0" w:type="dxa"/>
            <w:right w:w="0" w:type="dxa"/>
          </w:tblCellMar>
        </w:tblPrEx>
        <w:trPr>
          <w:trHeight w:val="123" w:hRule="atLeast"/>
          <w:jc w:val="center"/>
        </w:trPr>
        <w:tc>
          <w:tcPr>
            <w:tcW w:w="1281"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AF17267">
            <w:pPr>
              <w:jc w:val="left"/>
              <w:rPr>
                <w:rFonts w:hint="eastAsia" w:ascii="宋体" w:hAnsi="宋体" w:eastAsia="宋体" w:cs="宋体"/>
                <w:b/>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A650D95">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1.2合同</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4B1D596">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7C9C016D">
        <w:tblPrEx>
          <w:tblCellMar>
            <w:top w:w="0" w:type="dxa"/>
            <w:left w:w="0" w:type="dxa"/>
            <w:bottom w:w="0" w:type="dxa"/>
            <w:right w:w="0" w:type="dxa"/>
          </w:tblCellMar>
        </w:tblPrEx>
        <w:trPr>
          <w:trHeight w:val="241" w:hRule="atLeast"/>
          <w:jc w:val="center"/>
        </w:trPr>
        <w:tc>
          <w:tcPr>
            <w:tcW w:w="1281"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E75222D">
            <w:pPr>
              <w:widowControl/>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2.人员管理情况</w:t>
            </w: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7916D11">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2.1项目人员名录</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68F739F">
            <w:pPr>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需含身份证信息、年龄、学历、专业</w:t>
            </w:r>
            <w:r>
              <w:rPr>
                <w:rFonts w:hint="eastAsia" w:ascii="宋体" w:hAnsi="宋体" w:eastAsia="宋体" w:cs="宋体"/>
                <w:bCs/>
                <w:color w:val="auto"/>
                <w:sz w:val="24"/>
                <w:szCs w:val="24"/>
                <w:highlight w:val="none"/>
                <w:lang w:eastAsia="zh-CN"/>
              </w:rPr>
              <w:t>、资质证书</w:t>
            </w:r>
            <w:r>
              <w:rPr>
                <w:rFonts w:hint="eastAsia" w:ascii="宋体" w:hAnsi="宋体" w:eastAsia="宋体" w:cs="宋体"/>
                <w:bCs/>
                <w:color w:val="auto"/>
                <w:sz w:val="24"/>
                <w:szCs w:val="24"/>
                <w:highlight w:val="none"/>
              </w:rPr>
              <w:t>等</w:t>
            </w:r>
          </w:p>
        </w:tc>
      </w:tr>
      <w:tr w14:paraId="54B71284">
        <w:tblPrEx>
          <w:tblCellMar>
            <w:top w:w="0" w:type="dxa"/>
            <w:left w:w="0" w:type="dxa"/>
            <w:bottom w:w="0" w:type="dxa"/>
            <w:right w:w="0" w:type="dxa"/>
          </w:tblCellMar>
        </w:tblPrEx>
        <w:trPr>
          <w:trHeight w:val="548" w:hRule="atLeast"/>
          <w:jc w:val="center"/>
        </w:trPr>
        <w:tc>
          <w:tcPr>
            <w:tcW w:w="1281"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03E03A3">
            <w:pPr>
              <w:jc w:val="left"/>
              <w:rPr>
                <w:rFonts w:hint="eastAsia" w:ascii="宋体" w:hAnsi="宋体" w:eastAsia="宋体" w:cs="宋体"/>
                <w:b/>
                <w:bCs/>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26D675F">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2.2员工用工合同资料</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BC4A0A6">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514D23C1">
        <w:tblPrEx>
          <w:tblCellMar>
            <w:top w:w="0" w:type="dxa"/>
            <w:left w:w="0" w:type="dxa"/>
            <w:bottom w:w="0" w:type="dxa"/>
            <w:right w:w="0" w:type="dxa"/>
          </w:tblCellMar>
        </w:tblPrEx>
        <w:trPr>
          <w:trHeight w:val="600" w:hRule="atLeast"/>
          <w:jc w:val="center"/>
        </w:trPr>
        <w:tc>
          <w:tcPr>
            <w:tcW w:w="1281"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D7C4198">
            <w:pPr>
              <w:jc w:val="left"/>
              <w:rPr>
                <w:rFonts w:hint="eastAsia" w:ascii="宋体" w:hAnsi="宋体" w:eastAsia="宋体" w:cs="宋体"/>
                <w:b/>
                <w:bCs/>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3B73B79">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2.3人员考勤打卡数据、</w:t>
            </w:r>
            <w:r>
              <w:rPr>
                <w:rFonts w:hint="eastAsia" w:ascii="宋体" w:hAnsi="宋体" w:eastAsia="宋体" w:cs="宋体"/>
                <w:bCs/>
                <w:color w:val="auto"/>
                <w:sz w:val="24"/>
                <w:szCs w:val="24"/>
                <w:highlight w:val="none"/>
                <w:lang w:eastAsia="zh-CN"/>
              </w:rPr>
              <w:t>公厕</w:t>
            </w:r>
            <w:r>
              <w:rPr>
                <w:rFonts w:hint="eastAsia" w:ascii="宋体" w:hAnsi="宋体" w:eastAsia="宋体" w:cs="宋体"/>
                <w:bCs/>
                <w:color w:val="auto"/>
                <w:sz w:val="24"/>
                <w:szCs w:val="24"/>
                <w:highlight w:val="none"/>
              </w:rPr>
              <w:t>保洁签到表</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9683275">
            <w:pPr>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钉钉考勤等打卡数据或</w:t>
            </w:r>
            <w:r>
              <w:rPr>
                <w:rFonts w:hint="eastAsia" w:ascii="宋体" w:hAnsi="宋体" w:eastAsia="宋体" w:cs="宋体"/>
                <w:bCs/>
                <w:color w:val="auto"/>
                <w:sz w:val="24"/>
                <w:szCs w:val="24"/>
                <w:highlight w:val="none"/>
                <w:lang w:eastAsia="zh-CN"/>
              </w:rPr>
              <w:t>智慧公园</w:t>
            </w:r>
            <w:r>
              <w:rPr>
                <w:rFonts w:hint="eastAsia" w:ascii="宋体" w:hAnsi="宋体" w:eastAsia="宋体" w:cs="宋体"/>
                <w:bCs/>
                <w:color w:val="auto"/>
                <w:sz w:val="24"/>
                <w:szCs w:val="24"/>
                <w:highlight w:val="none"/>
              </w:rPr>
              <w:t>系统考勤</w:t>
            </w:r>
            <w:r>
              <w:rPr>
                <w:rFonts w:hint="eastAsia" w:ascii="宋体" w:hAnsi="宋体" w:eastAsia="宋体" w:cs="宋体"/>
                <w:bCs/>
                <w:color w:val="auto"/>
                <w:sz w:val="24"/>
                <w:szCs w:val="24"/>
                <w:highlight w:val="none"/>
                <w:lang w:eastAsia="zh-CN"/>
              </w:rPr>
              <w:t>签到</w:t>
            </w:r>
            <w:r>
              <w:rPr>
                <w:rFonts w:hint="eastAsia" w:ascii="宋体" w:hAnsi="宋体" w:eastAsia="宋体" w:cs="宋体"/>
                <w:bCs/>
                <w:color w:val="auto"/>
                <w:sz w:val="24"/>
                <w:szCs w:val="24"/>
                <w:highlight w:val="none"/>
              </w:rPr>
              <w:t>记录</w:t>
            </w:r>
          </w:p>
        </w:tc>
      </w:tr>
      <w:tr w14:paraId="607090D8">
        <w:tblPrEx>
          <w:tblCellMar>
            <w:top w:w="0" w:type="dxa"/>
            <w:left w:w="0" w:type="dxa"/>
            <w:bottom w:w="0" w:type="dxa"/>
            <w:right w:w="0" w:type="dxa"/>
          </w:tblCellMar>
        </w:tblPrEx>
        <w:trPr>
          <w:trHeight w:val="409" w:hRule="atLeast"/>
          <w:jc w:val="center"/>
        </w:trPr>
        <w:tc>
          <w:tcPr>
            <w:tcW w:w="1281"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2E12FCC">
            <w:pPr>
              <w:jc w:val="left"/>
              <w:rPr>
                <w:rFonts w:hint="eastAsia" w:ascii="宋体" w:hAnsi="宋体" w:eastAsia="宋体" w:cs="宋体"/>
                <w:b/>
                <w:bCs/>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9BDDF39">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w:t>
            </w:r>
            <w:r>
              <w:rPr>
                <w:rFonts w:hint="eastAsia" w:ascii="宋体" w:hAnsi="宋体" w:cs="宋体"/>
                <w:bCs/>
                <w:color w:val="auto"/>
                <w:sz w:val="24"/>
                <w:szCs w:val="24"/>
                <w:highlight w:val="none"/>
                <w:lang w:val="en-US" w:eastAsia="zh-CN"/>
              </w:rPr>
              <w:t>4</w:t>
            </w:r>
            <w:r>
              <w:rPr>
                <w:rFonts w:hint="eastAsia" w:ascii="宋体" w:hAnsi="宋体" w:eastAsia="宋体" w:cs="宋体"/>
                <w:bCs/>
                <w:color w:val="auto"/>
                <w:sz w:val="24"/>
                <w:szCs w:val="24"/>
                <w:highlight w:val="none"/>
              </w:rPr>
              <w:t>为</w:t>
            </w:r>
            <w:r>
              <w:rPr>
                <w:rFonts w:hint="eastAsia" w:ascii="宋体" w:hAnsi="宋体" w:eastAsia="宋体" w:cs="宋体"/>
                <w:bCs/>
                <w:color w:val="auto"/>
                <w:sz w:val="24"/>
                <w:szCs w:val="24"/>
                <w:highlight w:val="none"/>
                <w:lang w:eastAsia="zh-CN"/>
              </w:rPr>
              <w:t>员工</w:t>
            </w:r>
            <w:r>
              <w:rPr>
                <w:rFonts w:hint="eastAsia" w:ascii="宋体" w:hAnsi="宋体" w:eastAsia="宋体" w:cs="宋体"/>
                <w:bCs/>
                <w:color w:val="auto"/>
                <w:sz w:val="24"/>
                <w:szCs w:val="24"/>
                <w:highlight w:val="none"/>
              </w:rPr>
              <w:t>购买相关保险资料</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CE78DAA">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273D7560">
        <w:tblPrEx>
          <w:tblCellMar>
            <w:top w:w="0" w:type="dxa"/>
            <w:left w:w="0" w:type="dxa"/>
            <w:bottom w:w="0" w:type="dxa"/>
            <w:right w:w="0" w:type="dxa"/>
          </w:tblCellMar>
        </w:tblPrEx>
        <w:trPr>
          <w:trHeight w:val="727" w:hRule="atLeast"/>
          <w:jc w:val="center"/>
        </w:trPr>
        <w:tc>
          <w:tcPr>
            <w:tcW w:w="1281"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914B096">
            <w:pPr>
              <w:jc w:val="left"/>
              <w:rPr>
                <w:rFonts w:hint="eastAsia" w:ascii="宋体" w:hAnsi="宋体" w:eastAsia="宋体" w:cs="宋体"/>
                <w:b/>
                <w:bCs/>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7B4C47D">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w:t>
            </w:r>
            <w:r>
              <w:rPr>
                <w:rFonts w:hint="eastAsia" w:ascii="宋体" w:hAnsi="宋体" w:cs="宋体"/>
                <w:bCs/>
                <w:color w:val="auto"/>
                <w:sz w:val="24"/>
                <w:szCs w:val="24"/>
                <w:highlight w:val="none"/>
                <w:lang w:val="en-US" w:eastAsia="zh-CN"/>
              </w:rPr>
              <w:t>5</w:t>
            </w:r>
            <w:r>
              <w:rPr>
                <w:rFonts w:hint="eastAsia" w:ascii="宋体" w:hAnsi="宋体" w:eastAsia="宋体" w:cs="宋体"/>
                <w:bCs/>
                <w:color w:val="auto"/>
                <w:sz w:val="24"/>
                <w:szCs w:val="24"/>
                <w:highlight w:val="none"/>
              </w:rPr>
              <w:t>项目管理</w:t>
            </w:r>
            <w:r>
              <w:rPr>
                <w:rFonts w:hint="eastAsia" w:ascii="宋体" w:hAnsi="宋体" w:eastAsia="宋体" w:cs="宋体"/>
                <w:bCs/>
                <w:color w:val="auto"/>
                <w:sz w:val="24"/>
                <w:szCs w:val="24"/>
                <w:highlight w:val="none"/>
                <w:lang w:eastAsia="zh-CN"/>
              </w:rPr>
              <w:t>团队</w:t>
            </w:r>
            <w:r>
              <w:rPr>
                <w:rFonts w:hint="eastAsia" w:ascii="宋体" w:hAnsi="宋体" w:eastAsia="宋体" w:cs="宋体"/>
                <w:bCs/>
                <w:color w:val="auto"/>
                <w:sz w:val="24"/>
                <w:szCs w:val="24"/>
                <w:highlight w:val="none"/>
              </w:rPr>
              <w:t>按要求参加项目会议、参与现场检查的记录（含签到记录、现场</w:t>
            </w:r>
            <w:r>
              <w:rPr>
                <w:rFonts w:hint="eastAsia" w:ascii="宋体" w:hAnsi="宋体" w:eastAsia="宋体" w:cs="宋体"/>
                <w:bCs/>
                <w:color w:val="auto"/>
                <w:sz w:val="24"/>
                <w:szCs w:val="24"/>
                <w:highlight w:val="none"/>
                <w:lang w:eastAsia="zh-CN"/>
              </w:rPr>
              <w:t>水印</w:t>
            </w:r>
            <w:r>
              <w:rPr>
                <w:rFonts w:hint="eastAsia" w:ascii="宋体" w:hAnsi="宋体" w:eastAsia="宋体" w:cs="宋体"/>
                <w:bCs/>
                <w:color w:val="auto"/>
                <w:sz w:val="24"/>
                <w:szCs w:val="24"/>
                <w:highlight w:val="none"/>
              </w:rPr>
              <w:t>照片等）</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E62731B">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0D57285A">
        <w:tblPrEx>
          <w:tblCellMar>
            <w:top w:w="0" w:type="dxa"/>
            <w:left w:w="0" w:type="dxa"/>
            <w:bottom w:w="0" w:type="dxa"/>
            <w:right w:w="0" w:type="dxa"/>
          </w:tblCellMar>
        </w:tblPrEx>
        <w:trPr>
          <w:trHeight w:val="577" w:hRule="atLeast"/>
          <w:jc w:val="center"/>
        </w:trPr>
        <w:tc>
          <w:tcPr>
            <w:tcW w:w="1281" w:type="dxa"/>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14:paraId="6FAE304C">
            <w:pPr>
              <w:widowControl/>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3.设备情况</w:t>
            </w: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59DD630">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3.1设备统计备案（明确种类及数量，附上现场水印</w:t>
            </w:r>
            <w:r>
              <w:rPr>
                <w:rFonts w:hint="eastAsia" w:ascii="宋体" w:hAnsi="宋体" w:eastAsia="宋体" w:cs="宋体"/>
                <w:bCs/>
                <w:color w:val="auto"/>
                <w:sz w:val="24"/>
                <w:szCs w:val="24"/>
                <w:highlight w:val="none"/>
                <w:lang w:eastAsia="zh-CN"/>
              </w:rPr>
              <w:t>照片</w:t>
            </w:r>
            <w:r>
              <w:rPr>
                <w:rFonts w:hint="eastAsia" w:ascii="宋体" w:hAnsi="宋体" w:eastAsia="宋体" w:cs="宋体"/>
                <w:bCs/>
                <w:color w:val="auto"/>
                <w:sz w:val="24"/>
                <w:szCs w:val="24"/>
                <w:highlight w:val="none"/>
              </w:rPr>
              <w:t>）</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24185DC">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396BEA23">
        <w:tblPrEx>
          <w:tblCellMar>
            <w:top w:w="0" w:type="dxa"/>
            <w:left w:w="0" w:type="dxa"/>
            <w:bottom w:w="0" w:type="dxa"/>
            <w:right w:w="0" w:type="dxa"/>
          </w:tblCellMar>
        </w:tblPrEx>
        <w:trPr>
          <w:trHeight w:val="600" w:hRule="atLeast"/>
          <w:jc w:val="center"/>
        </w:trPr>
        <w:tc>
          <w:tcPr>
            <w:tcW w:w="1281" w:type="dxa"/>
            <w:vMerge w:val="continue"/>
            <w:tcBorders>
              <w:left w:val="single" w:color="000000" w:sz="4" w:space="0"/>
              <w:right w:val="single" w:color="000000" w:sz="4" w:space="0"/>
            </w:tcBorders>
            <w:noWrap w:val="0"/>
            <w:tcMar>
              <w:top w:w="10" w:type="dxa"/>
              <w:left w:w="10" w:type="dxa"/>
              <w:right w:w="10" w:type="dxa"/>
            </w:tcMar>
            <w:vAlign w:val="center"/>
          </w:tcPr>
          <w:p w14:paraId="42BB682A">
            <w:pPr>
              <w:jc w:val="left"/>
              <w:rPr>
                <w:rFonts w:hint="eastAsia" w:ascii="宋体" w:hAnsi="宋体" w:eastAsia="宋体" w:cs="宋体"/>
                <w:b/>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6DBEC72">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设备日常</w:t>
            </w:r>
            <w:r>
              <w:rPr>
                <w:rFonts w:hint="eastAsia" w:ascii="宋体" w:hAnsi="宋体" w:eastAsia="宋体" w:cs="宋体"/>
                <w:bCs/>
                <w:color w:val="auto"/>
                <w:sz w:val="24"/>
                <w:szCs w:val="24"/>
                <w:highlight w:val="none"/>
                <w:lang w:eastAsia="zh-CN"/>
              </w:rPr>
              <w:t>检查、</w:t>
            </w:r>
            <w:r>
              <w:rPr>
                <w:rFonts w:hint="eastAsia" w:ascii="宋体" w:hAnsi="宋体" w:eastAsia="宋体" w:cs="宋体"/>
                <w:bCs/>
                <w:color w:val="auto"/>
                <w:sz w:val="24"/>
                <w:szCs w:val="24"/>
                <w:highlight w:val="none"/>
              </w:rPr>
              <w:t>维护检修，保养更新的备案记录（含检修现场照片，水印照片）</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41833F9">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0533AEEE">
        <w:tblPrEx>
          <w:tblCellMar>
            <w:top w:w="0" w:type="dxa"/>
            <w:left w:w="0" w:type="dxa"/>
            <w:bottom w:w="0" w:type="dxa"/>
            <w:right w:w="0" w:type="dxa"/>
          </w:tblCellMar>
        </w:tblPrEx>
        <w:trPr>
          <w:trHeight w:val="445" w:hRule="atLeast"/>
          <w:jc w:val="center"/>
        </w:trPr>
        <w:tc>
          <w:tcPr>
            <w:tcW w:w="1281" w:type="dxa"/>
            <w:vMerge w:val="continue"/>
            <w:tcBorders>
              <w:left w:val="single" w:color="000000" w:sz="4" w:space="0"/>
              <w:bottom w:val="single" w:color="000000" w:sz="4" w:space="0"/>
              <w:right w:val="single" w:color="000000" w:sz="4" w:space="0"/>
            </w:tcBorders>
            <w:noWrap w:val="0"/>
            <w:tcMar>
              <w:top w:w="10" w:type="dxa"/>
              <w:left w:w="10" w:type="dxa"/>
              <w:right w:w="10" w:type="dxa"/>
            </w:tcMar>
            <w:vAlign w:val="center"/>
          </w:tcPr>
          <w:p w14:paraId="17D29CD7">
            <w:pPr>
              <w:jc w:val="left"/>
              <w:rPr>
                <w:rFonts w:hint="eastAsia" w:ascii="宋体" w:hAnsi="宋体" w:eastAsia="宋体" w:cs="宋体"/>
                <w:b/>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63272F1">
            <w:pP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做好安全生产物资出入库、每月盘点等记录</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658E40E">
            <w:pPr>
              <w:ind w:firstLine="240" w:firstLineChars="100"/>
              <w:jc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rPr>
              <w:t>/</w:t>
            </w:r>
          </w:p>
        </w:tc>
      </w:tr>
      <w:tr w14:paraId="46EC772C">
        <w:tblPrEx>
          <w:tblCellMar>
            <w:top w:w="0" w:type="dxa"/>
            <w:left w:w="0" w:type="dxa"/>
            <w:bottom w:w="0" w:type="dxa"/>
            <w:right w:w="0" w:type="dxa"/>
          </w:tblCellMar>
        </w:tblPrEx>
        <w:trPr>
          <w:trHeight w:val="658" w:hRule="atLeast"/>
          <w:jc w:val="center"/>
        </w:trPr>
        <w:tc>
          <w:tcPr>
            <w:tcW w:w="1281" w:type="dxa"/>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14:paraId="01B30068">
            <w:pPr>
              <w:widowControl/>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4.工作安排</w:t>
            </w: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DF303CB">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4.1制定</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月-年</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工作计划，按</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月-年</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总结工作完成进度</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88ACFA6">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567BB7A3">
        <w:tblPrEx>
          <w:tblCellMar>
            <w:top w:w="0" w:type="dxa"/>
            <w:left w:w="0" w:type="dxa"/>
            <w:bottom w:w="0" w:type="dxa"/>
            <w:right w:w="0" w:type="dxa"/>
          </w:tblCellMar>
        </w:tblPrEx>
        <w:trPr>
          <w:trHeight w:val="60" w:hRule="atLeast"/>
          <w:jc w:val="center"/>
        </w:trPr>
        <w:tc>
          <w:tcPr>
            <w:tcW w:w="1281" w:type="dxa"/>
            <w:vMerge w:val="continue"/>
            <w:tcBorders>
              <w:left w:val="single" w:color="000000" w:sz="4" w:space="0"/>
              <w:right w:val="single" w:color="000000" w:sz="4" w:space="0"/>
            </w:tcBorders>
            <w:noWrap w:val="0"/>
            <w:tcMar>
              <w:top w:w="10" w:type="dxa"/>
              <w:left w:w="10" w:type="dxa"/>
              <w:right w:w="10" w:type="dxa"/>
            </w:tcMar>
            <w:vAlign w:val="center"/>
          </w:tcPr>
          <w:p w14:paraId="6E131521">
            <w:pPr>
              <w:widowControl/>
              <w:jc w:val="left"/>
              <w:textAlignment w:val="center"/>
              <w:rPr>
                <w:rFonts w:hint="eastAsia" w:ascii="宋体" w:hAnsi="宋体" w:eastAsia="宋体" w:cs="宋体"/>
                <w:b/>
                <w:bCs/>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4266B72">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制定应急预案</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AE28EE2">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418D24F4">
        <w:tblPrEx>
          <w:tblCellMar>
            <w:top w:w="0" w:type="dxa"/>
            <w:left w:w="0" w:type="dxa"/>
            <w:bottom w:w="0" w:type="dxa"/>
            <w:right w:w="0" w:type="dxa"/>
          </w:tblCellMar>
        </w:tblPrEx>
        <w:trPr>
          <w:trHeight w:val="122" w:hRule="atLeast"/>
          <w:jc w:val="center"/>
        </w:trPr>
        <w:tc>
          <w:tcPr>
            <w:tcW w:w="1281" w:type="dxa"/>
            <w:vMerge w:val="continue"/>
            <w:tcBorders>
              <w:left w:val="single" w:color="000000" w:sz="4" w:space="0"/>
              <w:right w:val="single" w:color="000000" w:sz="4" w:space="0"/>
            </w:tcBorders>
            <w:noWrap w:val="0"/>
            <w:tcMar>
              <w:top w:w="10" w:type="dxa"/>
              <w:left w:w="10" w:type="dxa"/>
              <w:right w:w="10" w:type="dxa"/>
            </w:tcMar>
            <w:vAlign w:val="center"/>
          </w:tcPr>
          <w:p w14:paraId="52D4CB44">
            <w:pPr>
              <w:widowControl/>
              <w:jc w:val="left"/>
              <w:textAlignment w:val="center"/>
              <w:rPr>
                <w:rFonts w:hint="eastAsia" w:ascii="宋体" w:hAnsi="宋体" w:eastAsia="宋体" w:cs="宋体"/>
                <w:b/>
                <w:bCs/>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342EF48">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新入职岗前培训（图文并茂，</w:t>
            </w:r>
            <w:r>
              <w:rPr>
                <w:rFonts w:hint="eastAsia" w:ascii="宋体" w:hAnsi="宋体" w:eastAsia="宋体" w:cs="宋体"/>
                <w:bCs/>
                <w:color w:val="auto"/>
                <w:sz w:val="24"/>
                <w:szCs w:val="24"/>
                <w:highlight w:val="none"/>
                <w:lang w:eastAsia="zh-CN"/>
              </w:rPr>
              <w:t>水印</w:t>
            </w:r>
            <w:r>
              <w:rPr>
                <w:rFonts w:hint="eastAsia" w:ascii="宋体" w:hAnsi="宋体" w:eastAsia="宋体" w:cs="宋体"/>
                <w:bCs/>
                <w:color w:val="auto"/>
                <w:sz w:val="24"/>
                <w:szCs w:val="24"/>
                <w:highlight w:val="none"/>
              </w:rPr>
              <w:t>照片）</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47D9572">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53BB98A7">
        <w:tblPrEx>
          <w:tblCellMar>
            <w:top w:w="0" w:type="dxa"/>
            <w:left w:w="0" w:type="dxa"/>
            <w:bottom w:w="0" w:type="dxa"/>
            <w:right w:w="0" w:type="dxa"/>
          </w:tblCellMar>
        </w:tblPrEx>
        <w:trPr>
          <w:trHeight w:val="60" w:hRule="atLeast"/>
          <w:jc w:val="center"/>
        </w:trPr>
        <w:tc>
          <w:tcPr>
            <w:tcW w:w="1281" w:type="dxa"/>
            <w:vMerge w:val="continue"/>
            <w:tcBorders>
              <w:left w:val="single" w:color="000000" w:sz="4" w:space="0"/>
              <w:right w:val="single" w:color="000000" w:sz="4" w:space="0"/>
            </w:tcBorders>
            <w:noWrap w:val="0"/>
            <w:tcMar>
              <w:top w:w="10" w:type="dxa"/>
              <w:left w:w="10" w:type="dxa"/>
              <w:right w:w="10" w:type="dxa"/>
            </w:tcMar>
            <w:vAlign w:val="center"/>
          </w:tcPr>
          <w:p w14:paraId="26D795C8">
            <w:pPr>
              <w:widowControl/>
              <w:jc w:val="left"/>
              <w:textAlignment w:val="center"/>
              <w:rPr>
                <w:rFonts w:hint="eastAsia" w:ascii="宋体" w:hAnsi="宋体" w:eastAsia="宋体" w:cs="宋体"/>
                <w:b/>
                <w:bCs/>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38EB473">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定期开展专项安全培训及演练</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图文并茂，水印照片</w:t>
            </w:r>
            <w:r>
              <w:rPr>
                <w:rFonts w:hint="eastAsia" w:ascii="宋体" w:hAnsi="宋体" w:eastAsia="宋体" w:cs="宋体"/>
                <w:bCs/>
                <w:color w:val="auto"/>
                <w:sz w:val="24"/>
                <w:szCs w:val="24"/>
                <w:highlight w:val="none"/>
                <w:lang w:eastAsia="zh-CN"/>
              </w:rPr>
              <w:t>）</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6714C20">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67748979">
        <w:tblPrEx>
          <w:tblCellMar>
            <w:top w:w="0" w:type="dxa"/>
            <w:left w:w="0" w:type="dxa"/>
            <w:bottom w:w="0" w:type="dxa"/>
            <w:right w:w="0" w:type="dxa"/>
          </w:tblCellMar>
        </w:tblPrEx>
        <w:trPr>
          <w:trHeight w:val="60" w:hRule="atLeast"/>
          <w:jc w:val="center"/>
        </w:trPr>
        <w:tc>
          <w:tcPr>
            <w:tcW w:w="1281" w:type="dxa"/>
            <w:vMerge w:val="continue"/>
            <w:tcBorders>
              <w:left w:val="single" w:color="000000" w:sz="4" w:space="0"/>
              <w:right w:val="single" w:color="000000" w:sz="4" w:space="0"/>
            </w:tcBorders>
            <w:noWrap w:val="0"/>
            <w:tcMar>
              <w:top w:w="10" w:type="dxa"/>
              <w:left w:w="10" w:type="dxa"/>
              <w:right w:w="10" w:type="dxa"/>
            </w:tcMar>
            <w:vAlign w:val="center"/>
          </w:tcPr>
          <w:p w14:paraId="5FD828A5">
            <w:pPr>
              <w:widowControl/>
              <w:jc w:val="left"/>
              <w:textAlignment w:val="center"/>
              <w:rPr>
                <w:rFonts w:hint="eastAsia" w:ascii="宋体" w:hAnsi="宋体" w:eastAsia="宋体" w:cs="宋体"/>
                <w:b/>
                <w:bCs/>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4FF5522">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w:t>
            </w:r>
            <w:r>
              <w:rPr>
                <w:rFonts w:hint="eastAsia"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rPr>
              <w:t>定期开展专项技能培训</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图文并茂，水印照片</w:t>
            </w:r>
            <w:r>
              <w:rPr>
                <w:rFonts w:hint="eastAsia" w:ascii="宋体" w:hAnsi="宋体" w:eastAsia="宋体" w:cs="宋体"/>
                <w:bCs/>
                <w:color w:val="auto"/>
                <w:sz w:val="24"/>
                <w:szCs w:val="24"/>
                <w:highlight w:val="none"/>
                <w:lang w:eastAsia="zh-CN"/>
              </w:rPr>
              <w:t>）</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F1285CC">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59AD4264">
        <w:tblPrEx>
          <w:tblCellMar>
            <w:top w:w="0" w:type="dxa"/>
            <w:left w:w="0" w:type="dxa"/>
            <w:bottom w:w="0" w:type="dxa"/>
            <w:right w:w="0" w:type="dxa"/>
          </w:tblCellMar>
        </w:tblPrEx>
        <w:trPr>
          <w:trHeight w:val="60" w:hRule="atLeast"/>
          <w:jc w:val="center"/>
        </w:trPr>
        <w:tc>
          <w:tcPr>
            <w:tcW w:w="1281" w:type="dxa"/>
            <w:vMerge w:val="continue"/>
            <w:tcBorders>
              <w:left w:val="single" w:color="000000" w:sz="4" w:space="0"/>
              <w:bottom w:val="single" w:color="000000" w:sz="4" w:space="0"/>
              <w:right w:val="single" w:color="000000" w:sz="4" w:space="0"/>
            </w:tcBorders>
            <w:noWrap w:val="0"/>
            <w:tcMar>
              <w:top w:w="10" w:type="dxa"/>
              <w:left w:w="10" w:type="dxa"/>
              <w:right w:w="10" w:type="dxa"/>
            </w:tcMar>
            <w:vAlign w:val="center"/>
          </w:tcPr>
          <w:p w14:paraId="1DACF192">
            <w:pPr>
              <w:widowControl/>
              <w:jc w:val="left"/>
              <w:textAlignment w:val="center"/>
              <w:rPr>
                <w:rFonts w:hint="eastAsia" w:ascii="宋体" w:hAnsi="宋体" w:eastAsia="宋体" w:cs="宋体"/>
                <w:b/>
                <w:bCs/>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C68B782">
            <w:pP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rPr>
              <w:t>4.6</w:t>
            </w:r>
            <w:r>
              <w:rPr>
                <w:rFonts w:hint="eastAsia" w:ascii="宋体" w:hAnsi="宋体" w:eastAsia="宋体" w:cs="宋体"/>
                <w:bCs/>
                <w:color w:val="auto"/>
                <w:sz w:val="24"/>
                <w:szCs w:val="24"/>
                <w:highlight w:val="none"/>
              </w:rPr>
              <w:t>做好重大活动或</w:t>
            </w:r>
            <w:r>
              <w:rPr>
                <w:rFonts w:hint="eastAsia" w:ascii="宋体" w:hAnsi="宋体" w:eastAsia="宋体" w:cs="宋体"/>
                <w:color w:val="auto"/>
                <w:kern w:val="0"/>
                <w:sz w:val="24"/>
                <w:szCs w:val="24"/>
                <w:highlight w:val="none"/>
              </w:rPr>
              <w:t>节假日增派人员记录</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224A047">
            <w:pPr>
              <w:ind w:firstLine="240" w:firstLineChars="100"/>
              <w:jc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rPr>
              <w:t>/</w:t>
            </w:r>
          </w:p>
        </w:tc>
      </w:tr>
      <w:tr w14:paraId="4D278E57">
        <w:tblPrEx>
          <w:tblCellMar>
            <w:top w:w="0" w:type="dxa"/>
            <w:left w:w="0" w:type="dxa"/>
            <w:bottom w:w="0" w:type="dxa"/>
            <w:right w:w="0" w:type="dxa"/>
          </w:tblCellMar>
        </w:tblPrEx>
        <w:trPr>
          <w:trHeight w:val="60" w:hRule="atLeast"/>
          <w:jc w:val="center"/>
        </w:trPr>
        <w:tc>
          <w:tcPr>
            <w:tcW w:w="1281" w:type="dxa"/>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14:paraId="22AFBB78">
            <w:pPr>
              <w:widowControl/>
              <w:jc w:val="left"/>
              <w:textAlignment w:val="center"/>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5.</w:t>
            </w:r>
            <w:r>
              <w:rPr>
                <w:rFonts w:hint="eastAsia" w:ascii="宋体" w:hAnsi="宋体" w:eastAsia="宋体" w:cs="宋体"/>
                <w:b/>
                <w:bCs/>
                <w:color w:val="auto"/>
                <w:sz w:val="24"/>
                <w:szCs w:val="24"/>
                <w:highlight w:val="none"/>
                <w:lang w:val="en-US" w:eastAsia="zh-CN"/>
              </w:rPr>
              <w:t>绿化专项工作记录</w:t>
            </w: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EAF15B8">
            <w:pP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rPr>
              <w:t>5.1修剪工作备案（含乔木、灌木、绿篱、花坛、地被、草坪等专项修剪，图文并茂，照片需留时间水印）</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773FC76">
            <w:pPr>
              <w:ind w:firstLine="240" w:firstLineChars="100"/>
              <w:jc w:val="center"/>
              <w:rPr>
                <w:rFonts w:hint="eastAsia" w:ascii="宋体" w:hAnsi="宋体" w:eastAsia="宋体" w:cs="宋体"/>
                <w:bCs/>
                <w:color w:val="auto"/>
                <w:sz w:val="24"/>
                <w:szCs w:val="24"/>
                <w:highlight w:val="none"/>
              </w:rPr>
            </w:pPr>
          </w:p>
        </w:tc>
      </w:tr>
      <w:tr w14:paraId="69BF1DCD">
        <w:tblPrEx>
          <w:tblCellMar>
            <w:top w:w="0" w:type="dxa"/>
            <w:left w:w="0" w:type="dxa"/>
            <w:bottom w:w="0" w:type="dxa"/>
            <w:right w:w="0" w:type="dxa"/>
          </w:tblCellMar>
        </w:tblPrEx>
        <w:trPr>
          <w:trHeight w:val="60" w:hRule="atLeast"/>
          <w:jc w:val="center"/>
        </w:trPr>
        <w:tc>
          <w:tcPr>
            <w:tcW w:w="1281" w:type="dxa"/>
            <w:vMerge w:val="continue"/>
            <w:tcBorders>
              <w:left w:val="single" w:color="000000" w:sz="4" w:space="0"/>
              <w:right w:val="single" w:color="000000" w:sz="4" w:space="0"/>
            </w:tcBorders>
            <w:noWrap w:val="0"/>
            <w:tcMar>
              <w:top w:w="10" w:type="dxa"/>
              <w:left w:w="10" w:type="dxa"/>
              <w:right w:w="10" w:type="dxa"/>
            </w:tcMar>
            <w:vAlign w:val="center"/>
          </w:tcPr>
          <w:p w14:paraId="603B7546">
            <w:pPr>
              <w:widowControl/>
              <w:jc w:val="left"/>
              <w:textAlignment w:val="center"/>
              <w:rPr>
                <w:rFonts w:hint="eastAsia" w:ascii="宋体" w:hAnsi="宋体" w:eastAsia="宋体" w:cs="宋体"/>
                <w:b/>
                <w:bCs/>
                <w:color w:val="auto"/>
                <w:sz w:val="24"/>
                <w:szCs w:val="24"/>
                <w:highlight w:val="none"/>
                <w:lang w:val="en-US" w:eastAsia="zh-CN"/>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E8049B5">
            <w:pP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rPr>
              <w:t>5.2施肥工作备案（含春秋季大型施肥记录等，图文并茂，照片需留时间水印）</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93C1389">
            <w:pPr>
              <w:ind w:firstLine="240" w:firstLineChars="100"/>
              <w:jc w:val="center"/>
              <w:rPr>
                <w:rFonts w:hint="eastAsia" w:ascii="宋体" w:hAnsi="宋体" w:eastAsia="宋体" w:cs="宋体"/>
                <w:bCs/>
                <w:color w:val="auto"/>
                <w:sz w:val="24"/>
                <w:szCs w:val="24"/>
                <w:highlight w:val="none"/>
              </w:rPr>
            </w:pPr>
          </w:p>
        </w:tc>
      </w:tr>
      <w:tr w14:paraId="605AFB19">
        <w:tblPrEx>
          <w:tblCellMar>
            <w:top w:w="0" w:type="dxa"/>
            <w:left w:w="0" w:type="dxa"/>
            <w:bottom w:w="0" w:type="dxa"/>
            <w:right w:w="0" w:type="dxa"/>
          </w:tblCellMar>
        </w:tblPrEx>
        <w:trPr>
          <w:trHeight w:val="60" w:hRule="atLeast"/>
          <w:jc w:val="center"/>
        </w:trPr>
        <w:tc>
          <w:tcPr>
            <w:tcW w:w="1281" w:type="dxa"/>
            <w:vMerge w:val="continue"/>
            <w:tcBorders>
              <w:left w:val="single" w:color="000000" w:sz="4" w:space="0"/>
              <w:right w:val="single" w:color="000000" w:sz="4" w:space="0"/>
            </w:tcBorders>
            <w:noWrap w:val="0"/>
            <w:tcMar>
              <w:top w:w="10" w:type="dxa"/>
              <w:left w:w="10" w:type="dxa"/>
              <w:right w:w="10" w:type="dxa"/>
            </w:tcMar>
            <w:vAlign w:val="center"/>
          </w:tcPr>
          <w:p w14:paraId="5177D982">
            <w:pPr>
              <w:widowControl/>
              <w:jc w:val="left"/>
              <w:textAlignment w:val="center"/>
              <w:rPr>
                <w:rFonts w:hint="eastAsia" w:ascii="宋体" w:hAnsi="宋体" w:eastAsia="宋体" w:cs="宋体"/>
                <w:b/>
                <w:bCs/>
                <w:color w:val="auto"/>
                <w:sz w:val="24"/>
                <w:szCs w:val="24"/>
                <w:highlight w:val="none"/>
                <w:lang w:val="en-US" w:eastAsia="zh-CN"/>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8D647D7">
            <w:pP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rPr>
              <w:t>5.3病虫害防治工作备案（含使用药剂信息，喷施药剂过程照等，图文并茂，照片需留时间水印）</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F2C3139">
            <w:pPr>
              <w:ind w:firstLine="240" w:firstLineChars="100"/>
              <w:jc w:val="center"/>
              <w:rPr>
                <w:rFonts w:hint="eastAsia" w:ascii="宋体" w:hAnsi="宋体" w:eastAsia="宋体" w:cs="宋体"/>
                <w:bCs/>
                <w:color w:val="auto"/>
                <w:sz w:val="24"/>
                <w:szCs w:val="24"/>
                <w:highlight w:val="none"/>
              </w:rPr>
            </w:pPr>
          </w:p>
        </w:tc>
      </w:tr>
      <w:tr w14:paraId="63150368">
        <w:tblPrEx>
          <w:tblCellMar>
            <w:top w:w="0" w:type="dxa"/>
            <w:left w:w="0" w:type="dxa"/>
            <w:bottom w:w="0" w:type="dxa"/>
            <w:right w:w="0" w:type="dxa"/>
          </w:tblCellMar>
        </w:tblPrEx>
        <w:trPr>
          <w:trHeight w:val="60" w:hRule="atLeast"/>
          <w:jc w:val="center"/>
        </w:trPr>
        <w:tc>
          <w:tcPr>
            <w:tcW w:w="1281" w:type="dxa"/>
            <w:vMerge w:val="continue"/>
            <w:tcBorders>
              <w:left w:val="single" w:color="000000" w:sz="4" w:space="0"/>
              <w:right w:val="single" w:color="000000" w:sz="4" w:space="0"/>
            </w:tcBorders>
            <w:noWrap w:val="0"/>
            <w:tcMar>
              <w:top w:w="10" w:type="dxa"/>
              <w:left w:w="10" w:type="dxa"/>
              <w:right w:w="10" w:type="dxa"/>
            </w:tcMar>
            <w:vAlign w:val="center"/>
          </w:tcPr>
          <w:p w14:paraId="05D05FCA">
            <w:pPr>
              <w:widowControl/>
              <w:jc w:val="left"/>
              <w:textAlignment w:val="center"/>
              <w:rPr>
                <w:rFonts w:hint="eastAsia" w:ascii="宋体" w:hAnsi="宋体" w:eastAsia="宋体" w:cs="宋体"/>
                <w:b/>
                <w:bCs/>
                <w:color w:val="auto"/>
                <w:sz w:val="24"/>
                <w:szCs w:val="24"/>
                <w:highlight w:val="none"/>
                <w:lang w:val="en-US" w:eastAsia="zh-CN"/>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E75EA03">
            <w:pP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rPr>
              <w:t>5.4景观提升工作备案（含提升设计方案，现场施工进度情况等，图文并茂，照片需留时间水印）</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9DD4CC4">
            <w:pPr>
              <w:ind w:firstLine="240" w:firstLineChars="100"/>
              <w:jc w:val="center"/>
              <w:rPr>
                <w:rFonts w:hint="eastAsia" w:ascii="宋体" w:hAnsi="宋体" w:eastAsia="宋体" w:cs="宋体"/>
                <w:bCs/>
                <w:color w:val="auto"/>
                <w:sz w:val="24"/>
                <w:szCs w:val="24"/>
                <w:highlight w:val="none"/>
              </w:rPr>
            </w:pPr>
          </w:p>
        </w:tc>
      </w:tr>
      <w:tr w14:paraId="050ED570">
        <w:tblPrEx>
          <w:tblCellMar>
            <w:top w:w="0" w:type="dxa"/>
            <w:left w:w="0" w:type="dxa"/>
            <w:bottom w:w="0" w:type="dxa"/>
            <w:right w:w="0" w:type="dxa"/>
          </w:tblCellMar>
        </w:tblPrEx>
        <w:trPr>
          <w:trHeight w:val="60" w:hRule="atLeast"/>
          <w:jc w:val="center"/>
        </w:trPr>
        <w:tc>
          <w:tcPr>
            <w:tcW w:w="1281" w:type="dxa"/>
            <w:vMerge w:val="continue"/>
            <w:tcBorders>
              <w:left w:val="single" w:color="000000" w:sz="4" w:space="0"/>
              <w:right w:val="single" w:color="000000" w:sz="4" w:space="0"/>
            </w:tcBorders>
            <w:noWrap w:val="0"/>
            <w:tcMar>
              <w:top w:w="10" w:type="dxa"/>
              <w:left w:w="10" w:type="dxa"/>
              <w:right w:w="10" w:type="dxa"/>
            </w:tcMar>
            <w:vAlign w:val="center"/>
          </w:tcPr>
          <w:p w14:paraId="717DD2E9">
            <w:pPr>
              <w:widowControl/>
              <w:jc w:val="left"/>
              <w:textAlignment w:val="center"/>
              <w:rPr>
                <w:rFonts w:hint="eastAsia" w:ascii="宋体" w:hAnsi="宋体" w:eastAsia="宋体" w:cs="宋体"/>
                <w:b/>
                <w:bCs/>
                <w:color w:val="auto"/>
                <w:sz w:val="24"/>
                <w:szCs w:val="24"/>
                <w:highlight w:val="none"/>
                <w:lang w:val="en-US" w:eastAsia="zh-CN"/>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F83ACE4">
            <w:pP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rPr>
              <w:t>5.5“特色植物”管养工作备案（专项植物养护工作操作，图文并茂，照片需留时间水印）</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B19EB8D">
            <w:pPr>
              <w:ind w:firstLine="240" w:firstLineChars="100"/>
              <w:jc w:val="center"/>
              <w:rPr>
                <w:rFonts w:hint="eastAsia" w:ascii="宋体" w:hAnsi="宋体" w:eastAsia="宋体" w:cs="宋体"/>
                <w:bCs/>
                <w:color w:val="auto"/>
                <w:sz w:val="24"/>
                <w:szCs w:val="24"/>
                <w:highlight w:val="none"/>
              </w:rPr>
            </w:pPr>
          </w:p>
        </w:tc>
      </w:tr>
      <w:tr w14:paraId="3C87B353">
        <w:tblPrEx>
          <w:tblCellMar>
            <w:top w:w="0" w:type="dxa"/>
            <w:left w:w="0" w:type="dxa"/>
            <w:bottom w:w="0" w:type="dxa"/>
            <w:right w:w="0" w:type="dxa"/>
          </w:tblCellMar>
        </w:tblPrEx>
        <w:trPr>
          <w:trHeight w:val="60" w:hRule="atLeast"/>
          <w:jc w:val="center"/>
        </w:trPr>
        <w:tc>
          <w:tcPr>
            <w:tcW w:w="1281" w:type="dxa"/>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14:paraId="42079704">
            <w:pPr>
              <w:widowControl/>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.工作整改记录</w:t>
            </w: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2D81D23">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6</w:t>
            </w:r>
            <w:r>
              <w:rPr>
                <w:rFonts w:hint="eastAsia" w:ascii="宋体" w:hAnsi="宋体" w:eastAsia="宋体" w:cs="宋体"/>
                <w:bCs/>
                <w:color w:val="auto"/>
                <w:sz w:val="24"/>
                <w:szCs w:val="24"/>
                <w:highlight w:val="none"/>
              </w:rPr>
              <w:t>.1针对</w:t>
            </w:r>
            <w:r>
              <w:rPr>
                <w:rFonts w:hint="eastAsia" w:ascii="宋体" w:hAnsi="宋体" w:eastAsia="宋体" w:cs="宋体"/>
                <w:bCs/>
                <w:color w:val="auto"/>
                <w:sz w:val="24"/>
                <w:szCs w:val="24"/>
                <w:highlight w:val="none"/>
                <w:lang w:eastAsia="zh-CN"/>
              </w:rPr>
              <w:t>企业日常自查</w:t>
            </w:r>
            <w:r>
              <w:rPr>
                <w:rFonts w:hint="eastAsia" w:ascii="宋体" w:hAnsi="宋体" w:eastAsia="宋体" w:cs="宋体"/>
                <w:bCs/>
                <w:color w:val="auto"/>
                <w:sz w:val="24"/>
                <w:szCs w:val="24"/>
                <w:highlight w:val="none"/>
              </w:rPr>
              <w:t>问题记录备案及整改前后对比资料备案</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0054AF4">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34409C8D">
        <w:tblPrEx>
          <w:tblCellMar>
            <w:top w:w="0" w:type="dxa"/>
            <w:left w:w="0" w:type="dxa"/>
            <w:bottom w:w="0" w:type="dxa"/>
            <w:right w:w="0" w:type="dxa"/>
          </w:tblCellMar>
        </w:tblPrEx>
        <w:trPr>
          <w:trHeight w:val="60" w:hRule="atLeast"/>
          <w:jc w:val="center"/>
        </w:trPr>
        <w:tc>
          <w:tcPr>
            <w:tcW w:w="1281" w:type="dxa"/>
            <w:vMerge w:val="continue"/>
            <w:tcBorders>
              <w:left w:val="single" w:color="000000" w:sz="4" w:space="0"/>
              <w:right w:val="single" w:color="000000" w:sz="4" w:space="0"/>
            </w:tcBorders>
            <w:noWrap w:val="0"/>
            <w:tcMar>
              <w:top w:w="10" w:type="dxa"/>
              <w:left w:w="10" w:type="dxa"/>
              <w:right w:w="10" w:type="dxa"/>
            </w:tcMar>
            <w:vAlign w:val="center"/>
          </w:tcPr>
          <w:p w14:paraId="59593A32">
            <w:pPr>
              <w:jc w:val="center"/>
              <w:rPr>
                <w:rFonts w:hint="eastAsia" w:ascii="宋体" w:hAnsi="宋体" w:eastAsia="宋体" w:cs="宋体"/>
                <w:b/>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D6FFA91">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6</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针对</w:t>
            </w:r>
            <w:r>
              <w:rPr>
                <w:rFonts w:hint="eastAsia" w:ascii="宋体" w:hAnsi="宋体" w:eastAsia="宋体" w:cs="宋体"/>
                <w:bCs/>
                <w:color w:val="auto"/>
                <w:sz w:val="24"/>
                <w:szCs w:val="24"/>
                <w:highlight w:val="none"/>
                <w:lang w:eastAsia="zh-CN"/>
              </w:rPr>
              <w:t>采购人各类</w:t>
            </w:r>
            <w:r>
              <w:rPr>
                <w:rFonts w:hint="eastAsia" w:ascii="宋体" w:hAnsi="宋体" w:eastAsia="宋体" w:cs="宋体"/>
                <w:bCs/>
                <w:color w:val="auto"/>
                <w:sz w:val="24"/>
                <w:szCs w:val="24"/>
                <w:highlight w:val="none"/>
              </w:rPr>
              <w:t>检查问题记录备案及整改前后对比资料备案</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0F820D0">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0092060A">
        <w:tblPrEx>
          <w:tblCellMar>
            <w:top w:w="0" w:type="dxa"/>
            <w:left w:w="0" w:type="dxa"/>
            <w:bottom w:w="0" w:type="dxa"/>
            <w:right w:w="0" w:type="dxa"/>
          </w:tblCellMar>
        </w:tblPrEx>
        <w:trPr>
          <w:trHeight w:val="60" w:hRule="atLeast"/>
          <w:jc w:val="center"/>
        </w:trPr>
        <w:tc>
          <w:tcPr>
            <w:tcW w:w="1281" w:type="dxa"/>
            <w:vMerge w:val="continue"/>
            <w:tcBorders>
              <w:left w:val="single" w:color="000000" w:sz="4" w:space="0"/>
              <w:bottom w:val="single" w:color="000000" w:sz="4" w:space="0"/>
              <w:right w:val="single" w:color="000000" w:sz="4" w:space="0"/>
            </w:tcBorders>
            <w:noWrap w:val="0"/>
            <w:tcMar>
              <w:top w:w="10" w:type="dxa"/>
              <w:left w:w="10" w:type="dxa"/>
              <w:right w:w="10" w:type="dxa"/>
            </w:tcMar>
            <w:vAlign w:val="center"/>
          </w:tcPr>
          <w:p w14:paraId="790FE1F9">
            <w:pPr>
              <w:jc w:val="center"/>
              <w:rPr>
                <w:rFonts w:hint="eastAsia" w:ascii="宋体" w:hAnsi="宋体" w:eastAsia="宋体" w:cs="宋体"/>
                <w:b/>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D22D42F">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6</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上级或相关部门专项检查、游客投诉、媒体曝光等问题记录及整改情况</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27C4F5E">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43EF35DE">
        <w:tblPrEx>
          <w:tblCellMar>
            <w:top w:w="0" w:type="dxa"/>
            <w:left w:w="0" w:type="dxa"/>
            <w:bottom w:w="0" w:type="dxa"/>
            <w:right w:w="0" w:type="dxa"/>
          </w:tblCellMar>
        </w:tblPrEx>
        <w:trPr>
          <w:trHeight w:val="60" w:hRule="atLeast"/>
          <w:jc w:val="center"/>
        </w:trPr>
        <w:tc>
          <w:tcPr>
            <w:tcW w:w="1281"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6F1E4F39">
            <w:pPr>
              <w:widowControl/>
              <w:jc w:val="left"/>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val="en-US" w:eastAsia="zh-CN"/>
              </w:rPr>
              <w:t>7</w:t>
            </w:r>
            <w:r>
              <w:rPr>
                <w:rFonts w:hint="eastAsia" w:ascii="宋体" w:hAnsi="宋体" w:eastAsia="宋体" w:cs="宋体"/>
                <w:b/>
                <w:bCs/>
                <w:color w:val="auto"/>
                <w:sz w:val="24"/>
                <w:szCs w:val="24"/>
                <w:highlight w:val="none"/>
              </w:rPr>
              <w:t>.经费支付情况</w:t>
            </w:r>
          </w:p>
        </w:tc>
        <w:tc>
          <w:tcPr>
            <w:tcW w:w="4646"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2AFA9BB5">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rPr>
              <w:t>.1按合同要求，提交付款资料和申请</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D00DA0B">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27319D46">
        <w:tblPrEx>
          <w:tblCellMar>
            <w:top w:w="0" w:type="dxa"/>
            <w:left w:w="0" w:type="dxa"/>
            <w:bottom w:w="0" w:type="dxa"/>
            <w:right w:w="0" w:type="dxa"/>
          </w:tblCellMar>
        </w:tblPrEx>
        <w:trPr>
          <w:trHeight w:val="60" w:hRule="atLeast"/>
          <w:jc w:val="center"/>
        </w:trPr>
        <w:tc>
          <w:tcPr>
            <w:tcW w:w="1281" w:type="dxa"/>
            <w:vMerge w:val="restart"/>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735D1C9B">
            <w:pPr>
              <w:widowControl/>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8</w:t>
            </w:r>
            <w:r>
              <w:rPr>
                <w:rFonts w:hint="eastAsia" w:ascii="宋体" w:hAnsi="宋体" w:eastAsia="宋体" w:cs="宋体"/>
                <w:b/>
                <w:bCs/>
                <w:color w:val="auto"/>
                <w:sz w:val="24"/>
                <w:szCs w:val="24"/>
                <w:highlight w:val="none"/>
              </w:rPr>
              <w:t>.游客服务</w:t>
            </w:r>
          </w:p>
        </w:tc>
        <w:tc>
          <w:tcPr>
            <w:tcW w:w="4646"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top"/>
          </w:tcPr>
          <w:p w14:paraId="56DC3D99">
            <w:pPr>
              <w:jc w:val="lef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8.1便民用品使用记录表</w:t>
            </w:r>
          </w:p>
        </w:tc>
        <w:tc>
          <w:tcPr>
            <w:tcW w:w="2720" w:type="dxa"/>
            <w:tcBorders>
              <w:top w:val="single" w:color="000000" w:sz="4" w:space="0"/>
              <w:left w:val="single" w:color="auto" w:sz="4" w:space="0"/>
              <w:bottom w:val="single" w:color="000000" w:sz="4" w:space="0"/>
              <w:right w:val="single" w:color="000000" w:sz="4" w:space="0"/>
            </w:tcBorders>
            <w:noWrap w:val="0"/>
            <w:tcMar>
              <w:top w:w="10" w:type="dxa"/>
              <w:left w:w="10" w:type="dxa"/>
              <w:right w:w="10" w:type="dxa"/>
            </w:tcMar>
            <w:vAlign w:val="center"/>
          </w:tcPr>
          <w:p w14:paraId="71CE2A9F">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70882ED8">
        <w:tblPrEx>
          <w:tblCellMar>
            <w:top w:w="0" w:type="dxa"/>
            <w:left w:w="0" w:type="dxa"/>
            <w:bottom w:w="0" w:type="dxa"/>
            <w:right w:w="0" w:type="dxa"/>
          </w:tblCellMar>
        </w:tblPrEx>
        <w:trPr>
          <w:trHeight w:val="60" w:hRule="atLeast"/>
          <w:jc w:val="center"/>
        </w:trPr>
        <w:tc>
          <w:tcPr>
            <w:tcW w:w="1281" w:type="dxa"/>
            <w:vMerge w:val="continue"/>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5F76B53C">
            <w:pPr>
              <w:widowControl/>
              <w:jc w:val="left"/>
              <w:textAlignment w:val="center"/>
              <w:rPr>
                <w:rFonts w:hint="eastAsia" w:ascii="宋体" w:hAnsi="宋体" w:eastAsia="宋体" w:cs="宋体"/>
                <w:b/>
                <w:bCs/>
                <w:color w:val="auto"/>
                <w:sz w:val="24"/>
                <w:szCs w:val="24"/>
                <w:highlight w:val="none"/>
              </w:rPr>
            </w:pPr>
          </w:p>
        </w:tc>
        <w:tc>
          <w:tcPr>
            <w:tcW w:w="4646"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top"/>
          </w:tcPr>
          <w:p w14:paraId="703C1CD6">
            <w:pPr>
              <w:jc w:val="left"/>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rPr>
              <w:t>8</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游客投诉建议处理表</w:t>
            </w:r>
          </w:p>
        </w:tc>
        <w:tc>
          <w:tcPr>
            <w:tcW w:w="2720" w:type="dxa"/>
            <w:tcBorders>
              <w:top w:val="single" w:color="000000" w:sz="4" w:space="0"/>
              <w:left w:val="single" w:color="auto" w:sz="4" w:space="0"/>
              <w:bottom w:val="single" w:color="000000" w:sz="4" w:space="0"/>
              <w:right w:val="single" w:color="000000" w:sz="4" w:space="0"/>
            </w:tcBorders>
            <w:noWrap w:val="0"/>
            <w:tcMar>
              <w:top w:w="10" w:type="dxa"/>
              <w:left w:w="10" w:type="dxa"/>
              <w:right w:w="10" w:type="dxa"/>
            </w:tcMar>
            <w:vAlign w:val="center"/>
          </w:tcPr>
          <w:p w14:paraId="0C25325D">
            <w:pPr>
              <w:ind w:firstLine="240" w:firstLineChars="100"/>
              <w:jc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rPr>
              <w:t>/</w:t>
            </w:r>
          </w:p>
        </w:tc>
      </w:tr>
      <w:tr w14:paraId="1F86C5CA">
        <w:tblPrEx>
          <w:tblCellMar>
            <w:top w:w="0" w:type="dxa"/>
            <w:left w:w="0" w:type="dxa"/>
            <w:bottom w:w="0" w:type="dxa"/>
            <w:right w:w="0" w:type="dxa"/>
          </w:tblCellMar>
        </w:tblPrEx>
        <w:trPr>
          <w:trHeight w:val="60" w:hRule="atLeast"/>
          <w:jc w:val="center"/>
        </w:trPr>
        <w:tc>
          <w:tcPr>
            <w:tcW w:w="1281" w:type="dxa"/>
            <w:vMerge w:val="continue"/>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0F8DE9BC">
            <w:pPr>
              <w:widowControl/>
              <w:jc w:val="left"/>
              <w:textAlignment w:val="center"/>
              <w:rPr>
                <w:rFonts w:hint="eastAsia" w:ascii="宋体" w:hAnsi="宋体" w:eastAsia="宋体" w:cs="宋体"/>
                <w:b/>
                <w:bCs/>
                <w:color w:val="auto"/>
                <w:sz w:val="24"/>
                <w:szCs w:val="24"/>
                <w:highlight w:val="none"/>
              </w:rPr>
            </w:pPr>
          </w:p>
        </w:tc>
        <w:tc>
          <w:tcPr>
            <w:tcW w:w="4646"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top"/>
          </w:tcPr>
          <w:p w14:paraId="13B504B8">
            <w:pPr>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8</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游客服务中心拾物登记表</w:t>
            </w:r>
          </w:p>
        </w:tc>
        <w:tc>
          <w:tcPr>
            <w:tcW w:w="2720" w:type="dxa"/>
            <w:tcBorders>
              <w:top w:val="single" w:color="000000" w:sz="4" w:space="0"/>
              <w:left w:val="single" w:color="auto" w:sz="4" w:space="0"/>
              <w:bottom w:val="single" w:color="000000" w:sz="4" w:space="0"/>
              <w:right w:val="single" w:color="000000" w:sz="4" w:space="0"/>
            </w:tcBorders>
            <w:noWrap w:val="0"/>
            <w:tcMar>
              <w:top w:w="10" w:type="dxa"/>
              <w:left w:w="10" w:type="dxa"/>
              <w:right w:w="10" w:type="dxa"/>
            </w:tcMar>
            <w:vAlign w:val="center"/>
          </w:tcPr>
          <w:p w14:paraId="24CB990C">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781FC46F">
        <w:tblPrEx>
          <w:tblCellMar>
            <w:top w:w="0" w:type="dxa"/>
            <w:left w:w="0" w:type="dxa"/>
            <w:bottom w:w="0" w:type="dxa"/>
            <w:right w:w="0" w:type="dxa"/>
          </w:tblCellMar>
        </w:tblPrEx>
        <w:trPr>
          <w:trHeight w:val="60" w:hRule="atLeast"/>
          <w:jc w:val="center"/>
        </w:trPr>
        <w:tc>
          <w:tcPr>
            <w:tcW w:w="1281" w:type="dxa"/>
            <w:vMerge w:val="continue"/>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0A3999A1">
            <w:pPr>
              <w:widowControl/>
              <w:jc w:val="left"/>
              <w:textAlignment w:val="center"/>
              <w:rPr>
                <w:rFonts w:hint="eastAsia" w:ascii="宋体" w:hAnsi="宋体" w:eastAsia="宋体" w:cs="宋体"/>
                <w:b/>
                <w:bCs/>
                <w:color w:val="auto"/>
                <w:sz w:val="24"/>
                <w:szCs w:val="24"/>
                <w:highlight w:val="none"/>
              </w:rPr>
            </w:pPr>
          </w:p>
        </w:tc>
        <w:tc>
          <w:tcPr>
            <w:tcW w:w="4646"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top"/>
          </w:tcPr>
          <w:p w14:paraId="275BDBD3">
            <w:pPr>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8</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游客服务中心工作记录月报表</w:t>
            </w:r>
          </w:p>
        </w:tc>
        <w:tc>
          <w:tcPr>
            <w:tcW w:w="2720" w:type="dxa"/>
            <w:tcBorders>
              <w:top w:val="single" w:color="000000" w:sz="4" w:space="0"/>
              <w:left w:val="single" w:color="auto" w:sz="4" w:space="0"/>
              <w:bottom w:val="single" w:color="000000" w:sz="4" w:space="0"/>
              <w:right w:val="single" w:color="000000" w:sz="4" w:space="0"/>
            </w:tcBorders>
            <w:noWrap w:val="0"/>
            <w:tcMar>
              <w:top w:w="10" w:type="dxa"/>
              <w:left w:w="10" w:type="dxa"/>
              <w:right w:w="10" w:type="dxa"/>
            </w:tcMar>
            <w:vAlign w:val="center"/>
          </w:tcPr>
          <w:p w14:paraId="05FFF44B">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2D980DF7">
        <w:tblPrEx>
          <w:tblCellMar>
            <w:top w:w="0" w:type="dxa"/>
            <w:left w:w="0" w:type="dxa"/>
            <w:bottom w:w="0" w:type="dxa"/>
            <w:right w:w="0" w:type="dxa"/>
          </w:tblCellMar>
        </w:tblPrEx>
        <w:trPr>
          <w:trHeight w:val="60" w:hRule="atLeast"/>
          <w:jc w:val="center"/>
        </w:trPr>
        <w:tc>
          <w:tcPr>
            <w:tcW w:w="1281" w:type="dxa"/>
            <w:vMerge w:val="continue"/>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4CDDF550">
            <w:pPr>
              <w:widowControl/>
              <w:jc w:val="left"/>
              <w:textAlignment w:val="center"/>
              <w:rPr>
                <w:rFonts w:hint="eastAsia" w:ascii="宋体" w:hAnsi="宋体" w:eastAsia="宋体" w:cs="宋体"/>
                <w:b/>
                <w:bCs/>
                <w:color w:val="auto"/>
                <w:sz w:val="24"/>
                <w:szCs w:val="24"/>
                <w:highlight w:val="none"/>
              </w:rPr>
            </w:pPr>
          </w:p>
        </w:tc>
        <w:tc>
          <w:tcPr>
            <w:tcW w:w="4646"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top"/>
          </w:tcPr>
          <w:p w14:paraId="24944EB5">
            <w:pPr>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8</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rPr>
              <w:t>游客投诉处理流程</w:t>
            </w:r>
          </w:p>
        </w:tc>
        <w:tc>
          <w:tcPr>
            <w:tcW w:w="2720" w:type="dxa"/>
            <w:tcBorders>
              <w:top w:val="single" w:color="000000" w:sz="4" w:space="0"/>
              <w:left w:val="single" w:color="auto" w:sz="4" w:space="0"/>
              <w:bottom w:val="single" w:color="000000" w:sz="4" w:space="0"/>
              <w:right w:val="single" w:color="000000" w:sz="4" w:space="0"/>
            </w:tcBorders>
            <w:noWrap w:val="0"/>
            <w:tcMar>
              <w:top w:w="10" w:type="dxa"/>
              <w:left w:w="10" w:type="dxa"/>
              <w:right w:w="10" w:type="dxa"/>
            </w:tcMar>
            <w:vAlign w:val="center"/>
          </w:tcPr>
          <w:p w14:paraId="4A78C6D3">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0DE912D2">
        <w:tblPrEx>
          <w:tblCellMar>
            <w:top w:w="0" w:type="dxa"/>
            <w:left w:w="0" w:type="dxa"/>
            <w:bottom w:w="0" w:type="dxa"/>
            <w:right w:w="0" w:type="dxa"/>
          </w:tblCellMar>
        </w:tblPrEx>
        <w:trPr>
          <w:trHeight w:val="60" w:hRule="atLeast"/>
          <w:jc w:val="center"/>
        </w:trPr>
        <w:tc>
          <w:tcPr>
            <w:tcW w:w="1281" w:type="dxa"/>
            <w:vMerge w:val="restart"/>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48EC689F">
            <w:pPr>
              <w:widowControl/>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9</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eastAsia="zh-CN"/>
              </w:rPr>
              <w:t>设施</w:t>
            </w:r>
            <w:r>
              <w:rPr>
                <w:rFonts w:hint="eastAsia" w:ascii="宋体" w:hAnsi="宋体" w:eastAsia="宋体" w:cs="宋体"/>
                <w:b/>
                <w:bCs/>
                <w:color w:val="auto"/>
                <w:sz w:val="24"/>
                <w:szCs w:val="24"/>
                <w:highlight w:val="none"/>
              </w:rPr>
              <w:t>维护</w:t>
            </w:r>
          </w:p>
        </w:tc>
        <w:tc>
          <w:tcPr>
            <w:tcW w:w="4646"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top"/>
          </w:tcPr>
          <w:p w14:paraId="1BBF0A9C">
            <w:pPr>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9</w:t>
            </w: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eastAsia="zh-CN"/>
              </w:rPr>
              <w:t>各类设施检查记录，并按要求填写设施巡检记录表。</w:t>
            </w:r>
          </w:p>
        </w:tc>
        <w:tc>
          <w:tcPr>
            <w:tcW w:w="2720" w:type="dxa"/>
            <w:tcBorders>
              <w:top w:val="single" w:color="000000" w:sz="4" w:space="0"/>
              <w:left w:val="single" w:color="auto" w:sz="4" w:space="0"/>
              <w:bottom w:val="single" w:color="000000" w:sz="4" w:space="0"/>
              <w:right w:val="single" w:color="000000" w:sz="4" w:space="0"/>
            </w:tcBorders>
            <w:noWrap w:val="0"/>
            <w:tcMar>
              <w:top w:w="10" w:type="dxa"/>
              <w:left w:w="10" w:type="dxa"/>
              <w:right w:w="10" w:type="dxa"/>
            </w:tcMar>
            <w:vAlign w:val="center"/>
          </w:tcPr>
          <w:p w14:paraId="3223AF9C">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57248BF8">
        <w:tblPrEx>
          <w:tblCellMar>
            <w:top w:w="0" w:type="dxa"/>
            <w:left w:w="0" w:type="dxa"/>
            <w:bottom w:w="0" w:type="dxa"/>
            <w:right w:w="0" w:type="dxa"/>
          </w:tblCellMar>
        </w:tblPrEx>
        <w:trPr>
          <w:trHeight w:val="274" w:hRule="atLeast"/>
          <w:jc w:val="center"/>
        </w:trPr>
        <w:tc>
          <w:tcPr>
            <w:tcW w:w="1281" w:type="dxa"/>
            <w:vMerge w:val="continue"/>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18E7C151">
            <w:pPr>
              <w:widowControl/>
              <w:jc w:val="left"/>
              <w:textAlignment w:val="center"/>
              <w:rPr>
                <w:rFonts w:hint="eastAsia" w:ascii="宋体" w:hAnsi="宋体" w:eastAsia="宋体" w:cs="宋体"/>
                <w:b/>
                <w:bCs/>
                <w:color w:val="auto"/>
                <w:sz w:val="24"/>
                <w:szCs w:val="24"/>
                <w:highlight w:val="none"/>
              </w:rPr>
            </w:pPr>
          </w:p>
        </w:tc>
        <w:tc>
          <w:tcPr>
            <w:tcW w:w="4646"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top"/>
          </w:tcPr>
          <w:p w14:paraId="1406CF72">
            <w:pPr>
              <w:jc w:val="left"/>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rPr>
              <w:t>9</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lang w:eastAsia="zh-CN"/>
              </w:rPr>
              <w:t>设施维护</w:t>
            </w:r>
            <w:r>
              <w:rPr>
                <w:rFonts w:hint="eastAsia" w:ascii="宋体" w:hAnsi="宋体" w:eastAsia="宋体" w:cs="宋体"/>
                <w:bCs/>
                <w:color w:val="auto"/>
                <w:sz w:val="24"/>
                <w:szCs w:val="24"/>
                <w:highlight w:val="none"/>
              </w:rPr>
              <w:t>处理</w:t>
            </w:r>
            <w:r>
              <w:rPr>
                <w:rFonts w:hint="eastAsia" w:ascii="宋体" w:hAnsi="宋体" w:eastAsia="宋体" w:cs="宋体"/>
                <w:bCs/>
                <w:color w:val="auto"/>
                <w:sz w:val="24"/>
                <w:szCs w:val="24"/>
                <w:highlight w:val="none"/>
                <w:lang w:eastAsia="zh-CN"/>
              </w:rPr>
              <w:t>记录</w:t>
            </w:r>
            <w:r>
              <w:rPr>
                <w:rFonts w:hint="eastAsia" w:ascii="宋体" w:hAnsi="宋体" w:eastAsia="宋体" w:cs="宋体"/>
                <w:bCs/>
                <w:color w:val="auto"/>
                <w:sz w:val="24"/>
                <w:szCs w:val="24"/>
                <w:highlight w:val="none"/>
              </w:rPr>
              <w:t>（维护前、中、后对比照片，照片需留时间水印）</w:t>
            </w:r>
          </w:p>
        </w:tc>
        <w:tc>
          <w:tcPr>
            <w:tcW w:w="2720" w:type="dxa"/>
            <w:tcBorders>
              <w:top w:val="single" w:color="000000" w:sz="4" w:space="0"/>
              <w:left w:val="single" w:color="auto" w:sz="4" w:space="0"/>
              <w:bottom w:val="single" w:color="000000" w:sz="4" w:space="0"/>
              <w:right w:val="single" w:color="000000" w:sz="4" w:space="0"/>
            </w:tcBorders>
            <w:noWrap w:val="0"/>
            <w:tcMar>
              <w:top w:w="10" w:type="dxa"/>
              <w:left w:w="10" w:type="dxa"/>
              <w:right w:w="10" w:type="dxa"/>
            </w:tcMar>
            <w:vAlign w:val="center"/>
          </w:tcPr>
          <w:p w14:paraId="03760E57">
            <w:pPr>
              <w:ind w:firstLine="240" w:firstLineChars="100"/>
              <w:jc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rPr>
              <w:t>/</w:t>
            </w:r>
          </w:p>
        </w:tc>
      </w:tr>
      <w:tr w14:paraId="71A12C06">
        <w:tblPrEx>
          <w:tblCellMar>
            <w:top w:w="0" w:type="dxa"/>
            <w:left w:w="0" w:type="dxa"/>
            <w:bottom w:w="0" w:type="dxa"/>
            <w:right w:w="0" w:type="dxa"/>
          </w:tblCellMar>
        </w:tblPrEx>
        <w:trPr>
          <w:trHeight w:val="315" w:hRule="atLeast"/>
          <w:jc w:val="center"/>
        </w:trPr>
        <w:tc>
          <w:tcPr>
            <w:tcW w:w="1281" w:type="dxa"/>
            <w:vMerge w:val="restart"/>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0C9B2E29">
            <w:pPr>
              <w:widowControl/>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10</w:t>
            </w:r>
            <w:r>
              <w:rPr>
                <w:rFonts w:hint="eastAsia" w:ascii="宋体" w:hAnsi="宋体" w:eastAsia="宋体" w:cs="宋体"/>
                <w:b/>
                <w:bCs/>
                <w:color w:val="auto"/>
                <w:sz w:val="24"/>
                <w:szCs w:val="24"/>
                <w:highlight w:val="none"/>
              </w:rPr>
              <w:t>.节日氛围营造</w:t>
            </w:r>
          </w:p>
        </w:tc>
        <w:tc>
          <w:tcPr>
            <w:tcW w:w="4646"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top"/>
          </w:tcPr>
          <w:p w14:paraId="035B5338">
            <w:pPr>
              <w:jc w:val="left"/>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rPr>
              <w:t>10</w:t>
            </w: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eastAsia="zh-CN"/>
              </w:rPr>
              <w:t>节日氛围布置</w:t>
            </w:r>
            <w:r>
              <w:rPr>
                <w:rFonts w:hint="eastAsia" w:ascii="宋体" w:hAnsi="宋体" w:eastAsia="宋体" w:cs="宋体"/>
                <w:bCs/>
                <w:color w:val="auto"/>
                <w:sz w:val="24"/>
                <w:szCs w:val="24"/>
                <w:highlight w:val="none"/>
              </w:rPr>
              <w:t>方案的相关资料</w:t>
            </w:r>
          </w:p>
        </w:tc>
        <w:tc>
          <w:tcPr>
            <w:tcW w:w="2720" w:type="dxa"/>
            <w:tcBorders>
              <w:top w:val="single" w:color="000000" w:sz="4" w:space="0"/>
              <w:left w:val="single" w:color="auto" w:sz="4" w:space="0"/>
              <w:bottom w:val="single" w:color="000000" w:sz="4" w:space="0"/>
              <w:right w:val="single" w:color="000000" w:sz="4" w:space="0"/>
            </w:tcBorders>
            <w:noWrap w:val="0"/>
            <w:tcMar>
              <w:top w:w="10" w:type="dxa"/>
              <w:left w:w="10" w:type="dxa"/>
              <w:right w:w="10" w:type="dxa"/>
            </w:tcMar>
            <w:vAlign w:val="center"/>
          </w:tcPr>
          <w:p w14:paraId="35468CD2">
            <w:pPr>
              <w:ind w:firstLine="240" w:firstLineChars="100"/>
              <w:jc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rPr>
              <w:t>/</w:t>
            </w:r>
          </w:p>
        </w:tc>
      </w:tr>
      <w:tr w14:paraId="47E4995D">
        <w:tblPrEx>
          <w:tblCellMar>
            <w:top w:w="0" w:type="dxa"/>
            <w:left w:w="0" w:type="dxa"/>
            <w:bottom w:w="0" w:type="dxa"/>
            <w:right w:w="0" w:type="dxa"/>
          </w:tblCellMar>
        </w:tblPrEx>
        <w:trPr>
          <w:trHeight w:val="315" w:hRule="atLeast"/>
          <w:jc w:val="center"/>
        </w:trPr>
        <w:tc>
          <w:tcPr>
            <w:tcW w:w="1281" w:type="dxa"/>
            <w:vMerge w:val="continue"/>
            <w:tcBorders>
              <w:top w:val="single" w:color="auto" w:sz="4" w:space="0"/>
              <w:left w:val="single" w:color="auto" w:sz="4" w:space="0"/>
              <w:bottom w:val="single" w:color="000000" w:sz="4" w:space="0"/>
              <w:right w:val="single" w:color="000000" w:sz="4" w:space="0"/>
            </w:tcBorders>
            <w:noWrap w:val="0"/>
            <w:tcMar>
              <w:top w:w="10" w:type="dxa"/>
              <w:left w:w="10" w:type="dxa"/>
              <w:right w:w="10" w:type="dxa"/>
            </w:tcMar>
            <w:vAlign w:val="center"/>
          </w:tcPr>
          <w:p w14:paraId="21802689">
            <w:pPr>
              <w:widowControl/>
              <w:jc w:val="left"/>
              <w:textAlignment w:val="center"/>
              <w:rPr>
                <w:rFonts w:hint="eastAsia" w:ascii="宋体" w:hAnsi="宋体" w:eastAsia="宋体" w:cs="宋体"/>
                <w:b/>
                <w:bCs/>
                <w:color w:val="auto"/>
                <w:sz w:val="24"/>
                <w:szCs w:val="24"/>
                <w:highlight w:val="none"/>
              </w:rPr>
            </w:pPr>
          </w:p>
        </w:tc>
        <w:tc>
          <w:tcPr>
            <w:tcW w:w="4646" w:type="dxa"/>
            <w:tcBorders>
              <w:top w:val="single" w:color="auto" w:sz="4" w:space="0"/>
              <w:left w:val="single" w:color="000000" w:sz="4" w:space="0"/>
              <w:bottom w:val="single" w:color="000000" w:sz="4" w:space="0"/>
              <w:right w:val="single" w:color="000000" w:sz="4" w:space="0"/>
            </w:tcBorders>
            <w:noWrap w:val="0"/>
            <w:tcMar>
              <w:top w:w="10" w:type="dxa"/>
              <w:left w:w="10" w:type="dxa"/>
              <w:right w:w="10" w:type="dxa"/>
            </w:tcMar>
            <w:vAlign w:val="top"/>
          </w:tcPr>
          <w:p w14:paraId="5773517D">
            <w:pPr>
              <w:jc w:val="left"/>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rPr>
              <w:t>10</w:t>
            </w:r>
            <w:r>
              <w:rPr>
                <w:rFonts w:hint="eastAsia" w:ascii="宋体" w:hAnsi="宋体" w:eastAsia="宋体" w:cs="宋体"/>
                <w:bCs/>
                <w:color w:val="auto"/>
                <w:sz w:val="24"/>
                <w:szCs w:val="24"/>
                <w:highlight w:val="none"/>
              </w:rPr>
              <w:t>.2开展</w:t>
            </w:r>
            <w:r>
              <w:rPr>
                <w:rFonts w:hint="eastAsia" w:ascii="宋体" w:hAnsi="宋体" w:eastAsia="宋体" w:cs="宋体"/>
                <w:bCs/>
                <w:color w:val="auto"/>
                <w:sz w:val="24"/>
                <w:szCs w:val="24"/>
                <w:highlight w:val="none"/>
                <w:lang w:eastAsia="zh-CN"/>
              </w:rPr>
              <w:t>节日</w:t>
            </w:r>
            <w:r>
              <w:rPr>
                <w:rFonts w:hint="eastAsia" w:ascii="宋体" w:hAnsi="宋体" w:eastAsia="宋体" w:cs="宋体"/>
                <w:bCs/>
                <w:color w:val="auto"/>
                <w:sz w:val="24"/>
                <w:szCs w:val="24"/>
                <w:highlight w:val="none"/>
              </w:rPr>
              <w:t>氛围布置的影像资料</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9DB3DE8">
            <w:pPr>
              <w:ind w:firstLine="240" w:firstLineChars="100"/>
              <w:jc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rPr>
              <w:t>/</w:t>
            </w:r>
          </w:p>
        </w:tc>
      </w:tr>
      <w:tr w14:paraId="52ECD728">
        <w:tblPrEx>
          <w:tblCellMar>
            <w:top w:w="0" w:type="dxa"/>
            <w:left w:w="0" w:type="dxa"/>
            <w:bottom w:w="0" w:type="dxa"/>
            <w:right w:w="0" w:type="dxa"/>
          </w:tblCellMar>
        </w:tblPrEx>
        <w:trPr>
          <w:trHeight w:val="60" w:hRule="atLeast"/>
          <w:jc w:val="center"/>
        </w:trPr>
        <w:tc>
          <w:tcPr>
            <w:tcW w:w="1281" w:type="dxa"/>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14:paraId="5513CBEF">
            <w:pPr>
              <w:widowControl/>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11</w:t>
            </w:r>
            <w:r>
              <w:rPr>
                <w:rFonts w:hint="eastAsia" w:ascii="宋体" w:hAnsi="宋体" w:eastAsia="宋体" w:cs="宋体"/>
                <w:b/>
                <w:bCs/>
                <w:color w:val="auto"/>
                <w:sz w:val="24"/>
                <w:szCs w:val="24"/>
                <w:highlight w:val="none"/>
              </w:rPr>
              <w:t>.应急预案体系</w:t>
            </w: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FBFE10D">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.1公园综合应急预案</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D18F328">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574BB45D">
        <w:tblPrEx>
          <w:tblCellMar>
            <w:top w:w="0" w:type="dxa"/>
            <w:left w:w="0" w:type="dxa"/>
            <w:bottom w:w="0" w:type="dxa"/>
            <w:right w:w="0" w:type="dxa"/>
          </w:tblCellMar>
        </w:tblPrEx>
        <w:trPr>
          <w:trHeight w:val="60" w:hRule="atLeast"/>
          <w:jc w:val="center"/>
        </w:trPr>
        <w:tc>
          <w:tcPr>
            <w:tcW w:w="1281" w:type="dxa"/>
            <w:vMerge w:val="continue"/>
            <w:tcBorders>
              <w:left w:val="single" w:color="000000" w:sz="4" w:space="0"/>
              <w:right w:val="single" w:color="000000" w:sz="4" w:space="0"/>
            </w:tcBorders>
            <w:noWrap w:val="0"/>
            <w:tcMar>
              <w:top w:w="10" w:type="dxa"/>
              <w:left w:w="10" w:type="dxa"/>
              <w:right w:w="10" w:type="dxa"/>
            </w:tcMar>
            <w:vAlign w:val="center"/>
          </w:tcPr>
          <w:p w14:paraId="01781BED">
            <w:pPr>
              <w:jc w:val="center"/>
              <w:rPr>
                <w:rFonts w:hint="eastAsia" w:ascii="宋体" w:hAnsi="宋体" w:eastAsia="宋体" w:cs="宋体"/>
                <w:b/>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F341557">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eastAsia="zh-CN"/>
              </w:rPr>
              <w:t>防台防汛</w:t>
            </w:r>
            <w:r>
              <w:rPr>
                <w:rFonts w:hint="eastAsia" w:ascii="宋体" w:hAnsi="宋体" w:eastAsia="宋体" w:cs="宋体"/>
                <w:bCs/>
                <w:color w:val="auto"/>
                <w:sz w:val="24"/>
                <w:szCs w:val="24"/>
                <w:highlight w:val="none"/>
              </w:rPr>
              <w:t>专项预案</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DA1370F">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5BB18D97">
        <w:tblPrEx>
          <w:tblCellMar>
            <w:top w:w="0" w:type="dxa"/>
            <w:left w:w="0" w:type="dxa"/>
            <w:bottom w:w="0" w:type="dxa"/>
            <w:right w:w="0" w:type="dxa"/>
          </w:tblCellMar>
        </w:tblPrEx>
        <w:trPr>
          <w:trHeight w:val="324" w:hRule="atLeast"/>
          <w:jc w:val="center"/>
        </w:trPr>
        <w:tc>
          <w:tcPr>
            <w:tcW w:w="1281" w:type="dxa"/>
            <w:vMerge w:val="continue"/>
            <w:tcBorders>
              <w:left w:val="single" w:color="000000" w:sz="4" w:space="0"/>
              <w:right w:val="single" w:color="000000" w:sz="4" w:space="0"/>
            </w:tcBorders>
            <w:noWrap w:val="0"/>
            <w:tcMar>
              <w:top w:w="10" w:type="dxa"/>
              <w:left w:w="10" w:type="dxa"/>
              <w:right w:w="10" w:type="dxa"/>
            </w:tcMar>
            <w:vAlign w:val="center"/>
          </w:tcPr>
          <w:p w14:paraId="048A06AE">
            <w:pPr>
              <w:jc w:val="center"/>
              <w:rPr>
                <w:rFonts w:hint="eastAsia" w:ascii="宋体" w:hAnsi="宋体" w:eastAsia="宋体" w:cs="宋体"/>
                <w:b/>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D8F5EC2">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eastAsia="zh-CN"/>
              </w:rPr>
              <w:t>雨雪冰冻</w:t>
            </w:r>
            <w:r>
              <w:rPr>
                <w:rFonts w:hint="eastAsia" w:ascii="宋体" w:hAnsi="宋体" w:eastAsia="宋体" w:cs="宋体"/>
                <w:bCs/>
                <w:color w:val="auto"/>
                <w:sz w:val="24"/>
                <w:szCs w:val="24"/>
                <w:highlight w:val="none"/>
              </w:rPr>
              <w:t>专项预案</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934E16C">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2522EDEC">
        <w:tblPrEx>
          <w:tblCellMar>
            <w:top w:w="0" w:type="dxa"/>
            <w:left w:w="0" w:type="dxa"/>
            <w:bottom w:w="0" w:type="dxa"/>
            <w:right w:w="0" w:type="dxa"/>
          </w:tblCellMar>
        </w:tblPrEx>
        <w:trPr>
          <w:trHeight w:val="60" w:hRule="atLeast"/>
          <w:jc w:val="center"/>
        </w:trPr>
        <w:tc>
          <w:tcPr>
            <w:tcW w:w="1281" w:type="dxa"/>
            <w:vMerge w:val="continue"/>
            <w:tcBorders>
              <w:left w:val="single" w:color="000000" w:sz="4" w:space="0"/>
              <w:right w:val="single" w:color="000000" w:sz="4" w:space="0"/>
            </w:tcBorders>
            <w:noWrap w:val="0"/>
            <w:tcMar>
              <w:top w:w="10" w:type="dxa"/>
              <w:left w:w="10" w:type="dxa"/>
              <w:right w:w="10" w:type="dxa"/>
            </w:tcMar>
            <w:vAlign w:val="center"/>
          </w:tcPr>
          <w:p w14:paraId="717E00F6">
            <w:pPr>
              <w:jc w:val="center"/>
              <w:rPr>
                <w:rFonts w:hint="eastAsia" w:ascii="宋体" w:hAnsi="宋体" w:eastAsia="宋体" w:cs="宋体"/>
                <w:b/>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256B1B4">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.4公共卫生专项预案</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3511C00">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48D05FD7">
        <w:tblPrEx>
          <w:tblCellMar>
            <w:top w:w="0" w:type="dxa"/>
            <w:left w:w="0" w:type="dxa"/>
            <w:bottom w:w="0" w:type="dxa"/>
            <w:right w:w="0" w:type="dxa"/>
          </w:tblCellMar>
        </w:tblPrEx>
        <w:trPr>
          <w:trHeight w:val="60" w:hRule="atLeast"/>
          <w:jc w:val="center"/>
        </w:trPr>
        <w:tc>
          <w:tcPr>
            <w:tcW w:w="1281" w:type="dxa"/>
            <w:vMerge w:val="continue"/>
            <w:tcBorders>
              <w:left w:val="single" w:color="000000" w:sz="4" w:space="0"/>
              <w:right w:val="single" w:color="000000" w:sz="4" w:space="0"/>
            </w:tcBorders>
            <w:noWrap w:val="0"/>
            <w:tcMar>
              <w:top w:w="10" w:type="dxa"/>
              <w:left w:w="10" w:type="dxa"/>
              <w:right w:w="10" w:type="dxa"/>
            </w:tcMar>
            <w:vAlign w:val="center"/>
          </w:tcPr>
          <w:p w14:paraId="19C29667">
            <w:pPr>
              <w:jc w:val="center"/>
              <w:rPr>
                <w:rFonts w:hint="eastAsia" w:ascii="宋体" w:hAnsi="宋体" w:eastAsia="宋体" w:cs="宋体"/>
                <w:b/>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6427A31">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.5社会安全专项预案</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58B8611">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7EA683C0">
        <w:tblPrEx>
          <w:tblCellMar>
            <w:top w:w="0" w:type="dxa"/>
            <w:left w:w="0" w:type="dxa"/>
            <w:bottom w:w="0" w:type="dxa"/>
            <w:right w:w="0" w:type="dxa"/>
          </w:tblCellMar>
        </w:tblPrEx>
        <w:trPr>
          <w:trHeight w:val="60" w:hRule="atLeast"/>
          <w:jc w:val="center"/>
        </w:trPr>
        <w:tc>
          <w:tcPr>
            <w:tcW w:w="1281" w:type="dxa"/>
            <w:vMerge w:val="continue"/>
            <w:tcBorders>
              <w:left w:val="single" w:color="000000" w:sz="4" w:space="0"/>
              <w:bottom w:val="single" w:color="auto" w:sz="4" w:space="0"/>
              <w:right w:val="single" w:color="000000" w:sz="4" w:space="0"/>
            </w:tcBorders>
            <w:noWrap w:val="0"/>
            <w:tcMar>
              <w:top w:w="10" w:type="dxa"/>
              <w:left w:w="10" w:type="dxa"/>
              <w:right w:w="10" w:type="dxa"/>
            </w:tcMar>
            <w:vAlign w:val="center"/>
          </w:tcPr>
          <w:p w14:paraId="0B0B3440">
            <w:pPr>
              <w:jc w:val="center"/>
              <w:rPr>
                <w:rFonts w:hint="eastAsia" w:ascii="宋体" w:hAnsi="宋体" w:eastAsia="宋体" w:cs="宋体"/>
                <w:b/>
                <w:color w:val="auto"/>
                <w:sz w:val="24"/>
                <w:szCs w:val="24"/>
                <w:highlight w:val="none"/>
              </w:rPr>
            </w:pPr>
          </w:p>
        </w:tc>
        <w:tc>
          <w:tcPr>
            <w:tcW w:w="4646"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6C464316">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.6游乐设施专项预案</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9AEC05D">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62FA6771">
        <w:tblPrEx>
          <w:tblCellMar>
            <w:top w:w="0" w:type="dxa"/>
            <w:left w:w="0" w:type="dxa"/>
            <w:bottom w:w="0" w:type="dxa"/>
            <w:right w:w="0" w:type="dxa"/>
          </w:tblCellMar>
        </w:tblPrEx>
        <w:trPr>
          <w:trHeight w:val="60" w:hRule="atLeast"/>
          <w:jc w:val="center"/>
        </w:trPr>
        <w:tc>
          <w:tcPr>
            <w:tcW w:w="1281" w:type="dxa"/>
            <w:vMerge w:val="restart"/>
            <w:tcBorders>
              <w:top w:val="single" w:color="000000" w:sz="4" w:space="0"/>
              <w:left w:val="single" w:color="auto" w:sz="4" w:space="0"/>
              <w:bottom w:val="single" w:color="auto" w:sz="4" w:space="0"/>
              <w:right w:val="single" w:color="000000" w:sz="4" w:space="0"/>
            </w:tcBorders>
            <w:noWrap w:val="0"/>
            <w:tcMar>
              <w:top w:w="10" w:type="dxa"/>
              <w:left w:w="10" w:type="dxa"/>
              <w:right w:w="10" w:type="dxa"/>
            </w:tcMar>
            <w:vAlign w:val="center"/>
          </w:tcPr>
          <w:p w14:paraId="303A1ADA">
            <w:pPr>
              <w:widowControl/>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.培训及演练台账</w:t>
            </w:r>
          </w:p>
        </w:tc>
        <w:tc>
          <w:tcPr>
            <w:tcW w:w="4646" w:type="dxa"/>
            <w:tcBorders>
              <w:top w:val="single" w:color="000000" w:sz="4" w:space="0"/>
              <w:left w:val="single" w:color="000000" w:sz="4" w:space="0"/>
              <w:bottom w:val="single" w:color="auto" w:sz="4" w:space="0"/>
              <w:right w:val="single" w:color="auto" w:sz="4" w:space="0"/>
            </w:tcBorders>
            <w:noWrap w:val="0"/>
            <w:tcMar>
              <w:top w:w="10" w:type="dxa"/>
              <w:left w:w="10" w:type="dxa"/>
              <w:right w:w="10" w:type="dxa"/>
            </w:tcMar>
            <w:vAlign w:val="center"/>
          </w:tcPr>
          <w:p w14:paraId="2680F9D5">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.1员工安全教育培训考核记录</w:t>
            </w:r>
          </w:p>
        </w:tc>
        <w:tc>
          <w:tcPr>
            <w:tcW w:w="2720" w:type="dxa"/>
            <w:tcBorders>
              <w:top w:val="single" w:color="000000" w:sz="4" w:space="0"/>
              <w:left w:val="single" w:color="auto" w:sz="4" w:space="0"/>
              <w:bottom w:val="single" w:color="000000" w:sz="4" w:space="0"/>
              <w:right w:val="single" w:color="000000" w:sz="4" w:space="0"/>
            </w:tcBorders>
            <w:noWrap w:val="0"/>
            <w:tcMar>
              <w:top w:w="10" w:type="dxa"/>
              <w:left w:w="10" w:type="dxa"/>
              <w:right w:w="10" w:type="dxa"/>
            </w:tcMar>
            <w:vAlign w:val="center"/>
          </w:tcPr>
          <w:p w14:paraId="27E6B3C7">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53D17CFD">
        <w:tblPrEx>
          <w:tblCellMar>
            <w:top w:w="0" w:type="dxa"/>
            <w:left w:w="0" w:type="dxa"/>
            <w:bottom w:w="0" w:type="dxa"/>
            <w:right w:w="0" w:type="dxa"/>
          </w:tblCellMar>
        </w:tblPrEx>
        <w:trPr>
          <w:trHeight w:val="60" w:hRule="atLeast"/>
          <w:jc w:val="center"/>
        </w:trPr>
        <w:tc>
          <w:tcPr>
            <w:tcW w:w="1281" w:type="dxa"/>
            <w:vMerge w:val="continue"/>
            <w:tcBorders>
              <w:top w:val="single" w:color="auto" w:sz="4" w:space="0"/>
              <w:left w:val="single" w:color="auto" w:sz="4" w:space="0"/>
              <w:right w:val="single" w:color="000000" w:sz="4" w:space="0"/>
            </w:tcBorders>
            <w:noWrap w:val="0"/>
            <w:tcMar>
              <w:top w:w="10" w:type="dxa"/>
              <w:left w:w="10" w:type="dxa"/>
              <w:right w:w="10" w:type="dxa"/>
            </w:tcMar>
            <w:vAlign w:val="center"/>
          </w:tcPr>
          <w:p w14:paraId="7862E37C">
            <w:pPr>
              <w:widowControl/>
              <w:jc w:val="left"/>
              <w:textAlignment w:val="center"/>
              <w:rPr>
                <w:rFonts w:hint="eastAsia" w:ascii="宋体" w:hAnsi="宋体" w:eastAsia="宋体" w:cs="宋体"/>
                <w:b/>
                <w:bCs/>
                <w:color w:val="auto"/>
                <w:sz w:val="24"/>
                <w:szCs w:val="24"/>
                <w:highlight w:val="none"/>
              </w:rPr>
            </w:pPr>
          </w:p>
        </w:tc>
        <w:tc>
          <w:tcPr>
            <w:tcW w:w="4646" w:type="dxa"/>
            <w:tcBorders>
              <w:top w:val="single" w:color="auto"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C099EC6">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.2应急演练台账</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EB6ACE3">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2CCEB376">
        <w:tblPrEx>
          <w:tblCellMar>
            <w:top w:w="0" w:type="dxa"/>
            <w:left w:w="0" w:type="dxa"/>
            <w:bottom w:w="0" w:type="dxa"/>
            <w:right w:w="0" w:type="dxa"/>
          </w:tblCellMar>
        </w:tblPrEx>
        <w:trPr>
          <w:trHeight w:val="60" w:hRule="atLeast"/>
          <w:jc w:val="center"/>
        </w:trPr>
        <w:tc>
          <w:tcPr>
            <w:tcW w:w="1281" w:type="dxa"/>
            <w:vMerge w:val="continue"/>
            <w:tcBorders>
              <w:left w:val="single" w:color="auto" w:sz="4" w:space="0"/>
              <w:bottom w:val="single" w:color="000000" w:sz="4" w:space="0"/>
              <w:right w:val="single" w:color="000000" w:sz="4" w:space="0"/>
            </w:tcBorders>
            <w:noWrap w:val="0"/>
            <w:tcMar>
              <w:top w:w="10" w:type="dxa"/>
              <w:left w:w="10" w:type="dxa"/>
              <w:right w:w="10" w:type="dxa"/>
            </w:tcMar>
            <w:vAlign w:val="center"/>
          </w:tcPr>
          <w:p w14:paraId="321FFE12">
            <w:pPr>
              <w:widowControl/>
              <w:jc w:val="left"/>
              <w:textAlignment w:val="center"/>
              <w:rPr>
                <w:rFonts w:hint="eastAsia" w:ascii="宋体" w:hAnsi="宋体" w:eastAsia="宋体" w:cs="宋体"/>
                <w:b/>
                <w:bCs/>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96B677B">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.3宣贯上级文件培训记录</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104B634">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2B83DB90">
        <w:tblPrEx>
          <w:tblCellMar>
            <w:top w:w="0" w:type="dxa"/>
            <w:left w:w="0" w:type="dxa"/>
            <w:bottom w:w="0" w:type="dxa"/>
            <w:right w:w="0" w:type="dxa"/>
          </w:tblCellMar>
        </w:tblPrEx>
        <w:trPr>
          <w:trHeight w:val="60" w:hRule="atLeast"/>
          <w:jc w:val="center"/>
        </w:trPr>
        <w:tc>
          <w:tcPr>
            <w:tcW w:w="128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9EB4619">
            <w:pPr>
              <w:widowControl/>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.安全生产考核资料台账</w:t>
            </w: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50C8553">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.1年度安全生产考核资料台账</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7843314">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75638601">
        <w:tblPrEx>
          <w:tblCellMar>
            <w:top w:w="0" w:type="dxa"/>
            <w:left w:w="0" w:type="dxa"/>
            <w:bottom w:w="0" w:type="dxa"/>
            <w:right w:w="0" w:type="dxa"/>
          </w:tblCellMar>
        </w:tblPrEx>
        <w:trPr>
          <w:trHeight w:val="563" w:hRule="atLeast"/>
          <w:jc w:val="center"/>
        </w:trPr>
        <w:tc>
          <w:tcPr>
            <w:tcW w:w="1281" w:type="dxa"/>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14:paraId="3077F184">
            <w:pPr>
              <w:widowControl/>
              <w:jc w:val="left"/>
              <w:textAlignment w:val="center"/>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14.绿化垃圾资源化利用台账</w:t>
            </w: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8309916">
            <w:pPr>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15.1接收单位登记表</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275B796">
            <w:pPr>
              <w:ind w:firstLine="240" w:firstLineChars="100"/>
              <w:jc w:val="center"/>
              <w:rPr>
                <w:rFonts w:hint="eastAsia" w:ascii="宋体" w:hAnsi="宋体" w:eastAsia="宋体" w:cs="宋体"/>
                <w:bCs/>
                <w:color w:val="auto"/>
                <w:sz w:val="24"/>
                <w:szCs w:val="24"/>
                <w:highlight w:val="none"/>
              </w:rPr>
            </w:pPr>
          </w:p>
        </w:tc>
      </w:tr>
      <w:tr w14:paraId="344EC652">
        <w:tblPrEx>
          <w:tblCellMar>
            <w:top w:w="0" w:type="dxa"/>
            <w:left w:w="0" w:type="dxa"/>
            <w:bottom w:w="0" w:type="dxa"/>
            <w:right w:w="0" w:type="dxa"/>
          </w:tblCellMar>
        </w:tblPrEx>
        <w:trPr>
          <w:trHeight w:val="60" w:hRule="atLeast"/>
          <w:jc w:val="center"/>
        </w:trPr>
        <w:tc>
          <w:tcPr>
            <w:tcW w:w="1281" w:type="dxa"/>
            <w:vMerge w:val="continue"/>
            <w:tcBorders>
              <w:left w:val="single" w:color="000000" w:sz="4" w:space="0"/>
              <w:bottom w:val="single" w:color="000000" w:sz="4" w:space="0"/>
              <w:right w:val="single" w:color="000000" w:sz="4" w:space="0"/>
            </w:tcBorders>
            <w:noWrap w:val="0"/>
            <w:tcMar>
              <w:top w:w="10" w:type="dxa"/>
              <w:left w:w="10" w:type="dxa"/>
              <w:right w:w="10" w:type="dxa"/>
            </w:tcMar>
            <w:vAlign w:val="center"/>
          </w:tcPr>
          <w:p w14:paraId="3AB8DDCE">
            <w:pPr>
              <w:widowControl/>
              <w:jc w:val="left"/>
              <w:textAlignment w:val="center"/>
              <w:rPr>
                <w:rFonts w:hint="eastAsia" w:ascii="宋体" w:hAnsi="宋体" w:eastAsia="宋体" w:cs="宋体"/>
                <w:b/>
                <w:bCs/>
                <w:color w:val="auto"/>
                <w:sz w:val="24"/>
                <w:szCs w:val="24"/>
                <w:highlight w:val="none"/>
                <w:lang w:val="en-US" w:eastAsia="zh-CN"/>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4D7DFA2">
            <w:pP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15.2绿化垃圾数量登记表</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0C90D6C">
            <w:pPr>
              <w:ind w:firstLine="240" w:firstLineChars="100"/>
              <w:jc w:val="center"/>
              <w:rPr>
                <w:rFonts w:hint="eastAsia" w:ascii="宋体" w:hAnsi="宋体" w:eastAsia="宋体" w:cs="宋体"/>
                <w:bCs/>
                <w:color w:val="auto"/>
                <w:sz w:val="24"/>
                <w:szCs w:val="24"/>
                <w:highlight w:val="none"/>
              </w:rPr>
            </w:pPr>
          </w:p>
        </w:tc>
      </w:tr>
      <w:tr w14:paraId="22F4696A">
        <w:tblPrEx>
          <w:tblCellMar>
            <w:top w:w="0" w:type="dxa"/>
            <w:left w:w="0" w:type="dxa"/>
            <w:bottom w:w="0" w:type="dxa"/>
            <w:right w:w="0" w:type="dxa"/>
          </w:tblCellMar>
        </w:tblPrEx>
        <w:trPr>
          <w:trHeight w:val="60" w:hRule="atLeast"/>
          <w:jc w:val="center"/>
        </w:trPr>
        <w:tc>
          <w:tcPr>
            <w:tcW w:w="128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E43D06F">
            <w:pPr>
              <w:widowControl/>
              <w:jc w:val="left"/>
              <w:textAlignment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15.其他资料</w:t>
            </w: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E14A375">
            <w:pP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16.1其他采购人所需要的各类台账资料</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87D0740">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bl>
    <w:p w14:paraId="65A2FE70">
      <w:pPr>
        <w:widowControl/>
        <w:tabs>
          <w:tab w:val="left" w:pos="851"/>
        </w:tabs>
        <w:adjustRightInd/>
        <w:spacing w:line="360" w:lineRule="auto"/>
        <w:ind w:firstLine="482" w:firstLineChars="200"/>
        <w:rPr>
          <w:rFonts w:hint="eastAsia"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说明：包括但不限于以上范围，具体按实际要求执行，智慧公园平台功能完善后，根据主管部门或者采购人要求进行台账上传</w:t>
      </w:r>
      <w:r>
        <w:rPr>
          <w:rFonts w:hint="eastAsia" w:ascii="宋体" w:hAnsi="宋体" w:cs="宋体"/>
          <w:b/>
          <w:bCs w:val="0"/>
          <w:color w:val="auto"/>
          <w:kern w:val="0"/>
          <w:sz w:val="24"/>
          <w:highlight w:val="none"/>
          <w:lang w:val="en-US" w:eastAsia="zh-CN"/>
        </w:rPr>
        <w:t>。</w:t>
      </w:r>
    </w:p>
    <w:p w14:paraId="07072115">
      <w:pPr>
        <w:widowControl/>
        <w:tabs>
          <w:tab w:val="left" w:pos="851"/>
        </w:tabs>
        <w:adjustRightInd/>
        <w:spacing w:line="360" w:lineRule="auto"/>
        <w:outlineLvl w:val="1"/>
        <w:rPr>
          <w:rFonts w:ascii="宋体" w:hAnsi="宋体" w:eastAsia="宋体" w:cs="宋体"/>
          <w:b/>
          <w:color w:val="auto"/>
          <w:kern w:val="0"/>
          <w:sz w:val="24"/>
          <w:highlight w:val="none"/>
        </w:rPr>
      </w:pPr>
      <w:r>
        <w:rPr>
          <w:rFonts w:hint="eastAsia" w:ascii="宋体" w:hAnsi="宋体" w:eastAsia="宋体" w:cs="宋体"/>
          <w:b/>
          <w:color w:val="auto"/>
          <w:kern w:val="0"/>
          <w:sz w:val="24"/>
          <w:highlight w:val="none"/>
          <w:lang w:val="en-US" w:eastAsia="zh-CN"/>
        </w:rPr>
        <w:t>八</w:t>
      </w:r>
      <w:r>
        <w:rPr>
          <w:rFonts w:hint="eastAsia" w:ascii="宋体" w:hAnsi="宋体" w:eastAsia="宋体" w:cs="宋体"/>
          <w:b/>
          <w:color w:val="auto"/>
          <w:kern w:val="0"/>
          <w:sz w:val="24"/>
          <w:highlight w:val="none"/>
        </w:rPr>
        <w:t>、</w:t>
      </w:r>
      <w:r>
        <w:rPr>
          <w:rFonts w:hint="eastAsia" w:ascii="宋体" w:hAnsi="宋体" w:eastAsia="宋体" w:cs="宋体"/>
          <w:b/>
          <w:color w:val="auto"/>
          <w:kern w:val="0"/>
          <w:sz w:val="24"/>
          <w:highlight w:val="none"/>
          <w:lang w:val="en-US" w:eastAsia="zh-CN"/>
        </w:rPr>
        <w:t>考核</w:t>
      </w:r>
      <w:r>
        <w:rPr>
          <w:rFonts w:hint="eastAsia" w:ascii="宋体" w:hAnsi="宋体" w:eastAsia="宋体" w:cs="宋体"/>
          <w:b/>
          <w:color w:val="auto"/>
          <w:kern w:val="0"/>
          <w:sz w:val="24"/>
          <w:highlight w:val="none"/>
        </w:rPr>
        <w:t>要求</w:t>
      </w:r>
    </w:p>
    <w:p w14:paraId="72D6EBFA">
      <w:pPr>
        <w:widowControl/>
        <w:tabs>
          <w:tab w:val="left" w:pos="851"/>
        </w:tabs>
        <w:adjustRightInd/>
        <w:spacing w:line="360" w:lineRule="auto"/>
        <w:outlineLvl w:val="1"/>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（一）质量考核验收标准</w:t>
      </w:r>
    </w:p>
    <w:p w14:paraId="54AF9D17">
      <w:pPr>
        <w:widowControl/>
        <w:tabs>
          <w:tab w:val="left" w:pos="851"/>
        </w:tabs>
        <w:adjustRightInd/>
        <w:spacing w:line="360" w:lineRule="auto"/>
        <w:ind w:firstLine="482" w:firstLineChars="200"/>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①检查考核</w:t>
      </w:r>
    </w:p>
    <w:p w14:paraId="1DC59C36">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执行“中标人自检（周检）、采购人考核（随机检、月度考核）”两级检查考评制度。中标人实行自检，每周向采购人报送检查结果，采购人组织随机检并且每月对各公园进行考核。</w:t>
      </w:r>
    </w:p>
    <w:p w14:paraId="0BEEB1D2">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除上述的两级检查外，还包括其他的专项行动检查及考核。若相关考核办法和扣罚标准有所调整变化，按最新出台的办法或标准执行。</w:t>
      </w:r>
    </w:p>
    <w:p w14:paraId="56305F45">
      <w:pPr>
        <w:widowControl/>
        <w:tabs>
          <w:tab w:val="left" w:pos="851"/>
        </w:tabs>
        <w:adjustRightInd/>
        <w:spacing w:line="360" w:lineRule="auto"/>
        <w:ind w:firstLine="482" w:firstLineChars="200"/>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②直接扣罚标准</w:t>
      </w:r>
    </w:p>
    <w:tbl>
      <w:tblPr>
        <w:tblStyle w:val="62"/>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66"/>
        <w:gridCol w:w="3257"/>
        <w:gridCol w:w="3313"/>
        <w:gridCol w:w="1091"/>
      </w:tblGrid>
      <w:tr w14:paraId="3B601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866" w:type="dxa"/>
            <w:noWrap w:val="0"/>
            <w:tcMar>
              <w:top w:w="10" w:type="dxa"/>
              <w:left w:w="10" w:type="dxa"/>
              <w:right w:w="10" w:type="dxa"/>
            </w:tcMar>
            <w:vAlign w:val="center"/>
          </w:tcPr>
          <w:p w14:paraId="7119F08F">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w:t>
            </w:r>
          </w:p>
        </w:tc>
        <w:tc>
          <w:tcPr>
            <w:tcW w:w="3257" w:type="dxa"/>
            <w:noWrap w:val="0"/>
            <w:tcMar>
              <w:top w:w="10" w:type="dxa"/>
              <w:left w:w="10" w:type="dxa"/>
              <w:right w:w="10" w:type="dxa"/>
            </w:tcMar>
            <w:vAlign w:val="center"/>
          </w:tcPr>
          <w:p w14:paraId="2CFC3A4C">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内容</w:t>
            </w:r>
          </w:p>
        </w:tc>
        <w:tc>
          <w:tcPr>
            <w:tcW w:w="3313" w:type="dxa"/>
            <w:noWrap w:val="0"/>
            <w:tcMar>
              <w:top w:w="10" w:type="dxa"/>
              <w:left w:w="10" w:type="dxa"/>
              <w:right w:w="10" w:type="dxa"/>
            </w:tcMar>
            <w:vAlign w:val="center"/>
          </w:tcPr>
          <w:p w14:paraId="220BC71C">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扣罚标准</w:t>
            </w:r>
          </w:p>
        </w:tc>
        <w:tc>
          <w:tcPr>
            <w:tcW w:w="1091" w:type="dxa"/>
            <w:noWrap w:val="0"/>
            <w:vAlign w:val="top"/>
          </w:tcPr>
          <w:p w14:paraId="24B97C44">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7A03F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9" w:hRule="atLeast"/>
        </w:trPr>
        <w:tc>
          <w:tcPr>
            <w:tcW w:w="866" w:type="dxa"/>
            <w:vMerge w:val="restart"/>
            <w:noWrap w:val="0"/>
            <w:tcMar>
              <w:top w:w="10" w:type="dxa"/>
              <w:left w:w="10" w:type="dxa"/>
              <w:right w:w="10" w:type="dxa"/>
            </w:tcMar>
            <w:vAlign w:val="center"/>
          </w:tcPr>
          <w:p w14:paraId="4F01D45C">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人员管理</w:t>
            </w:r>
          </w:p>
        </w:tc>
        <w:tc>
          <w:tcPr>
            <w:tcW w:w="3257" w:type="dxa"/>
            <w:noWrap w:val="0"/>
            <w:tcMar>
              <w:top w:w="10" w:type="dxa"/>
              <w:left w:w="10" w:type="dxa"/>
              <w:right w:w="10" w:type="dxa"/>
            </w:tcMar>
            <w:vAlign w:val="center"/>
          </w:tcPr>
          <w:p w14:paraId="53B17C23">
            <w:pPr>
              <w:widowControl/>
              <w:adjustRightInd/>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工作人员</w:t>
            </w:r>
            <w:r>
              <w:rPr>
                <w:rFonts w:hint="eastAsia" w:ascii="宋体" w:hAnsi="宋体" w:eastAsia="宋体" w:cs="宋体"/>
                <w:color w:val="auto"/>
                <w:sz w:val="24"/>
                <w:szCs w:val="24"/>
                <w:highlight w:val="none"/>
                <w:lang w:eastAsia="zh-CN"/>
              </w:rPr>
              <w:t>发生纠纷，争吵斗殴，影响工作，造成不良影响。</w:t>
            </w:r>
          </w:p>
        </w:tc>
        <w:tc>
          <w:tcPr>
            <w:tcW w:w="3313" w:type="dxa"/>
            <w:noWrap w:val="0"/>
            <w:tcMar>
              <w:top w:w="10" w:type="dxa"/>
              <w:left w:w="10" w:type="dxa"/>
              <w:right w:w="10" w:type="dxa"/>
            </w:tcMar>
            <w:vAlign w:val="center"/>
          </w:tcPr>
          <w:p w14:paraId="147BF33E">
            <w:pPr>
              <w:widowControl/>
              <w:adjustRightInd/>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每人每次扣减</w:t>
            </w:r>
            <w:r>
              <w:rPr>
                <w:rFonts w:hint="eastAsia" w:ascii="宋体" w:hAnsi="宋体" w:eastAsia="宋体" w:cs="宋体"/>
                <w:color w:val="auto"/>
                <w:sz w:val="24"/>
                <w:szCs w:val="24"/>
                <w:highlight w:val="none"/>
                <w:lang w:val="en-US" w:eastAsia="zh-CN"/>
              </w:rPr>
              <w:t>500元。</w:t>
            </w:r>
          </w:p>
        </w:tc>
        <w:tc>
          <w:tcPr>
            <w:tcW w:w="1091" w:type="dxa"/>
            <w:noWrap w:val="0"/>
            <w:vAlign w:val="center"/>
          </w:tcPr>
          <w:p w14:paraId="2C7122EF">
            <w:pPr>
              <w:widowControl/>
              <w:adjustRightInd/>
              <w:rPr>
                <w:rFonts w:hint="eastAsia" w:ascii="宋体" w:hAnsi="宋体" w:eastAsia="宋体" w:cs="宋体"/>
                <w:color w:val="auto"/>
                <w:sz w:val="24"/>
                <w:szCs w:val="24"/>
                <w:highlight w:val="none"/>
                <w:lang w:val="en-US" w:eastAsia="zh-CN"/>
              </w:rPr>
            </w:pPr>
          </w:p>
        </w:tc>
      </w:tr>
      <w:tr w14:paraId="1054E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66" w:type="dxa"/>
            <w:vMerge w:val="continue"/>
            <w:noWrap w:val="0"/>
            <w:tcMar>
              <w:top w:w="10" w:type="dxa"/>
              <w:left w:w="10" w:type="dxa"/>
              <w:right w:w="10" w:type="dxa"/>
            </w:tcMar>
            <w:vAlign w:val="center"/>
          </w:tcPr>
          <w:p w14:paraId="04D65498">
            <w:pPr>
              <w:widowControl/>
              <w:adjustRightInd/>
              <w:jc w:val="center"/>
              <w:rPr>
                <w:rFonts w:hint="eastAsia" w:ascii="宋体" w:hAnsi="宋体" w:eastAsia="宋体" w:cs="宋体"/>
                <w:color w:val="auto"/>
                <w:sz w:val="24"/>
                <w:szCs w:val="24"/>
                <w:highlight w:val="none"/>
              </w:rPr>
            </w:pPr>
          </w:p>
        </w:tc>
        <w:tc>
          <w:tcPr>
            <w:tcW w:w="3257" w:type="dxa"/>
            <w:noWrap w:val="0"/>
            <w:tcMar>
              <w:top w:w="10" w:type="dxa"/>
              <w:left w:w="10" w:type="dxa"/>
              <w:right w:w="10" w:type="dxa"/>
            </w:tcMar>
            <w:vAlign w:val="center"/>
          </w:tcPr>
          <w:p w14:paraId="3FE4D62B">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项目负责人</w:t>
            </w:r>
            <w:r>
              <w:rPr>
                <w:rFonts w:hint="eastAsia" w:ascii="宋体" w:hAnsi="宋体" w:eastAsia="宋体" w:cs="宋体"/>
                <w:color w:val="auto"/>
                <w:sz w:val="24"/>
                <w:szCs w:val="24"/>
                <w:highlight w:val="none"/>
              </w:rPr>
              <w:t>变更。</w:t>
            </w:r>
          </w:p>
        </w:tc>
        <w:tc>
          <w:tcPr>
            <w:tcW w:w="3313" w:type="dxa"/>
            <w:noWrap w:val="0"/>
            <w:tcMar>
              <w:top w:w="10" w:type="dxa"/>
              <w:left w:w="10" w:type="dxa"/>
              <w:right w:w="10" w:type="dxa"/>
            </w:tcMar>
            <w:vAlign w:val="center"/>
          </w:tcPr>
          <w:p w14:paraId="084DA764">
            <w:pPr>
              <w:widowControl/>
              <w:adjustRightInd/>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1.未经采购人同意擅自变更的每次扣减10万元；</w:t>
            </w:r>
          </w:p>
          <w:p w14:paraId="63DFFA23">
            <w:pP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szCs w:val="24"/>
                <w:highlight w:val="none"/>
                <w:lang w:val="en-US" w:eastAsia="zh-CN"/>
              </w:rPr>
              <w:t>经采购人同意，且满足更换条件要求（满足招标文件要求，有类似项目管理经验，职称等于或高于被更换人员）的每次扣减2</w:t>
            </w:r>
            <w:r>
              <w:rPr>
                <w:rFonts w:hint="eastAsia" w:ascii="宋体" w:hAnsi="宋体" w:cs="宋体"/>
                <w:color w:val="auto"/>
                <w:sz w:val="24"/>
                <w:szCs w:val="24"/>
                <w:highlight w:val="none"/>
                <w:lang w:val="en-US" w:eastAsia="zh-CN"/>
              </w:rPr>
              <w:t>万</w:t>
            </w:r>
            <w:r>
              <w:rPr>
                <w:rFonts w:hint="eastAsia" w:ascii="宋体" w:hAnsi="宋体" w:eastAsia="宋体" w:cs="宋体"/>
                <w:color w:val="auto"/>
                <w:sz w:val="24"/>
                <w:szCs w:val="24"/>
                <w:highlight w:val="none"/>
                <w:lang w:val="en-US" w:eastAsia="zh-CN"/>
              </w:rPr>
              <w:t>元。（因不可抗力因素，如重大疾病、死亡等原因变更的除外。）</w:t>
            </w:r>
          </w:p>
        </w:tc>
        <w:tc>
          <w:tcPr>
            <w:tcW w:w="1091" w:type="dxa"/>
            <w:noWrap w:val="0"/>
            <w:vAlign w:val="center"/>
          </w:tcPr>
          <w:p w14:paraId="722C94D3">
            <w:pPr>
              <w:widowControl/>
              <w:adjustRightInd/>
              <w:rPr>
                <w:rFonts w:hint="eastAsia" w:ascii="宋体" w:hAnsi="宋体" w:eastAsia="宋体" w:cs="宋体"/>
                <w:color w:val="auto"/>
                <w:sz w:val="24"/>
                <w:szCs w:val="24"/>
                <w:highlight w:val="none"/>
                <w:lang w:val="en-US" w:eastAsia="zh-CN"/>
              </w:rPr>
            </w:pPr>
          </w:p>
        </w:tc>
      </w:tr>
      <w:tr w14:paraId="3D5DC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9" w:hRule="atLeast"/>
        </w:trPr>
        <w:tc>
          <w:tcPr>
            <w:tcW w:w="866" w:type="dxa"/>
            <w:vMerge w:val="continue"/>
            <w:noWrap w:val="0"/>
            <w:tcMar>
              <w:top w:w="10" w:type="dxa"/>
              <w:left w:w="10" w:type="dxa"/>
              <w:right w:w="10" w:type="dxa"/>
            </w:tcMar>
            <w:vAlign w:val="center"/>
          </w:tcPr>
          <w:p w14:paraId="5E779E41">
            <w:pPr>
              <w:widowControl/>
              <w:adjustRightInd/>
              <w:jc w:val="center"/>
              <w:rPr>
                <w:rFonts w:hint="eastAsia" w:ascii="宋体" w:hAnsi="宋体" w:eastAsia="宋体" w:cs="宋体"/>
                <w:color w:val="auto"/>
                <w:sz w:val="24"/>
                <w:szCs w:val="24"/>
                <w:highlight w:val="none"/>
              </w:rPr>
            </w:pPr>
          </w:p>
        </w:tc>
        <w:tc>
          <w:tcPr>
            <w:tcW w:w="3257" w:type="dxa"/>
            <w:noWrap w:val="0"/>
            <w:tcMar>
              <w:top w:w="10" w:type="dxa"/>
              <w:left w:w="10" w:type="dxa"/>
              <w:right w:w="10" w:type="dxa"/>
            </w:tcMar>
            <w:vAlign w:val="center"/>
          </w:tcPr>
          <w:p w14:paraId="10451EBC">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管理</w:t>
            </w:r>
            <w:r>
              <w:rPr>
                <w:rFonts w:hint="eastAsia" w:ascii="宋体" w:hAnsi="宋体" w:eastAsia="宋体" w:cs="宋体"/>
                <w:color w:val="auto"/>
                <w:sz w:val="24"/>
                <w:szCs w:val="24"/>
                <w:highlight w:val="none"/>
                <w:lang w:eastAsia="zh-CN"/>
              </w:rPr>
              <w:t>团队</w:t>
            </w:r>
            <w:r>
              <w:rPr>
                <w:rFonts w:hint="eastAsia" w:ascii="宋体" w:hAnsi="宋体" w:eastAsia="宋体" w:cs="宋体"/>
                <w:color w:val="auto"/>
                <w:sz w:val="24"/>
                <w:szCs w:val="24"/>
                <w:highlight w:val="none"/>
              </w:rPr>
              <w:t>人员变更。</w:t>
            </w:r>
          </w:p>
        </w:tc>
        <w:tc>
          <w:tcPr>
            <w:tcW w:w="3313" w:type="dxa"/>
            <w:noWrap w:val="0"/>
            <w:tcMar>
              <w:top w:w="10" w:type="dxa"/>
              <w:left w:w="10" w:type="dxa"/>
              <w:right w:w="10" w:type="dxa"/>
            </w:tcMar>
            <w:vAlign w:val="center"/>
          </w:tcPr>
          <w:p w14:paraId="624DB00E">
            <w:pPr>
              <w:widowControl/>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未经采购人同意擅自变更的每次扣减</w:t>
            </w:r>
            <w:r>
              <w:rPr>
                <w:rFonts w:hint="eastAsia" w:ascii="宋体" w:hAnsi="宋体" w:eastAsia="宋体" w:cs="宋体"/>
                <w:color w:val="auto"/>
                <w:sz w:val="24"/>
                <w:szCs w:val="24"/>
                <w:highlight w:val="none"/>
                <w:lang w:val="en-US" w:eastAsia="zh-CN"/>
              </w:rPr>
              <w:t>20000</w:t>
            </w:r>
            <w:r>
              <w:rPr>
                <w:rFonts w:hint="eastAsia" w:ascii="宋体" w:hAnsi="宋体" w:eastAsia="宋体" w:cs="宋体"/>
                <w:color w:val="auto"/>
                <w:sz w:val="24"/>
                <w:szCs w:val="24"/>
                <w:highlight w:val="none"/>
              </w:rPr>
              <w:t>元；</w:t>
            </w:r>
          </w:p>
          <w:p w14:paraId="08D28D2F">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经采购人同意</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且满足更换条件要求（满足招标文件要求，</w:t>
            </w:r>
            <w:r>
              <w:rPr>
                <w:rFonts w:hint="eastAsia" w:ascii="宋体" w:hAnsi="宋体" w:eastAsia="宋体" w:cs="宋体"/>
                <w:color w:val="auto"/>
                <w:sz w:val="24"/>
                <w:szCs w:val="24"/>
                <w:highlight w:val="none"/>
              </w:rPr>
              <w:t>有</w:t>
            </w:r>
            <w:r>
              <w:rPr>
                <w:rFonts w:hint="eastAsia" w:ascii="宋体" w:hAnsi="宋体" w:eastAsia="宋体" w:cs="宋体"/>
                <w:color w:val="auto"/>
                <w:sz w:val="24"/>
                <w:szCs w:val="24"/>
                <w:highlight w:val="none"/>
                <w:lang w:eastAsia="zh-CN"/>
              </w:rPr>
              <w:t>类似项目</w:t>
            </w:r>
            <w:r>
              <w:rPr>
                <w:rFonts w:hint="eastAsia" w:ascii="宋体" w:hAnsi="宋体" w:eastAsia="宋体" w:cs="宋体"/>
                <w:color w:val="auto"/>
                <w:sz w:val="24"/>
                <w:szCs w:val="24"/>
                <w:highlight w:val="none"/>
              </w:rPr>
              <w:t>工作经验，职称等于或高于被更换人员）的每次扣减</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000元。</w:t>
            </w:r>
            <w:r>
              <w:rPr>
                <w:rFonts w:hint="eastAsia" w:ascii="宋体" w:hAnsi="宋体" w:eastAsia="宋体" w:cs="宋体"/>
                <w:color w:val="auto"/>
                <w:sz w:val="24"/>
                <w:szCs w:val="24"/>
                <w:highlight w:val="none"/>
                <w:lang w:val="en-US" w:eastAsia="zh-CN"/>
              </w:rPr>
              <w:t>（因不可抗力因素，如重大疾病、死亡等原因变更的除外。）</w:t>
            </w:r>
          </w:p>
        </w:tc>
        <w:tc>
          <w:tcPr>
            <w:tcW w:w="1091" w:type="dxa"/>
            <w:noWrap w:val="0"/>
            <w:vAlign w:val="center"/>
          </w:tcPr>
          <w:p w14:paraId="6F919EC3">
            <w:pPr>
              <w:widowControl/>
              <w:adjustRightInd/>
              <w:rPr>
                <w:rFonts w:hint="eastAsia" w:ascii="宋体" w:hAnsi="宋体" w:eastAsia="宋体" w:cs="宋体"/>
                <w:color w:val="auto"/>
                <w:sz w:val="24"/>
                <w:szCs w:val="24"/>
                <w:highlight w:val="none"/>
                <w:lang w:val="en-US" w:eastAsia="zh-CN"/>
              </w:rPr>
            </w:pPr>
          </w:p>
        </w:tc>
      </w:tr>
      <w:tr w14:paraId="59FA2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4" w:hRule="atLeast"/>
        </w:trPr>
        <w:tc>
          <w:tcPr>
            <w:tcW w:w="866" w:type="dxa"/>
            <w:vMerge w:val="continue"/>
            <w:noWrap w:val="0"/>
            <w:tcMar>
              <w:top w:w="10" w:type="dxa"/>
              <w:left w:w="10" w:type="dxa"/>
              <w:right w:w="10" w:type="dxa"/>
            </w:tcMar>
            <w:vAlign w:val="center"/>
          </w:tcPr>
          <w:p w14:paraId="5019B711">
            <w:pPr>
              <w:widowControl/>
              <w:adjustRightInd/>
              <w:jc w:val="center"/>
              <w:rPr>
                <w:rFonts w:hint="eastAsia" w:ascii="宋体" w:hAnsi="宋体" w:eastAsia="宋体" w:cs="宋体"/>
                <w:color w:val="auto"/>
                <w:sz w:val="24"/>
                <w:szCs w:val="24"/>
                <w:highlight w:val="none"/>
              </w:rPr>
            </w:pPr>
          </w:p>
        </w:tc>
        <w:tc>
          <w:tcPr>
            <w:tcW w:w="3257" w:type="dxa"/>
            <w:noWrap w:val="0"/>
            <w:tcMar>
              <w:top w:w="10" w:type="dxa"/>
              <w:left w:w="10" w:type="dxa"/>
              <w:right w:w="10" w:type="dxa"/>
            </w:tcMar>
            <w:vAlign w:val="center"/>
          </w:tcPr>
          <w:p w14:paraId="4E58723D">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未按要求定期开展培训或应急演练的。</w:t>
            </w:r>
          </w:p>
        </w:tc>
        <w:tc>
          <w:tcPr>
            <w:tcW w:w="3313" w:type="dxa"/>
            <w:noWrap w:val="0"/>
            <w:tcMar>
              <w:top w:w="10" w:type="dxa"/>
              <w:left w:w="10" w:type="dxa"/>
              <w:right w:w="10" w:type="dxa"/>
            </w:tcMar>
            <w:vAlign w:val="center"/>
          </w:tcPr>
          <w:p w14:paraId="4939CEB5">
            <w:pPr>
              <w:widowControl/>
              <w:adjustRightInd/>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每次扣减5000元。</w:t>
            </w:r>
          </w:p>
        </w:tc>
        <w:tc>
          <w:tcPr>
            <w:tcW w:w="1091" w:type="dxa"/>
            <w:noWrap w:val="0"/>
            <w:vAlign w:val="center"/>
          </w:tcPr>
          <w:p w14:paraId="3555325C">
            <w:pPr>
              <w:widowControl/>
              <w:adjustRightInd/>
              <w:rPr>
                <w:rFonts w:hint="eastAsia" w:ascii="宋体" w:hAnsi="宋体" w:eastAsia="宋体" w:cs="宋体"/>
                <w:color w:val="auto"/>
                <w:sz w:val="24"/>
                <w:szCs w:val="24"/>
                <w:highlight w:val="none"/>
              </w:rPr>
            </w:pPr>
          </w:p>
        </w:tc>
      </w:tr>
      <w:tr w14:paraId="6B321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atLeast"/>
        </w:trPr>
        <w:tc>
          <w:tcPr>
            <w:tcW w:w="866" w:type="dxa"/>
            <w:vMerge w:val="continue"/>
            <w:noWrap w:val="0"/>
            <w:tcMar>
              <w:top w:w="10" w:type="dxa"/>
              <w:left w:w="10" w:type="dxa"/>
              <w:right w:w="10" w:type="dxa"/>
            </w:tcMar>
            <w:vAlign w:val="center"/>
          </w:tcPr>
          <w:p w14:paraId="48AA376C">
            <w:pPr>
              <w:widowControl/>
              <w:adjustRightInd/>
              <w:jc w:val="center"/>
              <w:rPr>
                <w:rFonts w:hint="eastAsia" w:ascii="宋体" w:hAnsi="宋体" w:eastAsia="宋体" w:cs="宋体"/>
                <w:color w:val="auto"/>
                <w:sz w:val="24"/>
                <w:szCs w:val="24"/>
                <w:highlight w:val="none"/>
              </w:rPr>
            </w:pPr>
          </w:p>
        </w:tc>
        <w:tc>
          <w:tcPr>
            <w:tcW w:w="3257" w:type="dxa"/>
            <w:noWrap w:val="0"/>
            <w:tcMar>
              <w:top w:w="10" w:type="dxa"/>
              <w:left w:w="10" w:type="dxa"/>
              <w:right w:w="10" w:type="dxa"/>
            </w:tcMar>
            <w:vAlign w:val="center"/>
          </w:tcPr>
          <w:p w14:paraId="5207F65E">
            <w:pPr>
              <w:widowControl/>
              <w:adjustRightInd/>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相关人员有违法违纪行为且造成恶劣影响的</w:t>
            </w:r>
            <w:r>
              <w:rPr>
                <w:rFonts w:hint="eastAsia" w:ascii="宋体" w:hAnsi="宋体" w:eastAsia="宋体" w:cs="宋体"/>
                <w:color w:val="auto"/>
                <w:sz w:val="24"/>
                <w:szCs w:val="24"/>
                <w:highlight w:val="none"/>
                <w:lang w:eastAsia="zh-CN"/>
              </w:rPr>
              <w:t>。</w:t>
            </w:r>
          </w:p>
        </w:tc>
        <w:tc>
          <w:tcPr>
            <w:tcW w:w="3313" w:type="dxa"/>
            <w:noWrap w:val="0"/>
            <w:tcMar>
              <w:top w:w="10" w:type="dxa"/>
              <w:left w:w="10" w:type="dxa"/>
              <w:right w:w="10" w:type="dxa"/>
            </w:tcMar>
            <w:vAlign w:val="center"/>
          </w:tcPr>
          <w:p w14:paraId="75608179">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每次</w:t>
            </w:r>
            <w:r>
              <w:rPr>
                <w:rFonts w:hint="eastAsia" w:ascii="宋体" w:hAnsi="宋体" w:eastAsia="宋体" w:cs="宋体"/>
                <w:color w:val="auto"/>
                <w:sz w:val="24"/>
                <w:szCs w:val="24"/>
                <w:highlight w:val="none"/>
              </w:rPr>
              <w:t>视情节轻重扣除经费</w:t>
            </w:r>
            <w:r>
              <w:rPr>
                <w:rFonts w:hint="eastAsia" w:ascii="宋体" w:hAnsi="宋体" w:eastAsia="宋体" w:cs="宋体"/>
                <w:color w:val="auto"/>
                <w:sz w:val="24"/>
                <w:szCs w:val="24"/>
                <w:highlight w:val="none"/>
                <w:lang w:val="en-US" w:eastAsia="zh-CN"/>
              </w:rPr>
              <w:t>5000-30000</w:t>
            </w:r>
            <w:r>
              <w:rPr>
                <w:rFonts w:hint="eastAsia" w:ascii="宋体" w:hAnsi="宋体" w:eastAsia="宋体" w:cs="宋体"/>
                <w:color w:val="auto"/>
                <w:sz w:val="24"/>
                <w:szCs w:val="24"/>
                <w:highlight w:val="none"/>
              </w:rPr>
              <w:t>元</w:t>
            </w:r>
          </w:p>
        </w:tc>
        <w:tc>
          <w:tcPr>
            <w:tcW w:w="1091" w:type="dxa"/>
            <w:noWrap w:val="0"/>
            <w:vAlign w:val="center"/>
          </w:tcPr>
          <w:p w14:paraId="6AB33E96">
            <w:pPr>
              <w:widowControl/>
              <w:adjustRightInd/>
              <w:rPr>
                <w:rFonts w:hint="eastAsia" w:ascii="宋体" w:hAnsi="宋体" w:eastAsia="宋体" w:cs="宋体"/>
                <w:color w:val="auto"/>
                <w:sz w:val="24"/>
                <w:szCs w:val="24"/>
                <w:highlight w:val="none"/>
              </w:rPr>
            </w:pPr>
          </w:p>
        </w:tc>
      </w:tr>
      <w:tr w14:paraId="3D6A6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atLeast"/>
        </w:trPr>
        <w:tc>
          <w:tcPr>
            <w:tcW w:w="866" w:type="dxa"/>
            <w:noWrap w:val="0"/>
            <w:tcMar>
              <w:top w:w="10" w:type="dxa"/>
              <w:left w:w="10" w:type="dxa"/>
              <w:right w:w="10" w:type="dxa"/>
            </w:tcMar>
            <w:vAlign w:val="center"/>
          </w:tcPr>
          <w:p w14:paraId="7DA73B4C">
            <w:pPr>
              <w:widowControl/>
              <w:adjustRightInd/>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绿化养护人员执业证书</w:t>
            </w:r>
          </w:p>
        </w:tc>
        <w:tc>
          <w:tcPr>
            <w:tcW w:w="3257" w:type="dxa"/>
            <w:noWrap w:val="0"/>
            <w:tcMar>
              <w:top w:w="10" w:type="dxa"/>
              <w:left w:w="10" w:type="dxa"/>
              <w:right w:w="10" w:type="dxa"/>
            </w:tcMar>
            <w:vAlign w:val="center"/>
          </w:tcPr>
          <w:p w14:paraId="4AC3307E">
            <w:pPr>
              <w:widowControl/>
              <w:adjustRightInd/>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要求中标人配备的绿化养护人员都具有</w:t>
            </w:r>
            <w:r>
              <w:rPr>
                <w:rFonts w:hint="eastAsia" w:ascii="宋体" w:hAnsi="宋体" w:eastAsia="宋体" w:cs="宋体"/>
                <w:color w:val="auto"/>
                <w:sz w:val="24"/>
                <w:szCs w:val="24"/>
                <w:highlight w:val="none"/>
              </w:rPr>
              <w:t>绿化工或草坪工证书，允许中标人在合同签订后6个月内配足。</w:t>
            </w:r>
          </w:p>
        </w:tc>
        <w:tc>
          <w:tcPr>
            <w:tcW w:w="3313" w:type="dxa"/>
            <w:noWrap w:val="0"/>
            <w:tcMar>
              <w:top w:w="10" w:type="dxa"/>
              <w:left w:w="10" w:type="dxa"/>
              <w:right w:w="10" w:type="dxa"/>
            </w:tcMar>
            <w:vAlign w:val="center"/>
          </w:tcPr>
          <w:p w14:paraId="78E85487">
            <w:pPr>
              <w:widowControl/>
              <w:adjustRightInd/>
              <w:jc w:val="left"/>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6个月后，有未配足的，扣除经费2000/人/月。</w:t>
            </w:r>
          </w:p>
        </w:tc>
        <w:tc>
          <w:tcPr>
            <w:tcW w:w="1091" w:type="dxa"/>
            <w:noWrap w:val="0"/>
            <w:vAlign w:val="center"/>
          </w:tcPr>
          <w:p w14:paraId="496BECA6">
            <w:pPr>
              <w:widowControl/>
              <w:adjustRightInd/>
              <w:rPr>
                <w:rFonts w:hint="eastAsia" w:ascii="宋体" w:hAnsi="宋体" w:eastAsia="宋体" w:cs="宋体"/>
                <w:color w:val="auto"/>
                <w:sz w:val="24"/>
                <w:szCs w:val="24"/>
                <w:highlight w:val="none"/>
              </w:rPr>
            </w:pPr>
          </w:p>
        </w:tc>
      </w:tr>
      <w:tr w14:paraId="58F87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3" w:hRule="atLeast"/>
        </w:trPr>
        <w:tc>
          <w:tcPr>
            <w:tcW w:w="866" w:type="dxa"/>
            <w:vMerge w:val="restart"/>
            <w:noWrap w:val="0"/>
            <w:tcMar>
              <w:top w:w="10" w:type="dxa"/>
              <w:left w:w="10" w:type="dxa"/>
              <w:right w:w="10" w:type="dxa"/>
            </w:tcMar>
            <w:vAlign w:val="center"/>
          </w:tcPr>
          <w:p w14:paraId="12D74676">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到岗率</w:t>
            </w:r>
          </w:p>
        </w:tc>
        <w:tc>
          <w:tcPr>
            <w:tcW w:w="3257" w:type="dxa"/>
            <w:noWrap w:val="0"/>
            <w:vAlign w:val="center"/>
          </w:tcPr>
          <w:p w14:paraId="18D063A2">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作业</w:t>
            </w:r>
            <w:r>
              <w:rPr>
                <w:rFonts w:hint="eastAsia" w:ascii="宋体" w:hAnsi="宋体" w:eastAsia="宋体" w:cs="宋体"/>
                <w:color w:val="auto"/>
                <w:sz w:val="24"/>
                <w:szCs w:val="24"/>
                <w:highlight w:val="none"/>
              </w:rPr>
              <w:t>队伍</w:t>
            </w:r>
            <w:r>
              <w:rPr>
                <w:rFonts w:hint="eastAsia" w:ascii="宋体" w:hAnsi="宋体" w:eastAsia="宋体" w:cs="宋体"/>
                <w:color w:val="auto"/>
                <w:sz w:val="24"/>
                <w:szCs w:val="24"/>
                <w:highlight w:val="none"/>
                <w:lang w:eastAsia="zh-CN"/>
              </w:rPr>
              <w:t>人员</w:t>
            </w:r>
            <w:r>
              <w:rPr>
                <w:rFonts w:hint="eastAsia" w:ascii="宋体" w:hAnsi="宋体" w:eastAsia="宋体" w:cs="宋体"/>
                <w:color w:val="auto"/>
                <w:sz w:val="24"/>
                <w:szCs w:val="24"/>
                <w:highlight w:val="none"/>
              </w:rPr>
              <w:t>随机抽查，未在岗。</w:t>
            </w:r>
          </w:p>
        </w:tc>
        <w:tc>
          <w:tcPr>
            <w:tcW w:w="3313" w:type="dxa"/>
            <w:noWrap w:val="0"/>
            <w:tcMar>
              <w:top w:w="10" w:type="dxa"/>
              <w:left w:w="10" w:type="dxa"/>
              <w:right w:w="10" w:type="dxa"/>
            </w:tcMar>
            <w:vAlign w:val="center"/>
          </w:tcPr>
          <w:p w14:paraId="032E8DF0">
            <w:pPr>
              <w:widowControl/>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每个岗位每次缺</w:t>
            </w:r>
            <w:r>
              <w:rPr>
                <w:rFonts w:hint="eastAsia" w:ascii="宋体" w:hAnsi="宋体" w:eastAsia="宋体" w:cs="宋体"/>
                <w:color w:val="auto"/>
                <w:sz w:val="24"/>
                <w:szCs w:val="24"/>
                <w:highlight w:val="none"/>
                <w:lang w:eastAsia="zh-CN"/>
              </w:rPr>
              <w:t>岗</w:t>
            </w:r>
            <w:r>
              <w:rPr>
                <w:rFonts w:hint="eastAsia" w:ascii="宋体" w:hAnsi="宋体" w:eastAsia="宋体" w:cs="宋体"/>
                <w:color w:val="auto"/>
                <w:sz w:val="24"/>
                <w:szCs w:val="24"/>
                <w:highlight w:val="none"/>
              </w:rPr>
              <w:t>扣</w:t>
            </w:r>
            <w:r>
              <w:rPr>
                <w:rFonts w:hint="eastAsia" w:ascii="宋体" w:hAnsi="宋体" w:eastAsia="宋体" w:cs="宋体"/>
                <w:color w:val="auto"/>
                <w:sz w:val="24"/>
                <w:szCs w:val="24"/>
                <w:highlight w:val="none"/>
                <w:lang w:eastAsia="zh-CN"/>
              </w:rPr>
              <w:t>减</w:t>
            </w:r>
            <w:r>
              <w:rPr>
                <w:rFonts w:hint="eastAsia" w:ascii="宋体" w:hAnsi="宋体" w:eastAsia="宋体" w:cs="宋体"/>
                <w:color w:val="auto"/>
                <w:sz w:val="24"/>
                <w:szCs w:val="24"/>
                <w:highlight w:val="none"/>
              </w:rPr>
              <w:t>500元。</w:t>
            </w:r>
          </w:p>
        </w:tc>
        <w:tc>
          <w:tcPr>
            <w:tcW w:w="1091" w:type="dxa"/>
            <w:noWrap w:val="0"/>
            <w:vAlign w:val="center"/>
          </w:tcPr>
          <w:p w14:paraId="1F097776">
            <w:pPr>
              <w:widowControl/>
              <w:adjustRightInd/>
              <w:rPr>
                <w:rFonts w:hint="eastAsia" w:ascii="宋体" w:hAnsi="宋体" w:eastAsia="宋体" w:cs="宋体"/>
                <w:color w:val="auto"/>
                <w:sz w:val="24"/>
                <w:szCs w:val="24"/>
                <w:highlight w:val="none"/>
              </w:rPr>
            </w:pPr>
          </w:p>
        </w:tc>
      </w:tr>
      <w:tr w14:paraId="61120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8" w:hRule="atLeast"/>
        </w:trPr>
        <w:tc>
          <w:tcPr>
            <w:tcW w:w="866" w:type="dxa"/>
            <w:vMerge w:val="continue"/>
            <w:noWrap w:val="0"/>
            <w:tcMar>
              <w:top w:w="10" w:type="dxa"/>
              <w:left w:w="10" w:type="dxa"/>
              <w:right w:w="10" w:type="dxa"/>
            </w:tcMar>
            <w:vAlign w:val="center"/>
          </w:tcPr>
          <w:p w14:paraId="6CE3E1FF">
            <w:pPr>
              <w:widowControl/>
              <w:adjustRightInd/>
              <w:jc w:val="center"/>
              <w:rPr>
                <w:rFonts w:hint="eastAsia" w:ascii="宋体" w:hAnsi="宋体" w:eastAsia="宋体" w:cs="宋体"/>
                <w:color w:val="auto"/>
                <w:sz w:val="24"/>
                <w:szCs w:val="24"/>
                <w:highlight w:val="none"/>
              </w:rPr>
            </w:pPr>
          </w:p>
        </w:tc>
        <w:tc>
          <w:tcPr>
            <w:tcW w:w="3257" w:type="dxa"/>
            <w:noWrap w:val="0"/>
            <w:tcMar>
              <w:top w:w="10" w:type="dxa"/>
              <w:left w:w="10" w:type="dxa"/>
              <w:right w:w="10" w:type="dxa"/>
            </w:tcMar>
            <w:vAlign w:val="center"/>
          </w:tcPr>
          <w:p w14:paraId="2D138EEF">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项目负责人缺岗。</w:t>
            </w:r>
          </w:p>
        </w:tc>
        <w:tc>
          <w:tcPr>
            <w:tcW w:w="3313" w:type="dxa"/>
            <w:noWrap w:val="0"/>
            <w:tcMar>
              <w:top w:w="10" w:type="dxa"/>
              <w:left w:w="10" w:type="dxa"/>
              <w:right w:w="10" w:type="dxa"/>
            </w:tcMar>
            <w:vAlign w:val="center"/>
          </w:tcPr>
          <w:p w14:paraId="19424A3C">
            <w:pPr>
              <w:widowControl w:val="0"/>
              <w:ind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每次扣减2000元。</w:t>
            </w:r>
          </w:p>
        </w:tc>
        <w:tc>
          <w:tcPr>
            <w:tcW w:w="1091" w:type="dxa"/>
            <w:noWrap w:val="0"/>
            <w:vAlign w:val="center"/>
          </w:tcPr>
          <w:p w14:paraId="122DB219">
            <w:pPr>
              <w:widowControl w:val="0"/>
              <w:ind w:firstLine="0" w:firstLineChars="0"/>
              <w:jc w:val="both"/>
              <w:rPr>
                <w:rFonts w:hint="eastAsia" w:ascii="宋体" w:hAnsi="宋体" w:eastAsia="宋体" w:cs="宋体"/>
                <w:color w:val="auto"/>
                <w:kern w:val="2"/>
                <w:sz w:val="24"/>
                <w:szCs w:val="24"/>
                <w:highlight w:val="none"/>
                <w:lang w:val="en-US" w:eastAsia="zh-CN" w:bidi="ar-SA"/>
              </w:rPr>
            </w:pPr>
          </w:p>
        </w:tc>
      </w:tr>
      <w:tr w14:paraId="3A2DA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3" w:hRule="atLeast"/>
        </w:trPr>
        <w:tc>
          <w:tcPr>
            <w:tcW w:w="866" w:type="dxa"/>
            <w:vMerge w:val="continue"/>
            <w:noWrap w:val="0"/>
            <w:tcMar>
              <w:top w:w="10" w:type="dxa"/>
              <w:left w:w="10" w:type="dxa"/>
              <w:right w:w="10" w:type="dxa"/>
            </w:tcMar>
            <w:vAlign w:val="center"/>
          </w:tcPr>
          <w:p w14:paraId="4EB846F5">
            <w:pPr>
              <w:widowControl/>
              <w:adjustRightInd/>
              <w:jc w:val="center"/>
              <w:rPr>
                <w:rFonts w:hint="eastAsia" w:ascii="宋体" w:hAnsi="宋体" w:eastAsia="宋体" w:cs="宋体"/>
                <w:color w:val="auto"/>
                <w:sz w:val="24"/>
                <w:szCs w:val="24"/>
                <w:highlight w:val="none"/>
              </w:rPr>
            </w:pPr>
          </w:p>
        </w:tc>
        <w:tc>
          <w:tcPr>
            <w:tcW w:w="3257" w:type="dxa"/>
            <w:noWrap w:val="0"/>
            <w:tcMar>
              <w:top w:w="10" w:type="dxa"/>
              <w:left w:w="10" w:type="dxa"/>
              <w:right w:w="10" w:type="dxa"/>
            </w:tcMar>
            <w:vAlign w:val="center"/>
          </w:tcPr>
          <w:p w14:paraId="41267517">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管理团队其他人员缺岗。</w:t>
            </w:r>
          </w:p>
        </w:tc>
        <w:tc>
          <w:tcPr>
            <w:tcW w:w="3313" w:type="dxa"/>
            <w:noWrap w:val="0"/>
            <w:tcMar>
              <w:top w:w="10" w:type="dxa"/>
              <w:left w:w="10" w:type="dxa"/>
              <w:right w:w="10" w:type="dxa"/>
            </w:tcMar>
            <w:vAlign w:val="center"/>
          </w:tcPr>
          <w:p w14:paraId="2CDB65B7">
            <w:pPr>
              <w:widowControl w:val="0"/>
              <w:ind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每人每次扣减1000元。</w:t>
            </w:r>
          </w:p>
        </w:tc>
        <w:tc>
          <w:tcPr>
            <w:tcW w:w="1091" w:type="dxa"/>
            <w:noWrap w:val="0"/>
            <w:vAlign w:val="center"/>
          </w:tcPr>
          <w:p w14:paraId="6F2E4B5B">
            <w:pPr>
              <w:widowControl w:val="0"/>
              <w:ind w:firstLine="0" w:firstLineChars="0"/>
              <w:jc w:val="both"/>
              <w:rPr>
                <w:rFonts w:hint="eastAsia" w:ascii="宋体" w:hAnsi="宋体" w:eastAsia="宋体" w:cs="宋体"/>
                <w:color w:val="auto"/>
                <w:kern w:val="2"/>
                <w:sz w:val="24"/>
                <w:szCs w:val="24"/>
                <w:highlight w:val="none"/>
                <w:lang w:val="en-US" w:eastAsia="zh-CN" w:bidi="ar-SA"/>
              </w:rPr>
            </w:pPr>
          </w:p>
        </w:tc>
      </w:tr>
      <w:tr w14:paraId="5EAC8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5" w:hRule="atLeast"/>
        </w:trPr>
        <w:tc>
          <w:tcPr>
            <w:tcW w:w="866" w:type="dxa"/>
            <w:noWrap w:val="0"/>
            <w:tcMar>
              <w:top w:w="10" w:type="dxa"/>
              <w:left w:w="10" w:type="dxa"/>
              <w:right w:w="10" w:type="dxa"/>
            </w:tcMar>
            <w:vAlign w:val="center"/>
          </w:tcPr>
          <w:p w14:paraId="1C43AD69">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机械设备配置情况</w:t>
            </w:r>
          </w:p>
        </w:tc>
        <w:tc>
          <w:tcPr>
            <w:tcW w:w="3257" w:type="dxa"/>
            <w:noWrap w:val="0"/>
            <w:tcMar>
              <w:top w:w="10" w:type="dxa"/>
              <w:left w:w="10" w:type="dxa"/>
              <w:right w:w="10" w:type="dxa"/>
            </w:tcMar>
            <w:vAlign w:val="center"/>
          </w:tcPr>
          <w:p w14:paraId="7D91A418">
            <w:pPr>
              <w:widowControl w:val="0"/>
              <w:ind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检查发现各类机械等专用设备未按合同约定配备。</w:t>
            </w:r>
          </w:p>
        </w:tc>
        <w:tc>
          <w:tcPr>
            <w:tcW w:w="3313" w:type="dxa"/>
            <w:noWrap w:val="0"/>
            <w:tcMar>
              <w:top w:w="10" w:type="dxa"/>
              <w:left w:w="10" w:type="dxa"/>
              <w:right w:w="10" w:type="dxa"/>
            </w:tcMar>
            <w:vAlign w:val="center"/>
          </w:tcPr>
          <w:p w14:paraId="1E3D53A4">
            <w:pPr>
              <w:widowControl w:val="0"/>
              <w:ind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每台每次扣减1000元。</w:t>
            </w:r>
          </w:p>
        </w:tc>
        <w:tc>
          <w:tcPr>
            <w:tcW w:w="1091" w:type="dxa"/>
            <w:noWrap w:val="0"/>
            <w:vAlign w:val="center"/>
          </w:tcPr>
          <w:p w14:paraId="20370096">
            <w:pPr>
              <w:widowControl w:val="0"/>
              <w:ind w:firstLine="0" w:firstLineChars="0"/>
              <w:jc w:val="both"/>
              <w:rPr>
                <w:rFonts w:hint="eastAsia" w:ascii="宋体" w:hAnsi="宋体" w:eastAsia="宋体" w:cs="宋体"/>
                <w:color w:val="auto"/>
                <w:kern w:val="2"/>
                <w:sz w:val="24"/>
                <w:szCs w:val="24"/>
                <w:highlight w:val="none"/>
                <w:lang w:val="en-US" w:eastAsia="zh-CN" w:bidi="ar-SA"/>
              </w:rPr>
            </w:pPr>
          </w:p>
        </w:tc>
      </w:tr>
      <w:tr w14:paraId="48057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5" w:hRule="atLeast"/>
        </w:trPr>
        <w:tc>
          <w:tcPr>
            <w:tcW w:w="866" w:type="dxa"/>
            <w:noWrap w:val="0"/>
            <w:tcMar>
              <w:top w:w="10" w:type="dxa"/>
              <w:left w:w="10" w:type="dxa"/>
              <w:right w:w="10" w:type="dxa"/>
            </w:tcMar>
            <w:vAlign w:val="center"/>
          </w:tcPr>
          <w:p w14:paraId="2CB8B2AD">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专项</w:t>
            </w:r>
            <w:r>
              <w:rPr>
                <w:rFonts w:hint="eastAsia" w:ascii="宋体" w:hAnsi="宋体" w:eastAsia="宋体" w:cs="宋体"/>
                <w:color w:val="auto"/>
                <w:sz w:val="24"/>
                <w:szCs w:val="24"/>
                <w:highlight w:val="none"/>
              </w:rPr>
              <w:t>检查</w:t>
            </w:r>
          </w:p>
        </w:tc>
        <w:tc>
          <w:tcPr>
            <w:tcW w:w="3257" w:type="dxa"/>
            <w:noWrap w:val="0"/>
            <w:tcMar>
              <w:top w:w="10" w:type="dxa"/>
              <w:left w:w="10" w:type="dxa"/>
              <w:right w:w="10" w:type="dxa"/>
            </w:tcMar>
            <w:vAlign w:val="center"/>
          </w:tcPr>
          <w:p w14:paraId="2E6C0838">
            <w:pPr>
              <w:widowControl/>
              <w:adjustRightInd/>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根据</w:t>
            </w:r>
            <w:r>
              <w:rPr>
                <w:rFonts w:hint="eastAsia" w:ascii="宋体" w:hAnsi="宋体" w:eastAsia="宋体" w:cs="宋体"/>
                <w:color w:val="auto"/>
                <w:sz w:val="24"/>
                <w:szCs w:val="24"/>
                <w:highlight w:val="none"/>
                <w:lang w:eastAsia="zh-CN"/>
              </w:rPr>
              <w:t>市级及以上其他部门各类专项检查，如各级文明城市检查中扣分被通报的。</w:t>
            </w:r>
          </w:p>
        </w:tc>
        <w:tc>
          <w:tcPr>
            <w:tcW w:w="3313" w:type="dxa"/>
            <w:noWrap w:val="0"/>
            <w:tcMar>
              <w:top w:w="10" w:type="dxa"/>
              <w:left w:w="10" w:type="dxa"/>
              <w:right w:w="10" w:type="dxa"/>
            </w:tcMar>
            <w:vAlign w:val="center"/>
          </w:tcPr>
          <w:p w14:paraId="6A754D40">
            <w:pPr>
              <w:widowControl/>
              <w:adjustRightInd/>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每次扣</w:t>
            </w:r>
            <w:r>
              <w:rPr>
                <w:rFonts w:hint="eastAsia" w:ascii="宋体" w:hAnsi="宋体" w:eastAsia="宋体" w:cs="宋体"/>
                <w:color w:val="auto"/>
                <w:sz w:val="24"/>
                <w:szCs w:val="24"/>
                <w:highlight w:val="none"/>
                <w:lang w:val="en-US" w:eastAsia="zh-CN"/>
              </w:rPr>
              <w:t>5000元。</w:t>
            </w:r>
          </w:p>
        </w:tc>
        <w:tc>
          <w:tcPr>
            <w:tcW w:w="1091" w:type="dxa"/>
            <w:noWrap w:val="0"/>
            <w:vAlign w:val="center"/>
          </w:tcPr>
          <w:p w14:paraId="5E9CB9EC">
            <w:pPr>
              <w:widowControl/>
              <w:adjustRightInd/>
              <w:rPr>
                <w:rFonts w:hint="eastAsia" w:ascii="宋体" w:hAnsi="宋体" w:eastAsia="宋体" w:cs="宋体"/>
                <w:color w:val="auto"/>
                <w:sz w:val="24"/>
                <w:szCs w:val="24"/>
                <w:highlight w:val="none"/>
              </w:rPr>
            </w:pPr>
          </w:p>
        </w:tc>
      </w:tr>
      <w:tr w14:paraId="52ECA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trPr>
        <w:tc>
          <w:tcPr>
            <w:tcW w:w="866" w:type="dxa"/>
            <w:vMerge w:val="restart"/>
            <w:noWrap w:val="0"/>
            <w:vAlign w:val="center"/>
          </w:tcPr>
          <w:p w14:paraId="1AF73DB1">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安全管理</w:t>
            </w:r>
          </w:p>
        </w:tc>
        <w:tc>
          <w:tcPr>
            <w:tcW w:w="3257" w:type="dxa"/>
            <w:noWrap w:val="0"/>
            <w:vAlign w:val="center"/>
          </w:tcPr>
          <w:p w14:paraId="1348D0DB">
            <w:pPr>
              <w:widowControl/>
              <w:adjustRightInd/>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园内设施维修时，围护措施不到位，影响游客游园安全。</w:t>
            </w:r>
          </w:p>
        </w:tc>
        <w:tc>
          <w:tcPr>
            <w:tcW w:w="3313" w:type="dxa"/>
            <w:noWrap w:val="0"/>
            <w:vAlign w:val="center"/>
          </w:tcPr>
          <w:p w14:paraId="00CF1F97">
            <w:pPr>
              <w:widowControl/>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每次扣</w:t>
            </w:r>
            <w:r>
              <w:rPr>
                <w:rFonts w:hint="eastAsia" w:ascii="宋体" w:hAnsi="宋体" w:eastAsia="宋体" w:cs="宋体"/>
                <w:color w:val="auto"/>
                <w:sz w:val="24"/>
                <w:szCs w:val="24"/>
                <w:highlight w:val="none"/>
                <w:lang w:val="en-US" w:eastAsia="zh-CN"/>
              </w:rPr>
              <w:t>1000元。</w:t>
            </w:r>
          </w:p>
        </w:tc>
        <w:tc>
          <w:tcPr>
            <w:tcW w:w="1091" w:type="dxa"/>
            <w:noWrap w:val="0"/>
            <w:vAlign w:val="center"/>
          </w:tcPr>
          <w:p w14:paraId="2E2A72AE">
            <w:pPr>
              <w:widowControl/>
              <w:adjustRightInd/>
              <w:rPr>
                <w:rFonts w:hint="eastAsia" w:ascii="宋体" w:hAnsi="宋体" w:eastAsia="宋体" w:cs="宋体"/>
                <w:color w:val="auto"/>
                <w:sz w:val="24"/>
                <w:szCs w:val="24"/>
                <w:highlight w:val="none"/>
              </w:rPr>
            </w:pPr>
          </w:p>
        </w:tc>
      </w:tr>
      <w:tr w14:paraId="261BE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trPr>
        <w:tc>
          <w:tcPr>
            <w:tcW w:w="866" w:type="dxa"/>
            <w:vMerge w:val="continue"/>
            <w:noWrap w:val="0"/>
            <w:vAlign w:val="center"/>
          </w:tcPr>
          <w:p w14:paraId="3BE7E9EA">
            <w:pPr>
              <w:widowControl/>
              <w:adjustRightInd/>
              <w:jc w:val="center"/>
              <w:rPr>
                <w:rFonts w:hint="eastAsia" w:ascii="宋体" w:hAnsi="宋体" w:eastAsia="宋体" w:cs="宋体"/>
                <w:color w:val="auto"/>
                <w:sz w:val="24"/>
                <w:szCs w:val="24"/>
                <w:highlight w:val="none"/>
              </w:rPr>
            </w:pPr>
          </w:p>
        </w:tc>
        <w:tc>
          <w:tcPr>
            <w:tcW w:w="3257" w:type="dxa"/>
            <w:noWrap w:val="0"/>
            <w:vAlign w:val="center"/>
          </w:tcPr>
          <w:p w14:paraId="703B458A">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园内发生火灾</w:t>
            </w:r>
            <w:r>
              <w:rPr>
                <w:rFonts w:hint="eastAsia" w:ascii="宋体" w:hAnsi="宋体" w:eastAsia="宋体" w:cs="宋体"/>
                <w:color w:val="auto"/>
                <w:sz w:val="24"/>
                <w:szCs w:val="24"/>
                <w:highlight w:val="none"/>
              </w:rPr>
              <w:t>未及时处理。</w:t>
            </w:r>
          </w:p>
        </w:tc>
        <w:tc>
          <w:tcPr>
            <w:tcW w:w="3313" w:type="dxa"/>
            <w:noWrap w:val="0"/>
            <w:vAlign w:val="center"/>
          </w:tcPr>
          <w:p w14:paraId="044BC396">
            <w:pPr>
              <w:widowControl/>
              <w:adjustRightInd/>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过火面积每平方扣减</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00元</w:t>
            </w:r>
            <w:r>
              <w:rPr>
                <w:rFonts w:hint="eastAsia" w:ascii="宋体" w:hAnsi="宋体" w:eastAsia="宋体" w:cs="宋体"/>
                <w:color w:val="auto"/>
                <w:sz w:val="24"/>
                <w:szCs w:val="24"/>
                <w:highlight w:val="none"/>
                <w:lang w:eastAsia="zh-CN"/>
              </w:rPr>
              <w:t>。</w:t>
            </w:r>
          </w:p>
        </w:tc>
        <w:tc>
          <w:tcPr>
            <w:tcW w:w="1091" w:type="dxa"/>
            <w:noWrap w:val="0"/>
            <w:vAlign w:val="center"/>
          </w:tcPr>
          <w:p w14:paraId="057B7E39">
            <w:pPr>
              <w:widowControl/>
              <w:adjustRightInd/>
              <w:rPr>
                <w:rFonts w:hint="eastAsia" w:ascii="宋体" w:hAnsi="宋体" w:eastAsia="宋体" w:cs="宋体"/>
                <w:color w:val="auto"/>
                <w:sz w:val="24"/>
                <w:szCs w:val="24"/>
                <w:highlight w:val="none"/>
              </w:rPr>
            </w:pPr>
          </w:p>
        </w:tc>
      </w:tr>
      <w:tr w14:paraId="62ACF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trPr>
        <w:tc>
          <w:tcPr>
            <w:tcW w:w="866" w:type="dxa"/>
            <w:vMerge w:val="continue"/>
            <w:noWrap w:val="0"/>
            <w:vAlign w:val="center"/>
          </w:tcPr>
          <w:p w14:paraId="48EC48C5">
            <w:pPr>
              <w:widowControl/>
              <w:adjustRightInd/>
              <w:jc w:val="center"/>
              <w:rPr>
                <w:rFonts w:hint="eastAsia" w:ascii="宋体" w:hAnsi="宋体" w:eastAsia="宋体" w:cs="宋体"/>
                <w:color w:val="auto"/>
                <w:sz w:val="24"/>
                <w:szCs w:val="24"/>
                <w:highlight w:val="none"/>
              </w:rPr>
            </w:pPr>
          </w:p>
        </w:tc>
        <w:tc>
          <w:tcPr>
            <w:tcW w:w="3257" w:type="dxa"/>
            <w:noWrap w:val="0"/>
            <w:vAlign w:val="center"/>
          </w:tcPr>
          <w:p w14:paraId="46DA3D44">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出现宣传法轮功、污蔑党和国家等政治事件，未及时制止的。</w:t>
            </w:r>
          </w:p>
        </w:tc>
        <w:tc>
          <w:tcPr>
            <w:tcW w:w="3313" w:type="dxa"/>
            <w:noWrap w:val="0"/>
            <w:vAlign w:val="center"/>
          </w:tcPr>
          <w:p w14:paraId="6577CA87">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每1起政治事件的扣减10000元。</w:t>
            </w:r>
          </w:p>
        </w:tc>
        <w:tc>
          <w:tcPr>
            <w:tcW w:w="1091" w:type="dxa"/>
            <w:noWrap w:val="0"/>
            <w:vAlign w:val="center"/>
          </w:tcPr>
          <w:p w14:paraId="6B89B503">
            <w:pPr>
              <w:widowControl/>
              <w:adjustRightInd/>
              <w:rPr>
                <w:rFonts w:hint="eastAsia" w:ascii="宋体" w:hAnsi="宋体" w:eastAsia="宋体" w:cs="宋体"/>
                <w:color w:val="auto"/>
                <w:sz w:val="24"/>
                <w:szCs w:val="24"/>
                <w:highlight w:val="none"/>
              </w:rPr>
            </w:pPr>
          </w:p>
        </w:tc>
      </w:tr>
      <w:tr w14:paraId="675FD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6" w:hRule="atLeast"/>
        </w:trPr>
        <w:tc>
          <w:tcPr>
            <w:tcW w:w="866" w:type="dxa"/>
            <w:vMerge w:val="continue"/>
            <w:noWrap w:val="0"/>
            <w:vAlign w:val="center"/>
          </w:tcPr>
          <w:p w14:paraId="53A842CA">
            <w:pPr>
              <w:widowControl/>
              <w:adjustRightInd/>
              <w:jc w:val="center"/>
              <w:rPr>
                <w:rFonts w:hint="eastAsia" w:ascii="宋体" w:hAnsi="宋体" w:eastAsia="宋体" w:cs="宋体"/>
                <w:color w:val="auto"/>
                <w:sz w:val="24"/>
                <w:szCs w:val="24"/>
                <w:highlight w:val="none"/>
              </w:rPr>
            </w:pPr>
          </w:p>
        </w:tc>
        <w:tc>
          <w:tcPr>
            <w:tcW w:w="3257" w:type="dxa"/>
            <w:noWrap w:val="0"/>
            <w:vAlign w:val="center"/>
          </w:tcPr>
          <w:p w14:paraId="441BFD22">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出现违法乱搭建、违法用地、非法养殖、非法盗伐等破坏公园生态环境的事件，未及时制止的。</w:t>
            </w:r>
          </w:p>
        </w:tc>
        <w:tc>
          <w:tcPr>
            <w:tcW w:w="3313" w:type="dxa"/>
            <w:noWrap w:val="0"/>
            <w:vAlign w:val="center"/>
          </w:tcPr>
          <w:p w14:paraId="1DAF941E">
            <w:pPr>
              <w:widowControl/>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每1起破坏公园生态环境事件的扣减5000元。</w:t>
            </w:r>
          </w:p>
        </w:tc>
        <w:tc>
          <w:tcPr>
            <w:tcW w:w="1091" w:type="dxa"/>
            <w:noWrap w:val="0"/>
            <w:vAlign w:val="center"/>
          </w:tcPr>
          <w:p w14:paraId="5373957C">
            <w:pPr>
              <w:widowControl/>
              <w:adjustRightInd/>
              <w:rPr>
                <w:rFonts w:hint="eastAsia" w:ascii="宋体" w:hAnsi="宋体" w:eastAsia="宋体" w:cs="宋体"/>
                <w:color w:val="auto"/>
                <w:sz w:val="24"/>
                <w:szCs w:val="24"/>
                <w:highlight w:val="none"/>
              </w:rPr>
            </w:pPr>
          </w:p>
        </w:tc>
      </w:tr>
      <w:tr w14:paraId="2E405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trPr>
        <w:tc>
          <w:tcPr>
            <w:tcW w:w="866" w:type="dxa"/>
            <w:vMerge w:val="restart"/>
            <w:noWrap w:val="0"/>
            <w:vAlign w:val="center"/>
          </w:tcPr>
          <w:p w14:paraId="29A9A513">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响应情况</w:t>
            </w:r>
          </w:p>
        </w:tc>
        <w:tc>
          <w:tcPr>
            <w:tcW w:w="3257" w:type="dxa"/>
            <w:noWrap w:val="0"/>
            <w:vAlign w:val="center"/>
          </w:tcPr>
          <w:p w14:paraId="3C6F959E">
            <w:pPr>
              <w:widowControl w:val="0"/>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园内设施设备发生故障，未在规定时间内完成修复的。</w:t>
            </w:r>
          </w:p>
        </w:tc>
        <w:tc>
          <w:tcPr>
            <w:tcW w:w="3313" w:type="dxa"/>
            <w:noWrap w:val="0"/>
            <w:vAlign w:val="center"/>
          </w:tcPr>
          <w:p w14:paraId="650E9E9B">
            <w:pPr>
              <w:widowControl w:val="0"/>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每项每次扣减1000元。</w:t>
            </w:r>
          </w:p>
        </w:tc>
        <w:tc>
          <w:tcPr>
            <w:tcW w:w="1091" w:type="dxa"/>
            <w:noWrap w:val="0"/>
            <w:vAlign w:val="center"/>
          </w:tcPr>
          <w:p w14:paraId="087F449A">
            <w:pPr>
              <w:widowControl/>
              <w:adjustRightInd/>
              <w:rPr>
                <w:rFonts w:hint="eastAsia" w:ascii="宋体" w:hAnsi="宋体" w:eastAsia="宋体" w:cs="宋体"/>
                <w:color w:val="auto"/>
                <w:sz w:val="24"/>
                <w:szCs w:val="24"/>
                <w:highlight w:val="none"/>
              </w:rPr>
            </w:pPr>
          </w:p>
        </w:tc>
      </w:tr>
      <w:tr w14:paraId="38970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trPr>
        <w:tc>
          <w:tcPr>
            <w:tcW w:w="866" w:type="dxa"/>
            <w:vMerge w:val="continue"/>
            <w:noWrap w:val="0"/>
            <w:vAlign w:val="center"/>
          </w:tcPr>
          <w:p w14:paraId="2EC77D66">
            <w:pPr>
              <w:widowControl/>
              <w:adjustRightInd/>
              <w:jc w:val="center"/>
              <w:rPr>
                <w:rFonts w:hint="eastAsia" w:ascii="宋体" w:hAnsi="宋体" w:eastAsia="宋体" w:cs="宋体"/>
                <w:color w:val="auto"/>
                <w:sz w:val="24"/>
                <w:szCs w:val="24"/>
                <w:highlight w:val="none"/>
              </w:rPr>
            </w:pPr>
          </w:p>
        </w:tc>
        <w:tc>
          <w:tcPr>
            <w:tcW w:w="3257" w:type="dxa"/>
            <w:noWrap w:val="0"/>
            <w:vAlign w:val="center"/>
          </w:tcPr>
          <w:p w14:paraId="12B1EA8F">
            <w:pPr>
              <w:widowControl w:val="0"/>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园区内发生其他问题未及时采取有效措施。</w:t>
            </w:r>
          </w:p>
        </w:tc>
        <w:tc>
          <w:tcPr>
            <w:tcW w:w="3313" w:type="dxa"/>
            <w:noWrap w:val="0"/>
            <w:vAlign w:val="center"/>
          </w:tcPr>
          <w:p w14:paraId="695DB76D">
            <w:pPr>
              <w:widowControl w:val="0"/>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每次扣减2000元。</w:t>
            </w:r>
          </w:p>
        </w:tc>
        <w:tc>
          <w:tcPr>
            <w:tcW w:w="1091" w:type="dxa"/>
            <w:noWrap w:val="0"/>
            <w:vAlign w:val="center"/>
          </w:tcPr>
          <w:p w14:paraId="7481B71D">
            <w:pPr>
              <w:widowControl/>
              <w:adjustRightInd/>
              <w:rPr>
                <w:rFonts w:hint="eastAsia" w:ascii="宋体" w:hAnsi="宋体" w:eastAsia="宋体" w:cs="宋体"/>
                <w:color w:val="auto"/>
                <w:sz w:val="24"/>
                <w:szCs w:val="24"/>
                <w:highlight w:val="none"/>
              </w:rPr>
            </w:pPr>
          </w:p>
        </w:tc>
      </w:tr>
      <w:tr w14:paraId="54DAA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trPr>
        <w:tc>
          <w:tcPr>
            <w:tcW w:w="866" w:type="dxa"/>
            <w:vMerge w:val="continue"/>
            <w:noWrap w:val="0"/>
            <w:vAlign w:val="center"/>
          </w:tcPr>
          <w:p w14:paraId="2AB810DB">
            <w:pPr>
              <w:widowControl/>
              <w:adjustRightInd/>
              <w:jc w:val="center"/>
              <w:rPr>
                <w:rFonts w:hint="eastAsia" w:ascii="宋体" w:hAnsi="宋体" w:eastAsia="宋体" w:cs="宋体"/>
                <w:color w:val="auto"/>
                <w:sz w:val="24"/>
                <w:szCs w:val="24"/>
                <w:highlight w:val="none"/>
              </w:rPr>
            </w:pPr>
          </w:p>
        </w:tc>
        <w:tc>
          <w:tcPr>
            <w:tcW w:w="3257" w:type="dxa"/>
            <w:noWrap w:val="0"/>
            <w:vAlign w:val="center"/>
          </w:tcPr>
          <w:p w14:paraId="41F6ADCF">
            <w:pPr>
              <w:widowControl/>
              <w:adjustRightInd/>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应急任务或重大活动保障不力、上级部门、相关部门督查督办</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rPr>
              <w:t>群众举报情况严重并经查证属实</w:t>
            </w:r>
            <w:r>
              <w:rPr>
                <w:rFonts w:hint="eastAsia" w:ascii="宋体" w:hAnsi="宋体" w:eastAsia="宋体" w:cs="宋体"/>
                <w:color w:val="auto"/>
                <w:sz w:val="24"/>
                <w:szCs w:val="24"/>
                <w:highlight w:val="none"/>
                <w:lang w:eastAsia="zh-CN"/>
              </w:rPr>
              <w:t>。</w:t>
            </w:r>
          </w:p>
        </w:tc>
        <w:tc>
          <w:tcPr>
            <w:tcW w:w="3313" w:type="dxa"/>
            <w:noWrap w:val="0"/>
            <w:vAlign w:val="center"/>
          </w:tcPr>
          <w:p w14:paraId="132523FC">
            <w:pPr>
              <w:widowControl/>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每次</w:t>
            </w:r>
            <w:r>
              <w:rPr>
                <w:rFonts w:hint="eastAsia" w:ascii="宋体" w:hAnsi="宋体" w:eastAsia="宋体" w:cs="宋体"/>
                <w:color w:val="auto"/>
                <w:sz w:val="24"/>
                <w:szCs w:val="24"/>
                <w:highlight w:val="none"/>
                <w:lang w:eastAsia="zh-CN"/>
              </w:rPr>
              <w:t>视情节轻重</w:t>
            </w:r>
            <w:r>
              <w:rPr>
                <w:rFonts w:hint="eastAsia" w:ascii="宋体" w:hAnsi="宋体" w:eastAsia="宋体" w:cs="宋体"/>
                <w:color w:val="auto"/>
                <w:sz w:val="24"/>
                <w:szCs w:val="24"/>
                <w:highlight w:val="none"/>
              </w:rPr>
              <w:t>扣减</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000</w:t>
            </w:r>
            <w:r>
              <w:rPr>
                <w:rFonts w:hint="eastAsia" w:ascii="宋体" w:hAnsi="宋体" w:eastAsia="宋体" w:cs="宋体"/>
                <w:color w:val="auto"/>
                <w:sz w:val="24"/>
                <w:szCs w:val="24"/>
                <w:highlight w:val="none"/>
                <w:lang w:val="en-US" w:eastAsia="zh-CN"/>
              </w:rPr>
              <w:t>-10000元</w:t>
            </w:r>
            <w:r>
              <w:rPr>
                <w:rFonts w:hint="eastAsia" w:ascii="宋体" w:hAnsi="宋体" w:eastAsia="宋体" w:cs="宋体"/>
                <w:color w:val="auto"/>
                <w:sz w:val="24"/>
                <w:szCs w:val="24"/>
                <w:highlight w:val="none"/>
              </w:rPr>
              <w:t>。</w:t>
            </w:r>
          </w:p>
        </w:tc>
        <w:tc>
          <w:tcPr>
            <w:tcW w:w="1091" w:type="dxa"/>
            <w:noWrap w:val="0"/>
            <w:vAlign w:val="center"/>
          </w:tcPr>
          <w:p w14:paraId="5980748C">
            <w:pPr>
              <w:widowControl/>
              <w:adjustRightInd/>
              <w:rPr>
                <w:rFonts w:hint="eastAsia" w:ascii="宋体" w:hAnsi="宋体" w:eastAsia="宋体" w:cs="宋体"/>
                <w:color w:val="auto"/>
                <w:sz w:val="24"/>
                <w:szCs w:val="24"/>
                <w:highlight w:val="none"/>
              </w:rPr>
            </w:pPr>
          </w:p>
        </w:tc>
      </w:tr>
      <w:tr w14:paraId="5E78C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1" w:hRule="atLeast"/>
        </w:trPr>
        <w:tc>
          <w:tcPr>
            <w:tcW w:w="866" w:type="dxa"/>
            <w:vMerge w:val="continue"/>
            <w:noWrap w:val="0"/>
            <w:vAlign w:val="center"/>
          </w:tcPr>
          <w:p w14:paraId="3AADEC4C">
            <w:pPr>
              <w:widowControl/>
              <w:adjustRightInd/>
              <w:jc w:val="center"/>
              <w:rPr>
                <w:rFonts w:hint="eastAsia" w:ascii="宋体" w:hAnsi="宋体" w:eastAsia="宋体" w:cs="宋体"/>
                <w:color w:val="auto"/>
                <w:sz w:val="24"/>
                <w:szCs w:val="24"/>
                <w:highlight w:val="none"/>
              </w:rPr>
            </w:pPr>
          </w:p>
        </w:tc>
        <w:tc>
          <w:tcPr>
            <w:tcW w:w="3257" w:type="dxa"/>
            <w:noWrap w:val="0"/>
            <w:vAlign w:val="center"/>
          </w:tcPr>
          <w:p w14:paraId="67BE8BC4">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各类检查、社会投诉信访、媒体曝光等问题未处理或处理不及时，或整改</w:t>
            </w:r>
            <w:r>
              <w:rPr>
                <w:rFonts w:hint="eastAsia" w:ascii="宋体" w:hAnsi="宋体" w:eastAsia="宋体" w:cs="宋体"/>
                <w:color w:val="auto"/>
                <w:sz w:val="24"/>
                <w:szCs w:val="24"/>
                <w:highlight w:val="none"/>
                <w:lang w:eastAsia="zh-CN"/>
              </w:rPr>
              <w:t>不合格</w:t>
            </w:r>
            <w:r>
              <w:rPr>
                <w:rFonts w:hint="eastAsia" w:ascii="宋体" w:hAnsi="宋体" w:eastAsia="宋体" w:cs="宋体"/>
                <w:color w:val="auto"/>
                <w:sz w:val="24"/>
                <w:szCs w:val="24"/>
                <w:highlight w:val="none"/>
              </w:rPr>
              <w:t>等情况。</w:t>
            </w:r>
          </w:p>
        </w:tc>
        <w:tc>
          <w:tcPr>
            <w:tcW w:w="3313" w:type="dxa"/>
            <w:noWrap w:val="0"/>
            <w:vAlign w:val="center"/>
          </w:tcPr>
          <w:p w14:paraId="1E764630">
            <w:pPr>
              <w:widowControl/>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经核实属</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责任的，每项扣2000元。未在规定时间内整改或整改不合格的，加扣1000元。同一问题重复出现，每次扣减3000元。</w:t>
            </w:r>
          </w:p>
        </w:tc>
        <w:tc>
          <w:tcPr>
            <w:tcW w:w="1091" w:type="dxa"/>
            <w:noWrap w:val="0"/>
            <w:vAlign w:val="center"/>
          </w:tcPr>
          <w:p w14:paraId="38104713">
            <w:pPr>
              <w:widowControl/>
              <w:adjustRightInd/>
              <w:rPr>
                <w:rFonts w:hint="eastAsia" w:ascii="宋体" w:hAnsi="宋体" w:eastAsia="宋体" w:cs="宋体"/>
                <w:color w:val="auto"/>
                <w:sz w:val="24"/>
                <w:szCs w:val="24"/>
                <w:highlight w:val="none"/>
              </w:rPr>
            </w:pPr>
          </w:p>
        </w:tc>
      </w:tr>
    </w:tbl>
    <w:p w14:paraId="08CAC754">
      <w:pPr>
        <w:widowControl/>
        <w:tabs>
          <w:tab w:val="left" w:pos="851"/>
        </w:tabs>
        <w:adjustRightInd/>
        <w:spacing w:line="360" w:lineRule="auto"/>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注：若相关考核办法和扣罚标准有所调整变化，按最新出台的办法或标准执行。</w:t>
      </w:r>
    </w:p>
    <w:p w14:paraId="63B8C4B7">
      <w:pPr>
        <w:widowControl/>
        <w:tabs>
          <w:tab w:val="left" w:pos="851"/>
        </w:tabs>
        <w:adjustRightInd/>
        <w:spacing w:line="360" w:lineRule="auto"/>
        <w:ind w:firstLine="482"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③关于项目验收</w:t>
      </w:r>
      <w:r>
        <w:rPr>
          <w:rFonts w:hint="eastAsia" w:ascii="宋体" w:hAnsi="宋体" w:eastAsia="宋体" w:cs="宋体"/>
          <w:bCs/>
          <w:color w:val="auto"/>
          <w:kern w:val="0"/>
          <w:sz w:val="24"/>
          <w:highlight w:val="none"/>
          <w:lang w:val="en-US" w:eastAsia="zh-CN"/>
        </w:rPr>
        <w:t>：合同期满后，采购人对中标人的履约情况进行综合验收评价，中标人应积极配合采购人按政府采购相关规定做好验收工作，及时提供验收相关资料。</w:t>
      </w:r>
    </w:p>
    <w:p w14:paraId="2A0F36FF">
      <w:pPr>
        <w:widowControl/>
        <w:tabs>
          <w:tab w:val="left" w:pos="851"/>
        </w:tabs>
        <w:adjustRightInd/>
        <w:spacing w:line="360" w:lineRule="auto"/>
        <w:outlineLvl w:val="1"/>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（二）考核标准</w:t>
      </w:r>
    </w:p>
    <w:p w14:paraId="07A59FC2">
      <w:pPr>
        <w:widowControl/>
        <w:tabs>
          <w:tab w:val="left" w:pos="851"/>
        </w:tabs>
        <w:adjustRightInd/>
        <w:spacing w:line="360" w:lineRule="auto"/>
        <w:ind w:firstLine="482" w:firstLineChars="200"/>
        <w:rPr>
          <w:rFonts w:hint="default"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①绿岛公园、青林湾公园月度考核标准（固定支付部分）</w:t>
      </w:r>
    </w:p>
    <w:tbl>
      <w:tblPr>
        <w:tblStyle w:val="62"/>
        <w:tblW w:w="90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1521"/>
        <w:gridCol w:w="5018"/>
        <w:gridCol w:w="1683"/>
        <w:gridCol w:w="863"/>
      </w:tblGrid>
      <w:tr w14:paraId="45EC0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25" w:hRule="atLeast"/>
          <w:jc w:val="center"/>
        </w:trPr>
        <w:tc>
          <w:tcPr>
            <w:tcW w:w="1521"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0EBEA16C">
            <w:pPr>
              <w:widowControl/>
              <w:adjustRightInd/>
              <w:ind w:left="-420" w:leftChars="-200" w:firstLine="0" w:firstLineChars="0"/>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项目</w:t>
            </w: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63828006">
            <w:pPr>
              <w:widowControl/>
              <w:adjustRightInd/>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问题项</w:t>
            </w:r>
          </w:p>
        </w:tc>
        <w:tc>
          <w:tcPr>
            <w:tcW w:w="1683"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3D3A4A22">
            <w:pPr>
              <w:widowControl/>
              <w:adjustRightInd/>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扣罚标准</w:t>
            </w:r>
          </w:p>
        </w:tc>
        <w:tc>
          <w:tcPr>
            <w:tcW w:w="863"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4178C5AB">
            <w:pPr>
              <w:widowControl/>
              <w:adjustRightInd/>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分值</w:t>
            </w:r>
          </w:p>
        </w:tc>
      </w:tr>
      <w:tr w14:paraId="3BABB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4" w:hRule="atLeast"/>
          <w:jc w:val="center"/>
        </w:trPr>
        <w:tc>
          <w:tcPr>
            <w:tcW w:w="9085" w:type="dxa"/>
            <w:gridSpan w:val="4"/>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2C362DF7">
            <w:pPr>
              <w:widowControl/>
              <w:adjustRightInd/>
              <w:jc w:val="left"/>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（一）园容园貌（</w:t>
            </w:r>
            <w:r>
              <w:rPr>
                <w:rFonts w:hint="eastAsia" w:ascii="宋体" w:hAnsi="宋体" w:eastAsia="宋体" w:cs="宋体"/>
                <w:b/>
                <w:color w:val="auto"/>
                <w:sz w:val="24"/>
                <w:szCs w:val="24"/>
                <w:highlight w:val="none"/>
                <w:lang w:val="en-US" w:eastAsia="zh-CN"/>
              </w:rPr>
              <w:t>60分</w:t>
            </w:r>
            <w:r>
              <w:rPr>
                <w:rFonts w:hint="eastAsia" w:ascii="宋体" w:hAnsi="宋体" w:eastAsia="宋体" w:cs="宋体"/>
                <w:b/>
                <w:color w:val="auto"/>
                <w:sz w:val="24"/>
                <w:szCs w:val="24"/>
                <w:highlight w:val="none"/>
                <w:lang w:eastAsia="zh-CN"/>
              </w:rPr>
              <w:t>）</w:t>
            </w:r>
          </w:p>
        </w:tc>
      </w:tr>
      <w:tr w14:paraId="4434D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521" w:type="dxa"/>
            <w:vMerge w:val="restart"/>
            <w:tcBorders>
              <w:top w:val="single" w:color="auto" w:sz="4" w:space="0"/>
              <w:left w:val="single" w:color="auto" w:sz="4" w:space="0"/>
              <w:right w:val="single" w:color="auto" w:sz="4" w:space="0"/>
            </w:tcBorders>
            <w:shd w:val="clear" w:color="auto" w:fill="FFFFFF" w:themeFill="background1"/>
            <w:noWrap w:val="0"/>
            <w:vAlign w:val="center"/>
          </w:tcPr>
          <w:p w14:paraId="7C51F7AF">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绿化养护</w:t>
            </w: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5423DEC5">
            <w:pPr>
              <w:widowControl/>
              <w:adjustRightInd/>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.1植株长势不良，水肥不及时，树冠不完整或偏冠</w:t>
            </w:r>
            <w:r>
              <w:rPr>
                <w:rFonts w:hint="eastAsia" w:ascii="宋体" w:hAnsi="宋体" w:eastAsia="宋体" w:cs="宋体"/>
                <w:color w:val="auto"/>
                <w:sz w:val="24"/>
                <w:szCs w:val="24"/>
                <w:highlight w:val="none"/>
                <w:lang w:eastAsia="zh-CN"/>
              </w:rPr>
              <w:t>。</w:t>
            </w:r>
          </w:p>
          <w:p w14:paraId="504EFDFD">
            <w:pPr>
              <w:widowControl/>
              <w:adjustRightInd/>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修剪不及时、不规范，影响植株生长及景观效果</w:t>
            </w:r>
            <w:r>
              <w:rPr>
                <w:rFonts w:hint="eastAsia" w:ascii="宋体" w:hAnsi="宋体" w:eastAsia="宋体" w:cs="宋体"/>
                <w:color w:val="auto"/>
                <w:sz w:val="24"/>
                <w:szCs w:val="24"/>
                <w:highlight w:val="none"/>
                <w:lang w:eastAsia="zh-CN"/>
              </w:rPr>
              <w:t>。</w:t>
            </w:r>
          </w:p>
          <w:p w14:paraId="41AEF5ED">
            <w:pPr>
              <w:widowControl/>
              <w:adjustRightInd/>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1.3</w:t>
            </w:r>
            <w:r>
              <w:rPr>
                <w:rFonts w:hint="eastAsia" w:ascii="宋体" w:hAnsi="宋体" w:eastAsia="宋体" w:cs="宋体"/>
                <w:color w:val="auto"/>
                <w:sz w:val="24"/>
                <w:szCs w:val="24"/>
                <w:highlight w:val="none"/>
              </w:rPr>
              <w:t>植株支撑不合理、不规范，铁丝裸露、内嵌、草绳腐烂等影响植株正常生长</w:t>
            </w:r>
            <w:r>
              <w:rPr>
                <w:rFonts w:hint="eastAsia" w:ascii="宋体" w:hAnsi="宋体" w:eastAsia="宋体" w:cs="宋体"/>
                <w:color w:val="auto"/>
                <w:sz w:val="24"/>
                <w:szCs w:val="24"/>
                <w:highlight w:val="none"/>
                <w:lang w:eastAsia="zh-CN"/>
              </w:rPr>
              <w:t>。</w:t>
            </w:r>
          </w:p>
          <w:p w14:paraId="2B8424C6">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1.4</w:t>
            </w:r>
            <w:r>
              <w:rPr>
                <w:rFonts w:hint="eastAsia" w:ascii="宋体" w:hAnsi="宋体" w:eastAsia="宋体" w:cs="宋体"/>
                <w:color w:val="auto"/>
                <w:sz w:val="24"/>
                <w:szCs w:val="24"/>
                <w:highlight w:val="none"/>
              </w:rPr>
              <w:t>植株倾斜倒伏，影响景观效果。</w:t>
            </w:r>
          </w:p>
          <w:p w14:paraId="5565101F">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缺株、死树、残桩未及时处理。</w:t>
            </w:r>
          </w:p>
        </w:tc>
        <w:tc>
          <w:tcPr>
            <w:tcW w:w="1683" w:type="dxa"/>
            <w:vMerge w:val="restart"/>
            <w:tcBorders>
              <w:top w:val="single" w:color="auto" w:sz="4" w:space="0"/>
              <w:left w:val="single" w:color="auto" w:sz="4" w:space="0"/>
              <w:right w:val="single" w:color="auto" w:sz="4" w:space="0"/>
            </w:tcBorders>
            <w:shd w:val="clear" w:color="auto" w:fill="FFFFFF" w:themeFill="background1"/>
            <w:noWrap w:val="0"/>
            <w:vAlign w:val="center"/>
          </w:tcPr>
          <w:p w14:paraId="17207393">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每发现1株或1㎡扣0.1分（当月累计扣分）。</w:t>
            </w:r>
          </w:p>
        </w:tc>
        <w:tc>
          <w:tcPr>
            <w:tcW w:w="863" w:type="dxa"/>
            <w:vMerge w:val="restart"/>
            <w:tcBorders>
              <w:top w:val="single" w:color="auto" w:sz="4" w:space="0"/>
              <w:left w:val="single" w:color="auto" w:sz="4" w:space="0"/>
              <w:right w:val="single" w:color="auto" w:sz="4" w:space="0"/>
            </w:tcBorders>
            <w:shd w:val="clear" w:color="auto" w:fill="FFFFFF" w:themeFill="background1"/>
            <w:noWrap w:val="0"/>
            <w:vAlign w:val="center"/>
          </w:tcPr>
          <w:p w14:paraId="05072DE3">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30</w:t>
            </w:r>
          </w:p>
        </w:tc>
      </w:tr>
      <w:tr w14:paraId="2EDAB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7567837E">
            <w:pPr>
              <w:widowControl/>
              <w:adjustRightInd/>
              <w:jc w:val="center"/>
              <w:rPr>
                <w:rFonts w:hint="eastAsia" w:ascii="宋体" w:hAnsi="宋体" w:eastAsia="宋体" w:cs="宋体"/>
                <w:color w:val="auto"/>
                <w:sz w:val="24"/>
                <w:szCs w:val="24"/>
                <w:highlight w:val="none"/>
                <w:lang w:val="en-US"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071D531C">
            <w:pPr>
              <w:widowControl/>
              <w:adjustRightInd/>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修剪不合理、不及时、不规范，有明显窜枝、高度过高等现象</w:t>
            </w:r>
            <w:r>
              <w:rPr>
                <w:rFonts w:hint="eastAsia" w:ascii="宋体" w:hAnsi="宋体" w:eastAsia="宋体" w:cs="宋体"/>
                <w:color w:val="auto"/>
                <w:sz w:val="24"/>
                <w:szCs w:val="24"/>
                <w:highlight w:val="none"/>
                <w:lang w:eastAsia="zh-CN"/>
              </w:rPr>
              <w:t>。</w:t>
            </w:r>
          </w:p>
          <w:p w14:paraId="2A803447">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有杂草、藤蔓覆盖、野株等。</w:t>
            </w:r>
          </w:p>
          <w:p w14:paraId="4597BA59">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死缺株、种植品种不统一、杂乱、密度不够。</w:t>
            </w:r>
          </w:p>
          <w:p w14:paraId="7A637F2E">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生长不良、水肥不及时、老化严重。</w:t>
            </w:r>
          </w:p>
        </w:tc>
        <w:tc>
          <w:tcPr>
            <w:tcW w:w="1683" w:type="dxa"/>
            <w:vMerge w:val="continue"/>
            <w:tcBorders>
              <w:left w:val="single" w:color="auto" w:sz="4" w:space="0"/>
              <w:right w:val="single" w:color="auto" w:sz="4" w:space="0"/>
            </w:tcBorders>
            <w:shd w:val="clear" w:color="auto" w:fill="FFFFFF" w:themeFill="background1"/>
            <w:noWrap w:val="0"/>
            <w:vAlign w:val="center"/>
          </w:tcPr>
          <w:p w14:paraId="1F51746E">
            <w:pPr>
              <w:widowControl/>
              <w:adjustRightInd/>
              <w:jc w:val="left"/>
              <w:rPr>
                <w:rFonts w:hint="eastAsia" w:ascii="宋体" w:hAnsi="宋体" w:eastAsia="宋体" w:cs="宋体"/>
                <w:color w:val="auto"/>
                <w:sz w:val="24"/>
                <w:szCs w:val="24"/>
                <w:highlight w:val="none"/>
                <w:lang w:val="en-US" w:eastAsia="zh-CN"/>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318BAD8C">
            <w:pPr>
              <w:widowControl/>
              <w:adjustRightInd/>
              <w:jc w:val="center"/>
              <w:rPr>
                <w:rFonts w:hint="eastAsia" w:ascii="宋体" w:hAnsi="宋体" w:eastAsia="宋体" w:cs="宋体"/>
                <w:color w:val="auto"/>
                <w:sz w:val="24"/>
                <w:szCs w:val="24"/>
                <w:highlight w:val="none"/>
                <w:lang w:val="en-US" w:eastAsia="zh-CN"/>
              </w:rPr>
            </w:pPr>
          </w:p>
        </w:tc>
      </w:tr>
      <w:tr w14:paraId="007C7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6421AA6E">
            <w:pPr>
              <w:widowControl/>
              <w:adjustRightInd/>
              <w:jc w:val="center"/>
              <w:rPr>
                <w:rFonts w:hint="eastAsia" w:ascii="宋体" w:hAnsi="宋体" w:eastAsia="宋体" w:cs="宋体"/>
                <w:color w:val="auto"/>
                <w:sz w:val="24"/>
                <w:szCs w:val="24"/>
                <w:highlight w:val="none"/>
                <w:lang w:val="en-US"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61456454">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草坪未及时修剪或修剪不规范。</w:t>
            </w:r>
          </w:p>
          <w:p w14:paraId="0BC406D0">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草坪、地被生长不良，反季节枯黄，大面积死亡。</w:t>
            </w:r>
          </w:p>
          <w:p w14:paraId="762866C2">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裸地、杂草、积水。</w:t>
            </w:r>
          </w:p>
          <w:p w14:paraId="0171A924">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13</w:t>
            </w:r>
            <w:r>
              <w:rPr>
                <w:rFonts w:hint="eastAsia" w:ascii="宋体" w:hAnsi="宋体" w:eastAsia="宋体" w:cs="宋体"/>
                <w:color w:val="auto"/>
                <w:sz w:val="24"/>
                <w:szCs w:val="24"/>
                <w:highlight w:val="none"/>
              </w:rPr>
              <w:t>草花更换不及时、密度不够、黄土裸露、残花败叶、整体景观效果不佳。</w:t>
            </w:r>
          </w:p>
        </w:tc>
        <w:tc>
          <w:tcPr>
            <w:tcW w:w="1683" w:type="dxa"/>
            <w:vMerge w:val="continue"/>
            <w:tcBorders>
              <w:left w:val="single" w:color="auto" w:sz="4" w:space="0"/>
              <w:right w:val="single" w:color="auto" w:sz="4" w:space="0"/>
            </w:tcBorders>
            <w:shd w:val="clear" w:color="auto" w:fill="FFFFFF" w:themeFill="background1"/>
            <w:noWrap w:val="0"/>
            <w:vAlign w:val="center"/>
          </w:tcPr>
          <w:p w14:paraId="4D8AA9C8">
            <w:pPr>
              <w:widowControl/>
              <w:adjustRightInd/>
              <w:jc w:val="left"/>
              <w:rPr>
                <w:rFonts w:hint="eastAsia" w:ascii="宋体" w:hAnsi="宋体" w:eastAsia="宋体" w:cs="宋体"/>
                <w:color w:val="auto"/>
                <w:sz w:val="24"/>
                <w:szCs w:val="24"/>
                <w:highlight w:val="none"/>
                <w:lang w:val="en-US" w:eastAsia="zh-CN"/>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64B6D463">
            <w:pPr>
              <w:widowControl/>
              <w:adjustRightInd/>
              <w:jc w:val="center"/>
              <w:rPr>
                <w:rFonts w:hint="eastAsia" w:ascii="宋体" w:hAnsi="宋体" w:eastAsia="宋体" w:cs="宋体"/>
                <w:color w:val="auto"/>
                <w:sz w:val="24"/>
                <w:szCs w:val="24"/>
                <w:highlight w:val="none"/>
                <w:lang w:val="en-US" w:eastAsia="zh-CN"/>
              </w:rPr>
            </w:pPr>
          </w:p>
        </w:tc>
      </w:tr>
      <w:tr w14:paraId="5E4AF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2"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17DEDF6A">
            <w:pPr>
              <w:widowControl/>
              <w:adjustRightInd/>
              <w:jc w:val="center"/>
              <w:rPr>
                <w:rFonts w:hint="eastAsia" w:ascii="宋体" w:hAnsi="宋体" w:eastAsia="宋体" w:cs="宋体"/>
                <w:color w:val="auto"/>
                <w:sz w:val="24"/>
                <w:szCs w:val="24"/>
                <w:highlight w:val="none"/>
                <w:lang w:val="en-US"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6906A82D">
            <w:pPr>
              <w:widowControl/>
              <w:adjustRightInd/>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14</w:t>
            </w:r>
            <w:r>
              <w:rPr>
                <w:rFonts w:hint="eastAsia" w:ascii="宋体" w:hAnsi="宋体" w:eastAsia="宋体" w:cs="宋体"/>
                <w:color w:val="auto"/>
                <w:sz w:val="24"/>
                <w:szCs w:val="24"/>
                <w:highlight w:val="none"/>
              </w:rPr>
              <w:t>有严重病虫害为害的，叶上有大面积虫粪虫网灰尘的</w:t>
            </w:r>
            <w:r>
              <w:rPr>
                <w:rFonts w:hint="eastAsia" w:ascii="宋体" w:hAnsi="宋体" w:eastAsia="宋体" w:cs="宋体"/>
                <w:color w:val="auto"/>
                <w:sz w:val="24"/>
                <w:szCs w:val="24"/>
                <w:highlight w:val="none"/>
                <w:lang w:eastAsia="zh-CN"/>
              </w:rPr>
              <w:t>。</w:t>
            </w:r>
          </w:p>
          <w:p w14:paraId="4C8E8588">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季节性防护措施不到位，不规范，影响植物正常生长，如防冻防晒措施、涂白等。</w:t>
            </w:r>
          </w:p>
        </w:tc>
        <w:tc>
          <w:tcPr>
            <w:tcW w:w="1683" w:type="dxa"/>
            <w:vMerge w:val="continue"/>
            <w:tcBorders>
              <w:left w:val="single" w:color="auto" w:sz="4" w:space="0"/>
              <w:right w:val="single" w:color="auto" w:sz="4" w:space="0"/>
            </w:tcBorders>
            <w:shd w:val="clear" w:color="auto" w:fill="FFFFFF" w:themeFill="background1"/>
            <w:noWrap w:val="0"/>
            <w:vAlign w:val="center"/>
          </w:tcPr>
          <w:p w14:paraId="13E90478">
            <w:pPr>
              <w:widowControl/>
              <w:adjustRightInd/>
              <w:jc w:val="left"/>
              <w:rPr>
                <w:rFonts w:hint="eastAsia" w:ascii="宋体" w:hAnsi="宋体" w:eastAsia="宋体" w:cs="宋体"/>
                <w:color w:val="auto"/>
                <w:kern w:val="2"/>
                <w:sz w:val="24"/>
                <w:szCs w:val="24"/>
                <w:highlight w:val="none"/>
                <w:lang w:val="en-US" w:eastAsia="zh-CN" w:bidi="ar-SA"/>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57F04833">
            <w:pPr>
              <w:widowControl/>
              <w:adjustRightInd/>
              <w:jc w:val="center"/>
              <w:rPr>
                <w:rFonts w:hint="eastAsia" w:ascii="宋体" w:hAnsi="宋体" w:eastAsia="宋体" w:cs="宋体"/>
                <w:color w:val="auto"/>
                <w:sz w:val="24"/>
                <w:szCs w:val="24"/>
                <w:highlight w:val="none"/>
                <w:lang w:val="en-US" w:eastAsia="zh-CN"/>
              </w:rPr>
            </w:pPr>
          </w:p>
        </w:tc>
      </w:tr>
      <w:tr w14:paraId="7236E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521" w:type="dxa"/>
            <w:vMerge w:val="restart"/>
            <w:tcBorders>
              <w:top w:val="single" w:color="auto" w:sz="4" w:space="0"/>
              <w:left w:val="single" w:color="auto" w:sz="4" w:space="0"/>
              <w:right w:val="single" w:color="auto" w:sz="4" w:space="0"/>
            </w:tcBorders>
            <w:shd w:val="clear" w:color="auto" w:fill="FFFFFF" w:themeFill="background1"/>
            <w:noWrap w:val="0"/>
            <w:vAlign w:val="center"/>
          </w:tcPr>
          <w:p w14:paraId="78CC0433">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园容</w:t>
            </w:r>
            <w:r>
              <w:rPr>
                <w:rFonts w:hint="eastAsia" w:ascii="宋体" w:hAnsi="宋体" w:eastAsia="宋体" w:cs="宋体"/>
                <w:color w:val="auto"/>
                <w:sz w:val="24"/>
                <w:szCs w:val="24"/>
                <w:highlight w:val="none"/>
              </w:rPr>
              <w:t>保洁</w:t>
            </w: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539377B7">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1.16园内各类</w:t>
            </w:r>
            <w:r>
              <w:rPr>
                <w:rFonts w:hint="eastAsia" w:ascii="宋体" w:hAnsi="宋体" w:eastAsia="宋体" w:cs="宋体"/>
                <w:color w:val="auto"/>
                <w:sz w:val="24"/>
                <w:szCs w:val="24"/>
                <w:highlight w:val="none"/>
              </w:rPr>
              <w:t>园椅</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园凳、果壳箱、标识牌、灯杆、雕塑、栏杆、景观灯、游乐设施等存在</w:t>
            </w:r>
            <w:r>
              <w:rPr>
                <w:rFonts w:hint="eastAsia" w:ascii="宋体" w:hAnsi="宋体" w:eastAsia="宋体" w:cs="宋体"/>
                <w:color w:val="auto"/>
                <w:sz w:val="24"/>
                <w:szCs w:val="24"/>
                <w:highlight w:val="none"/>
              </w:rPr>
              <w:t>明显灰尘</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蜘蛛网、</w:t>
            </w:r>
            <w:r>
              <w:rPr>
                <w:rFonts w:hint="eastAsia" w:ascii="宋体" w:hAnsi="宋体" w:eastAsia="宋体" w:cs="宋体"/>
                <w:color w:val="auto"/>
                <w:sz w:val="24"/>
                <w:szCs w:val="24"/>
                <w:highlight w:val="none"/>
              </w:rPr>
              <w:t>污渍</w:t>
            </w:r>
            <w:r>
              <w:rPr>
                <w:rFonts w:hint="eastAsia" w:ascii="宋体" w:hAnsi="宋体" w:eastAsia="宋体" w:cs="宋体"/>
                <w:color w:val="auto"/>
                <w:sz w:val="24"/>
                <w:szCs w:val="24"/>
                <w:highlight w:val="none"/>
                <w:lang w:val="en-US" w:eastAsia="zh-CN"/>
              </w:rPr>
              <w:t>或垃圾</w:t>
            </w:r>
            <w:r>
              <w:rPr>
                <w:rFonts w:hint="eastAsia" w:ascii="宋体" w:hAnsi="宋体" w:eastAsia="宋体" w:cs="宋体"/>
                <w:color w:val="auto"/>
                <w:sz w:val="24"/>
                <w:szCs w:val="24"/>
                <w:highlight w:val="none"/>
                <w:lang w:eastAsia="zh-CN"/>
              </w:rPr>
              <w:t>。</w:t>
            </w:r>
          </w:p>
        </w:tc>
        <w:tc>
          <w:tcPr>
            <w:tcW w:w="1683" w:type="dxa"/>
            <w:vMerge w:val="restart"/>
            <w:tcBorders>
              <w:top w:val="single" w:color="auto" w:sz="4" w:space="0"/>
              <w:left w:val="single" w:color="auto" w:sz="4" w:space="0"/>
              <w:right w:val="single" w:color="auto" w:sz="4" w:space="0"/>
            </w:tcBorders>
            <w:shd w:val="clear" w:color="auto" w:fill="FFFFFF" w:themeFill="background1"/>
            <w:noWrap w:val="0"/>
            <w:vAlign w:val="center"/>
          </w:tcPr>
          <w:p w14:paraId="219A33AB">
            <w:pPr>
              <w:widowControl/>
              <w:adjustRightInd/>
              <w:jc w:val="left"/>
              <w:rPr>
                <w:rFonts w:hint="eastAsia" w:ascii="宋体" w:hAnsi="宋体" w:eastAsia="宋体" w:cs="宋体"/>
                <w:color w:val="auto"/>
                <w:kern w:val="2"/>
                <w:sz w:val="24"/>
                <w:szCs w:val="24"/>
                <w:highlight w:val="none"/>
                <w:lang w:val="en-US" w:eastAsia="zh-CN" w:bidi="ar-SA"/>
              </w:rPr>
            </w:pPr>
          </w:p>
          <w:p w14:paraId="638DFA2A">
            <w:pPr>
              <w:widowControl/>
              <w:adjustRightInd/>
              <w:jc w:val="left"/>
              <w:rPr>
                <w:rFonts w:hint="eastAsia" w:ascii="宋体" w:hAnsi="宋体" w:eastAsia="宋体" w:cs="宋体"/>
                <w:color w:val="auto"/>
                <w:sz w:val="24"/>
                <w:szCs w:val="24"/>
                <w:highlight w:val="none"/>
                <w:lang w:val="en-US" w:eastAsia="zh-CN"/>
              </w:rPr>
            </w:pPr>
          </w:p>
          <w:p w14:paraId="7E676B0C">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每发现一次扣0.5分（当月累计扣分）。</w:t>
            </w:r>
          </w:p>
        </w:tc>
        <w:tc>
          <w:tcPr>
            <w:tcW w:w="863" w:type="dxa"/>
            <w:vMerge w:val="restart"/>
            <w:tcBorders>
              <w:top w:val="single" w:color="auto" w:sz="4" w:space="0"/>
              <w:left w:val="single" w:color="auto" w:sz="4" w:space="0"/>
              <w:right w:val="single" w:color="auto" w:sz="4" w:space="0"/>
            </w:tcBorders>
            <w:shd w:val="clear" w:color="auto" w:fill="FFFFFF" w:themeFill="background1"/>
            <w:noWrap w:val="0"/>
            <w:vAlign w:val="center"/>
          </w:tcPr>
          <w:p w14:paraId="0474CEC9">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w:t>
            </w:r>
          </w:p>
        </w:tc>
      </w:tr>
      <w:tr w14:paraId="596FD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70434315">
            <w:pPr>
              <w:widowControl/>
              <w:adjustRightInd/>
              <w:jc w:val="center"/>
              <w:rPr>
                <w:rFonts w:hint="eastAsia" w:ascii="宋体" w:hAnsi="宋体" w:eastAsia="宋体" w:cs="宋体"/>
                <w:color w:val="auto"/>
                <w:sz w:val="24"/>
                <w:szCs w:val="24"/>
                <w:highlight w:val="none"/>
                <w:lang w:val="en-US"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1FE99297">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1.17园内园路、硬质铺装等存在明显积水、</w:t>
            </w:r>
            <w:r>
              <w:rPr>
                <w:rFonts w:hint="eastAsia" w:ascii="宋体" w:hAnsi="宋体" w:eastAsia="宋体" w:cs="宋体"/>
                <w:color w:val="auto"/>
                <w:sz w:val="24"/>
                <w:szCs w:val="24"/>
                <w:highlight w:val="none"/>
              </w:rPr>
              <w:t>污渍、垃圾、积泥、青苔，接缝杂草</w:t>
            </w:r>
            <w:r>
              <w:rPr>
                <w:rFonts w:hint="eastAsia" w:ascii="宋体" w:hAnsi="宋体" w:eastAsia="宋体" w:cs="宋体"/>
                <w:color w:val="auto"/>
                <w:sz w:val="24"/>
                <w:szCs w:val="24"/>
                <w:highlight w:val="none"/>
                <w:lang w:val="en-US" w:eastAsia="zh-CN"/>
              </w:rPr>
              <w:t>等。</w:t>
            </w:r>
          </w:p>
        </w:tc>
        <w:tc>
          <w:tcPr>
            <w:tcW w:w="1683" w:type="dxa"/>
            <w:vMerge w:val="continue"/>
            <w:tcBorders>
              <w:left w:val="single" w:color="auto" w:sz="4" w:space="0"/>
              <w:right w:val="single" w:color="auto" w:sz="4" w:space="0"/>
            </w:tcBorders>
            <w:shd w:val="clear" w:color="auto" w:fill="FFFFFF" w:themeFill="background1"/>
            <w:noWrap w:val="0"/>
            <w:vAlign w:val="center"/>
          </w:tcPr>
          <w:p w14:paraId="1C7C1575">
            <w:pPr>
              <w:widowControl/>
              <w:adjustRightInd/>
              <w:jc w:val="left"/>
              <w:rPr>
                <w:rFonts w:hint="eastAsia" w:ascii="宋体" w:hAnsi="宋体" w:eastAsia="宋体" w:cs="宋体"/>
                <w:color w:val="auto"/>
                <w:kern w:val="2"/>
                <w:sz w:val="24"/>
                <w:szCs w:val="24"/>
                <w:highlight w:val="none"/>
                <w:lang w:val="en-US" w:eastAsia="zh-CN" w:bidi="ar-SA"/>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0DEEFC37">
            <w:pPr>
              <w:widowControl/>
              <w:adjustRightInd/>
              <w:jc w:val="center"/>
              <w:rPr>
                <w:rFonts w:hint="eastAsia" w:ascii="宋体" w:hAnsi="宋体" w:eastAsia="宋体" w:cs="宋体"/>
                <w:color w:val="auto"/>
                <w:sz w:val="24"/>
                <w:szCs w:val="24"/>
                <w:highlight w:val="none"/>
                <w:lang w:val="en-US" w:eastAsia="zh-CN"/>
              </w:rPr>
            </w:pPr>
          </w:p>
        </w:tc>
      </w:tr>
      <w:tr w14:paraId="1BED4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2"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0B2C7B1C">
            <w:pPr>
              <w:widowControl/>
              <w:adjustRightInd/>
              <w:jc w:val="center"/>
              <w:rPr>
                <w:rFonts w:hint="eastAsia" w:ascii="宋体" w:hAnsi="宋体" w:eastAsia="宋体" w:cs="宋体"/>
                <w:color w:val="auto"/>
                <w:sz w:val="24"/>
                <w:szCs w:val="24"/>
                <w:highlight w:val="none"/>
                <w:lang w:val="en-US"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100D7880">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1.18园内绿地存在</w:t>
            </w:r>
            <w:r>
              <w:rPr>
                <w:rFonts w:hint="eastAsia" w:ascii="宋体" w:hAnsi="宋体" w:eastAsia="宋体" w:cs="宋体"/>
                <w:color w:val="auto"/>
                <w:sz w:val="24"/>
                <w:szCs w:val="24"/>
                <w:highlight w:val="none"/>
              </w:rPr>
              <w:t>白色垃圾、烟蒂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明显</w:t>
            </w:r>
            <w:r>
              <w:rPr>
                <w:rFonts w:hint="eastAsia" w:ascii="宋体" w:hAnsi="宋体" w:eastAsia="宋体" w:cs="宋体"/>
                <w:color w:val="auto"/>
                <w:sz w:val="24"/>
                <w:szCs w:val="24"/>
                <w:highlight w:val="none"/>
              </w:rPr>
              <w:t>枯枝</w:t>
            </w:r>
            <w:r>
              <w:rPr>
                <w:rFonts w:hint="eastAsia" w:ascii="宋体" w:hAnsi="宋体" w:eastAsia="宋体" w:cs="宋体"/>
                <w:color w:val="auto"/>
                <w:sz w:val="24"/>
                <w:szCs w:val="24"/>
                <w:highlight w:val="none"/>
                <w:lang w:eastAsia="zh-CN"/>
              </w:rPr>
              <w:t>等，</w:t>
            </w:r>
            <w:r>
              <w:rPr>
                <w:rFonts w:hint="eastAsia" w:ascii="宋体" w:hAnsi="宋体" w:eastAsia="宋体" w:cs="宋体"/>
                <w:color w:val="auto"/>
                <w:sz w:val="24"/>
                <w:szCs w:val="24"/>
                <w:highlight w:val="none"/>
              </w:rPr>
              <w:t>雨水沟、窨井</w:t>
            </w:r>
            <w:r>
              <w:rPr>
                <w:rFonts w:hint="eastAsia" w:ascii="宋体" w:hAnsi="宋体" w:eastAsia="宋体" w:cs="宋体"/>
                <w:color w:val="auto"/>
                <w:sz w:val="24"/>
                <w:szCs w:val="24"/>
                <w:highlight w:val="none"/>
                <w:lang w:val="en-US" w:eastAsia="zh-CN"/>
              </w:rPr>
              <w:t>存在大量落叶堵塞情况。</w:t>
            </w:r>
          </w:p>
        </w:tc>
        <w:tc>
          <w:tcPr>
            <w:tcW w:w="1683" w:type="dxa"/>
            <w:vMerge w:val="continue"/>
            <w:tcBorders>
              <w:left w:val="single" w:color="auto" w:sz="4" w:space="0"/>
              <w:right w:val="single" w:color="auto" w:sz="4" w:space="0"/>
            </w:tcBorders>
            <w:shd w:val="clear" w:color="auto" w:fill="FFFFFF" w:themeFill="background1"/>
            <w:noWrap w:val="0"/>
            <w:vAlign w:val="center"/>
          </w:tcPr>
          <w:p w14:paraId="0B1467AF">
            <w:pPr>
              <w:widowControl/>
              <w:adjustRightInd/>
              <w:jc w:val="left"/>
              <w:rPr>
                <w:rFonts w:hint="eastAsia" w:ascii="宋体" w:hAnsi="宋体" w:eastAsia="宋体" w:cs="宋体"/>
                <w:color w:val="auto"/>
                <w:sz w:val="24"/>
                <w:szCs w:val="24"/>
                <w:highlight w:val="none"/>
                <w:lang w:val="en-US" w:eastAsia="zh-CN"/>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11982568">
            <w:pPr>
              <w:widowControl/>
              <w:adjustRightInd/>
              <w:jc w:val="center"/>
              <w:rPr>
                <w:rFonts w:hint="eastAsia" w:ascii="宋体" w:hAnsi="宋体" w:eastAsia="宋体" w:cs="宋体"/>
                <w:color w:val="auto"/>
                <w:sz w:val="24"/>
                <w:szCs w:val="24"/>
                <w:highlight w:val="none"/>
                <w:lang w:val="en-US" w:eastAsia="zh-CN"/>
              </w:rPr>
            </w:pPr>
          </w:p>
        </w:tc>
      </w:tr>
      <w:tr w14:paraId="79613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2"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70B05833">
            <w:pPr>
              <w:widowControl/>
              <w:adjustRightInd/>
              <w:jc w:val="center"/>
              <w:rPr>
                <w:rFonts w:hint="eastAsia" w:ascii="宋体" w:hAnsi="宋体" w:eastAsia="宋体" w:cs="宋体"/>
                <w:color w:val="auto"/>
                <w:sz w:val="24"/>
                <w:szCs w:val="24"/>
                <w:highlight w:val="none"/>
                <w:lang w:val="en-US"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37205AD2">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1.19园内垃圾未日产日清，存在</w:t>
            </w:r>
            <w:r>
              <w:rPr>
                <w:rFonts w:hint="eastAsia" w:ascii="宋体" w:hAnsi="宋体" w:eastAsia="宋体" w:cs="宋体"/>
                <w:color w:val="auto"/>
                <w:sz w:val="24"/>
                <w:szCs w:val="24"/>
                <w:highlight w:val="none"/>
              </w:rPr>
              <w:t>绿地及路旁遗留垃圾</w:t>
            </w:r>
            <w:r>
              <w:rPr>
                <w:rFonts w:hint="eastAsia" w:ascii="宋体" w:hAnsi="宋体" w:eastAsia="宋体" w:cs="宋体"/>
                <w:color w:val="auto"/>
                <w:sz w:val="24"/>
                <w:szCs w:val="24"/>
                <w:highlight w:val="none"/>
                <w:lang w:val="en-US" w:eastAsia="zh-CN"/>
              </w:rPr>
              <w:t>情况，垃圾分类不到位，存在混投等情况。</w:t>
            </w:r>
          </w:p>
        </w:tc>
        <w:tc>
          <w:tcPr>
            <w:tcW w:w="1683" w:type="dxa"/>
            <w:vMerge w:val="continue"/>
            <w:tcBorders>
              <w:left w:val="single" w:color="auto" w:sz="4" w:space="0"/>
              <w:right w:val="single" w:color="auto" w:sz="4" w:space="0"/>
            </w:tcBorders>
            <w:shd w:val="clear" w:color="auto" w:fill="FFFFFF" w:themeFill="background1"/>
            <w:noWrap w:val="0"/>
            <w:vAlign w:val="center"/>
          </w:tcPr>
          <w:p w14:paraId="56A71212">
            <w:pPr>
              <w:widowControl/>
              <w:adjustRightInd/>
              <w:jc w:val="left"/>
              <w:rPr>
                <w:rFonts w:hint="eastAsia" w:ascii="宋体" w:hAnsi="宋体" w:eastAsia="宋体" w:cs="宋体"/>
                <w:color w:val="auto"/>
                <w:sz w:val="24"/>
                <w:szCs w:val="24"/>
                <w:highlight w:val="none"/>
                <w:lang w:val="en-US" w:eastAsia="zh-CN"/>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579CC779">
            <w:pPr>
              <w:widowControl/>
              <w:adjustRightInd/>
              <w:jc w:val="center"/>
              <w:rPr>
                <w:rFonts w:hint="eastAsia" w:ascii="宋体" w:hAnsi="宋体" w:eastAsia="宋体" w:cs="宋体"/>
                <w:color w:val="auto"/>
                <w:sz w:val="24"/>
                <w:szCs w:val="24"/>
                <w:highlight w:val="none"/>
                <w:lang w:val="en-US" w:eastAsia="zh-CN"/>
              </w:rPr>
            </w:pPr>
          </w:p>
        </w:tc>
      </w:tr>
      <w:tr w14:paraId="532E0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2"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6E6726E3">
            <w:pPr>
              <w:widowControl/>
              <w:adjustRightInd/>
              <w:jc w:val="center"/>
              <w:rPr>
                <w:rFonts w:hint="eastAsia" w:ascii="宋体" w:hAnsi="宋体" w:eastAsia="宋体" w:cs="宋体"/>
                <w:color w:val="auto"/>
                <w:sz w:val="24"/>
                <w:szCs w:val="24"/>
                <w:highlight w:val="none"/>
                <w:lang w:val="en-US"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23C101DC">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1.20保洁作业车、</w:t>
            </w:r>
            <w:r>
              <w:rPr>
                <w:rFonts w:hint="eastAsia" w:ascii="宋体" w:hAnsi="宋体" w:eastAsia="宋体" w:cs="宋体"/>
                <w:color w:val="auto"/>
                <w:sz w:val="24"/>
                <w:szCs w:val="24"/>
                <w:highlight w:val="none"/>
              </w:rPr>
              <w:t>垃圾</w:t>
            </w:r>
            <w:r>
              <w:rPr>
                <w:rFonts w:hint="eastAsia" w:ascii="宋体" w:hAnsi="宋体" w:eastAsia="宋体" w:cs="宋体"/>
                <w:color w:val="auto"/>
                <w:sz w:val="24"/>
                <w:szCs w:val="24"/>
                <w:highlight w:val="none"/>
                <w:lang w:val="en-US" w:eastAsia="zh-CN"/>
              </w:rPr>
              <w:t>运输</w:t>
            </w:r>
            <w:r>
              <w:rPr>
                <w:rFonts w:hint="eastAsia" w:ascii="宋体" w:hAnsi="宋体" w:eastAsia="宋体" w:cs="宋体"/>
                <w:color w:val="auto"/>
                <w:sz w:val="24"/>
                <w:szCs w:val="24"/>
                <w:highlight w:val="none"/>
              </w:rPr>
              <w:t>车</w:t>
            </w:r>
            <w:r>
              <w:rPr>
                <w:rFonts w:hint="eastAsia" w:ascii="宋体" w:hAnsi="宋体" w:eastAsia="宋体" w:cs="宋体"/>
                <w:color w:val="auto"/>
                <w:sz w:val="24"/>
                <w:szCs w:val="24"/>
                <w:highlight w:val="none"/>
                <w:lang w:val="en-US" w:eastAsia="zh-CN"/>
              </w:rPr>
              <w:t>不整洁</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作业</w:t>
            </w:r>
            <w:r>
              <w:rPr>
                <w:rFonts w:hint="eastAsia" w:ascii="宋体" w:hAnsi="宋体" w:eastAsia="宋体" w:cs="宋体"/>
                <w:color w:val="auto"/>
                <w:sz w:val="24"/>
                <w:szCs w:val="24"/>
                <w:highlight w:val="none"/>
                <w:lang w:eastAsia="zh-CN"/>
              </w:rPr>
              <w:t>车</w:t>
            </w:r>
            <w:r>
              <w:rPr>
                <w:rFonts w:hint="eastAsia" w:ascii="宋体" w:hAnsi="宋体" w:eastAsia="宋体" w:cs="宋体"/>
                <w:color w:val="auto"/>
                <w:sz w:val="24"/>
                <w:szCs w:val="24"/>
                <w:highlight w:val="none"/>
                <w:lang w:val="en-US" w:eastAsia="zh-CN"/>
              </w:rPr>
              <w:t>未定点停放，</w:t>
            </w:r>
            <w:r>
              <w:rPr>
                <w:rFonts w:hint="eastAsia" w:ascii="宋体" w:hAnsi="宋体" w:eastAsia="宋体" w:cs="宋体"/>
                <w:color w:val="auto"/>
                <w:sz w:val="24"/>
                <w:szCs w:val="24"/>
                <w:highlight w:val="none"/>
              </w:rPr>
              <w:t>停放在草坪、地被植物上。</w:t>
            </w:r>
          </w:p>
        </w:tc>
        <w:tc>
          <w:tcPr>
            <w:tcW w:w="1683" w:type="dxa"/>
            <w:vMerge w:val="continue"/>
            <w:tcBorders>
              <w:left w:val="single" w:color="auto" w:sz="4" w:space="0"/>
              <w:bottom w:val="single" w:color="auto" w:sz="4" w:space="0"/>
              <w:right w:val="single" w:color="auto" w:sz="4" w:space="0"/>
            </w:tcBorders>
            <w:shd w:val="clear" w:color="auto" w:fill="FFFFFF" w:themeFill="background1"/>
            <w:noWrap w:val="0"/>
            <w:vAlign w:val="center"/>
          </w:tcPr>
          <w:p w14:paraId="2CED0271">
            <w:pPr>
              <w:widowControl/>
              <w:adjustRightInd/>
              <w:jc w:val="left"/>
              <w:rPr>
                <w:rFonts w:hint="eastAsia" w:ascii="宋体" w:hAnsi="宋体" w:eastAsia="宋体" w:cs="宋体"/>
                <w:color w:val="auto"/>
                <w:sz w:val="24"/>
                <w:szCs w:val="24"/>
                <w:highlight w:val="none"/>
                <w:lang w:val="en-US" w:eastAsia="zh-CN"/>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0F28432F">
            <w:pPr>
              <w:widowControl/>
              <w:adjustRightInd/>
              <w:jc w:val="center"/>
              <w:rPr>
                <w:rFonts w:hint="eastAsia" w:ascii="宋体" w:hAnsi="宋体" w:eastAsia="宋体" w:cs="宋体"/>
                <w:color w:val="auto"/>
                <w:sz w:val="24"/>
                <w:szCs w:val="24"/>
                <w:highlight w:val="none"/>
                <w:lang w:val="en-US" w:eastAsia="zh-CN"/>
              </w:rPr>
            </w:pPr>
          </w:p>
        </w:tc>
      </w:tr>
      <w:tr w14:paraId="5CF78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2" w:hRule="atLeast"/>
          <w:jc w:val="center"/>
        </w:trPr>
        <w:tc>
          <w:tcPr>
            <w:tcW w:w="1521" w:type="dxa"/>
            <w:vMerge w:val="restart"/>
            <w:tcBorders>
              <w:left w:val="single" w:color="auto" w:sz="4" w:space="0"/>
              <w:right w:val="single" w:color="auto" w:sz="4" w:space="0"/>
            </w:tcBorders>
            <w:shd w:val="clear" w:color="auto" w:fill="FFFFFF" w:themeFill="background1"/>
            <w:noWrap w:val="0"/>
            <w:vAlign w:val="center"/>
          </w:tcPr>
          <w:p w14:paraId="16C965D2">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公厕管理</w:t>
            </w: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633ECA39">
            <w:pPr>
              <w:widowControl/>
              <w:adjustRightInd/>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1.21</w:t>
            </w:r>
            <w:r>
              <w:rPr>
                <w:rFonts w:hint="eastAsia" w:ascii="宋体" w:hAnsi="宋体" w:eastAsia="宋体" w:cs="宋体"/>
                <w:color w:val="auto"/>
                <w:sz w:val="24"/>
                <w:szCs w:val="24"/>
                <w:highlight w:val="none"/>
              </w:rPr>
              <w:t>标识标牌</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设施设备</w:t>
            </w:r>
            <w:r>
              <w:rPr>
                <w:rFonts w:hint="eastAsia" w:ascii="宋体" w:hAnsi="宋体" w:eastAsia="宋体" w:cs="宋体"/>
                <w:color w:val="auto"/>
                <w:sz w:val="24"/>
                <w:szCs w:val="24"/>
                <w:highlight w:val="none"/>
                <w:lang w:val="en-US" w:eastAsia="zh-CN"/>
              </w:rPr>
              <w:t>等发现</w:t>
            </w:r>
            <w:r>
              <w:rPr>
                <w:rFonts w:hint="eastAsia" w:ascii="宋体" w:hAnsi="宋体" w:eastAsia="宋体" w:cs="宋体"/>
                <w:color w:val="auto"/>
                <w:sz w:val="24"/>
                <w:szCs w:val="24"/>
                <w:highlight w:val="none"/>
              </w:rPr>
              <w:t>破损、残缺，影响正常使用。</w:t>
            </w:r>
          </w:p>
        </w:tc>
        <w:tc>
          <w:tcPr>
            <w:tcW w:w="1683" w:type="dxa"/>
            <w:vMerge w:val="restart"/>
            <w:tcBorders>
              <w:left w:val="single" w:color="auto" w:sz="4" w:space="0"/>
              <w:right w:val="single" w:color="auto" w:sz="4" w:space="0"/>
            </w:tcBorders>
            <w:shd w:val="clear" w:color="auto" w:fill="FFFFFF" w:themeFill="background1"/>
            <w:noWrap w:val="0"/>
            <w:vAlign w:val="center"/>
          </w:tcPr>
          <w:p w14:paraId="2E19E336">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每发现一处扣0.5分。</w:t>
            </w:r>
          </w:p>
        </w:tc>
        <w:tc>
          <w:tcPr>
            <w:tcW w:w="863" w:type="dxa"/>
            <w:vMerge w:val="restart"/>
            <w:tcBorders>
              <w:left w:val="single" w:color="auto" w:sz="4" w:space="0"/>
              <w:right w:val="single" w:color="auto" w:sz="4" w:space="0"/>
            </w:tcBorders>
            <w:shd w:val="clear" w:color="auto" w:fill="FFFFFF" w:themeFill="background1"/>
            <w:noWrap w:val="0"/>
            <w:vAlign w:val="center"/>
          </w:tcPr>
          <w:p w14:paraId="1DF254F0">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r>
      <w:tr w14:paraId="5BDA5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1D898B6C">
            <w:pPr>
              <w:widowControl/>
              <w:adjustRightInd/>
              <w:jc w:val="center"/>
              <w:rPr>
                <w:rFonts w:hint="eastAsia" w:ascii="宋体" w:hAnsi="宋体" w:eastAsia="宋体" w:cs="宋体"/>
                <w:color w:val="auto"/>
                <w:sz w:val="24"/>
                <w:szCs w:val="24"/>
                <w:highlight w:val="none"/>
                <w:lang w:val="en-US"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0C78D4C5">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1.22</w:t>
            </w:r>
            <w:r>
              <w:rPr>
                <w:rFonts w:hint="eastAsia" w:ascii="宋体" w:hAnsi="宋体" w:eastAsia="宋体" w:cs="宋体"/>
                <w:color w:val="auto"/>
                <w:sz w:val="24"/>
                <w:szCs w:val="24"/>
                <w:highlight w:val="none"/>
              </w:rPr>
              <w:t>厕内环境</w:t>
            </w:r>
            <w:r>
              <w:rPr>
                <w:rFonts w:hint="eastAsia" w:ascii="宋体" w:hAnsi="宋体" w:eastAsia="宋体" w:cs="宋体"/>
                <w:color w:val="auto"/>
                <w:sz w:val="24"/>
                <w:szCs w:val="24"/>
                <w:highlight w:val="none"/>
                <w:lang w:val="en-US" w:eastAsia="zh-CN"/>
              </w:rPr>
              <w:t>不</w:t>
            </w:r>
            <w:r>
              <w:rPr>
                <w:rFonts w:hint="eastAsia" w:ascii="宋体" w:hAnsi="宋体" w:eastAsia="宋体" w:cs="宋体"/>
                <w:color w:val="auto"/>
                <w:sz w:val="24"/>
                <w:szCs w:val="24"/>
                <w:highlight w:val="none"/>
              </w:rPr>
              <w:t>整洁（</w:t>
            </w:r>
            <w:r>
              <w:rPr>
                <w:rFonts w:hint="eastAsia" w:ascii="宋体" w:hAnsi="宋体" w:eastAsia="宋体" w:cs="宋体"/>
                <w:color w:val="auto"/>
                <w:sz w:val="24"/>
                <w:szCs w:val="24"/>
                <w:highlight w:val="none"/>
                <w:lang w:val="en-US" w:eastAsia="zh-CN"/>
              </w:rPr>
              <w:t>存在</w:t>
            </w:r>
            <w:r>
              <w:rPr>
                <w:rFonts w:hint="eastAsia" w:ascii="宋体" w:hAnsi="宋体" w:eastAsia="宋体" w:cs="宋体"/>
                <w:color w:val="auto"/>
                <w:sz w:val="24"/>
                <w:szCs w:val="24"/>
                <w:highlight w:val="none"/>
              </w:rPr>
              <w:t>便渍、可见垃圾、积灰蛛网、乱涂写乱张贴等</w:t>
            </w:r>
            <w:r>
              <w:rPr>
                <w:rFonts w:hint="eastAsia" w:ascii="宋体" w:hAnsi="宋体" w:eastAsia="宋体" w:cs="宋体"/>
                <w:color w:val="auto"/>
                <w:sz w:val="24"/>
                <w:szCs w:val="24"/>
                <w:highlight w:val="none"/>
                <w:lang w:val="en-US" w:eastAsia="zh-CN"/>
              </w:rPr>
              <w:t>现象</w:t>
            </w:r>
            <w:r>
              <w:rPr>
                <w:rFonts w:hint="eastAsia" w:ascii="宋体" w:hAnsi="宋体" w:eastAsia="宋体" w:cs="宋体"/>
                <w:color w:val="auto"/>
                <w:sz w:val="24"/>
                <w:szCs w:val="24"/>
                <w:highlight w:val="none"/>
              </w:rPr>
              <w:t>）。</w:t>
            </w:r>
          </w:p>
        </w:tc>
        <w:tc>
          <w:tcPr>
            <w:tcW w:w="1683" w:type="dxa"/>
            <w:vMerge w:val="continue"/>
            <w:tcBorders>
              <w:left w:val="single" w:color="auto" w:sz="4" w:space="0"/>
              <w:right w:val="single" w:color="auto" w:sz="4" w:space="0"/>
            </w:tcBorders>
            <w:shd w:val="clear" w:color="auto" w:fill="FFFFFF" w:themeFill="background1"/>
            <w:noWrap w:val="0"/>
            <w:vAlign w:val="center"/>
          </w:tcPr>
          <w:p w14:paraId="3010FCD6">
            <w:pPr>
              <w:widowControl/>
              <w:adjustRightInd/>
              <w:jc w:val="left"/>
              <w:rPr>
                <w:rFonts w:hint="eastAsia" w:ascii="宋体" w:hAnsi="宋体" w:eastAsia="宋体" w:cs="宋体"/>
                <w:color w:val="auto"/>
                <w:sz w:val="24"/>
                <w:szCs w:val="24"/>
                <w:highlight w:val="none"/>
                <w:lang w:val="en-US" w:eastAsia="zh-CN"/>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177995A2">
            <w:pPr>
              <w:widowControl/>
              <w:adjustRightInd/>
              <w:jc w:val="center"/>
              <w:rPr>
                <w:rFonts w:hint="eastAsia" w:ascii="宋体" w:hAnsi="宋体" w:eastAsia="宋体" w:cs="宋体"/>
                <w:color w:val="auto"/>
                <w:sz w:val="24"/>
                <w:szCs w:val="24"/>
                <w:highlight w:val="none"/>
                <w:lang w:val="en-US" w:eastAsia="zh-CN"/>
              </w:rPr>
            </w:pPr>
          </w:p>
        </w:tc>
      </w:tr>
      <w:tr w14:paraId="2CF2D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24"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114B6B88">
            <w:pPr>
              <w:widowControl/>
              <w:adjustRightInd/>
              <w:jc w:val="center"/>
              <w:rPr>
                <w:rFonts w:hint="eastAsia" w:ascii="宋体" w:hAnsi="宋体" w:eastAsia="宋体" w:cs="宋体"/>
                <w:color w:val="auto"/>
                <w:sz w:val="24"/>
                <w:szCs w:val="24"/>
                <w:highlight w:val="none"/>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49F208C4">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1.23</w:t>
            </w:r>
            <w:r>
              <w:rPr>
                <w:rFonts w:hint="eastAsia" w:ascii="宋体" w:hAnsi="宋体" w:eastAsia="宋体" w:cs="宋体"/>
                <w:color w:val="auto"/>
                <w:sz w:val="24"/>
                <w:szCs w:val="24"/>
                <w:highlight w:val="none"/>
              </w:rPr>
              <w:t>垃圾桶满溢的或厕间废纸篓超过三分之一的。</w:t>
            </w:r>
          </w:p>
        </w:tc>
        <w:tc>
          <w:tcPr>
            <w:tcW w:w="1683" w:type="dxa"/>
            <w:vMerge w:val="continue"/>
            <w:tcBorders>
              <w:left w:val="single" w:color="auto" w:sz="4" w:space="0"/>
              <w:right w:val="single" w:color="auto" w:sz="4" w:space="0"/>
            </w:tcBorders>
            <w:shd w:val="clear" w:color="auto" w:fill="FFFFFF" w:themeFill="background1"/>
            <w:noWrap w:val="0"/>
            <w:vAlign w:val="center"/>
          </w:tcPr>
          <w:p w14:paraId="7F5CC2C5">
            <w:pPr>
              <w:widowControl/>
              <w:adjustRightInd/>
              <w:jc w:val="left"/>
              <w:rPr>
                <w:rFonts w:hint="eastAsia" w:ascii="宋体" w:hAnsi="宋体" w:eastAsia="宋体" w:cs="宋体"/>
                <w:color w:val="auto"/>
                <w:sz w:val="24"/>
                <w:szCs w:val="24"/>
                <w:highlight w:val="none"/>
                <w:lang w:val="en-US" w:eastAsia="zh-CN"/>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65AA34DC">
            <w:pPr>
              <w:widowControl/>
              <w:adjustRightInd/>
              <w:jc w:val="center"/>
              <w:rPr>
                <w:rFonts w:hint="eastAsia" w:ascii="宋体" w:hAnsi="宋体" w:eastAsia="宋体" w:cs="宋体"/>
                <w:color w:val="auto"/>
                <w:sz w:val="24"/>
                <w:szCs w:val="24"/>
                <w:highlight w:val="none"/>
                <w:lang w:val="en-US" w:eastAsia="zh-CN"/>
              </w:rPr>
            </w:pPr>
          </w:p>
        </w:tc>
      </w:tr>
      <w:tr w14:paraId="7D666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24"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5B51BE9F">
            <w:pPr>
              <w:widowControl/>
              <w:adjustRightInd/>
              <w:jc w:val="center"/>
              <w:rPr>
                <w:rFonts w:hint="eastAsia" w:ascii="宋体" w:hAnsi="宋体" w:eastAsia="宋体" w:cs="宋体"/>
                <w:color w:val="auto"/>
                <w:sz w:val="24"/>
                <w:szCs w:val="24"/>
                <w:highlight w:val="none"/>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669E09DD">
            <w:pPr>
              <w:widowControl/>
              <w:adjustRightInd/>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1.24未按规定</w:t>
            </w:r>
            <w:r>
              <w:rPr>
                <w:rFonts w:hint="eastAsia" w:ascii="宋体" w:hAnsi="宋体" w:eastAsia="宋体" w:cs="宋体"/>
                <w:color w:val="auto"/>
                <w:sz w:val="24"/>
                <w:szCs w:val="24"/>
                <w:highlight w:val="none"/>
              </w:rPr>
              <w:t>提供免费厕纸和洗手液</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或补充不及时。</w:t>
            </w:r>
          </w:p>
        </w:tc>
        <w:tc>
          <w:tcPr>
            <w:tcW w:w="1683" w:type="dxa"/>
            <w:vMerge w:val="restart"/>
            <w:tcBorders>
              <w:left w:val="single" w:color="auto" w:sz="4" w:space="0"/>
              <w:right w:val="single" w:color="auto" w:sz="4" w:space="0"/>
            </w:tcBorders>
            <w:shd w:val="clear" w:color="auto" w:fill="FFFFFF" w:themeFill="background1"/>
            <w:noWrap w:val="0"/>
            <w:vAlign w:val="center"/>
          </w:tcPr>
          <w:p w14:paraId="3237ED4C">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每发现一次扣0.5分（当月累计扣分）。</w:t>
            </w:r>
          </w:p>
        </w:tc>
        <w:tc>
          <w:tcPr>
            <w:tcW w:w="863" w:type="dxa"/>
            <w:vMerge w:val="continue"/>
            <w:tcBorders>
              <w:left w:val="single" w:color="auto" w:sz="4" w:space="0"/>
              <w:right w:val="single" w:color="auto" w:sz="4" w:space="0"/>
            </w:tcBorders>
            <w:shd w:val="clear" w:color="auto" w:fill="FFFFFF" w:themeFill="background1"/>
            <w:noWrap w:val="0"/>
            <w:vAlign w:val="center"/>
          </w:tcPr>
          <w:p w14:paraId="682287EB">
            <w:pPr>
              <w:widowControl/>
              <w:adjustRightInd/>
              <w:jc w:val="center"/>
              <w:rPr>
                <w:rFonts w:hint="eastAsia" w:ascii="宋体" w:hAnsi="宋体" w:eastAsia="宋体" w:cs="宋体"/>
                <w:color w:val="auto"/>
                <w:sz w:val="24"/>
                <w:szCs w:val="24"/>
                <w:highlight w:val="none"/>
                <w:lang w:val="en-US" w:eastAsia="zh-CN"/>
              </w:rPr>
            </w:pPr>
          </w:p>
        </w:tc>
      </w:tr>
      <w:tr w14:paraId="7EEF3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21A2732F">
            <w:pPr>
              <w:widowControl/>
              <w:adjustRightInd/>
              <w:jc w:val="center"/>
              <w:rPr>
                <w:rFonts w:hint="eastAsia" w:ascii="宋体" w:hAnsi="宋体" w:eastAsia="宋体" w:cs="宋体"/>
                <w:color w:val="auto"/>
                <w:sz w:val="24"/>
                <w:szCs w:val="24"/>
                <w:highlight w:val="none"/>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5587EE5A">
            <w:pPr>
              <w:widowControl/>
              <w:adjustRightInd/>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1.25</w:t>
            </w:r>
            <w:r>
              <w:rPr>
                <w:rFonts w:hint="eastAsia" w:ascii="宋体" w:hAnsi="宋体" w:eastAsia="宋体" w:cs="宋体"/>
                <w:color w:val="auto"/>
                <w:sz w:val="24"/>
                <w:szCs w:val="24"/>
                <w:highlight w:val="none"/>
              </w:rPr>
              <w:t>保洁员作业期间</w:t>
            </w:r>
            <w:r>
              <w:rPr>
                <w:rFonts w:hint="eastAsia" w:ascii="宋体" w:hAnsi="宋体" w:eastAsia="宋体" w:cs="宋体"/>
                <w:color w:val="auto"/>
                <w:sz w:val="24"/>
                <w:szCs w:val="24"/>
                <w:highlight w:val="none"/>
                <w:lang w:val="en-US" w:eastAsia="zh-CN"/>
              </w:rPr>
              <w:t>未</w:t>
            </w:r>
            <w:r>
              <w:rPr>
                <w:rFonts w:hint="eastAsia" w:ascii="宋体" w:hAnsi="宋体" w:eastAsia="宋体" w:cs="宋体"/>
                <w:color w:val="auto"/>
                <w:sz w:val="24"/>
                <w:szCs w:val="24"/>
                <w:highlight w:val="none"/>
              </w:rPr>
              <w:t>正确佩戴口罩和手套，拖把</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抹布等保洁工具</w:t>
            </w:r>
            <w:r>
              <w:rPr>
                <w:rFonts w:hint="eastAsia" w:ascii="宋体" w:hAnsi="宋体" w:eastAsia="宋体" w:cs="宋体"/>
                <w:color w:val="auto"/>
                <w:sz w:val="24"/>
                <w:szCs w:val="24"/>
                <w:highlight w:val="none"/>
                <w:lang w:val="en-US" w:eastAsia="zh-CN"/>
              </w:rPr>
              <w:t>未</w:t>
            </w:r>
            <w:r>
              <w:rPr>
                <w:rFonts w:hint="eastAsia" w:ascii="宋体" w:hAnsi="宋体" w:eastAsia="宋体" w:cs="宋体"/>
                <w:color w:val="auto"/>
                <w:sz w:val="24"/>
                <w:szCs w:val="24"/>
                <w:highlight w:val="none"/>
              </w:rPr>
              <w:t>隐蔽收纳</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摆放</w:t>
            </w:r>
            <w:r>
              <w:rPr>
                <w:rFonts w:hint="eastAsia" w:ascii="宋体" w:hAnsi="宋体" w:eastAsia="宋体" w:cs="宋体"/>
                <w:color w:val="auto"/>
                <w:sz w:val="24"/>
                <w:szCs w:val="24"/>
                <w:highlight w:val="none"/>
                <w:lang w:val="en-US" w:eastAsia="zh-CN"/>
              </w:rPr>
              <w:t>不</w:t>
            </w:r>
            <w:r>
              <w:rPr>
                <w:rFonts w:hint="eastAsia" w:ascii="宋体" w:hAnsi="宋体" w:eastAsia="宋体" w:cs="宋体"/>
                <w:color w:val="auto"/>
                <w:sz w:val="24"/>
                <w:szCs w:val="24"/>
                <w:highlight w:val="none"/>
              </w:rPr>
              <w:t>整齐。</w:t>
            </w:r>
          </w:p>
        </w:tc>
        <w:tc>
          <w:tcPr>
            <w:tcW w:w="1683" w:type="dxa"/>
            <w:vMerge w:val="continue"/>
            <w:tcBorders>
              <w:left w:val="single" w:color="auto" w:sz="4" w:space="0"/>
              <w:right w:val="single" w:color="auto" w:sz="4" w:space="0"/>
            </w:tcBorders>
            <w:shd w:val="clear" w:color="auto" w:fill="FFFFFF" w:themeFill="background1"/>
            <w:noWrap w:val="0"/>
            <w:vAlign w:val="center"/>
          </w:tcPr>
          <w:p w14:paraId="4E8642FF">
            <w:pPr>
              <w:widowControl/>
              <w:adjustRightInd/>
              <w:jc w:val="left"/>
              <w:rPr>
                <w:rFonts w:hint="eastAsia" w:ascii="宋体" w:hAnsi="宋体" w:eastAsia="宋体" w:cs="宋体"/>
                <w:color w:val="auto"/>
                <w:sz w:val="24"/>
                <w:szCs w:val="24"/>
                <w:highlight w:val="none"/>
                <w:lang w:val="en-US" w:eastAsia="zh-CN"/>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5C0FF7AE">
            <w:pPr>
              <w:widowControl/>
              <w:adjustRightInd/>
              <w:jc w:val="center"/>
              <w:rPr>
                <w:rFonts w:hint="eastAsia" w:ascii="宋体" w:hAnsi="宋体" w:eastAsia="宋体" w:cs="宋体"/>
                <w:color w:val="auto"/>
                <w:sz w:val="24"/>
                <w:szCs w:val="24"/>
                <w:highlight w:val="none"/>
                <w:lang w:val="en-US" w:eastAsia="zh-CN"/>
              </w:rPr>
            </w:pPr>
          </w:p>
        </w:tc>
      </w:tr>
      <w:tr w14:paraId="07599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0F6A2EAB">
            <w:pPr>
              <w:widowControl/>
              <w:adjustRightInd/>
              <w:jc w:val="center"/>
              <w:rPr>
                <w:rFonts w:hint="eastAsia" w:ascii="宋体" w:hAnsi="宋体" w:eastAsia="宋体" w:cs="宋体"/>
                <w:color w:val="auto"/>
                <w:sz w:val="24"/>
                <w:szCs w:val="24"/>
                <w:highlight w:val="none"/>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0CC51826">
            <w:pPr>
              <w:widowControl/>
              <w:adjustRightInd/>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1.26</w:t>
            </w:r>
            <w:r>
              <w:rPr>
                <w:rFonts w:hint="eastAsia" w:ascii="宋体" w:hAnsi="宋体" w:eastAsia="宋体" w:cs="宋体"/>
                <w:color w:val="auto"/>
                <w:sz w:val="24"/>
                <w:szCs w:val="24"/>
                <w:highlight w:val="none"/>
              </w:rPr>
              <w:t>厕内异味明显</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有蚊蝇的</w:t>
            </w:r>
            <w:r>
              <w:rPr>
                <w:rFonts w:hint="eastAsia" w:ascii="宋体" w:hAnsi="宋体" w:eastAsia="宋体" w:cs="宋体"/>
                <w:color w:val="auto"/>
                <w:sz w:val="24"/>
                <w:szCs w:val="24"/>
                <w:highlight w:val="none"/>
                <w:lang w:eastAsia="zh-CN"/>
              </w:rPr>
              <w:t>。</w:t>
            </w:r>
          </w:p>
        </w:tc>
        <w:tc>
          <w:tcPr>
            <w:tcW w:w="1683" w:type="dxa"/>
            <w:vMerge w:val="continue"/>
            <w:tcBorders>
              <w:left w:val="single" w:color="auto" w:sz="4" w:space="0"/>
              <w:right w:val="single" w:color="auto" w:sz="4" w:space="0"/>
            </w:tcBorders>
            <w:shd w:val="clear" w:color="auto" w:fill="FFFFFF" w:themeFill="background1"/>
            <w:noWrap w:val="0"/>
            <w:vAlign w:val="center"/>
          </w:tcPr>
          <w:p w14:paraId="1B1D1052">
            <w:pPr>
              <w:widowControl/>
              <w:adjustRightInd/>
              <w:jc w:val="left"/>
              <w:rPr>
                <w:rFonts w:hint="eastAsia" w:ascii="宋体" w:hAnsi="宋体" w:eastAsia="宋体" w:cs="宋体"/>
                <w:color w:val="auto"/>
                <w:sz w:val="24"/>
                <w:szCs w:val="24"/>
                <w:highlight w:val="none"/>
                <w:lang w:val="en-US" w:eastAsia="zh-CN"/>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28C1B139">
            <w:pPr>
              <w:widowControl/>
              <w:adjustRightInd/>
              <w:jc w:val="center"/>
              <w:rPr>
                <w:rFonts w:hint="eastAsia" w:ascii="宋体" w:hAnsi="宋体" w:eastAsia="宋体" w:cs="宋体"/>
                <w:color w:val="auto"/>
                <w:sz w:val="24"/>
                <w:szCs w:val="24"/>
                <w:highlight w:val="none"/>
                <w:lang w:val="en-US" w:eastAsia="zh-CN"/>
              </w:rPr>
            </w:pPr>
          </w:p>
        </w:tc>
      </w:tr>
      <w:tr w14:paraId="41C21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79CB4ACA">
            <w:pPr>
              <w:widowControl/>
              <w:adjustRightInd/>
              <w:jc w:val="center"/>
              <w:rPr>
                <w:rFonts w:hint="eastAsia" w:ascii="宋体" w:hAnsi="宋体" w:eastAsia="宋体" w:cs="宋体"/>
                <w:color w:val="auto"/>
                <w:sz w:val="24"/>
                <w:szCs w:val="24"/>
                <w:highlight w:val="none"/>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45784824">
            <w:pPr>
              <w:widowControl/>
              <w:adjustRightInd/>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1.27未按规范</w:t>
            </w:r>
            <w:r>
              <w:rPr>
                <w:rFonts w:hint="eastAsia" w:ascii="宋体" w:hAnsi="宋体" w:eastAsia="宋体" w:cs="宋体"/>
                <w:color w:val="auto"/>
                <w:sz w:val="24"/>
                <w:szCs w:val="24"/>
                <w:highlight w:val="none"/>
              </w:rPr>
              <w:t>进行消毒</w:t>
            </w:r>
            <w:r>
              <w:rPr>
                <w:rFonts w:hint="eastAsia" w:ascii="宋体" w:hAnsi="宋体" w:eastAsia="宋体" w:cs="宋体"/>
                <w:color w:val="auto"/>
                <w:sz w:val="24"/>
                <w:szCs w:val="24"/>
                <w:highlight w:val="none"/>
                <w:lang w:eastAsia="zh-CN"/>
              </w:rPr>
              <w:t>作业。</w:t>
            </w:r>
          </w:p>
        </w:tc>
        <w:tc>
          <w:tcPr>
            <w:tcW w:w="1683" w:type="dxa"/>
            <w:vMerge w:val="continue"/>
            <w:tcBorders>
              <w:left w:val="single" w:color="auto" w:sz="4" w:space="0"/>
              <w:right w:val="single" w:color="auto" w:sz="4" w:space="0"/>
            </w:tcBorders>
            <w:shd w:val="clear" w:color="auto" w:fill="FFFFFF" w:themeFill="background1"/>
            <w:noWrap w:val="0"/>
            <w:vAlign w:val="center"/>
          </w:tcPr>
          <w:p w14:paraId="637C67DD">
            <w:pPr>
              <w:widowControl/>
              <w:adjustRightInd/>
              <w:jc w:val="left"/>
              <w:rPr>
                <w:rFonts w:hint="eastAsia" w:ascii="宋体" w:hAnsi="宋体" w:eastAsia="宋体" w:cs="宋体"/>
                <w:color w:val="auto"/>
                <w:sz w:val="24"/>
                <w:szCs w:val="24"/>
                <w:highlight w:val="none"/>
                <w:lang w:val="en-US" w:eastAsia="zh-CN"/>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190E471B">
            <w:pPr>
              <w:widowControl/>
              <w:adjustRightInd/>
              <w:jc w:val="center"/>
              <w:rPr>
                <w:rFonts w:hint="eastAsia" w:ascii="宋体" w:hAnsi="宋体" w:eastAsia="宋体" w:cs="宋体"/>
                <w:color w:val="auto"/>
                <w:sz w:val="24"/>
                <w:szCs w:val="24"/>
                <w:highlight w:val="none"/>
                <w:lang w:val="en-US" w:eastAsia="zh-CN"/>
              </w:rPr>
            </w:pPr>
          </w:p>
        </w:tc>
      </w:tr>
      <w:tr w14:paraId="545C7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521" w:type="dxa"/>
            <w:vMerge w:val="restart"/>
            <w:tcBorders>
              <w:left w:val="single" w:color="auto" w:sz="4" w:space="0"/>
              <w:right w:val="single" w:color="auto" w:sz="4" w:space="0"/>
            </w:tcBorders>
            <w:shd w:val="clear" w:color="auto" w:fill="FFFFFF" w:themeFill="background1"/>
            <w:noWrap w:val="0"/>
            <w:vAlign w:val="center"/>
          </w:tcPr>
          <w:p w14:paraId="6A49139B">
            <w:pPr>
              <w:widowControl/>
              <w:adjustRightInd/>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四害消杀及外来入侵物种</w:t>
            </w: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2C0E61C9">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1.28园内四害消杀不及时，蚊蝇较多。</w:t>
            </w:r>
          </w:p>
        </w:tc>
        <w:tc>
          <w:tcPr>
            <w:tcW w:w="1683" w:type="dxa"/>
            <w:tcBorders>
              <w:left w:val="single" w:color="auto" w:sz="4" w:space="0"/>
              <w:bottom w:val="single" w:color="auto" w:sz="4" w:space="0"/>
              <w:right w:val="single" w:color="auto" w:sz="4" w:space="0"/>
            </w:tcBorders>
            <w:shd w:val="clear" w:color="auto" w:fill="FFFFFF" w:themeFill="background1"/>
            <w:noWrap w:val="0"/>
            <w:vAlign w:val="center"/>
          </w:tcPr>
          <w:p w14:paraId="6E6E52E1">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每发现一处扣0.5分。</w:t>
            </w:r>
          </w:p>
        </w:tc>
        <w:tc>
          <w:tcPr>
            <w:tcW w:w="863" w:type="dxa"/>
            <w:vMerge w:val="restart"/>
            <w:tcBorders>
              <w:left w:val="single" w:color="auto" w:sz="4" w:space="0"/>
              <w:right w:val="single" w:color="auto" w:sz="4" w:space="0"/>
            </w:tcBorders>
            <w:shd w:val="clear" w:color="auto" w:fill="FFFFFF" w:themeFill="background1"/>
            <w:noWrap w:val="0"/>
            <w:vAlign w:val="center"/>
          </w:tcPr>
          <w:p w14:paraId="5C599B80">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r>
      <w:tr w14:paraId="09E86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62B89188">
            <w:pPr>
              <w:widowControl/>
              <w:adjustRightInd/>
              <w:jc w:val="center"/>
              <w:rPr>
                <w:rFonts w:hint="eastAsia" w:ascii="宋体" w:hAnsi="宋体" w:eastAsia="宋体" w:cs="宋体"/>
                <w:color w:val="auto"/>
                <w:sz w:val="24"/>
                <w:szCs w:val="24"/>
                <w:highlight w:val="none"/>
                <w:lang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4681E17C">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1.29园内未及时发现外来入侵物种，或发现后未及时上报和处理。</w:t>
            </w:r>
          </w:p>
        </w:tc>
        <w:tc>
          <w:tcPr>
            <w:tcW w:w="1683" w:type="dxa"/>
            <w:tcBorders>
              <w:left w:val="single" w:color="auto" w:sz="4" w:space="0"/>
              <w:bottom w:val="single" w:color="auto" w:sz="4" w:space="0"/>
              <w:right w:val="single" w:color="auto" w:sz="4" w:space="0"/>
            </w:tcBorders>
            <w:shd w:val="clear" w:color="auto" w:fill="FFFFFF" w:themeFill="background1"/>
            <w:noWrap w:val="0"/>
            <w:vAlign w:val="center"/>
          </w:tcPr>
          <w:p w14:paraId="079E53A7">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每发现1次扣1分。</w:t>
            </w:r>
          </w:p>
        </w:tc>
        <w:tc>
          <w:tcPr>
            <w:tcW w:w="863" w:type="dxa"/>
            <w:vMerge w:val="continue"/>
            <w:tcBorders>
              <w:left w:val="single" w:color="auto" w:sz="4" w:space="0"/>
              <w:right w:val="single" w:color="auto" w:sz="4" w:space="0"/>
            </w:tcBorders>
            <w:shd w:val="clear" w:color="auto" w:fill="FFFFFF" w:themeFill="background1"/>
            <w:noWrap w:val="0"/>
            <w:vAlign w:val="center"/>
          </w:tcPr>
          <w:p w14:paraId="6C318AB2">
            <w:pPr>
              <w:widowControl/>
              <w:adjustRightInd/>
              <w:jc w:val="center"/>
              <w:rPr>
                <w:rFonts w:hint="eastAsia" w:ascii="宋体" w:hAnsi="宋体" w:eastAsia="宋体" w:cs="宋体"/>
                <w:color w:val="auto"/>
                <w:sz w:val="24"/>
                <w:szCs w:val="24"/>
                <w:highlight w:val="none"/>
                <w:lang w:val="en-US" w:eastAsia="zh-CN"/>
              </w:rPr>
            </w:pPr>
          </w:p>
        </w:tc>
      </w:tr>
      <w:tr w14:paraId="315F1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14" w:hRule="atLeast"/>
          <w:jc w:val="center"/>
        </w:trPr>
        <w:tc>
          <w:tcPr>
            <w:tcW w:w="1521" w:type="dxa"/>
            <w:vMerge w:val="restart"/>
            <w:tcBorders>
              <w:left w:val="single" w:color="auto" w:sz="4" w:space="0"/>
              <w:right w:val="single" w:color="auto" w:sz="4" w:space="0"/>
            </w:tcBorders>
            <w:shd w:val="clear" w:color="auto" w:fill="FFFFFF" w:themeFill="background1"/>
            <w:noWrap w:val="0"/>
            <w:vAlign w:val="center"/>
          </w:tcPr>
          <w:p w14:paraId="3A0FDE2C">
            <w:pPr>
              <w:widowControl/>
              <w:adjustRightInd/>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水体维护</w:t>
            </w: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61BA583B">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1.30水面存在明显漂浮垃圾或漂浮污渍。</w:t>
            </w:r>
          </w:p>
        </w:tc>
        <w:tc>
          <w:tcPr>
            <w:tcW w:w="1683" w:type="dxa"/>
            <w:tcBorders>
              <w:left w:val="single" w:color="auto" w:sz="4" w:space="0"/>
              <w:bottom w:val="single" w:color="auto" w:sz="4" w:space="0"/>
              <w:right w:val="single" w:color="auto" w:sz="4" w:space="0"/>
            </w:tcBorders>
            <w:shd w:val="clear" w:color="auto" w:fill="FFFFFF" w:themeFill="background1"/>
            <w:noWrap w:val="0"/>
            <w:vAlign w:val="center"/>
          </w:tcPr>
          <w:p w14:paraId="407288E9">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每发现一次扣0.5分（当月累计扣分）。</w:t>
            </w:r>
          </w:p>
        </w:tc>
        <w:tc>
          <w:tcPr>
            <w:tcW w:w="863" w:type="dxa"/>
            <w:vMerge w:val="restart"/>
            <w:tcBorders>
              <w:left w:val="single" w:color="auto" w:sz="4" w:space="0"/>
              <w:right w:val="single" w:color="auto" w:sz="4" w:space="0"/>
            </w:tcBorders>
            <w:shd w:val="clear" w:color="auto" w:fill="FFFFFF" w:themeFill="background1"/>
            <w:noWrap w:val="0"/>
            <w:vAlign w:val="center"/>
          </w:tcPr>
          <w:p w14:paraId="21470E7A">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r>
      <w:tr w14:paraId="5FCC7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521" w:type="dxa"/>
            <w:vMerge w:val="continue"/>
            <w:tcBorders>
              <w:left w:val="single" w:color="auto" w:sz="4" w:space="0"/>
              <w:bottom w:val="single" w:color="auto" w:sz="4" w:space="0"/>
              <w:right w:val="single" w:color="auto" w:sz="4" w:space="0"/>
            </w:tcBorders>
            <w:shd w:val="clear" w:color="auto" w:fill="FFFFFF" w:themeFill="background1"/>
            <w:noWrap w:val="0"/>
            <w:vAlign w:val="center"/>
          </w:tcPr>
          <w:p w14:paraId="24CF5330">
            <w:pPr>
              <w:widowControl/>
              <w:adjustRightInd/>
              <w:jc w:val="center"/>
              <w:rPr>
                <w:rFonts w:hint="eastAsia" w:ascii="宋体" w:hAnsi="宋体" w:eastAsia="宋体" w:cs="宋体"/>
                <w:color w:val="auto"/>
                <w:sz w:val="24"/>
                <w:szCs w:val="24"/>
                <w:highlight w:val="none"/>
                <w:lang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216F33B0">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1.31 </w:t>
            </w:r>
            <w:r>
              <w:rPr>
                <w:rFonts w:hint="eastAsia" w:ascii="宋体" w:hAnsi="宋体" w:eastAsia="宋体" w:cs="宋体"/>
                <w:b w:val="0"/>
                <w:bCs w:val="0"/>
                <w:color w:val="auto"/>
                <w:sz w:val="24"/>
                <w:szCs w:val="24"/>
                <w:highlight w:val="none"/>
                <w:shd w:val="clear" w:color="auto" w:fill="FFFFFF"/>
                <w:lang w:val="zh-TW" w:eastAsia="zh-CN" w:bidi="zh-TW"/>
              </w:rPr>
              <w:t>水体出现黑臭或大面积蓝绿藻爆发</w:t>
            </w:r>
            <w:r>
              <w:rPr>
                <w:rFonts w:hint="eastAsia" w:ascii="宋体" w:hAnsi="宋体" w:eastAsia="宋体" w:cs="宋体"/>
                <w:b w:val="0"/>
                <w:bCs w:val="0"/>
                <w:color w:val="auto"/>
                <w:sz w:val="24"/>
                <w:szCs w:val="24"/>
                <w:highlight w:val="none"/>
                <w:shd w:val="clear" w:color="auto" w:fill="FFFFFF"/>
                <w:lang w:val="en-US" w:eastAsia="zh-CN" w:bidi="zh-TW"/>
              </w:rPr>
              <w:t>情况。</w:t>
            </w:r>
          </w:p>
        </w:tc>
        <w:tc>
          <w:tcPr>
            <w:tcW w:w="1683" w:type="dxa"/>
            <w:tcBorders>
              <w:left w:val="single" w:color="auto" w:sz="4" w:space="0"/>
              <w:bottom w:val="single" w:color="auto" w:sz="4" w:space="0"/>
              <w:right w:val="single" w:color="auto" w:sz="4" w:space="0"/>
            </w:tcBorders>
            <w:shd w:val="clear" w:color="auto" w:fill="FFFFFF" w:themeFill="background1"/>
            <w:noWrap w:val="0"/>
            <w:vAlign w:val="center"/>
          </w:tcPr>
          <w:p w14:paraId="110B76E4">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每次扣2分。</w:t>
            </w:r>
          </w:p>
        </w:tc>
        <w:tc>
          <w:tcPr>
            <w:tcW w:w="863" w:type="dxa"/>
            <w:vMerge w:val="continue"/>
            <w:tcBorders>
              <w:left w:val="single" w:color="auto" w:sz="4" w:space="0"/>
              <w:bottom w:val="single" w:color="auto" w:sz="4" w:space="0"/>
              <w:right w:val="single" w:color="auto" w:sz="4" w:space="0"/>
            </w:tcBorders>
            <w:shd w:val="clear" w:color="auto" w:fill="FFFFFF" w:themeFill="background1"/>
            <w:noWrap w:val="0"/>
            <w:vAlign w:val="center"/>
          </w:tcPr>
          <w:p w14:paraId="7DB4EB96">
            <w:pPr>
              <w:widowControl/>
              <w:adjustRightInd/>
              <w:jc w:val="center"/>
              <w:rPr>
                <w:rFonts w:hint="eastAsia" w:ascii="宋体" w:hAnsi="宋体" w:eastAsia="宋体" w:cs="宋体"/>
                <w:color w:val="auto"/>
                <w:sz w:val="24"/>
                <w:szCs w:val="24"/>
                <w:highlight w:val="none"/>
                <w:lang w:val="en-US" w:eastAsia="zh-CN"/>
              </w:rPr>
            </w:pPr>
          </w:p>
        </w:tc>
      </w:tr>
      <w:tr w14:paraId="3AF55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9085" w:type="dxa"/>
            <w:gridSpan w:val="4"/>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301434FF">
            <w:pPr>
              <w:widowControl/>
              <w:adjustRightInd/>
              <w:jc w:val="left"/>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（二）</w:t>
            </w:r>
            <w:r>
              <w:rPr>
                <w:rFonts w:hint="eastAsia" w:ascii="宋体" w:hAnsi="宋体" w:eastAsia="宋体" w:cs="宋体"/>
                <w:b/>
                <w:color w:val="auto"/>
                <w:sz w:val="24"/>
                <w:szCs w:val="24"/>
                <w:highlight w:val="none"/>
                <w:lang w:val="en-US" w:eastAsia="zh-CN"/>
              </w:rPr>
              <w:t>安全管理</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20分</w:t>
            </w:r>
            <w:r>
              <w:rPr>
                <w:rFonts w:hint="eastAsia" w:ascii="宋体" w:hAnsi="宋体" w:eastAsia="宋体" w:cs="宋体"/>
                <w:b/>
                <w:color w:val="auto"/>
                <w:sz w:val="24"/>
                <w:szCs w:val="24"/>
                <w:highlight w:val="none"/>
                <w:lang w:eastAsia="zh-CN"/>
              </w:rPr>
              <w:t>）</w:t>
            </w:r>
          </w:p>
        </w:tc>
      </w:tr>
      <w:tr w14:paraId="59929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04" w:hRule="atLeast"/>
          <w:jc w:val="center"/>
        </w:trPr>
        <w:tc>
          <w:tcPr>
            <w:tcW w:w="1521" w:type="dxa"/>
            <w:vMerge w:val="restart"/>
            <w:tcBorders>
              <w:top w:val="single" w:color="auto" w:sz="4" w:space="0"/>
              <w:left w:val="single" w:color="auto" w:sz="4" w:space="0"/>
              <w:right w:val="single" w:color="auto" w:sz="4" w:space="0"/>
            </w:tcBorders>
            <w:shd w:val="clear" w:color="auto" w:fill="FFFFFF" w:themeFill="background1"/>
            <w:noWrap w:val="0"/>
            <w:vAlign w:val="center"/>
          </w:tcPr>
          <w:p w14:paraId="6F95A950">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安全秩序</w:t>
            </w: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top"/>
          </w:tcPr>
          <w:p w14:paraId="44860D22">
            <w:pPr>
              <w:widowControl/>
              <w:adjustRightInd/>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2.1</w:t>
            </w:r>
            <w:r>
              <w:rPr>
                <w:rFonts w:hint="eastAsia" w:ascii="宋体" w:hAnsi="宋体" w:eastAsia="宋体" w:cs="宋体"/>
                <w:color w:val="auto"/>
                <w:sz w:val="24"/>
                <w:szCs w:val="24"/>
                <w:highlight w:val="none"/>
              </w:rPr>
              <w:t>园</w:t>
            </w:r>
            <w:r>
              <w:rPr>
                <w:rFonts w:hint="eastAsia" w:ascii="宋体" w:hAnsi="宋体" w:eastAsia="宋体" w:cs="宋体"/>
                <w:color w:val="auto"/>
                <w:sz w:val="24"/>
                <w:szCs w:val="24"/>
                <w:highlight w:val="none"/>
                <w:lang w:eastAsia="zh-CN"/>
              </w:rPr>
              <w:t>内</w:t>
            </w:r>
            <w:r>
              <w:rPr>
                <w:rFonts w:hint="eastAsia" w:ascii="宋体" w:hAnsi="宋体" w:eastAsia="宋体" w:cs="宋体"/>
                <w:color w:val="auto"/>
                <w:sz w:val="24"/>
                <w:szCs w:val="24"/>
                <w:highlight w:val="none"/>
              </w:rPr>
              <w:t>存在赌博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传播封建迷信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流动设摊</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乱涂乱画、攀折花枝</w:t>
            </w:r>
            <w:r>
              <w:rPr>
                <w:rFonts w:hint="eastAsia" w:ascii="宋体" w:hAnsi="宋体" w:eastAsia="宋体" w:cs="宋体"/>
                <w:color w:val="auto"/>
                <w:sz w:val="24"/>
                <w:szCs w:val="24"/>
                <w:highlight w:val="none"/>
                <w:lang w:eastAsia="zh-CN"/>
              </w:rPr>
              <w:t>和</w:t>
            </w:r>
            <w:r>
              <w:rPr>
                <w:rFonts w:hint="eastAsia" w:ascii="宋体" w:hAnsi="宋体" w:eastAsia="宋体" w:cs="宋体"/>
                <w:color w:val="auto"/>
                <w:sz w:val="24"/>
                <w:szCs w:val="24"/>
                <w:highlight w:val="none"/>
              </w:rPr>
              <w:t>攀爬雕塑</w:t>
            </w:r>
            <w:r>
              <w:rPr>
                <w:rFonts w:hint="eastAsia" w:ascii="宋体" w:hAnsi="宋体" w:eastAsia="宋体" w:cs="宋体"/>
                <w:color w:val="auto"/>
                <w:sz w:val="24"/>
                <w:szCs w:val="24"/>
                <w:highlight w:val="none"/>
                <w:lang w:eastAsia="zh-CN"/>
              </w:rPr>
              <w:t>、吊挂晾晒等</w:t>
            </w:r>
            <w:r>
              <w:rPr>
                <w:rFonts w:hint="eastAsia" w:ascii="宋体" w:hAnsi="宋体" w:eastAsia="宋体" w:cs="宋体"/>
                <w:color w:val="auto"/>
                <w:sz w:val="24"/>
                <w:szCs w:val="24"/>
                <w:highlight w:val="none"/>
              </w:rPr>
              <w:t>影响正常游园</w:t>
            </w:r>
            <w:r>
              <w:rPr>
                <w:rFonts w:hint="eastAsia" w:ascii="宋体" w:hAnsi="宋体" w:eastAsia="宋体" w:cs="宋体"/>
                <w:color w:val="auto"/>
                <w:sz w:val="24"/>
                <w:szCs w:val="24"/>
                <w:highlight w:val="none"/>
                <w:lang w:eastAsia="zh-CN"/>
              </w:rPr>
              <w:t>和公园景观</w:t>
            </w:r>
            <w:r>
              <w:rPr>
                <w:rFonts w:hint="eastAsia" w:ascii="宋体" w:hAnsi="宋体" w:eastAsia="宋体" w:cs="宋体"/>
                <w:color w:val="auto"/>
                <w:sz w:val="24"/>
                <w:szCs w:val="24"/>
                <w:highlight w:val="none"/>
              </w:rPr>
              <w:t>的不文明行为</w:t>
            </w:r>
            <w:r>
              <w:rPr>
                <w:rFonts w:hint="eastAsia" w:ascii="宋体" w:hAnsi="宋体" w:eastAsia="宋体" w:cs="宋体"/>
                <w:color w:val="auto"/>
                <w:sz w:val="24"/>
                <w:szCs w:val="24"/>
                <w:highlight w:val="none"/>
                <w:lang w:eastAsia="zh-CN"/>
              </w:rPr>
              <w:t>未</w:t>
            </w:r>
            <w:r>
              <w:rPr>
                <w:rFonts w:hint="eastAsia" w:ascii="宋体" w:hAnsi="宋体" w:eastAsia="宋体" w:cs="宋体"/>
                <w:color w:val="auto"/>
                <w:sz w:val="24"/>
                <w:szCs w:val="24"/>
                <w:highlight w:val="none"/>
              </w:rPr>
              <w:t>及时劝阻</w:t>
            </w:r>
            <w:r>
              <w:rPr>
                <w:rFonts w:hint="eastAsia" w:ascii="宋体" w:hAnsi="宋体" w:eastAsia="宋体" w:cs="宋体"/>
                <w:color w:val="auto"/>
                <w:sz w:val="24"/>
                <w:szCs w:val="24"/>
                <w:highlight w:val="none"/>
                <w:lang w:eastAsia="zh-CN"/>
              </w:rPr>
              <w:t>。</w:t>
            </w:r>
          </w:p>
        </w:tc>
        <w:tc>
          <w:tcPr>
            <w:tcW w:w="1683" w:type="dxa"/>
            <w:vMerge w:val="restart"/>
            <w:tcBorders>
              <w:top w:val="single" w:color="auto" w:sz="4" w:space="0"/>
              <w:left w:val="single" w:color="auto" w:sz="4" w:space="0"/>
              <w:right w:val="single" w:color="auto" w:sz="4" w:space="0"/>
            </w:tcBorders>
            <w:shd w:val="clear" w:color="auto" w:fill="FFFFFF" w:themeFill="background1"/>
            <w:noWrap w:val="0"/>
            <w:vAlign w:val="center"/>
          </w:tcPr>
          <w:p w14:paraId="1E98BD93">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每发现一次，根据情节轻重扣1—2分（当月累计扣分）。</w:t>
            </w:r>
          </w:p>
        </w:tc>
        <w:tc>
          <w:tcPr>
            <w:tcW w:w="863" w:type="dxa"/>
            <w:vMerge w:val="restart"/>
            <w:tcBorders>
              <w:top w:val="single" w:color="auto" w:sz="4" w:space="0"/>
              <w:left w:val="single" w:color="auto" w:sz="4" w:space="0"/>
              <w:right w:val="single" w:color="auto" w:sz="4" w:space="0"/>
            </w:tcBorders>
            <w:shd w:val="clear" w:color="auto" w:fill="FFFFFF" w:themeFill="background1"/>
            <w:noWrap w:val="0"/>
            <w:vAlign w:val="center"/>
          </w:tcPr>
          <w:p w14:paraId="37608889">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w:t>
            </w:r>
          </w:p>
        </w:tc>
      </w:tr>
      <w:tr w14:paraId="5F4DB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71557229">
            <w:pPr>
              <w:widowControl/>
              <w:adjustRightInd/>
              <w:jc w:val="center"/>
              <w:rPr>
                <w:rFonts w:hint="eastAsia" w:ascii="宋体" w:hAnsi="宋体" w:eastAsia="宋体" w:cs="宋体"/>
                <w:color w:val="auto"/>
                <w:sz w:val="24"/>
                <w:szCs w:val="24"/>
                <w:highlight w:val="none"/>
                <w:lang w:val="en-US"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top"/>
          </w:tcPr>
          <w:p w14:paraId="3E72906D">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园</w:t>
            </w:r>
            <w:r>
              <w:rPr>
                <w:rFonts w:hint="eastAsia" w:ascii="宋体" w:hAnsi="宋体" w:eastAsia="宋体" w:cs="宋体"/>
                <w:color w:val="auto"/>
                <w:sz w:val="24"/>
                <w:szCs w:val="24"/>
                <w:highlight w:val="none"/>
                <w:lang w:eastAsia="zh-CN"/>
              </w:rPr>
              <w:t>内</w:t>
            </w:r>
            <w:r>
              <w:rPr>
                <w:rFonts w:hint="eastAsia" w:ascii="宋体" w:hAnsi="宋体" w:eastAsia="宋体" w:cs="宋体"/>
                <w:color w:val="auto"/>
                <w:sz w:val="24"/>
                <w:szCs w:val="24"/>
                <w:highlight w:val="none"/>
              </w:rPr>
              <w:t>噪音</w:t>
            </w:r>
            <w:r>
              <w:rPr>
                <w:rFonts w:hint="eastAsia" w:ascii="宋体" w:hAnsi="宋体" w:eastAsia="宋体" w:cs="宋体"/>
                <w:color w:val="auto"/>
                <w:sz w:val="24"/>
                <w:szCs w:val="24"/>
                <w:highlight w:val="none"/>
                <w:lang w:eastAsia="zh-CN"/>
              </w:rPr>
              <w:t>超标</w:t>
            </w:r>
            <w:r>
              <w:rPr>
                <w:rFonts w:hint="eastAsia" w:ascii="宋体" w:hAnsi="宋体" w:eastAsia="宋体" w:cs="宋体"/>
                <w:color w:val="auto"/>
                <w:sz w:val="24"/>
                <w:szCs w:val="24"/>
                <w:highlight w:val="none"/>
              </w:rPr>
              <w:t>严重</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未见落实措施和及时劝阻</w:t>
            </w:r>
            <w:r>
              <w:rPr>
                <w:rFonts w:hint="eastAsia" w:ascii="宋体" w:hAnsi="宋体" w:eastAsia="宋体" w:cs="宋体"/>
                <w:color w:val="auto"/>
                <w:sz w:val="24"/>
                <w:szCs w:val="24"/>
                <w:highlight w:val="none"/>
                <w:lang w:eastAsia="zh-CN"/>
              </w:rPr>
              <w:t>。</w:t>
            </w:r>
          </w:p>
        </w:tc>
        <w:tc>
          <w:tcPr>
            <w:tcW w:w="1683" w:type="dxa"/>
            <w:vMerge w:val="continue"/>
            <w:tcBorders>
              <w:left w:val="single" w:color="auto" w:sz="4" w:space="0"/>
              <w:right w:val="single" w:color="auto" w:sz="4" w:space="0"/>
            </w:tcBorders>
            <w:shd w:val="clear" w:color="auto" w:fill="FFFFFF" w:themeFill="background1"/>
            <w:noWrap w:val="0"/>
            <w:vAlign w:val="center"/>
          </w:tcPr>
          <w:p w14:paraId="56D0DEDE">
            <w:pPr>
              <w:widowControl/>
              <w:adjustRightInd/>
              <w:jc w:val="left"/>
              <w:rPr>
                <w:rFonts w:hint="eastAsia" w:ascii="宋体" w:hAnsi="宋体" w:eastAsia="宋体" w:cs="宋体"/>
                <w:color w:val="auto"/>
                <w:sz w:val="24"/>
                <w:szCs w:val="24"/>
                <w:highlight w:val="none"/>
                <w:lang w:val="en-US" w:eastAsia="zh-CN"/>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7A79CA6C">
            <w:pPr>
              <w:widowControl/>
              <w:adjustRightInd/>
              <w:jc w:val="center"/>
              <w:rPr>
                <w:rFonts w:hint="eastAsia" w:ascii="宋体" w:hAnsi="宋体" w:eastAsia="宋体" w:cs="宋体"/>
                <w:color w:val="auto"/>
                <w:sz w:val="24"/>
                <w:szCs w:val="24"/>
                <w:highlight w:val="none"/>
                <w:lang w:val="en-US" w:eastAsia="zh-CN"/>
              </w:rPr>
            </w:pPr>
          </w:p>
        </w:tc>
      </w:tr>
      <w:tr w14:paraId="24A7A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178DABAD">
            <w:pPr>
              <w:widowControl/>
              <w:adjustRightInd/>
              <w:jc w:val="center"/>
              <w:rPr>
                <w:rFonts w:hint="eastAsia" w:ascii="宋体" w:hAnsi="宋体" w:eastAsia="宋体" w:cs="宋体"/>
                <w:color w:val="auto"/>
                <w:sz w:val="24"/>
                <w:szCs w:val="24"/>
                <w:highlight w:val="none"/>
                <w:lang w:val="en-US"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top"/>
          </w:tcPr>
          <w:p w14:paraId="1E940E7D">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2.3园内水域存在网鱼、</w:t>
            </w:r>
            <w:r>
              <w:rPr>
                <w:rFonts w:hint="eastAsia" w:ascii="宋体" w:hAnsi="宋体" w:eastAsia="宋体" w:cs="宋体"/>
                <w:color w:val="auto"/>
                <w:sz w:val="24"/>
                <w:szCs w:val="24"/>
                <w:highlight w:val="none"/>
              </w:rPr>
              <w:t>钓鱼、游泳、洗衣物</w:t>
            </w:r>
            <w:r>
              <w:rPr>
                <w:rFonts w:hint="eastAsia" w:ascii="宋体" w:hAnsi="宋体" w:eastAsia="宋体" w:cs="宋体"/>
                <w:color w:val="auto"/>
                <w:sz w:val="24"/>
                <w:szCs w:val="24"/>
                <w:highlight w:val="none"/>
                <w:lang w:eastAsia="zh-CN"/>
              </w:rPr>
              <w:t>等不文明行为未及时劝阻。</w:t>
            </w:r>
          </w:p>
        </w:tc>
        <w:tc>
          <w:tcPr>
            <w:tcW w:w="1683" w:type="dxa"/>
            <w:vMerge w:val="continue"/>
            <w:tcBorders>
              <w:left w:val="single" w:color="auto" w:sz="4" w:space="0"/>
              <w:right w:val="single" w:color="auto" w:sz="4" w:space="0"/>
            </w:tcBorders>
            <w:shd w:val="clear" w:color="auto" w:fill="FFFFFF" w:themeFill="background1"/>
            <w:noWrap w:val="0"/>
            <w:vAlign w:val="center"/>
          </w:tcPr>
          <w:p w14:paraId="04AA2ABD">
            <w:pPr>
              <w:widowControl/>
              <w:adjustRightInd/>
              <w:jc w:val="left"/>
              <w:rPr>
                <w:rFonts w:hint="eastAsia" w:ascii="宋体" w:hAnsi="宋体" w:eastAsia="宋体" w:cs="宋体"/>
                <w:color w:val="auto"/>
                <w:sz w:val="24"/>
                <w:szCs w:val="24"/>
                <w:highlight w:val="none"/>
                <w:lang w:val="en-US" w:eastAsia="zh-CN"/>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246566DC">
            <w:pPr>
              <w:widowControl/>
              <w:adjustRightInd/>
              <w:jc w:val="center"/>
              <w:rPr>
                <w:rFonts w:hint="eastAsia" w:ascii="宋体" w:hAnsi="宋体" w:eastAsia="宋体" w:cs="宋体"/>
                <w:color w:val="auto"/>
                <w:sz w:val="24"/>
                <w:szCs w:val="24"/>
                <w:highlight w:val="none"/>
                <w:lang w:val="en-US" w:eastAsia="zh-CN"/>
              </w:rPr>
            </w:pPr>
          </w:p>
        </w:tc>
      </w:tr>
      <w:tr w14:paraId="65DCF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50"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4782932A">
            <w:pPr>
              <w:widowControl/>
              <w:adjustRightInd/>
              <w:jc w:val="center"/>
              <w:rPr>
                <w:rFonts w:hint="eastAsia" w:ascii="宋体" w:hAnsi="宋体" w:eastAsia="宋体" w:cs="宋体"/>
                <w:color w:val="auto"/>
                <w:sz w:val="24"/>
                <w:szCs w:val="24"/>
                <w:highlight w:val="none"/>
                <w:lang w:val="en-US"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69240482">
            <w:pPr>
              <w:widowControl/>
              <w:adjustRightInd/>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2.4</w:t>
            </w:r>
            <w:r>
              <w:rPr>
                <w:rFonts w:hint="eastAsia" w:ascii="宋体" w:hAnsi="宋体" w:eastAsia="宋体" w:cs="宋体"/>
                <w:color w:val="auto"/>
                <w:sz w:val="24"/>
                <w:szCs w:val="24"/>
                <w:highlight w:val="none"/>
              </w:rPr>
              <w:t>园</w:t>
            </w:r>
            <w:r>
              <w:rPr>
                <w:rFonts w:hint="eastAsia" w:ascii="宋体" w:hAnsi="宋体" w:eastAsia="宋体" w:cs="宋体"/>
                <w:color w:val="auto"/>
                <w:sz w:val="24"/>
                <w:szCs w:val="24"/>
                <w:highlight w:val="none"/>
                <w:lang w:eastAsia="zh-CN"/>
              </w:rPr>
              <w:t>内</w:t>
            </w:r>
            <w:r>
              <w:rPr>
                <w:rFonts w:hint="eastAsia" w:ascii="宋体" w:hAnsi="宋体" w:eastAsia="宋体" w:cs="宋体"/>
                <w:color w:val="auto"/>
                <w:sz w:val="24"/>
                <w:szCs w:val="24"/>
                <w:highlight w:val="none"/>
              </w:rPr>
              <w:t>存在</w:t>
            </w:r>
            <w:r>
              <w:rPr>
                <w:rFonts w:hint="eastAsia" w:ascii="宋体" w:hAnsi="宋体" w:eastAsia="宋体" w:cs="宋体"/>
                <w:color w:val="auto"/>
                <w:sz w:val="24"/>
                <w:szCs w:val="24"/>
                <w:highlight w:val="none"/>
                <w:lang w:eastAsia="zh-CN"/>
              </w:rPr>
              <w:t>非机动车入园未及时劝阻或停放混乱</w:t>
            </w:r>
            <w:r>
              <w:rPr>
                <w:rFonts w:hint="eastAsia" w:ascii="宋体" w:hAnsi="宋体" w:eastAsia="宋体" w:cs="宋体"/>
                <w:color w:val="auto"/>
                <w:sz w:val="24"/>
                <w:szCs w:val="24"/>
                <w:highlight w:val="none"/>
              </w:rPr>
              <w:t>未见落实措施</w:t>
            </w:r>
            <w:r>
              <w:rPr>
                <w:rFonts w:hint="eastAsia" w:ascii="宋体" w:hAnsi="宋体" w:eastAsia="宋体" w:cs="宋体"/>
                <w:color w:val="auto"/>
                <w:sz w:val="24"/>
                <w:szCs w:val="24"/>
                <w:highlight w:val="none"/>
                <w:lang w:eastAsia="zh-CN"/>
              </w:rPr>
              <w:t>。</w:t>
            </w:r>
          </w:p>
        </w:tc>
        <w:tc>
          <w:tcPr>
            <w:tcW w:w="1683" w:type="dxa"/>
            <w:vMerge w:val="continue"/>
            <w:tcBorders>
              <w:left w:val="single" w:color="auto" w:sz="4" w:space="0"/>
              <w:right w:val="single" w:color="auto" w:sz="4" w:space="0"/>
            </w:tcBorders>
            <w:shd w:val="clear" w:color="auto" w:fill="FFFFFF" w:themeFill="background1"/>
            <w:noWrap w:val="0"/>
            <w:vAlign w:val="center"/>
          </w:tcPr>
          <w:p w14:paraId="7F2E70AD">
            <w:pPr>
              <w:widowControl/>
              <w:adjustRightInd/>
              <w:jc w:val="left"/>
              <w:rPr>
                <w:rFonts w:hint="eastAsia" w:ascii="宋体" w:hAnsi="宋体" w:eastAsia="宋体" w:cs="宋体"/>
                <w:color w:val="auto"/>
                <w:sz w:val="24"/>
                <w:szCs w:val="24"/>
                <w:highlight w:val="none"/>
                <w:lang w:val="en-US" w:eastAsia="zh-CN"/>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45501082">
            <w:pPr>
              <w:widowControl/>
              <w:adjustRightInd/>
              <w:jc w:val="center"/>
              <w:rPr>
                <w:rFonts w:hint="eastAsia" w:ascii="宋体" w:hAnsi="宋体" w:eastAsia="宋体" w:cs="宋体"/>
                <w:color w:val="auto"/>
                <w:sz w:val="24"/>
                <w:szCs w:val="24"/>
                <w:highlight w:val="none"/>
                <w:lang w:val="en-US" w:eastAsia="zh-CN"/>
              </w:rPr>
            </w:pPr>
          </w:p>
        </w:tc>
      </w:tr>
      <w:tr w14:paraId="51BA3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0CA28842">
            <w:pPr>
              <w:widowControl/>
              <w:adjustRightInd/>
              <w:jc w:val="center"/>
              <w:rPr>
                <w:rFonts w:hint="eastAsia" w:ascii="宋体" w:hAnsi="宋体" w:eastAsia="宋体" w:cs="宋体"/>
                <w:color w:val="auto"/>
                <w:sz w:val="24"/>
                <w:szCs w:val="24"/>
                <w:highlight w:val="none"/>
                <w:lang w:val="en-US"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top"/>
          </w:tcPr>
          <w:p w14:paraId="675E30A7">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2.5园内存在不文明</w:t>
            </w:r>
            <w:r>
              <w:rPr>
                <w:rFonts w:hint="eastAsia" w:ascii="宋体" w:hAnsi="宋体" w:eastAsia="宋体" w:cs="宋体"/>
                <w:color w:val="auto"/>
                <w:sz w:val="24"/>
                <w:szCs w:val="24"/>
                <w:highlight w:val="none"/>
                <w:lang w:eastAsia="zh-CN"/>
              </w:rPr>
              <w:t>遛犬现象未及时劝阻，存在流浪犬猫未见落实措施。</w:t>
            </w:r>
          </w:p>
        </w:tc>
        <w:tc>
          <w:tcPr>
            <w:tcW w:w="1683" w:type="dxa"/>
            <w:vMerge w:val="continue"/>
            <w:tcBorders>
              <w:left w:val="single" w:color="auto" w:sz="4" w:space="0"/>
              <w:right w:val="single" w:color="auto" w:sz="4" w:space="0"/>
            </w:tcBorders>
            <w:shd w:val="clear" w:color="auto" w:fill="FFFFFF" w:themeFill="background1"/>
            <w:noWrap w:val="0"/>
            <w:vAlign w:val="center"/>
          </w:tcPr>
          <w:p w14:paraId="774BD30C">
            <w:pPr>
              <w:widowControl/>
              <w:adjustRightInd/>
              <w:jc w:val="left"/>
              <w:rPr>
                <w:rFonts w:hint="eastAsia" w:ascii="宋体" w:hAnsi="宋体" w:eastAsia="宋体" w:cs="宋体"/>
                <w:color w:val="auto"/>
                <w:sz w:val="24"/>
                <w:szCs w:val="24"/>
                <w:highlight w:val="none"/>
                <w:lang w:val="en-US" w:eastAsia="zh-CN"/>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04F64892">
            <w:pPr>
              <w:widowControl/>
              <w:adjustRightInd/>
              <w:jc w:val="center"/>
              <w:rPr>
                <w:rFonts w:hint="eastAsia" w:ascii="宋体" w:hAnsi="宋体" w:eastAsia="宋体" w:cs="宋体"/>
                <w:color w:val="auto"/>
                <w:sz w:val="24"/>
                <w:szCs w:val="24"/>
                <w:highlight w:val="none"/>
                <w:lang w:val="en-US" w:eastAsia="zh-CN"/>
              </w:rPr>
            </w:pPr>
          </w:p>
        </w:tc>
      </w:tr>
      <w:tr w14:paraId="7EF85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1" w:type="dxa"/>
            <w:vMerge w:val="restart"/>
            <w:tcBorders>
              <w:left w:val="single" w:color="auto" w:sz="4" w:space="0"/>
              <w:right w:val="single" w:color="auto" w:sz="4" w:space="0"/>
            </w:tcBorders>
            <w:shd w:val="clear" w:color="auto" w:fill="FFFFFF" w:themeFill="background1"/>
            <w:noWrap w:val="0"/>
            <w:vAlign w:val="center"/>
          </w:tcPr>
          <w:p w14:paraId="46E69A37">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应急处置</w:t>
            </w: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top"/>
          </w:tcPr>
          <w:p w14:paraId="3A5AA7C3">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2.6未及时发现安全隐患风险，致使公园产生一定影响。</w:t>
            </w:r>
          </w:p>
        </w:tc>
        <w:tc>
          <w:tcPr>
            <w:tcW w:w="1683" w:type="dxa"/>
            <w:vMerge w:val="restart"/>
            <w:tcBorders>
              <w:left w:val="single" w:color="auto" w:sz="4" w:space="0"/>
              <w:right w:val="single" w:color="auto" w:sz="4" w:space="0"/>
            </w:tcBorders>
            <w:shd w:val="clear" w:color="auto" w:fill="FFFFFF" w:themeFill="background1"/>
            <w:noWrap w:val="0"/>
            <w:vAlign w:val="center"/>
          </w:tcPr>
          <w:p w14:paraId="14BDE751">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每发生一次，根据情节轻重扣3—5分</w:t>
            </w:r>
          </w:p>
        </w:tc>
        <w:tc>
          <w:tcPr>
            <w:tcW w:w="863" w:type="dxa"/>
            <w:vMerge w:val="restart"/>
            <w:tcBorders>
              <w:left w:val="single" w:color="auto" w:sz="4" w:space="0"/>
              <w:right w:val="single" w:color="auto" w:sz="4" w:space="0"/>
            </w:tcBorders>
            <w:shd w:val="clear" w:color="auto" w:fill="FFFFFF" w:themeFill="background1"/>
            <w:noWrap w:val="0"/>
            <w:vAlign w:val="center"/>
          </w:tcPr>
          <w:p w14:paraId="2971CDAB">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r>
      <w:tr w14:paraId="464DF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26DA033B">
            <w:pPr>
              <w:widowControl/>
              <w:adjustRightInd/>
              <w:jc w:val="center"/>
              <w:rPr>
                <w:rFonts w:hint="eastAsia" w:ascii="宋体" w:hAnsi="宋体" w:eastAsia="宋体" w:cs="宋体"/>
                <w:color w:val="auto"/>
                <w:sz w:val="24"/>
                <w:szCs w:val="24"/>
                <w:highlight w:val="none"/>
                <w:lang w:val="en-US"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top"/>
          </w:tcPr>
          <w:p w14:paraId="3443D86A">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2.7在极端气候发生时，园内应急措施不到位，致使公园发生一定损失。</w:t>
            </w:r>
          </w:p>
        </w:tc>
        <w:tc>
          <w:tcPr>
            <w:tcW w:w="1683" w:type="dxa"/>
            <w:vMerge w:val="continue"/>
            <w:tcBorders>
              <w:left w:val="single" w:color="auto" w:sz="4" w:space="0"/>
              <w:right w:val="single" w:color="auto" w:sz="4" w:space="0"/>
            </w:tcBorders>
            <w:shd w:val="clear" w:color="auto" w:fill="FFFFFF" w:themeFill="background1"/>
            <w:noWrap w:val="0"/>
            <w:vAlign w:val="center"/>
          </w:tcPr>
          <w:p w14:paraId="2A82C98C">
            <w:pPr>
              <w:widowControl/>
              <w:adjustRightInd/>
              <w:jc w:val="left"/>
              <w:rPr>
                <w:rFonts w:hint="eastAsia" w:ascii="宋体" w:hAnsi="宋体" w:eastAsia="宋体" w:cs="宋体"/>
                <w:color w:val="auto"/>
                <w:sz w:val="24"/>
                <w:szCs w:val="24"/>
                <w:highlight w:val="none"/>
                <w:lang w:val="en-US" w:eastAsia="zh-CN"/>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0FA46805">
            <w:pPr>
              <w:widowControl/>
              <w:adjustRightInd/>
              <w:jc w:val="center"/>
              <w:rPr>
                <w:rFonts w:hint="eastAsia" w:ascii="宋体" w:hAnsi="宋体" w:eastAsia="宋体" w:cs="宋体"/>
                <w:color w:val="auto"/>
                <w:sz w:val="24"/>
                <w:szCs w:val="24"/>
                <w:highlight w:val="none"/>
                <w:lang w:val="en-US" w:eastAsia="zh-CN"/>
              </w:rPr>
            </w:pPr>
          </w:p>
        </w:tc>
      </w:tr>
      <w:tr w14:paraId="3BCE0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746C2A3B">
            <w:pPr>
              <w:widowControl/>
              <w:adjustRightInd/>
              <w:jc w:val="center"/>
              <w:rPr>
                <w:rFonts w:hint="eastAsia" w:ascii="宋体" w:hAnsi="宋体" w:eastAsia="宋体" w:cs="宋体"/>
                <w:color w:val="auto"/>
                <w:sz w:val="24"/>
                <w:szCs w:val="24"/>
                <w:highlight w:val="none"/>
                <w:lang w:val="en-US"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top"/>
          </w:tcPr>
          <w:p w14:paraId="5AEA8FD8">
            <w:pPr>
              <w:widowControl/>
              <w:adjustRightInd/>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2.8园内发生突发事件或意外事故后未及时采取有效措施，未将相关情况及时上报采购人。</w:t>
            </w:r>
          </w:p>
        </w:tc>
        <w:tc>
          <w:tcPr>
            <w:tcW w:w="1683" w:type="dxa"/>
            <w:vMerge w:val="continue"/>
            <w:tcBorders>
              <w:left w:val="single" w:color="auto" w:sz="4" w:space="0"/>
              <w:right w:val="single" w:color="auto" w:sz="4" w:space="0"/>
            </w:tcBorders>
            <w:shd w:val="clear" w:color="auto" w:fill="FFFFFF" w:themeFill="background1"/>
            <w:noWrap w:val="0"/>
            <w:vAlign w:val="center"/>
          </w:tcPr>
          <w:p w14:paraId="563ED316">
            <w:pPr>
              <w:widowControl/>
              <w:adjustRightInd/>
              <w:jc w:val="left"/>
              <w:rPr>
                <w:rFonts w:hint="eastAsia" w:ascii="宋体" w:hAnsi="宋体" w:eastAsia="宋体" w:cs="宋体"/>
                <w:color w:val="auto"/>
                <w:sz w:val="24"/>
                <w:szCs w:val="24"/>
                <w:highlight w:val="none"/>
                <w:lang w:val="en-US" w:eastAsia="zh-CN"/>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000C999D">
            <w:pPr>
              <w:widowControl/>
              <w:adjustRightInd/>
              <w:jc w:val="center"/>
              <w:rPr>
                <w:rFonts w:hint="eastAsia" w:ascii="宋体" w:hAnsi="宋体" w:eastAsia="宋体" w:cs="宋体"/>
                <w:color w:val="auto"/>
                <w:sz w:val="24"/>
                <w:szCs w:val="24"/>
                <w:highlight w:val="none"/>
                <w:lang w:val="en-US" w:eastAsia="zh-CN"/>
              </w:rPr>
            </w:pPr>
          </w:p>
        </w:tc>
      </w:tr>
      <w:tr w14:paraId="5C254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3E95A548">
            <w:pPr>
              <w:widowControl/>
              <w:adjustRightInd/>
              <w:jc w:val="center"/>
              <w:rPr>
                <w:rFonts w:hint="eastAsia" w:ascii="宋体" w:hAnsi="宋体" w:eastAsia="宋体" w:cs="宋体"/>
                <w:color w:val="auto"/>
                <w:sz w:val="24"/>
                <w:szCs w:val="24"/>
                <w:highlight w:val="none"/>
                <w:lang w:val="en-US"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top"/>
          </w:tcPr>
          <w:p w14:paraId="437A5E62">
            <w:pPr>
              <w:widowControl/>
              <w:adjustRightInd/>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2.9园内发生偷盗、打架斗殴等治安事件，未及时发现、未及时与派出所联系处理，导致公园设施破损、游客发生伤亡、财产损失的。</w:t>
            </w:r>
          </w:p>
        </w:tc>
        <w:tc>
          <w:tcPr>
            <w:tcW w:w="1683" w:type="dxa"/>
            <w:vMerge w:val="continue"/>
            <w:tcBorders>
              <w:left w:val="single" w:color="auto" w:sz="4" w:space="0"/>
              <w:bottom w:val="single" w:color="auto" w:sz="4" w:space="0"/>
              <w:right w:val="single" w:color="auto" w:sz="4" w:space="0"/>
            </w:tcBorders>
            <w:shd w:val="clear" w:color="auto" w:fill="FFFFFF" w:themeFill="background1"/>
            <w:noWrap w:val="0"/>
            <w:vAlign w:val="center"/>
          </w:tcPr>
          <w:p w14:paraId="5FD566AC">
            <w:pPr>
              <w:widowControl/>
              <w:adjustRightInd/>
              <w:jc w:val="left"/>
              <w:rPr>
                <w:rFonts w:hint="eastAsia" w:ascii="宋体" w:hAnsi="宋体" w:eastAsia="宋体" w:cs="宋体"/>
                <w:color w:val="auto"/>
                <w:sz w:val="24"/>
                <w:szCs w:val="24"/>
                <w:highlight w:val="none"/>
                <w:lang w:val="en-US" w:eastAsia="zh-CN"/>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38BA3B1E">
            <w:pPr>
              <w:widowControl/>
              <w:adjustRightInd/>
              <w:jc w:val="center"/>
              <w:rPr>
                <w:rFonts w:hint="eastAsia" w:ascii="宋体" w:hAnsi="宋体" w:eastAsia="宋体" w:cs="宋体"/>
                <w:color w:val="auto"/>
                <w:sz w:val="24"/>
                <w:szCs w:val="24"/>
                <w:highlight w:val="none"/>
                <w:lang w:val="en-US" w:eastAsia="zh-CN"/>
              </w:rPr>
            </w:pPr>
          </w:p>
        </w:tc>
      </w:tr>
      <w:tr w14:paraId="111AB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6" w:hRule="atLeast"/>
          <w:jc w:val="center"/>
        </w:trPr>
        <w:tc>
          <w:tcPr>
            <w:tcW w:w="9085" w:type="dxa"/>
            <w:gridSpan w:val="4"/>
            <w:tcBorders>
              <w:left w:val="single" w:color="auto" w:sz="4" w:space="0"/>
              <w:right w:val="single" w:color="auto" w:sz="4" w:space="0"/>
            </w:tcBorders>
            <w:shd w:val="clear" w:color="auto" w:fill="FFFFFF" w:themeFill="background1"/>
            <w:noWrap w:val="0"/>
            <w:vAlign w:val="center"/>
          </w:tcPr>
          <w:p w14:paraId="476D5AA5">
            <w:pPr>
              <w:widowControl/>
              <w:tabs>
                <w:tab w:val="left" w:pos="3039"/>
              </w:tabs>
              <w:adjustRightInd/>
              <w:jc w:val="lef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（三）游客服务管理</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5分</w:t>
            </w:r>
            <w:r>
              <w:rPr>
                <w:rFonts w:hint="eastAsia" w:ascii="宋体" w:hAnsi="宋体" w:eastAsia="宋体" w:cs="宋体"/>
                <w:b/>
                <w:color w:val="auto"/>
                <w:sz w:val="24"/>
                <w:szCs w:val="24"/>
                <w:highlight w:val="none"/>
                <w:lang w:eastAsia="zh-CN"/>
              </w:rPr>
              <w:t>）</w:t>
            </w:r>
          </w:p>
        </w:tc>
      </w:tr>
      <w:tr w14:paraId="3AD32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21" w:type="dxa"/>
            <w:tcBorders>
              <w:left w:val="single" w:color="auto" w:sz="4" w:space="0"/>
              <w:right w:val="single" w:color="auto" w:sz="4" w:space="0"/>
            </w:tcBorders>
            <w:shd w:val="clear" w:color="auto" w:fill="FFFFFF" w:themeFill="background1"/>
            <w:noWrap w:val="0"/>
            <w:vAlign w:val="center"/>
          </w:tcPr>
          <w:p w14:paraId="1E0C4109">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游客服务</w:t>
            </w: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2B136C3A">
            <w:pPr>
              <w:widowControl/>
              <w:adjustRightInd/>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3.1公园咨询、投诉、接待等服务不到位，未按时记录并回复，或回复后游客仍不满意。</w:t>
            </w:r>
          </w:p>
        </w:tc>
        <w:tc>
          <w:tcPr>
            <w:tcW w:w="1683" w:type="dxa"/>
            <w:tcBorders>
              <w:left w:val="single" w:color="auto" w:sz="4" w:space="0"/>
              <w:bottom w:val="single" w:color="auto" w:sz="4" w:space="0"/>
              <w:right w:val="single" w:color="auto" w:sz="4" w:space="0"/>
            </w:tcBorders>
            <w:shd w:val="clear" w:color="auto" w:fill="FFFFFF" w:themeFill="background1"/>
            <w:noWrap w:val="0"/>
            <w:vAlign w:val="center"/>
          </w:tcPr>
          <w:p w14:paraId="14566BF6">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每发现一次扣1分（当月累计扣分）。</w:t>
            </w:r>
          </w:p>
        </w:tc>
        <w:tc>
          <w:tcPr>
            <w:tcW w:w="863" w:type="dxa"/>
            <w:tcBorders>
              <w:left w:val="single" w:color="auto" w:sz="4" w:space="0"/>
              <w:right w:val="single" w:color="auto" w:sz="4" w:space="0"/>
            </w:tcBorders>
            <w:shd w:val="clear" w:color="auto" w:fill="FFFFFF" w:themeFill="background1"/>
            <w:noWrap w:val="0"/>
            <w:vAlign w:val="center"/>
          </w:tcPr>
          <w:p w14:paraId="1AFE6B41">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r>
      <w:tr w14:paraId="2FC67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9085" w:type="dxa"/>
            <w:gridSpan w:val="4"/>
            <w:tcBorders>
              <w:left w:val="single" w:color="auto" w:sz="4" w:space="0"/>
              <w:right w:val="single" w:color="auto" w:sz="4" w:space="0"/>
            </w:tcBorders>
            <w:shd w:val="clear" w:color="auto" w:fill="FFFFFF" w:themeFill="background1"/>
            <w:noWrap w:val="0"/>
            <w:vAlign w:val="center"/>
          </w:tcPr>
          <w:p w14:paraId="510267AB">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（四）人员管理</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10分</w:t>
            </w:r>
            <w:r>
              <w:rPr>
                <w:rFonts w:hint="eastAsia" w:ascii="宋体" w:hAnsi="宋体" w:eastAsia="宋体" w:cs="宋体"/>
                <w:b/>
                <w:color w:val="auto"/>
                <w:sz w:val="24"/>
                <w:szCs w:val="24"/>
                <w:highlight w:val="none"/>
                <w:lang w:eastAsia="zh-CN"/>
              </w:rPr>
              <w:t>）</w:t>
            </w:r>
          </w:p>
        </w:tc>
      </w:tr>
      <w:tr w14:paraId="3DED8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21" w:type="dxa"/>
            <w:vMerge w:val="restart"/>
            <w:tcBorders>
              <w:left w:val="single" w:color="auto" w:sz="4" w:space="0"/>
              <w:right w:val="single" w:color="auto" w:sz="4" w:space="0"/>
            </w:tcBorders>
            <w:shd w:val="clear" w:color="auto" w:fill="FFFFFF" w:themeFill="background1"/>
            <w:noWrap w:val="0"/>
            <w:vAlign w:val="center"/>
          </w:tcPr>
          <w:p w14:paraId="459039AD">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工作纪律</w:t>
            </w: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70C97A23">
            <w:pPr>
              <w:widowControl/>
              <w:adjustRightInd/>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4.1当班期间发生缺岗、脱岗、擅自离岗等现象。</w:t>
            </w:r>
          </w:p>
        </w:tc>
        <w:tc>
          <w:tcPr>
            <w:tcW w:w="1683" w:type="dxa"/>
            <w:vMerge w:val="restart"/>
            <w:tcBorders>
              <w:top w:val="single" w:color="auto" w:sz="4" w:space="0"/>
              <w:left w:val="single" w:color="auto" w:sz="4" w:space="0"/>
              <w:right w:val="single" w:color="auto" w:sz="4" w:space="0"/>
            </w:tcBorders>
            <w:shd w:val="clear" w:color="auto" w:fill="FFFFFF" w:themeFill="background1"/>
            <w:noWrap w:val="0"/>
            <w:vAlign w:val="center"/>
          </w:tcPr>
          <w:p w14:paraId="25C526CF">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每发现一次扣1分（当月累计扣分）。</w:t>
            </w:r>
          </w:p>
        </w:tc>
        <w:tc>
          <w:tcPr>
            <w:tcW w:w="863" w:type="dxa"/>
            <w:vMerge w:val="restart"/>
            <w:tcBorders>
              <w:top w:val="single" w:color="auto" w:sz="4" w:space="0"/>
              <w:left w:val="single" w:color="auto" w:sz="4" w:space="0"/>
              <w:right w:val="single" w:color="auto" w:sz="4" w:space="0"/>
            </w:tcBorders>
            <w:shd w:val="clear" w:color="auto" w:fill="FFFFFF" w:themeFill="background1"/>
            <w:noWrap w:val="0"/>
            <w:vAlign w:val="center"/>
          </w:tcPr>
          <w:p w14:paraId="0B525449">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r>
      <w:tr w14:paraId="4702E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11745503">
            <w:pPr>
              <w:widowControl/>
              <w:adjustRightInd/>
              <w:jc w:val="center"/>
              <w:rPr>
                <w:rFonts w:hint="eastAsia" w:ascii="宋体" w:hAnsi="宋体" w:eastAsia="宋体" w:cs="宋体"/>
                <w:color w:val="auto"/>
                <w:sz w:val="24"/>
                <w:szCs w:val="24"/>
                <w:highlight w:val="none"/>
                <w:lang w:val="en-US"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4C4E2932">
            <w:pPr>
              <w:widowControl/>
              <w:adjustRightInd/>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4.2当班期间未为市民游客提供力所能及的便利，存在服务态度差现象。</w:t>
            </w:r>
          </w:p>
        </w:tc>
        <w:tc>
          <w:tcPr>
            <w:tcW w:w="1683" w:type="dxa"/>
            <w:vMerge w:val="continue"/>
            <w:tcBorders>
              <w:left w:val="single" w:color="auto" w:sz="4" w:space="0"/>
              <w:bottom w:val="single" w:color="auto" w:sz="4" w:space="0"/>
              <w:right w:val="single" w:color="auto" w:sz="4" w:space="0"/>
            </w:tcBorders>
            <w:shd w:val="clear" w:color="auto" w:fill="FFFFFF" w:themeFill="background1"/>
            <w:noWrap w:val="0"/>
            <w:vAlign w:val="center"/>
          </w:tcPr>
          <w:p w14:paraId="0EB39E8B">
            <w:pPr>
              <w:widowControl/>
              <w:adjustRightInd/>
              <w:jc w:val="left"/>
              <w:rPr>
                <w:rFonts w:hint="eastAsia" w:ascii="宋体" w:hAnsi="宋体" w:eastAsia="宋体" w:cs="宋体"/>
                <w:color w:val="auto"/>
                <w:kern w:val="2"/>
                <w:sz w:val="24"/>
                <w:szCs w:val="24"/>
                <w:highlight w:val="none"/>
                <w:lang w:val="en-US" w:eastAsia="zh-CN" w:bidi="ar-SA"/>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7AD771B4">
            <w:pPr>
              <w:widowControl/>
              <w:adjustRightInd/>
              <w:jc w:val="center"/>
              <w:rPr>
                <w:rFonts w:hint="eastAsia" w:ascii="宋体" w:hAnsi="宋体" w:eastAsia="宋体" w:cs="宋体"/>
                <w:color w:val="auto"/>
                <w:sz w:val="24"/>
                <w:szCs w:val="24"/>
                <w:highlight w:val="none"/>
                <w:lang w:val="en-US" w:eastAsia="zh-CN"/>
              </w:rPr>
            </w:pPr>
          </w:p>
        </w:tc>
      </w:tr>
      <w:tr w14:paraId="1668C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50"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57C66185">
            <w:pPr>
              <w:widowControl/>
              <w:adjustRightInd/>
              <w:jc w:val="center"/>
              <w:rPr>
                <w:rFonts w:hint="eastAsia" w:ascii="宋体" w:hAnsi="宋体" w:eastAsia="宋体" w:cs="宋体"/>
                <w:color w:val="auto"/>
                <w:sz w:val="24"/>
                <w:szCs w:val="24"/>
                <w:highlight w:val="none"/>
                <w:lang w:val="en-US"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3DCFBFC8">
            <w:pPr>
              <w:widowControl/>
              <w:adjustRightInd/>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4.3当班期间未着统一工作服，当班期间存在打瞌睡、玩手机等与工作内容无关的现象。</w:t>
            </w:r>
          </w:p>
        </w:tc>
        <w:tc>
          <w:tcPr>
            <w:tcW w:w="1683"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4F2E9ACF">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每发现一次扣0.5分（当月累计扣分）。</w:t>
            </w:r>
          </w:p>
        </w:tc>
        <w:tc>
          <w:tcPr>
            <w:tcW w:w="863" w:type="dxa"/>
            <w:vMerge w:val="continue"/>
            <w:tcBorders>
              <w:left w:val="single" w:color="auto" w:sz="4" w:space="0"/>
              <w:right w:val="single" w:color="auto" w:sz="4" w:space="0"/>
            </w:tcBorders>
            <w:shd w:val="clear" w:color="auto" w:fill="FFFFFF" w:themeFill="background1"/>
            <w:noWrap w:val="0"/>
            <w:vAlign w:val="center"/>
          </w:tcPr>
          <w:p w14:paraId="17D15CF1">
            <w:pPr>
              <w:widowControl/>
              <w:adjustRightInd/>
              <w:jc w:val="center"/>
              <w:rPr>
                <w:rFonts w:hint="eastAsia" w:ascii="宋体" w:hAnsi="宋体" w:eastAsia="宋体" w:cs="宋体"/>
                <w:color w:val="auto"/>
                <w:sz w:val="24"/>
                <w:szCs w:val="24"/>
                <w:highlight w:val="none"/>
                <w:lang w:val="en-US" w:eastAsia="zh-CN"/>
              </w:rPr>
            </w:pPr>
          </w:p>
        </w:tc>
      </w:tr>
      <w:tr w14:paraId="519A1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21" w:type="dxa"/>
            <w:tcBorders>
              <w:left w:val="single" w:color="auto" w:sz="4" w:space="0"/>
              <w:right w:val="single" w:color="auto" w:sz="4" w:space="0"/>
            </w:tcBorders>
            <w:shd w:val="clear" w:color="auto" w:fill="FFFFFF" w:themeFill="background1"/>
            <w:noWrap w:val="0"/>
            <w:vAlign w:val="center"/>
          </w:tcPr>
          <w:p w14:paraId="2ACF2529">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服从管理</w:t>
            </w: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531EAB29">
            <w:pPr>
              <w:widowControl/>
              <w:adjustRightInd/>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4.4未能服从采购人调度或未能完成临时指派任务。</w:t>
            </w:r>
          </w:p>
        </w:tc>
        <w:tc>
          <w:tcPr>
            <w:tcW w:w="1683"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16DDAC21">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每发现一次，根据情节轻重扣1—3分。</w:t>
            </w:r>
          </w:p>
        </w:tc>
        <w:tc>
          <w:tcPr>
            <w:tcW w:w="863" w:type="dxa"/>
            <w:vMerge w:val="continue"/>
            <w:tcBorders>
              <w:left w:val="single" w:color="auto" w:sz="4" w:space="0"/>
              <w:bottom w:val="single" w:color="auto" w:sz="4" w:space="0"/>
              <w:right w:val="single" w:color="auto" w:sz="4" w:space="0"/>
            </w:tcBorders>
            <w:shd w:val="clear" w:color="auto" w:fill="FFFFFF" w:themeFill="background1"/>
            <w:noWrap w:val="0"/>
            <w:vAlign w:val="center"/>
          </w:tcPr>
          <w:p w14:paraId="66165EE6">
            <w:pPr>
              <w:widowControl/>
              <w:adjustRightInd/>
              <w:jc w:val="center"/>
              <w:rPr>
                <w:rFonts w:hint="eastAsia" w:ascii="宋体" w:hAnsi="宋体" w:eastAsia="宋体" w:cs="宋体"/>
                <w:color w:val="auto"/>
                <w:sz w:val="24"/>
                <w:szCs w:val="24"/>
                <w:highlight w:val="none"/>
                <w:lang w:val="en-US" w:eastAsia="zh-CN"/>
              </w:rPr>
            </w:pPr>
          </w:p>
        </w:tc>
      </w:tr>
      <w:tr w14:paraId="4FBEB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9085" w:type="dxa"/>
            <w:gridSpan w:val="4"/>
            <w:tcBorders>
              <w:left w:val="single" w:color="auto" w:sz="4" w:space="0"/>
              <w:right w:val="single" w:color="auto" w:sz="4" w:space="0"/>
            </w:tcBorders>
            <w:shd w:val="clear" w:color="auto" w:fill="FFFFFF" w:themeFill="background1"/>
            <w:noWrap w:val="0"/>
            <w:vAlign w:val="center"/>
          </w:tcPr>
          <w:p w14:paraId="0F57D5BE">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（五）台账管理</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5分</w:t>
            </w:r>
            <w:r>
              <w:rPr>
                <w:rFonts w:hint="eastAsia" w:ascii="宋体" w:hAnsi="宋体" w:eastAsia="宋体" w:cs="宋体"/>
                <w:b/>
                <w:color w:val="auto"/>
                <w:sz w:val="24"/>
                <w:szCs w:val="24"/>
                <w:highlight w:val="none"/>
                <w:lang w:eastAsia="zh-CN"/>
              </w:rPr>
              <w:t>）</w:t>
            </w:r>
          </w:p>
        </w:tc>
      </w:tr>
      <w:tr w14:paraId="5CAAC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50" w:hRule="atLeast"/>
          <w:jc w:val="center"/>
        </w:trPr>
        <w:tc>
          <w:tcPr>
            <w:tcW w:w="1521" w:type="dxa"/>
            <w:tcBorders>
              <w:left w:val="single" w:color="auto" w:sz="4" w:space="0"/>
              <w:right w:val="single" w:color="auto" w:sz="4" w:space="0"/>
            </w:tcBorders>
            <w:shd w:val="clear" w:color="auto" w:fill="FFFFFF" w:themeFill="background1"/>
            <w:noWrap w:val="0"/>
            <w:vAlign w:val="center"/>
          </w:tcPr>
          <w:p w14:paraId="76672C30">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台账信息</w:t>
            </w: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top"/>
          </w:tcPr>
          <w:p w14:paraId="72227E5B">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5.1未按时提供采购人所需台账资料或提供台账资料不全、不准确、不完整。</w:t>
            </w:r>
          </w:p>
        </w:tc>
        <w:tc>
          <w:tcPr>
            <w:tcW w:w="1683"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52127A14">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每缺1项扣1分。</w:t>
            </w:r>
          </w:p>
        </w:tc>
        <w:tc>
          <w:tcPr>
            <w:tcW w:w="863"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2A14FF26">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r>
      <w:tr w14:paraId="48F3F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9085" w:type="dxa"/>
            <w:gridSpan w:val="4"/>
            <w:tcBorders>
              <w:left w:val="single" w:color="auto" w:sz="4" w:space="0"/>
              <w:right w:val="single" w:color="auto" w:sz="4" w:space="0"/>
            </w:tcBorders>
            <w:shd w:val="clear" w:color="auto" w:fill="FFFFFF" w:themeFill="background1"/>
            <w:noWrap w:val="0"/>
            <w:vAlign w:val="top"/>
          </w:tcPr>
          <w:p w14:paraId="389137A8">
            <w:pPr>
              <w:widowControl/>
              <w:adjustRightInd/>
              <w:jc w:val="both"/>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备注：</w:t>
            </w:r>
            <w:r>
              <w:rPr>
                <w:rFonts w:hint="eastAsia" w:ascii="宋体" w:hAnsi="宋体" w:eastAsia="宋体" w:cs="宋体"/>
                <w:color w:val="auto"/>
                <w:sz w:val="24"/>
                <w:szCs w:val="24"/>
                <w:highlight w:val="none"/>
                <w:lang w:val="en-US" w:eastAsia="zh-CN"/>
              </w:rPr>
              <w:t>1.由采购单位每月对公园（固定支付部分）进行综合考核，90分及以上为优秀，60分及以上为合格。低于90分，每下降0.1分扣除当月固定支付部分的0.1%；低于80分，每下降0.1分扣除当月固定支付部分的0.2%，如当月考核成绩为79分，本月考核扣除固定部分22%养护经费，计算公式：[（90-79）/0.1]</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0.2%=22%；低于60分，不支付当月固定支付部分。</w:t>
            </w:r>
          </w:p>
        </w:tc>
      </w:tr>
    </w:tbl>
    <w:p w14:paraId="4C5D2381">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kern w:val="0"/>
          <w:sz w:val="24"/>
          <w:highlight w:val="none"/>
          <w:lang w:val="en-US" w:eastAsia="zh-CN"/>
        </w:rPr>
        <w:t>②博物馆</w:t>
      </w:r>
      <w:r>
        <w:rPr>
          <w:rFonts w:hint="eastAsia" w:ascii="宋体" w:hAnsi="宋体" w:eastAsia="宋体" w:cs="宋体"/>
          <w:b/>
          <w:bCs w:val="0"/>
          <w:color w:val="auto"/>
          <w:sz w:val="24"/>
          <w:szCs w:val="24"/>
          <w:highlight w:val="none"/>
          <w:lang w:val="en-US" w:eastAsia="zh-CN"/>
        </w:rPr>
        <w:t>园林博物馆月度考核标准（固定支付部分）</w:t>
      </w:r>
    </w:p>
    <w:tbl>
      <w:tblPr>
        <w:tblStyle w:val="62"/>
        <w:tblW w:w="83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6738"/>
        <w:gridCol w:w="876"/>
      </w:tblGrid>
      <w:tr w14:paraId="0740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 w:hRule="atLeast"/>
          <w:jc w:val="center"/>
        </w:trPr>
        <w:tc>
          <w:tcPr>
            <w:tcW w:w="738" w:type="dxa"/>
            <w:tcBorders>
              <w:top w:val="single" w:color="auto" w:sz="4" w:space="0"/>
              <w:left w:val="single" w:color="auto" w:sz="4" w:space="0"/>
              <w:bottom w:val="single" w:color="auto" w:sz="4" w:space="0"/>
              <w:right w:val="single" w:color="auto" w:sz="4" w:space="0"/>
            </w:tcBorders>
            <w:noWrap w:val="0"/>
            <w:vAlign w:val="center"/>
          </w:tcPr>
          <w:p w14:paraId="0E1517F3">
            <w:pPr>
              <w:widowControl/>
              <w:adjustRightInd/>
              <w:spacing w:line="260" w:lineRule="exact"/>
              <w:ind w:left="-57" w:right="-57"/>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项目</w:t>
            </w:r>
          </w:p>
        </w:tc>
        <w:tc>
          <w:tcPr>
            <w:tcW w:w="6738" w:type="dxa"/>
            <w:tcBorders>
              <w:top w:val="single" w:color="auto" w:sz="4" w:space="0"/>
              <w:left w:val="single" w:color="auto" w:sz="4" w:space="0"/>
              <w:bottom w:val="single" w:color="auto" w:sz="4" w:space="0"/>
              <w:right w:val="single" w:color="auto" w:sz="4" w:space="0"/>
            </w:tcBorders>
            <w:noWrap w:val="0"/>
            <w:vAlign w:val="center"/>
          </w:tcPr>
          <w:p w14:paraId="6486F0CA">
            <w:pPr>
              <w:widowControl/>
              <w:adjustRightInd/>
              <w:spacing w:line="260" w:lineRule="exact"/>
              <w:ind w:left="-57" w:right="-57"/>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考 核 评 分 办 法</w:t>
            </w:r>
          </w:p>
        </w:tc>
        <w:tc>
          <w:tcPr>
            <w:tcW w:w="876" w:type="dxa"/>
            <w:tcBorders>
              <w:top w:val="single" w:color="auto" w:sz="4" w:space="0"/>
              <w:left w:val="single" w:color="auto" w:sz="4" w:space="0"/>
              <w:bottom w:val="single" w:color="auto" w:sz="4" w:space="0"/>
              <w:right w:val="single" w:color="auto" w:sz="4" w:space="0"/>
            </w:tcBorders>
            <w:noWrap w:val="0"/>
            <w:vAlign w:val="top"/>
          </w:tcPr>
          <w:p w14:paraId="35E4E413">
            <w:pPr>
              <w:widowControl/>
              <w:adjustRightInd/>
              <w:spacing w:line="260" w:lineRule="exact"/>
              <w:ind w:left="-57" w:right="-57"/>
              <w:jc w:val="left"/>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分值</w:t>
            </w:r>
          </w:p>
        </w:tc>
      </w:tr>
      <w:tr w14:paraId="2C580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476" w:type="dxa"/>
            <w:gridSpan w:val="2"/>
            <w:tcBorders>
              <w:top w:val="single" w:color="auto" w:sz="4" w:space="0"/>
              <w:left w:val="single" w:color="auto" w:sz="4" w:space="0"/>
              <w:bottom w:val="single" w:color="auto" w:sz="4" w:space="0"/>
              <w:right w:val="single" w:color="auto" w:sz="4" w:space="0"/>
            </w:tcBorders>
            <w:noWrap w:val="0"/>
            <w:vAlign w:val="top"/>
          </w:tcPr>
          <w:p w14:paraId="3BC8978F">
            <w:pPr>
              <w:widowControl/>
              <w:adjustRightInd/>
              <w:spacing w:line="260" w:lineRule="exact"/>
              <w:ind w:left="-57" w:right="-57"/>
              <w:jc w:val="lef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（一）保洁考核细则</w:t>
            </w:r>
          </w:p>
        </w:tc>
        <w:tc>
          <w:tcPr>
            <w:tcW w:w="876" w:type="dxa"/>
            <w:tcBorders>
              <w:top w:val="single" w:color="auto" w:sz="4" w:space="0"/>
              <w:left w:val="single" w:color="auto" w:sz="4" w:space="0"/>
              <w:bottom w:val="single" w:color="auto" w:sz="4" w:space="0"/>
              <w:right w:val="single" w:color="auto" w:sz="4" w:space="0"/>
            </w:tcBorders>
            <w:noWrap w:val="0"/>
            <w:vAlign w:val="top"/>
          </w:tcPr>
          <w:p w14:paraId="0A91230E">
            <w:pPr>
              <w:widowControl/>
              <w:adjustRightInd/>
              <w:spacing w:line="260" w:lineRule="exact"/>
              <w:ind w:left="-57" w:right="-5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50</w:t>
            </w:r>
          </w:p>
        </w:tc>
      </w:tr>
      <w:tr w14:paraId="12C58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8" w:type="dxa"/>
            <w:vMerge w:val="restart"/>
            <w:tcBorders>
              <w:top w:val="single" w:color="auto" w:sz="4" w:space="0"/>
              <w:left w:val="single" w:color="auto" w:sz="4" w:space="0"/>
              <w:right w:val="single" w:color="auto" w:sz="4" w:space="0"/>
            </w:tcBorders>
            <w:noWrap w:val="0"/>
            <w:vAlign w:val="center"/>
          </w:tcPr>
          <w:p w14:paraId="6DB6D64E">
            <w:pPr>
              <w:widowControl/>
              <w:adjustRightInd/>
              <w:spacing w:line="260" w:lineRule="exact"/>
              <w:ind w:left="-57" w:right="-57"/>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规范</w:t>
            </w:r>
          </w:p>
          <w:p w14:paraId="5514ACEA">
            <w:pPr>
              <w:widowControl/>
              <w:adjustRightInd/>
              <w:spacing w:line="260" w:lineRule="exact"/>
              <w:ind w:left="-57" w:right="-57"/>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管理</w:t>
            </w:r>
          </w:p>
        </w:tc>
        <w:tc>
          <w:tcPr>
            <w:tcW w:w="6738" w:type="dxa"/>
            <w:tcBorders>
              <w:top w:val="single" w:color="auto" w:sz="4" w:space="0"/>
              <w:left w:val="single" w:color="auto" w:sz="4" w:space="0"/>
              <w:bottom w:val="single" w:color="auto" w:sz="4" w:space="0"/>
              <w:right w:val="single" w:color="auto" w:sz="4" w:space="0"/>
            </w:tcBorders>
            <w:noWrap w:val="0"/>
            <w:vAlign w:val="center"/>
          </w:tcPr>
          <w:p w14:paraId="16A9C069">
            <w:pPr>
              <w:widowControl/>
              <w:adjustRightInd/>
              <w:spacing w:line="260" w:lineRule="exact"/>
              <w:ind w:left="-57" w:right="-5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1.1文明服务、礼貌待人，按规定穿着工作服，并注意保持个人的仪容仪表，树立良好形象。衣着不整齐扣2分，服务态度不文明被游客投诉的扣5分。</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4052897B">
            <w:pPr>
              <w:widowControl/>
              <w:adjustRightInd/>
              <w:spacing w:line="260" w:lineRule="exact"/>
              <w:ind w:left="-57" w:right="-5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r>
      <w:tr w14:paraId="21EB9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8" w:type="dxa"/>
            <w:vMerge w:val="continue"/>
            <w:tcBorders>
              <w:left w:val="single" w:color="auto" w:sz="4" w:space="0"/>
              <w:right w:val="single" w:color="auto" w:sz="4" w:space="0"/>
            </w:tcBorders>
            <w:noWrap w:val="0"/>
            <w:vAlign w:val="center"/>
          </w:tcPr>
          <w:p w14:paraId="045046B9">
            <w:pPr>
              <w:widowControl/>
              <w:adjustRightInd/>
              <w:spacing w:line="260" w:lineRule="exact"/>
              <w:ind w:left="-57" w:right="-57"/>
              <w:jc w:val="left"/>
              <w:rPr>
                <w:rFonts w:hint="eastAsia" w:ascii="宋体" w:hAnsi="宋体" w:eastAsia="宋体" w:cs="宋体"/>
                <w:b/>
                <w:bCs/>
                <w:color w:val="auto"/>
                <w:sz w:val="24"/>
                <w:szCs w:val="24"/>
                <w:highlight w:val="none"/>
              </w:rPr>
            </w:pPr>
          </w:p>
        </w:tc>
        <w:tc>
          <w:tcPr>
            <w:tcW w:w="6738" w:type="dxa"/>
            <w:tcBorders>
              <w:top w:val="single" w:color="auto" w:sz="4" w:space="0"/>
              <w:left w:val="single" w:color="auto" w:sz="4" w:space="0"/>
              <w:bottom w:val="single" w:color="auto" w:sz="4" w:space="0"/>
              <w:right w:val="single" w:color="auto" w:sz="4" w:space="0"/>
            </w:tcBorders>
            <w:noWrap w:val="0"/>
            <w:vAlign w:val="center"/>
          </w:tcPr>
          <w:p w14:paraId="5DAEF057">
            <w:pPr>
              <w:widowControl/>
              <w:adjustRightInd/>
              <w:spacing w:line="260" w:lineRule="exact"/>
              <w:ind w:left="-57" w:right="-5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 遵守考勤制度，工作时间不干私活，不做与工作无关的事情。工作时间擅离岗位的扣5分，工作时间玩手机、干私活的扣3分。</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5EDA8F3E">
            <w:pPr>
              <w:widowControl/>
              <w:adjustRightInd/>
              <w:spacing w:line="260" w:lineRule="exact"/>
              <w:ind w:left="-57" w:right="-5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r>
      <w:tr w14:paraId="50732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8" w:type="dxa"/>
            <w:tcBorders>
              <w:top w:val="single" w:color="auto" w:sz="4" w:space="0"/>
              <w:left w:val="single" w:color="auto" w:sz="4" w:space="0"/>
              <w:right w:val="single" w:color="auto" w:sz="4" w:space="0"/>
            </w:tcBorders>
            <w:noWrap w:val="0"/>
            <w:vAlign w:val="center"/>
          </w:tcPr>
          <w:p w14:paraId="251A8211">
            <w:pPr>
              <w:widowControl/>
              <w:adjustRightInd/>
              <w:spacing w:line="260" w:lineRule="exact"/>
              <w:ind w:left="-57" w:right="-57"/>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展厅</w:t>
            </w:r>
          </w:p>
          <w:p w14:paraId="7DE7774C">
            <w:pPr>
              <w:widowControl/>
              <w:adjustRightInd/>
              <w:spacing w:line="260" w:lineRule="exact"/>
              <w:ind w:left="-57" w:right="-57"/>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保洁</w:t>
            </w:r>
          </w:p>
        </w:tc>
        <w:tc>
          <w:tcPr>
            <w:tcW w:w="6738" w:type="dxa"/>
            <w:tcBorders>
              <w:top w:val="single" w:color="auto" w:sz="4" w:space="0"/>
              <w:left w:val="single" w:color="auto" w:sz="4" w:space="0"/>
              <w:bottom w:val="single" w:color="auto" w:sz="4" w:space="0"/>
              <w:right w:val="single" w:color="auto" w:sz="4" w:space="0"/>
            </w:tcBorders>
            <w:noWrap w:val="0"/>
            <w:vAlign w:val="center"/>
          </w:tcPr>
          <w:p w14:paraId="3967B58F">
            <w:pPr>
              <w:widowControl/>
              <w:adjustRightInd/>
              <w:spacing w:line="260" w:lineRule="exact"/>
              <w:ind w:left="-57" w:right="-5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 展厅内场景台面，展柜、外墙玻璃、垃圾桶等设施做到洁净、明亮、无灰尘、无污渍、无水迹。博物馆展厅地面垃圾、污渍扣2分/处，展柜、垃圾桶等设施不整洁扣2分/处，幕墙玻璃和地毯未定时清洗扣3分/处，展厅有蛛网等扣3分/处。</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23158D47">
            <w:pPr>
              <w:widowControl/>
              <w:adjustRightInd/>
              <w:spacing w:line="260" w:lineRule="exact"/>
              <w:ind w:left="-57" w:right="-5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r>
      <w:tr w14:paraId="7CA75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738" w:type="dxa"/>
            <w:tcBorders>
              <w:left w:val="single" w:color="auto" w:sz="4" w:space="0"/>
              <w:bottom w:val="single" w:color="auto" w:sz="4" w:space="0"/>
              <w:right w:val="single" w:color="auto" w:sz="4" w:space="0"/>
            </w:tcBorders>
            <w:noWrap w:val="0"/>
            <w:vAlign w:val="center"/>
          </w:tcPr>
          <w:p w14:paraId="7A6133CD">
            <w:pPr>
              <w:widowControl/>
              <w:adjustRightInd/>
              <w:spacing w:line="260" w:lineRule="exact"/>
              <w:ind w:left="-57" w:right="-57"/>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厕所</w:t>
            </w:r>
          </w:p>
          <w:p w14:paraId="38238343">
            <w:pPr>
              <w:widowControl/>
              <w:adjustRightInd/>
              <w:spacing w:line="260" w:lineRule="exact"/>
              <w:ind w:left="-57" w:right="-57"/>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保洁</w:t>
            </w:r>
          </w:p>
        </w:tc>
        <w:tc>
          <w:tcPr>
            <w:tcW w:w="6738" w:type="dxa"/>
            <w:tcBorders>
              <w:top w:val="single" w:color="auto" w:sz="4" w:space="0"/>
              <w:left w:val="single" w:color="auto" w:sz="4" w:space="0"/>
              <w:bottom w:val="single" w:color="auto" w:sz="4" w:space="0"/>
              <w:right w:val="single" w:color="auto" w:sz="4" w:space="0"/>
            </w:tcBorders>
            <w:noWrap w:val="0"/>
            <w:vAlign w:val="center"/>
          </w:tcPr>
          <w:p w14:paraId="16F77DFC">
            <w:pPr>
              <w:widowControl/>
              <w:adjustRightInd/>
              <w:spacing w:line="260" w:lineRule="exact"/>
              <w:ind w:left="-57" w:right="-5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1.4厕所内洗手台面、镜面、干手器等设施无污渍，便池随时清洗无异味，垃圾桶及时</w:t>
            </w:r>
            <w:r>
              <w:rPr>
                <w:rFonts w:hint="eastAsia" w:ascii="宋体" w:hAnsi="宋体" w:eastAsia="宋体" w:cs="宋体"/>
                <w:color w:val="auto"/>
                <w:sz w:val="24"/>
                <w:szCs w:val="24"/>
                <w:highlight w:val="none"/>
                <w:lang w:eastAsia="zh-CN"/>
              </w:rPr>
              <w:t>倾</w:t>
            </w:r>
            <w:r>
              <w:rPr>
                <w:rFonts w:hint="eastAsia" w:ascii="宋体" w:hAnsi="宋体" w:eastAsia="宋体" w:cs="宋体"/>
                <w:color w:val="auto"/>
                <w:sz w:val="24"/>
                <w:szCs w:val="24"/>
                <w:highlight w:val="none"/>
              </w:rPr>
              <w:t>倒。地面、设施污渍、水渍扣2分/处，有明显异味扣3分/处。蚊蝇没及时消杀扣3分。</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04190646">
            <w:pPr>
              <w:widowControl/>
              <w:adjustRightInd/>
              <w:spacing w:line="260" w:lineRule="exact"/>
              <w:ind w:left="-57" w:right="-57"/>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8</w:t>
            </w:r>
          </w:p>
        </w:tc>
      </w:tr>
      <w:tr w14:paraId="4D451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738" w:type="dxa"/>
            <w:tcBorders>
              <w:left w:val="single" w:color="auto" w:sz="4" w:space="0"/>
              <w:right w:val="single" w:color="auto" w:sz="4" w:space="0"/>
            </w:tcBorders>
            <w:noWrap w:val="0"/>
            <w:vAlign w:val="center"/>
          </w:tcPr>
          <w:p w14:paraId="6543CF52">
            <w:pPr>
              <w:widowControl/>
              <w:adjustRightInd/>
              <w:spacing w:line="260" w:lineRule="exact"/>
              <w:ind w:left="-57" w:right="-57"/>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绿地</w:t>
            </w:r>
          </w:p>
          <w:p w14:paraId="56C34700">
            <w:pPr>
              <w:widowControl/>
              <w:adjustRightInd/>
              <w:spacing w:line="260" w:lineRule="exact"/>
              <w:ind w:left="-57" w:right="-57"/>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保洁</w:t>
            </w:r>
          </w:p>
        </w:tc>
        <w:tc>
          <w:tcPr>
            <w:tcW w:w="6738" w:type="dxa"/>
            <w:tcBorders>
              <w:top w:val="single" w:color="auto" w:sz="4" w:space="0"/>
              <w:left w:val="single" w:color="auto" w:sz="4" w:space="0"/>
              <w:bottom w:val="single" w:color="auto" w:sz="4" w:space="0"/>
              <w:right w:val="single" w:color="auto" w:sz="4" w:space="0"/>
            </w:tcBorders>
            <w:noWrap w:val="0"/>
            <w:vAlign w:val="center"/>
          </w:tcPr>
          <w:p w14:paraId="37C069EA">
            <w:pPr>
              <w:widowControl/>
              <w:adjustRightInd/>
              <w:spacing w:line="260" w:lineRule="exact"/>
              <w:ind w:left="-57" w:right="-5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1.5绿化生产垃圾及其他垃圾没有及时清理扣1分/处，卫生死角扣2分/处，未按照垃圾分类要求进行垃圾集中的扣2分。节假日或重要活动加倍扣分。</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7DF10B78">
            <w:pPr>
              <w:widowControl/>
              <w:adjustRightInd/>
              <w:spacing w:line="260" w:lineRule="exact"/>
              <w:ind w:left="-57" w:right="-57"/>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8</w:t>
            </w:r>
          </w:p>
        </w:tc>
      </w:tr>
      <w:tr w14:paraId="0D903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738" w:type="dxa"/>
            <w:tcBorders>
              <w:left w:val="single" w:color="auto" w:sz="4" w:space="0"/>
              <w:bottom w:val="single" w:color="auto" w:sz="4" w:space="0"/>
              <w:right w:val="single" w:color="auto" w:sz="4" w:space="0"/>
            </w:tcBorders>
            <w:noWrap w:val="0"/>
            <w:vAlign w:val="center"/>
          </w:tcPr>
          <w:p w14:paraId="41B8CEC3">
            <w:pPr>
              <w:widowControl/>
              <w:adjustRightInd/>
              <w:spacing w:line="260" w:lineRule="exact"/>
              <w:ind w:left="-57" w:right="-57"/>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水面</w:t>
            </w:r>
          </w:p>
          <w:p w14:paraId="18462467">
            <w:pPr>
              <w:widowControl/>
              <w:adjustRightInd/>
              <w:spacing w:line="260" w:lineRule="exact"/>
              <w:ind w:left="-57" w:right="-57"/>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保洁</w:t>
            </w:r>
          </w:p>
        </w:tc>
        <w:tc>
          <w:tcPr>
            <w:tcW w:w="6738" w:type="dxa"/>
            <w:tcBorders>
              <w:top w:val="single" w:color="auto" w:sz="4" w:space="0"/>
              <w:left w:val="single" w:color="auto" w:sz="4" w:space="0"/>
              <w:bottom w:val="single" w:color="auto" w:sz="4" w:space="0"/>
              <w:right w:val="single" w:color="auto" w:sz="4" w:space="0"/>
            </w:tcBorders>
            <w:noWrap w:val="0"/>
            <w:vAlign w:val="center"/>
          </w:tcPr>
          <w:p w14:paraId="55BA1E5E">
            <w:pPr>
              <w:widowControl/>
              <w:adjustRightInd/>
              <w:spacing w:line="260" w:lineRule="exact"/>
              <w:ind w:left="-57" w:right="-5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1.6水面有漂浮物的扣1分/ m2；水质发臭发黑扣2分；水池未定期清理扣1分。</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44AE1347">
            <w:pPr>
              <w:widowControl/>
              <w:adjustRightInd/>
              <w:spacing w:line="260" w:lineRule="exact"/>
              <w:ind w:left="-57" w:right="-5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r>
      <w:tr w14:paraId="6942C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4" w:hRule="atLeast"/>
          <w:jc w:val="center"/>
        </w:trPr>
        <w:tc>
          <w:tcPr>
            <w:tcW w:w="7476" w:type="dxa"/>
            <w:gridSpan w:val="2"/>
            <w:tcBorders>
              <w:top w:val="single" w:color="auto" w:sz="4" w:space="0"/>
              <w:left w:val="single" w:color="auto" w:sz="4" w:space="0"/>
              <w:bottom w:val="single" w:color="auto" w:sz="4" w:space="0"/>
              <w:right w:val="single" w:color="auto" w:sz="4" w:space="0"/>
            </w:tcBorders>
            <w:noWrap w:val="0"/>
            <w:vAlign w:val="top"/>
          </w:tcPr>
          <w:p w14:paraId="52470758">
            <w:pPr>
              <w:widowControl/>
              <w:adjustRightInd/>
              <w:spacing w:line="260" w:lineRule="exact"/>
              <w:ind w:left="-57" w:right="-57"/>
              <w:jc w:val="lef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（二）保安考核细则</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39BE1EB5">
            <w:pPr>
              <w:widowControl/>
              <w:adjustRightInd/>
              <w:spacing w:line="260" w:lineRule="exact"/>
              <w:ind w:left="-57" w:right="-5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45</w:t>
            </w:r>
          </w:p>
        </w:tc>
      </w:tr>
      <w:tr w14:paraId="75F7F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4" w:hRule="atLeast"/>
          <w:jc w:val="center"/>
        </w:trPr>
        <w:tc>
          <w:tcPr>
            <w:tcW w:w="738" w:type="dxa"/>
            <w:vMerge w:val="restart"/>
            <w:tcBorders>
              <w:top w:val="single" w:color="auto" w:sz="4" w:space="0"/>
              <w:left w:val="single" w:color="auto" w:sz="4" w:space="0"/>
              <w:right w:val="single" w:color="auto" w:sz="4" w:space="0"/>
            </w:tcBorders>
            <w:noWrap w:val="0"/>
            <w:vAlign w:val="center"/>
          </w:tcPr>
          <w:p w14:paraId="0B566DF5">
            <w:pPr>
              <w:widowControl/>
              <w:adjustRightInd/>
              <w:spacing w:line="260" w:lineRule="exact"/>
              <w:ind w:left="-57" w:right="-57"/>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规范</w:t>
            </w:r>
          </w:p>
          <w:p w14:paraId="79ADF1EA">
            <w:pPr>
              <w:widowControl/>
              <w:adjustRightInd/>
              <w:spacing w:line="260" w:lineRule="exact"/>
              <w:ind w:left="-57" w:right="-57"/>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管理</w:t>
            </w:r>
          </w:p>
        </w:tc>
        <w:tc>
          <w:tcPr>
            <w:tcW w:w="6738" w:type="dxa"/>
            <w:tcBorders>
              <w:top w:val="single" w:color="auto" w:sz="4" w:space="0"/>
              <w:left w:val="single" w:color="auto" w:sz="4" w:space="0"/>
              <w:bottom w:val="single" w:color="auto" w:sz="4" w:space="0"/>
              <w:right w:val="single" w:color="auto" w:sz="4" w:space="0"/>
            </w:tcBorders>
            <w:noWrap w:val="0"/>
            <w:vAlign w:val="center"/>
          </w:tcPr>
          <w:p w14:paraId="07FA7B52">
            <w:pPr>
              <w:widowControl/>
              <w:adjustRightInd/>
              <w:spacing w:line="260" w:lineRule="exact"/>
              <w:ind w:left="-57" w:right="-5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2.1按规定穿戴制服，文明劝阻游客不文明行为。衣着不整齐扣1分，仪表举止不文明与游客发生争吵的扣2分。</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7910AC46">
            <w:pPr>
              <w:widowControl/>
              <w:adjustRightInd/>
              <w:spacing w:line="260" w:lineRule="exact"/>
              <w:ind w:left="-57" w:right="-5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r>
      <w:tr w14:paraId="149BB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4" w:hRule="atLeast"/>
          <w:jc w:val="center"/>
        </w:trPr>
        <w:tc>
          <w:tcPr>
            <w:tcW w:w="738" w:type="dxa"/>
            <w:vMerge w:val="continue"/>
            <w:tcBorders>
              <w:left w:val="single" w:color="auto" w:sz="4" w:space="0"/>
              <w:bottom w:val="single" w:color="auto" w:sz="4" w:space="0"/>
              <w:right w:val="single" w:color="auto" w:sz="4" w:space="0"/>
            </w:tcBorders>
            <w:noWrap w:val="0"/>
            <w:vAlign w:val="center"/>
          </w:tcPr>
          <w:p w14:paraId="4CE771CA">
            <w:pPr>
              <w:widowControl/>
              <w:adjustRightInd/>
              <w:spacing w:line="260" w:lineRule="exact"/>
              <w:ind w:left="-57" w:right="-57"/>
              <w:jc w:val="left"/>
              <w:rPr>
                <w:rFonts w:hint="eastAsia" w:ascii="宋体" w:hAnsi="宋体" w:eastAsia="宋体" w:cs="宋体"/>
                <w:b/>
                <w:bCs/>
                <w:color w:val="auto"/>
                <w:sz w:val="24"/>
                <w:szCs w:val="24"/>
                <w:highlight w:val="none"/>
              </w:rPr>
            </w:pPr>
          </w:p>
        </w:tc>
        <w:tc>
          <w:tcPr>
            <w:tcW w:w="6738" w:type="dxa"/>
            <w:tcBorders>
              <w:top w:val="single" w:color="auto" w:sz="4" w:space="0"/>
              <w:left w:val="single" w:color="auto" w:sz="4" w:space="0"/>
              <w:bottom w:val="single" w:color="auto" w:sz="4" w:space="0"/>
              <w:right w:val="single" w:color="auto" w:sz="4" w:space="0"/>
            </w:tcBorders>
            <w:noWrap w:val="0"/>
            <w:vAlign w:val="center"/>
          </w:tcPr>
          <w:p w14:paraId="0836DE4F">
            <w:pPr>
              <w:widowControl/>
              <w:adjustRightInd/>
              <w:spacing w:line="260" w:lineRule="exact"/>
              <w:ind w:left="-57" w:right="-5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 遵守考勤制度，做好每天开馆和闭馆清场工作。工作时间擅离岗位的扣5分，未按时开馆和闭馆清场工作的扣2分。</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4E91D850">
            <w:pPr>
              <w:widowControl/>
              <w:adjustRightInd/>
              <w:spacing w:line="260" w:lineRule="exact"/>
              <w:ind w:left="-57" w:right="-5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r>
      <w:tr w14:paraId="01DD3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4" w:hRule="atLeast"/>
          <w:jc w:val="center"/>
        </w:trPr>
        <w:tc>
          <w:tcPr>
            <w:tcW w:w="738" w:type="dxa"/>
            <w:vMerge w:val="restart"/>
            <w:tcBorders>
              <w:top w:val="single" w:color="auto" w:sz="4" w:space="0"/>
              <w:left w:val="single" w:color="auto" w:sz="4" w:space="0"/>
              <w:right w:val="single" w:color="auto" w:sz="4" w:space="0"/>
            </w:tcBorders>
            <w:noWrap w:val="0"/>
            <w:vAlign w:val="center"/>
          </w:tcPr>
          <w:p w14:paraId="6677EEF0">
            <w:pPr>
              <w:widowControl/>
              <w:adjustRightInd/>
              <w:spacing w:line="260" w:lineRule="exact"/>
              <w:ind w:left="-57" w:right="-57"/>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日间</w:t>
            </w:r>
          </w:p>
          <w:p w14:paraId="184CCCEE">
            <w:pPr>
              <w:widowControl/>
              <w:adjustRightInd/>
              <w:spacing w:line="260" w:lineRule="exact"/>
              <w:ind w:left="-57" w:right="-57"/>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安保</w:t>
            </w:r>
          </w:p>
        </w:tc>
        <w:tc>
          <w:tcPr>
            <w:tcW w:w="6738" w:type="dxa"/>
            <w:tcBorders>
              <w:top w:val="single" w:color="auto" w:sz="4" w:space="0"/>
              <w:left w:val="single" w:color="auto" w:sz="4" w:space="0"/>
              <w:bottom w:val="single" w:color="auto" w:sz="4" w:space="0"/>
              <w:right w:val="single" w:color="auto" w:sz="4" w:space="0"/>
            </w:tcBorders>
            <w:noWrap w:val="0"/>
            <w:vAlign w:val="center"/>
          </w:tcPr>
          <w:p w14:paraId="475698D3">
            <w:pPr>
              <w:widowControl/>
              <w:adjustRightInd/>
              <w:spacing w:line="260" w:lineRule="exact"/>
              <w:ind w:left="-57" w:right="-5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2.3未及时发现安全隐患或未及时上报扣2分，未及时劝阻游客不文明行为扣2分，造成财物上的损失扣2分，</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0515175C">
            <w:pPr>
              <w:widowControl/>
              <w:adjustRightInd/>
              <w:spacing w:line="260" w:lineRule="exact"/>
              <w:ind w:left="-57" w:right="-5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r>
      <w:tr w14:paraId="2F422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4" w:hRule="atLeast"/>
          <w:jc w:val="center"/>
        </w:trPr>
        <w:tc>
          <w:tcPr>
            <w:tcW w:w="738" w:type="dxa"/>
            <w:vMerge w:val="continue"/>
            <w:tcBorders>
              <w:left w:val="single" w:color="auto" w:sz="4" w:space="0"/>
              <w:right w:val="single" w:color="auto" w:sz="4" w:space="0"/>
            </w:tcBorders>
            <w:noWrap w:val="0"/>
            <w:vAlign w:val="center"/>
          </w:tcPr>
          <w:p w14:paraId="52E4FDAF">
            <w:pPr>
              <w:widowControl/>
              <w:adjustRightInd/>
              <w:spacing w:line="260" w:lineRule="exact"/>
              <w:ind w:left="-57" w:right="-57"/>
              <w:jc w:val="left"/>
              <w:rPr>
                <w:rFonts w:hint="eastAsia" w:ascii="宋体" w:hAnsi="宋体" w:eastAsia="宋体" w:cs="宋体"/>
                <w:color w:val="auto"/>
                <w:sz w:val="24"/>
                <w:szCs w:val="24"/>
                <w:highlight w:val="none"/>
              </w:rPr>
            </w:pPr>
          </w:p>
        </w:tc>
        <w:tc>
          <w:tcPr>
            <w:tcW w:w="6738" w:type="dxa"/>
            <w:tcBorders>
              <w:top w:val="single" w:color="auto" w:sz="4" w:space="0"/>
              <w:left w:val="single" w:color="auto" w:sz="4" w:space="0"/>
              <w:bottom w:val="single" w:color="auto" w:sz="4" w:space="0"/>
              <w:right w:val="single" w:color="auto" w:sz="4" w:space="0"/>
            </w:tcBorders>
            <w:noWrap w:val="0"/>
            <w:vAlign w:val="center"/>
          </w:tcPr>
          <w:p w14:paraId="75765952">
            <w:pPr>
              <w:widowControl/>
              <w:adjustRightInd/>
              <w:spacing w:line="260" w:lineRule="exact"/>
              <w:ind w:left="-57" w:right="-5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 维护展区正常秩序，监督游客文明参观，防止各种事故的发生。</w:t>
            </w:r>
          </w:p>
          <w:p w14:paraId="1D383C36">
            <w:pPr>
              <w:widowControl/>
              <w:adjustRightInd/>
              <w:spacing w:line="260" w:lineRule="exact"/>
              <w:ind w:left="-57" w:right="-5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发现人流拥堵、暴力恐袭等事件未及时处理未及时上报的扣5分。未能协助工作人员进行展馆人流疏散的扣5分。</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2C99DDF5">
            <w:pPr>
              <w:widowControl/>
              <w:adjustRightInd/>
              <w:spacing w:line="260" w:lineRule="exact"/>
              <w:ind w:left="-57" w:right="-5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r>
      <w:tr w14:paraId="621F7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4" w:hRule="atLeast"/>
          <w:jc w:val="center"/>
        </w:trPr>
        <w:tc>
          <w:tcPr>
            <w:tcW w:w="738" w:type="dxa"/>
            <w:vMerge w:val="continue"/>
            <w:tcBorders>
              <w:left w:val="single" w:color="auto" w:sz="4" w:space="0"/>
              <w:bottom w:val="single" w:color="auto" w:sz="4" w:space="0"/>
              <w:right w:val="single" w:color="auto" w:sz="4" w:space="0"/>
            </w:tcBorders>
            <w:noWrap w:val="0"/>
            <w:vAlign w:val="center"/>
          </w:tcPr>
          <w:p w14:paraId="3B8CEA28">
            <w:pPr>
              <w:widowControl/>
              <w:adjustRightInd/>
              <w:spacing w:line="260" w:lineRule="exact"/>
              <w:ind w:left="-57" w:right="-57"/>
              <w:jc w:val="left"/>
              <w:rPr>
                <w:rFonts w:hint="eastAsia" w:ascii="宋体" w:hAnsi="宋体" w:eastAsia="宋体" w:cs="宋体"/>
                <w:color w:val="auto"/>
                <w:sz w:val="24"/>
                <w:szCs w:val="24"/>
                <w:highlight w:val="none"/>
              </w:rPr>
            </w:pPr>
          </w:p>
        </w:tc>
        <w:tc>
          <w:tcPr>
            <w:tcW w:w="6738" w:type="dxa"/>
            <w:tcBorders>
              <w:top w:val="single" w:color="auto" w:sz="4" w:space="0"/>
              <w:left w:val="single" w:color="auto" w:sz="4" w:space="0"/>
              <w:bottom w:val="single" w:color="auto" w:sz="4" w:space="0"/>
              <w:right w:val="single" w:color="auto" w:sz="4" w:space="0"/>
            </w:tcBorders>
            <w:noWrap w:val="0"/>
            <w:vAlign w:val="center"/>
          </w:tcPr>
          <w:p w14:paraId="44E83841">
            <w:pPr>
              <w:widowControl/>
              <w:adjustRightInd/>
              <w:spacing w:line="260" w:lineRule="exact"/>
              <w:ind w:left="-57" w:right="-5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 随时检查展柜展品状况。如发生展品丢失、损坏扣10分。</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0C4E061A">
            <w:pPr>
              <w:widowControl/>
              <w:adjustRightInd/>
              <w:spacing w:line="260" w:lineRule="exact"/>
              <w:ind w:left="-57" w:right="-5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r>
      <w:tr w14:paraId="78D67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4" w:hRule="atLeast"/>
          <w:jc w:val="center"/>
        </w:trPr>
        <w:tc>
          <w:tcPr>
            <w:tcW w:w="738" w:type="dxa"/>
            <w:tcBorders>
              <w:top w:val="single" w:color="auto" w:sz="4" w:space="0"/>
              <w:left w:val="single" w:color="auto" w:sz="4" w:space="0"/>
              <w:bottom w:val="single" w:color="auto" w:sz="4" w:space="0"/>
              <w:right w:val="single" w:color="auto" w:sz="4" w:space="0"/>
            </w:tcBorders>
            <w:noWrap w:val="0"/>
            <w:vAlign w:val="center"/>
          </w:tcPr>
          <w:p w14:paraId="51464B15">
            <w:pPr>
              <w:widowControl/>
              <w:adjustRightInd/>
              <w:spacing w:line="260" w:lineRule="exact"/>
              <w:ind w:left="-57" w:right="-57"/>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夜间</w:t>
            </w:r>
          </w:p>
          <w:p w14:paraId="6950F601">
            <w:pPr>
              <w:widowControl/>
              <w:adjustRightInd/>
              <w:spacing w:line="260" w:lineRule="exact"/>
              <w:ind w:left="-57" w:right="-57"/>
              <w:jc w:val="lef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安保</w:t>
            </w:r>
          </w:p>
        </w:tc>
        <w:tc>
          <w:tcPr>
            <w:tcW w:w="6738" w:type="dxa"/>
            <w:tcBorders>
              <w:top w:val="single" w:color="auto" w:sz="4" w:space="0"/>
              <w:left w:val="single" w:color="auto" w:sz="4" w:space="0"/>
              <w:bottom w:val="single" w:color="auto" w:sz="4" w:space="0"/>
              <w:right w:val="single" w:color="auto" w:sz="4" w:space="0"/>
            </w:tcBorders>
            <w:noWrap w:val="0"/>
            <w:vAlign w:val="center"/>
          </w:tcPr>
          <w:p w14:paraId="056B9689">
            <w:pPr>
              <w:widowControl/>
              <w:adjustRightInd/>
              <w:spacing w:line="260" w:lineRule="exact"/>
              <w:ind w:left="-57" w:right="-5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2.6夜间未出勤巡查展馆扣2分，发失现象扣现偷盗遗5分。未及时发现安全隐患扣2分。</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081F0A50">
            <w:pPr>
              <w:widowControl/>
              <w:adjustRightInd/>
              <w:spacing w:line="260" w:lineRule="exact"/>
              <w:ind w:left="-57" w:right="-5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r>
      <w:tr w14:paraId="15285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4" w:hRule="atLeast"/>
          <w:jc w:val="center"/>
        </w:trPr>
        <w:tc>
          <w:tcPr>
            <w:tcW w:w="7476" w:type="dxa"/>
            <w:gridSpan w:val="2"/>
            <w:tcBorders>
              <w:top w:val="single" w:color="auto" w:sz="4" w:space="0"/>
              <w:left w:val="single" w:color="auto" w:sz="4" w:space="0"/>
              <w:bottom w:val="single" w:color="auto" w:sz="4" w:space="0"/>
              <w:right w:val="single" w:color="auto" w:sz="4" w:space="0"/>
            </w:tcBorders>
            <w:noWrap w:val="0"/>
            <w:vAlign w:val="center"/>
          </w:tcPr>
          <w:p w14:paraId="1F14B9BB">
            <w:pPr>
              <w:widowControl/>
              <w:adjustRightInd/>
              <w:spacing w:line="260" w:lineRule="exact"/>
              <w:ind w:left="-57" w:right="-57"/>
              <w:jc w:val="lef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（三）其他</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27BDB9F2">
            <w:pPr>
              <w:widowControl/>
              <w:adjustRightInd/>
              <w:spacing w:line="260" w:lineRule="exact"/>
              <w:ind w:left="-57" w:right="-5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r>
      <w:tr w14:paraId="69D4A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4" w:hRule="atLeast"/>
          <w:jc w:val="center"/>
        </w:trPr>
        <w:tc>
          <w:tcPr>
            <w:tcW w:w="738" w:type="dxa"/>
            <w:vMerge w:val="restart"/>
            <w:tcBorders>
              <w:top w:val="single" w:color="auto" w:sz="4" w:space="0"/>
              <w:left w:val="single" w:color="auto" w:sz="4" w:space="0"/>
              <w:right w:val="single" w:color="auto" w:sz="4" w:space="0"/>
            </w:tcBorders>
            <w:noWrap w:val="0"/>
            <w:vAlign w:val="center"/>
          </w:tcPr>
          <w:p w14:paraId="2FF8EF0C">
            <w:pPr>
              <w:widowControl/>
              <w:adjustRightInd/>
              <w:spacing w:line="260" w:lineRule="exact"/>
              <w:ind w:left="-57" w:right="-57"/>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其他</w:t>
            </w:r>
          </w:p>
        </w:tc>
        <w:tc>
          <w:tcPr>
            <w:tcW w:w="6738" w:type="dxa"/>
            <w:tcBorders>
              <w:top w:val="single" w:color="auto" w:sz="4" w:space="0"/>
              <w:left w:val="single" w:color="auto" w:sz="4" w:space="0"/>
              <w:bottom w:val="single" w:color="auto" w:sz="4" w:space="0"/>
              <w:right w:val="single" w:color="auto" w:sz="4" w:space="0"/>
            </w:tcBorders>
            <w:noWrap w:val="0"/>
            <w:vAlign w:val="center"/>
          </w:tcPr>
          <w:p w14:paraId="1D3217B9">
            <w:pPr>
              <w:widowControl/>
              <w:adjustRightInd/>
              <w:spacing w:line="260" w:lineRule="exact"/>
              <w:ind w:left="-57" w:right="-5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 协助工作人员完成相关工作。如对工作人员的工作布置不执行或消极执行的，扣5分。</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1B4CB871">
            <w:pPr>
              <w:widowControl/>
              <w:adjustRightInd/>
              <w:spacing w:line="260" w:lineRule="exact"/>
              <w:ind w:left="-57" w:right="-5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r>
      <w:tr w14:paraId="61358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4" w:hRule="atLeast"/>
          <w:jc w:val="center"/>
        </w:trPr>
        <w:tc>
          <w:tcPr>
            <w:tcW w:w="738" w:type="dxa"/>
            <w:vMerge w:val="continue"/>
            <w:tcBorders>
              <w:left w:val="single" w:color="auto" w:sz="4" w:space="0"/>
              <w:bottom w:val="single" w:color="auto" w:sz="4" w:space="0"/>
              <w:right w:val="single" w:color="auto" w:sz="4" w:space="0"/>
            </w:tcBorders>
            <w:noWrap w:val="0"/>
            <w:vAlign w:val="center"/>
          </w:tcPr>
          <w:p w14:paraId="73E76C9E">
            <w:pPr>
              <w:widowControl/>
              <w:adjustRightInd/>
              <w:spacing w:line="260" w:lineRule="exact"/>
              <w:ind w:left="-57" w:right="-57"/>
              <w:jc w:val="left"/>
              <w:rPr>
                <w:rFonts w:hint="eastAsia" w:ascii="宋体" w:hAnsi="宋体" w:eastAsia="宋体" w:cs="宋体"/>
                <w:b/>
                <w:bCs/>
                <w:color w:val="auto"/>
                <w:sz w:val="24"/>
                <w:szCs w:val="24"/>
                <w:highlight w:val="none"/>
              </w:rPr>
            </w:pPr>
          </w:p>
        </w:tc>
        <w:tc>
          <w:tcPr>
            <w:tcW w:w="6738" w:type="dxa"/>
            <w:tcBorders>
              <w:top w:val="single" w:color="auto" w:sz="4" w:space="0"/>
              <w:left w:val="single" w:color="auto" w:sz="4" w:space="0"/>
              <w:bottom w:val="single" w:color="auto" w:sz="4" w:space="0"/>
              <w:right w:val="single" w:color="auto" w:sz="4" w:space="0"/>
            </w:tcBorders>
            <w:noWrap w:val="0"/>
            <w:vAlign w:val="center"/>
          </w:tcPr>
          <w:p w14:paraId="124ADDC7">
            <w:pPr>
              <w:widowControl/>
              <w:adjustRightInd/>
              <w:spacing w:line="260" w:lineRule="exact"/>
              <w:ind w:left="-57" w:right="-57"/>
              <w:jc w:val="left"/>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3.2做好馆内绿植及花卉摆放工作，未及时按管理要求养护或更换的，每次扣2分。</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13C93B8F">
            <w:pPr>
              <w:widowControl/>
              <w:adjustRightInd/>
              <w:spacing w:line="260" w:lineRule="exact"/>
              <w:ind w:left="-57" w:right="-57"/>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r>
      <w:tr w14:paraId="17E51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4" w:hRule="atLeast"/>
          <w:jc w:val="center"/>
        </w:trPr>
        <w:tc>
          <w:tcPr>
            <w:tcW w:w="7476" w:type="dxa"/>
            <w:gridSpan w:val="2"/>
            <w:tcBorders>
              <w:top w:val="single" w:color="auto" w:sz="4" w:space="0"/>
              <w:left w:val="single" w:color="auto" w:sz="4" w:space="0"/>
              <w:bottom w:val="single" w:color="auto" w:sz="4" w:space="0"/>
              <w:right w:val="single" w:color="auto" w:sz="4" w:space="0"/>
            </w:tcBorders>
            <w:noWrap w:val="0"/>
            <w:vAlign w:val="center"/>
          </w:tcPr>
          <w:p w14:paraId="4793683C">
            <w:pPr>
              <w:widowControl/>
              <w:adjustRightInd/>
              <w:spacing w:line="260" w:lineRule="exact"/>
              <w:ind w:left="-57" w:right="-57"/>
              <w:jc w:val="lef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总分</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5C889DCF">
            <w:pPr>
              <w:widowControl/>
              <w:adjustRightInd/>
              <w:spacing w:line="260" w:lineRule="exact"/>
              <w:ind w:left="-57" w:right="-5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w:t>
            </w:r>
          </w:p>
        </w:tc>
      </w:tr>
      <w:tr w14:paraId="574FC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4" w:hRule="atLeast"/>
          <w:jc w:val="center"/>
        </w:trPr>
        <w:tc>
          <w:tcPr>
            <w:tcW w:w="8352" w:type="dxa"/>
            <w:gridSpan w:val="3"/>
            <w:tcBorders>
              <w:top w:val="single" w:color="auto" w:sz="4" w:space="0"/>
              <w:left w:val="single" w:color="auto" w:sz="4" w:space="0"/>
              <w:bottom w:val="single" w:color="auto" w:sz="4" w:space="0"/>
              <w:right w:val="single" w:color="auto" w:sz="4" w:space="0"/>
            </w:tcBorders>
            <w:noWrap w:val="0"/>
            <w:vAlign w:val="center"/>
          </w:tcPr>
          <w:p w14:paraId="5B9BCB70">
            <w:pPr>
              <w:widowControl/>
              <w:adjustRightInd/>
              <w:spacing w:line="260" w:lineRule="exact"/>
              <w:ind w:left="-57" w:right="-5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备注：1.由采购单位每月对公园（固定支付部分）进行综合考核，90分及以上为优秀，60分及以上为合格。低于90分，每下降0.1分扣除当月固定支付部分的0.1%；低于80分，每下降0.1分扣除当月固定支付部分的0.2%，如当月考核成绩为79分，本月考核扣除固定部分22%养护经费，计算公式：[（90-79）/0.1]</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0.2%=22%；低于60分，不支付当月固定支付部分。</w:t>
            </w:r>
          </w:p>
        </w:tc>
      </w:tr>
    </w:tbl>
    <w:p w14:paraId="6E6EBE20">
      <w:pPr>
        <w:widowControl/>
        <w:tabs>
          <w:tab w:val="left" w:pos="851"/>
        </w:tabs>
        <w:adjustRightInd/>
        <w:spacing w:line="360" w:lineRule="auto"/>
        <w:ind w:firstLine="482" w:firstLineChars="200"/>
        <w:rPr>
          <w:rFonts w:hint="eastAsia"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③临时盆景园月度考核标准（固定支付部分）</w:t>
      </w:r>
    </w:p>
    <w:tbl>
      <w:tblPr>
        <w:tblStyle w:val="62"/>
        <w:tblW w:w="86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3"/>
        <w:gridCol w:w="426"/>
        <w:gridCol w:w="622"/>
        <w:gridCol w:w="2946"/>
        <w:gridCol w:w="3402"/>
        <w:gridCol w:w="927"/>
      </w:tblGrid>
      <w:tr w14:paraId="7E252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 w:hRule="atLeast"/>
          <w:jc w:val="center"/>
        </w:trPr>
        <w:tc>
          <w:tcPr>
            <w:tcW w:w="729" w:type="dxa"/>
            <w:gridSpan w:val="2"/>
            <w:tcBorders>
              <w:top w:val="single" w:color="auto" w:sz="4" w:space="0"/>
              <w:left w:val="single" w:color="auto" w:sz="4" w:space="0"/>
              <w:bottom w:val="single" w:color="auto" w:sz="4" w:space="0"/>
              <w:right w:val="single" w:color="auto" w:sz="4" w:space="0"/>
            </w:tcBorders>
            <w:noWrap w:val="0"/>
            <w:vAlign w:val="center"/>
          </w:tcPr>
          <w:p w14:paraId="1A28E983">
            <w:pPr>
              <w:widowControl/>
              <w:adjustRightInd/>
              <w:spacing w:line="260" w:lineRule="exact"/>
              <w:ind w:left="-57" w:right="-57"/>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项目</w:t>
            </w:r>
          </w:p>
        </w:tc>
        <w:tc>
          <w:tcPr>
            <w:tcW w:w="622" w:type="dxa"/>
            <w:tcBorders>
              <w:top w:val="single" w:color="auto" w:sz="4" w:space="0"/>
              <w:left w:val="single" w:color="auto" w:sz="4" w:space="0"/>
              <w:bottom w:val="single" w:color="auto" w:sz="4" w:space="0"/>
              <w:right w:val="single" w:color="auto" w:sz="4" w:space="0"/>
            </w:tcBorders>
            <w:noWrap w:val="0"/>
            <w:vAlign w:val="center"/>
          </w:tcPr>
          <w:p w14:paraId="278E0575">
            <w:pPr>
              <w:widowControl/>
              <w:adjustRightInd/>
              <w:spacing w:line="360" w:lineRule="exact"/>
              <w:ind w:left="-57" w:right="-57"/>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序号</w:t>
            </w:r>
          </w:p>
        </w:tc>
        <w:tc>
          <w:tcPr>
            <w:tcW w:w="2946" w:type="dxa"/>
            <w:tcBorders>
              <w:top w:val="single" w:color="auto" w:sz="4" w:space="0"/>
              <w:left w:val="single" w:color="auto" w:sz="4" w:space="0"/>
              <w:bottom w:val="single" w:color="auto" w:sz="4" w:space="0"/>
              <w:right w:val="single" w:color="auto" w:sz="4" w:space="0"/>
            </w:tcBorders>
            <w:noWrap w:val="0"/>
            <w:vAlign w:val="center"/>
          </w:tcPr>
          <w:p w14:paraId="10EF0567">
            <w:pPr>
              <w:widowControl/>
              <w:adjustRightInd/>
              <w:spacing w:line="360" w:lineRule="exact"/>
              <w:ind w:left="-57" w:right="-57"/>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工作内容</w:t>
            </w:r>
          </w:p>
        </w:tc>
        <w:tc>
          <w:tcPr>
            <w:tcW w:w="3402" w:type="dxa"/>
            <w:tcBorders>
              <w:top w:val="single" w:color="auto" w:sz="4" w:space="0"/>
              <w:left w:val="single" w:color="auto" w:sz="4" w:space="0"/>
              <w:bottom w:val="single" w:color="auto" w:sz="4" w:space="0"/>
              <w:right w:val="single" w:color="auto" w:sz="4" w:space="0"/>
            </w:tcBorders>
            <w:noWrap w:val="0"/>
            <w:vAlign w:val="top"/>
          </w:tcPr>
          <w:p w14:paraId="0CB4787F">
            <w:pPr>
              <w:widowControl/>
              <w:adjustRightInd/>
              <w:spacing w:line="360" w:lineRule="exact"/>
              <w:ind w:left="-57" w:right="-57"/>
              <w:jc w:val="center"/>
              <w:rPr>
                <w:rFonts w:hint="eastAsia" w:ascii="宋体" w:hAnsi="宋体" w:eastAsia="宋体" w:cs="宋体"/>
                <w:b/>
                <w:bCs/>
                <w:color w:val="auto"/>
                <w:sz w:val="24"/>
                <w:szCs w:val="24"/>
                <w:highlight w:val="none"/>
              </w:rPr>
            </w:pPr>
            <w:r>
              <w:rPr>
                <w:rFonts w:hint="eastAsia" w:ascii="宋体" w:hAnsi="宋体" w:eastAsia="宋体" w:cs="宋体"/>
                <w:b/>
                <w:color w:val="auto"/>
                <w:kern w:val="0"/>
                <w:sz w:val="24"/>
                <w:szCs w:val="24"/>
                <w:highlight w:val="none"/>
              </w:rPr>
              <w:t>评价标准</w:t>
            </w:r>
          </w:p>
        </w:tc>
        <w:tc>
          <w:tcPr>
            <w:tcW w:w="927" w:type="dxa"/>
            <w:tcBorders>
              <w:top w:val="single" w:color="auto" w:sz="4" w:space="0"/>
              <w:left w:val="single" w:color="auto" w:sz="4" w:space="0"/>
              <w:bottom w:val="single" w:color="auto" w:sz="4" w:space="0"/>
              <w:right w:val="single" w:color="auto" w:sz="4" w:space="0"/>
            </w:tcBorders>
            <w:noWrap w:val="0"/>
            <w:vAlign w:val="top"/>
          </w:tcPr>
          <w:p w14:paraId="48DE6D19">
            <w:pPr>
              <w:widowControl/>
              <w:adjustRightInd/>
              <w:spacing w:line="360" w:lineRule="exact"/>
              <w:ind w:left="-57" w:right="-57"/>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分值</w:t>
            </w:r>
          </w:p>
        </w:tc>
      </w:tr>
      <w:tr w14:paraId="4D9D1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 w:hRule="atLeast"/>
          <w:jc w:val="center"/>
        </w:trPr>
        <w:tc>
          <w:tcPr>
            <w:tcW w:w="7699" w:type="dxa"/>
            <w:gridSpan w:val="5"/>
            <w:tcBorders>
              <w:top w:val="single" w:color="auto" w:sz="4" w:space="0"/>
              <w:left w:val="single" w:color="auto" w:sz="4" w:space="0"/>
              <w:bottom w:val="single" w:color="auto" w:sz="4" w:space="0"/>
              <w:right w:val="single" w:color="auto" w:sz="4" w:space="0"/>
            </w:tcBorders>
            <w:noWrap w:val="0"/>
            <w:vAlign w:val="center"/>
          </w:tcPr>
          <w:p w14:paraId="72D8C7DE">
            <w:pPr>
              <w:widowControl/>
              <w:adjustRightInd/>
              <w:spacing w:line="340" w:lineRule="exact"/>
              <w:ind w:right="-57"/>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（一）盆景养护质量标准</w:t>
            </w:r>
          </w:p>
        </w:tc>
        <w:tc>
          <w:tcPr>
            <w:tcW w:w="927" w:type="dxa"/>
            <w:tcBorders>
              <w:top w:val="single" w:color="auto" w:sz="4" w:space="0"/>
              <w:left w:val="single" w:color="auto" w:sz="4" w:space="0"/>
              <w:bottom w:val="single" w:color="auto" w:sz="4" w:space="0"/>
              <w:right w:val="single" w:color="auto" w:sz="4" w:space="0"/>
            </w:tcBorders>
            <w:noWrap w:val="0"/>
            <w:vAlign w:val="center"/>
          </w:tcPr>
          <w:p w14:paraId="0480E2C7">
            <w:pPr>
              <w:widowControl/>
              <w:adjustRightInd/>
              <w:spacing w:line="340" w:lineRule="exact"/>
              <w:ind w:right="-57"/>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50</w:t>
            </w:r>
          </w:p>
        </w:tc>
      </w:tr>
      <w:tr w14:paraId="738AC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atLeast"/>
          <w:jc w:val="center"/>
        </w:trPr>
        <w:tc>
          <w:tcPr>
            <w:tcW w:w="303" w:type="dxa"/>
            <w:vMerge w:val="restart"/>
            <w:tcBorders>
              <w:top w:val="single" w:color="auto" w:sz="4" w:space="0"/>
              <w:left w:val="single" w:color="auto" w:sz="4" w:space="0"/>
              <w:right w:val="single" w:color="auto" w:sz="4" w:space="0"/>
            </w:tcBorders>
            <w:noWrap w:val="0"/>
            <w:vAlign w:val="center"/>
          </w:tcPr>
          <w:p w14:paraId="7A094087">
            <w:pPr>
              <w:widowControl/>
              <w:adjustRightInd/>
              <w:spacing w:line="260" w:lineRule="exact"/>
              <w:ind w:left="-57" w:right="-57"/>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盆景养护</w:t>
            </w:r>
          </w:p>
          <w:p w14:paraId="415CDE42">
            <w:pPr>
              <w:widowControl/>
              <w:adjustRightInd/>
              <w:spacing w:line="260" w:lineRule="exact"/>
              <w:ind w:left="-57" w:right="-57"/>
              <w:jc w:val="center"/>
              <w:rPr>
                <w:rFonts w:hint="eastAsia" w:ascii="宋体" w:hAnsi="宋体" w:eastAsia="宋体" w:cs="宋体"/>
                <w:b/>
                <w:bCs/>
                <w:color w:val="auto"/>
                <w:sz w:val="24"/>
                <w:szCs w:val="24"/>
                <w:highlight w:val="none"/>
              </w:rPr>
            </w:pPr>
          </w:p>
        </w:tc>
        <w:tc>
          <w:tcPr>
            <w:tcW w:w="426" w:type="dxa"/>
            <w:vMerge w:val="restart"/>
            <w:tcBorders>
              <w:top w:val="single" w:color="auto" w:sz="4" w:space="0"/>
              <w:left w:val="single" w:color="auto" w:sz="4" w:space="0"/>
              <w:right w:val="single" w:color="auto" w:sz="4" w:space="0"/>
            </w:tcBorders>
            <w:noWrap w:val="0"/>
            <w:vAlign w:val="center"/>
          </w:tcPr>
          <w:p w14:paraId="6A53FF2E">
            <w:pPr>
              <w:widowControl/>
              <w:adjustRightInd/>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盆景外观</w:t>
            </w:r>
          </w:p>
        </w:tc>
        <w:tc>
          <w:tcPr>
            <w:tcW w:w="622" w:type="dxa"/>
            <w:tcBorders>
              <w:top w:val="single" w:color="auto" w:sz="4" w:space="0"/>
              <w:left w:val="single" w:color="auto" w:sz="4" w:space="0"/>
              <w:bottom w:val="single" w:color="auto" w:sz="4" w:space="0"/>
              <w:right w:val="single" w:color="auto" w:sz="4" w:space="0"/>
            </w:tcBorders>
            <w:noWrap w:val="0"/>
            <w:vAlign w:val="center"/>
          </w:tcPr>
          <w:p w14:paraId="6C8B00F9">
            <w:pPr>
              <w:widowControl/>
              <w:adjustRightInd/>
              <w:spacing w:line="260" w:lineRule="exact"/>
              <w:ind w:left="-57" w:right="-57"/>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w:t>
            </w:r>
          </w:p>
        </w:tc>
        <w:tc>
          <w:tcPr>
            <w:tcW w:w="2946" w:type="dxa"/>
            <w:tcBorders>
              <w:top w:val="single" w:color="auto" w:sz="4" w:space="0"/>
              <w:left w:val="single" w:color="auto" w:sz="4" w:space="0"/>
              <w:bottom w:val="single" w:color="auto" w:sz="4" w:space="0"/>
              <w:right w:val="single" w:color="auto" w:sz="4" w:space="0"/>
            </w:tcBorders>
            <w:noWrap w:val="0"/>
            <w:vAlign w:val="center"/>
          </w:tcPr>
          <w:p w14:paraId="786E53F4">
            <w:pPr>
              <w:widowControl/>
              <w:adjustRightInd/>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盆土表面干净，无杂草、枯枝叶、垃圾等。</w:t>
            </w:r>
          </w:p>
        </w:tc>
        <w:tc>
          <w:tcPr>
            <w:tcW w:w="3402" w:type="dxa"/>
            <w:tcBorders>
              <w:top w:val="single" w:color="auto" w:sz="4" w:space="0"/>
              <w:left w:val="single" w:color="auto" w:sz="4" w:space="0"/>
              <w:bottom w:val="single" w:color="auto" w:sz="4" w:space="0"/>
              <w:right w:val="single" w:color="auto" w:sz="4" w:space="0"/>
            </w:tcBorders>
            <w:noWrap w:val="0"/>
            <w:vAlign w:val="top"/>
          </w:tcPr>
          <w:p w14:paraId="17C0C073">
            <w:pPr>
              <w:widowControl/>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1.1发现盆土表面存有明显杂草、修剪下的枝叶及垃圾未及时清理的，扣1分/处。扣完为止。</w:t>
            </w:r>
          </w:p>
        </w:tc>
        <w:tc>
          <w:tcPr>
            <w:tcW w:w="927" w:type="dxa"/>
            <w:tcBorders>
              <w:top w:val="single" w:color="auto" w:sz="4" w:space="0"/>
              <w:left w:val="single" w:color="auto" w:sz="4" w:space="0"/>
              <w:bottom w:val="single" w:color="auto" w:sz="4" w:space="0"/>
              <w:right w:val="single" w:color="auto" w:sz="4" w:space="0"/>
            </w:tcBorders>
            <w:noWrap w:val="0"/>
            <w:vAlign w:val="center"/>
          </w:tcPr>
          <w:p w14:paraId="0626DA64">
            <w:pPr>
              <w:widowControl/>
              <w:adjustRightInd/>
              <w:spacing w:line="340" w:lineRule="exact"/>
              <w:ind w:left="-57" w:right="-57"/>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r>
      <w:tr w14:paraId="3F7F1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3" w:type="dxa"/>
            <w:vMerge w:val="continue"/>
            <w:tcBorders>
              <w:left w:val="single" w:color="auto" w:sz="4" w:space="0"/>
              <w:right w:val="single" w:color="auto" w:sz="4" w:space="0"/>
            </w:tcBorders>
            <w:noWrap w:val="0"/>
            <w:vAlign w:val="center"/>
          </w:tcPr>
          <w:p w14:paraId="481AA835">
            <w:pPr>
              <w:widowControl/>
              <w:adjustRightInd/>
              <w:jc w:val="center"/>
              <w:rPr>
                <w:rFonts w:hint="eastAsia" w:ascii="宋体" w:hAnsi="宋体" w:eastAsia="宋体" w:cs="宋体"/>
                <w:b/>
                <w:bCs/>
                <w:color w:val="auto"/>
                <w:sz w:val="24"/>
                <w:szCs w:val="24"/>
                <w:highlight w:val="none"/>
              </w:rPr>
            </w:pPr>
          </w:p>
        </w:tc>
        <w:tc>
          <w:tcPr>
            <w:tcW w:w="426" w:type="dxa"/>
            <w:vMerge w:val="continue"/>
            <w:tcBorders>
              <w:left w:val="single" w:color="auto" w:sz="4" w:space="0"/>
              <w:right w:val="single" w:color="auto" w:sz="4" w:space="0"/>
            </w:tcBorders>
            <w:noWrap w:val="0"/>
            <w:vAlign w:val="center"/>
          </w:tcPr>
          <w:p w14:paraId="0614E58B">
            <w:pPr>
              <w:widowControl/>
              <w:adjustRightInd/>
              <w:jc w:val="center"/>
              <w:rPr>
                <w:rFonts w:hint="eastAsia" w:ascii="宋体" w:hAnsi="宋体" w:eastAsia="宋体" w:cs="宋体"/>
                <w:b/>
                <w:bCs/>
                <w:color w:val="auto"/>
                <w:sz w:val="24"/>
                <w:szCs w:val="24"/>
                <w:highlight w:val="none"/>
              </w:rPr>
            </w:pPr>
          </w:p>
        </w:tc>
        <w:tc>
          <w:tcPr>
            <w:tcW w:w="622" w:type="dxa"/>
            <w:tcBorders>
              <w:top w:val="single" w:color="auto" w:sz="4" w:space="0"/>
              <w:left w:val="single" w:color="auto" w:sz="4" w:space="0"/>
              <w:bottom w:val="single" w:color="auto" w:sz="4" w:space="0"/>
              <w:right w:val="single" w:color="auto" w:sz="4" w:space="0"/>
            </w:tcBorders>
            <w:noWrap w:val="0"/>
            <w:vAlign w:val="center"/>
          </w:tcPr>
          <w:p w14:paraId="205EC8B3">
            <w:pPr>
              <w:widowControl/>
              <w:adjustRightInd/>
              <w:spacing w:line="260" w:lineRule="exact"/>
              <w:ind w:left="-57" w:right="-57"/>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w:t>
            </w:r>
          </w:p>
        </w:tc>
        <w:tc>
          <w:tcPr>
            <w:tcW w:w="2946" w:type="dxa"/>
            <w:tcBorders>
              <w:top w:val="single" w:color="auto" w:sz="4" w:space="0"/>
              <w:left w:val="single" w:color="auto" w:sz="4" w:space="0"/>
              <w:bottom w:val="single" w:color="auto" w:sz="4" w:space="0"/>
              <w:right w:val="single" w:color="auto" w:sz="4" w:space="0"/>
            </w:tcBorders>
            <w:noWrap w:val="0"/>
            <w:vAlign w:val="top"/>
          </w:tcPr>
          <w:p w14:paraId="1080CBE0">
            <w:pPr>
              <w:widowControl/>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盆景叶片及盆体应及时冲洗，保持叶片及盆体整洁，表面无灰尘脏污。</w:t>
            </w:r>
          </w:p>
        </w:tc>
        <w:tc>
          <w:tcPr>
            <w:tcW w:w="3402" w:type="dxa"/>
            <w:tcBorders>
              <w:top w:val="single" w:color="auto" w:sz="4" w:space="0"/>
              <w:left w:val="single" w:color="auto" w:sz="4" w:space="0"/>
              <w:bottom w:val="single" w:color="auto" w:sz="4" w:space="0"/>
              <w:right w:val="single" w:color="auto" w:sz="4" w:space="0"/>
            </w:tcBorders>
            <w:noWrap w:val="0"/>
            <w:vAlign w:val="top"/>
          </w:tcPr>
          <w:p w14:paraId="5009A9F0">
            <w:pPr>
              <w:widowControl/>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1.2发现盆体及叶片未及时冲洗，盆体及叶片尘土较多的，扣1分/处。扣完为止。</w:t>
            </w:r>
          </w:p>
        </w:tc>
        <w:tc>
          <w:tcPr>
            <w:tcW w:w="927" w:type="dxa"/>
            <w:tcBorders>
              <w:top w:val="single" w:color="auto" w:sz="4" w:space="0"/>
              <w:left w:val="single" w:color="auto" w:sz="4" w:space="0"/>
              <w:bottom w:val="single" w:color="auto" w:sz="4" w:space="0"/>
              <w:right w:val="single" w:color="auto" w:sz="4" w:space="0"/>
            </w:tcBorders>
            <w:noWrap w:val="0"/>
            <w:vAlign w:val="center"/>
          </w:tcPr>
          <w:p w14:paraId="5F0AF93C">
            <w:pPr>
              <w:widowControl/>
              <w:adjustRightInd/>
              <w:spacing w:line="340" w:lineRule="exact"/>
              <w:ind w:right="-57"/>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r>
      <w:tr w14:paraId="32E97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303" w:type="dxa"/>
            <w:vMerge w:val="continue"/>
            <w:tcBorders>
              <w:left w:val="single" w:color="auto" w:sz="4" w:space="0"/>
              <w:right w:val="single" w:color="auto" w:sz="4" w:space="0"/>
            </w:tcBorders>
            <w:noWrap w:val="0"/>
            <w:vAlign w:val="center"/>
          </w:tcPr>
          <w:p w14:paraId="186D71DC">
            <w:pPr>
              <w:widowControl/>
              <w:adjustRightInd/>
              <w:jc w:val="center"/>
              <w:rPr>
                <w:rFonts w:hint="eastAsia" w:ascii="宋体" w:hAnsi="宋体" w:eastAsia="宋体" w:cs="宋体"/>
                <w:b/>
                <w:bCs/>
                <w:color w:val="auto"/>
                <w:sz w:val="24"/>
                <w:szCs w:val="24"/>
                <w:highlight w:val="none"/>
              </w:rPr>
            </w:pPr>
          </w:p>
        </w:tc>
        <w:tc>
          <w:tcPr>
            <w:tcW w:w="426" w:type="dxa"/>
            <w:vMerge w:val="continue"/>
            <w:tcBorders>
              <w:left w:val="single" w:color="auto" w:sz="4" w:space="0"/>
              <w:right w:val="single" w:color="auto" w:sz="4" w:space="0"/>
            </w:tcBorders>
            <w:noWrap w:val="0"/>
            <w:vAlign w:val="center"/>
          </w:tcPr>
          <w:p w14:paraId="1273A3FE">
            <w:pPr>
              <w:widowControl/>
              <w:adjustRightInd/>
              <w:jc w:val="center"/>
              <w:rPr>
                <w:rFonts w:hint="eastAsia" w:ascii="宋体" w:hAnsi="宋体" w:eastAsia="宋体" w:cs="宋体"/>
                <w:b/>
                <w:bCs/>
                <w:color w:val="auto"/>
                <w:sz w:val="24"/>
                <w:szCs w:val="24"/>
                <w:highlight w:val="none"/>
              </w:rPr>
            </w:pPr>
          </w:p>
        </w:tc>
        <w:tc>
          <w:tcPr>
            <w:tcW w:w="622" w:type="dxa"/>
            <w:tcBorders>
              <w:top w:val="single" w:color="auto" w:sz="4" w:space="0"/>
              <w:left w:val="single" w:color="auto" w:sz="4" w:space="0"/>
              <w:bottom w:val="single" w:color="auto" w:sz="4" w:space="0"/>
              <w:right w:val="single" w:color="auto" w:sz="4" w:space="0"/>
            </w:tcBorders>
            <w:noWrap w:val="0"/>
            <w:vAlign w:val="center"/>
          </w:tcPr>
          <w:p w14:paraId="4363F076">
            <w:pPr>
              <w:widowControl/>
              <w:adjustRightInd/>
              <w:spacing w:line="260" w:lineRule="exact"/>
              <w:ind w:left="-57" w:right="-57"/>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w:t>
            </w:r>
          </w:p>
        </w:tc>
        <w:tc>
          <w:tcPr>
            <w:tcW w:w="2946" w:type="dxa"/>
            <w:tcBorders>
              <w:top w:val="single" w:color="auto" w:sz="4" w:space="0"/>
              <w:left w:val="single" w:color="auto" w:sz="4" w:space="0"/>
              <w:bottom w:val="single" w:color="auto" w:sz="4" w:space="0"/>
              <w:right w:val="single" w:color="auto" w:sz="4" w:space="0"/>
            </w:tcBorders>
            <w:noWrap w:val="0"/>
            <w:vAlign w:val="top"/>
          </w:tcPr>
          <w:p w14:paraId="237291CA">
            <w:pPr>
              <w:widowControl/>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展出盆景摆放整齐有序、盆景挂牌字迹清晰可见。盆景盆与植株相协调，植物造型优美，整体观赏效果较好。</w:t>
            </w:r>
          </w:p>
        </w:tc>
        <w:tc>
          <w:tcPr>
            <w:tcW w:w="3402" w:type="dxa"/>
            <w:tcBorders>
              <w:top w:val="single" w:color="auto" w:sz="4" w:space="0"/>
              <w:left w:val="single" w:color="auto" w:sz="4" w:space="0"/>
              <w:bottom w:val="single" w:color="auto" w:sz="4" w:space="0"/>
              <w:right w:val="single" w:color="auto" w:sz="4" w:space="0"/>
            </w:tcBorders>
            <w:noWrap w:val="0"/>
            <w:vAlign w:val="top"/>
          </w:tcPr>
          <w:p w14:paraId="32CC4C20">
            <w:pPr>
              <w:widowControl/>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1.3盆景摆放杂乱无序、挂牌牌上字迹模糊，扣1分/处。扣完为止。盆景盆与植株不协调的，扣1分/处。造型效果差的，扣1分/处。扣完为止。</w:t>
            </w:r>
          </w:p>
        </w:tc>
        <w:tc>
          <w:tcPr>
            <w:tcW w:w="927" w:type="dxa"/>
            <w:tcBorders>
              <w:top w:val="single" w:color="auto" w:sz="4" w:space="0"/>
              <w:left w:val="single" w:color="auto" w:sz="4" w:space="0"/>
              <w:bottom w:val="single" w:color="auto" w:sz="4" w:space="0"/>
              <w:right w:val="single" w:color="auto" w:sz="4" w:space="0"/>
            </w:tcBorders>
            <w:noWrap w:val="0"/>
            <w:vAlign w:val="center"/>
          </w:tcPr>
          <w:p w14:paraId="5A03DF45">
            <w:pPr>
              <w:widowControl/>
              <w:adjustRightInd/>
              <w:spacing w:line="340" w:lineRule="exact"/>
              <w:ind w:left="-57" w:right="-57"/>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r>
      <w:tr w14:paraId="49147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4" w:hRule="atLeast"/>
          <w:jc w:val="center"/>
        </w:trPr>
        <w:tc>
          <w:tcPr>
            <w:tcW w:w="303" w:type="dxa"/>
            <w:vMerge w:val="continue"/>
            <w:tcBorders>
              <w:left w:val="single" w:color="auto" w:sz="4" w:space="0"/>
              <w:right w:val="single" w:color="auto" w:sz="4" w:space="0"/>
            </w:tcBorders>
            <w:noWrap w:val="0"/>
            <w:vAlign w:val="center"/>
          </w:tcPr>
          <w:p w14:paraId="4163F5FD">
            <w:pPr>
              <w:widowControl/>
              <w:adjustRightInd/>
              <w:jc w:val="center"/>
              <w:rPr>
                <w:rFonts w:hint="eastAsia" w:ascii="宋体" w:hAnsi="宋体" w:eastAsia="宋体" w:cs="宋体"/>
                <w:b/>
                <w:bCs/>
                <w:color w:val="auto"/>
                <w:sz w:val="24"/>
                <w:szCs w:val="24"/>
                <w:highlight w:val="none"/>
              </w:rPr>
            </w:pPr>
          </w:p>
        </w:tc>
        <w:tc>
          <w:tcPr>
            <w:tcW w:w="426" w:type="dxa"/>
            <w:vMerge w:val="continue"/>
            <w:tcBorders>
              <w:left w:val="single" w:color="auto" w:sz="4" w:space="0"/>
              <w:right w:val="single" w:color="auto" w:sz="4" w:space="0"/>
            </w:tcBorders>
            <w:noWrap w:val="0"/>
            <w:vAlign w:val="center"/>
          </w:tcPr>
          <w:p w14:paraId="6853F6BB">
            <w:pPr>
              <w:widowControl/>
              <w:adjustRightInd/>
              <w:jc w:val="center"/>
              <w:rPr>
                <w:rFonts w:hint="eastAsia" w:ascii="宋体" w:hAnsi="宋体" w:eastAsia="宋体" w:cs="宋体"/>
                <w:b/>
                <w:bCs/>
                <w:color w:val="auto"/>
                <w:sz w:val="24"/>
                <w:szCs w:val="24"/>
                <w:highlight w:val="none"/>
              </w:rPr>
            </w:pPr>
          </w:p>
        </w:tc>
        <w:tc>
          <w:tcPr>
            <w:tcW w:w="622" w:type="dxa"/>
            <w:tcBorders>
              <w:top w:val="single" w:color="auto" w:sz="4" w:space="0"/>
              <w:left w:val="single" w:color="auto" w:sz="4" w:space="0"/>
              <w:bottom w:val="single" w:color="auto" w:sz="4" w:space="0"/>
              <w:right w:val="single" w:color="auto" w:sz="4" w:space="0"/>
            </w:tcBorders>
            <w:noWrap w:val="0"/>
            <w:vAlign w:val="center"/>
          </w:tcPr>
          <w:p w14:paraId="18981D34">
            <w:pPr>
              <w:widowControl/>
              <w:adjustRightInd/>
              <w:spacing w:line="260" w:lineRule="exact"/>
              <w:ind w:right="-57"/>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w:t>
            </w:r>
          </w:p>
        </w:tc>
        <w:tc>
          <w:tcPr>
            <w:tcW w:w="2946" w:type="dxa"/>
            <w:tcBorders>
              <w:top w:val="single" w:color="auto" w:sz="4" w:space="0"/>
              <w:left w:val="single" w:color="auto" w:sz="4" w:space="0"/>
              <w:bottom w:val="single" w:color="auto" w:sz="4" w:space="0"/>
              <w:right w:val="single" w:color="auto" w:sz="4" w:space="0"/>
            </w:tcBorders>
            <w:noWrap w:val="0"/>
            <w:vAlign w:val="center"/>
          </w:tcPr>
          <w:p w14:paraId="76D039FD">
            <w:pPr>
              <w:widowControl/>
              <w:adjustRightInd/>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盆景长势良好，叶片颜色正常，生长季节不枯黄、萎蔫。</w:t>
            </w:r>
          </w:p>
        </w:tc>
        <w:tc>
          <w:tcPr>
            <w:tcW w:w="3402" w:type="dxa"/>
            <w:tcBorders>
              <w:top w:val="single" w:color="auto" w:sz="4" w:space="0"/>
              <w:left w:val="single" w:color="auto" w:sz="4" w:space="0"/>
              <w:bottom w:val="single" w:color="auto" w:sz="4" w:space="0"/>
              <w:right w:val="single" w:color="auto" w:sz="4" w:space="0"/>
            </w:tcBorders>
            <w:noWrap w:val="0"/>
            <w:vAlign w:val="top"/>
          </w:tcPr>
          <w:p w14:paraId="728FA91B">
            <w:pPr>
              <w:widowControl/>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1.4盆景长势较差，叶片大小、颜色不正常，出现明显非季节性黄叶、焦叶、卷叶、落叶等，扣1分/处。扣完为止。</w:t>
            </w:r>
          </w:p>
        </w:tc>
        <w:tc>
          <w:tcPr>
            <w:tcW w:w="927" w:type="dxa"/>
            <w:tcBorders>
              <w:top w:val="single" w:color="auto" w:sz="4" w:space="0"/>
              <w:left w:val="single" w:color="auto" w:sz="4" w:space="0"/>
              <w:bottom w:val="single" w:color="auto" w:sz="4" w:space="0"/>
              <w:right w:val="single" w:color="auto" w:sz="4" w:space="0"/>
            </w:tcBorders>
            <w:noWrap w:val="0"/>
            <w:vAlign w:val="center"/>
          </w:tcPr>
          <w:p w14:paraId="636AD83C">
            <w:pPr>
              <w:widowControl/>
              <w:adjustRightInd/>
              <w:spacing w:line="340" w:lineRule="exact"/>
              <w:ind w:left="-57" w:right="-57"/>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r>
      <w:tr w14:paraId="55AB8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4" w:hRule="atLeast"/>
          <w:jc w:val="center"/>
        </w:trPr>
        <w:tc>
          <w:tcPr>
            <w:tcW w:w="303" w:type="dxa"/>
            <w:vMerge w:val="continue"/>
            <w:tcBorders>
              <w:left w:val="single" w:color="auto" w:sz="4" w:space="0"/>
              <w:right w:val="single" w:color="auto" w:sz="4" w:space="0"/>
            </w:tcBorders>
            <w:noWrap w:val="0"/>
            <w:vAlign w:val="center"/>
          </w:tcPr>
          <w:p w14:paraId="3203397D">
            <w:pPr>
              <w:widowControl/>
              <w:adjustRightInd/>
              <w:jc w:val="center"/>
              <w:rPr>
                <w:rFonts w:hint="eastAsia" w:ascii="宋体" w:hAnsi="宋体" w:eastAsia="宋体" w:cs="宋体"/>
                <w:b/>
                <w:bCs/>
                <w:color w:val="auto"/>
                <w:sz w:val="24"/>
                <w:szCs w:val="24"/>
                <w:highlight w:val="none"/>
              </w:rPr>
            </w:pPr>
          </w:p>
        </w:tc>
        <w:tc>
          <w:tcPr>
            <w:tcW w:w="426" w:type="dxa"/>
            <w:vMerge w:val="continue"/>
            <w:tcBorders>
              <w:left w:val="single" w:color="auto" w:sz="4" w:space="0"/>
              <w:bottom w:val="single" w:color="auto" w:sz="4" w:space="0"/>
              <w:right w:val="single" w:color="auto" w:sz="4" w:space="0"/>
            </w:tcBorders>
            <w:noWrap w:val="0"/>
            <w:vAlign w:val="center"/>
          </w:tcPr>
          <w:p w14:paraId="31D3F524">
            <w:pPr>
              <w:widowControl/>
              <w:adjustRightInd/>
              <w:jc w:val="center"/>
              <w:rPr>
                <w:rFonts w:hint="eastAsia" w:ascii="宋体" w:hAnsi="宋体" w:eastAsia="宋体" w:cs="宋体"/>
                <w:b/>
                <w:bCs/>
                <w:color w:val="auto"/>
                <w:sz w:val="24"/>
                <w:szCs w:val="24"/>
                <w:highlight w:val="none"/>
              </w:rPr>
            </w:pPr>
          </w:p>
        </w:tc>
        <w:tc>
          <w:tcPr>
            <w:tcW w:w="622" w:type="dxa"/>
            <w:tcBorders>
              <w:top w:val="single" w:color="auto" w:sz="4" w:space="0"/>
              <w:left w:val="single" w:color="auto" w:sz="4" w:space="0"/>
              <w:bottom w:val="single" w:color="auto" w:sz="4" w:space="0"/>
              <w:right w:val="single" w:color="auto" w:sz="4" w:space="0"/>
            </w:tcBorders>
            <w:noWrap w:val="0"/>
            <w:vAlign w:val="center"/>
          </w:tcPr>
          <w:p w14:paraId="423A54A4">
            <w:pPr>
              <w:widowControl/>
              <w:adjustRightInd/>
              <w:spacing w:line="260" w:lineRule="exact"/>
              <w:ind w:right="-57"/>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w:t>
            </w:r>
          </w:p>
        </w:tc>
        <w:tc>
          <w:tcPr>
            <w:tcW w:w="2946" w:type="dxa"/>
            <w:tcBorders>
              <w:top w:val="single" w:color="auto" w:sz="4" w:space="0"/>
              <w:left w:val="single" w:color="auto" w:sz="4" w:space="0"/>
              <w:bottom w:val="single" w:color="auto" w:sz="4" w:space="0"/>
              <w:right w:val="single" w:color="auto" w:sz="4" w:space="0"/>
            </w:tcBorders>
            <w:noWrap w:val="0"/>
            <w:vAlign w:val="top"/>
          </w:tcPr>
          <w:p w14:paraId="5FC49C6A">
            <w:pPr>
              <w:widowControl/>
              <w:adjustRightInd/>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杂木类盆景造型以修剪为主，绑扎为辅，生长期要做到及时修剪，做到整体协调，疏密有致，层次分明，云片整齐，景观效果突出。 </w:t>
            </w:r>
          </w:p>
          <w:p w14:paraId="56110A71">
            <w:pPr>
              <w:widowControl/>
              <w:adjustRightInd/>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松柏类盆景造型以金属丝绑扎</w:t>
            </w:r>
            <w:r>
              <w:rPr>
                <w:rFonts w:hint="eastAsia" w:ascii="宋体" w:hAnsi="宋体" w:eastAsia="宋体" w:cs="宋体"/>
                <w:color w:val="auto"/>
                <w:sz w:val="24"/>
                <w:szCs w:val="24"/>
                <w:highlight w:val="none"/>
                <w:lang w:eastAsia="zh-CN"/>
              </w:rPr>
              <w:t>为主</w:t>
            </w:r>
            <w:r>
              <w:rPr>
                <w:rFonts w:hint="eastAsia" w:ascii="宋体" w:hAnsi="宋体" w:eastAsia="宋体" w:cs="宋体"/>
                <w:color w:val="auto"/>
                <w:sz w:val="24"/>
                <w:szCs w:val="24"/>
                <w:highlight w:val="none"/>
              </w:rPr>
              <w:t xml:space="preserve">，年底11-2月份做好松柏类盆景的复型及造型工作，做到整体协调，局部变化，错落有致，云片整齐。  </w:t>
            </w:r>
          </w:p>
          <w:p w14:paraId="5EC9DC61">
            <w:pPr>
              <w:widowControl/>
              <w:adjustRightInd/>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山水盆景盆体（面）干净，整体意境突出，植物生长良好，对死株进行及时更换，确保景观效果。 </w:t>
            </w:r>
          </w:p>
        </w:tc>
        <w:tc>
          <w:tcPr>
            <w:tcW w:w="3402" w:type="dxa"/>
            <w:tcBorders>
              <w:top w:val="single" w:color="auto" w:sz="4" w:space="0"/>
              <w:left w:val="single" w:color="auto" w:sz="4" w:space="0"/>
              <w:bottom w:val="single" w:color="auto" w:sz="4" w:space="0"/>
              <w:right w:val="single" w:color="auto" w:sz="4" w:space="0"/>
            </w:tcBorders>
            <w:noWrap w:val="0"/>
            <w:vAlign w:val="top"/>
          </w:tcPr>
          <w:p w14:paraId="49822C72">
            <w:pPr>
              <w:widowControl/>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杂木类盆景整体不协调，云片不整齐或部分云片枯死的，扣1分/处，松柏类盆景造型杂乱，云片不整齐，复型不及时的，扣1分/处，   盆体（面）较脏，植物长势杂乱，死株更换不及时的，扣1分/处。</w:t>
            </w:r>
          </w:p>
        </w:tc>
        <w:tc>
          <w:tcPr>
            <w:tcW w:w="927" w:type="dxa"/>
            <w:tcBorders>
              <w:top w:val="single" w:color="auto" w:sz="4" w:space="0"/>
              <w:left w:val="single" w:color="auto" w:sz="4" w:space="0"/>
              <w:bottom w:val="single" w:color="auto" w:sz="4" w:space="0"/>
              <w:right w:val="single" w:color="auto" w:sz="4" w:space="0"/>
            </w:tcBorders>
            <w:noWrap w:val="0"/>
            <w:vAlign w:val="center"/>
          </w:tcPr>
          <w:p w14:paraId="7CDB2068">
            <w:pPr>
              <w:widowControl/>
              <w:adjustRightInd/>
              <w:spacing w:line="340" w:lineRule="exact"/>
              <w:ind w:left="-57" w:right="-57"/>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r>
      <w:tr w14:paraId="13830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3" w:type="dxa"/>
            <w:vMerge w:val="continue"/>
            <w:tcBorders>
              <w:left w:val="single" w:color="auto" w:sz="4" w:space="0"/>
              <w:right w:val="single" w:color="auto" w:sz="4" w:space="0"/>
            </w:tcBorders>
            <w:noWrap w:val="0"/>
            <w:vAlign w:val="center"/>
          </w:tcPr>
          <w:p w14:paraId="6DA07E12">
            <w:pPr>
              <w:widowControl/>
              <w:adjustRightInd/>
              <w:jc w:val="center"/>
              <w:rPr>
                <w:rFonts w:hint="eastAsia" w:ascii="宋体" w:hAnsi="宋体" w:eastAsia="宋体" w:cs="宋体"/>
                <w:b/>
                <w:bCs/>
                <w:color w:val="auto"/>
                <w:sz w:val="24"/>
                <w:szCs w:val="24"/>
                <w:highlight w:val="none"/>
              </w:rPr>
            </w:pPr>
          </w:p>
        </w:tc>
        <w:tc>
          <w:tcPr>
            <w:tcW w:w="426" w:type="dxa"/>
            <w:vMerge w:val="restart"/>
            <w:tcBorders>
              <w:top w:val="single" w:color="auto" w:sz="4" w:space="0"/>
              <w:left w:val="single" w:color="auto" w:sz="4" w:space="0"/>
              <w:bottom w:val="single" w:color="auto" w:sz="4" w:space="0"/>
              <w:right w:val="single" w:color="auto" w:sz="4" w:space="0"/>
            </w:tcBorders>
            <w:noWrap w:val="0"/>
            <w:vAlign w:val="center"/>
          </w:tcPr>
          <w:p w14:paraId="4539F0CB">
            <w:pPr>
              <w:widowControl/>
              <w:adjustRightInd/>
              <w:spacing w:line="260" w:lineRule="exact"/>
              <w:ind w:left="-57" w:right="-57"/>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盆景修剪</w:t>
            </w:r>
          </w:p>
        </w:tc>
        <w:tc>
          <w:tcPr>
            <w:tcW w:w="622" w:type="dxa"/>
            <w:tcBorders>
              <w:top w:val="single" w:color="auto" w:sz="4" w:space="0"/>
              <w:left w:val="single" w:color="auto" w:sz="4" w:space="0"/>
              <w:bottom w:val="single" w:color="auto" w:sz="4" w:space="0"/>
              <w:right w:val="single" w:color="auto" w:sz="4" w:space="0"/>
            </w:tcBorders>
            <w:noWrap w:val="0"/>
            <w:vAlign w:val="center"/>
          </w:tcPr>
          <w:p w14:paraId="659CF5B8">
            <w:pPr>
              <w:widowControl/>
              <w:adjustRightInd/>
              <w:spacing w:line="260" w:lineRule="exact"/>
              <w:ind w:left="-57" w:right="-57"/>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6</w:t>
            </w:r>
          </w:p>
        </w:tc>
        <w:tc>
          <w:tcPr>
            <w:tcW w:w="2946" w:type="dxa"/>
            <w:tcBorders>
              <w:top w:val="single" w:color="auto" w:sz="4" w:space="0"/>
              <w:left w:val="single" w:color="auto" w:sz="4" w:space="0"/>
              <w:bottom w:val="single" w:color="auto" w:sz="4" w:space="0"/>
              <w:right w:val="single" w:color="auto" w:sz="4" w:space="0"/>
            </w:tcBorders>
            <w:noWrap w:val="0"/>
            <w:vAlign w:val="top"/>
          </w:tcPr>
          <w:p w14:paraId="088C30A4">
            <w:pPr>
              <w:widowControl/>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生长期修剪及时，有碍美观的枯枝、平行枝、交叉</w:t>
            </w:r>
            <w:r>
              <w:rPr>
                <w:rFonts w:hint="eastAsia" w:ascii="宋体" w:hAnsi="宋体" w:eastAsia="宋体" w:cs="宋体"/>
                <w:color w:val="auto"/>
                <w:sz w:val="24"/>
                <w:szCs w:val="24"/>
                <w:highlight w:val="none"/>
                <w:lang w:eastAsia="zh-CN"/>
              </w:rPr>
              <w:t>枝</w:t>
            </w:r>
            <w:r>
              <w:rPr>
                <w:rFonts w:hint="eastAsia" w:ascii="宋体" w:hAnsi="宋体" w:eastAsia="宋体" w:cs="宋体"/>
                <w:color w:val="auto"/>
                <w:sz w:val="24"/>
                <w:szCs w:val="24"/>
                <w:highlight w:val="none"/>
              </w:rPr>
              <w:t>等，均应及时剪去。</w:t>
            </w:r>
          </w:p>
        </w:tc>
        <w:tc>
          <w:tcPr>
            <w:tcW w:w="3402" w:type="dxa"/>
            <w:tcBorders>
              <w:top w:val="single" w:color="auto" w:sz="4" w:space="0"/>
              <w:left w:val="single" w:color="auto" w:sz="4" w:space="0"/>
              <w:bottom w:val="single" w:color="auto" w:sz="4" w:space="0"/>
              <w:right w:val="single" w:color="auto" w:sz="4" w:space="0"/>
            </w:tcBorders>
            <w:noWrap w:val="0"/>
            <w:vAlign w:val="top"/>
          </w:tcPr>
          <w:p w14:paraId="362CC39E">
            <w:pPr>
              <w:widowControl/>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生长期修剪不及时；内膛杂乱长势较差，枯枝枯叶、平行枝、交叉</w:t>
            </w:r>
            <w:r>
              <w:rPr>
                <w:rFonts w:hint="eastAsia" w:ascii="宋体" w:hAnsi="宋体" w:eastAsia="宋体" w:cs="宋体"/>
                <w:color w:val="auto"/>
                <w:sz w:val="24"/>
                <w:szCs w:val="24"/>
                <w:highlight w:val="none"/>
                <w:lang w:eastAsia="zh-CN"/>
              </w:rPr>
              <w:t>枝</w:t>
            </w:r>
            <w:r>
              <w:rPr>
                <w:rFonts w:hint="eastAsia" w:ascii="宋体" w:hAnsi="宋体" w:eastAsia="宋体" w:cs="宋体"/>
                <w:color w:val="auto"/>
                <w:sz w:val="24"/>
                <w:szCs w:val="24"/>
                <w:highlight w:val="none"/>
              </w:rPr>
              <w:t>等未及时剪去，扣1分/处。扣完为止。</w:t>
            </w:r>
          </w:p>
        </w:tc>
        <w:tc>
          <w:tcPr>
            <w:tcW w:w="927" w:type="dxa"/>
            <w:tcBorders>
              <w:top w:val="single" w:color="auto" w:sz="4" w:space="0"/>
              <w:left w:val="single" w:color="auto" w:sz="4" w:space="0"/>
              <w:bottom w:val="single" w:color="auto" w:sz="4" w:space="0"/>
              <w:right w:val="single" w:color="auto" w:sz="4" w:space="0"/>
            </w:tcBorders>
            <w:noWrap w:val="0"/>
            <w:vAlign w:val="center"/>
          </w:tcPr>
          <w:p w14:paraId="329CC505">
            <w:pPr>
              <w:widowControl/>
              <w:adjustRightInd/>
              <w:spacing w:line="340" w:lineRule="exact"/>
              <w:ind w:left="-57" w:right="-57"/>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r>
      <w:tr w14:paraId="308C9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atLeast"/>
          <w:jc w:val="center"/>
        </w:trPr>
        <w:tc>
          <w:tcPr>
            <w:tcW w:w="303" w:type="dxa"/>
            <w:vMerge w:val="continue"/>
            <w:tcBorders>
              <w:left w:val="single" w:color="auto" w:sz="4" w:space="0"/>
              <w:right w:val="single" w:color="auto" w:sz="4" w:space="0"/>
            </w:tcBorders>
            <w:noWrap w:val="0"/>
            <w:vAlign w:val="center"/>
          </w:tcPr>
          <w:p w14:paraId="4C6505DE">
            <w:pPr>
              <w:widowControl/>
              <w:adjustRightInd/>
              <w:jc w:val="center"/>
              <w:rPr>
                <w:rFonts w:hint="eastAsia" w:ascii="宋体" w:hAnsi="宋体" w:eastAsia="宋体" w:cs="宋体"/>
                <w:b/>
                <w:bCs/>
                <w:color w:val="auto"/>
                <w:sz w:val="24"/>
                <w:szCs w:val="24"/>
                <w:highlight w:val="none"/>
              </w:rPr>
            </w:pPr>
          </w:p>
        </w:tc>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14:paraId="13882EF2">
            <w:pPr>
              <w:widowControl/>
              <w:adjustRightInd/>
              <w:jc w:val="center"/>
              <w:rPr>
                <w:rFonts w:hint="eastAsia" w:ascii="宋体" w:hAnsi="宋体" w:eastAsia="宋体" w:cs="宋体"/>
                <w:b/>
                <w:bCs/>
                <w:color w:val="auto"/>
                <w:sz w:val="24"/>
                <w:szCs w:val="24"/>
                <w:highlight w:val="none"/>
              </w:rPr>
            </w:pPr>
          </w:p>
        </w:tc>
        <w:tc>
          <w:tcPr>
            <w:tcW w:w="622" w:type="dxa"/>
            <w:tcBorders>
              <w:top w:val="single" w:color="auto" w:sz="4" w:space="0"/>
              <w:left w:val="single" w:color="auto" w:sz="4" w:space="0"/>
              <w:bottom w:val="single" w:color="auto" w:sz="4" w:space="0"/>
              <w:right w:val="single" w:color="auto" w:sz="4" w:space="0"/>
            </w:tcBorders>
            <w:noWrap w:val="0"/>
            <w:vAlign w:val="center"/>
          </w:tcPr>
          <w:p w14:paraId="2D08F66F">
            <w:pPr>
              <w:widowControl/>
              <w:adjustRightInd/>
              <w:spacing w:line="260" w:lineRule="exact"/>
              <w:ind w:left="-57" w:right="-57"/>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7</w:t>
            </w:r>
          </w:p>
        </w:tc>
        <w:tc>
          <w:tcPr>
            <w:tcW w:w="2946" w:type="dxa"/>
            <w:tcBorders>
              <w:top w:val="single" w:color="auto" w:sz="4" w:space="0"/>
              <w:left w:val="single" w:color="auto" w:sz="4" w:space="0"/>
              <w:bottom w:val="single" w:color="auto" w:sz="4" w:space="0"/>
              <w:right w:val="single" w:color="auto" w:sz="4" w:space="0"/>
            </w:tcBorders>
            <w:noWrap w:val="0"/>
            <w:vAlign w:val="top"/>
          </w:tcPr>
          <w:p w14:paraId="7760CD98">
            <w:pPr>
              <w:widowControl/>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开春做好盆景的抹芽、松类盆景摘心等工作。</w:t>
            </w:r>
          </w:p>
        </w:tc>
        <w:tc>
          <w:tcPr>
            <w:tcW w:w="3402" w:type="dxa"/>
            <w:tcBorders>
              <w:top w:val="single" w:color="auto" w:sz="4" w:space="0"/>
              <w:left w:val="single" w:color="auto" w:sz="4" w:space="0"/>
              <w:bottom w:val="single" w:color="auto" w:sz="4" w:space="0"/>
              <w:right w:val="single" w:color="auto" w:sz="4" w:space="0"/>
            </w:tcBorders>
            <w:noWrap w:val="0"/>
            <w:vAlign w:val="top"/>
          </w:tcPr>
          <w:p w14:paraId="7A8B78C1">
            <w:pPr>
              <w:widowControl/>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未及时做好抹芽、摘心等工作，导致影响盆景造型美观的，扣1分/处。扣完为止。</w:t>
            </w:r>
          </w:p>
        </w:tc>
        <w:tc>
          <w:tcPr>
            <w:tcW w:w="927" w:type="dxa"/>
            <w:tcBorders>
              <w:top w:val="single" w:color="auto" w:sz="4" w:space="0"/>
              <w:left w:val="single" w:color="auto" w:sz="4" w:space="0"/>
              <w:bottom w:val="single" w:color="auto" w:sz="4" w:space="0"/>
              <w:right w:val="single" w:color="auto" w:sz="4" w:space="0"/>
            </w:tcBorders>
            <w:noWrap w:val="0"/>
            <w:vAlign w:val="center"/>
          </w:tcPr>
          <w:p w14:paraId="12B00ECC">
            <w:pPr>
              <w:widowControl/>
              <w:adjustRightInd/>
              <w:spacing w:line="340" w:lineRule="exact"/>
              <w:ind w:left="-57" w:right="-57"/>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r>
      <w:tr w14:paraId="28C3E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303" w:type="dxa"/>
            <w:vMerge w:val="continue"/>
            <w:tcBorders>
              <w:left w:val="single" w:color="auto" w:sz="4" w:space="0"/>
              <w:right w:val="single" w:color="auto" w:sz="4" w:space="0"/>
            </w:tcBorders>
            <w:noWrap w:val="0"/>
            <w:vAlign w:val="center"/>
          </w:tcPr>
          <w:p w14:paraId="6FCAC2DC">
            <w:pPr>
              <w:widowControl/>
              <w:adjustRightInd/>
              <w:jc w:val="center"/>
              <w:rPr>
                <w:rFonts w:hint="eastAsia" w:ascii="宋体" w:hAnsi="宋体" w:eastAsia="宋体" w:cs="宋体"/>
                <w:b/>
                <w:bCs/>
                <w:color w:val="auto"/>
                <w:sz w:val="24"/>
                <w:szCs w:val="24"/>
                <w:highlight w:val="none"/>
              </w:rPr>
            </w:pPr>
          </w:p>
        </w:tc>
        <w:tc>
          <w:tcPr>
            <w:tcW w:w="426" w:type="dxa"/>
            <w:vMerge w:val="restart"/>
            <w:tcBorders>
              <w:top w:val="single" w:color="auto" w:sz="4" w:space="0"/>
              <w:left w:val="single" w:color="auto" w:sz="4" w:space="0"/>
              <w:right w:val="single" w:color="auto" w:sz="4" w:space="0"/>
            </w:tcBorders>
            <w:noWrap w:val="0"/>
            <w:vAlign w:val="center"/>
          </w:tcPr>
          <w:p w14:paraId="5FCF4D1E">
            <w:pPr>
              <w:widowControl/>
              <w:adjustRightInd/>
              <w:spacing w:line="260" w:lineRule="exact"/>
              <w:ind w:left="-57" w:right="-57"/>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其他</w:t>
            </w:r>
          </w:p>
        </w:tc>
        <w:tc>
          <w:tcPr>
            <w:tcW w:w="622" w:type="dxa"/>
            <w:tcBorders>
              <w:top w:val="single" w:color="auto" w:sz="4" w:space="0"/>
              <w:left w:val="single" w:color="auto" w:sz="4" w:space="0"/>
              <w:bottom w:val="single" w:color="auto" w:sz="4" w:space="0"/>
              <w:right w:val="single" w:color="auto" w:sz="4" w:space="0"/>
            </w:tcBorders>
            <w:noWrap w:val="0"/>
            <w:vAlign w:val="center"/>
          </w:tcPr>
          <w:p w14:paraId="40C07ADE">
            <w:pPr>
              <w:widowControl/>
              <w:adjustRightInd/>
              <w:spacing w:line="260" w:lineRule="exact"/>
              <w:ind w:left="-57" w:right="-57"/>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w:t>
            </w:r>
          </w:p>
        </w:tc>
        <w:tc>
          <w:tcPr>
            <w:tcW w:w="2946" w:type="dxa"/>
            <w:tcBorders>
              <w:top w:val="single" w:color="auto" w:sz="4" w:space="0"/>
              <w:left w:val="single" w:color="auto" w:sz="4" w:space="0"/>
              <w:bottom w:val="single" w:color="auto" w:sz="4" w:space="0"/>
              <w:right w:val="single" w:color="auto" w:sz="4" w:space="0"/>
            </w:tcBorders>
            <w:noWrap w:val="0"/>
            <w:vAlign w:val="top"/>
          </w:tcPr>
          <w:p w14:paraId="7D6572FD">
            <w:pPr>
              <w:widowControl/>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浅盆盆景每1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2年翻盘一次，中盆盆景每</w:t>
            </w:r>
            <w:r>
              <w:rPr>
                <w:rFonts w:hint="eastAsia" w:ascii="宋体" w:hAnsi="宋体" w:eastAsia="宋体" w:cs="宋体"/>
                <w:color w:val="auto"/>
                <w:sz w:val="24"/>
                <w:szCs w:val="24"/>
                <w:highlight w:val="none"/>
                <w:lang w:eastAsia="zh-CN"/>
              </w:rPr>
              <w:t>2—3年</w:t>
            </w:r>
            <w:r>
              <w:rPr>
                <w:rFonts w:hint="eastAsia" w:ascii="宋体" w:hAnsi="宋体" w:eastAsia="宋体" w:cs="宋体"/>
                <w:color w:val="auto"/>
                <w:sz w:val="24"/>
                <w:szCs w:val="24"/>
                <w:highlight w:val="none"/>
              </w:rPr>
              <w:t>翻盆一次，深盆盆景3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4年翻盘一次。</w:t>
            </w:r>
          </w:p>
        </w:tc>
        <w:tc>
          <w:tcPr>
            <w:tcW w:w="3402" w:type="dxa"/>
            <w:tcBorders>
              <w:top w:val="single" w:color="auto" w:sz="4" w:space="0"/>
              <w:left w:val="single" w:color="auto" w:sz="4" w:space="0"/>
              <w:bottom w:val="single" w:color="auto" w:sz="4" w:space="0"/>
              <w:right w:val="single" w:color="auto" w:sz="4" w:space="0"/>
            </w:tcBorders>
            <w:noWrap w:val="0"/>
            <w:vAlign w:val="top"/>
          </w:tcPr>
          <w:p w14:paraId="485FE611">
            <w:pPr>
              <w:widowControl/>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未及时做好翻盆工作，影响盆景正常生长的，扣1分/处。扣完为止。</w:t>
            </w:r>
          </w:p>
        </w:tc>
        <w:tc>
          <w:tcPr>
            <w:tcW w:w="927" w:type="dxa"/>
            <w:tcBorders>
              <w:top w:val="single" w:color="auto" w:sz="4" w:space="0"/>
              <w:left w:val="single" w:color="auto" w:sz="4" w:space="0"/>
              <w:bottom w:val="single" w:color="auto" w:sz="4" w:space="0"/>
              <w:right w:val="single" w:color="auto" w:sz="4" w:space="0"/>
            </w:tcBorders>
            <w:noWrap w:val="0"/>
            <w:vAlign w:val="center"/>
          </w:tcPr>
          <w:p w14:paraId="096B45B7">
            <w:pPr>
              <w:widowControl/>
              <w:adjustRightInd/>
              <w:spacing w:line="340" w:lineRule="exact"/>
              <w:ind w:left="-57" w:right="-57"/>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r>
      <w:tr w14:paraId="05051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8" w:hRule="atLeast"/>
          <w:jc w:val="center"/>
        </w:trPr>
        <w:tc>
          <w:tcPr>
            <w:tcW w:w="303" w:type="dxa"/>
            <w:vMerge w:val="continue"/>
            <w:tcBorders>
              <w:left w:val="single" w:color="auto" w:sz="4" w:space="0"/>
              <w:right w:val="single" w:color="auto" w:sz="4" w:space="0"/>
            </w:tcBorders>
            <w:noWrap w:val="0"/>
            <w:vAlign w:val="center"/>
          </w:tcPr>
          <w:p w14:paraId="3CD32B66">
            <w:pPr>
              <w:widowControl/>
              <w:adjustRightInd/>
              <w:jc w:val="left"/>
              <w:rPr>
                <w:rFonts w:hint="eastAsia" w:ascii="宋体" w:hAnsi="宋体" w:eastAsia="宋体" w:cs="宋体"/>
                <w:b/>
                <w:bCs/>
                <w:color w:val="auto"/>
                <w:sz w:val="24"/>
                <w:szCs w:val="24"/>
                <w:highlight w:val="none"/>
              </w:rPr>
            </w:pPr>
          </w:p>
        </w:tc>
        <w:tc>
          <w:tcPr>
            <w:tcW w:w="426" w:type="dxa"/>
            <w:vMerge w:val="continue"/>
            <w:tcBorders>
              <w:left w:val="single" w:color="auto" w:sz="4" w:space="0"/>
              <w:right w:val="single" w:color="auto" w:sz="4" w:space="0"/>
            </w:tcBorders>
            <w:noWrap w:val="0"/>
            <w:vAlign w:val="center"/>
          </w:tcPr>
          <w:p w14:paraId="4E50405A">
            <w:pPr>
              <w:widowControl/>
              <w:adjustRightInd/>
              <w:spacing w:line="260" w:lineRule="exact"/>
              <w:ind w:left="-57" w:right="-57"/>
              <w:jc w:val="left"/>
              <w:rPr>
                <w:rFonts w:hint="eastAsia" w:ascii="宋体" w:hAnsi="宋体" w:eastAsia="宋体" w:cs="宋体"/>
                <w:b/>
                <w:bCs/>
                <w:color w:val="auto"/>
                <w:sz w:val="24"/>
                <w:szCs w:val="24"/>
                <w:highlight w:val="none"/>
              </w:rPr>
            </w:pPr>
          </w:p>
        </w:tc>
        <w:tc>
          <w:tcPr>
            <w:tcW w:w="622" w:type="dxa"/>
            <w:tcBorders>
              <w:top w:val="single" w:color="auto" w:sz="4" w:space="0"/>
              <w:left w:val="single" w:color="auto" w:sz="4" w:space="0"/>
              <w:bottom w:val="single" w:color="auto" w:sz="4" w:space="0"/>
              <w:right w:val="single" w:color="auto" w:sz="4" w:space="0"/>
            </w:tcBorders>
            <w:noWrap w:val="0"/>
            <w:vAlign w:val="center"/>
          </w:tcPr>
          <w:p w14:paraId="49C8C0B3">
            <w:pPr>
              <w:widowControl/>
              <w:adjustRightInd/>
              <w:spacing w:line="260" w:lineRule="exact"/>
              <w:ind w:left="-57" w:right="-57"/>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9</w:t>
            </w:r>
          </w:p>
        </w:tc>
        <w:tc>
          <w:tcPr>
            <w:tcW w:w="2946" w:type="dxa"/>
            <w:tcBorders>
              <w:top w:val="single" w:color="auto" w:sz="4" w:space="0"/>
              <w:left w:val="single" w:color="auto" w:sz="4" w:space="0"/>
              <w:bottom w:val="single" w:color="auto" w:sz="4" w:space="0"/>
              <w:right w:val="single" w:color="auto" w:sz="4" w:space="0"/>
            </w:tcBorders>
            <w:noWrap w:val="0"/>
            <w:vAlign w:val="top"/>
          </w:tcPr>
          <w:p w14:paraId="102EE9BD">
            <w:pPr>
              <w:widowControl/>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发现病虫害发生，应及时打药防治，坚持预防为主，防治结合。</w:t>
            </w:r>
          </w:p>
        </w:tc>
        <w:tc>
          <w:tcPr>
            <w:tcW w:w="3402" w:type="dxa"/>
            <w:tcBorders>
              <w:top w:val="single" w:color="auto" w:sz="4" w:space="0"/>
              <w:left w:val="single" w:color="auto" w:sz="4" w:space="0"/>
              <w:bottom w:val="single" w:color="auto" w:sz="4" w:space="0"/>
              <w:right w:val="single" w:color="auto" w:sz="4" w:space="0"/>
            </w:tcBorders>
            <w:noWrap w:val="0"/>
            <w:vAlign w:val="top"/>
          </w:tcPr>
          <w:p w14:paraId="5ED80C80">
            <w:pPr>
              <w:widowControl/>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对病虫害防治不及时，出现盆景多株或大面积受害，导致影响景观甚至发生盆景死亡的，扣2分/处。扣完为止。</w:t>
            </w:r>
          </w:p>
        </w:tc>
        <w:tc>
          <w:tcPr>
            <w:tcW w:w="927" w:type="dxa"/>
            <w:tcBorders>
              <w:top w:val="single" w:color="auto" w:sz="4" w:space="0"/>
              <w:left w:val="single" w:color="auto" w:sz="4" w:space="0"/>
              <w:bottom w:val="single" w:color="auto" w:sz="4" w:space="0"/>
              <w:right w:val="single" w:color="auto" w:sz="4" w:space="0"/>
            </w:tcBorders>
            <w:noWrap w:val="0"/>
            <w:vAlign w:val="center"/>
          </w:tcPr>
          <w:p w14:paraId="65F4D214">
            <w:pPr>
              <w:widowControl/>
              <w:adjustRightInd/>
              <w:spacing w:line="340" w:lineRule="exact"/>
              <w:ind w:left="-57" w:right="-57"/>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r>
      <w:tr w14:paraId="29B7B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jc w:val="center"/>
        </w:trPr>
        <w:tc>
          <w:tcPr>
            <w:tcW w:w="303" w:type="dxa"/>
            <w:vMerge w:val="continue"/>
            <w:tcBorders>
              <w:left w:val="single" w:color="auto" w:sz="4" w:space="0"/>
              <w:right w:val="single" w:color="auto" w:sz="4" w:space="0"/>
            </w:tcBorders>
            <w:noWrap w:val="0"/>
            <w:vAlign w:val="center"/>
          </w:tcPr>
          <w:p w14:paraId="3C6D2DFD">
            <w:pPr>
              <w:widowControl/>
              <w:adjustRightInd/>
              <w:jc w:val="left"/>
              <w:rPr>
                <w:rFonts w:hint="eastAsia" w:ascii="宋体" w:hAnsi="宋体" w:eastAsia="宋体" w:cs="宋体"/>
                <w:b/>
                <w:bCs/>
                <w:color w:val="auto"/>
                <w:sz w:val="24"/>
                <w:szCs w:val="24"/>
                <w:highlight w:val="none"/>
              </w:rPr>
            </w:pPr>
          </w:p>
        </w:tc>
        <w:tc>
          <w:tcPr>
            <w:tcW w:w="426" w:type="dxa"/>
            <w:vMerge w:val="continue"/>
            <w:tcBorders>
              <w:left w:val="single" w:color="auto" w:sz="4" w:space="0"/>
              <w:right w:val="single" w:color="auto" w:sz="4" w:space="0"/>
            </w:tcBorders>
            <w:noWrap w:val="0"/>
            <w:vAlign w:val="center"/>
          </w:tcPr>
          <w:p w14:paraId="1975AF1A">
            <w:pPr>
              <w:widowControl/>
              <w:adjustRightInd/>
              <w:spacing w:line="260" w:lineRule="exact"/>
              <w:ind w:left="-57" w:right="-57"/>
              <w:jc w:val="left"/>
              <w:rPr>
                <w:rFonts w:hint="eastAsia" w:ascii="宋体" w:hAnsi="宋体" w:eastAsia="宋体" w:cs="宋体"/>
                <w:b/>
                <w:bCs/>
                <w:color w:val="auto"/>
                <w:sz w:val="24"/>
                <w:szCs w:val="24"/>
                <w:highlight w:val="none"/>
              </w:rPr>
            </w:pPr>
          </w:p>
        </w:tc>
        <w:tc>
          <w:tcPr>
            <w:tcW w:w="622" w:type="dxa"/>
            <w:tcBorders>
              <w:top w:val="single" w:color="auto" w:sz="4" w:space="0"/>
              <w:left w:val="single" w:color="auto" w:sz="4" w:space="0"/>
              <w:bottom w:val="single" w:color="auto" w:sz="4" w:space="0"/>
              <w:right w:val="single" w:color="auto" w:sz="4" w:space="0"/>
            </w:tcBorders>
            <w:noWrap w:val="0"/>
            <w:vAlign w:val="center"/>
          </w:tcPr>
          <w:p w14:paraId="766BE2DB">
            <w:pPr>
              <w:widowControl/>
              <w:adjustRightInd/>
              <w:spacing w:line="260" w:lineRule="exact"/>
              <w:ind w:left="-57" w:right="-57"/>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10</w:t>
            </w:r>
          </w:p>
        </w:tc>
        <w:tc>
          <w:tcPr>
            <w:tcW w:w="2946" w:type="dxa"/>
            <w:tcBorders>
              <w:top w:val="single" w:color="auto" w:sz="4" w:space="0"/>
              <w:left w:val="single" w:color="auto" w:sz="4" w:space="0"/>
              <w:bottom w:val="single" w:color="auto" w:sz="4" w:space="0"/>
              <w:right w:val="single" w:color="auto" w:sz="4" w:space="0"/>
            </w:tcBorders>
            <w:noWrap w:val="0"/>
            <w:vAlign w:val="top"/>
          </w:tcPr>
          <w:p w14:paraId="2B8F1A4D">
            <w:pPr>
              <w:widowControl/>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根据盆景生长需要，及时浇水、施肥，促进盆景健康生长，改善土壤肥力。做好盆景防腐处理。</w:t>
            </w:r>
          </w:p>
        </w:tc>
        <w:tc>
          <w:tcPr>
            <w:tcW w:w="3402" w:type="dxa"/>
            <w:tcBorders>
              <w:top w:val="single" w:color="auto" w:sz="4" w:space="0"/>
              <w:left w:val="single" w:color="auto" w:sz="4" w:space="0"/>
              <w:bottom w:val="single" w:color="auto" w:sz="4" w:space="0"/>
              <w:right w:val="single" w:color="auto" w:sz="4" w:space="0"/>
            </w:tcBorders>
            <w:noWrap w:val="0"/>
            <w:vAlign w:val="top"/>
          </w:tcPr>
          <w:p w14:paraId="233C5040">
            <w:pPr>
              <w:widowControl/>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浇水不及时，造成盆景植株脱水；浇水过多，造成烂根的；施肥不及时的，扣1分/处。没有做好盆景防腐处理的，扣0.5分/处。扣完为止。</w:t>
            </w:r>
          </w:p>
        </w:tc>
        <w:tc>
          <w:tcPr>
            <w:tcW w:w="927" w:type="dxa"/>
            <w:tcBorders>
              <w:top w:val="single" w:color="auto" w:sz="4" w:space="0"/>
              <w:left w:val="single" w:color="auto" w:sz="4" w:space="0"/>
              <w:bottom w:val="single" w:color="auto" w:sz="4" w:space="0"/>
              <w:right w:val="single" w:color="auto" w:sz="4" w:space="0"/>
            </w:tcBorders>
            <w:noWrap w:val="0"/>
            <w:vAlign w:val="center"/>
          </w:tcPr>
          <w:p w14:paraId="3609F87B">
            <w:pPr>
              <w:widowControl/>
              <w:adjustRightInd/>
              <w:spacing w:line="340" w:lineRule="exact"/>
              <w:ind w:left="-57" w:right="-57"/>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r>
      <w:tr w14:paraId="03109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03" w:type="dxa"/>
            <w:vMerge w:val="continue"/>
            <w:tcBorders>
              <w:left w:val="single" w:color="auto" w:sz="4" w:space="0"/>
              <w:right w:val="single" w:color="auto" w:sz="4" w:space="0"/>
            </w:tcBorders>
            <w:noWrap w:val="0"/>
            <w:vAlign w:val="center"/>
          </w:tcPr>
          <w:p w14:paraId="41885D73">
            <w:pPr>
              <w:widowControl/>
              <w:adjustRightInd/>
              <w:spacing w:line="260" w:lineRule="exact"/>
              <w:ind w:left="-57" w:right="-57"/>
              <w:jc w:val="center"/>
              <w:rPr>
                <w:rFonts w:hint="eastAsia" w:ascii="宋体" w:hAnsi="宋体" w:eastAsia="宋体" w:cs="宋体"/>
                <w:b/>
                <w:bCs/>
                <w:color w:val="auto"/>
                <w:sz w:val="24"/>
                <w:szCs w:val="24"/>
                <w:highlight w:val="none"/>
              </w:rPr>
            </w:pPr>
          </w:p>
        </w:tc>
        <w:tc>
          <w:tcPr>
            <w:tcW w:w="426" w:type="dxa"/>
            <w:vMerge w:val="continue"/>
            <w:tcBorders>
              <w:left w:val="single" w:color="auto" w:sz="4" w:space="0"/>
              <w:right w:val="single" w:color="auto" w:sz="4" w:space="0"/>
            </w:tcBorders>
            <w:noWrap w:val="0"/>
            <w:vAlign w:val="center"/>
          </w:tcPr>
          <w:p w14:paraId="2B888E53">
            <w:pPr>
              <w:widowControl/>
              <w:adjustRightInd/>
              <w:spacing w:line="260" w:lineRule="exact"/>
              <w:ind w:left="-57" w:right="-57"/>
              <w:jc w:val="center"/>
              <w:rPr>
                <w:rFonts w:hint="eastAsia" w:ascii="宋体" w:hAnsi="宋体" w:eastAsia="宋体" w:cs="宋体"/>
                <w:b/>
                <w:bCs/>
                <w:color w:val="auto"/>
                <w:sz w:val="24"/>
                <w:szCs w:val="24"/>
                <w:highlight w:val="none"/>
              </w:rPr>
            </w:pPr>
          </w:p>
        </w:tc>
        <w:tc>
          <w:tcPr>
            <w:tcW w:w="622" w:type="dxa"/>
            <w:tcBorders>
              <w:top w:val="single" w:color="auto" w:sz="4" w:space="0"/>
              <w:left w:val="single" w:color="auto" w:sz="4" w:space="0"/>
              <w:bottom w:val="single" w:color="auto" w:sz="4" w:space="0"/>
              <w:right w:val="single" w:color="auto" w:sz="4" w:space="0"/>
            </w:tcBorders>
            <w:noWrap w:val="0"/>
            <w:vAlign w:val="center"/>
          </w:tcPr>
          <w:p w14:paraId="20D0D3E1">
            <w:pPr>
              <w:widowControl/>
              <w:adjustRightInd/>
              <w:spacing w:line="260" w:lineRule="exact"/>
              <w:ind w:left="-57" w:right="-57"/>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11</w:t>
            </w:r>
          </w:p>
        </w:tc>
        <w:tc>
          <w:tcPr>
            <w:tcW w:w="2946" w:type="dxa"/>
            <w:tcBorders>
              <w:top w:val="single" w:color="auto" w:sz="4" w:space="0"/>
              <w:left w:val="single" w:color="auto" w:sz="4" w:space="0"/>
              <w:bottom w:val="single" w:color="auto" w:sz="4" w:space="0"/>
              <w:right w:val="single" w:color="auto" w:sz="4" w:space="0"/>
            </w:tcBorders>
            <w:noWrap w:val="0"/>
            <w:vAlign w:val="top"/>
          </w:tcPr>
          <w:p w14:paraId="37AA0300">
            <w:pPr>
              <w:widowControl/>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做好盆景的越冬防护措施。对不耐寒的盆景，应移至暖房或做好加盖草包、网膜等保温防护措施，确保安全过冬。</w:t>
            </w:r>
          </w:p>
        </w:tc>
        <w:tc>
          <w:tcPr>
            <w:tcW w:w="3402" w:type="dxa"/>
            <w:tcBorders>
              <w:top w:val="single" w:color="auto" w:sz="4" w:space="0"/>
              <w:left w:val="single" w:color="auto" w:sz="4" w:space="0"/>
              <w:bottom w:val="single" w:color="auto" w:sz="4" w:space="0"/>
              <w:right w:val="single" w:color="auto" w:sz="4" w:space="0"/>
            </w:tcBorders>
            <w:noWrap w:val="0"/>
            <w:vAlign w:val="top"/>
          </w:tcPr>
          <w:p w14:paraId="02F03B5D">
            <w:pPr>
              <w:widowControl/>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未采取有效措施，导致盆景冻伤冻死的，扣2分/处。扣完为止。</w:t>
            </w:r>
          </w:p>
        </w:tc>
        <w:tc>
          <w:tcPr>
            <w:tcW w:w="927" w:type="dxa"/>
            <w:tcBorders>
              <w:top w:val="single" w:color="auto" w:sz="4" w:space="0"/>
              <w:left w:val="single" w:color="auto" w:sz="4" w:space="0"/>
              <w:bottom w:val="single" w:color="auto" w:sz="4" w:space="0"/>
              <w:right w:val="single" w:color="auto" w:sz="4" w:space="0"/>
            </w:tcBorders>
            <w:noWrap w:val="0"/>
            <w:vAlign w:val="center"/>
          </w:tcPr>
          <w:p w14:paraId="18BF01B4">
            <w:pPr>
              <w:widowControl/>
              <w:adjustRightInd/>
              <w:spacing w:line="340" w:lineRule="exact"/>
              <w:ind w:left="-57" w:right="-57"/>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r>
      <w:tr w14:paraId="1CA90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jc w:val="center"/>
        </w:trPr>
        <w:tc>
          <w:tcPr>
            <w:tcW w:w="303" w:type="dxa"/>
            <w:vMerge w:val="continue"/>
            <w:tcBorders>
              <w:left w:val="single" w:color="auto" w:sz="4" w:space="0"/>
              <w:right w:val="single" w:color="auto" w:sz="4" w:space="0"/>
            </w:tcBorders>
            <w:noWrap w:val="0"/>
            <w:vAlign w:val="center"/>
          </w:tcPr>
          <w:p w14:paraId="76F5721E">
            <w:pPr>
              <w:widowControl/>
              <w:adjustRightInd/>
              <w:spacing w:line="260" w:lineRule="exact"/>
              <w:ind w:right="-57"/>
              <w:rPr>
                <w:rFonts w:hint="eastAsia" w:ascii="宋体" w:hAnsi="宋体" w:eastAsia="宋体" w:cs="宋体"/>
                <w:b/>
                <w:bCs/>
                <w:color w:val="auto"/>
                <w:sz w:val="24"/>
                <w:szCs w:val="24"/>
                <w:highlight w:val="none"/>
              </w:rPr>
            </w:pPr>
          </w:p>
        </w:tc>
        <w:tc>
          <w:tcPr>
            <w:tcW w:w="426" w:type="dxa"/>
            <w:vMerge w:val="continue"/>
            <w:tcBorders>
              <w:left w:val="single" w:color="auto" w:sz="4" w:space="0"/>
              <w:right w:val="single" w:color="auto" w:sz="4" w:space="0"/>
            </w:tcBorders>
            <w:noWrap w:val="0"/>
            <w:vAlign w:val="center"/>
          </w:tcPr>
          <w:p w14:paraId="38480E86">
            <w:pPr>
              <w:widowControl/>
              <w:adjustRightInd/>
              <w:spacing w:line="260" w:lineRule="exact"/>
              <w:ind w:right="-57"/>
              <w:rPr>
                <w:rFonts w:hint="eastAsia" w:ascii="宋体" w:hAnsi="宋体" w:eastAsia="宋体" w:cs="宋体"/>
                <w:b/>
                <w:bCs/>
                <w:color w:val="auto"/>
                <w:sz w:val="24"/>
                <w:szCs w:val="24"/>
                <w:highlight w:val="none"/>
              </w:rPr>
            </w:pPr>
          </w:p>
        </w:tc>
        <w:tc>
          <w:tcPr>
            <w:tcW w:w="622" w:type="dxa"/>
            <w:tcBorders>
              <w:top w:val="single" w:color="auto" w:sz="4" w:space="0"/>
              <w:left w:val="single" w:color="auto" w:sz="4" w:space="0"/>
              <w:bottom w:val="single" w:color="auto" w:sz="4" w:space="0"/>
              <w:right w:val="single" w:color="auto" w:sz="4" w:space="0"/>
            </w:tcBorders>
            <w:noWrap w:val="0"/>
            <w:vAlign w:val="center"/>
          </w:tcPr>
          <w:p w14:paraId="12D1C16E">
            <w:pPr>
              <w:widowControl/>
              <w:adjustRightInd/>
              <w:spacing w:line="260" w:lineRule="exact"/>
              <w:ind w:left="-57" w:right="-57"/>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12</w:t>
            </w:r>
          </w:p>
        </w:tc>
        <w:tc>
          <w:tcPr>
            <w:tcW w:w="2946" w:type="dxa"/>
            <w:tcBorders>
              <w:top w:val="single" w:color="auto" w:sz="4" w:space="0"/>
              <w:left w:val="single" w:color="auto" w:sz="4" w:space="0"/>
              <w:bottom w:val="single" w:color="auto" w:sz="4" w:space="0"/>
              <w:right w:val="single" w:color="auto" w:sz="4" w:space="0"/>
            </w:tcBorders>
            <w:noWrap w:val="0"/>
            <w:vAlign w:val="top"/>
          </w:tcPr>
          <w:p w14:paraId="595CF0B8">
            <w:pPr>
              <w:widowControl/>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做好盆景的抗台防护措施。台风期间，应采取加固措施，确保盆景不被刮倒、树枝刮断。</w:t>
            </w:r>
          </w:p>
        </w:tc>
        <w:tc>
          <w:tcPr>
            <w:tcW w:w="3402" w:type="dxa"/>
            <w:tcBorders>
              <w:top w:val="single" w:color="auto" w:sz="4" w:space="0"/>
              <w:left w:val="single" w:color="auto" w:sz="4" w:space="0"/>
              <w:bottom w:val="single" w:color="auto" w:sz="4" w:space="0"/>
              <w:right w:val="single" w:color="auto" w:sz="4" w:space="0"/>
            </w:tcBorders>
            <w:noWrap w:val="0"/>
            <w:vAlign w:val="top"/>
          </w:tcPr>
          <w:p w14:paraId="1107461E">
            <w:pPr>
              <w:widowControl/>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未采取有效措施，导致台风期间盆景被刮倒，造成枝条折断，盆体碎裂等受损现象，扣1分/处。扣完为止。</w:t>
            </w:r>
          </w:p>
        </w:tc>
        <w:tc>
          <w:tcPr>
            <w:tcW w:w="927" w:type="dxa"/>
            <w:tcBorders>
              <w:top w:val="single" w:color="auto" w:sz="4" w:space="0"/>
              <w:left w:val="single" w:color="auto" w:sz="4" w:space="0"/>
              <w:bottom w:val="single" w:color="auto" w:sz="4" w:space="0"/>
              <w:right w:val="single" w:color="auto" w:sz="4" w:space="0"/>
            </w:tcBorders>
            <w:noWrap w:val="0"/>
            <w:vAlign w:val="center"/>
          </w:tcPr>
          <w:p w14:paraId="15F9ABF5">
            <w:pPr>
              <w:widowControl/>
              <w:adjustRightInd/>
              <w:spacing w:line="340" w:lineRule="exact"/>
              <w:ind w:left="-57" w:right="-57"/>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r>
      <w:tr w14:paraId="51A4D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699" w:type="dxa"/>
            <w:gridSpan w:val="5"/>
            <w:tcBorders>
              <w:top w:val="single" w:color="auto" w:sz="4" w:space="0"/>
              <w:left w:val="single" w:color="auto" w:sz="4" w:space="0"/>
              <w:bottom w:val="single" w:color="auto" w:sz="4" w:space="0"/>
              <w:right w:val="single" w:color="auto" w:sz="4" w:space="0"/>
            </w:tcBorders>
            <w:noWrap w:val="0"/>
            <w:vAlign w:val="top"/>
          </w:tcPr>
          <w:p w14:paraId="2D7560B7">
            <w:pPr>
              <w:widowControl/>
              <w:adjustRightInd/>
              <w:spacing w:line="340" w:lineRule="exact"/>
              <w:ind w:left="-57" w:right="-57"/>
              <w:jc w:val="left"/>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（二）园容园貌质量标准</w:t>
            </w:r>
          </w:p>
        </w:tc>
        <w:tc>
          <w:tcPr>
            <w:tcW w:w="927" w:type="dxa"/>
            <w:tcBorders>
              <w:top w:val="single" w:color="auto" w:sz="4" w:space="0"/>
              <w:left w:val="single" w:color="auto" w:sz="4" w:space="0"/>
              <w:bottom w:val="single" w:color="auto" w:sz="4" w:space="0"/>
              <w:right w:val="single" w:color="auto" w:sz="4" w:space="0"/>
            </w:tcBorders>
            <w:noWrap w:val="0"/>
            <w:vAlign w:val="top"/>
          </w:tcPr>
          <w:p w14:paraId="21FED2AD">
            <w:pPr>
              <w:widowControl/>
              <w:adjustRightInd/>
              <w:spacing w:line="340" w:lineRule="exact"/>
              <w:ind w:left="-57" w:right="-57"/>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10</w:t>
            </w:r>
          </w:p>
        </w:tc>
      </w:tr>
      <w:tr w14:paraId="39872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729" w:type="dxa"/>
            <w:gridSpan w:val="2"/>
            <w:tcBorders>
              <w:left w:val="single" w:color="auto" w:sz="4" w:space="0"/>
              <w:right w:val="single" w:color="auto" w:sz="4" w:space="0"/>
            </w:tcBorders>
            <w:noWrap w:val="0"/>
            <w:vAlign w:val="center"/>
          </w:tcPr>
          <w:p w14:paraId="3B994D12">
            <w:pPr>
              <w:widowControl/>
              <w:adjustRightInd/>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清卫保洁</w:t>
            </w:r>
          </w:p>
        </w:tc>
        <w:tc>
          <w:tcPr>
            <w:tcW w:w="622" w:type="dxa"/>
            <w:tcBorders>
              <w:top w:val="single" w:color="auto" w:sz="4" w:space="0"/>
              <w:left w:val="single" w:color="auto" w:sz="4" w:space="0"/>
              <w:bottom w:val="single" w:color="auto" w:sz="4" w:space="0"/>
              <w:right w:val="single" w:color="auto" w:sz="4" w:space="0"/>
            </w:tcBorders>
            <w:noWrap w:val="0"/>
            <w:vAlign w:val="center"/>
          </w:tcPr>
          <w:p w14:paraId="1AE0DA7F">
            <w:pPr>
              <w:widowControl/>
              <w:adjustRightInd/>
              <w:spacing w:line="260" w:lineRule="exact"/>
              <w:ind w:left="-57" w:right="-57"/>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13</w:t>
            </w:r>
          </w:p>
        </w:tc>
        <w:tc>
          <w:tcPr>
            <w:tcW w:w="2946" w:type="dxa"/>
            <w:tcBorders>
              <w:top w:val="single" w:color="auto" w:sz="4" w:space="0"/>
              <w:left w:val="single" w:color="auto" w:sz="4" w:space="0"/>
              <w:bottom w:val="single" w:color="auto" w:sz="4" w:space="0"/>
              <w:right w:val="single" w:color="auto" w:sz="4" w:space="0"/>
            </w:tcBorders>
            <w:noWrap w:val="0"/>
            <w:vAlign w:val="top"/>
          </w:tcPr>
          <w:p w14:paraId="5F82177A">
            <w:pPr>
              <w:widowControl/>
              <w:adjustRightInd/>
              <w:spacing w:line="260" w:lineRule="exact"/>
              <w:ind w:left="-57" w:right="-5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保洁工具、车辆等按规定放置，保持整洁干净。</w:t>
            </w:r>
          </w:p>
        </w:tc>
        <w:tc>
          <w:tcPr>
            <w:tcW w:w="3402" w:type="dxa"/>
            <w:tcBorders>
              <w:top w:val="single" w:color="auto" w:sz="4" w:space="0"/>
              <w:left w:val="single" w:color="auto" w:sz="4" w:space="0"/>
              <w:bottom w:val="single" w:color="auto" w:sz="4" w:space="0"/>
              <w:right w:val="single" w:color="auto" w:sz="4" w:space="0"/>
            </w:tcBorders>
            <w:noWrap w:val="0"/>
            <w:vAlign w:val="top"/>
          </w:tcPr>
          <w:p w14:paraId="71AEF857">
            <w:pPr>
              <w:widowControl/>
              <w:adjustRightInd/>
              <w:spacing w:line="260" w:lineRule="exact"/>
              <w:ind w:left="-57" w:right="-5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2.1保洁工具、车辆等摆放不整洁、每次扣1分。</w:t>
            </w:r>
          </w:p>
        </w:tc>
        <w:tc>
          <w:tcPr>
            <w:tcW w:w="927" w:type="dxa"/>
            <w:tcBorders>
              <w:top w:val="single" w:color="auto" w:sz="4" w:space="0"/>
              <w:left w:val="single" w:color="auto" w:sz="4" w:space="0"/>
              <w:bottom w:val="single" w:color="auto" w:sz="4" w:space="0"/>
              <w:right w:val="single" w:color="auto" w:sz="4" w:space="0"/>
            </w:tcBorders>
            <w:noWrap w:val="0"/>
            <w:vAlign w:val="center"/>
          </w:tcPr>
          <w:p w14:paraId="1428FECC">
            <w:pPr>
              <w:widowControl/>
              <w:adjustRightInd/>
              <w:spacing w:line="340" w:lineRule="exact"/>
              <w:ind w:left="-57" w:right="-57"/>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r>
      <w:tr w14:paraId="7C194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729" w:type="dxa"/>
            <w:gridSpan w:val="2"/>
            <w:vMerge w:val="restart"/>
            <w:tcBorders>
              <w:left w:val="single" w:color="auto" w:sz="4" w:space="0"/>
              <w:right w:val="single" w:color="auto" w:sz="4" w:space="0"/>
            </w:tcBorders>
            <w:noWrap w:val="0"/>
            <w:vAlign w:val="center"/>
          </w:tcPr>
          <w:p w14:paraId="15AC397F">
            <w:pPr>
              <w:widowControl/>
              <w:adjustRightInd/>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垃圾分类</w:t>
            </w:r>
          </w:p>
        </w:tc>
        <w:tc>
          <w:tcPr>
            <w:tcW w:w="622" w:type="dxa"/>
            <w:tcBorders>
              <w:top w:val="single" w:color="auto" w:sz="4" w:space="0"/>
              <w:left w:val="single" w:color="auto" w:sz="4" w:space="0"/>
              <w:bottom w:val="single" w:color="auto" w:sz="4" w:space="0"/>
              <w:right w:val="single" w:color="auto" w:sz="4" w:space="0"/>
            </w:tcBorders>
            <w:noWrap w:val="0"/>
            <w:vAlign w:val="center"/>
          </w:tcPr>
          <w:p w14:paraId="7D4F1005">
            <w:pPr>
              <w:widowControl/>
              <w:adjustRightInd/>
              <w:spacing w:line="260" w:lineRule="exact"/>
              <w:ind w:left="-57" w:right="-57"/>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14</w:t>
            </w:r>
          </w:p>
        </w:tc>
        <w:tc>
          <w:tcPr>
            <w:tcW w:w="2946" w:type="dxa"/>
            <w:tcBorders>
              <w:top w:val="single" w:color="auto" w:sz="4" w:space="0"/>
              <w:left w:val="single" w:color="auto" w:sz="4" w:space="0"/>
              <w:bottom w:val="single" w:color="auto" w:sz="4" w:space="0"/>
              <w:right w:val="single" w:color="auto" w:sz="4" w:space="0"/>
            </w:tcBorders>
            <w:noWrap w:val="0"/>
            <w:vAlign w:val="top"/>
          </w:tcPr>
          <w:p w14:paraId="3A2FBD1C">
            <w:pPr>
              <w:widowControl/>
              <w:adjustRightInd/>
              <w:spacing w:line="260" w:lineRule="exact"/>
              <w:ind w:left="-57" w:right="-5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做到生产作业垃圾和生活垃圾分离。生产垃圾归堆后摆放在指定的地方、日产日清，不焚烧。集中运输到指定倾倒地点进行粉碎再利用。</w:t>
            </w:r>
          </w:p>
        </w:tc>
        <w:tc>
          <w:tcPr>
            <w:tcW w:w="3402" w:type="dxa"/>
            <w:tcBorders>
              <w:top w:val="single" w:color="auto" w:sz="4" w:space="0"/>
              <w:left w:val="single" w:color="auto" w:sz="4" w:space="0"/>
              <w:bottom w:val="single" w:color="auto" w:sz="4" w:space="0"/>
              <w:right w:val="single" w:color="auto" w:sz="4" w:space="0"/>
            </w:tcBorders>
            <w:noWrap w:val="0"/>
            <w:vAlign w:val="top"/>
          </w:tcPr>
          <w:p w14:paraId="4FE68890">
            <w:pPr>
              <w:widowControl/>
              <w:adjustRightInd/>
              <w:spacing w:line="260" w:lineRule="exact"/>
              <w:ind w:left="-57" w:right="-5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 发现生产垃圾和生活垃圾未分离，每次扣3分；生产垃圾未在规定时间内清理或者有焚烧现象的每次扣2分。</w:t>
            </w:r>
          </w:p>
        </w:tc>
        <w:tc>
          <w:tcPr>
            <w:tcW w:w="927" w:type="dxa"/>
            <w:tcBorders>
              <w:top w:val="single" w:color="auto" w:sz="4" w:space="0"/>
              <w:left w:val="single" w:color="auto" w:sz="4" w:space="0"/>
              <w:bottom w:val="single" w:color="auto" w:sz="4" w:space="0"/>
              <w:right w:val="single" w:color="auto" w:sz="4" w:space="0"/>
            </w:tcBorders>
            <w:noWrap w:val="0"/>
            <w:vAlign w:val="center"/>
          </w:tcPr>
          <w:p w14:paraId="29EAB0C9">
            <w:pPr>
              <w:widowControl/>
              <w:adjustRightInd/>
              <w:spacing w:line="340" w:lineRule="exact"/>
              <w:ind w:left="-57" w:right="-57"/>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r>
      <w:tr w14:paraId="1568B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729" w:type="dxa"/>
            <w:gridSpan w:val="2"/>
            <w:vMerge w:val="continue"/>
            <w:tcBorders>
              <w:left w:val="single" w:color="auto" w:sz="4" w:space="0"/>
              <w:bottom w:val="single" w:color="auto" w:sz="4" w:space="0"/>
              <w:right w:val="single" w:color="auto" w:sz="4" w:space="0"/>
            </w:tcBorders>
            <w:noWrap w:val="0"/>
            <w:vAlign w:val="center"/>
          </w:tcPr>
          <w:p w14:paraId="534A79C9">
            <w:pPr>
              <w:widowControl/>
              <w:adjustRightInd/>
              <w:jc w:val="center"/>
              <w:rPr>
                <w:rFonts w:hint="eastAsia" w:ascii="宋体" w:hAnsi="宋体" w:eastAsia="宋体" w:cs="宋体"/>
                <w:b/>
                <w:bCs/>
                <w:color w:val="auto"/>
                <w:sz w:val="24"/>
                <w:szCs w:val="24"/>
                <w:highlight w:val="none"/>
              </w:rPr>
            </w:pPr>
          </w:p>
        </w:tc>
        <w:tc>
          <w:tcPr>
            <w:tcW w:w="622" w:type="dxa"/>
            <w:tcBorders>
              <w:top w:val="single" w:color="auto" w:sz="4" w:space="0"/>
              <w:left w:val="single" w:color="auto" w:sz="4" w:space="0"/>
              <w:bottom w:val="single" w:color="auto" w:sz="4" w:space="0"/>
              <w:right w:val="single" w:color="auto" w:sz="4" w:space="0"/>
            </w:tcBorders>
            <w:noWrap w:val="0"/>
            <w:vAlign w:val="center"/>
          </w:tcPr>
          <w:p w14:paraId="51985E91">
            <w:pPr>
              <w:widowControl/>
              <w:adjustRightInd/>
              <w:spacing w:line="260" w:lineRule="exact"/>
              <w:ind w:left="-57" w:right="-57"/>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15</w:t>
            </w:r>
          </w:p>
        </w:tc>
        <w:tc>
          <w:tcPr>
            <w:tcW w:w="2946" w:type="dxa"/>
            <w:tcBorders>
              <w:top w:val="single" w:color="auto" w:sz="4" w:space="0"/>
              <w:left w:val="single" w:color="auto" w:sz="4" w:space="0"/>
              <w:bottom w:val="single" w:color="auto" w:sz="4" w:space="0"/>
              <w:right w:val="single" w:color="auto" w:sz="4" w:space="0"/>
            </w:tcBorders>
            <w:noWrap w:val="0"/>
            <w:vAlign w:val="top"/>
          </w:tcPr>
          <w:p w14:paraId="4465EC7D">
            <w:pPr>
              <w:widowControl/>
              <w:adjustRightInd/>
              <w:spacing w:line="260" w:lineRule="exact"/>
              <w:ind w:left="-57" w:right="-5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生活垃圾按宁波市垃圾分类相关条例，进行分类，做到其他垃圾与可回收物分离。</w:t>
            </w:r>
          </w:p>
        </w:tc>
        <w:tc>
          <w:tcPr>
            <w:tcW w:w="3402" w:type="dxa"/>
            <w:tcBorders>
              <w:top w:val="single" w:color="auto" w:sz="4" w:space="0"/>
              <w:left w:val="single" w:color="auto" w:sz="4" w:space="0"/>
              <w:bottom w:val="single" w:color="auto" w:sz="4" w:space="0"/>
              <w:right w:val="single" w:color="auto" w:sz="4" w:space="0"/>
            </w:tcBorders>
            <w:noWrap w:val="0"/>
            <w:vAlign w:val="top"/>
          </w:tcPr>
          <w:p w14:paraId="68726477">
            <w:pPr>
              <w:widowControl/>
              <w:adjustRightInd/>
              <w:spacing w:line="260" w:lineRule="exact"/>
              <w:ind w:left="-57" w:right="-5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2.3发现生活垃圾未按要求进行分类，扣2分/次。</w:t>
            </w:r>
          </w:p>
        </w:tc>
        <w:tc>
          <w:tcPr>
            <w:tcW w:w="927" w:type="dxa"/>
            <w:tcBorders>
              <w:top w:val="single" w:color="auto" w:sz="4" w:space="0"/>
              <w:left w:val="single" w:color="auto" w:sz="4" w:space="0"/>
              <w:bottom w:val="single" w:color="auto" w:sz="4" w:space="0"/>
              <w:right w:val="single" w:color="auto" w:sz="4" w:space="0"/>
            </w:tcBorders>
            <w:noWrap w:val="0"/>
            <w:vAlign w:val="center"/>
          </w:tcPr>
          <w:p w14:paraId="579D73E3">
            <w:pPr>
              <w:widowControl/>
              <w:adjustRightInd/>
              <w:spacing w:line="340" w:lineRule="exact"/>
              <w:ind w:left="-57" w:right="-57"/>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r>
      <w:tr w14:paraId="06EE2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7699" w:type="dxa"/>
            <w:gridSpan w:val="5"/>
            <w:tcBorders>
              <w:left w:val="single" w:color="auto" w:sz="4" w:space="0"/>
              <w:bottom w:val="single" w:color="auto" w:sz="4" w:space="0"/>
              <w:right w:val="single" w:color="auto" w:sz="4" w:space="0"/>
            </w:tcBorders>
            <w:noWrap w:val="0"/>
            <w:vAlign w:val="center"/>
          </w:tcPr>
          <w:p w14:paraId="24D0259C">
            <w:pPr>
              <w:widowControl/>
              <w:adjustRightInd/>
              <w:spacing w:line="340" w:lineRule="exact"/>
              <w:ind w:left="-57" w:right="-57"/>
              <w:jc w:val="lef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（三）组织人员管理标准</w:t>
            </w:r>
          </w:p>
        </w:tc>
        <w:tc>
          <w:tcPr>
            <w:tcW w:w="927" w:type="dxa"/>
            <w:tcBorders>
              <w:left w:val="single" w:color="auto" w:sz="4" w:space="0"/>
              <w:bottom w:val="single" w:color="auto" w:sz="4" w:space="0"/>
              <w:right w:val="single" w:color="auto" w:sz="4" w:space="0"/>
            </w:tcBorders>
            <w:noWrap w:val="0"/>
            <w:vAlign w:val="center"/>
          </w:tcPr>
          <w:p w14:paraId="4A0F6A63">
            <w:pPr>
              <w:widowControl/>
              <w:adjustRightInd/>
              <w:spacing w:line="340" w:lineRule="exact"/>
              <w:ind w:left="-57" w:right="-57"/>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30</w:t>
            </w:r>
          </w:p>
        </w:tc>
      </w:tr>
      <w:tr w14:paraId="3D090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729" w:type="dxa"/>
            <w:gridSpan w:val="2"/>
            <w:tcBorders>
              <w:left w:val="single" w:color="auto" w:sz="4" w:space="0"/>
              <w:right w:val="single" w:color="auto" w:sz="4" w:space="0"/>
            </w:tcBorders>
            <w:noWrap w:val="0"/>
            <w:vAlign w:val="center"/>
          </w:tcPr>
          <w:p w14:paraId="7454E688">
            <w:pPr>
              <w:widowControl/>
              <w:adjustRightInd/>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纪律和形象</w:t>
            </w:r>
          </w:p>
        </w:tc>
        <w:tc>
          <w:tcPr>
            <w:tcW w:w="622" w:type="dxa"/>
            <w:tcBorders>
              <w:top w:val="single" w:color="auto" w:sz="4" w:space="0"/>
              <w:left w:val="single" w:color="auto" w:sz="4" w:space="0"/>
              <w:right w:val="single" w:color="auto" w:sz="4" w:space="0"/>
            </w:tcBorders>
            <w:noWrap w:val="0"/>
            <w:vAlign w:val="center"/>
          </w:tcPr>
          <w:p w14:paraId="7DE21188">
            <w:pPr>
              <w:widowControl/>
              <w:adjustRightInd/>
              <w:spacing w:line="260" w:lineRule="exact"/>
              <w:ind w:left="-57" w:right="-57"/>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16</w:t>
            </w:r>
          </w:p>
        </w:tc>
        <w:tc>
          <w:tcPr>
            <w:tcW w:w="2946" w:type="dxa"/>
            <w:tcBorders>
              <w:top w:val="single" w:color="auto" w:sz="4" w:space="0"/>
              <w:left w:val="single" w:color="auto" w:sz="4" w:space="0"/>
              <w:bottom w:val="single" w:color="auto" w:sz="4" w:space="0"/>
              <w:right w:val="single" w:color="auto" w:sz="4" w:space="0"/>
            </w:tcBorders>
            <w:noWrap w:val="0"/>
            <w:vAlign w:val="center"/>
          </w:tcPr>
          <w:p w14:paraId="0D9501A8">
            <w:pPr>
              <w:widowControl/>
              <w:adjustRightInd/>
              <w:spacing w:line="260" w:lineRule="exact"/>
              <w:ind w:left="-57" w:right="-5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养护人员在岗，每天按规定时间上下班。按时完成养护任务。</w:t>
            </w:r>
          </w:p>
        </w:tc>
        <w:tc>
          <w:tcPr>
            <w:tcW w:w="3402" w:type="dxa"/>
            <w:tcBorders>
              <w:top w:val="single" w:color="auto" w:sz="4" w:space="0"/>
              <w:left w:val="single" w:color="auto" w:sz="4" w:space="0"/>
              <w:bottom w:val="single" w:color="auto" w:sz="4" w:space="0"/>
              <w:right w:val="single" w:color="auto" w:sz="4" w:space="0"/>
            </w:tcBorders>
            <w:noWrap w:val="0"/>
            <w:vAlign w:val="center"/>
          </w:tcPr>
          <w:p w14:paraId="79C12A6E">
            <w:pPr>
              <w:widowControl/>
              <w:adjustRightInd/>
              <w:spacing w:line="260" w:lineRule="exact"/>
              <w:ind w:right="-5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3.1发现人员无故缺岗、串岗的，扣1分/次；发现有养护人员工作中出现</w:t>
            </w:r>
            <w:r>
              <w:rPr>
                <w:rFonts w:hint="eastAsia" w:ascii="宋体" w:hAnsi="宋体" w:eastAsia="宋体" w:cs="宋体"/>
                <w:color w:val="auto"/>
                <w:sz w:val="24"/>
                <w:szCs w:val="24"/>
                <w:highlight w:val="none"/>
                <w:lang w:eastAsia="zh-CN"/>
              </w:rPr>
              <w:t>推诿</w:t>
            </w:r>
            <w:r>
              <w:rPr>
                <w:rFonts w:hint="eastAsia" w:ascii="宋体" w:hAnsi="宋体" w:eastAsia="宋体" w:cs="宋体"/>
                <w:color w:val="auto"/>
                <w:sz w:val="24"/>
                <w:szCs w:val="24"/>
                <w:highlight w:val="none"/>
              </w:rPr>
              <w:t>、拖拉、懒散，在工作期间打瞌睡、吃零食等有损形象的行为，未能按时完成养护任务，</w:t>
            </w:r>
            <w:r>
              <w:rPr>
                <w:rFonts w:hint="eastAsia" w:ascii="宋体" w:hAnsi="宋体" w:eastAsia="宋体" w:cs="宋体"/>
                <w:color w:val="auto"/>
                <w:kern w:val="0"/>
                <w:sz w:val="24"/>
                <w:szCs w:val="24"/>
                <w:highlight w:val="none"/>
              </w:rPr>
              <w:t>扣1分</w:t>
            </w:r>
            <w:r>
              <w:rPr>
                <w:rFonts w:hint="eastAsia" w:ascii="宋体" w:hAnsi="宋体" w:eastAsia="宋体" w:cs="宋体"/>
                <w:color w:val="auto"/>
                <w:sz w:val="24"/>
                <w:szCs w:val="24"/>
                <w:highlight w:val="none"/>
              </w:rPr>
              <w:t>/次</w:t>
            </w:r>
            <w:r>
              <w:rPr>
                <w:rFonts w:hint="eastAsia" w:ascii="宋体" w:hAnsi="宋体" w:eastAsia="宋体" w:cs="宋体"/>
                <w:color w:val="auto"/>
                <w:kern w:val="0"/>
                <w:sz w:val="24"/>
                <w:szCs w:val="24"/>
                <w:highlight w:val="none"/>
              </w:rPr>
              <w:t>，扣完为止。</w:t>
            </w:r>
          </w:p>
        </w:tc>
        <w:tc>
          <w:tcPr>
            <w:tcW w:w="927" w:type="dxa"/>
            <w:tcBorders>
              <w:top w:val="single" w:color="auto" w:sz="4" w:space="0"/>
              <w:left w:val="single" w:color="auto" w:sz="4" w:space="0"/>
              <w:bottom w:val="single" w:color="auto" w:sz="4" w:space="0"/>
              <w:right w:val="single" w:color="auto" w:sz="4" w:space="0"/>
            </w:tcBorders>
            <w:noWrap w:val="0"/>
            <w:vAlign w:val="center"/>
          </w:tcPr>
          <w:p w14:paraId="25DC5349">
            <w:pPr>
              <w:widowControl/>
              <w:adjustRightInd/>
              <w:spacing w:line="340" w:lineRule="exact"/>
              <w:ind w:left="-57" w:right="-57"/>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r>
      <w:tr w14:paraId="37600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729" w:type="dxa"/>
            <w:gridSpan w:val="2"/>
            <w:vMerge w:val="restart"/>
            <w:tcBorders>
              <w:left w:val="single" w:color="auto" w:sz="4" w:space="0"/>
              <w:right w:val="single" w:color="auto" w:sz="4" w:space="0"/>
            </w:tcBorders>
            <w:noWrap w:val="0"/>
            <w:vAlign w:val="center"/>
          </w:tcPr>
          <w:p w14:paraId="2BF0D126">
            <w:pPr>
              <w:widowControl/>
              <w:adjustRightInd/>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组织管理</w:t>
            </w:r>
          </w:p>
        </w:tc>
        <w:tc>
          <w:tcPr>
            <w:tcW w:w="622" w:type="dxa"/>
            <w:tcBorders>
              <w:left w:val="single" w:color="auto" w:sz="4" w:space="0"/>
              <w:right w:val="single" w:color="auto" w:sz="4" w:space="0"/>
            </w:tcBorders>
            <w:noWrap w:val="0"/>
            <w:vAlign w:val="center"/>
          </w:tcPr>
          <w:p w14:paraId="336DF936">
            <w:pPr>
              <w:widowControl/>
              <w:adjustRightInd/>
              <w:spacing w:line="260" w:lineRule="exact"/>
              <w:ind w:left="-57" w:right="-57"/>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17</w:t>
            </w:r>
          </w:p>
        </w:tc>
        <w:tc>
          <w:tcPr>
            <w:tcW w:w="2946" w:type="dxa"/>
            <w:tcBorders>
              <w:left w:val="single" w:color="auto" w:sz="4" w:space="0"/>
              <w:bottom w:val="single" w:color="auto" w:sz="4" w:space="0"/>
              <w:right w:val="single" w:color="auto" w:sz="4" w:space="0"/>
            </w:tcBorders>
            <w:noWrap w:val="0"/>
            <w:vAlign w:val="top"/>
          </w:tcPr>
          <w:p w14:paraId="590E0E7D">
            <w:pPr>
              <w:widowControl/>
              <w:adjustRightInd/>
              <w:spacing w:line="260" w:lineRule="exact"/>
              <w:ind w:right="-5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服从业主日常管理，及时完成业主指派的各类日程任务。</w:t>
            </w:r>
          </w:p>
        </w:tc>
        <w:tc>
          <w:tcPr>
            <w:tcW w:w="3402" w:type="dxa"/>
            <w:tcBorders>
              <w:left w:val="single" w:color="auto" w:sz="4" w:space="0"/>
              <w:bottom w:val="single" w:color="auto" w:sz="4" w:space="0"/>
              <w:right w:val="single" w:color="auto" w:sz="4" w:space="0"/>
            </w:tcBorders>
            <w:noWrap w:val="0"/>
            <w:vAlign w:val="top"/>
          </w:tcPr>
          <w:p w14:paraId="39D3B3FA">
            <w:pPr>
              <w:widowControl/>
              <w:adjustRightInd/>
              <w:spacing w:line="260" w:lineRule="exact"/>
              <w:ind w:left="-57" w:right="-5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3.2未能服从公园管理方调度或未能完成临时指派的任务，根据情节轻重的扣1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2分/次。</w:t>
            </w:r>
          </w:p>
        </w:tc>
        <w:tc>
          <w:tcPr>
            <w:tcW w:w="927" w:type="dxa"/>
            <w:tcBorders>
              <w:left w:val="single" w:color="auto" w:sz="4" w:space="0"/>
              <w:bottom w:val="single" w:color="auto" w:sz="4" w:space="0"/>
              <w:right w:val="single" w:color="auto" w:sz="4" w:space="0"/>
            </w:tcBorders>
            <w:noWrap w:val="0"/>
            <w:vAlign w:val="center"/>
          </w:tcPr>
          <w:p w14:paraId="448889D6">
            <w:pPr>
              <w:widowControl/>
              <w:adjustRightInd/>
              <w:spacing w:line="340" w:lineRule="exact"/>
              <w:ind w:left="-57" w:right="-57"/>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r>
      <w:tr w14:paraId="5D849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1" w:hRule="atLeast"/>
          <w:jc w:val="center"/>
        </w:trPr>
        <w:tc>
          <w:tcPr>
            <w:tcW w:w="729" w:type="dxa"/>
            <w:gridSpan w:val="2"/>
            <w:vMerge w:val="continue"/>
            <w:tcBorders>
              <w:left w:val="single" w:color="auto" w:sz="4" w:space="0"/>
              <w:right w:val="single" w:color="auto" w:sz="4" w:space="0"/>
            </w:tcBorders>
            <w:noWrap w:val="0"/>
            <w:vAlign w:val="center"/>
          </w:tcPr>
          <w:p w14:paraId="513D4326">
            <w:pPr>
              <w:widowControl/>
              <w:adjustRightInd/>
              <w:jc w:val="center"/>
              <w:rPr>
                <w:rFonts w:hint="eastAsia" w:ascii="宋体" w:hAnsi="宋体" w:eastAsia="宋体" w:cs="宋体"/>
                <w:b/>
                <w:bCs/>
                <w:color w:val="auto"/>
                <w:sz w:val="24"/>
                <w:szCs w:val="24"/>
                <w:highlight w:val="none"/>
              </w:rPr>
            </w:pPr>
          </w:p>
        </w:tc>
        <w:tc>
          <w:tcPr>
            <w:tcW w:w="622" w:type="dxa"/>
            <w:tcBorders>
              <w:left w:val="single" w:color="auto" w:sz="4" w:space="0"/>
              <w:right w:val="single" w:color="auto" w:sz="4" w:space="0"/>
            </w:tcBorders>
            <w:noWrap w:val="0"/>
            <w:vAlign w:val="center"/>
          </w:tcPr>
          <w:p w14:paraId="46E5E200">
            <w:pPr>
              <w:widowControl/>
              <w:adjustRightInd/>
              <w:spacing w:line="260" w:lineRule="exact"/>
              <w:ind w:left="-57" w:right="-57"/>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18</w:t>
            </w:r>
          </w:p>
        </w:tc>
        <w:tc>
          <w:tcPr>
            <w:tcW w:w="2946" w:type="dxa"/>
            <w:tcBorders>
              <w:left w:val="single" w:color="auto" w:sz="4" w:space="0"/>
              <w:bottom w:val="single" w:color="auto" w:sz="4" w:space="0"/>
              <w:right w:val="single" w:color="auto" w:sz="4" w:space="0"/>
            </w:tcBorders>
            <w:noWrap w:val="0"/>
            <w:vAlign w:val="top"/>
          </w:tcPr>
          <w:p w14:paraId="4214802D">
            <w:pPr>
              <w:widowControl/>
              <w:adjustRightInd/>
              <w:spacing w:line="260" w:lineRule="exact"/>
              <w:ind w:right="-57"/>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根据突发性灾害气候，包括台风暴雨、冰冻雨雪天气等，结合实际情况，合理安排人员。</w:t>
            </w:r>
          </w:p>
        </w:tc>
        <w:tc>
          <w:tcPr>
            <w:tcW w:w="3402" w:type="dxa"/>
            <w:tcBorders>
              <w:left w:val="single" w:color="auto" w:sz="4" w:space="0"/>
              <w:bottom w:val="single" w:color="auto" w:sz="4" w:space="0"/>
              <w:right w:val="single" w:color="auto" w:sz="4" w:space="0"/>
            </w:tcBorders>
            <w:noWrap w:val="0"/>
            <w:vAlign w:val="top"/>
          </w:tcPr>
          <w:p w14:paraId="520B9B95">
            <w:pPr>
              <w:widowControl/>
              <w:adjustRightInd/>
              <w:spacing w:line="260" w:lineRule="exact"/>
              <w:ind w:left="-57" w:right="-5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3.3未能在突发性灾害气候期间合理安排人员，导致灾害性气候防范不力的，根据情节轻重扣除1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2分/次。</w:t>
            </w:r>
          </w:p>
        </w:tc>
        <w:tc>
          <w:tcPr>
            <w:tcW w:w="927" w:type="dxa"/>
            <w:tcBorders>
              <w:left w:val="single" w:color="auto" w:sz="4" w:space="0"/>
              <w:bottom w:val="single" w:color="auto" w:sz="4" w:space="0"/>
              <w:right w:val="single" w:color="auto" w:sz="4" w:space="0"/>
            </w:tcBorders>
            <w:noWrap w:val="0"/>
            <w:vAlign w:val="center"/>
          </w:tcPr>
          <w:p w14:paraId="148069B1">
            <w:pPr>
              <w:widowControl/>
              <w:adjustRightInd/>
              <w:spacing w:line="340" w:lineRule="exact"/>
              <w:ind w:left="-57" w:right="-57"/>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r>
      <w:tr w14:paraId="0D4AD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729" w:type="dxa"/>
            <w:gridSpan w:val="2"/>
            <w:tcBorders>
              <w:left w:val="single" w:color="auto" w:sz="4" w:space="0"/>
              <w:right w:val="single" w:color="auto" w:sz="4" w:space="0"/>
            </w:tcBorders>
            <w:noWrap w:val="0"/>
            <w:vAlign w:val="center"/>
          </w:tcPr>
          <w:p w14:paraId="615D4472">
            <w:pPr>
              <w:widowControl/>
              <w:adjustRightInd/>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安全文明作业</w:t>
            </w:r>
          </w:p>
        </w:tc>
        <w:tc>
          <w:tcPr>
            <w:tcW w:w="622" w:type="dxa"/>
            <w:tcBorders>
              <w:left w:val="single" w:color="auto" w:sz="4" w:space="0"/>
              <w:bottom w:val="single" w:color="auto" w:sz="4" w:space="0"/>
              <w:right w:val="single" w:color="auto" w:sz="4" w:space="0"/>
            </w:tcBorders>
            <w:noWrap w:val="0"/>
            <w:vAlign w:val="center"/>
          </w:tcPr>
          <w:p w14:paraId="573F3A47">
            <w:pPr>
              <w:widowControl/>
              <w:adjustRightInd/>
              <w:spacing w:line="260" w:lineRule="exact"/>
              <w:ind w:left="-57" w:right="-57"/>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19</w:t>
            </w:r>
          </w:p>
        </w:tc>
        <w:tc>
          <w:tcPr>
            <w:tcW w:w="2946" w:type="dxa"/>
            <w:tcBorders>
              <w:top w:val="single" w:color="auto" w:sz="4" w:space="0"/>
              <w:left w:val="single" w:color="auto" w:sz="4" w:space="0"/>
              <w:bottom w:val="single" w:color="auto" w:sz="4" w:space="0"/>
              <w:right w:val="single" w:color="auto" w:sz="4" w:space="0"/>
            </w:tcBorders>
            <w:noWrap w:val="0"/>
            <w:vAlign w:val="center"/>
          </w:tcPr>
          <w:p w14:paraId="0B89B48F">
            <w:pPr>
              <w:widowControl/>
              <w:adjustRightInd/>
              <w:spacing w:line="260" w:lineRule="exact"/>
              <w:ind w:left="-57" w:right="-5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养护作业人员的着装、作业车辆必须按照宁波市城市管理局统一规范。</w:t>
            </w:r>
          </w:p>
        </w:tc>
        <w:tc>
          <w:tcPr>
            <w:tcW w:w="3402" w:type="dxa"/>
            <w:tcBorders>
              <w:top w:val="single" w:color="auto" w:sz="4" w:space="0"/>
              <w:left w:val="single" w:color="auto" w:sz="4" w:space="0"/>
              <w:right w:val="single" w:color="auto" w:sz="4" w:space="0"/>
            </w:tcBorders>
            <w:noWrap w:val="0"/>
            <w:vAlign w:val="top"/>
          </w:tcPr>
          <w:p w14:paraId="095C6F2F">
            <w:pPr>
              <w:widowControl/>
              <w:adjustRightInd/>
              <w:spacing w:line="260" w:lineRule="exact"/>
              <w:ind w:right="-5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着装、作业车辆不规范，每发现扣0.5分/人或车。</w:t>
            </w:r>
          </w:p>
        </w:tc>
        <w:tc>
          <w:tcPr>
            <w:tcW w:w="927" w:type="dxa"/>
            <w:tcBorders>
              <w:top w:val="single" w:color="auto" w:sz="4" w:space="0"/>
              <w:left w:val="single" w:color="auto" w:sz="4" w:space="0"/>
              <w:right w:val="single" w:color="auto" w:sz="4" w:space="0"/>
            </w:tcBorders>
            <w:noWrap w:val="0"/>
            <w:vAlign w:val="center"/>
          </w:tcPr>
          <w:p w14:paraId="774536AB">
            <w:pPr>
              <w:widowControl/>
              <w:adjustRightInd/>
              <w:spacing w:line="340" w:lineRule="exact"/>
              <w:ind w:left="-57" w:right="-57"/>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r>
      <w:tr w14:paraId="62393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4" w:hRule="atLeast"/>
          <w:jc w:val="center"/>
        </w:trPr>
        <w:tc>
          <w:tcPr>
            <w:tcW w:w="7699" w:type="dxa"/>
            <w:gridSpan w:val="5"/>
            <w:tcBorders>
              <w:top w:val="single" w:color="auto" w:sz="4" w:space="0"/>
              <w:left w:val="single" w:color="auto" w:sz="4" w:space="0"/>
              <w:bottom w:val="single" w:color="auto" w:sz="4" w:space="0"/>
              <w:right w:val="single" w:color="auto" w:sz="4" w:space="0"/>
            </w:tcBorders>
            <w:noWrap w:val="0"/>
            <w:vAlign w:val="top"/>
          </w:tcPr>
          <w:p w14:paraId="3C1A4688">
            <w:pPr>
              <w:widowControl/>
              <w:adjustRightInd/>
              <w:spacing w:line="340" w:lineRule="exact"/>
              <w:ind w:left="-57" w:right="-57"/>
              <w:jc w:val="left"/>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（四）台账资料及其他</w:t>
            </w:r>
          </w:p>
        </w:tc>
        <w:tc>
          <w:tcPr>
            <w:tcW w:w="927" w:type="dxa"/>
            <w:tcBorders>
              <w:top w:val="single" w:color="auto" w:sz="4" w:space="0"/>
              <w:left w:val="single" w:color="auto" w:sz="4" w:space="0"/>
              <w:bottom w:val="single" w:color="auto" w:sz="4" w:space="0"/>
              <w:right w:val="single" w:color="auto" w:sz="4" w:space="0"/>
            </w:tcBorders>
            <w:noWrap w:val="0"/>
            <w:vAlign w:val="center"/>
          </w:tcPr>
          <w:p w14:paraId="72E561B5">
            <w:pPr>
              <w:widowControl/>
              <w:adjustRightInd/>
              <w:spacing w:line="340" w:lineRule="exact"/>
              <w:ind w:left="-57" w:right="-57"/>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10</w:t>
            </w:r>
          </w:p>
        </w:tc>
      </w:tr>
      <w:tr w14:paraId="670AA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9" w:hRule="atLeast"/>
          <w:jc w:val="center"/>
        </w:trPr>
        <w:tc>
          <w:tcPr>
            <w:tcW w:w="729" w:type="dxa"/>
            <w:gridSpan w:val="2"/>
            <w:tcBorders>
              <w:top w:val="single" w:color="auto" w:sz="4" w:space="0"/>
              <w:left w:val="single" w:color="auto" w:sz="4" w:space="0"/>
              <w:bottom w:val="single" w:color="auto" w:sz="4" w:space="0"/>
              <w:right w:val="single" w:color="auto" w:sz="4" w:space="0"/>
            </w:tcBorders>
            <w:noWrap w:val="0"/>
            <w:vAlign w:val="center"/>
          </w:tcPr>
          <w:p w14:paraId="4FBEB176">
            <w:pPr>
              <w:widowControl/>
              <w:adjustRightInd/>
              <w:spacing w:line="260" w:lineRule="exact"/>
              <w:ind w:right="-57"/>
              <w:rPr>
                <w:rFonts w:hint="eastAsia" w:ascii="宋体" w:hAnsi="宋体" w:eastAsia="宋体" w:cs="宋体"/>
                <w:color w:val="auto"/>
                <w:kern w:val="0"/>
                <w:sz w:val="24"/>
                <w:szCs w:val="24"/>
                <w:highlight w:val="none"/>
                <w:lang w:eastAsia="zh-CN"/>
              </w:rPr>
            </w:pPr>
          </w:p>
          <w:p w14:paraId="7C3D97FC">
            <w:pPr>
              <w:pStyle w:val="2"/>
              <w:rPr>
                <w:rFonts w:hint="eastAsia"/>
                <w:highlight w:val="none"/>
                <w:lang w:eastAsia="zh-CN"/>
              </w:rPr>
            </w:pPr>
          </w:p>
          <w:p w14:paraId="6C3EAACC">
            <w:pPr>
              <w:pStyle w:val="2"/>
              <w:rPr>
                <w:rFonts w:hint="eastAsia"/>
                <w:highlight w:val="none"/>
                <w:lang w:eastAsia="zh-CN"/>
              </w:rPr>
            </w:pPr>
          </w:p>
        </w:tc>
        <w:tc>
          <w:tcPr>
            <w:tcW w:w="622" w:type="dxa"/>
            <w:tcBorders>
              <w:top w:val="single" w:color="auto" w:sz="4" w:space="0"/>
              <w:left w:val="single" w:color="auto" w:sz="4" w:space="0"/>
              <w:bottom w:val="single" w:color="auto" w:sz="4" w:space="0"/>
              <w:right w:val="single" w:color="auto" w:sz="4" w:space="0"/>
            </w:tcBorders>
            <w:noWrap w:val="0"/>
            <w:vAlign w:val="center"/>
          </w:tcPr>
          <w:p w14:paraId="166ED328">
            <w:pPr>
              <w:widowControl/>
              <w:adjustRightInd/>
              <w:spacing w:line="260" w:lineRule="exact"/>
              <w:ind w:left="-57" w:right="-57"/>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20</w:t>
            </w:r>
          </w:p>
        </w:tc>
        <w:tc>
          <w:tcPr>
            <w:tcW w:w="2946" w:type="dxa"/>
            <w:tcBorders>
              <w:top w:val="single" w:color="auto" w:sz="4" w:space="0"/>
              <w:left w:val="single" w:color="auto" w:sz="4" w:space="0"/>
              <w:bottom w:val="single" w:color="auto" w:sz="4" w:space="0"/>
              <w:right w:val="single" w:color="auto" w:sz="4" w:space="0"/>
            </w:tcBorders>
            <w:noWrap w:val="0"/>
            <w:vAlign w:val="top"/>
          </w:tcPr>
          <w:p w14:paraId="6120A9D3">
            <w:pPr>
              <w:widowControl/>
              <w:adjustRightInd/>
              <w:spacing w:line="260" w:lineRule="exact"/>
              <w:ind w:left="-57" w:right="-5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养护单位每月根据公园管理所要求提供月度工作落实及人员安排计划，并相应做好养护台账记录。</w:t>
            </w:r>
          </w:p>
        </w:tc>
        <w:tc>
          <w:tcPr>
            <w:tcW w:w="3402" w:type="dxa"/>
            <w:tcBorders>
              <w:top w:val="single" w:color="auto" w:sz="4" w:space="0"/>
              <w:left w:val="single" w:color="auto" w:sz="4" w:space="0"/>
              <w:bottom w:val="single" w:color="auto" w:sz="4" w:space="0"/>
              <w:right w:val="single" w:color="auto" w:sz="4" w:space="0"/>
            </w:tcBorders>
            <w:noWrap w:val="0"/>
            <w:vAlign w:val="top"/>
          </w:tcPr>
          <w:p w14:paraId="15A65FF0">
            <w:pPr>
              <w:widowControl/>
              <w:adjustRightInd/>
              <w:spacing w:line="260" w:lineRule="exact"/>
              <w:ind w:left="-57" w:right="-5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 月度计划未按时制定，每次扣3分，养护台账记录不全不规范，每次根据情节轻重扣1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2分。</w:t>
            </w:r>
          </w:p>
        </w:tc>
        <w:tc>
          <w:tcPr>
            <w:tcW w:w="927" w:type="dxa"/>
            <w:tcBorders>
              <w:top w:val="single" w:color="auto" w:sz="4" w:space="0"/>
              <w:left w:val="single" w:color="auto" w:sz="4" w:space="0"/>
              <w:bottom w:val="single" w:color="auto" w:sz="4" w:space="0"/>
              <w:right w:val="single" w:color="auto" w:sz="4" w:space="0"/>
            </w:tcBorders>
            <w:noWrap w:val="0"/>
            <w:vAlign w:val="center"/>
          </w:tcPr>
          <w:p w14:paraId="07645378">
            <w:pPr>
              <w:widowControl/>
              <w:adjustRightInd/>
              <w:spacing w:line="340" w:lineRule="exact"/>
              <w:ind w:left="-57" w:right="-57"/>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r>
      <w:tr w14:paraId="78E01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9" w:hRule="atLeast"/>
          <w:jc w:val="center"/>
        </w:trPr>
        <w:tc>
          <w:tcPr>
            <w:tcW w:w="8626" w:type="dxa"/>
            <w:gridSpan w:val="6"/>
            <w:tcBorders>
              <w:top w:val="single" w:color="auto" w:sz="4" w:space="0"/>
              <w:left w:val="single" w:color="auto" w:sz="4" w:space="0"/>
              <w:right w:val="single" w:color="auto" w:sz="4" w:space="0"/>
            </w:tcBorders>
            <w:noWrap w:val="0"/>
            <w:vAlign w:val="center"/>
          </w:tcPr>
          <w:p w14:paraId="5262EEC7">
            <w:pPr>
              <w:widowControl/>
              <w:adjustRightInd/>
              <w:spacing w:line="340" w:lineRule="exact"/>
              <w:ind w:left="-57" w:right="-5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备注：1.由采购单位每月对临时盆景园（固定支付部分）进行综合考核，90分及以上为优秀，60分及以上为合格。低于90分，每下降0.1分扣除当月固定支付部分的0.1%；低于80分，每下降0.1分扣除当月固定支付部分的0.2%，如当月考核成绩为79分，本月考核扣除固定部分22%养护经费，计算公式：[（90-79）/0.1]</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0.2%=22%；低于60分，不支付当月固定支付部分。</w:t>
            </w:r>
          </w:p>
        </w:tc>
      </w:tr>
    </w:tbl>
    <w:p w14:paraId="39EC33EB">
      <w:pPr>
        <w:widowControl/>
        <w:tabs>
          <w:tab w:val="left" w:pos="851"/>
        </w:tabs>
        <w:adjustRightInd/>
        <w:spacing w:line="360" w:lineRule="auto"/>
        <w:outlineLvl w:val="1"/>
        <w:rPr>
          <w:rFonts w:hint="eastAsia"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④福民公园月度考核标准（固定支付部分）</w:t>
      </w:r>
    </w:p>
    <w:tbl>
      <w:tblPr>
        <w:tblStyle w:val="62"/>
        <w:tblW w:w="90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1521"/>
        <w:gridCol w:w="5018"/>
        <w:gridCol w:w="1683"/>
        <w:gridCol w:w="863"/>
      </w:tblGrid>
      <w:tr w14:paraId="5E016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25" w:hRule="atLeast"/>
          <w:jc w:val="center"/>
        </w:trPr>
        <w:tc>
          <w:tcPr>
            <w:tcW w:w="1521"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7CF118D2">
            <w:pPr>
              <w:widowControl/>
              <w:adjustRightInd/>
              <w:ind w:left="-420" w:leftChars="-200" w:firstLine="0" w:firstLineChars="0"/>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项目</w:t>
            </w: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42AEEF17">
            <w:pPr>
              <w:widowControl/>
              <w:adjustRightInd/>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问题项</w:t>
            </w:r>
          </w:p>
        </w:tc>
        <w:tc>
          <w:tcPr>
            <w:tcW w:w="1683"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6DAC1E94">
            <w:pPr>
              <w:widowControl/>
              <w:adjustRightInd/>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扣罚标准</w:t>
            </w:r>
          </w:p>
        </w:tc>
        <w:tc>
          <w:tcPr>
            <w:tcW w:w="863"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7EB24571">
            <w:pPr>
              <w:widowControl/>
              <w:adjustRightInd/>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分值</w:t>
            </w:r>
          </w:p>
        </w:tc>
      </w:tr>
      <w:tr w14:paraId="37AF3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085" w:type="dxa"/>
            <w:gridSpan w:val="4"/>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3274AC51">
            <w:pPr>
              <w:widowControl/>
              <w:adjustRightInd/>
              <w:jc w:val="left"/>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（一）园容园貌（</w:t>
            </w:r>
            <w:r>
              <w:rPr>
                <w:rFonts w:hint="eastAsia" w:ascii="宋体" w:hAnsi="宋体" w:eastAsia="宋体" w:cs="宋体"/>
                <w:b/>
                <w:color w:val="auto"/>
                <w:sz w:val="24"/>
                <w:szCs w:val="24"/>
                <w:highlight w:val="none"/>
                <w:lang w:val="en-US" w:eastAsia="zh-CN"/>
              </w:rPr>
              <w:t>80分</w:t>
            </w:r>
            <w:r>
              <w:rPr>
                <w:rFonts w:hint="eastAsia" w:ascii="宋体" w:hAnsi="宋体" w:eastAsia="宋体" w:cs="宋体"/>
                <w:b/>
                <w:color w:val="auto"/>
                <w:sz w:val="24"/>
                <w:szCs w:val="24"/>
                <w:highlight w:val="none"/>
                <w:lang w:eastAsia="zh-CN"/>
              </w:rPr>
              <w:t>）</w:t>
            </w:r>
          </w:p>
        </w:tc>
      </w:tr>
      <w:tr w14:paraId="5AFF7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521" w:type="dxa"/>
            <w:vMerge w:val="restart"/>
            <w:tcBorders>
              <w:top w:val="single" w:color="auto" w:sz="4" w:space="0"/>
              <w:left w:val="single" w:color="auto" w:sz="4" w:space="0"/>
              <w:right w:val="single" w:color="auto" w:sz="4" w:space="0"/>
            </w:tcBorders>
            <w:shd w:val="clear" w:color="auto" w:fill="FFFFFF" w:themeFill="background1"/>
            <w:noWrap w:val="0"/>
            <w:vAlign w:val="center"/>
          </w:tcPr>
          <w:p w14:paraId="1C2B77BB">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绿化养护</w:t>
            </w: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338E47B5">
            <w:pPr>
              <w:widowControl/>
              <w:adjustRightInd/>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.1植株长势不良，水肥不及时，树冠不完整或偏冠</w:t>
            </w:r>
            <w:r>
              <w:rPr>
                <w:rFonts w:hint="eastAsia" w:ascii="宋体" w:hAnsi="宋体" w:eastAsia="宋体" w:cs="宋体"/>
                <w:color w:val="auto"/>
                <w:sz w:val="24"/>
                <w:szCs w:val="24"/>
                <w:highlight w:val="none"/>
                <w:lang w:eastAsia="zh-CN"/>
              </w:rPr>
              <w:t>。</w:t>
            </w:r>
          </w:p>
          <w:p w14:paraId="5D3615C5">
            <w:pPr>
              <w:widowControl/>
              <w:adjustRightInd/>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修剪不及时、不规范，影响植株生长及景观效果</w:t>
            </w:r>
            <w:r>
              <w:rPr>
                <w:rFonts w:hint="eastAsia" w:ascii="宋体" w:hAnsi="宋体" w:eastAsia="宋体" w:cs="宋体"/>
                <w:color w:val="auto"/>
                <w:sz w:val="24"/>
                <w:szCs w:val="24"/>
                <w:highlight w:val="none"/>
                <w:lang w:eastAsia="zh-CN"/>
              </w:rPr>
              <w:t>。</w:t>
            </w:r>
          </w:p>
          <w:p w14:paraId="33B441F4">
            <w:pPr>
              <w:widowControl/>
              <w:adjustRightInd/>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1.3</w:t>
            </w:r>
            <w:r>
              <w:rPr>
                <w:rFonts w:hint="eastAsia" w:ascii="宋体" w:hAnsi="宋体" w:eastAsia="宋体" w:cs="宋体"/>
                <w:color w:val="auto"/>
                <w:sz w:val="24"/>
                <w:szCs w:val="24"/>
                <w:highlight w:val="none"/>
              </w:rPr>
              <w:t>植株支撑不合理、不规范，铁丝裸露、内嵌、草绳腐烂等影响植株正常生长</w:t>
            </w:r>
            <w:r>
              <w:rPr>
                <w:rFonts w:hint="eastAsia" w:ascii="宋体" w:hAnsi="宋体" w:eastAsia="宋体" w:cs="宋体"/>
                <w:color w:val="auto"/>
                <w:sz w:val="24"/>
                <w:szCs w:val="24"/>
                <w:highlight w:val="none"/>
                <w:lang w:eastAsia="zh-CN"/>
              </w:rPr>
              <w:t>。</w:t>
            </w:r>
          </w:p>
          <w:p w14:paraId="2BD8C0BA">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1.4</w:t>
            </w:r>
            <w:r>
              <w:rPr>
                <w:rFonts w:hint="eastAsia" w:ascii="宋体" w:hAnsi="宋体" w:eastAsia="宋体" w:cs="宋体"/>
                <w:color w:val="auto"/>
                <w:sz w:val="24"/>
                <w:szCs w:val="24"/>
                <w:highlight w:val="none"/>
              </w:rPr>
              <w:t>植株倾斜倒伏，影响景观效果。</w:t>
            </w:r>
          </w:p>
          <w:p w14:paraId="7094AF5C">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缺株、死树、残桩未及时处理。</w:t>
            </w:r>
          </w:p>
        </w:tc>
        <w:tc>
          <w:tcPr>
            <w:tcW w:w="1683" w:type="dxa"/>
            <w:vMerge w:val="restart"/>
            <w:tcBorders>
              <w:top w:val="single" w:color="auto" w:sz="4" w:space="0"/>
              <w:left w:val="single" w:color="auto" w:sz="4" w:space="0"/>
              <w:right w:val="single" w:color="auto" w:sz="4" w:space="0"/>
            </w:tcBorders>
            <w:shd w:val="clear" w:color="auto" w:fill="FFFFFF" w:themeFill="background1"/>
            <w:noWrap w:val="0"/>
            <w:vAlign w:val="center"/>
          </w:tcPr>
          <w:p w14:paraId="69D452FF">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每发现1株或1㎡扣0.2分（当月累计扣分）。</w:t>
            </w:r>
          </w:p>
        </w:tc>
        <w:tc>
          <w:tcPr>
            <w:tcW w:w="863" w:type="dxa"/>
            <w:vMerge w:val="restart"/>
            <w:tcBorders>
              <w:top w:val="single" w:color="auto" w:sz="4" w:space="0"/>
              <w:left w:val="single" w:color="auto" w:sz="4" w:space="0"/>
              <w:right w:val="single" w:color="auto" w:sz="4" w:space="0"/>
            </w:tcBorders>
            <w:shd w:val="clear" w:color="auto" w:fill="FFFFFF" w:themeFill="background1"/>
            <w:noWrap w:val="0"/>
            <w:vAlign w:val="center"/>
          </w:tcPr>
          <w:p w14:paraId="1C0C1C69">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40</w:t>
            </w:r>
          </w:p>
        </w:tc>
      </w:tr>
      <w:tr w14:paraId="36C90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1395F36F">
            <w:pPr>
              <w:widowControl/>
              <w:adjustRightInd/>
              <w:jc w:val="center"/>
              <w:rPr>
                <w:rFonts w:hint="eastAsia" w:ascii="宋体" w:hAnsi="宋体" w:eastAsia="宋体" w:cs="宋体"/>
                <w:color w:val="auto"/>
                <w:sz w:val="24"/>
                <w:szCs w:val="24"/>
                <w:highlight w:val="none"/>
                <w:lang w:val="en-US"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59DAE805">
            <w:pPr>
              <w:widowControl/>
              <w:adjustRightInd/>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修剪不合理、不及时、不规范，有明显窜枝、高度过高等现象</w:t>
            </w:r>
            <w:r>
              <w:rPr>
                <w:rFonts w:hint="eastAsia" w:ascii="宋体" w:hAnsi="宋体" w:eastAsia="宋体" w:cs="宋体"/>
                <w:color w:val="auto"/>
                <w:sz w:val="24"/>
                <w:szCs w:val="24"/>
                <w:highlight w:val="none"/>
                <w:lang w:eastAsia="zh-CN"/>
              </w:rPr>
              <w:t>。</w:t>
            </w:r>
          </w:p>
          <w:p w14:paraId="40DFA1DF">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有杂草、藤蔓覆盖、野株等。</w:t>
            </w:r>
          </w:p>
          <w:p w14:paraId="4ADF3036">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死缺株、种植品种不统一、杂乱、密度不够。</w:t>
            </w:r>
          </w:p>
          <w:p w14:paraId="53BEBAAA">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生长不良、水肥不及时、老化严重。</w:t>
            </w:r>
          </w:p>
        </w:tc>
        <w:tc>
          <w:tcPr>
            <w:tcW w:w="1683" w:type="dxa"/>
            <w:vMerge w:val="continue"/>
            <w:tcBorders>
              <w:left w:val="single" w:color="auto" w:sz="4" w:space="0"/>
              <w:right w:val="single" w:color="auto" w:sz="4" w:space="0"/>
            </w:tcBorders>
            <w:shd w:val="clear" w:color="auto" w:fill="FFFFFF" w:themeFill="background1"/>
            <w:noWrap w:val="0"/>
            <w:vAlign w:val="center"/>
          </w:tcPr>
          <w:p w14:paraId="5AAB3219">
            <w:pPr>
              <w:widowControl/>
              <w:adjustRightInd/>
              <w:jc w:val="left"/>
              <w:rPr>
                <w:rFonts w:hint="eastAsia" w:ascii="宋体" w:hAnsi="宋体" w:eastAsia="宋体" w:cs="宋体"/>
                <w:color w:val="auto"/>
                <w:sz w:val="24"/>
                <w:szCs w:val="24"/>
                <w:highlight w:val="none"/>
                <w:lang w:val="en-US" w:eastAsia="zh-CN"/>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105FD1B6">
            <w:pPr>
              <w:widowControl/>
              <w:adjustRightInd/>
              <w:jc w:val="center"/>
              <w:rPr>
                <w:rFonts w:hint="eastAsia" w:ascii="宋体" w:hAnsi="宋体" w:eastAsia="宋体" w:cs="宋体"/>
                <w:color w:val="auto"/>
                <w:sz w:val="24"/>
                <w:szCs w:val="24"/>
                <w:highlight w:val="none"/>
                <w:lang w:val="en-US" w:eastAsia="zh-CN"/>
              </w:rPr>
            </w:pPr>
          </w:p>
        </w:tc>
      </w:tr>
      <w:tr w14:paraId="3B694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0C88C81C">
            <w:pPr>
              <w:widowControl/>
              <w:adjustRightInd/>
              <w:jc w:val="center"/>
              <w:rPr>
                <w:rFonts w:hint="eastAsia" w:ascii="宋体" w:hAnsi="宋体" w:eastAsia="宋体" w:cs="宋体"/>
                <w:color w:val="auto"/>
                <w:sz w:val="24"/>
                <w:szCs w:val="24"/>
                <w:highlight w:val="none"/>
                <w:lang w:val="en-US"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6CEEA41D">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草坪未及时修剪或修剪不规范。</w:t>
            </w:r>
          </w:p>
          <w:p w14:paraId="140163E1">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草坪、地被生长不良，反季节枯黄，大面积死亡。</w:t>
            </w:r>
          </w:p>
          <w:p w14:paraId="38CD4D3E">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裸地、杂草、积水。</w:t>
            </w:r>
          </w:p>
          <w:p w14:paraId="5900E7D7">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13</w:t>
            </w:r>
            <w:r>
              <w:rPr>
                <w:rFonts w:hint="eastAsia" w:ascii="宋体" w:hAnsi="宋体" w:eastAsia="宋体" w:cs="宋体"/>
                <w:color w:val="auto"/>
                <w:sz w:val="24"/>
                <w:szCs w:val="24"/>
                <w:highlight w:val="none"/>
              </w:rPr>
              <w:t>草花更换不及时、密度不够、黄土裸露、残花败叶、整体景观效果不佳。</w:t>
            </w:r>
          </w:p>
        </w:tc>
        <w:tc>
          <w:tcPr>
            <w:tcW w:w="1683" w:type="dxa"/>
            <w:vMerge w:val="continue"/>
            <w:tcBorders>
              <w:left w:val="single" w:color="auto" w:sz="4" w:space="0"/>
              <w:right w:val="single" w:color="auto" w:sz="4" w:space="0"/>
            </w:tcBorders>
            <w:shd w:val="clear" w:color="auto" w:fill="FFFFFF" w:themeFill="background1"/>
            <w:noWrap w:val="0"/>
            <w:vAlign w:val="center"/>
          </w:tcPr>
          <w:p w14:paraId="6021E0D0">
            <w:pPr>
              <w:widowControl/>
              <w:adjustRightInd/>
              <w:jc w:val="left"/>
              <w:rPr>
                <w:rFonts w:hint="eastAsia" w:ascii="宋体" w:hAnsi="宋体" w:eastAsia="宋体" w:cs="宋体"/>
                <w:color w:val="auto"/>
                <w:sz w:val="24"/>
                <w:szCs w:val="24"/>
                <w:highlight w:val="none"/>
                <w:lang w:val="en-US" w:eastAsia="zh-CN"/>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4C322FE7">
            <w:pPr>
              <w:widowControl/>
              <w:adjustRightInd/>
              <w:jc w:val="center"/>
              <w:rPr>
                <w:rFonts w:hint="eastAsia" w:ascii="宋体" w:hAnsi="宋体" w:eastAsia="宋体" w:cs="宋体"/>
                <w:color w:val="auto"/>
                <w:sz w:val="24"/>
                <w:szCs w:val="24"/>
                <w:highlight w:val="none"/>
                <w:lang w:val="en-US" w:eastAsia="zh-CN"/>
              </w:rPr>
            </w:pPr>
          </w:p>
        </w:tc>
      </w:tr>
      <w:tr w14:paraId="46F8F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5E690692">
            <w:pPr>
              <w:widowControl/>
              <w:adjustRightInd/>
              <w:jc w:val="center"/>
              <w:rPr>
                <w:rFonts w:hint="eastAsia" w:ascii="宋体" w:hAnsi="宋体" w:eastAsia="宋体" w:cs="宋体"/>
                <w:color w:val="auto"/>
                <w:sz w:val="24"/>
                <w:szCs w:val="24"/>
                <w:highlight w:val="none"/>
                <w:lang w:val="en-US"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13994D44">
            <w:pPr>
              <w:widowControl/>
              <w:adjustRightInd/>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14</w:t>
            </w:r>
            <w:r>
              <w:rPr>
                <w:rFonts w:hint="eastAsia" w:ascii="宋体" w:hAnsi="宋体" w:eastAsia="宋体" w:cs="宋体"/>
                <w:color w:val="auto"/>
                <w:sz w:val="24"/>
                <w:szCs w:val="24"/>
                <w:highlight w:val="none"/>
              </w:rPr>
              <w:t>有严重病虫害为害的，叶上有大面积虫粪虫网灰尘的</w:t>
            </w:r>
            <w:r>
              <w:rPr>
                <w:rFonts w:hint="eastAsia" w:ascii="宋体" w:hAnsi="宋体" w:eastAsia="宋体" w:cs="宋体"/>
                <w:color w:val="auto"/>
                <w:sz w:val="24"/>
                <w:szCs w:val="24"/>
                <w:highlight w:val="none"/>
                <w:lang w:eastAsia="zh-CN"/>
              </w:rPr>
              <w:t>。</w:t>
            </w:r>
          </w:p>
          <w:p w14:paraId="43E4A48A">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季节性防护措施不到位，不规范，影响植物正常生长，如防冻防晒措施、涂白等。</w:t>
            </w:r>
          </w:p>
        </w:tc>
        <w:tc>
          <w:tcPr>
            <w:tcW w:w="1683" w:type="dxa"/>
            <w:vMerge w:val="continue"/>
            <w:tcBorders>
              <w:left w:val="single" w:color="auto" w:sz="4" w:space="0"/>
              <w:right w:val="single" w:color="auto" w:sz="4" w:space="0"/>
            </w:tcBorders>
            <w:shd w:val="clear" w:color="auto" w:fill="FFFFFF" w:themeFill="background1"/>
            <w:noWrap w:val="0"/>
            <w:vAlign w:val="center"/>
          </w:tcPr>
          <w:p w14:paraId="0B1ED88E">
            <w:pPr>
              <w:widowControl/>
              <w:adjustRightInd/>
              <w:jc w:val="left"/>
              <w:rPr>
                <w:rFonts w:hint="eastAsia" w:ascii="宋体" w:hAnsi="宋体" w:eastAsia="宋体" w:cs="宋体"/>
                <w:color w:val="auto"/>
                <w:kern w:val="2"/>
                <w:sz w:val="24"/>
                <w:szCs w:val="24"/>
                <w:highlight w:val="none"/>
                <w:lang w:val="en-US" w:eastAsia="zh-CN" w:bidi="ar-SA"/>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27F8ADE9">
            <w:pPr>
              <w:widowControl/>
              <w:adjustRightInd/>
              <w:jc w:val="center"/>
              <w:rPr>
                <w:rFonts w:hint="eastAsia" w:ascii="宋体" w:hAnsi="宋体" w:eastAsia="宋体" w:cs="宋体"/>
                <w:color w:val="auto"/>
                <w:sz w:val="24"/>
                <w:szCs w:val="24"/>
                <w:highlight w:val="none"/>
                <w:lang w:val="en-US" w:eastAsia="zh-CN"/>
              </w:rPr>
            </w:pPr>
          </w:p>
        </w:tc>
      </w:tr>
      <w:tr w14:paraId="64A48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2" w:hRule="atLeast"/>
          <w:jc w:val="center"/>
        </w:trPr>
        <w:tc>
          <w:tcPr>
            <w:tcW w:w="1521" w:type="dxa"/>
            <w:vMerge w:val="restart"/>
            <w:tcBorders>
              <w:top w:val="single" w:color="auto" w:sz="4" w:space="0"/>
              <w:left w:val="single" w:color="auto" w:sz="4" w:space="0"/>
              <w:right w:val="single" w:color="auto" w:sz="4" w:space="0"/>
            </w:tcBorders>
            <w:shd w:val="clear" w:color="auto" w:fill="FFFFFF" w:themeFill="background1"/>
            <w:noWrap w:val="0"/>
            <w:vAlign w:val="center"/>
          </w:tcPr>
          <w:p w14:paraId="6717E86E">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园容</w:t>
            </w:r>
            <w:r>
              <w:rPr>
                <w:rFonts w:hint="eastAsia" w:ascii="宋体" w:hAnsi="宋体" w:eastAsia="宋体" w:cs="宋体"/>
                <w:color w:val="auto"/>
                <w:sz w:val="24"/>
                <w:szCs w:val="24"/>
                <w:highlight w:val="none"/>
              </w:rPr>
              <w:t>保洁</w:t>
            </w: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2962391C">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1.16园内各类</w:t>
            </w:r>
            <w:r>
              <w:rPr>
                <w:rFonts w:hint="eastAsia" w:ascii="宋体" w:hAnsi="宋体" w:eastAsia="宋体" w:cs="宋体"/>
                <w:color w:val="auto"/>
                <w:sz w:val="24"/>
                <w:szCs w:val="24"/>
                <w:highlight w:val="none"/>
              </w:rPr>
              <w:t>园椅</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园凳、果壳箱、标识牌、灯杆、雕塑、栏杆、景观灯、游乐设施等存在</w:t>
            </w:r>
            <w:r>
              <w:rPr>
                <w:rFonts w:hint="eastAsia" w:ascii="宋体" w:hAnsi="宋体" w:eastAsia="宋体" w:cs="宋体"/>
                <w:color w:val="auto"/>
                <w:sz w:val="24"/>
                <w:szCs w:val="24"/>
                <w:highlight w:val="none"/>
              </w:rPr>
              <w:t>明显灰尘</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蜘蛛网、</w:t>
            </w:r>
            <w:r>
              <w:rPr>
                <w:rFonts w:hint="eastAsia" w:ascii="宋体" w:hAnsi="宋体" w:eastAsia="宋体" w:cs="宋体"/>
                <w:color w:val="auto"/>
                <w:sz w:val="24"/>
                <w:szCs w:val="24"/>
                <w:highlight w:val="none"/>
              </w:rPr>
              <w:t>污渍</w:t>
            </w:r>
            <w:r>
              <w:rPr>
                <w:rFonts w:hint="eastAsia" w:ascii="宋体" w:hAnsi="宋体" w:eastAsia="宋体" w:cs="宋体"/>
                <w:color w:val="auto"/>
                <w:sz w:val="24"/>
                <w:szCs w:val="24"/>
                <w:highlight w:val="none"/>
                <w:lang w:val="en-US" w:eastAsia="zh-CN"/>
              </w:rPr>
              <w:t>或垃圾</w:t>
            </w:r>
            <w:r>
              <w:rPr>
                <w:rFonts w:hint="eastAsia" w:ascii="宋体" w:hAnsi="宋体" w:eastAsia="宋体" w:cs="宋体"/>
                <w:color w:val="auto"/>
                <w:sz w:val="24"/>
                <w:szCs w:val="24"/>
                <w:highlight w:val="none"/>
                <w:lang w:eastAsia="zh-CN"/>
              </w:rPr>
              <w:t>。</w:t>
            </w:r>
          </w:p>
        </w:tc>
        <w:tc>
          <w:tcPr>
            <w:tcW w:w="1683" w:type="dxa"/>
            <w:vMerge w:val="restart"/>
            <w:tcBorders>
              <w:top w:val="single" w:color="auto" w:sz="4" w:space="0"/>
              <w:left w:val="single" w:color="auto" w:sz="4" w:space="0"/>
              <w:right w:val="single" w:color="auto" w:sz="4" w:space="0"/>
            </w:tcBorders>
            <w:shd w:val="clear" w:color="auto" w:fill="FFFFFF" w:themeFill="background1"/>
            <w:noWrap w:val="0"/>
            <w:vAlign w:val="center"/>
          </w:tcPr>
          <w:p w14:paraId="188F7459">
            <w:pPr>
              <w:widowControl/>
              <w:adjustRightInd/>
              <w:jc w:val="left"/>
              <w:rPr>
                <w:rFonts w:hint="eastAsia" w:ascii="宋体" w:hAnsi="宋体" w:eastAsia="宋体" w:cs="宋体"/>
                <w:color w:val="auto"/>
                <w:kern w:val="2"/>
                <w:sz w:val="24"/>
                <w:szCs w:val="24"/>
                <w:highlight w:val="none"/>
                <w:lang w:val="en-US" w:eastAsia="zh-CN" w:bidi="ar-SA"/>
              </w:rPr>
            </w:pPr>
          </w:p>
          <w:p w14:paraId="4A3FC10F">
            <w:pPr>
              <w:widowControl/>
              <w:adjustRightInd/>
              <w:jc w:val="left"/>
              <w:rPr>
                <w:rFonts w:hint="eastAsia" w:ascii="宋体" w:hAnsi="宋体" w:eastAsia="宋体" w:cs="宋体"/>
                <w:color w:val="auto"/>
                <w:sz w:val="24"/>
                <w:szCs w:val="24"/>
                <w:highlight w:val="none"/>
                <w:lang w:val="en-US" w:eastAsia="zh-CN"/>
              </w:rPr>
            </w:pPr>
          </w:p>
          <w:p w14:paraId="065B74EA">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每发现一次扣0.5分（当月累计扣分）。</w:t>
            </w:r>
          </w:p>
        </w:tc>
        <w:tc>
          <w:tcPr>
            <w:tcW w:w="863" w:type="dxa"/>
            <w:vMerge w:val="restart"/>
            <w:tcBorders>
              <w:top w:val="single" w:color="auto" w:sz="4" w:space="0"/>
              <w:left w:val="single" w:color="auto" w:sz="4" w:space="0"/>
              <w:right w:val="single" w:color="auto" w:sz="4" w:space="0"/>
            </w:tcBorders>
            <w:shd w:val="clear" w:color="auto" w:fill="FFFFFF" w:themeFill="background1"/>
            <w:noWrap w:val="0"/>
            <w:vAlign w:val="center"/>
          </w:tcPr>
          <w:p w14:paraId="22EF15AE">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25</w:t>
            </w:r>
          </w:p>
        </w:tc>
      </w:tr>
      <w:tr w14:paraId="7BDDC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6013D4FA">
            <w:pPr>
              <w:widowControl/>
              <w:adjustRightInd/>
              <w:jc w:val="center"/>
              <w:rPr>
                <w:rFonts w:hint="eastAsia" w:ascii="宋体" w:hAnsi="宋体" w:eastAsia="宋体" w:cs="宋体"/>
                <w:color w:val="auto"/>
                <w:sz w:val="24"/>
                <w:szCs w:val="24"/>
                <w:highlight w:val="none"/>
                <w:lang w:val="en-US"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6301D2A0">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1.17园内园路、硬质铺装等存在明显积水、</w:t>
            </w:r>
            <w:r>
              <w:rPr>
                <w:rFonts w:hint="eastAsia" w:ascii="宋体" w:hAnsi="宋体" w:eastAsia="宋体" w:cs="宋体"/>
                <w:color w:val="auto"/>
                <w:sz w:val="24"/>
                <w:szCs w:val="24"/>
                <w:highlight w:val="none"/>
              </w:rPr>
              <w:t>污渍、垃圾、积泥、青苔，接缝杂草</w:t>
            </w:r>
            <w:r>
              <w:rPr>
                <w:rFonts w:hint="eastAsia" w:ascii="宋体" w:hAnsi="宋体" w:eastAsia="宋体" w:cs="宋体"/>
                <w:color w:val="auto"/>
                <w:sz w:val="24"/>
                <w:szCs w:val="24"/>
                <w:highlight w:val="none"/>
                <w:lang w:val="en-US" w:eastAsia="zh-CN"/>
              </w:rPr>
              <w:t>等。</w:t>
            </w:r>
          </w:p>
        </w:tc>
        <w:tc>
          <w:tcPr>
            <w:tcW w:w="1683" w:type="dxa"/>
            <w:vMerge w:val="continue"/>
            <w:tcBorders>
              <w:left w:val="single" w:color="auto" w:sz="4" w:space="0"/>
              <w:right w:val="single" w:color="auto" w:sz="4" w:space="0"/>
            </w:tcBorders>
            <w:shd w:val="clear" w:color="auto" w:fill="FFFFFF" w:themeFill="background1"/>
            <w:noWrap w:val="0"/>
            <w:vAlign w:val="center"/>
          </w:tcPr>
          <w:p w14:paraId="5A0E6333">
            <w:pPr>
              <w:widowControl/>
              <w:adjustRightInd/>
              <w:jc w:val="left"/>
              <w:rPr>
                <w:rFonts w:hint="eastAsia" w:ascii="宋体" w:hAnsi="宋体" w:eastAsia="宋体" w:cs="宋体"/>
                <w:color w:val="auto"/>
                <w:kern w:val="2"/>
                <w:sz w:val="24"/>
                <w:szCs w:val="24"/>
                <w:highlight w:val="none"/>
                <w:lang w:val="en-US" w:eastAsia="zh-CN" w:bidi="ar-SA"/>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4C26D870">
            <w:pPr>
              <w:widowControl/>
              <w:adjustRightInd/>
              <w:jc w:val="center"/>
              <w:rPr>
                <w:rFonts w:hint="eastAsia" w:ascii="宋体" w:hAnsi="宋体" w:eastAsia="宋体" w:cs="宋体"/>
                <w:color w:val="auto"/>
                <w:sz w:val="24"/>
                <w:szCs w:val="24"/>
                <w:highlight w:val="none"/>
                <w:lang w:val="en-US" w:eastAsia="zh-CN"/>
              </w:rPr>
            </w:pPr>
          </w:p>
        </w:tc>
      </w:tr>
      <w:tr w14:paraId="2B722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0D7A9347">
            <w:pPr>
              <w:widowControl/>
              <w:adjustRightInd/>
              <w:jc w:val="center"/>
              <w:rPr>
                <w:rFonts w:hint="eastAsia" w:ascii="宋体" w:hAnsi="宋体" w:eastAsia="宋体" w:cs="宋体"/>
                <w:color w:val="auto"/>
                <w:sz w:val="24"/>
                <w:szCs w:val="24"/>
                <w:highlight w:val="none"/>
                <w:lang w:val="en-US"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10BD01ED">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1.18园内绿地存在</w:t>
            </w:r>
            <w:r>
              <w:rPr>
                <w:rFonts w:hint="eastAsia" w:ascii="宋体" w:hAnsi="宋体" w:eastAsia="宋体" w:cs="宋体"/>
                <w:color w:val="auto"/>
                <w:sz w:val="24"/>
                <w:szCs w:val="24"/>
                <w:highlight w:val="none"/>
              </w:rPr>
              <w:t>白色垃圾、烟蒂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明显</w:t>
            </w:r>
            <w:r>
              <w:rPr>
                <w:rFonts w:hint="eastAsia" w:ascii="宋体" w:hAnsi="宋体" w:eastAsia="宋体" w:cs="宋体"/>
                <w:color w:val="auto"/>
                <w:sz w:val="24"/>
                <w:szCs w:val="24"/>
                <w:highlight w:val="none"/>
              </w:rPr>
              <w:t>枯枝</w:t>
            </w:r>
            <w:r>
              <w:rPr>
                <w:rFonts w:hint="eastAsia" w:ascii="宋体" w:hAnsi="宋体" w:eastAsia="宋体" w:cs="宋体"/>
                <w:color w:val="auto"/>
                <w:sz w:val="24"/>
                <w:szCs w:val="24"/>
                <w:highlight w:val="none"/>
                <w:lang w:eastAsia="zh-CN"/>
              </w:rPr>
              <w:t>等，</w:t>
            </w:r>
            <w:r>
              <w:rPr>
                <w:rFonts w:hint="eastAsia" w:ascii="宋体" w:hAnsi="宋体" w:eastAsia="宋体" w:cs="宋体"/>
                <w:color w:val="auto"/>
                <w:sz w:val="24"/>
                <w:szCs w:val="24"/>
                <w:highlight w:val="none"/>
              </w:rPr>
              <w:t>雨水沟、窨井</w:t>
            </w:r>
            <w:r>
              <w:rPr>
                <w:rFonts w:hint="eastAsia" w:ascii="宋体" w:hAnsi="宋体" w:eastAsia="宋体" w:cs="宋体"/>
                <w:color w:val="auto"/>
                <w:sz w:val="24"/>
                <w:szCs w:val="24"/>
                <w:highlight w:val="none"/>
                <w:lang w:val="en-US" w:eastAsia="zh-CN"/>
              </w:rPr>
              <w:t>存在大量落叶堵塞情况。</w:t>
            </w:r>
          </w:p>
        </w:tc>
        <w:tc>
          <w:tcPr>
            <w:tcW w:w="1683" w:type="dxa"/>
            <w:vMerge w:val="continue"/>
            <w:tcBorders>
              <w:left w:val="single" w:color="auto" w:sz="4" w:space="0"/>
              <w:right w:val="single" w:color="auto" w:sz="4" w:space="0"/>
            </w:tcBorders>
            <w:shd w:val="clear" w:color="auto" w:fill="FFFFFF" w:themeFill="background1"/>
            <w:noWrap w:val="0"/>
            <w:vAlign w:val="center"/>
          </w:tcPr>
          <w:p w14:paraId="03A5A0ED">
            <w:pPr>
              <w:widowControl/>
              <w:adjustRightInd/>
              <w:jc w:val="left"/>
              <w:rPr>
                <w:rFonts w:hint="eastAsia" w:ascii="宋体" w:hAnsi="宋体" w:eastAsia="宋体" w:cs="宋体"/>
                <w:color w:val="auto"/>
                <w:sz w:val="24"/>
                <w:szCs w:val="24"/>
                <w:highlight w:val="none"/>
                <w:lang w:val="en-US" w:eastAsia="zh-CN"/>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2D9DE41F">
            <w:pPr>
              <w:widowControl/>
              <w:adjustRightInd/>
              <w:jc w:val="center"/>
              <w:rPr>
                <w:rFonts w:hint="eastAsia" w:ascii="宋体" w:hAnsi="宋体" w:eastAsia="宋体" w:cs="宋体"/>
                <w:color w:val="auto"/>
                <w:sz w:val="24"/>
                <w:szCs w:val="24"/>
                <w:highlight w:val="none"/>
                <w:lang w:val="en-US" w:eastAsia="zh-CN"/>
              </w:rPr>
            </w:pPr>
          </w:p>
        </w:tc>
      </w:tr>
      <w:tr w14:paraId="14957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58C99711">
            <w:pPr>
              <w:widowControl/>
              <w:adjustRightInd/>
              <w:jc w:val="center"/>
              <w:rPr>
                <w:rFonts w:hint="eastAsia" w:ascii="宋体" w:hAnsi="宋体" w:eastAsia="宋体" w:cs="宋体"/>
                <w:color w:val="auto"/>
                <w:sz w:val="24"/>
                <w:szCs w:val="24"/>
                <w:highlight w:val="none"/>
                <w:lang w:val="en-US"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3EFFC568">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1.19园内垃圾未日产日清，存在</w:t>
            </w:r>
            <w:r>
              <w:rPr>
                <w:rFonts w:hint="eastAsia" w:ascii="宋体" w:hAnsi="宋体" w:eastAsia="宋体" w:cs="宋体"/>
                <w:color w:val="auto"/>
                <w:sz w:val="24"/>
                <w:szCs w:val="24"/>
                <w:highlight w:val="none"/>
              </w:rPr>
              <w:t>绿地及路旁遗留垃圾</w:t>
            </w:r>
            <w:r>
              <w:rPr>
                <w:rFonts w:hint="eastAsia" w:ascii="宋体" w:hAnsi="宋体" w:eastAsia="宋体" w:cs="宋体"/>
                <w:color w:val="auto"/>
                <w:sz w:val="24"/>
                <w:szCs w:val="24"/>
                <w:highlight w:val="none"/>
                <w:lang w:val="en-US" w:eastAsia="zh-CN"/>
              </w:rPr>
              <w:t>情况，垃圾分类不到位，存在混投等情况。</w:t>
            </w:r>
          </w:p>
        </w:tc>
        <w:tc>
          <w:tcPr>
            <w:tcW w:w="1683" w:type="dxa"/>
            <w:vMerge w:val="continue"/>
            <w:tcBorders>
              <w:left w:val="single" w:color="auto" w:sz="4" w:space="0"/>
              <w:right w:val="single" w:color="auto" w:sz="4" w:space="0"/>
            </w:tcBorders>
            <w:shd w:val="clear" w:color="auto" w:fill="FFFFFF" w:themeFill="background1"/>
            <w:noWrap w:val="0"/>
            <w:vAlign w:val="center"/>
          </w:tcPr>
          <w:p w14:paraId="17EF3173">
            <w:pPr>
              <w:widowControl/>
              <w:adjustRightInd/>
              <w:jc w:val="left"/>
              <w:rPr>
                <w:rFonts w:hint="eastAsia" w:ascii="宋体" w:hAnsi="宋体" w:eastAsia="宋体" w:cs="宋体"/>
                <w:color w:val="auto"/>
                <w:sz w:val="24"/>
                <w:szCs w:val="24"/>
                <w:highlight w:val="none"/>
                <w:lang w:val="en-US" w:eastAsia="zh-CN"/>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0522F8A7">
            <w:pPr>
              <w:widowControl/>
              <w:adjustRightInd/>
              <w:jc w:val="center"/>
              <w:rPr>
                <w:rFonts w:hint="eastAsia" w:ascii="宋体" w:hAnsi="宋体" w:eastAsia="宋体" w:cs="宋体"/>
                <w:color w:val="auto"/>
                <w:sz w:val="24"/>
                <w:szCs w:val="24"/>
                <w:highlight w:val="none"/>
                <w:lang w:val="en-US" w:eastAsia="zh-CN"/>
              </w:rPr>
            </w:pPr>
          </w:p>
        </w:tc>
      </w:tr>
      <w:tr w14:paraId="5C833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2"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224734C7">
            <w:pPr>
              <w:widowControl/>
              <w:adjustRightInd/>
              <w:jc w:val="center"/>
              <w:rPr>
                <w:rFonts w:hint="eastAsia" w:ascii="宋体" w:hAnsi="宋体" w:eastAsia="宋体" w:cs="宋体"/>
                <w:color w:val="auto"/>
                <w:sz w:val="24"/>
                <w:szCs w:val="24"/>
                <w:highlight w:val="none"/>
                <w:lang w:val="en-US"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17F00E30">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1.20保洁作业车、</w:t>
            </w:r>
            <w:r>
              <w:rPr>
                <w:rFonts w:hint="eastAsia" w:ascii="宋体" w:hAnsi="宋体" w:eastAsia="宋体" w:cs="宋体"/>
                <w:color w:val="auto"/>
                <w:sz w:val="24"/>
                <w:szCs w:val="24"/>
                <w:highlight w:val="none"/>
              </w:rPr>
              <w:t>垃圾</w:t>
            </w:r>
            <w:r>
              <w:rPr>
                <w:rFonts w:hint="eastAsia" w:ascii="宋体" w:hAnsi="宋体" w:eastAsia="宋体" w:cs="宋体"/>
                <w:color w:val="auto"/>
                <w:sz w:val="24"/>
                <w:szCs w:val="24"/>
                <w:highlight w:val="none"/>
                <w:lang w:val="en-US" w:eastAsia="zh-CN"/>
              </w:rPr>
              <w:t>运输</w:t>
            </w:r>
            <w:r>
              <w:rPr>
                <w:rFonts w:hint="eastAsia" w:ascii="宋体" w:hAnsi="宋体" w:eastAsia="宋体" w:cs="宋体"/>
                <w:color w:val="auto"/>
                <w:sz w:val="24"/>
                <w:szCs w:val="24"/>
                <w:highlight w:val="none"/>
              </w:rPr>
              <w:t>车</w:t>
            </w:r>
            <w:r>
              <w:rPr>
                <w:rFonts w:hint="eastAsia" w:ascii="宋体" w:hAnsi="宋体" w:eastAsia="宋体" w:cs="宋体"/>
                <w:color w:val="auto"/>
                <w:sz w:val="24"/>
                <w:szCs w:val="24"/>
                <w:highlight w:val="none"/>
                <w:lang w:val="en-US" w:eastAsia="zh-CN"/>
              </w:rPr>
              <w:t>不整洁</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作业</w:t>
            </w:r>
            <w:r>
              <w:rPr>
                <w:rFonts w:hint="eastAsia" w:ascii="宋体" w:hAnsi="宋体" w:eastAsia="宋体" w:cs="宋体"/>
                <w:color w:val="auto"/>
                <w:sz w:val="24"/>
                <w:szCs w:val="24"/>
                <w:highlight w:val="none"/>
                <w:lang w:eastAsia="zh-CN"/>
              </w:rPr>
              <w:t>车</w:t>
            </w:r>
            <w:r>
              <w:rPr>
                <w:rFonts w:hint="eastAsia" w:ascii="宋体" w:hAnsi="宋体" w:eastAsia="宋体" w:cs="宋体"/>
                <w:color w:val="auto"/>
                <w:sz w:val="24"/>
                <w:szCs w:val="24"/>
                <w:highlight w:val="none"/>
                <w:lang w:val="en-US" w:eastAsia="zh-CN"/>
              </w:rPr>
              <w:t>未定点停放，</w:t>
            </w:r>
            <w:r>
              <w:rPr>
                <w:rFonts w:hint="eastAsia" w:ascii="宋体" w:hAnsi="宋体" w:eastAsia="宋体" w:cs="宋体"/>
                <w:color w:val="auto"/>
                <w:sz w:val="24"/>
                <w:szCs w:val="24"/>
                <w:highlight w:val="none"/>
              </w:rPr>
              <w:t>停放在草坪、地被植物上。</w:t>
            </w:r>
          </w:p>
        </w:tc>
        <w:tc>
          <w:tcPr>
            <w:tcW w:w="1683" w:type="dxa"/>
            <w:vMerge w:val="continue"/>
            <w:tcBorders>
              <w:left w:val="single" w:color="auto" w:sz="4" w:space="0"/>
              <w:bottom w:val="single" w:color="auto" w:sz="4" w:space="0"/>
              <w:right w:val="single" w:color="auto" w:sz="4" w:space="0"/>
            </w:tcBorders>
            <w:shd w:val="clear" w:color="auto" w:fill="FFFFFF" w:themeFill="background1"/>
            <w:noWrap w:val="0"/>
            <w:vAlign w:val="center"/>
          </w:tcPr>
          <w:p w14:paraId="507A8050">
            <w:pPr>
              <w:widowControl/>
              <w:adjustRightInd/>
              <w:jc w:val="left"/>
              <w:rPr>
                <w:rFonts w:hint="eastAsia" w:ascii="宋体" w:hAnsi="宋体" w:eastAsia="宋体" w:cs="宋体"/>
                <w:color w:val="auto"/>
                <w:sz w:val="24"/>
                <w:szCs w:val="24"/>
                <w:highlight w:val="none"/>
                <w:lang w:val="en-US" w:eastAsia="zh-CN"/>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14FAE8F7">
            <w:pPr>
              <w:widowControl/>
              <w:adjustRightInd/>
              <w:jc w:val="center"/>
              <w:rPr>
                <w:rFonts w:hint="eastAsia" w:ascii="宋体" w:hAnsi="宋体" w:eastAsia="宋体" w:cs="宋体"/>
                <w:color w:val="auto"/>
                <w:sz w:val="24"/>
                <w:szCs w:val="24"/>
                <w:highlight w:val="none"/>
                <w:lang w:val="en-US" w:eastAsia="zh-CN"/>
              </w:rPr>
            </w:pPr>
          </w:p>
        </w:tc>
      </w:tr>
      <w:tr w14:paraId="68C03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521" w:type="dxa"/>
            <w:vMerge w:val="restart"/>
            <w:tcBorders>
              <w:left w:val="single" w:color="auto" w:sz="4" w:space="0"/>
              <w:right w:val="single" w:color="auto" w:sz="4" w:space="0"/>
            </w:tcBorders>
            <w:shd w:val="clear" w:color="auto" w:fill="FFFFFF" w:themeFill="background1"/>
            <w:noWrap w:val="0"/>
            <w:vAlign w:val="center"/>
          </w:tcPr>
          <w:p w14:paraId="44DAEB97">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公厕管理</w:t>
            </w: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480B9961">
            <w:pPr>
              <w:widowControl/>
              <w:adjustRightInd/>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1.21</w:t>
            </w:r>
            <w:r>
              <w:rPr>
                <w:rFonts w:hint="eastAsia" w:ascii="宋体" w:hAnsi="宋体" w:eastAsia="宋体" w:cs="宋体"/>
                <w:color w:val="auto"/>
                <w:sz w:val="24"/>
                <w:szCs w:val="24"/>
                <w:highlight w:val="none"/>
              </w:rPr>
              <w:t>标识标牌</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设施设备</w:t>
            </w:r>
            <w:r>
              <w:rPr>
                <w:rFonts w:hint="eastAsia" w:ascii="宋体" w:hAnsi="宋体" w:eastAsia="宋体" w:cs="宋体"/>
                <w:color w:val="auto"/>
                <w:sz w:val="24"/>
                <w:szCs w:val="24"/>
                <w:highlight w:val="none"/>
                <w:lang w:val="en-US" w:eastAsia="zh-CN"/>
              </w:rPr>
              <w:t>等发现</w:t>
            </w:r>
            <w:r>
              <w:rPr>
                <w:rFonts w:hint="eastAsia" w:ascii="宋体" w:hAnsi="宋体" w:eastAsia="宋体" w:cs="宋体"/>
                <w:color w:val="auto"/>
                <w:sz w:val="24"/>
                <w:szCs w:val="24"/>
                <w:highlight w:val="none"/>
              </w:rPr>
              <w:t>破损、残缺，影响正常使用。</w:t>
            </w:r>
          </w:p>
        </w:tc>
        <w:tc>
          <w:tcPr>
            <w:tcW w:w="1683" w:type="dxa"/>
            <w:vMerge w:val="restart"/>
            <w:tcBorders>
              <w:left w:val="single" w:color="auto" w:sz="4" w:space="0"/>
              <w:right w:val="single" w:color="auto" w:sz="4" w:space="0"/>
            </w:tcBorders>
            <w:shd w:val="clear" w:color="auto" w:fill="FFFFFF" w:themeFill="background1"/>
            <w:noWrap w:val="0"/>
            <w:vAlign w:val="center"/>
          </w:tcPr>
          <w:p w14:paraId="2A29FD29">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每发现一处扣0.5分。</w:t>
            </w:r>
          </w:p>
        </w:tc>
        <w:tc>
          <w:tcPr>
            <w:tcW w:w="863" w:type="dxa"/>
            <w:vMerge w:val="restart"/>
            <w:tcBorders>
              <w:left w:val="single" w:color="auto" w:sz="4" w:space="0"/>
              <w:right w:val="single" w:color="auto" w:sz="4" w:space="0"/>
            </w:tcBorders>
            <w:shd w:val="clear" w:color="auto" w:fill="FFFFFF" w:themeFill="background1"/>
            <w:noWrap w:val="0"/>
            <w:vAlign w:val="center"/>
          </w:tcPr>
          <w:p w14:paraId="466DE3DD">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r>
      <w:tr w14:paraId="6A38D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1683E936">
            <w:pPr>
              <w:widowControl/>
              <w:adjustRightInd/>
              <w:jc w:val="center"/>
              <w:rPr>
                <w:rFonts w:hint="eastAsia" w:ascii="宋体" w:hAnsi="宋体" w:eastAsia="宋体" w:cs="宋体"/>
                <w:color w:val="auto"/>
                <w:sz w:val="24"/>
                <w:szCs w:val="24"/>
                <w:highlight w:val="none"/>
                <w:lang w:val="en-US"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613411B9">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1.22</w:t>
            </w:r>
            <w:r>
              <w:rPr>
                <w:rFonts w:hint="eastAsia" w:ascii="宋体" w:hAnsi="宋体" w:eastAsia="宋体" w:cs="宋体"/>
                <w:color w:val="auto"/>
                <w:sz w:val="24"/>
                <w:szCs w:val="24"/>
                <w:highlight w:val="none"/>
              </w:rPr>
              <w:t>厕内环境</w:t>
            </w:r>
            <w:r>
              <w:rPr>
                <w:rFonts w:hint="eastAsia" w:ascii="宋体" w:hAnsi="宋体" w:eastAsia="宋体" w:cs="宋体"/>
                <w:color w:val="auto"/>
                <w:sz w:val="24"/>
                <w:szCs w:val="24"/>
                <w:highlight w:val="none"/>
                <w:lang w:val="en-US" w:eastAsia="zh-CN"/>
              </w:rPr>
              <w:t>不</w:t>
            </w:r>
            <w:r>
              <w:rPr>
                <w:rFonts w:hint="eastAsia" w:ascii="宋体" w:hAnsi="宋体" w:eastAsia="宋体" w:cs="宋体"/>
                <w:color w:val="auto"/>
                <w:sz w:val="24"/>
                <w:szCs w:val="24"/>
                <w:highlight w:val="none"/>
              </w:rPr>
              <w:t>整洁（</w:t>
            </w:r>
            <w:r>
              <w:rPr>
                <w:rFonts w:hint="eastAsia" w:ascii="宋体" w:hAnsi="宋体" w:eastAsia="宋体" w:cs="宋体"/>
                <w:color w:val="auto"/>
                <w:sz w:val="24"/>
                <w:szCs w:val="24"/>
                <w:highlight w:val="none"/>
                <w:lang w:val="en-US" w:eastAsia="zh-CN"/>
              </w:rPr>
              <w:t>存在</w:t>
            </w:r>
            <w:r>
              <w:rPr>
                <w:rFonts w:hint="eastAsia" w:ascii="宋体" w:hAnsi="宋体" w:eastAsia="宋体" w:cs="宋体"/>
                <w:color w:val="auto"/>
                <w:sz w:val="24"/>
                <w:szCs w:val="24"/>
                <w:highlight w:val="none"/>
              </w:rPr>
              <w:t>便渍、可见垃圾、积灰蛛网、乱涂写乱张贴等</w:t>
            </w:r>
            <w:r>
              <w:rPr>
                <w:rFonts w:hint="eastAsia" w:ascii="宋体" w:hAnsi="宋体" w:eastAsia="宋体" w:cs="宋体"/>
                <w:color w:val="auto"/>
                <w:sz w:val="24"/>
                <w:szCs w:val="24"/>
                <w:highlight w:val="none"/>
                <w:lang w:val="en-US" w:eastAsia="zh-CN"/>
              </w:rPr>
              <w:t>现象</w:t>
            </w:r>
            <w:r>
              <w:rPr>
                <w:rFonts w:hint="eastAsia" w:ascii="宋体" w:hAnsi="宋体" w:eastAsia="宋体" w:cs="宋体"/>
                <w:color w:val="auto"/>
                <w:sz w:val="24"/>
                <w:szCs w:val="24"/>
                <w:highlight w:val="none"/>
              </w:rPr>
              <w:t>）。</w:t>
            </w:r>
          </w:p>
        </w:tc>
        <w:tc>
          <w:tcPr>
            <w:tcW w:w="1683" w:type="dxa"/>
            <w:vMerge w:val="continue"/>
            <w:tcBorders>
              <w:left w:val="single" w:color="auto" w:sz="4" w:space="0"/>
              <w:right w:val="single" w:color="auto" w:sz="4" w:space="0"/>
            </w:tcBorders>
            <w:shd w:val="clear" w:color="auto" w:fill="FFFFFF" w:themeFill="background1"/>
            <w:noWrap w:val="0"/>
            <w:vAlign w:val="center"/>
          </w:tcPr>
          <w:p w14:paraId="138D5A0E">
            <w:pPr>
              <w:widowControl/>
              <w:adjustRightInd/>
              <w:jc w:val="left"/>
              <w:rPr>
                <w:rFonts w:hint="eastAsia" w:ascii="宋体" w:hAnsi="宋体" w:eastAsia="宋体" w:cs="宋体"/>
                <w:color w:val="auto"/>
                <w:sz w:val="24"/>
                <w:szCs w:val="24"/>
                <w:highlight w:val="none"/>
                <w:lang w:val="en-US" w:eastAsia="zh-CN"/>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368038C0">
            <w:pPr>
              <w:widowControl/>
              <w:adjustRightInd/>
              <w:jc w:val="center"/>
              <w:rPr>
                <w:rFonts w:hint="eastAsia" w:ascii="宋体" w:hAnsi="宋体" w:eastAsia="宋体" w:cs="宋体"/>
                <w:color w:val="auto"/>
                <w:sz w:val="24"/>
                <w:szCs w:val="24"/>
                <w:highlight w:val="none"/>
                <w:lang w:val="en-US" w:eastAsia="zh-CN"/>
              </w:rPr>
            </w:pPr>
          </w:p>
        </w:tc>
      </w:tr>
      <w:tr w14:paraId="222A7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53059BC8">
            <w:pPr>
              <w:widowControl/>
              <w:adjustRightInd/>
              <w:jc w:val="center"/>
              <w:rPr>
                <w:rFonts w:hint="eastAsia" w:ascii="宋体" w:hAnsi="宋体" w:eastAsia="宋体" w:cs="宋体"/>
                <w:color w:val="auto"/>
                <w:sz w:val="24"/>
                <w:szCs w:val="24"/>
                <w:highlight w:val="none"/>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1DD8CDA9">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1.23</w:t>
            </w:r>
            <w:r>
              <w:rPr>
                <w:rFonts w:hint="eastAsia" w:ascii="宋体" w:hAnsi="宋体" w:eastAsia="宋体" w:cs="宋体"/>
                <w:color w:val="auto"/>
                <w:sz w:val="24"/>
                <w:szCs w:val="24"/>
                <w:highlight w:val="none"/>
              </w:rPr>
              <w:t>垃圾桶满溢的或厕间废纸篓超过三分之一的。</w:t>
            </w:r>
          </w:p>
        </w:tc>
        <w:tc>
          <w:tcPr>
            <w:tcW w:w="1683" w:type="dxa"/>
            <w:vMerge w:val="continue"/>
            <w:tcBorders>
              <w:left w:val="single" w:color="auto" w:sz="4" w:space="0"/>
              <w:right w:val="single" w:color="auto" w:sz="4" w:space="0"/>
            </w:tcBorders>
            <w:shd w:val="clear" w:color="auto" w:fill="FFFFFF" w:themeFill="background1"/>
            <w:noWrap w:val="0"/>
            <w:vAlign w:val="center"/>
          </w:tcPr>
          <w:p w14:paraId="0C932EBE">
            <w:pPr>
              <w:widowControl/>
              <w:adjustRightInd/>
              <w:jc w:val="left"/>
              <w:rPr>
                <w:rFonts w:hint="eastAsia" w:ascii="宋体" w:hAnsi="宋体" w:eastAsia="宋体" w:cs="宋体"/>
                <w:color w:val="auto"/>
                <w:sz w:val="24"/>
                <w:szCs w:val="24"/>
                <w:highlight w:val="none"/>
                <w:lang w:val="en-US" w:eastAsia="zh-CN"/>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655439C3">
            <w:pPr>
              <w:widowControl/>
              <w:adjustRightInd/>
              <w:jc w:val="center"/>
              <w:rPr>
                <w:rFonts w:hint="eastAsia" w:ascii="宋体" w:hAnsi="宋体" w:eastAsia="宋体" w:cs="宋体"/>
                <w:color w:val="auto"/>
                <w:sz w:val="24"/>
                <w:szCs w:val="24"/>
                <w:highlight w:val="none"/>
                <w:lang w:val="en-US" w:eastAsia="zh-CN"/>
              </w:rPr>
            </w:pPr>
          </w:p>
        </w:tc>
      </w:tr>
      <w:tr w14:paraId="09B19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4A5B4FAB">
            <w:pPr>
              <w:widowControl/>
              <w:adjustRightInd/>
              <w:jc w:val="center"/>
              <w:rPr>
                <w:rFonts w:hint="eastAsia" w:ascii="宋体" w:hAnsi="宋体" w:eastAsia="宋体" w:cs="宋体"/>
                <w:color w:val="auto"/>
                <w:sz w:val="24"/>
                <w:szCs w:val="24"/>
                <w:highlight w:val="none"/>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2C21020B">
            <w:pPr>
              <w:widowControl/>
              <w:adjustRightInd/>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1.24未按规定</w:t>
            </w:r>
            <w:r>
              <w:rPr>
                <w:rFonts w:hint="eastAsia" w:ascii="宋体" w:hAnsi="宋体" w:eastAsia="宋体" w:cs="宋体"/>
                <w:color w:val="auto"/>
                <w:sz w:val="24"/>
                <w:szCs w:val="24"/>
                <w:highlight w:val="none"/>
              </w:rPr>
              <w:t>提供免费厕纸和洗手液</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或补充不及时。</w:t>
            </w:r>
          </w:p>
        </w:tc>
        <w:tc>
          <w:tcPr>
            <w:tcW w:w="1683" w:type="dxa"/>
            <w:vMerge w:val="restart"/>
            <w:tcBorders>
              <w:left w:val="single" w:color="auto" w:sz="4" w:space="0"/>
              <w:right w:val="single" w:color="auto" w:sz="4" w:space="0"/>
            </w:tcBorders>
            <w:shd w:val="clear" w:color="auto" w:fill="FFFFFF" w:themeFill="background1"/>
            <w:noWrap w:val="0"/>
            <w:vAlign w:val="center"/>
          </w:tcPr>
          <w:p w14:paraId="7DB59E47">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每发现一次扣0.5分（当月累计扣分）。</w:t>
            </w:r>
          </w:p>
        </w:tc>
        <w:tc>
          <w:tcPr>
            <w:tcW w:w="863" w:type="dxa"/>
            <w:vMerge w:val="continue"/>
            <w:tcBorders>
              <w:left w:val="single" w:color="auto" w:sz="4" w:space="0"/>
              <w:right w:val="single" w:color="auto" w:sz="4" w:space="0"/>
            </w:tcBorders>
            <w:shd w:val="clear" w:color="auto" w:fill="FFFFFF" w:themeFill="background1"/>
            <w:noWrap w:val="0"/>
            <w:vAlign w:val="center"/>
          </w:tcPr>
          <w:p w14:paraId="2FED2C57">
            <w:pPr>
              <w:widowControl/>
              <w:adjustRightInd/>
              <w:jc w:val="center"/>
              <w:rPr>
                <w:rFonts w:hint="eastAsia" w:ascii="宋体" w:hAnsi="宋体" w:eastAsia="宋体" w:cs="宋体"/>
                <w:color w:val="auto"/>
                <w:sz w:val="24"/>
                <w:szCs w:val="24"/>
                <w:highlight w:val="none"/>
                <w:lang w:val="en-US" w:eastAsia="zh-CN"/>
              </w:rPr>
            </w:pPr>
          </w:p>
        </w:tc>
      </w:tr>
      <w:tr w14:paraId="431E5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24"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02F3513B">
            <w:pPr>
              <w:widowControl/>
              <w:adjustRightInd/>
              <w:jc w:val="center"/>
              <w:rPr>
                <w:rFonts w:hint="eastAsia" w:ascii="宋体" w:hAnsi="宋体" w:eastAsia="宋体" w:cs="宋体"/>
                <w:color w:val="auto"/>
                <w:sz w:val="24"/>
                <w:szCs w:val="24"/>
                <w:highlight w:val="none"/>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05B22FFF">
            <w:pPr>
              <w:widowControl/>
              <w:adjustRightInd/>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1.25</w:t>
            </w:r>
            <w:r>
              <w:rPr>
                <w:rFonts w:hint="eastAsia" w:ascii="宋体" w:hAnsi="宋体" w:eastAsia="宋体" w:cs="宋体"/>
                <w:color w:val="auto"/>
                <w:sz w:val="24"/>
                <w:szCs w:val="24"/>
                <w:highlight w:val="none"/>
              </w:rPr>
              <w:t>保洁员作业期间</w:t>
            </w:r>
            <w:r>
              <w:rPr>
                <w:rFonts w:hint="eastAsia" w:ascii="宋体" w:hAnsi="宋体" w:eastAsia="宋体" w:cs="宋体"/>
                <w:color w:val="auto"/>
                <w:sz w:val="24"/>
                <w:szCs w:val="24"/>
                <w:highlight w:val="none"/>
                <w:lang w:val="en-US" w:eastAsia="zh-CN"/>
              </w:rPr>
              <w:t>未</w:t>
            </w:r>
            <w:r>
              <w:rPr>
                <w:rFonts w:hint="eastAsia" w:ascii="宋体" w:hAnsi="宋体" w:eastAsia="宋体" w:cs="宋体"/>
                <w:color w:val="auto"/>
                <w:sz w:val="24"/>
                <w:szCs w:val="24"/>
                <w:highlight w:val="none"/>
              </w:rPr>
              <w:t>正确佩戴口罩和手套，拖把</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抹布等保洁工具</w:t>
            </w:r>
            <w:r>
              <w:rPr>
                <w:rFonts w:hint="eastAsia" w:ascii="宋体" w:hAnsi="宋体" w:eastAsia="宋体" w:cs="宋体"/>
                <w:color w:val="auto"/>
                <w:sz w:val="24"/>
                <w:szCs w:val="24"/>
                <w:highlight w:val="none"/>
                <w:lang w:val="en-US" w:eastAsia="zh-CN"/>
              </w:rPr>
              <w:t>未</w:t>
            </w:r>
            <w:r>
              <w:rPr>
                <w:rFonts w:hint="eastAsia" w:ascii="宋体" w:hAnsi="宋体" w:eastAsia="宋体" w:cs="宋体"/>
                <w:color w:val="auto"/>
                <w:sz w:val="24"/>
                <w:szCs w:val="24"/>
                <w:highlight w:val="none"/>
              </w:rPr>
              <w:t>隐蔽收纳</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摆放</w:t>
            </w:r>
            <w:r>
              <w:rPr>
                <w:rFonts w:hint="eastAsia" w:ascii="宋体" w:hAnsi="宋体" w:eastAsia="宋体" w:cs="宋体"/>
                <w:color w:val="auto"/>
                <w:sz w:val="24"/>
                <w:szCs w:val="24"/>
                <w:highlight w:val="none"/>
                <w:lang w:val="en-US" w:eastAsia="zh-CN"/>
              </w:rPr>
              <w:t>不</w:t>
            </w:r>
            <w:r>
              <w:rPr>
                <w:rFonts w:hint="eastAsia" w:ascii="宋体" w:hAnsi="宋体" w:eastAsia="宋体" w:cs="宋体"/>
                <w:color w:val="auto"/>
                <w:sz w:val="24"/>
                <w:szCs w:val="24"/>
                <w:highlight w:val="none"/>
              </w:rPr>
              <w:t>整齐。</w:t>
            </w:r>
          </w:p>
        </w:tc>
        <w:tc>
          <w:tcPr>
            <w:tcW w:w="1683" w:type="dxa"/>
            <w:vMerge w:val="continue"/>
            <w:tcBorders>
              <w:left w:val="single" w:color="auto" w:sz="4" w:space="0"/>
              <w:right w:val="single" w:color="auto" w:sz="4" w:space="0"/>
            </w:tcBorders>
            <w:shd w:val="clear" w:color="auto" w:fill="FFFFFF" w:themeFill="background1"/>
            <w:noWrap w:val="0"/>
            <w:vAlign w:val="center"/>
          </w:tcPr>
          <w:p w14:paraId="47451E97">
            <w:pPr>
              <w:widowControl/>
              <w:adjustRightInd/>
              <w:jc w:val="left"/>
              <w:rPr>
                <w:rFonts w:hint="eastAsia" w:ascii="宋体" w:hAnsi="宋体" w:eastAsia="宋体" w:cs="宋体"/>
                <w:color w:val="auto"/>
                <w:sz w:val="24"/>
                <w:szCs w:val="24"/>
                <w:highlight w:val="none"/>
                <w:lang w:val="en-US" w:eastAsia="zh-CN"/>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60C0F03D">
            <w:pPr>
              <w:widowControl/>
              <w:adjustRightInd/>
              <w:jc w:val="center"/>
              <w:rPr>
                <w:rFonts w:hint="eastAsia" w:ascii="宋体" w:hAnsi="宋体" w:eastAsia="宋体" w:cs="宋体"/>
                <w:color w:val="auto"/>
                <w:sz w:val="24"/>
                <w:szCs w:val="24"/>
                <w:highlight w:val="none"/>
                <w:lang w:val="en-US" w:eastAsia="zh-CN"/>
              </w:rPr>
            </w:pPr>
          </w:p>
        </w:tc>
      </w:tr>
      <w:tr w14:paraId="05B50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83"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25CDAB20">
            <w:pPr>
              <w:widowControl/>
              <w:adjustRightInd/>
              <w:jc w:val="center"/>
              <w:rPr>
                <w:rFonts w:hint="eastAsia" w:ascii="宋体" w:hAnsi="宋体" w:eastAsia="宋体" w:cs="宋体"/>
                <w:color w:val="auto"/>
                <w:sz w:val="24"/>
                <w:szCs w:val="24"/>
                <w:highlight w:val="none"/>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0320290A">
            <w:pPr>
              <w:widowControl/>
              <w:adjustRightInd/>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1.26</w:t>
            </w:r>
            <w:r>
              <w:rPr>
                <w:rFonts w:hint="eastAsia" w:ascii="宋体" w:hAnsi="宋体" w:eastAsia="宋体" w:cs="宋体"/>
                <w:color w:val="auto"/>
                <w:sz w:val="24"/>
                <w:szCs w:val="24"/>
                <w:highlight w:val="none"/>
              </w:rPr>
              <w:t>厕内异味明显</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有蚊蝇的</w:t>
            </w:r>
            <w:r>
              <w:rPr>
                <w:rFonts w:hint="eastAsia" w:ascii="宋体" w:hAnsi="宋体" w:eastAsia="宋体" w:cs="宋体"/>
                <w:color w:val="auto"/>
                <w:sz w:val="24"/>
                <w:szCs w:val="24"/>
                <w:highlight w:val="none"/>
                <w:lang w:eastAsia="zh-CN"/>
              </w:rPr>
              <w:t>。</w:t>
            </w:r>
          </w:p>
        </w:tc>
        <w:tc>
          <w:tcPr>
            <w:tcW w:w="1683" w:type="dxa"/>
            <w:vMerge w:val="continue"/>
            <w:tcBorders>
              <w:left w:val="single" w:color="auto" w:sz="4" w:space="0"/>
              <w:right w:val="single" w:color="auto" w:sz="4" w:space="0"/>
            </w:tcBorders>
            <w:shd w:val="clear" w:color="auto" w:fill="FFFFFF" w:themeFill="background1"/>
            <w:noWrap w:val="0"/>
            <w:vAlign w:val="center"/>
          </w:tcPr>
          <w:p w14:paraId="3A7BEA7C">
            <w:pPr>
              <w:widowControl/>
              <w:adjustRightInd/>
              <w:jc w:val="left"/>
              <w:rPr>
                <w:rFonts w:hint="eastAsia" w:ascii="宋体" w:hAnsi="宋体" w:eastAsia="宋体" w:cs="宋体"/>
                <w:color w:val="auto"/>
                <w:sz w:val="24"/>
                <w:szCs w:val="24"/>
                <w:highlight w:val="none"/>
                <w:lang w:val="en-US" w:eastAsia="zh-CN"/>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0D378A1C">
            <w:pPr>
              <w:widowControl/>
              <w:adjustRightInd/>
              <w:jc w:val="center"/>
              <w:rPr>
                <w:rFonts w:hint="eastAsia" w:ascii="宋体" w:hAnsi="宋体" w:eastAsia="宋体" w:cs="宋体"/>
                <w:color w:val="auto"/>
                <w:sz w:val="24"/>
                <w:szCs w:val="24"/>
                <w:highlight w:val="none"/>
                <w:lang w:val="en-US" w:eastAsia="zh-CN"/>
              </w:rPr>
            </w:pPr>
          </w:p>
        </w:tc>
      </w:tr>
      <w:tr w14:paraId="2E260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56"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4184CC6E">
            <w:pPr>
              <w:widowControl/>
              <w:adjustRightInd/>
              <w:jc w:val="center"/>
              <w:rPr>
                <w:rFonts w:hint="eastAsia" w:ascii="宋体" w:hAnsi="宋体" w:eastAsia="宋体" w:cs="宋体"/>
                <w:color w:val="auto"/>
                <w:sz w:val="24"/>
                <w:szCs w:val="24"/>
                <w:highlight w:val="none"/>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7861EC36">
            <w:pPr>
              <w:widowControl/>
              <w:adjustRightInd/>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1.27未按规范</w:t>
            </w:r>
            <w:r>
              <w:rPr>
                <w:rFonts w:hint="eastAsia" w:ascii="宋体" w:hAnsi="宋体" w:eastAsia="宋体" w:cs="宋体"/>
                <w:color w:val="auto"/>
                <w:sz w:val="24"/>
                <w:szCs w:val="24"/>
                <w:highlight w:val="none"/>
              </w:rPr>
              <w:t>进行消毒</w:t>
            </w:r>
            <w:r>
              <w:rPr>
                <w:rFonts w:hint="eastAsia" w:ascii="宋体" w:hAnsi="宋体" w:eastAsia="宋体" w:cs="宋体"/>
                <w:color w:val="auto"/>
                <w:sz w:val="24"/>
                <w:szCs w:val="24"/>
                <w:highlight w:val="none"/>
                <w:lang w:eastAsia="zh-CN"/>
              </w:rPr>
              <w:t>作业。</w:t>
            </w:r>
          </w:p>
        </w:tc>
        <w:tc>
          <w:tcPr>
            <w:tcW w:w="1683" w:type="dxa"/>
            <w:vMerge w:val="continue"/>
            <w:tcBorders>
              <w:left w:val="single" w:color="auto" w:sz="4" w:space="0"/>
              <w:right w:val="single" w:color="auto" w:sz="4" w:space="0"/>
            </w:tcBorders>
            <w:shd w:val="clear" w:color="auto" w:fill="FFFFFF" w:themeFill="background1"/>
            <w:noWrap w:val="0"/>
            <w:vAlign w:val="center"/>
          </w:tcPr>
          <w:p w14:paraId="79001820">
            <w:pPr>
              <w:widowControl/>
              <w:adjustRightInd/>
              <w:jc w:val="left"/>
              <w:rPr>
                <w:rFonts w:hint="eastAsia" w:ascii="宋体" w:hAnsi="宋体" w:eastAsia="宋体" w:cs="宋体"/>
                <w:color w:val="auto"/>
                <w:sz w:val="24"/>
                <w:szCs w:val="24"/>
                <w:highlight w:val="none"/>
                <w:lang w:val="en-US" w:eastAsia="zh-CN"/>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099F34BE">
            <w:pPr>
              <w:widowControl/>
              <w:adjustRightInd/>
              <w:jc w:val="center"/>
              <w:rPr>
                <w:rFonts w:hint="eastAsia" w:ascii="宋体" w:hAnsi="宋体" w:eastAsia="宋体" w:cs="宋体"/>
                <w:color w:val="auto"/>
                <w:sz w:val="24"/>
                <w:szCs w:val="24"/>
                <w:highlight w:val="none"/>
                <w:lang w:val="en-US" w:eastAsia="zh-CN"/>
              </w:rPr>
            </w:pPr>
          </w:p>
        </w:tc>
      </w:tr>
      <w:tr w14:paraId="0ADFB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521" w:type="dxa"/>
            <w:vMerge w:val="restart"/>
            <w:tcBorders>
              <w:left w:val="single" w:color="auto" w:sz="4" w:space="0"/>
              <w:right w:val="single" w:color="auto" w:sz="4" w:space="0"/>
            </w:tcBorders>
            <w:shd w:val="clear" w:color="auto" w:fill="FFFFFF" w:themeFill="background1"/>
            <w:noWrap w:val="0"/>
            <w:vAlign w:val="center"/>
          </w:tcPr>
          <w:p w14:paraId="266A1AFD">
            <w:pPr>
              <w:widowControl/>
              <w:adjustRightInd/>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四害消杀及外来入侵物种</w:t>
            </w: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42B5B010">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1.28园内四害消杀不及时，蚊蝇较多。</w:t>
            </w:r>
          </w:p>
        </w:tc>
        <w:tc>
          <w:tcPr>
            <w:tcW w:w="1683" w:type="dxa"/>
            <w:tcBorders>
              <w:left w:val="single" w:color="auto" w:sz="4" w:space="0"/>
              <w:bottom w:val="single" w:color="auto" w:sz="4" w:space="0"/>
              <w:right w:val="single" w:color="auto" w:sz="4" w:space="0"/>
            </w:tcBorders>
            <w:shd w:val="clear" w:color="auto" w:fill="FFFFFF" w:themeFill="background1"/>
            <w:noWrap w:val="0"/>
            <w:vAlign w:val="center"/>
          </w:tcPr>
          <w:p w14:paraId="5B82D63E">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每发现一处扣0.5分。</w:t>
            </w:r>
          </w:p>
        </w:tc>
        <w:tc>
          <w:tcPr>
            <w:tcW w:w="863" w:type="dxa"/>
            <w:vMerge w:val="restart"/>
            <w:tcBorders>
              <w:left w:val="single" w:color="auto" w:sz="4" w:space="0"/>
              <w:right w:val="single" w:color="auto" w:sz="4" w:space="0"/>
            </w:tcBorders>
            <w:shd w:val="clear" w:color="auto" w:fill="FFFFFF" w:themeFill="background1"/>
            <w:noWrap w:val="0"/>
            <w:vAlign w:val="center"/>
          </w:tcPr>
          <w:p w14:paraId="10A7B73F">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r>
      <w:tr w14:paraId="638DD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464459BC">
            <w:pPr>
              <w:widowControl/>
              <w:adjustRightInd/>
              <w:jc w:val="center"/>
              <w:rPr>
                <w:rFonts w:hint="eastAsia" w:ascii="宋体" w:hAnsi="宋体" w:eastAsia="宋体" w:cs="宋体"/>
                <w:color w:val="auto"/>
                <w:sz w:val="24"/>
                <w:szCs w:val="24"/>
                <w:highlight w:val="none"/>
                <w:lang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03499C9E">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1.29园内未及时发现外来入侵物种，或发现后未及时上报和处理。</w:t>
            </w:r>
          </w:p>
        </w:tc>
        <w:tc>
          <w:tcPr>
            <w:tcW w:w="1683" w:type="dxa"/>
            <w:tcBorders>
              <w:left w:val="single" w:color="auto" w:sz="4" w:space="0"/>
              <w:bottom w:val="single" w:color="auto" w:sz="4" w:space="0"/>
              <w:right w:val="single" w:color="auto" w:sz="4" w:space="0"/>
            </w:tcBorders>
            <w:shd w:val="clear" w:color="auto" w:fill="FFFFFF" w:themeFill="background1"/>
            <w:noWrap w:val="0"/>
            <w:vAlign w:val="center"/>
          </w:tcPr>
          <w:p w14:paraId="302E7396">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每发现1次扣1分。</w:t>
            </w:r>
          </w:p>
        </w:tc>
        <w:tc>
          <w:tcPr>
            <w:tcW w:w="863" w:type="dxa"/>
            <w:vMerge w:val="continue"/>
            <w:tcBorders>
              <w:left w:val="single" w:color="auto" w:sz="4" w:space="0"/>
              <w:right w:val="single" w:color="auto" w:sz="4" w:space="0"/>
            </w:tcBorders>
            <w:shd w:val="clear" w:color="auto" w:fill="FFFFFF" w:themeFill="background1"/>
            <w:noWrap w:val="0"/>
            <w:vAlign w:val="center"/>
          </w:tcPr>
          <w:p w14:paraId="01855418">
            <w:pPr>
              <w:widowControl/>
              <w:adjustRightInd/>
              <w:jc w:val="center"/>
              <w:rPr>
                <w:rFonts w:hint="eastAsia" w:ascii="宋体" w:hAnsi="宋体" w:eastAsia="宋体" w:cs="宋体"/>
                <w:color w:val="auto"/>
                <w:sz w:val="24"/>
                <w:szCs w:val="24"/>
                <w:highlight w:val="none"/>
                <w:lang w:val="en-US" w:eastAsia="zh-CN"/>
              </w:rPr>
            </w:pPr>
          </w:p>
        </w:tc>
      </w:tr>
      <w:tr w14:paraId="7408D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9085" w:type="dxa"/>
            <w:gridSpan w:val="4"/>
            <w:tcBorders>
              <w:left w:val="single" w:color="auto" w:sz="4" w:space="0"/>
              <w:right w:val="single" w:color="auto" w:sz="4" w:space="0"/>
            </w:tcBorders>
            <w:shd w:val="clear" w:color="auto" w:fill="FFFFFF" w:themeFill="background1"/>
            <w:noWrap w:val="0"/>
            <w:vAlign w:val="center"/>
          </w:tcPr>
          <w:p w14:paraId="4A8C26DE">
            <w:pPr>
              <w:widowControl/>
              <w:tabs>
                <w:tab w:val="left" w:pos="3039"/>
              </w:tabs>
              <w:adjustRightInd/>
              <w:jc w:val="lef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（三）游客服务管理</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5分</w:t>
            </w:r>
            <w:r>
              <w:rPr>
                <w:rFonts w:hint="eastAsia" w:ascii="宋体" w:hAnsi="宋体" w:eastAsia="宋体" w:cs="宋体"/>
                <w:b/>
                <w:color w:val="auto"/>
                <w:sz w:val="24"/>
                <w:szCs w:val="24"/>
                <w:highlight w:val="none"/>
                <w:lang w:eastAsia="zh-CN"/>
              </w:rPr>
              <w:t>）</w:t>
            </w:r>
          </w:p>
        </w:tc>
      </w:tr>
      <w:tr w14:paraId="145CB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50" w:hRule="atLeast"/>
          <w:jc w:val="center"/>
        </w:trPr>
        <w:tc>
          <w:tcPr>
            <w:tcW w:w="1521" w:type="dxa"/>
            <w:tcBorders>
              <w:left w:val="single" w:color="auto" w:sz="4" w:space="0"/>
              <w:right w:val="single" w:color="auto" w:sz="4" w:space="0"/>
            </w:tcBorders>
            <w:shd w:val="clear" w:color="auto" w:fill="FFFFFF" w:themeFill="background1"/>
            <w:noWrap w:val="0"/>
            <w:vAlign w:val="center"/>
          </w:tcPr>
          <w:p w14:paraId="4E1FE140">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游客服务</w:t>
            </w: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top"/>
          </w:tcPr>
          <w:p w14:paraId="57D8EE47">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3.1公园咨询、投诉、接待等服务不到位，未按时记录并回复，或回复后游客仍不满意。</w:t>
            </w:r>
          </w:p>
        </w:tc>
        <w:tc>
          <w:tcPr>
            <w:tcW w:w="1683" w:type="dxa"/>
            <w:tcBorders>
              <w:left w:val="single" w:color="auto" w:sz="4" w:space="0"/>
              <w:bottom w:val="single" w:color="auto" w:sz="4" w:space="0"/>
              <w:right w:val="single" w:color="auto" w:sz="4" w:space="0"/>
            </w:tcBorders>
            <w:shd w:val="clear" w:color="auto" w:fill="FFFFFF" w:themeFill="background1"/>
            <w:noWrap w:val="0"/>
            <w:vAlign w:val="center"/>
          </w:tcPr>
          <w:p w14:paraId="48F0DEC1">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每发现一次扣1分（当月累计扣分）。</w:t>
            </w:r>
          </w:p>
        </w:tc>
        <w:tc>
          <w:tcPr>
            <w:tcW w:w="863" w:type="dxa"/>
            <w:tcBorders>
              <w:left w:val="single" w:color="auto" w:sz="4" w:space="0"/>
              <w:right w:val="single" w:color="auto" w:sz="4" w:space="0"/>
            </w:tcBorders>
            <w:shd w:val="clear" w:color="auto" w:fill="FFFFFF" w:themeFill="background1"/>
            <w:noWrap w:val="0"/>
            <w:vAlign w:val="center"/>
          </w:tcPr>
          <w:p w14:paraId="24B177F8">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r>
      <w:tr w14:paraId="2C05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9085" w:type="dxa"/>
            <w:gridSpan w:val="4"/>
            <w:tcBorders>
              <w:left w:val="single" w:color="auto" w:sz="4" w:space="0"/>
              <w:right w:val="single" w:color="auto" w:sz="4" w:space="0"/>
            </w:tcBorders>
            <w:shd w:val="clear" w:color="auto" w:fill="FFFFFF" w:themeFill="background1"/>
            <w:noWrap w:val="0"/>
            <w:vAlign w:val="center"/>
          </w:tcPr>
          <w:p w14:paraId="18EA0196">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（四）人员管理</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10分</w:t>
            </w:r>
            <w:r>
              <w:rPr>
                <w:rFonts w:hint="eastAsia" w:ascii="宋体" w:hAnsi="宋体" w:eastAsia="宋体" w:cs="宋体"/>
                <w:b/>
                <w:color w:val="auto"/>
                <w:sz w:val="24"/>
                <w:szCs w:val="24"/>
                <w:highlight w:val="none"/>
                <w:lang w:eastAsia="zh-CN"/>
              </w:rPr>
              <w:t>）</w:t>
            </w:r>
          </w:p>
        </w:tc>
      </w:tr>
      <w:tr w14:paraId="545F8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50" w:hRule="atLeast"/>
          <w:jc w:val="center"/>
        </w:trPr>
        <w:tc>
          <w:tcPr>
            <w:tcW w:w="1521" w:type="dxa"/>
            <w:vMerge w:val="restart"/>
            <w:tcBorders>
              <w:left w:val="single" w:color="auto" w:sz="4" w:space="0"/>
              <w:right w:val="single" w:color="auto" w:sz="4" w:space="0"/>
            </w:tcBorders>
            <w:shd w:val="clear" w:color="auto" w:fill="FFFFFF" w:themeFill="background1"/>
            <w:noWrap w:val="0"/>
            <w:vAlign w:val="center"/>
          </w:tcPr>
          <w:p w14:paraId="0A4B245B">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工作纪律</w:t>
            </w: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1F3F0C18">
            <w:pPr>
              <w:widowControl/>
              <w:adjustRightInd/>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4.1当班期间发生缺岗、脱岗、擅自离岗等现象。</w:t>
            </w:r>
          </w:p>
        </w:tc>
        <w:tc>
          <w:tcPr>
            <w:tcW w:w="1683" w:type="dxa"/>
            <w:vMerge w:val="restart"/>
            <w:tcBorders>
              <w:top w:val="single" w:color="auto" w:sz="4" w:space="0"/>
              <w:left w:val="single" w:color="auto" w:sz="4" w:space="0"/>
              <w:right w:val="single" w:color="auto" w:sz="4" w:space="0"/>
            </w:tcBorders>
            <w:shd w:val="clear" w:color="auto" w:fill="FFFFFF" w:themeFill="background1"/>
            <w:noWrap w:val="0"/>
            <w:vAlign w:val="center"/>
          </w:tcPr>
          <w:p w14:paraId="17496472">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每发现一次扣1分（当月累计扣分）。</w:t>
            </w:r>
          </w:p>
        </w:tc>
        <w:tc>
          <w:tcPr>
            <w:tcW w:w="863" w:type="dxa"/>
            <w:vMerge w:val="restart"/>
            <w:tcBorders>
              <w:top w:val="single" w:color="auto" w:sz="4" w:space="0"/>
              <w:left w:val="single" w:color="auto" w:sz="4" w:space="0"/>
              <w:right w:val="single" w:color="auto" w:sz="4" w:space="0"/>
            </w:tcBorders>
            <w:shd w:val="clear" w:color="auto" w:fill="FFFFFF" w:themeFill="background1"/>
            <w:noWrap w:val="0"/>
            <w:vAlign w:val="center"/>
          </w:tcPr>
          <w:p w14:paraId="59FA1C43">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r>
      <w:tr w14:paraId="7B508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79CC76D7">
            <w:pPr>
              <w:widowControl/>
              <w:adjustRightInd/>
              <w:jc w:val="center"/>
              <w:rPr>
                <w:rFonts w:hint="eastAsia" w:ascii="宋体" w:hAnsi="宋体" w:eastAsia="宋体" w:cs="宋体"/>
                <w:color w:val="auto"/>
                <w:sz w:val="24"/>
                <w:szCs w:val="24"/>
                <w:highlight w:val="none"/>
                <w:lang w:val="en-US"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48A951CC">
            <w:pPr>
              <w:widowControl/>
              <w:adjustRightInd/>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4.2当班期间未为市民游客提供力所能及的便利，存在服务态度差现象。</w:t>
            </w:r>
          </w:p>
        </w:tc>
        <w:tc>
          <w:tcPr>
            <w:tcW w:w="1683" w:type="dxa"/>
            <w:vMerge w:val="continue"/>
            <w:tcBorders>
              <w:left w:val="single" w:color="auto" w:sz="4" w:space="0"/>
              <w:bottom w:val="single" w:color="auto" w:sz="4" w:space="0"/>
              <w:right w:val="single" w:color="auto" w:sz="4" w:space="0"/>
            </w:tcBorders>
            <w:shd w:val="clear" w:color="auto" w:fill="FFFFFF" w:themeFill="background1"/>
            <w:noWrap w:val="0"/>
            <w:vAlign w:val="center"/>
          </w:tcPr>
          <w:p w14:paraId="1C0B32F0">
            <w:pPr>
              <w:widowControl/>
              <w:adjustRightInd/>
              <w:jc w:val="left"/>
              <w:rPr>
                <w:rFonts w:hint="eastAsia" w:ascii="宋体" w:hAnsi="宋体" w:eastAsia="宋体" w:cs="宋体"/>
                <w:color w:val="auto"/>
                <w:kern w:val="2"/>
                <w:sz w:val="24"/>
                <w:szCs w:val="24"/>
                <w:highlight w:val="none"/>
                <w:lang w:val="en-US" w:eastAsia="zh-CN" w:bidi="ar-SA"/>
              </w:rPr>
            </w:pPr>
          </w:p>
        </w:tc>
        <w:tc>
          <w:tcPr>
            <w:tcW w:w="863" w:type="dxa"/>
            <w:vMerge w:val="continue"/>
            <w:tcBorders>
              <w:left w:val="single" w:color="auto" w:sz="4" w:space="0"/>
              <w:right w:val="single" w:color="auto" w:sz="4" w:space="0"/>
            </w:tcBorders>
            <w:shd w:val="clear" w:color="auto" w:fill="FFFFFF" w:themeFill="background1"/>
            <w:noWrap w:val="0"/>
            <w:vAlign w:val="center"/>
          </w:tcPr>
          <w:p w14:paraId="57CAB13C">
            <w:pPr>
              <w:widowControl/>
              <w:adjustRightInd/>
              <w:jc w:val="center"/>
              <w:rPr>
                <w:rFonts w:hint="eastAsia" w:ascii="宋体" w:hAnsi="宋体" w:eastAsia="宋体" w:cs="宋体"/>
                <w:color w:val="auto"/>
                <w:sz w:val="24"/>
                <w:szCs w:val="24"/>
                <w:highlight w:val="none"/>
                <w:lang w:val="en-US" w:eastAsia="zh-CN"/>
              </w:rPr>
            </w:pPr>
          </w:p>
        </w:tc>
      </w:tr>
      <w:tr w14:paraId="12C38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21" w:type="dxa"/>
            <w:vMerge w:val="continue"/>
            <w:tcBorders>
              <w:left w:val="single" w:color="auto" w:sz="4" w:space="0"/>
              <w:right w:val="single" w:color="auto" w:sz="4" w:space="0"/>
            </w:tcBorders>
            <w:shd w:val="clear" w:color="auto" w:fill="FFFFFF" w:themeFill="background1"/>
            <w:noWrap w:val="0"/>
            <w:vAlign w:val="center"/>
          </w:tcPr>
          <w:p w14:paraId="27ADBBEB">
            <w:pPr>
              <w:widowControl/>
              <w:adjustRightInd/>
              <w:jc w:val="center"/>
              <w:rPr>
                <w:rFonts w:hint="eastAsia" w:ascii="宋体" w:hAnsi="宋体" w:eastAsia="宋体" w:cs="宋体"/>
                <w:color w:val="auto"/>
                <w:sz w:val="24"/>
                <w:szCs w:val="24"/>
                <w:highlight w:val="none"/>
                <w:lang w:val="en-US" w:eastAsia="zh-CN"/>
              </w:rPr>
            </w:pP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5520AD9A">
            <w:pPr>
              <w:widowControl/>
              <w:adjustRightInd/>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4.3当班期间未着统一工作服，当班期间存在打瞌睡、玩手机等与工作内容无关的现象。</w:t>
            </w:r>
          </w:p>
        </w:tc>
        <w:tc>
          <w:tcPr>
            <w:tcW w:w="1683"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457F6D8E">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每发现一次扣0.5分（当月累计扣分）。</w:t>
            </w:r>
          </w:p>
        </w:tc>
        <w:tc>
          <w:tcPr>
            <w:tcW w:w="863" w:type="dxa"/>
            <w:vMerge w:val="continue"/>
            <w:tcBorders>
              <w:left w:val="single" w:color="auto" w:sz="4" w:space="0"/>
              <w:right w:val="single" w:color="auto" w:sz="4" w:space="0"/>
            </w:tcBorders>
            <w:shd w:val="clear" w:color="auto" w:fill="FFFFFF" w:themeFill="background1"/>
            <w:noWrap w:val="0"/>
            <w:vAlign w:val="center"/>
          </w:tcPr>
          <w:p w14:paraId="3B592BA4">
            <w:pPr>
              <w:widowControl/>
              <w:adjustRightInd/>
              <w:jc w:val="center"/>
              <w:rPr>
                <w:rFonts w:hint="eastAsia" w:ascii="宋体" w:hAnsi="宋体" w:eastAsia="宋体" w:cs="宋体"/>
                <w:color w:val="auto"/>
                <w:sz w:val="24"/>
                <w:szCs w:val="24"/>
                <w:highlight w:val="none"/>
                <w:lang w:val="en-US" w:eastAsia="zh-CN"/>
              </w:rPr>
            </w:pPr>
          </w:p>
        </w:tc>
      </w:tr>
      <w:tr w14:paraId="316B9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21" w:type="dxa"/>
            <w:tcBorders>
              <w:left w:val="single" w:color="auto" w:sz="4" w:space="0"/>
              <w:right w:val="single" w:color="auto" w:sz="4" w:space="0"/>
            </w:tcBorders>
            <w:shd w:val="clear" w:color="auto" w:fill="FFFFFF" w:themeFill="background1"/>
            <w:noWrap w:val="0"/>
            <w:vAlign w:val="center"/>
          </w:tcPr>
          <w:p w14:paraId="1BE48D0F">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服从管理</w:t>
            </w: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6EE0BDCD">
            <w:pPr>
              <w:widowControl/>
              <w:adjustRightInd/>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4.4未能服从采购人调度或未能完成临时指派任务。</w:t>
            </w:r>
          </w:p>
        </w:tc>
        <w:tc>
          <w:tcPr>
            <w:tcW w:w="1683"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15C5A13C">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每发现一次，根据情节轻重扣1—3分。</w:t>
            </w:r>
          </w:p>
        </w:tc>
        <w:tc>
          <w:tcPr>
            <w:tcW w:w="863" w:type="dxa"/>
            <w:vMerge w:val="continue"/>
            <w:tcBorders>
              <w:left w:val="single" w:color="auto" w:sz="4" w:space="0"/>
              <w:bottom w:val="single" w:color="auto" w:sz="4" w:space="0"/>
              <w:right w:val="single" w:color="auto" w:sz="4" w:space="0"/>
            </w:tcBorders>
            <w:shd w:val="clear" w:color="auto" w:fill="FFFFFF" w:themeFill="background1"/>
            <w:noWrap w:val="0"/>
            <w:vAlign w:val="center"/>
          </w:tcPr>
          <w:p w14:paraId="7C10C8C6">
            <w:pPr>
              <w:widowControl/>
              <w:adjustRightInd/>
              <w:jc w:val="center"/>
              <w:rPr>
                <w:rFonts w:hint="eastAsia" w:ascii="宋体" w:hAnsi="宋体" w:eastAsia="宋体" w:cs="宋体"/>
                <w:color w:val="auto"/>
                <w:sz w:val="24"/>
                <w:szCs w:val="24"/>
                <w:highlight w:val="none"/>
                <w:lang w:val="en-US" w:eastAsia="zh-CN"/>
              </w:rPr>
            </w:pPr>
          </w:p>
        </w:tc>
      </w:tr>
      <w:tr w14:paraId="3C125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16" w:hRule="atLeast"/>
          <w:jc w:val="center"/>
        </w:trPr>
        <w:tc>
          <w:tcPr>
            <w:tcW w:w="9085" w:type="dxa"/>
            <w:gridSpan w:val="4"/>
            <w:tcBorders>
              <w:left w:val="single" w:color="auto" w:sz="4" w:space="0"/>
              <w:right w:val="single" w:color="auto" w:sz="4" w:space="0"/>
            </w:tcBorders>
            <w:shd w:val="clear" w:color="auto" w:fill="FFFFFF" w:themeFill="background1"/>
            <w:noWrap w:val="0"/>
            <w:vAlign w:val="center"/>
          </w:tcPr>
          <w:p w14:paraId="56E4CEC4">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（五）台账管理</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5分</w:t>
            </w:r>
            <w:r>
              <w:rPr>
                <w:rFonts w:hint="eastAsia" w:ascii="宋体" w:hAnsi="宋体" w:eastAsia="宋体" w:cs="宋体"/>
                <w:b/>
                <w:color w:val="auto"/>
                <w:sz w:val="24"/>
                <w:szCs w:val="24"/>
                <w:highlight w:val="none"/>
                <w:lang w:eastAsia="zh-CN"/>
              </w:rPr>
              <w:t>）</w:t>
            </w:r>
          </w:p>
        </w:tc>
      </w:tr>
      <w:tr w14:paraId="41B6E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50" w:hRule="atLeast"/>
          <w:jc w:val="center"/>
        </w:trPr>
        <w:tc>
          <w:tcPr>
            <w:tcW w:w="1521" w:type="dxa"/>
            <w:tcBorders>
              <w:left w:val="single" w:color="auto" w:sz="4" w:space="0"/>
              <w:right w:val="single" w:color="auto" w:sz="4" w:space="0"/>
            </w:tcBorders>
            <w:shd w:val="clear" w:color="auto" w:fill="FFFFFF" w:themeFill="background1"/>
            <w:noWrap w:val="0"/>
            <w:vAlign w:val="center"/>
          </w:tcPr>
          <w:p w14:paraId="3AE5DCCA">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台账信息</w:t>
            </w:r>
          </w:p>
        </w:tc>
        <w:tc>
          <w:tcPr>
            <w:tcW w:w="5018"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top"/>
          </w:tcPr>
          <w:p w14:paraId="1D2CC04E">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5.1未按时提供采购人所需台账资料或提供台账资料不全、不准确、不完整。</w:t>
            </w:r>
          </w:p>
        </w:tc>
        <w:tc>
          <w:tcPr>
            <w:tcW w:w="1683"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36F0AAEE">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每缺1项扣1分。</w:t>
            </w:r>
          </w:p>
        </w:tc>
        <w:tc>
          <w:tcPr>
            <w:tcW w:w="863"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39D32EFE">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r>
      <w:tr w14:paraId="59230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9085" w:type="dxa"/>
            <w:gridSpan w:val="4"/>
            <w:tcBorders>
              <w:left w:val="single" w:color="auto" w:sz="4" w:space="0"/>
              <w:right w:val="single" w:color="auto" w:sz="4" w:space="0"/>
            </w:tcBorders>
            <w:shd w:val="clear" w:color="auto" w:fill="FFFFFF" w:themeFill="background1"/>
            <w:noWrap w:val="0"/>
            <w:vAlign w:val="top"/>
          </w:tcPr>
          <w:p w14:paraId="51648A54">
            <w:pPr>
              <w:widowControl/>
              <w:adjustRightInd/>
              <w:jc w:val="both"/>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备注：</w:t>
            </w:r>
            <w:r>
              <w:rPr>
                <w:rFonts w:hint="eastAsia" w:ascii="宋体" w:hAnsi="宋体" w:eastAsia="宋体" w:cs="宋体"/>
                <w:color w:val="auto"/>
                <w:sz w:val="24"/>
                <w:szCs w:val="24"/>
                <w:highlight w:val="none"/>
                <w:lang w:val="en-US" w:eastAsia="zh-CN"/>
              </w:rPr>
              <w:t>1.由采购单位每月对公园（固定支付部分）进行综合考核，90分及以上为优秀，60分及以上为合格。低于90分，每下降0.1分扣除当月固定支付部分的0.1%；低于80分，每下降0.1分扣除当月固定支付部分的0.2%，如当月考核成绩为79分，本月考核扣除固定部分22%养护经费，计算公式：[（90-79）/0.1]</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0.2%=22%；低于60分，不支付当月固定支付部分。</w:t>
            </w:r>
          </w:p>
        </w:tc>
      </w:tr>
    </w:tbl>
    <w:p w14:paraId="67093334">
      <w:pPr>
        <w:widowControl/>
        <w:tabs>
          <w:tab w:val="left" w:pos="851"/>
        </w:tabs>
        <w:adjustRightInd/>
        <w:spacing w:line="360" w:lineRule="auto"/>
        <w:outlineLvl w:val="1"/>
        <w:rPr>
          <w:rFonts w:hint="eastAsia" w:ascii="宋体" w:hAnsi="宋体" w:cs="宋体"/>
          <w:b/>
          <w:bCs w:val="0"/>
          <w:color w:val="auto"/>
          <w:kern w:val="0"/>
          <w:sz w:val="24"/>
          <w:highlight w:val="none"/>
          <w:lang w:val="en-US" w:eastAsia="zh-CN"/>
        </w:rPr>
        <w:sectPr>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AA50F69">
      <w:pPr>
        <w:widowControl/>
        <w:tabs>
          <w:tab w:val="left" w:pos="851"/>
        </w:tabs>
        <w:adjustRightInd/>
        <w:spacing w:line="360" w:lineRule="auto"/>
        <w:outlineLvl w:val="1"/>
        <w:rPr>
          <w:rFonts w:hint="default"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九、费用构成及相关要求</w:t>
      </w:r>
    </w:p>
    <w:p w14:paraId="5E6E174B">
      <w:pPr>
        <w:widowControl/>
        <w:tabs>
          <w:tab w:val="left" w:pos="851"/>
        </w:tabs>
        <w:adjustRightInd/>
        <w:spacing w:line="360" w:lineRule="auto"/>
        <w:outlineLvl w:val="1"/>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（一）主要费用构成</w:t>
      </w:r>
    </w:p>
    <w:p w14:paraId="36E1FE3F">
      <w:pPr>
        <w:widowControl/>
        <w:tabs>
          <w:tab w:val="left" w:pos="851"/>
        </w:tabs>
        <w:adjustRightInd/>
        <w:spacing w:line="360" w:lineRule="auto"/>
        <w:outlineLvl w:val="1"/>
        <w:rPr>
          <w:rFonts w:hint="default"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详见附件</w:t>
      </w:r>
      <w:r>
        <w:rPr>
          <w:rFonts w:hint="eastAsia" w:ascii="宋体" w:hAnsi="宋体" w:cs="宋体"/>
          <w:b/>
          <w:color w:val="auto"/>
          <w:kern w:val="0"/>
          <w:sz w:val="24"/>
          <w:highlight w:val="none"/>
          <w:lang w:val="en-US" w:eastAsia="zh-CN"/>
        </w:rPr>
        <w:t xml:space="preserve"> </w:t>
      </w:r>
      <w:r>
        <w:rPr>
          <w:rFonts w:hint="eastAsia" w:ascii="宋体" w:hAnsi="宋体" w:eastAsia="宋体" w:cs="宋体"/>
          <w:b/>
          <w:color w:val="auto"/>
          <w:kern w:val="0"/>
          <w:sz w:val="24"/>
          <w:highlight w:val="none"/>
          <w:lang w:val="en-US" w:eastAsia="zh-CN"/>
        </w:rPr>
        <w:t>设施量清单及编制说明</w:t>
      </w:r>
    </w:p>
    <w:p w14:paraId="45A22DBC">
      <w:pPr>
        <w:widowControl/>
        <w:tabs>
          <w:tab w:val="left" w:pos="851"/>
        </w:tabs>
        <w:adjustRightInd/>
        <w:spacing w:line="360" w:lineRule="auto"/>
        <w:outlineLvl w:val="1"/>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（二）主要材料及相关技术要求</w:t>
      </w:r>
    </w:p>
    <w:p w14:paraId="2A49C064">
      <w:pPr>
        <w:widowControl/>
        <w:tabs>
          <w:tab w:val="left" w:pos="851"/>
        </w:tabs>
        <w:adjustRightInd/>
        <w:spacing w:line="360" w:lineRule="auto"/>
        <w:ind w:firstLine="480" w:firstLineChars="200"/>
        <w:rPr>
          <w:rFonts w:hint="default"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①游客服务消耗用品</w:t>
      </w:r>
    </w:p>
    <w:tbl>
      <w:tblPr>
        <w:tblStyle w:val="62"/>
        <w:tblW w:w="91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492"/>
        <w:gridCol w:w="1060"/>
        <w:gridCol w:w="5678"/>
        <w:gridCol w:w="1240"/>
      </w:tblGrid>
      <w:tr w14:paraId="36EC8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39" w:type="dxa"/>
            <w:vAlign w:val="center"/>
          </w:tcPr>
          <w:p w14:paraId="25E23A76">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类别</w:t>
            </w:r>
          </w:p>
        </w:tc>
        <w:tc>
          <w:tcPr>
            <w:tcW w:w="492" w:type="dxa"/>
            <w:vAlign w:val="center"/>
          </w:tcPr>
          <w:p w14:paraId="49EA9BBF">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序号</w:t>
            </w:r>
          </w:p>
        </w:tc>
        <w:tc>
          <w:tcPr>
            <w:tcW w:w="1060" w:type="dxa"/>
            <w:vAlign w:val="center"/>
          </w:tcPr>
          <w:p w14:paraId="772AA588">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名称</w:t>
            </w:r>
          </w:p>
        </w:tc>
        <w:tc>
          <w:tcPr>
            <w:tcW w:w="5678" w:type="dxa"/>
            <w:vAlign w:val="center"/>
          </w:tcPr>
          <w:p w14:paraId="183044E6">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主要技术参数</w:t>
            </w:r>
          </w:p>
        </w:tc>
        <w:tc>
          <w:tcPr>
            <w:tcW w:w="1240" w:type="dxa"/>
            <w:vAlign w:val="center"/>
          </w:tcPr>
          <w:p w14:paraId="5AA3D7A5">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备注</w:t>
            </w:r>
          </w:p>
        </w:tc>
      </w:tr>
      <w:tr w14:paraId="7B46F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39" w:type="dxa"/>
            <w:vMerge w:val="restart"/>
            <w:vAlign w:val="center"/>
          </w:tcPr>
          <w:p w14:paraId="0BC00373">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游客服务消耗用品</w:t>
            </w:r>
          </w:p>
        </w:tc>
        <w:tc>
          <w:tcPr>
            <w:tcW w:w="492" w:type="dxa"/>
            <w:vAlign w:val="center"/>
          </w:tcPr>
          <w:p w14:paraId="1CF9C29B">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1060" w:type="dxa"/>
            <w:vAlign w:val="center"/>
          </w:tcPr>
          <w:p w14:paraId="7EB94C91">
            <w:pPr>
              <w:widowControl w:val="0"/>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厕所用大卷纸</w:t>
            </w:r>
          </w:p>
        </w:tc>
        <w:tc>
          <w:tcPr>
            <w:tcW w:w="5678" w:type="dxa"/>
            <w:vAlign w:val="center"/>
          </w:tcPr>
          <w:p w14:paraId="4DE3EF78">
            <w:pPr>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中心抽卫生纸；纸张尺寸180mm</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134mm</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层；铜芯直径58mm；原生木浆；</w:t>
            </w:r>
          </w:p>
        </w:tc>
        <w:tc>
          <w:tcPr>
            <w:tcW w:w="1240" w:type="dxa"/>
            <w:vMerge w:val="restart"/>
            <w:vAlign w:val="center"/>
          </w:tcPr>
          <w:p w14:paraId="18230C4E">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用于洗手间、母婴室等游客服务设施</w:t>
            </w:r>
          </w:p>
        </w:tc>
      </w:tr>
      <w:tr w14:paraId="5D4E2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39" w:type="dxa"/>
            <w:vMerge w:val="continue"/>
            <w:vAlign w:val="center"/>
          </w:tcPr>
          <w:p w14:paraId="518799AF">
            <w:pPr>
              <w:jc w:val="left"/>
              <w:rPr>
                <w:rFonts w:hint="eastAsia" w:ascii="宋体" w:hAnsi="宋体" w:eastAsia="宋体" w:cs="宋体"/>
                <w:color w:val="auto"/>
                <w:kern w:val="0"/>
                <w:sz w:val="24"/>
                <w:szCs w:val="24"/>
                <w:highlight w:val="none"/>
              </w:rPr>
            </w:pPr>
          </w:p>
        </w:tc>
        <w:tc>
          <w:tcPr>
            <w:tcW w:w="492" w:type="dxa"/>
            <w:vAlign w:val="center"/>
          </w:tcPr>
          <w:p w14:paraId="6B433268">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2</w:t>
            </w:r>
          </w:p>
        </w:tc>
        <w:tc>
          <w:tcPr>
            <w:tcW w:w="1060" w:type="dxa"/>
            <w:vAlign w:val="center"/>
          </w:tcPr>
          <w:p w14:paraId="4BFF80B5">
            <w:pPr>
              <w:widowControl w:val="0"/>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洗手液</w:t>
            </w:r>
          </w:p>
        </w:tc>
        <w:tc>
          <w:tcPr>
            <w:tcW w:w="5678" w:type="dxa"/>
            <w:vAlign w:val="center"/>
          </w:tcPr>
          <w:p w14:paraId="4DAFC871">
            <w:pPr>
              <w:widowControl w:val="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温和型泡沫洗手液（自然清新）；1000ml/支</w:t>
            </w:r>
          </w:p>
        </w:tc>
        <w:tc>
          <w:tcPr>
            <w:tcW w:w="1240" w:type="dxa"/>
            <w:vMerge w:val="continue"/>
            <w:vAlign w:val="center"/>
          </w:tcPr>
          <w:p w14:paraId="3994A35A">
            <w:pPr>
              <w:jc w:val="left"/>
              <w:rPr>
                <w:rFonts w:hint="eastAsia" w:ascii="宋体" w:hAnsi="宋体" w:eastAsia="宋体" w:cs="宋体"/>
                <w:color w:val="auto"/>
                <w:kern w:val="0"/>
                <w:sz w:val="24"/>
                <w:szCs w:val="24"/>
                <w:highlight w:val="none"/>
              </w:rPr>
            </w:pPr>
          </w:p>
        </w:tc>
      </w:tr>
      <w:tr w14:paraId="26FBE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9" w:type="dxa"/>
            <w:vMerge w:val="continue"/>
            <w:vAlign w:val="center"/>
          </w:tcPr>
          <w:p w14:paraId="1E0B9E19">
            <w:pPr>
              <w:jc w:val="left"/>
              <w:rPr>
                <w:rFonts w:hint="eastAsia" w:ascii="宋体" w:hAnsi="宋体" w:eastAsia="宋体" w:cs="宋体"/>
                <w:color w:val="auto"/>
                <w:kern w:val="0"/>
                <w:sz w:val="24"/>
                <w:szCs w:val="24"/>
                <w:highlight w:val="none"/>
              </w:rPr>
            </w:pPr>
          </w:p>
        </w:tc>
        <w:tc>
          <w:tcPr>
            <w:tcW w:w="492" w:type="dxa"/>
            <w:vAlign w:val="center"/>
          </w:tcPr>
          <w:p w14:paraId="0D9558BE">
            <w:pPr>
              <w:widowControl w:val="0"/>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3</w:t>
            </w:r>
          </w:p>
        </w:tc>
        <w:tc>
          <w:tcPr>
            <w:tcW w:w="1060" w:type="dxa"/>
            <w:vAlign w:val="center"/>
          </w:tcPr>
          <w:p w14:paraId="30AC85C1">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檀香</w:t>
            </w:r>
          </w:p>
        </w:tc>
        <w:tc>
          <w:tcPr>
            <w:tcW w:w="5678" w:type="dxa"/>
            <w:vAlign w:val="center"/>
          </w:tcPr>
          <w:p w14:paraId="667DE439">
            <w:pPr>
              <w:widowControl w:val="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安全环保；对人体无害；气味温和</w:t>
            </w:r>
          </w:p>
        </w:tc>
        <w:tc>
          <w:tcPr>
            <w:tcW w:w="1240" w:type="dxa"/>
            <w:vMerge w:val="continue"/>
            <w:vAlign w:val="center"/>
          </w:tcPr>
          <w:p w14:paraId="3FC2C5EC">
            <w:pPr>
              <w:jc w:val="left"/>
              <w:rPr>
                <w:rFonts w:hint="eastAsia" w:ascii="宋体" w:hAnsi="宋体" w:eastAsia="宋体" w:cs="宋体"/>
                <w:color w:val="auto"/>
                <w:kern w:val="0"/>
                <w:sz w:val="24"/>
                <w:szCs w:val="24"/>
                <w:highlight w:val="none"/>
              </w:rPr>
            </w:pPr>
          </w:p>
        </w:tc>
      </w:tr>
      <w:tr w14:paraId="1D011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9" w:type="dxa"/>
            <w:vMerge w:val="continue"/>
            <w:vAlign w:val="center"/>
          </w:tcPr>
          <w:p w14:paraId="66A40373">
            <w:pPr>
              <w:jc w:val="left"/>
              <w:rPr>
                <w:rFonts w:hint="eastAsia" w:ascii="宋体" w:hAnsi="宋体" w:eastAsia="宋体" w:cs="宋体"/>
                <w:color w:val="auto"/>
                <w:kern w:val="0"/>
                <w:sz w:val="24"/>
                <w:szCs w:val="24"/>
                <w:highlight w:val="none"/>
              </w:rPr>
            </w:pPr>
          </w:p>
        </w:tc>
        <w:tc>
          <w:tcPr>
            <w:tcW w:w="492" w:type="dxa"/>
            <w:vAlign w:val="center"/>
          </w:tcPr>
          <w:p w14:paraId="733F95A7">
            <w:pPr>
              <w:widowControl w:val="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w:t>
            </w:r>
          </w:p>
        </w:tc>
        <w:tc>
          <w:tcPr>
            <w:tcW w:w="1060" w:type="dxa"/>
            <w:vAlign w:val="center"/>
          </w:tcPr>
          <w:p w14:paraId="662AA5AE">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eastAsia="zh-CN"/>
              </w:rPr>
              <w:t>铝丝</w:t>
            </w:r>
          </w:p>
        </w:tc>
        <w:tc>
          <w:tcPr>
            <w:tcW w:w="5678" w:type="dxa"/>
            <w:vMerge w:val="restart"/>
            <w:vAlign w:val="center"/>
          </w:tcPr>
          <w:p w14:paraId="1F7EA6F7">
            <w:pPr>
              <w:widowControl w:val="0"/>
              <w:rPr>
                <w:rFonts w:hint="default" w:ascii="宋体" w:hAnsi="宋体" w:eastAsia="宋体" w:cs="宋体"/>
                <w:color w:val="auto"/>
                <w:kern w:val="0"/>
                <w:sz w:val="24"/>
                <w:szCs w:val="24"/>
                <w:highlight w:val="none"/>
                <w:lang w:val="en-US" w:eastAsia="zh-CN"/>
              </w:rPr>
            </w:pPr>
            <w:r>
              <w:rPr>
                <w:rFonts w:hint="default" w:ascii="宋体" w:hAnsi="宋体" w:eastAsia="宋体" w:cs="宋体"/>
                <w:color w:val="auto"/>
                <w:kern w:val="0"/>
                <w:sz w:val="24"/>
                <w:szCs w:val="24"/>
                <w:highlight w:val="none"/>
                <w:lang w:val="en-US" w:eastAsia="zh-CN"/>
              </w:rPr>
              <w:t>1km/卷</w:t>
            </w:r>
          </w:p>
          <w:p w14:paraId="120EBA80">
            <w:pPr>
              <w:widowControl w:val="0"/>
              <w:rPr>
                <w:rFonts w:hint="default" w:ascii="宋体" w:hAnsi="宋体" w:eastAsia="宋体" w:cs="宋体"/>
                <w:color w:val="auto"/>
                <w:kern w:val="0"/>
                <w:sz w:val="24"/>
                <w:szCs w:val="24"/>
                <w:highlight w:val="none"/>
                <w:lang w:val="en-US" w:eastAsia="zh-CN"/>
              </w:rPr>
            </w:pPr>
            <w:r>
              <w:rPr>
                <w:rFonts w:hint="default" w:ascii="宋体" w:hAnsi="宋体" w:eastAsia="宋体" w:cs="宋体"/>
                <w:color w:val="auto"/>
                <w:kern w:val="0"/>
                <w:sz w:val="24"/>
                <w:szCs w:val="24"/>
                <w:highlight w:val="none"/>
                <w:lang w:val="en-US" w:eastAsia="zh-CN"/>
              </w:rPr>
              <w:t>4m×100m/卷</w:t>
            </w:r>
          </w:p>
        </w:tc>
        <w:tc>
          <w:tcPr>
            <w:tcW w:w="1240" w:type="dxa"/>
            <w:vMerge w:val="restart"/>
            <w:vAlign w:val="center"/>
          </w:tcPr>
          <w:p w14:paraId="2A8BE01A">
            <w:pPr>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仅盆景园用</w:t>
            </w:r>
          </w:p>
        </w:tc>
      </w:tr>
      <w:tr w14:paraId="7D513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9" w:type="dxa"/>
            <w:vMerge w:val="continue"/>
            <w:vAlign w:val="center"/>
          </w:tcPr>
          <w:p w14:paraId="51B1B8A3">
            <w:pPr>
              <w:jc w:val="left"/>
              <w:rPr>
                <w:rFonts w:hint="eastAsia" w:ascii="宋体" w:hAnsi="宋体" w:eastAsia="宋体" w:cs="宋体"/>
                <w:color w:val="auto"/>
                <w:kern w:val="0"/>
                <w:sz w:val="24"/>
                <w:szCs w:val="24"/>
                <w:highlight w:val="none"/>
              </w:rPr>
            </w:pPr>
          </w:p>
        </w:tc>
        <w:tc>
          <w:tcPr>
            <w:tcW w:w="492" w:type="dxa"/>
            <w:vAlign w:val="center"/>
          </w:tcPr>
          <w:p w14:paraId="3F6DEE49">
            <w:pPr>
              <w:widowControl w:val="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w:t>
            </w:r>
          </w:p>
        </w:tc>
        <w:tc>
          <w:tcPr>
            <w:tcW w:w="1060" w:type="dxa"/>
            <w:vAlign w:val="center"/>
          </w:tcPr>
          <w:p w14:paraId="6762D914">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eastAsia="zh-CN"/>
              </w:rPr>
              <w:t>遮阴网</w:t>
            </w:r>
          </w:p>
        </w:tc>
        <w:tc>
          <w:tcPr>
            <w:tcW w:w="5678" w:type="dxa"/>
            <w:vMerge w:val="continue"/>
            <w:vAlign w:val="center"/>
          </w:tcPr>
          <w:p w14:paraId="706146D1">
            <w:pPr>
              <w:widowControl w:val="0"/>
              <w:rPr>
                <w:rFonts w:hint="eastAsia" w:ascii="宋体" w:hAnsi="宋体" w:eastAsia="宋体" w:cs="宋体"/>
                <w:color w:val="auto"/>
                <w:kern w:val="0"/>
                <w:sz w:val="24"/>
                <w:szCs w:val="24"/>
                <w:highlight w:val="none"/>
                <w:lang w:eastAsia="zh-CN"/>
              </w:rPr>
            </w:pPr>
          </w:p>
        </w:tc>
        <w:tc>
          <w:tcPr>
            <w:tcW w:w="1240" w:type="dxa"/>
            <w:vMerge w:val="continue"/>
            <w:vAlign w:val="center"/>
          </w:tcPr>
          <w:p w14:paraId="14380053">
            <w:pPr>
              <w:jc w:val="left"/>
              <w:rPr>
                <w:rFonts w:hint="eastAsia" w:ascii="宋体" w:hAnsi="宋体" w:eastAsia="宋体" w:cs="宋体"/>
                <w:color w:val="auto"/>
                <w:kern w:val="0"/>
                <w:sz w:val="24"/>
                <w:szCs w:val="24"/>
                <w:highlight w:val="none"/>
                <w:lang w:val="en-US" w:eastAsia="zh-CN" w:bidi="ar-SA"/>
              </w:rPr>
            </w:pPr>
          </w:p>
        </w:tc>
      </w:tr>
      <w:tr w14:paraId="56BBF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9" w:type="dxa"/>
            <w:vMerge w:val="continue"/>
            <w:vAlign w:val="center"/>
          </w:tcPr>
          <w:p w14:paraId="66449A57">
            <w:pPr>
              <w:jc w:val="left"/>
              <w:rPr>
                <w:rFonts w:hint="eastAsia" w:ascii="宋体" w:hAnsi="宋体" w:eastAsia="宋体" w:cs="宋体"/>
                <w:color w:val="auto"/>
                <w:kern w:val="0"/>
                <w:sz w:val="24"/>
                <w:szCs w:val="24"/>
                <w:highlight w:val="none"/>
              </w:rPr>
            </w:pPr>
          </w:p>
        </w:tc>
        <w:tc>
          <w:tcPr>
            <w:tcW w:w="492" w:type="dxa"/>
            <w:vAlign w:val="center"/>
          </w:tcPr>
          <w:p w14:paraId="4211486E">
            <w:pPr>
              <w:widowControl w:val="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6</w:t>
            </w:r>
          </w:p>
        </w:tc>
        <w:tc>
          <w:tcPr>
            <w:tcW w:w="1060" w:type="dxa"/>
            <w:vAlign w:val="center"/>
          </w:tcPr>
          <w:p w14:paraId="2C9401DA">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eastAsia="zh-CN"/>
              </w:rPr>
              <w:t>草包</w:t>
            </w:r>
          </w:p>
        </w:tc>
        <w:tc>
          <w:tcPr>
            <w:tcW w:w="5678" w:type="dxa"/>
            <w:vMerge w:val="continue"/>
            <w:vAlign w:val="center"/>
          </w:tcPr>
          <w:p w14:paraId="698C5883">
            <w:pPr>
              <w:widowControl w:val="0"/>
              <w:rPr>
                <w:rFonts w:hint="eastAsia" w:ascii="宋体" w:hAnsi="宋体" w:eastAsia="宋体" w:cs="宋体"/>
                <w:color w:val="auto"/>
                <w:kern w:val="0"/>
                <w:sz w:val="24"/>
                <w:szCs w:val="24"/>
                <w:highlight w:val="none"/>
                <w:lang w:eastAsia="zh-CN"/>
              </w:rPr>
            </w:pPr>
          </w:p>
        </w:tc>
        <w:tc>
          <w:tcPr>
            <w:tcW w:w="1240" w:type="dxa"/>
            <w:vMerge w:val="continue"/>
            <w:vAlign w:val="center"/>
          </w:tcPr>
          <w:p w14:paraId="37C36B5E">
            <w:pPr>
              <w:jc w:val="left"/>
              <w:rPr>
                <w:rFonts w:hint="eastAsia" w:ascii="宋体" w:hAnsi="宋体" w:eastAsia="宋体" w:cs="宋体"/>
                <w:color w:val="auto"/>
                <w:kern w:val="0"/>
                <w:sz w:val="24"/>
                <w:szCs w:val="24"/>
                <w:highlight w:val="none"/>
                <w:lang w:eastAsia="zh-CN"/>
              </w:rPr>
            </w:pPr>
          </w:p>
        </w:tc>
      </w:tr>
      <w:tr w14:paraId="7091D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9" w:type="dxa"/>
            <w:vMerge w:val="continue"/>
            <w:vAlign w:val="center"/>
          </w:tcPr>
          <w:p w14:paraId="0865D015">
            <w:pPr>
              <w:jc w:val="left"/>
              <w:rPr>
                <w:rFonts w:hint="eastAsia" w:ascii="宋体" w:hAnsi="宋体" w:eastAsia="宋体" w:cs="宋体"/>
                <w:color w:val="auto"/>
                <w:kern w:val="0"/>
                <w:sz w:val="24"/>
                <w:szCs w:val="24"/>
                <w:highlight w:val="none"/>
              </w:rPr>
            </w:pPr>
          </w:p>
        </w:tc>
        <w:tc>
          <w:tcPr>
            <w:tcW w:w="492" w:type="dxa"/>
            <w:vAlign w:val="center"/>
          </w:tcPr>
          <w:p w14:paraId="0B79F98A">
            <w:pPr>
              <w:widowControl w:val="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7</w:t>
            </w:r>
          </w:p>
        </w:tc>
        <w:tc>
          <w:tcPr>
            <w:tcW w:w="1060" w:type="dxa"/>
            <w:vAlign w:val="center"/>
          </w:tcPr>
          <w:p w14:paraId="67087AC1">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eastAsia="zh-CN"/>
              </w:rPr>
              <w:t>花盆</w:t>
            </w:r>
          </w:p>
        </w:tc>
        <w:tc>
          <w:tcPr>
            <w:tcW w:w="5678" w:type="dxa"/>
            <w:vMerge w:val="continue"/>
            <w:vAlign w:val="center"/>
          </w:tcPr>
          <w:p w14:paraId="7A79582E">
            <w:pPr>
              <w:widowControl w:val="0"/>
              <w:rPr>
                <w:rFonts w:hint="eastAsia" w:ascii="宋体" w:hAnsi="宋体" w:eastAsia="宋体" w:cs="宋体"/>
                <w:color w:val="auto"/>
                <w:kern w:val="0"/>
                <w:sz w:val="24"/>
                <w:szCs w:val="24"/>
                <w:highlight w:val="none"/>
                <w:lang w:eastAsia="zh-CN"/>
              </w:rPr>
            </w:pPr>
          </w:p>
        </w:tc>
        <w:tc>
          <w:tcPr>
            <w:tcW w:w="1240" w:type="dxa"/>
            <w:vMerge w:val="continue"/>
            <w:vAlign w:val="center"/>
          </w:tcPr>
          <w:p w14:paraId="57170FD5">
            <w:pPr>
              <w:jc w:val="left"/>
              <w:rPr>
                <w:rFonts w:hint="eastAsia" w:ascii="宋体" w:hAnsi="宋体" w:eastAsia="宋体" w:cs="宋体"/>
                <w:color w:val="auto"/>
                <w:kern w:val="0"/>
                <w:sz w:val="24"/>
                <w:szCs w:val="24"/>
                <w:highlight w:val="none"/>
                <w:lang w:eastAsia="zh-CN"/>
              </w:rPr>
            </w:pPr>
          </w:p>
        </w:tc>
      </w:tr>
      <w:tr w14:paraId="55930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9" w:type="dxa"/>
            <w:vMerge w:val="continue"/>
            <w:vAlign w:val="center"/>
          </w:tcPr>
          <w:p w14:paraId="615EAF38">
            <w:pPr>
              <w:jc w:val="left"/>
              <w:rPr>
                <w:rFonts w:hint="eastAsia" w:ascii="宋体" w:hAnsi="宋体" w:eastAsia="宋体" w:cs="宋体"/>
                <w:color w:val="auto"/>
                <w:kern w:val="0"/>
                <w:sz w:val="24"/>
                <w:szCs w:val="24"/>
                <w:highlight w:val="none"/>
              </w:rPr>
            </w:pPr>
          </w:p>
        </w:tc>
        <w:tc>
          <w:tcPr>
            <w:tcW w:w="492" w:type="dxa"/>
            <w:vAlign w:val="center"/>
          </w:tcPr>
          <w:p w14:paraId="356D0750">
            <w:pPr>
              <w:widowControl w:val="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8</w:t>
            </w:r>
          </w:p>
        </w:tc>
        <w:tc>
          <w:tcPr>
            <w:tcW w:w="1060" w:type="dxa"/>
            <w:vAlign w:val="center"/>
          </w:tcPr>
          <w:p w14:paraId="5C98D860">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eastAsia="zh-CN"/>
              </w:rPr>
              <w:t>泥土</w:t>
            </w:r>
          </w:p>
        </w:tc>
        <w:tc>
          <w:tcPr>
            <w:tcW w:w="5678" w:type="dxa"/>
            <w:vMerge w:val="continue"/>
            <w:vAlign w:val="center"/>
          </w:tcPr>
          <w:p w14:paraId="0E218AFB">
            <w:pPr>
              <w:widowControl w:val="0"/>
              <w:rPr>
                <w:rFonts w:hint="eastAsia" w:ascii="宋体" w:hAnsi="宋体" w:eastAsia="宋体" w:cs="宋体"/>
                <w:color w:val="auto"/>
                <w:kern w:val="0"/>
                <w:sz w:val="24"/>
                <w:szCs w:val="24"/>
                <w:highlight w:val="none"/>
                <w:lang w:eastAsia="zh-CN"/>
              </w:rPr>
            </w:pPr>
          </w:p>
        </w:tc>
        <w:tc>
          <w:tcPr>
            <w:tcW w:w="1240" w:type="dxa"/>
            <w:vMerge w:val="continue"/>
            <w:vAlign w:val="center"/>
          </w:tcPr>
          <w:p w14:paraId="634C49E3">
            <w:pPr>
              <w:jc w:val="left"/>
              <w:rPr>
                <w:rFonts w:hint="eastAsia" w:ascii="宋体" w:hAnsi="宋体" w:eastAsia="宋体" w:cs="宋体"/>
                <w:color w:val="auto"/>
                <w:kern w:val="0"/>
                <w:sz w:val="24"/>
                <w:szCs w:val="24"/>
                <w:highlight w:val="none"/>
                <w:lang w:eastAsia="zh-CN"/>
              </w:rPr>
            </w:pPr>
          </w:p>
        </w:tc>
      </w:tr>
      <w:tr w14:paraId="14963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9" w:type="dxa"/>
            <w:vMerge w:val="continue"/>
            <w:vAlign w:val="center"/>
          </w:tcPr>
          <w:p w14:paraId="01443758">
            <w:pPr>
              <w:jc w:val="left"/>
              <w:rPr>
                <w:rFonts w:hint="eastAsia" w:ascii="宋体" w:hAnsi="宋体" w:eastAsia="宋体" w:cs="宋体"/>
                <w:color w:val="auto"/>
                <w:kern w:val="0"/>
                <w:sz w:val="24"/>
                <w:szCs w:val="24"/>
                <w:highlight w:val="none"/>
              </w:rPr>
            </w:pPr>
          </w:p>
        </w:tc>
        <w:tc>
          <w:tcPr>
            <w:tcW w:w="492" w:type="dxa"/>
            <w:vAlign w:val="center"/>
          </w:tcPr>
          <w:p w14:paraId="73B26929">
            <w:pPr>
              <w:widowControl w:val="0"/>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9</w:t>
            </w:r>
          </w:p>
        </w:tc>
        <w:tc>
          <w:tcPr>
            <w:tcW w:w="1060" w:type="dxa"/>
            <w:vAlign w:val="center"/>
          </w:tcPr>
          <w:p w14:paraId="1ED776F9">
            <w:pPr>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便民服务药品</w:t>
            </w:r>
          </w:p>
        </w:tc>
        <w:tc>
          <w:tcPr>
            <w:tcW w:w="5678" w:type="dxa"/>
            <w:vAlign w:val="center"/>
          </w:tcPr>
          <w:p w14:paraId="742F5249">
            <w:pPr>
              <w:widowControl w:val="0"/>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防暑降温药品及应急药品等</w:t>
            </w:r>
          </w:p>
        </w:tc>
        <w:tc>
          <w:tcPr>
            <w:tcW w:w="1240" w:type="dxa"/>
            <w:vAlign w:val="center"/>
          </w:tcPr>
          <w:p w14:paraId="6C70741A">
            <w:pPr>
              <w:jc w:val="left"/>
              <w:rPr>
                <w:rFonts w:hint="eastAsia" w:ascii="宋体" w:hAnsi="宋体" w:eastAsia="宋体" w:cs="宋体"/>
                <w:color w:val="auto"/>
                <w:kern w:val="0"/>
                <w:sz w:val="24"/>
                <w:szCs w:val="24"/>
                <w:highlight w:val="none"/>
                <w:lang w:eastAsia="zh-CN"/>
              </w:rPr>
            </w:pPr>
          </w:p>
        </w:tc>
      </w:tr>
      <w:tr w14:paraId="7C0A2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131" w:type="dxa"/>
            <w:gridSpan w:val="2"/>
            <w:vAlign w:val="center"/>
          </w:tcPr>
          <w:p w14:paraId="5E5FAB52">
            <w:pPr>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管理要求</w:t>
            </w:r>
          </w:p>
        </w:tc>
        <w:tc>
          <w:tcPr>
            <w:tcW w:w="7978" w:type="dxa"/>
            <w:gridSpan w:val="3"/>
            <w:vAlign w:val="center"/>
          </w:tcPr>
          <w:p w14:paraId="31202762">
            <w:pPr>
              <w:widowControl w:val="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1.主要为公园</w:t>
            </w:r>
            <w:r>
              <w:rPr>
                <w:rFonts w:hint="eastAsia" w:ascii="宋体" w:hAnsi="宋体" w:eastAsia="宋体" w:cs="宋体"/>
                <w:color w:val="auto"/>
                <w:kern w:val="0"/>
                <w:sz w:val="24"/>
                <w:szCs w:val="24"/>
                <w:highlight w:val="none"/>
                <w:lang w:val="en-US" w:eastAsia="zh-CN"/>
              </w:rPr>
              <w:t>公厕</w:t>
            </w:r>
            <w:r>
              <w:rPr>
                <w:rFonts w:hint="eastAsia" w:ascii="宋体" w:hAnsi="宋体" w:eastAsia="宋体" w:cs="宋体"/>
                <w:color w:val="auto"/>
                <w:kern w:val="0"/>
                <w:sz w:val="24"/>
                <w:szCs w:val="24"/>
                <w:highlight w:val="none"/>
              </w:rPr>
              <w:t>、母婴室采购纸巾、洗手液、空气清新剂等消耗用品供给及更换。所有产品应选择当前主流品牌，</w:t>
            </w:r>
            <w:r>
              <w:rPr>
                <w:rFonts w:hint="eastAsia" w:ascii="宋体" w:hAnsi="宋体" w:eastAsia="宋体" w:cs="宋体"/>
                <w:color w:val="auto"/>
                <w:sz w:val="24"/>
                <w:szCs w:val="24"/>
                <w:highlight w:val="none"/>
              </w:rPr>
              <w:t>具体种类及数量需经</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确认，需要提供样品，合格进入采购配送流程，不合格淘汰重新提供，</w:t>
            </w:r>
            <w:r>
              <w:rPr>
                <w:rFonts w:hint="eastAsia" w:ascii="宋体" w:hAnsi="宋体" w:eastAsia="宋体" w:cs="宋体"/>
                <w:color w:val="auto"/>
                <w:kern w:val="0"/>
                <w:sz w:val="24"/>
                <w:szCs w:val="24"/>
                <w:highlight w:val="none"/>
              </w:rPr>
              <w:t>确保质量。</w:t>
            </w:r>
          </w:p>
          <w:p w14:paraId="355D7647">
            <w:pPr>
              <w:widowControl w:val="0"/>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bCs/>
                <w:color w:val="auto"/>
                <w:sz w:val="24"/>
                <w:szCs w:val="24"/>
                <w:highlight w:val="none"/>
              </w:rPr>
              <w:t>投标报价中已包含</w:t>
            </w:r>
            <w:r>
              <w:rPr>
                <w:rFonts w:hint="eastAsia" w:ascii="宋体" w:hAnsi="宋体" w:eastAsia="宋体" w:cs="宋体"/>
                <w:bCs/>
                <w:color w:val="auto"/>
                <w:sz w:val="24"/>
                <w:szCs w:val="24"/>
                <w:highlight w:val="none"/>
                <w:lang w:eastAsia="zh-CN"/>
              </w:rPr>
              <w:t>中标人</w:t>
            </w:r>
            <w:r>
              <w:rPr>
                <w:rFonts w:hint="eastAsia" w:ascii="宋体" w:hAnsi="宋体" w:eastAsia="宋体" w:cs="宋体"/>
                <w:bCs/>
                <w:color w:val="auto"/>
                <w:sz w:val="24"/>
                <w:szCs w:val="24"/>
                <w:highlight w:val="none"/>
              </w:rPr>
              <w:t>提供全年所有费用，包干管理，若有不足，由</w:t>
            </w:r>
            <w:r>
              <w:rPr>
                <w:rFonts w:hint="eastAsia" w:ascii="宋体" w:hAnsi="宋体" w:eastAsia="宋体" w:cs="宋体"/>
                <w:bCs/>
                <w:color w:val="auto"/>
                <w:sz w:val="24"/>
                <w:szCs w:val="24"/>
                <w:highlight w:val="none"/>
                <w:lang w:eastAsia="zh-CN"/>
              </w:rPr>
              <w:t>中标人</w:t>
            </w:r>
            <w:r>
              <w:rPr>
                <w:rFonts w:hint="eastAsia" w:ascii="宋体" w:hAnsi="宋体" w:eastAsia="宋体" w:cs="宋体"/>
                <w:bCs/>
                <w:color w:val="auto"/>
                <w:sz w:val="24"/>
                <w:szCs w:val="24"/>
                <w:highlight w:val="none"/>
              </w:rPr>
              <w:t>无条件自行保质保量提供。</w:t>
            </w:r>
          </w:p>
          <w:p w14:paraId="09E35511">
            <w:pPr>
              <w:widowContro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kern w:val="0"/>
                <w:sz w:val="24"/>
                <w:szCs w:val="24"/>
                <w:highlight w:val="none"/>
              </w:rPr>
              <w:t>若</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对</w:t>
            </w:r>
            <w:r>
              <w:rPr>
                <w:rFonts w:hint="eastAsia" w:ascii="宋体" w:hAnsi="宋体" w:eastAsia="宋体" w:cs="宋体"/>
                <w:color w:val="auto"/>
                <w:kern w:val="0"/>
                <w:sz w:val="24"/>
                <w:szCs w:val="24"/>
                <w:highlight w:val="none"/>
                <w:lang w:eastAsia="zh-CN"/>
              </w:rPr>
              <w:t>中标人</w:t>
            </w:r>
            <w:r>
              <w:rPr>
                <w:rFonts w:hint="eastAsia" w:ascii="宋体" w:hAnsi="宋体" w:eastAsia="宋体" w:cs="宋体"/>
                <w:color w:val="auto"/>
                <w:kern w:val="0"/>
                <w:sz w:val="24"/>
                <w:szCs w:val="24"/>
                <w:highlight w:val="none"/>
              </w:rPr>
              <w:t>所提供产品不满意，有权要求</w:t>
            </w:r>
            <w:r>
              <w:rPr>
                <w:rFonts w:hint="eastAsia" w:ascii="宋体" w:hAnsi="宋体" w:eastAsia="宋体" w:cs="宋体"/>
                <w:color w:val="auto"/>
                <w:kern w:val="0"/>
                <w:sz w:val="24"/>
                <w:szCs w:val="24"/>
                <w:highlight w:val="none"/>
                <w:lang w:eastAsia="zh-CN"/>
              </w:rPr>
              <w:t>中标人</w:t>
            </w:r>
            <w:r>
              <w:rPr>
                <w:rFonts w:hint="eastAsia" w:ascii="宋体" w:hAnsi="宋体" w:eastAsia="宋体" w:cs="宋体"/>
                <w:color w:val="auto"/>
                <w:kern w:val="0"/>
                <w:sz w:val="24"/>
                <w:szCs w:val="24"/>
                <w:highlight w:val="none"/>
              </w:rPr>
              <w:t>更换</w:t>
            </w:r>
            <w:r>
              <w:rPr>
                <w:rFonts w:hint="eastAsia" w:ascii="宋体" w:hAnsi="宋体" w:eastAsia="宋体" w:cs="宋体"/>
                <w:color w:val="auto"/>
                <w:kern w:val="0"/>
                <w:sz w:val="24"/>
                <w:szCs w:val="24"/>
                <w:highlight w:val="none"/>
                <w:lang w:eastAsia="zh-CN"/>
              </w:rPr>
              <w:t>其他</w:t>
            </w:r>
            <w:r>
              <w:rPr>
                <w:rFonts w:hint="eastAsia" w:ascii="宋体" w:hAnsi="宋体" w:eastAsia="宋体" w:cs="宋体"/>
                <w:color w:val="auto"/>
                <w:kern w:val="0"/>
                <w:sz w:val="24"/>
                <w:szCs w:val="24"/>
                <w:highlight w:val="none"/>
              </w:rPr>
              <w:t>主流品牌产品，确保耗材质量。</w:t>
            </w:r>
          </w:p>
        </w:tc>
      </w:tr>
    </w:tbl>
    <w:p w14:paraId="291C874D">
      <w:pPr>
        <w:widowControl/>
        <w:tabs>
          <w:tab w:val="left" w:pos="851"/>
        </w:tabs>
        <w:adjustRightInd/>
        <w:spacing w:line="360" w:lineRule="auto"/>
        <w:ind w:firstLine="480" w:firstLineChars="200"/>
        <w:rPr>
          <w:rFonts w:hint="eastAsia"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②肥料及药剂</w:t>
      </w:r>
    </w:p>
    <w:p w14:paraId="60AD1F69">
      <w:pPr>
        <w:widowControl/>
        <w:tabs>
          <w:tab w:val="left" w:pos="851"/>
        </w:tabs>
        <w:adjustRightInd/>
        <w:spacing w:line="360" w:lineRule="auto"/>
        <w:ind w:firstLine="480" w:firstLineChars="200"/>
        <w:rPr>
          <w:rFonts w:hint="eastAsia"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a.临时盆景园肥料及药剂</w:t>
      </w:r>
    </w:p>
    <w:tbl>
      <w:tblPr>
        <w:tblStyle w:val="62"/>
        <w:tblW w:w="51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2"/>
        <w:gridCol w:w="2613"/>
        <w:gridCol w:w="4571"/>
      </w:tblGrid>
      <w:tr w14:paraId="0F7B3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1209" w:type="pct"/>
            <w:vAlign w:val="center"/>
          </w:tcPr>
          <w:p w14:paraId="165C6A41">
            <w:pPr>
              <w:jc w:val="center"/>
              <w:rPr>
                <w:rFonts w:asci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类别</w:t>
            </w:r>
          </w:p>
        </w:tc>
        <w:tc>
          <w:tcPr>
            <w:tcW w:w="1378" w:type="pct"/>
            <w:vAlign w:val="center"/>
          </w:tcPr>
          <w:p w14:paraId="218EAFB1">
            <w:pPr>
              <w:jc w:val="center"/>
              <w:rPr>
                <w:rFonts w:asci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序号</w:t>
            </w:r>
          </w:p>
        </w:tc>
        <w:tc>
          <w:tcPr>
            <w:tcW w:w="2411" w:type="pct"/>
            <w:vAlign w:val="center"/>
          </w:tcPr>
          <w:p w14:paraId="2A714C0D">
            <w:pPr>
              <w:jc w:val="center"/>
              <w:rPr>
                <w:rFonts w:asci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名称</w:t>
            </w:r>
          </w:p>
        </w:tc>
      </w:tr>
      <w:tr w14:paraId="44BC2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1209" w:type="pct"/>
            <w:vMerge w:val="restart"/>
            <w:vAlign w:val="center"/>
          </w:tcPr>
          <w:p w14:paraId="306F9845">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肥料及药剂类</w:t>
            </w:r>
          </w:p>
        </w:tc>
        <w:tc>
          <w:tcPr>
            <w:tcW w:w="1378" w:type="pct"/>
            <w:vMerge w:val="restart"/>
            <w:vAlign w:val="center"/>
          </w:tcPr>
          <w:p w14:paraId="53D289DB">
            <w:pPr>
              <w:jc w:val="center"/>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kern w:val="0"/>
                <w:sz w:val="24"/>
                <w:szCs w:val="24"/>
                <w:highlight w:val="none"/>
                <w:lang w:eastAsia="zh-CN"/>
              </w:rPr>
              <w:t>药剂</w:t>
            </w:r>
          </w:p>
        </w:tc>
        <w:tc>
          <w:tcPr>
            <w:tcW w:w="2411" w:type="pct"/>
            <w:vAlign w:val="center"/>
          </w:tcPr>
          <w:p w14:paraId="3BD6DCDC">
            <w:pPr>
              <w:jc w:val="center"/>
              <w:rPr>
                <w:rFonts w:hint="eastAsia" w:ascii="宋体" w:hAnsi="宋体" w:eastAsia="宋体" w:cs="宋体"/>
                <w:b/>
                <w:bCs/>
                <w:color w:val="auto"/>
                <w:kern w:val="0"/>
                <w:sz w:val="24"/>
                <w:szCs w:val="24"/>
                <w:highlight w:val="none"/>
              </w:rPr>
            </w:pPr>
            <w:r>
              <w:rPr>
                <w:rFonts w:hint="eastAsia" w:ascii="宋体" w:hAnsi="宋体" w:eastAsia="宋体" w:cs="宋体"/>
                <w:color w:val="auto"/>
                <w:kern w:val="2"/>
                <w:sz w:val="24"/>
                <w:szCs w:val="24"/>
                <w:highlight w:val="none"/>
                <w:lang w:val="en-US" w:eastAsia="zh-CN" w:bidi="ar-SA"/>
              </w:rPr>
              <w:t>草甘膦</w:t>
            </w:r>
          </w:p>
        </w:tc>
      </w:tr>
      <w:tr w14:paraId="7E758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1209" w:type="pct"/>
            <w:vMerge w:val="continue"/>
            <w:vAlign w:val="center"/>
          </w:tcPr>
          <w:p w14:paraId="37359C5D">
            <w:pPr>
              <w:jc w:val="center"/>
              <w:rPr>
                <w:rFonts w:hint="eastAsia" w:ascii="宋体" w:hAnsi="宋体" w:eastAsia="宋体" w:cs="宋体"/>
                <w:b/>
                <w:bCs/>
                <w:color w:val="auto"/>
                <w:kern w:val="0"/>
                <w:sz w:val="24"/>
                <w:szCs w:val="24"/>
                <w:highlight w:val="none"/>
              </w:rPr>
            </w:pPr>
          </w:p>
        </w:tc>
        <w:tc>
          <w:tcPr>
            <w:tcW w:w="1378" w:type="pct"/>
            <w:vMerge w:val="continue"/>
            <w:vAlign w:val="center"/>
          </w:tcPr>
          <w:p w14:paraId="2C940118">
            <w:pPr>
              <w:jc w:val="center"/>
              <w:rPr>
                <w:rFonts w:hint="eastAsia" w:ascii="宋体" w:hAnsi="宋体" w:eastAsia="宋体" w:cs="宋体"/>
                <w:b/>
                <w:bCs/>
                <w:color w:val="auto"/>
                <w:kern w:val="0"/>
                <w:sz w:val="24"/>
                <w:szCs w:val="24"/>
                <w:highlight w:val="none"/>
                <w:lang w:eastAsia="zh-CN"/>
              </w:rPr>
            </w:pPr>
          </w:p>
        </w:tc>
        <w:tc>
          <w:tcPr>
            <w:tcW w:w="2411" w:type="pct"/>
            <w:vAlign w:val="center"/>
          </w:tcPr>
          <w:p w14:paraId="06029823">
            <w:pPr>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20%草铵高氧吡</w:t>
            </w:r>
          </w:p>
        </w:tc>
      </w:tr>
      <w:tr w14:paraId="6E856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209" w:type="pct"/>
            <w:vMerge w:val="continue"/>
            <w:vAlign w:val="center"/>
          </w:tcPr>
          <w:p w14:paraId="039381CE">
            <w:pPr>
              <w:jc w:val="center"/>
              <w:rPr>
                <w:rFonts w:hint="eastAsia" w:ascii="宋体" w:hAnsi="宋体" w:eastAsia="宋体" w:cs="宋体"/>
                <w:b/>
                <w:bCs/>
                <w:color w:val="auto"/>
                <w:kern w:val="0"/>
                <w:sz w:val="24"/>
                <w:szCs w:val="24"/>
                <w:highlight w:val="none"/>
              </w:rPr>
            </w:pPr>
          </w:p>
        </w:tc>
        <w:tc>
          <w:tcPr>
            <w:tcW w:w="1378" w:type="pct"/>
            <w:vAlign w:val="center"/>
          </w:tcPr>
          <w:p w14:paraId="49B15B60">
            <w:pPr>
              <w:jc w:val="center"/>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kern w:val="0"/>
                <w:sz w:val="24"/>
                <w:szCs w:val="24"/>
                <w:highlight w:val="none"/>
                <w:lang w:eastAsia="zh-CN"/>
              </w:rPr>
              <w:t>肥料</w:t>
            </w:r>
          </w:p>
        </w:tc>
        <w:tc>
          <w:tcPr>
            <w:tcW w:w="2411" w:type="pct"/>
            <w:vAlign w:val="center"/>
          </w:tcPr>
          <w:p w14:paraId="5C071447">
            <w:pPr>
              <w:jc w:val="center"/>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kern w:val="0"/>
                <w:sz w:val="24"/>
                <w:szCs w:val="24"/>
                <w:highlight w:val="none"/>
                <w:lang w:eastAsia="zh-CN"/>
              </w:rPr>
              <w:t>复合肥</w:t>
            </w:r>
          </w:p>
        </w:tc>
      </w:tr>
    </w:tbl>
    <w:p w14:paraId="4D0329F3">
      <w:pPr>
        <w:widowControl/>
        <w:tabs>
          <w:tab w:val="left" w:pos="851"/>
        </w:tabs>
        <w:adjustRightInd/>
        <w:spacing w:line="360" w:lineRule="auto"/>
        <w:ind w:firstLine="480" w:firstLineChars="200"/>
        <w:rPr>
          <w:rFonts w:hint="default"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b.其他公园肥料及药剂</w:t>
      </w:r>
    </w:p>
    <w:tbl>
      <w:tblPr>
        <w:tblStyle w:val="62"/>
        <w:tblW w:w="87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1020"/>
        <w:gridCol w:w="2424"/>
        <w:gridCol w:w="4318"/>
      </w:tblGrid>
      <w:tr w14:paraId="0D603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999" w:type="dxa"/>
            <w:vAlign w:val="center"/>
          </w:tcPr>
          <w:p w14:paraId="56EBD27A">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类别</w:t>
            </w:r>
          </w:p>
        </w:tc>
        <w:tc>
          <w:tcPr>
            <w:tcW w:w="1020" w:type="dxa"/>
            <w:vAlign w:val="center"/>
          </w:tcPr>
          <w:p w14:paraId="4F47FDAE">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序号</w:t>
            </w:r>
          </w:p>
        </w:tc>
        <w:tc>
          <w:tcPr>
            <w:tcW w:w="2424" w:type="dxa"/>
            <w:vAlign w:val="center"/>
          </w:tcPr>
          <w:p w14:paraId="7B0244BB">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名称</w:t>
            </w:r>
          </w:p>
        </w:tc>
        <w:tc>
          <w:tcPr>
            <w:tcW w:w="4318" w:type="dxa"/>
            <w:vAlign w:val="center"/>
          </w:tcPr>
          <w:p w14:paraId="5B2271A5">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备注</w:t>
            </w:r>
          </w:p>
        </w:tc>
      </w:tr>
      <w:tr w14:paraId="2662D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999" w:type="dxa"/>
            <w:vMerge w:val="restart"/>
            <w:vAlign w:val="center"/>
          </w:tcPr>
          <w:p w14:paraId="17B46611">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肥料及药剂类</w:t>
            </w:r>
          </w:p>
        </w:tc>
        <w:tc>
          <w:tcPr>
            <w:tcW w:w="1020" w:type="dxa"/>
            <w:vMerge w:val="restart"/>
            <w:vAlign w:val="center"/>
          </w:tcPr>
          <w:p w14:paraId="10A3DE65">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除草剂类</w:t>
            </w:r>
          </w:p>
        </w:tc>
        <w:tc>
          <w:tcPr>
            <w:tcW w:w="2424" w:type="dxa"/>
            <w:vAlign w:val="center"/>
          </w:tcPr>
          <w:p w14:paraId="072B77C4">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拔绿</w:t>
            </w:r>
          </w:p>
        </w:tc>
        <w:tc>
          <w:tcPr>
            <w:tcW w:w="4318" w:type="dxa"/>
            <w:vAlign w:val="center"/>
          </w:tcPr>
          <w:p w14:paraId="6EF3B07C">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草坪杂草封闭剂</w:t>
            </w:r>
          </w:p>
        </w:tc>
      </w:tr>
      <w:tr w14:paraId="31D41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999" w:type="dxa"/>
            <w:vMerge w:val="continue"/>
            <w:vAlign w:val="center"/>
          </w:tcPr>
          <w:p w14:paraId="7EBC9A7F">
            <w:pPr>
              <w:jc w:val="center"/>
              <w:rPr>
                <w:rFonts w:hint="eastAsia" w:ascii="宋体" w:hAnsi="宋体" w:eastAsia="宋体" w:cs="宋体"/>
                <w:color w:val="auto"/>
                <w:kern w:val="0"/>
                <w:sz w:val="24"/>
                <w:szCs w:val="24"/>
                <w:highlight w:val="none"/>
              </w:rPr>
            </w:pPr>
          </w:p>
        </w:tc>
        <w:tc>
          <w:tcPr>
            <w:tcW w:w="1020" w:type="dxa"/>
            <w:vMerge w:val="continue"/>
            <w:vAlign w:val="center"/>
          </w:tcPr>
          <w:p w14:paraId="1162669C">
            <w:pPr>
              <w:jc w:val="center"/>
              <w:rPr>
                <w:rFonts w:hint="eastAsia" w:ascii="宋体" w:hAnsi="宋体" w:eastAsia="宋体" w:cs="宋体"/>
                <w:color w:val="auto"/>
                <w:kern w:val="2"/>
                <w:sz w:val="24"/>
                <w:szCs w:val="24"/>
                <w:highlight w:val="none"/>
                <w:lang w:val="en-US" w:eastAsia="zh-CN" w:bidi="ar-SA"/>
              </w:rPr>
            </w:pPr>
          </w:p>
        </w:tc>
        <w:tc>
          <w:tcPr>
            <w:tcW w:w="2424" w:type="dxa"/>
            <w:vAlign w:val="center"/>
          </w:tcPr>
          <w:p w14:paraId="1287E759">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抹绿</w:t>
            </w:r>
          </w:p>
        </w:tc>
        <w:tc>
          <w:tcPr>
            <w:tcW w:w="4318" w:type="dxa"/>
            <w:vAlign w:val="center"/>
          </w:tcPr>
          <w:p w14:paraId="433198E4">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草坪除草剂（莎草科）</w:t>
            </w:r>
          </w:p>
        </w:tc>
      </w:tr>
      <w:tr w14:paraId="75A5E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99" w:type="dxa"/>
            <w:vMerge w:val="continue"/>
            <w:vAlign w:val="center"/>
          </w:tcPr>
          <w:p w14:paraId="55001A03">
            <w:pPr>
              <w:jc w:val="center"/>
              <w:rPr>
                <w:rFonts w:hint="eastAsia" w:ascii="宋体" w:hAnsi="宋体" w:eastAsia="宋体" w:cs="宋体"/>
                <w:color w:val="auto"/>
                <w:kern w:val="0"/>
                <w:sz w:val="24"/>
                <w:szCs w:val="24"/>
                <w:highlight w:val="none"/>
              </w:rPr>
            </w:pPr>
          </w:p>
        </w:tc>
        <w:tc>
          <w:tcPr>
            <w:tcW w:w="1020" w:type="dxa"/>
            <w:vMerge w:val="continue"/>
            <w:vAlign w:val="center"/>
          </w:tcPr>
          <w:p w14:paraId="40F0584E">
            <w:pPr>
              <w:jc w:val="center"/>
              <w:rPr>
                <w:rFonts w:hint="eastAsia" w:ascii="宋体" w:hAnsi="宋体" w:eastAsia="宋体" w:cs="宋体"/>
                <w:color w:val="auto"/>
                <w:kern w:val="2"/>
                <w:sz w:val="24"/>
                <w:szCs w:val="24"/>
                <w:highlight w:val="none"/>
                <w:lang w:val="en-US" w:eastAsia="zh-CN" w:bidi="ar-SA"/>
              </w:rPr>
            </w:pPr>
          </w:p>
        </w:tc>
        <w:tc>
          <w:tcPr>
            <w:tcW w:w="2424" w:type="dxa"/>
            <w:vAlign w:val="center"/>
          </w:tcPr>
          <w:p w14:paraId="48F6B6D2">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卉锦清</w:t>
            </w:r>
          </w:p>
        </w:tc>
        <w:tc>
          <w:tcPr>
            <w:tcW w:w="4318" w:type="dxa"/>
            <w:vAlign w:val="center"/>
          </w:tcPr>
          <w:p w14:paraId="6EDB5820">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草坪除草剂（阔叶杂草科）</w:t>
            </w:r>
          </w:p>
        </w:tc>
      </w:tr>
      <w:tr w14:paraId="60135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99" w:type="dxa"/>
            <w:vMerge w:val="continue"/>
            <w:vAlign w:val="center"/>
          </w:tcPr>
          <w:p w14:paraId="5F6494B7">
            <w:pPr>
              <w:jc w:val="center"/>
              <w:rPr>
                <w:rFonts w:hint="eastAsia" w:ascii="宋体" w:hAnsi="宋体" w:eastAsia="宋体" w:cs="宋体"/>
                <w:color w:val="auto"/>
                <w:kern w:val="0"/>
                <w:sz w:val="24"/>
                <w:szCs w:val="24"/>
                <w:highlight w:val="none"/>
              </w:rPr>
            </w:pPr>
          </w:p>
        </w:tc>
        <w:tc>
          <w:tcPr>
            <w:tcW w:w="1020" w:type="dxa"/>
            <w:vMerge w:val="continue"/>
            <w:vAlign w:val="center"/>
          </w:tcPr>
          <w:p w14:paraId="1E4DFD43">
            <w:pPr>
              <w:jc w:val="center"/>
              <w:rPr>
                <w:rFonts w:hint="eastAsia" w:ascii="宋体" w:hAnsi="宋体" w:eastAsia="宋体" w:cs="宋体"/>
                <w:color w:val="auto"/>
                <w:kern w:val="2"/>
                <w:sz w:val="24"/>
                <w:szCs w:val="24"/>
                <w:highlight w:val="none"/>
                <w:lang w:val="en-US" w:eastAsia="zh-CN" w:bidi="ar-SA"/>
              </w:rPr>
            </w:pPr>
          </w:p>
        </w:tc>
        <w:tc>
          <w:tcPr>
            <w:tcW w:w="2424" w:type="dxa"/>
            <w:vAlign w:val="center"/>
          </w:tcPr>
          <w:p w14:paraId="34AE9AF7">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麦草霸</w:t>
            </w:r>
          </w:p>
        </w:tc>
        <w:tc>
          <w:tcPr>
            <w:tcW w:w="4318" w:type="dxa"/>
            <w:vAlign w:val="center"/>
          </w:tcPr>
          <w:p w14:paraId="7D709A48">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麦冬草坪除草剂</w:t>
            </w:r>
          </w:p>
        </w:tc>
      </w:tr>
      <w:tr w14:paraId="6CB91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99" w:type="dxa"/>
            <w:vMerge w:val="continue"/>
            <w:vAlign w:val="center"/>
          </w:tcPr>
          <w:p w14:paraId="3DDB590C">
            <w:pPr>
              <w:jc w:val="center"/>
              <w:rPr>
                <w:rFonts w:hint="eastAsia" w:ascii="宋体" w:hAnsi="宋体" w:eastAsia="宋体" w:cs="宋体"/>
                <w:color w:val="auto"/>
                <w:kern w:val="0"/>
                <w:sz w:val="24"/>
                <w:szCs w:val="24"/>
                <w:highlight w:val="none"/>
              </w:rPr>
            </w:pPr>
          </w:p>
        </w:tc>
        <w:tc>
          <w:tcPr>
            <w:tcW w:w="1020" w:type="dxa"/>
            <w:vMerge w:val="continue"/>
            <w:vAlign w:val="center"/>
          </w:tcPr>
          <w:p w14:paraId="19B1EC32">
            <w:pPr>
              <w:jc w:val="center"/>
              <w:rPr>
                <w:rFonts w:hint="eastAsia" w:ascii="宋体" w:hAnsi="宋体" w:eastAsia="宋体" w:cs="宋体"/>
                <w:color w:val="auto"/>
                <w:kern w:val="2"/>
                <w:sz w:val="24"/>
                <w:szCs w:val="24"/>
                <w:highlight w:val="none"/>
                <w:lang w:val="en-US" w:eastAsia="zh-CN" w:bidi="ar-SA"/>
              </w:rPr>
            </w:pPr>
          </w:p>
        </w:tc>
        <w:tc>
          <w:tcPr>
            <w:tcW w:w="2424" w:type="dxa"/>
            <w:vAlign w:val="center"/>
          </w:tcPr>
          <w:p w14:paraId="78C5199D">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冠牛（草铵膦）</w:t>
            </w:r>
          </w:p>
        </w:tc>
        <w:tc>
          <w:tcPr>
            <w:tcW w:w="4318" w:type="dxa"/>
            <w:vAlign w:val="center"/>
          </w:tcPr>
          <w:p w14:paraId="40F74159">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荒地除草剂</w:t>
            </w:r>
          </w:p>
        </w:tc>
      </w:tr>
      <w:tr w14:paraId="6CF71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99" w:type="dxa"/>
            <w:vMerge w:val="continue"/>
            <w:vAlign w:val="center"/>
          </w:tcPr>
          <w:p w14:paraId="04A9CDFC">
            <w:pPr>
              <w:jc w:val="center"/>
              <w:rPr>
                <w:rFonts w:hint="eastAsia" w:ascii="宋体" w:hAnsi="宋体" w:eastAsia="宋体" w:cs="宋体"/>
                <w:color w:val="auto"/>
                <w:kern w:val="0"/>
                <w:sz w:val="24"/>
                <w:szCs w:val="24"/>
                <w:highlight w:val="none"/>
              </w:rPr>
            </w:pPr>
          </w:p>
        </w:tc>
        <w:tc>
          <w:tcPr>
            <w:tcW w:w="1020" w:type="dxa"/>
            <w:vMerge w:val="continue"/>
            <w:vAlign w:val="center"/>
          </w:tcPr>
          <w:p w14:paraId="54C80663">
            <w:pPr>
              <w:jc w:val="center"/>
              <w:rPr>
                <w:rFonts w:hint="eastAsia" w:ascii="宋体" w:hAnsi="宋体" w:eastAsia="宋体" w:cs="宋体"/>
                <w:color w:val="auto"/>
                <w:kern w:val="2"/>
                <w:sz w:val="24"/>
                <w:szCs w:val="24"/>
                <w:highlight w:val="none"/>
                <w:lang w:val="en-US" w:eastAsia="zh-CN" w:bidi="ar-SA"/>
              </w:rPr>
            </w:pPr>
          </w:p>
        </w:tc>
        <w:tc>
          <w:tcPr>
            <w:tcW w:w="2424" w:type="dxa"/>
            <w:vAlign w:val="center"/>
          </w:tcPr>
          <w:p w14:paraId="2A34E82C">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火矛（草甘膦）</w:t>
            </w:r>
          </w:p>
        </w:tc>
        <w:tc>
          <w:tcPr>
            <w:tcW w:w="4318" w:type="dxa"/>
            <w:vAlign w:val="center"/>
          </w:tcPr>
          <w:p w14:paraId="0376F7A9">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荒地除草剂</w:t>
            </w:r>
          </w:p>
        </w:tc>
      </w:tr>
      <w:tr w14:paraId="656DE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999" w:type="dxa"/>
            <w:vMerge w:val="continue"/>
            <w:vAlign w:val="center"/>
          </w:tcPr>
          <w:p w14:paraId="6DD8A0B3">
            <w:pPr>
              <w:jc w:val="center"/>
              <w:rPr>
                <w:rFonts w:hint="eastAsia" w:ascii="宋体" w:hAnsi="宋体" w:eastAsia="宋体" w:cs="宋体"/>
                <w:color w:val="auto"/>
                <w:kern w:val="0"/>
                <w:sz w:val="24"/>
                <w:szCs w:val="24"/>
                <w:highlight w:val="none"/>
              </w:rPr>
            </w:pPr>
          </w:p>
        </w:tc>
        <w:tc>
          <w:tcPr>
            <w:tcW w:w="1020" w:type="dxa"/>
            <w:vMerge w:val="continue"/>
            <w:vAlign w:val="center"/>
          </w:tcPr>
          <w:p w14:paraId="64C8049C">
            <w:pPr>
              <w:jc w:val="center"/>
              <w:rPr>
                <w:rFonts w:hint="eastAsia" w:ascii="宋体" w:hAnsi="宋体" w:eastAsia="宋体" w:cs="宋体"/>
                <w:color w:val="auto"/>
                <w:kern w:val="2"/>
                <w:sz w:val="24"/>
                <w:szCs w:val="24"/>
                <w:highlight w:val="none"/>
                <w:lang w:val="en-US" w:eastAsia="zh-CN" w:bidi="ar-SA"/>
              </w:rPr>
            </w:pPr>
          </w:p>
        </w:tc>
        <w:tc>
          <w:tcPr>
            <w:tcW w:w="2424" w:type="dxa"/>
            <w:vAlign w:val="center"/>
          </w:tcPr>
          <w:p w14:paraId="2B5B81B3">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晒金</w:t>
            </w:r>
          </w:p>
        </w:tc>
        <w:tc>
          <w:tcPr>
            <w:tcW w:w="4318" w:type="dxa"/>
            <w:vAlign w:val="center"/>
          </w:tcPr>
          <w:p w14:paraId="09375794">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草坪除草剂（禾本科杂草）</w:t>
            </w:r>
          </w:p>
        </w:tc>
      </w:tr>
      <w:tr w14:paraId="7C66E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99" w:type="dxa"/>
            <w:vMerge w:val="continue"/>
            <w:vAlign w:val="center"/>
          </w:tcPr>
          <w:p w14:paraId="78CB1632">
            <w:pPr>
              <w:jc w:val="center"/>
              <w:rPr>
                <w:rFonts w:hint="eastAsia" w:ascii="宋体" w:hAnsi="宋体" w:eastAsia="宋体" w:cs="宋体"/>
                <w:color w:val="auto"/>
                <w:kern w:val="0"/>
                <w:sz w:val="24"/>
                <w:szCs w:val="24"/>
                <w:highlight w:val="none"/>
              </w:rPr>
            </w:pPr>
          </w:p>
        </w:tc>
        <w:tc>
          <w:tcPr>
            <w:tcW w:w="1020" w:type="dxa"/>
            <w:vMerge w:val="restart"/>
            <w:vAlign w:val="center"/>
          </w:tcPr>
          <w:p w14:paraId="5F55A108">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防虫害类</w:t>
            </w:r>
          </w:p>
        </w:tc>
        <w:tc>
          <w:tcPr>
            <w:tcW w:w="2424" w:type="dxa"/>
            <w:vAlign w:val="center"/>
          </w:tcPr>
          <w:p w14:paraId="6DFDE9EE">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森康</w:t>
            </w:r>
          </w:p>
        </w:tc>
        <w:tc>
          <w:tcPr>
            <w:tcW w:w="4318" w:type="dxa"/>
            <w:vAlign w:val="center"/>
          </w:tcPr>
          <w:p w14:paraId="532C709E">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防治食叶害虫及天牛成虫</w:t>
            </w:r>
          </w:p>
        </w:tc>
      </w:tr>
      <w:tr w14:paraId="4D266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99" w:type="dxa"/>
            <w:vMerge w:val="continue"/>
            <w:vAlign w:val="center"/>
          </w:tcPr>
          <w:p w14:paraId="70DC1072">
            <w:pPr>
              <w:jc w:val="center"/>
              <w:rPr>
                <w:rFonts w:hint="eastAsia" w:ascii="宋体" w:hAnsi="宋体" w:eastAsia="宋体" w:cs="宋体"/>
                <w:color w:val="auto"/>
                <w:kern w:val="0"/>
                <w:sz w:val="24"/>
                <w:szCs w:val="24"/>
                <w:highlight w:val="none"/>
              </w:rPr>
            </w:pPr>
          </w:p>
        </w:tc>
        <w:tc>
          <w:tcPr>
            <w:tcW w:w="1020" w:type="dxa"/>
            <w:vMerge w:val="continue"/>
            <w:vAlign w:val="center"/>
          </w:tcPr>
          <w:p w14:paraId="3249D8D8">
            <w:pPr>
              <w:jc w:val="center"/>
              <w:rPr>
                <w:rFonts w:hint="eastAsia" w:ascii="宋体" w:hAnsi="宋体" w:eastAsia="宋体" w:cs="宋体"/>
                <w:color w:val="auto"/>
                <w:kern w:val="2"/>
                <w:sz w:val="24"/>
                <w:szCs w:val="24"/>
                <w:highlight w:val="none"/>
                <w:lang w:val="en-US" w:eastAsia="zh-CN" w:bidi="ar-SA"/>
              </w:rPr>
            </w:pPr>
          </w:p>
        </w:tc>
        <w:tc>
          <w:tcPr>
            <w:tcW w:w="2424" w:type="dxa"/>
            <w:vAlign w:val="center"/>
          </w:tcPr>
          <w:p w14:paraId="730D940E">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卉健</w:t>
            </w:r>
          </w:p>
        </w:tc>
        <w:tc>
          <w:tcPr>
            <w:tcW w:w="4318" w:type="dxa"/>
            <w:vAlign w:val="center"/>
          </w:tcPr>
          <w:p w14:paraId="01F488C0">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防治刺吸式害虫及地下害虫，天牛幼虫</w:t>
            </w:r>
          </w:p>
        </w:tc>
      </w:tr>
      <w:tr w14:paraId="4870B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99" w:type="dxa"/>
            <w:vMerge w:val="continue"/>
            <w:vAlign w:val="center"/>
          </w:tcPr>
          <w:p w14:paraId="1A3D449C">
            <w:pPr>
              <w:jc w:val="center"/>
              <w:rPr>
                <w:rFonts w:hint="eastAsia" w:ascii="宋体" w:hAnsi="宋体" w:eastAsia="宋体" w:cs="宋体"/>
                <w:color w:val="auto"/>
                <w:kern w:val="0"/>
                <w:sz w:val="24"/>
                <w:szCs w:val="24"/>
                <w:highlight w:val="none"/>
              </w:rPr>
            </w:pPr>
          </w:p>
        </w:tc>
        <w:tc>
          <w:tcPr>
            <w:tcW w:w="1020" w:type="dxa"/>
            <w:vMerge w:val="continue"/>
            <w:vAlign w:val="center"/>
          </w:tcPr>
          <w:p w14:paraId="31574866">
            <w:pPr>
              <w:jc w:val="center"/>
              <w:rPr>
                <w:rFonts w:hint="eastAsia" w:ascii="宋体" w:hAnsi="宋体" w:eastAsia="宋体" w:cs="宋体"/>
                <w:color w:val="auto"/>
                <w:kern w:val="2"/>
                <w:sz w:val="24"/>
                <w:szCs w:val="24"/>
                <w:highlight w:val="none"/>
                <w:lang w:val="en-US" w:eastAsia="zh-CN" w:bidi="ar-SA"/>
              </w:rPr>
            </w:pPr>
          </w:p>
        </w:tc>
        <w:tc>
          <w:tcPr>
            <w:tcW w:w="2424" w:type="dxa"/>
            <w:vAlign w:val="center"/>
          </w:tcPr>
          <w:p w14:paraId="73DCD26C">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易茂7号</w:t>
            </w:r>
          </w:p>
        </w:tc>
        <w:tc>
          <w:tcPr>
            <w:tcW w:w="4318" w:type="dxa"/>
            <w:vAlign w:val="center"/>
          </w:tcPr>
          <w:p w14:paraId="772E4A35">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防治蚧壳虫</w:t>
            </w:r>
          </w:p>
        </w:tc>
      </w:tr>
      <w:tr w14:paraId="2ABB0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999" w:type="dxa"/>
            <w:vMerge w:val="continue"/>
            <w:vAlign w:val="center"/>
          </w:tcPr>
          <w:p w14:paraId="14D6D609">
            <w:pPr>
              <w:jc w:val="center"/>
              <w:rPr>
                <w:rFonts w:hint="eastAsia" w:ascii="宋体" w:hAnsi="宋体" w:eastAsia="宋体" w:cs="宋体"/>
                <w:color w:val="auto"/>
                <w:kern w:val="0"/>
                <w:sz w:val="24"/>
                <w:szCs w:val="24"/>
                <w:highlight w:val="none"/>
              </w:rPr>
            </w:pPr>
          </w:p>
        </w:tc>
        <w:tc>
          <w:tcPr>
            <w:tcW w:w="1020" w:type="dxa"/>
            <w:vMerge w:val="continue"/>
            <w:vAlign w:val="center"/>
          </w:tcPr>
          <w:p w14:paraId="492F02FA">
            <w:pPr>
              <w:jc w:val="center"/>
              <w:rPr>
                <w:rFonts w:hint="eastAsia" w:ascii="宋体" w:hAnsi="宋体" w:eastAsia="宋体" w:cs="宋体"/>
                <w:color w:val="auto"/>
                <w:kern w:val="2"/>
                <w:sz w:val="24"/>
                <w:szCs w:val="24"/>
                <w:highlight w:val="none"/>
                <w:lang w:val="en-US" w:eastAsia="zh-CN" w:bidi="ar-SA"/>
              </w:rPr>
            </w:pPr>
          </w:p>
        </w:tc>
        <w:tc>
          <w:tcPr>
            <w:tcW w:w="2424" w:type="dxa"/>
            <w:vAlign w:val="center"/>
          </w:tcPr>
          <w:p w14:paraId="44C3B13D">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易茂4号</w:t>
            </w:r>
          </w:p>
        </w:tc>
        <w:tc>
          <w:tcPr>
            <w:tcW w:w="4318" w:type="dxa"/>
            <w:vAlign w:val="center"/>
          </w:tcPr>
          <w:p w14:paraId="7192507D">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防治刺吸式害虫</w:t>
            </w:r>
          </w:p>
        </w:tc>
      </w:tr>
      <w:tr w14:paraId="4DFF9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999" w:type="dxa"/>
            <w:vMerge w:val="continue"/>
            <w:vAlign w:val="center"/>
          </w:tcPr>
          <w:p w14:paraId="726DCDC4">
            <w:pPr>
              <w:jc w:val="center"/>
              <w:rPr>
                <w:rFonts w:hint="eastAsia" w:ascii="宋体" w:hAnsi="宋体" w:eastAsia="宋体" w:cs="宋体"/>
                <w:color w:val="auto"/>
                <w:kern w:val="0"/>
                <w:sz w:val="24"/>
                <w:szCs w:val="24"/>
                <w:highlight w:val="none"/>
              </w:rPr>
            </w:pPr>
          </w:p>
        </w:tc>
        <w:tc>
          <w:tcPr>
            <w:tcW w:w="1020" w:type="dxa"/>
            <w:vMerge w:val="continue"/>
            <w:vAlign w:val="center"/>
          </w:tcPr>
          <w:p w14:paraId="0FC9003E">
            <w:pPr>
              <w:jc w:val="center"/>
              <w:rPr>
                <w:rFonts w:hint="eastAsia" w:ascii="宋体" w:hAnsi="宋体" w:eastAsia="宋体" w:cs="宋体"/>
                <w:color w:val="auto"/>
                <w:kern w:val="2"/>
                <w:sz w:val="24"/>
                <w:szCs w:val="24"/>
                <w:highlight w:val="none"/>
                <w:lang w:val="en-US" w:eastAsia="zh-CN" w:bidi="ar-SA"/>
              </w:rPr>
            </w:pPr>
          </w:p>
        </w:tc>
        <w:tc>
          <w:tcPr>
            <w:tcW w:w="2424" w:type="dxa"/>
            <w:vAlign w:val="center"/>
          </w:tcPr>
          <w:p w14:paraId="16CF9F63">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易茂5号</w:t>
            </w:r>
          </w:p>
        </w:tc>
        <w:tc>
          <w:tcPr>
            <w:tcW w:w="4318" w:type="dxa"/>
            <w:vAlign w:val="center"/>
          </w:tcPr>
          <w:p w14:paraId="657AF78F">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防治红蜘蛛</w:t>
            </w:r>
          </w:p>
        </w:tc>
      </w:tr>
      <w:tr w14:paraId="6EED2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999" w:type="dxa"/>
            <w:vMerge w:val="continue"/>
            <w:vAlign w:val="center"/>
          </w:tcPr>
          <w:p w14:paraId="20F9199C">
            <w:pPr>
              <w:jc w:val="center"/>
              <w:rPr>
                <w:rFonts w:hint="eastAsia" w:ascii="宋体" w:hAnsi="宋体" w:eastAsia="宋体" w:cs="宋体"/>
                <w:color w:val="auto"/>
                <w:kern w:val="0"/>
                <w:sz w:val="24"/>
                <w:szCs w:val="24"/>
                <w:highlight w:val="none"/>
              </w:rPr>
            </w:pPr>
          </w:p>
        </w:tc>
        <w:tc>
          <w:tcPr>
            <w:tcW w:w="1020" w:type="dxa"/>
            <w:vMerge w:val="continue"/>
            <w:vAlign w:val="center"/>
          </w:tcPr>
          <w:p w14:paraId="396490B1">
            <w:pPr>
              <w:jc w:val="center"/>
              <w:rPr>
                <w:rFonts w:hint="eastAsia" w:ascii="宋体" w:hAnsi="宋体" w:eastAsia="宋体" w:cs="宋体"/>
                <w:color w:val="auto"/>
                <w:kern w:val="2"/>
                <w:sz w:val="24"/>
                <w:szCs w:val="24"/>
                <w:highlight w:val="none"/>
                <w:lang w:val="en-US" w:eastAsia="zh-CN" w:bidi="ar-SA"/>
              </w:rPr>
            </w:pPr>
          </w:p>
        </w:tc>
        <w:tc>
          <w:tcPr>
            <w:tcW w:w="2424" w:type="dxa"/>
            <w:vAlign w:val="center"/>
          </w:tcPr>
          <w:p w14:paraId="5B15012B">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宽哥（药肥一体）</w:t>
            </w:r>
          </w:p>
        </w:tc>
        <w:tc>
          <w:tcPr>
            <w:tcW w:w="4318" w:type="dxa"/>
            <w:vAlign w:val="center"/>
          </w:tcPr>
          <w:p w14:paraId="4B867A3E">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防治刺吸式害虫及地下害虫</w:t>
            </w:r>
          </w:p>
        </w:tc>
      </w:tr>
      <w:tr w14:paraId="2CC2A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999" w:type="dxa"/>
            <w:vMerge w:val="continue"/>
            <w:vAlign w:val="center"/>
          </w:tcPr>
          <w:p w14:paraId="34A4A299">
            <w:pPr>
              <w:jc w:val="center"/>
              <w:rPr>
                <w:rFonts w:hint="eastAsia" w:ascii="宋体" w:hAnsi="宋体" w:eastAsia="宋体" w:cs="宋体"/>
                <w:color w:val="auto"/>
                <w:kern w:val="0"/>
                <w:sz w:val="24"/>
                <w:szCs w:val="24"/>
                <w:highlight w:val="none"/>
              </w:rPr>
            </w:pPr>
          </w:p>
        </w:tc>
        <w:tc>
          <w:tcPr>
            <w:tcW w:w="1020" w:type="dxa"/>
            <w:vMerge w:val="restart"/>
            <w:vAlign w:val="center"/>
          </w:tcPr>
          <w:p w14:paraId="42CF99B5">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生物防治</w:t>
            </w:r>
          </w:p>
        </w:tc>
        <w:tc>
          <w:tcPr>
            <w:tcW w:w="2424" w:type="dxa"/>
            <w:vAlign w:val="center"/>
          </w:tcPr>
          <w:p w14:paraId="6B60A441">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花绒寄甲</w:t>
            </w:r>
          </w:p>
        </w:tc>
        <w:tc>
          <w:tcPr>
            <w:tcW w:w="4318" w:type="dxa"/>
            <w:vAlign w:val="center"/>
          </w:tcPr>
          <w:p w14:paraId="324B82CF">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易遭受天牛危害树木</w:t>
            </w:r>
          </w:p>
        </w:tc>
      </w:tr>
      <w:tr w14:paraId="49A0B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999" w:type="dxa"/>
            <w:vMerge w:val="continue"/>
            <w:vAlign w:val="center"/>
          </w:tcPr>
          <w:p w14:paraId="6F7F3FD3">
            <w:pPr>
              <w:jc w:val="center"/>
              <w:rPr>
                <w:rFonts w:hint="eastAsia" w:ascii="宋体" w:hAnsi="宋体" w:eastAsia="宋体" w:cs="宋体"/>
                <w:color w:val="auto"/>
                <w:kern w:val="0"/>
                <w:sz w:val="24"/>
                <w:szCs w:val="24"/>
                <w:highlight w:val="none"/>
              </w:rPr>
            </w:pPr>
          </w:p>
        </w:tc>
        <w:tc>
          <w:tcPr>
            <w:tcW w:w="1020" w:type="dxa"/>
            <w:vMerge w:val="continue"/>
            <w:vAlign w:val="center"/>
          </w:tcPr>
          <w:p w14:paraId="6D9D7C10">
            <w:pPr>
              <w:jc w:val="center"/>
              <w:rPr>
                <w:rFonts w:hint="eastAsia" w:ascii="宋体" w:hAnsi="宋体" w:eastAsia="宋体" w:cs="宋体"/>
                <w:color w:val="auto"/>
                <w:kern w:val="2"/>
                <w:sz w:val="24"/>
                <w:szCs w:val="24"/>
                <w:highlight w:val="none"/>
                <w:lang w:val="en-US" w:eastAsia="zh-CN" w:bidi="ar-SA"/>
              </w:rPr>
            </w:pPr>
          </w:p>
        </w:tc>
        <w:tc>
          <w:tcPr>
            <w:tcW w:w="2424" w:type="dxa"/>
            <w:vAlign w:val="center"/>
          </w:tcPr>
          <w:p w14:paraId="5A30D566">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瓢虫</w:t>
            </w:r>
          </w:p>
        </w:tc>
        <w:tc>
          <w:tcPr>
            <w:tcW w:w="4318" w:type="dxa"/>
            <w:vAlign w:val="center"/>
          </w:tcPr>
          <w:p w14:paraId="06394216">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易遭受红蜘蛛危害乔灌木</w:t>
            </w:r>
          </w:p>
        </w:tc>
      </w:tr>
      <w:tr w14:paraId="39F1C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999" w:type="dxa"/>
            <w:vMerge w:val="continue"/>
            <w:vAlign w:val="center"/>
          </w:tcPr>
          <w:p w14:paraId="77CF88DC">
            <w:pPr>
              <w:jc w:val="center"/>
              <w:rPr>
                <w:rFonts w:hint="eastAsia" w:ascii="宋体" w:hAnsi="宋体" w:eastAsia="宋体" w:cs="宋体"/>
                <w:color w:val="auto"/>
                <w:kern w:val="0"/>
                <w:sz w:val="24"/>
                <w:szCs w:val="24"/>
                <w:highlight w:val="none"/>
              </w:rPr>
            </w:pPr>
          </w:p>
        </w:tc>
        <w:tc>
          <w:tcPr>
            <w:tcW w:w="1020" w:type="dxa"/>
            <w:vMerge w:val="continue"/>
            <w:vAlign w:val="center"/>
          </w:tcPr>
          <w:p w14:paraId="3DC60B3D">
            <w:pPr>
              <w:jc w:val="center"/>
              <w:rPr>
                <w:rFonts w:hint="eastAsia" w:ascii="宋体" w:hAnsi="宋体" w:eastAsia="宋体" w:cs="宋体"/>
                <w:color w:val="auto"/>
                <w:kern w:val="2"/>
                <w:sz w:val="24"/>
                <w:szCs w:val="24"/>
                <w:highlight w:val="none"/>
                <w:lang w:val="en-US" w:eastAsia="zh-CN" w:bidi="ar-SA"/>
              </w:rPr>
            </w:pPr>
          </w:p>
        </w:tc>
        <w:tc>
          <w:tcPr>
            <w:tcW w:w="2424" w:type="dxa"/>
            <w:vAlign w:val="center"/>
          </w:tcPr>
          <w:p w14:paraId="49E78860">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捕食螨</w:t>
            </w:r>
          </w:p>
        </w:tc>
        <w:tc>
          <w:tcPr>
            <w:tcW w:w="4318" w:type="dxa"/>
            <w:vAlign w:val="center"/>
          </w:tcPr>
          <w:p w14:paraId="24B13AEE">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易遭受蚜虫危害树木</w:t>
            </w:r>
          </w:p>
        </w:tc>
      </w:tr>
      <w:tr w14:paraId="34EAF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999" w:type="dxa"/>
            <w:vMerge w:val="continue"/>
            <w:vAlign w:val="center"/>
          </w:tcPr>
          <w:p w14:paraId="37E07F53">
            <w:pPr>
              <w:jc w:val="center"/>
              <w:rPr>
                <w:rFonts w:hint="eastAsia" w:ascii="宋体" w:hAnsi="宋体" w:eastAsia="宋体" w:cs="宋体"/>
                <w:color w:val="auto"/>
                <w:kern w:val="0"/>
                <w:sz w:val="24"/>
                <w:szCs w:val="24"/>
                <w:highlight w:val="none"/>
              </w:rPr>
            </w:pPr>
          </w:p>
        </w:tc>
        <w:tc>
          <w:tcPr>
            <w:tcW w:w="1020" w:type="dxa"/>
            <w:vMerge w:val="restart"/>
            <w:vAlign w:val="center"/>
          </w:tcPr>
          <w:p w14:paraId="064D660F">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防病害类</w:t>
            </w:r>
          </w:p>
        </w:tc>
        <w:tc>
          <w:tcPr>
            <w:tcW w:w="2424" w:type="dxa"/>
            <w:vAlign w:val="center"/>
          </w:tcPr>
          <w:p w14:paraId="2E400A63">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易植9号</w:t>
            </w:r>
          </w:p>
        </w:tc>
        <w:tc>
          <w:tcPr>
            <w:tcW w:w="4318" w:type="dxa"/>
            <w:vAlign w:val="center"/>
          </w:tcPr>
          <w:p w14:paraId="74893CA7">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强力增效剂</w:t>
            </w:r>
          </w:p>
        </w:tc>
      </w:tr>
      <w:tr w14:paraId="6D8B7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99" w:type="dxa"/>
            <w:vMerge w:val="continue"/>
            <w:vAlign w:val="center"/>
          </w:tcPr>
          <w:p w14:paraId="734EE9AD">
            <w:pPr>
              <w:jc w:val="center"/>
              <w:rPr>
                <w:rFonts w:hint="eastAsia" w:ascii="宋体" w:hAnsi="宋体" w:eastAsia="宋体" w:cs="宋体"/>
                <w:color w:val="auto"/>
                <w:kern w:val="0"/>
                <w:sz w:val="24"/>
                <w:szCs w:val="24"/>
                <w:highlight w:val="none"/>
              </w:rPr>
            </w:pPr>
          </w:p>
        </w:tc>
        <w:tc>
          <w:tcPr>
            <w:tcW w:w="1020" w:type="dxa"/>
            <w:vMerge w:val="continue"/>
            <w:vAlign w:val="center"/>
          </w:tcPr>
          <w:p w14:paraId="12ABEEA8">
            <w:pPr>
              <w:jc w:val="center"/>
              <w:rPr>
                <w:rFonts w:hint="eastAsia" w:ascii="宋体" w:hAnsi="宋体" w:eastAsia="宋体" w:cs="宋体"/>
                <w:color w:val="auto"/>
                <w:kern w:val="2"/>
                <w:sz w:val="24"/>
                <w:szCs w:val="24"/>
                <w:highlight w:val="none"/>
                <w:lang w:val="en-US" w:eastAsia="zh-CN" w:bidi="ar-SA"/>
              </w:rPr>
            </w:pPr>
          </w:p>
        </w:tc>
        <w:tc>
          <w:tcPr>
            <w:tcW w:w="2424" w:type="dxa"/>
            <w:vAlign w:val="center"/>
          </w:tcPr>
          <w:p w14:paraId="6090FD43">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易景5号</w:t>
            </w:r>
          </w:p>
        </w:tc>
        <w:tc>
          <w:tcPr>
            <w:tcW w:w="4318" w:type="dxa"/>
            <w:vAlign w:val="center"/>
          </w:tcPr>
          <w:p w14:paraId="5BEE1D03">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防治黑斑，白粉，炭疽病</w:t>
            </w:r>
          </w:p>
        </w:tc>
      </w:tr>
      <w:tr w14:paraId="5B632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999" w:type="dxa"/>
            <w:vMerge w:val="continue"/>
            <w:vAlign w:val="center"/>
          </w:tcPr>
          <w:p w14:paraId="135F6C37">
            <w:pPr>
              <w:jc w:val="center"/>
              <w:rPr>
                <w:rFonts w:hint="eastAsia" w:ascii="宋体" w:hAnsi="宋体" w:eastAsia="宋体" w:cs="宋体"/>
                <w:color w:val="auto"/>
                <w:kern w:val="0"/>
                <w:sz w:val="24"/>
                <w:szCs w:val="24"/>
                <w:highlight w:val="none"/>
              </w:rPr>
            </w:pPr>
          </w:p>
        </w:tc>
        <w:tc>
          <w:tcPr>
            <w:tcW w:w="1020" w:type="dxa"/>
            <w:vMerge w:val="continue"/>
            <w:vAlign w:val="center"/>
          </w:tcPr>
          <w:p w14:paraId="1F2674AE">
            <w:pPr>
              <w:jc w:val="center"/>
              <w:rPr>
                <w:rFonts w:hint="eastAsia" w:ascii="宋体" w:hAnsi="宋体" w:eastAsia="宋体" w:cs="宋体"/>
                <w:color w:val="auto"/>
                <w:kern w:val="2"/>
                <w:sz w:val="24"/>
                <w:szCs w:val="24"/>
                <w:highlight w:val="none"/>
                <w:lang w:val="en-US" w:eastAsia="zh-CN" w:bidi="ar-SA"/>
              </w:rPr>
            </w:pPr>
          </w:p>
        </w:tc>
        <w:tc>
          <w:tcPr>
            <w:tcW w:w="2424" w:type="dxa"/>
            <w:vAlign w:val="center"/>
          </w:tcPr>
          <w:p w14:paraId="3107FDF4">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百菌清</w:t>
            </w:r>
          </w:p>
        </w:tc>
        <w:tc>
          <w:tcPr>
            <w:tcW w:w="4318" w:type="dxa"/>
            <w:vAlign w:val="center"/>
          </w:tcPr>
          <w:p w14:paraId="415E3F73">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防治黑斑，白粉，炭疽病</w:t>
            </w:r>
          </w:p>
        </w:tc>
      </w:tr>
      <w:tr w14:paraId="63ED6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999" w:type="dxa"/>
            <w:vMerge w:val="continue"/>
            <w:vAlign w:val="center"/>
          </w:tcPr>
          <w:p w14:paraId="0A5C81F1">
            <w:pPr>
              <w:jc w:val="center"/>
              <w:rPr>
                <w:rFonts w:hint="eastAsia" w:ascii="宋体" w:hAnsi="宋体" w:eastAsia="宋体" w:cs="宋体"/>
                <w:color w:val="auto"/>
                <w:kern w:val="0"/>
                <w:sz w:val="24"/>
                <w:szCs w:val="24"/>
                <w:highlight w:val="none"/>
              </w:rPr>
            </w:pPr>
          </w:p>
        </w:tc>
        <w:tc>
          <w:tcPr>
            <w:tcW w:w="1020" w:type="dxa"/>
            <w:vMerge w:val="continue"/>
            <w:vAlign w:val="center"/>
          </w:tcPr>
          <w:p w14:paraId="5038BEE4">
            <w:pPr>
              <w:jc w:val="center"/>
              <w:rPr>
                <w:rFonts w:hint="eastAsia" w:ascii="宋体" w:hAnsi="宋体" w:eastAsia="宋体" w:cs="宋体"/>
                <w:color w:val="auto"/>
                <w:kern w:val="2"/>
                <w:sz w:val="24"/>
                <w:szCs w:val="24"/>
                <w:highlight w:val="none"/>
                <w:lang w:val="en-US" w:eastAsia="zh-CN" w:bidi="ar-SA"/>
              </w:rPr>
            </w:pPr>
          </w:p>
        </w:tc>
        <w:tc>
          <w:tcPr>
            <w:tcW w:w="2424" w:type="dxa"/>
            <w:vAlign w:val="center"/>
          </w:tcPr>
          <w:p w14:paraId="037DE41D">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领托</w:t>
            </w:r>
          </w:p>
        </w:tc>
        <w:tc>
          <w:tcPr>
            <w:tcW w:w="4318" w:type="dxa"/>
            <w:vAlign w:val="center"/>
          </w:tcPr>
          <w:p w14:paraId="310AA798">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预防性杀菌剂</w:t>
            </w:r>
          </w:p>
        </w:tc>
      </w:tr>
      <w:tr w14:paraId="5A99A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dxa"/>
            <w:vMerge w:val="continue"/>
            <w:vAlign w:val="center"/>
          </w:tcPr>
          <w:p w14:paraId="612E57FE">
            <w:pPr>
              <w:jc w:val="center"/>
              <w:rPr>
                <w:rFonts w:hint="eastAsia" w:ascii="宋体" w:hAnsi="宋体" w:eastAsia="宋体" w:cs="宋体"/>
                <w:color w:val="auto"/>
                <w:kern w:val="0"/>
                <w:sz w:val="24"/>
                <w:szCs w:val="24"/>
                <w:highlight w:val="none"/>
              </w:rPr>
            </w:pPr>
          </w:p>
        </w:tc>
        <w:tc>
          <w:tcPr>
            <w:tcW w:w="1020" w:type="dxa"/>
            <w:vMerge w:val="restart"/>
            <w:vAlign w:val="center"/>
          </w:tcPr>
          <w:p w14:paraId="464D132D">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肥料类</w:t>
            </w:r>
          </w:p>
        </w:tc>
        <w:tc>
          <w:tcPr>
            <w:tcW w:w="2424" w:type="dxa"/>
            <w:vAlign w:val="center"/>
          </w:tcPr>
          <w:p w14:paraId="5B401232">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启耘</w:t>
            </w:r>
          </w:p>
        </w:tc>
        <w:tc>
          <w:tcPr>
            <w:tcW w:w="4318" w:type="dxa"/>
            <w:vAlign w:val="center"/>
          </w:tcPr>
          <w:p w14:paraId="5BC121EF">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大量元素水溶肥</w:t>
            </w:r>
          </w:p>
        </w:tc>
      </w:tr>
      <w:tr w14:paraId="5BCE6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999" w:type="dxa"/>
            <w:vMerge w:val="continue"/>
            <w:vAlign w:val="center"/>
          </w:tcPr>
          <w:p w14:paraId="54E13371">
            <w:pPr>
              <w:jc w:val="center"/>
              <w:rPr>
                <w:rFonts w:hint="eastAsia" w:ascii="宋体" w:hAnsi="宋体" w:eastAsia="宋体" w:cs="宋体"/>
                <w:color w:val="auto"/>
                <w:kern w:val="0"/>
                <w:sz w:val="24"/>
                <w:szCs w:val="24"/>
                <w:highlight w:val="none"/>
              </w:rPr>
            </w:pPr>
          </w:p>
        </w:tc>
        <w:tc>
          <w:tcPr>
            <w:tcW w:w="1020" w:type="dxa"/>
            <w:vMerge w:val="continue"/>
            <w:vAlign w:val="center"/>
          </w:tcPr>
          <w:p w14:paraId="02DF2784">
            <w:pPr>
              <w:jc w:val="center"/>
              <w:rPr>
                <w:rFonts w:hint="eastAsia" w:ascii="宋体" w:hAnsi="宋体" w:eastAsia="宋体" w:cs="宋体"/>
                <w:color w:val="auto"/>
                <w:kern w:val="2"/>
                <w:sz w:val="24"/>
                <w:szCs w:val="24"/>
                <w:highlight w:val="none"/>
                <w:lang w:val="en-US" w:eastAsia="zh-CN" w:bidi="ar-SA"/>
              </w:rPr>
            </w:pPr>
          </w:p>
        </w:tc>
        <w:tc>
          <w:tcPr>
            <w:tcW w:w="2424" w:type="dxa"/>
            <w:vAlign w:val="center"/>
          </w:tcPr>
          <w:p w14:paraId="310915E1">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有机肥</w:t>
            </w:r>
          </w:p>
        </w:tc>
        <w:tc>
          <w:tcPr>
            <w:tcW w:w="4318" w:type="dxa"/>
            <w:vMerge w:val="restart"/>
            <w:vAlign w:val="center"/>
          </w:tcPr>
          <w:p w14:paraId="71E2F238">
            <w:pPr>
              <w:jc w:val="center"/>
              <w:rPr>
                <w:rFonts w:hint="eastAsia" w:ascii="宋体" w:hAnsi="宋体" w:eastAsia="宋体" w:cs="宋体"/>
                <w:color w:val="auto"/>
                <w:kern w:val="2"/>
                <w:sz w:val="24"/>
                <w:szCs w:val="24"/>
                <w:highlight w:val="none"/>
                <w:lang w:val="en-US" w:eastAsia="zh-CN" w:bidi="ar-SA"/>
              </w:rPr>
            </w:pPr>
          </w:p>
        </w:tc>
      </w:tr>
      <w:tr w14:paraId="59913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999" w:type="dxa"/>
            <w:vMerge w:val="continue"/>
            <w:vAlign w:val="center"/>
          </w:tcPr>
          <w:p w14:paraId="1F86C881">
            <w:pPr>
              <w:jc w:val="center"/>
              <w:rPr>
                <w:rFonts w:hint="eastAsia" w:ascii="宋体" w:hAnsi="宋体" w:eastAsia="宋体" w:cs="宋体"/>
                <w:color w:val="auto"/>
                <w:kern w:val="0"/>
                <w:sz w:val="24"/>
                <w:szCs w:val="24"/>
                <w:highlight w:val="none"/>
              </w:rPr>
            </w:pPr>
          </w:p>
        </w:tc>
        <w:tc>
          <w:tcPr>
            <w:tcW w:w="1020" w:type="dxa"/>
            <w:vMerge w:val="continue"/>
            <w:vAlign w:val="center"/>
          </w:tcPr>
          <w:p w14:paraId="7508E291">
            <w:pPr>
              <w:jc w:val="center"/>
              <w:rPr>
                <w:rFonts w:hint="eastAsia" w:ascii="宋体" w:hAnsi="宋体" w:eastAsia="宋体" w:cs="宋体"/>
                <w:color w:val="auto"/>
                <w:kern w:val="2"/>
                <w:sz w:val="24"/>
                <w:szCs w:val="24"/>
                <w:highlight w:val="none"/>
                <w:lang w:val="en-US" w:eastAsia="zh-CN" w:bidi="ar-SA"/>
              </w:rPr>
            </w:pPr>
          </w:p>
        </w:tc>
        <w:tc>
          <w:tcPr>
            <w:tcW w:w="2424" w:type="dxa"/>
            <w:vAlign w:val="center"/>
          </w:tcPr>
          <w:p w14:paraId="0F7C1150">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无机复合肥</w:t>
            </w:r>
          </w:p>
        </w:tc>
        <w:tc>
          <w:tcPr>
            <w:tcW w:w="4318" w:type="dxa"/>
            <w:vMerge w:val="continue"/>
            <w:vAlign w:val="center"/>
          </w:tcPr>
          <w:p w14:paraId="277CF4B2">
            <w:pPr>
              <w:jc w:val="center"/>
              <w:rPr>
                <w:rFonts w:hint="eastAsia" w:ascii="宋体" w:hAnsi="宋体" w:eastAsia="宋体" w:cs="宋体"/>
                <w:color w:val="auto"/>
                <w:kern w:val="2"/>
                <w:sz w:val="24"/>
                <w:szCs w:val="24"/>
                <w:highlight w:val="none"/>
                <w:lang w:val="en-US" w:eastAsia="zh-CN" w:bidi="ar-SA"/>
              </w:rPr>
            </w:pPr>
          </w:p>
        </w:tc>
      </w:tr>
      <w:tr w14:paraId="32510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019" w:type="dxa"/>
            <w:gridSpan w:val="2"/>
            <w:vAlign w:val="center"/>
          </w:tcPr>
          <w:p w14:paraId="6376B06B">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管理要求</w:t>
            </w:r>
          </w:p>
        </w:tc>
        <w:tc>
          <w:tcPr>
            <w:tcW w:w="6742" w:type="dxa"/>
            <w:gridSpan w:val="2"/>
            <w:vAlign w:val="center"/>
          </w:tcPr>
          <w:p w14:paraId="7CC888A1">
            <w:pPr>
              <w:widowContro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1.投标报价中已包含</w:t>
            </w:r>
            <w:r>
              <w:rPr>
                <w:rFonts w:hint="eastAsia" w:ascii="宋体" w:hAnsi="宋体" w:eastAsia="宋体" w:cs="宋体"/>
                <w:color w:val="auto"/>
                <w:sz w:val="24"/>
                <w:szCs w:val="24"/>
                <w:highlight w:val="none"/>
                <w:lang w:eastAsia="zh-CN"/>
              </w:rPr>
              <w:t>中标人</w:t>
            </w:r>
            <w:r>
              <w:rPr>
                <w:rFonts w:hint="eastAsia" w:ascii="宋体" w:hAnsi="宋体" w:eastAsia="宋体" w:cs="宋体"/>
                <w:color w:val="auto"/>
                <w:sz w:val="24"/>
                <w:szCs w:val="24"/>
                <w:highlight w:val="none"/>
              </w:rPr>
              <w:t>提供全年所有费用，包干管理，若有不足，由</w:t>
            </w:r>
            <w:r>
              <w:rPr>
                <w:rFonts w:hint="eastAsia" w:ascii="宋体" w:hAnsi="宋体" w:eastAsia="宋体" w:cs="宋体"/>
                <w:color w:val="auto"/>
                <w:sz w:val="24"/>
                <w:szCs w:val="24"/>
                <w:highlight w:val="none"/>
                <w:lang w:eastAsia="zh-CN"/>
              </w:rPr>
              <w:t>中标人</w:t>
            </w:r>
            <w:r>
              <w:rPr>
                <w:rFonts w:hint="eastAsia" w:ascii="宋体" w:hAnsi="宋体" w:eastAsia="宋体" w:cs="宋体"/>
                <w:color w:val="auto"/>
                <w:sz w:val="24"/>
                <w:szCs w:val="24"/>
                <w:highlight w:val="none"/>
              </w:rPr>
              <w:t>无条件自行保质保量提供。</w:t>
            </w:r>
          </w:p>
          <w:p w14:paraId="1044C716">
            <w:pPr>
              <w:widowContro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2.各材料具体种类及数量需经</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确认，并根据需要提供样品，样品送检，合格者进入采购流程，不合格淘汰重新提供。</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有权根据需要进行种类和数量的调整。</w:t>
            </w:r>
          </w:p>
          <w:p w14:paraId="2DCB841D">
            <w:pPr>
              <w:widowContro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3.若采用生物防治取得一定效果，化学虫害药剂要求可适当降低。</w:t>
            </w:r>
          </w:p>
          <w:p w14:paraId="60313C83">
            <w:pPr>
              <w:widowContro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.复合肥必须由正规厂家生产，包装标明品牌及厂家名称，符合GB15063-2009《复混肥料（复合肥料）》国家标准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有机肥必须由正规厂家生产，包装标明品牌及厂家名称，各项指标符合国家制定的有机肥标准，有肥料登记证的产品。</w:t>
            </w:r>
          </w:p>
        </w:tc>
      </w:tr>
    </w:tbl>
    <w:p w14:paraId="3E32A8E6">
      <w:pPr>
        <w:widowControl/>
        <w:tabs>
          <w:tab w:val="left" w:pos="851"/>
        </w:tabs>
        <w:adjustRightInd/>
        <w:spacing w:line="360" w:lineRule="auto"/>
        <w:ind w:firstLine="480" w:firstLineChars="200"/>
        <w:rPr>
          <w:rFonts w:hint="eastAsia"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③花卉布置及节日氛围营造</w:t>
      </w:r>
    </w:p>
    <w:p w14:paraId="633BB21D">
      <w:pPr>
        <w:widowControl/>
        <w:numPr>
          <w:ilvl w:val="0"/>
          <w:numId w:val="5"/>
        </w:numPr>
        <w:tabs>
          <w:tab w:val="left" w:pos="851"/>
          <w:tab w:val="clear" w:pos="312"/>
        </w:tabs>
        <w:adjustRightInd/>
        <w:spacing w:line="360" w:lineRule="auto"/>
        <w:ind w:firstLine="480" w:firstLineChars="200"/>
        <w:rPr>
          <w:rFonts w:hint="eastAsia"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绿岛公园</w:t>
      </w:r>
    </w:p>
    <w:tbl>
      <w:tblPr>
        <w:tblStyle w:val="62"/>
        <w:tblW w:w="90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1735"/>
        <w:gridCol w:w="3136"/>
        <w:gridCol w:w="3078"/>
      </w:tblGrid>
      <w:tr w14:paraId="725DE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061" w:type="dxa"/>
            <w:vMerge w:val="restart"/>
            <w:vAlign w:val="center"/>
          </w:tcPr>
          <w:p w14:paraId="134D60BC">
            <w:pPr>
              <w:widowControl/>
              <w:adjustRightInd/>
              <w:jc w:val="left"/>
              <w:rPr>
                <w:rFonts w:hint="eastAsia" w:ascii="宋体" w:hAnsi="宋体" w:eastAsia="宋体" w:cs="宋体"/>
                <w:color w:val="auto"/>
                <w:kern w:val="0"/>
                <w:sz w:val="24"/>
                <w:szCs w:val="24"/>
                <w:highlight w:val="none"/>
                <w:lang w:eastAsia="zh-CN"/>
              </w:rPr>
            </w:pPr>
            <w:r>
              <w:rPr>
                <w:rFonts w:hint="eastAsia" w:ascii="宋体" w:hAnsi="宋体" w:eastAsia="宋体" w:cs="宋体"/>
                <w:b/>
                <w:bCs/>
                <w:color w:val="auto"/>
                <w:kern w:val="0"/>
                <w:sz w:val="24"/>
                <w:szCs w:val="24"/>
                <w:highlight w:val="none"/>
              </w:rPr>
              <w:t>节日氛围营造数量要求</w:t>
            </w:r>
          </w:p>
        </w:tc>
        <w:tc>
          <w:tcPr>
            <w:tcW w:w="1735" w:type="dxa"/>
            <w:vAlign w:val="center"/>
          </w:tcPr>
          <w:p w14:paraId="106939EA">
            <w:pPr>
              <w:widowControl/>
              <w:adjustRightInd/>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mc:AlternateContent>
                <mc:Choice Requires="wps">
                  <w:drawing>
                    <wp:anchor distT="0" distB="0" distL="114300" distR="114300" simplePos="0" relativeHeight="251668480" behindDoc="0" locked="0" layoutInCell="1" allowOverlap="1">
                      <wp:simplePos x="0" y="0"/>
                      <wp:positionH relativeFrom="column">
                        <wp:posOffset>-27305</wp:posOffset>
                      </wp:positionH>
                      <wp:positionV relativeFrom="paragraph">
                        <wp:posOffset>5715</wp:posOffset>
                      </wp:positionV>
                      <wp:extent cx="881380" cy="316865"/>
                      <wp:effectExtent l="1905" t="4445" r="12065" b="21590"/>
                      <wp:wrapNone/>
                      <wp:docPr id="55" name="直线 2"/>
                      <wp:cNvGraphicFramePr/>
                      <a:graphic xmlns:a="http://schemas.openxmlformats.org/drawingml/2006/main">
                        <a:graphicData uri="http://schemas.microsoft.com/office/word/2010/wordprocessingShape">
                          <wps:wsp>
                            <wps:cNvCnPr/>
                            <wps:spPr>
                              <a:xfrm>
                                <a:off x="0" y="0"/>
                                <a:ext cx="881380" cy="31686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2" o:spid="_x0000_s1026" o:spt="20" style="position:absolute;left:0pt;margin-left:-2.15pt;margin-top:0.45pt;height:24.95pt;width:69.4pt;z-index:251668480;mso-width-relative:page;mso-height-relative:page;" filled="f" stroked="t" coordsize="21600,21600" o:gfxdata="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l6uOjtUAAAAGAQAADwAAAAAAAAABACAAAAAiAAAAZHJzL2Rvd25yZXYueG1sUEsBAhQAFAAAAAgA&#10;h07iQGzY2OPvAQAA7gMAAA4AAAAAAAAAAQAgAAAAJAEAAGRycy9lMm9Eb2MueG1sUEsFBgAAAAAG&#10;AAYAWQEAAIUFAAAAAA==&#10;">
                      <v:fill on="f" focussize="0,0"/>
                      <v:stroke color="#000000" joinstyle="round"/>
                      <v:imagedata o:title=""/>
                      <o:lock v:ext="edit" aspectratio="f"/>
                    </v:line>
                  </w:pict>
                </mc:Fallback>
              </mc:AlternateContent>
            </w:r>
            <w:r>
              <w:rPr>
                <w:rFonts w:hint="eastAsia" w:ascii="宋体" w:hAnsi="宋体" w:eastAsia="宋体" w:cs="宋体"/>
                <w:color w:val="auto"/>
                <w:kern w:val="0"/>
                <w:sz w:val="24"/>
                <w:szCs w:val="24"/>
                <w:highlight w:val="none"/>
              </w:rPr>
              <w:t>节日名称</w:t>
            </w:r>
          </w:p>
          <w:p w14:paraId="160F42FB">
            <w:pPr>
              <w:widowControl/>
              <w:adjustRightInd/>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项目内容</w:t>
            </w:r>
          </w:p>
        </w:tc>
        <w:tc>
          <w:tcPr>
            <w:tcW w:w="3136" w:type="dxa"/>
            <w:vAlign w:val="center"/>
          </w:tcPr>
          <w:p w14:paraId="262282DE">
            <w:pPr>
              <w:widowControl/>
              <w:adjustRightInd/>
              <w:ind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规格</w:t>
            </w:r>
          </w:p>
        </w:tc>
        <w:tc>
          <w:tcPr>
            <w:tcW w:w="3078" w:type="dxa"/>
            <w:vAlign w:val="center"/>
          </w:tcPr>
          <w:p w14:paraId="38DDF7B6">
            <w:pPr>
              <w:widowControl/>
              <w:adjustRightInd/>
              <w:ind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备注</w:t>
            </w:r>
          </w:p>
        </w:tc>
      </w:tr>
      <w:tr w14:paraId="41625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061" w:type="dxa"/>
            <w:vMerge w:val="continue"/>
            <w:vAlign w:val="center"/>
          </w:tcPr>
          <w:p w14:paraId="4DA7F38E">
            <w:pPr>
              <w:widowControl/>
              <w:adjustRightInd/>
              <w:jc w:val="left"/>
              <w:rPr>
                <w:rFonts w:hint="eastAsia" w:ascii="宋体" w:hAnsi="宋体" w:eastAsia="宋体" w:cs="宋体"/>
                <w:color w:val="auto"/>
                <w:kern w:val="0"/>
                <w:sz w:val="24"/>
                <w:szCs w:val="24"/>
                <w:highlight w:val="none"/>
                <w:lang w:eastAsia="zh-CN"/>
              </w:rPr>
            </w:pPr>
          </w:p>
        </w:tc>
        <w:tc>
          <w:tcPr>
            <w:tcW w:w="1735" w:type="dxa"/>
            <w:vAlign w:val="center"/>
          </w:tcPr>
          <w:p w14:paraId="344BC5C2">
            <w:pPr>
              <w:widowControl/>
              <w:adjustRightInd/>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日常时令花卉</w:t>
            </w:r>
          </w:p>
        </w:tc>
        <w:tc>
          <w:tcPr>
            <w:tcW w:w="3136" w:type="dxa"/>
            <w:vAlign w:val="center"/>
          </w:tcPr>
          <w:p w14:paraId="2AD4445C">
            <w:pPr>
              <w:widowControl/>
              <w:adjustRightInd/>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196㎡，全年摆种</w:t>
            </w:r>
          </w:p>
        </w:tc>
        <w:tc>
          <w:tcPr>
            <w:tcW w:w="3078" w:type="dxa"/>
            <w:vMerge w:val="restart"/>
            <w:vAlign w:val="center"/>
          </w:tcPr>
          <w:p w14:paraId="388E04DF">
            <w:pPr>
              <w:widowControl/>
              <w:adjustRightInd/>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一年更换不少于6次，要求精品花卉（详见备选花材目录 附件3）。每次更换方案报采购单位审核。</w:t>
            </w:r>
          </w:p>
        </w:tc>
      </w:tr>
      <w:tr w14:paraId="0F53E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061" w:type="dxa"/>
            <w:vMerge w:val="continue"/>
            <w:vAlign w:val="center"/>
          </w:tcPr>
          <w:p w14:paraId="7EBB5C48">
            <w:pPr>
              <w:widowControl/>
              <w:adjustRightInd/>
              <w:ind w:firstLine="480" w:firstLineChars="200"/>
              <w:jc w:val="left"/>
              <w:rPr>
                <w:rFonts w:hint="eastAsia" w:ascii="宋体" w:hAnsi="宋体" w:eastAsia="宋体" w:cs="宋体"/>
                <w:color w:val="auto"/>
                <w:kern w:val="0"/>
                <w:sz w:val="24"/>
                <w:szCs w:val="24"/>
                <w:highlight w:val="none"/>
              </w:rPr>
            </w:pPr>
          </w:p>
        </w:tc>
        <w:tc>
          <w:tcPr>
            <w:tcW w:w="1735" w:type="dxa"/>
            <w:vAlign w:val="center"/>
          </w:tcPr>
          <w:p w14:paraId="380E31BB">
            <w:pPr>
              <w:widowControl/>
              <w:adjustRightInd/>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节日时令花卉</w:t>
            </w:r>
          </w:p>
        </w:tc>
        <w:tc>
          <w:tcPr>
            <w:tcW w:w="3136" w:type="dxa"/>
            <w:vAlign w:val="center"/>
          </w:tcPr>
          <w:p w14:paraId="22A61C35">
            <w:pPr>
              <w:widowControl/>
              <w:adjustRightInd/>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特定节庆期间摆放，按实结算</w:t>
            </w:r>
          </w:p>
        </w:tc>
        <w:tc>
          <w:tcPr>
            <w:tcW w:w="3078" w:type="dxa"/>
            <w:vMerge w:val="continue"/>
            <w:vAlign w:val="center"/>
          </w:tcPr>
          <w:p w14:paraId="56918613">
            <w:pPr>
              <w:widowControl/>
              <w:adjustRightInd/>
              <w:jc w:val="left"/>
              <w:rPr>
                <w:rFonts w:hint="eastAsia" w:ascii="宋体" w:hAnsi="宋体" w:eastAsia="宋体" w:cs="宋体"/>
                <w:color w:val="auto"/>
                <w:kern w:val="0"/>
                <w:sz w:val="24"/>
                <w:szCs w:val="24"/>
                <w:highlight w:val="none"/>
              </w:rPr>
            </w:pPr>
          </w:p>
        </w:tc>
      </w:tr>
      <w:tr w14:paraId="65C7D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061" w:type="dxa"/>
            <w:vMerge w:val="continue"/>
            <w:vAlign w:val="center"/>
          </w:tcPr>
          <w:p w14:paraId="754C7CF9">
            <w:pPr>
              <w:widowControl/>
              <w:adjustRightInd/>
              <w:ind w:firstLine="480" w:firstLineChars="200"/>
              <w:jc w:val="left"/>
              <w:rPr>
                <w:rFonts w:hint="eastAsia" w:ascii="宋体" w:hAnsi="宋体" w:eastAsia="宋体" w:cs="宋体"/>
                <w:color w:val="auto"/>
                <w:kern w:val="0"/>
                <w:sz w:val="24"/>
                <w:szCs w:val="24"/>
                <w:highlight w:val="none"/>
              </w:rPr>
            </w:pPr>
          </w:p>
        </w:tc>
        <w:tc>
          <w:tcPr>
            <w:tcW w:w="1735" w:type="dxa"/>
            <w:vAlign w:val="center"/>
          </w:tcPr>
          <w:p w14:paraId="5AFE1201">
            <w:pPr>
              <w:widowControl/>
              <w:adjustRightInd/>
              <w:ind w:firstLine="480" w:firstLineChars="20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小品</w:t>
            </w:r>
          </w:p>
        </w:tc>
        <w:tc>
          <w:tcPr>
            <w:tcW w:w="3136" w:type="dxa"/>
            <w:vAlign w:val="center"/>
          </w:tcPr>
          <w:p w14:paraId="7AA58F49">
            <w:pPr>
              <w:widowControl/>
              <w:adjustRightInd/>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春节期间或其他特定节庆期间摆放，按实结算</w:t>
            </w:r>
          </w:p>
        </w:tc>
        <w:tc>
          <w:tcPr>
            <w:tcW w:w="3078" w:type="dxa"/>
            <w:vAlign w:val="center"/>
          </w:tcPr>
          <w:p w14:paraId="04A1FA44">
            <w:pPr>
              <w:widowControl/>
              <w:adjustRightInd/>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材质可为金属烤漆、玻璃钢、亚克力等，以实际效果确定</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方案报采购单位审核</w:t>
            </w:r>
            <w:r>
              <w:rPr>
                <w:rFonts w:hint="eastAsia" w:ascii="宋体" w:hAnsi="宋体" w:eastAsia="宋体" w:cs="宋体"/>
                <w:color w:val="auto"/>
                <w:kern w:val="0"/>
                <w:sz w:val="24"/>
                <w:szCs w:val="24"/>
                <w:highlight w:val="none"/>
              </w:rPr>
              <w:t>。</w:t>
            </w:r>
          </w:p>
        </w:tc>
      </w:tr>
      <w:tr w14:paraId="3C8D2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061" w:type="dxa"/>
            <w:vMerge w:val="continue"/>
            <w:vAlign w:val="center"/>
          </w:tcPr>
          <w:p w14:paraId="6A0A49E6">
            <w:pPr>
              <w:widowControl/>
              <w:adjustRightInd/>
              <w:ind w:firstLine="480" w:firstLineChars="200"/>
              <w:jc w:val="left"/>
              <w:rPr>
                <w:rFonts w:hint="eastAsia" w:ascii="宋体" w:hAnsi="宋体" w:eastAsia="宋体" w:cs="宋体"/>
                <w:color w:val="auto"/>
                <w:kern w:val="0"/>
                <w:sz w:val="24"/>
                <w:szCs w:val="24"/>
                <w:highlight w:val="none"/>
              </w:rPr>
            </w:pPr>
          </w:p>
        </w:tc>
        <w:tc>
          <w:tcPr>
            <w:tcW w:w="1735" w:type="dxa"/>
            <w:vAlign w:val="center"/>
          </w:tcPr>
          <w:p w14:paraId="0CEA14FD">
            <w:pPr>
              <w:widowControl/>
              <w:adjustRightInd/>
              <w:ind w:firstLine="480" w:firstLineChars="20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国旗</w:t>
            </w:r>
          </w:p>
        </w:tc>
        <w:tc>
          <w:tcPr>
            <w:tcW w:w="3136" w:type="dxa"/>
            <w:vAlign w:val="center"/>
          </w:tcPr>
          <w:p w14:paraId="141F8C6D">
            <w:pPr>
              <w:widowControl/>
              <w:adjustRightInd/>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国庆期间，6号国旗50面，按实结算</w:t>
            </w:r>
          </w:p>
        </w:tc>
        <w:tc>
          <w:tcPr>
            <w:tcW w:w="3078" w:type="dxa"/>
            <w:vAlign w:val="center"/>
          </w:tcPr>
          <w:p w14:paraId="15D24A31">
            <w:pPr>
              <w:widowControl/>
              <w:adjustRightInd/>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包括国旗不锈钢支架和固定模具</w:t>
            </w:r>
          </w:p>
        </w:tc>
      </w:tr>
      <w:tr w14:paraId="04A5D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061" w:type="dxa"/>
            <w:vMerge w:val="continue"/>
            <w:vAlign w:val="center"/>
          </w:tcPr>
          <w:p w14:paraId="1EBFBAF4">
            <w:pPr>
              <w:widowControl/>
              <w:adjustRightInd/>
              <w:ind w:firstLine="480" w:firstLineChars="200"/>
              <w:jc w:val="left"/>
              <w:rPr>
                <w:rFonts w:hint="eastAsia" w:ascii="宋体" w:hAnsi="宋体" w:eastAsia="宋体" w:cs="宋体"/>
                <w:color w:val="auto"/>
                <w:kern w:val="0"/>
                <w:sz w:val="24"/>
                <w:szCs w:val="24"/>
                <w:highlight w:val="none"/>
              </w:rPr>
            </w:pPr>
          </w:p>
        </w:tc>
        <w:tc>
          <w:tcPr>
            <w:tcW w:w="1735" w:type="dxa"/>
            <w:vAlign w:val="center"/>
          </w:tcPr>
          <w:p w14:paraId="52A48806">
            <w:pPr>
              <w:widowControl/>
              <w:adjustRightInd/>
              <w:ind w:firstLine="480" w:firstLineChars="20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灯笼</w:t>
            </w:r>
          </w:p>
        </w:tc>
        <w:tc>
          <w:tcPr>
            <w:tcW w:w="3136" w:type="dxa"/>
            <w:vAlign w:val="center"/>
          </w:tcPr>
          <w:p w14:paraId="521376F9">
            <w:pPr>
              <w:widowControl/>
              <w:adjustRightInd/>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rPr>
              <w:t>主入口及主要节点悬挂各式大小灯笼、中国结不少于150个，按实结算</w:t>
            </w:r>
          </w:p>
        </w:tc>
        <w:tc>
          <w:tcPr>
            <w:tcW w:w="3078" w:type="dxa"/>
            <w:vAlign w:val="center"/>
          </w:tcPr>
          <w:p w14:paraId="4742C83C">
            <w:pPr>
              <w:widowControl/>
              <w:adjustRightInd/>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包含支架、接电线路、灯泡等</w:t>
            </w:r>
          </w:p>
        </w:tc>
      </w:tr>
    </w:tbl>
    <w:p w14:paraId="1ED57C62">
      <w:pPr>
        <w:widowControl/>
        <w:numPr>
          <w:ilvl w:val="0"/>
          <w:numId w:val="5"/>
        </w:numPr>
        <w:tabs>
          <w:tab w:val="left" w:pos="851"/>
          <w:tab w:val="clear" w:pos="312"/>
        </w:tabs>
        <w:adjustRightInd/>
        <w:spacing w:line="360" w:lineRule="auto"/>
        <w:ind w:firstLine="480" w:firstLineChars="200"/>
        <w:rPr>
          <w:rFonts w:hint="eastAsia"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青林湾公园</w:t>
      </w:r>
    </w:p>
    <w:tbl>
      <w:tblPr>
        <w:tblStyle w:val="62"/>
        <w:tblW w:w="9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1742"/>
        <w:gridCol w:w="3144"/>
        <w:gridCol w:w="3077"/>
      </w:tblGrid>
      <w:tr w14:paraId="01049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1075" w:type="dxa"/>
            <w:vMerge w:val="restart"/>
            <w:vAlign w:val="center"/>
          </w:tcPr>
          <w:p w14:paraId="2556E4E4">
            <w:pPr>
              <w:jc w:val="center"/>
              <w:rPr>
                <w:rFonts w:asci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节日氛围营造数量要求</w:t>
            </w:r>
          </w:p>
        </w:tc>
        <w:tc>
          <w:tcPr>
            <w:tcW w:w="1742" w:type="dxa"/>
            <w:vAlign w:val="center"/>
            <mc:AlternateContent>
              <mc:Choice Requires="wpsCustomData">
                <wpsCustomData:diagonals>
                  <wpsCustomData:diagonal from="30000" to="10000">
                    <wpsCustomData:border w:val="single" w:color="auto" w:sz="4" w:space="0"/>
                  </wpsCustomData:diagonal>
                </wpsCustomData:diagonals>
              </mc:Choice>
            </mc:AlternateContent>
          </w:tcPr>
          <w:p w14:paraId="7685EB20">
            <w:pPr>
              <w:ind w:firstLine="480" w:firstLineChars="200"/>
              <w:rPr>
                <w:rFonts w:ascii="宋体" w:eastAsia="宋体" w:cs="宋体"/>
                <w:color w:val="auto"/>
                <w:kern w:val="0"/>
                <w:sz w:val="24"/>
                <w:szCs w:val="24"/>
                <w:highlight w:val="none"/>
              </w:rPr>
            </w:pPr>
          </w:p>
          <w:p w14:paraId="48FC44A5">
            <w:pPr>
              <w:snapToGrid w:val="0"/>
              <w:spacing w:line="240" w:lineRule="auto"/>
              <w:jc w:val="left"/>
              <mc:AlternateContent>
                <mc:Choice Requires="wpsCustomData">
                  <wpsCustomData:diagonalParaType/>
                </mc:Choice>
              </mc:AlternateContent>
              <w:rPr>
                <w:rFonts w:ascii="宋体" w:eastAsia="宋体" w:cs="宋体"/>
                <w:color w:val="auto"/>
                <w:kern w:val="0"/>
                <w:sz w:val="24"/>
                <w:szCs w:val="24"/>
                <w:highlight w:val="none"/>
              </w:rPr>
            </w:pPr>
            <w:r>
              <w:rPr>
                <w:rFonts w:hint="eastAsia" w:ascii="宋体" w:hAnsi="宋体" w:eastAsia="宋体" w:cs="宋体"/>
                <w:color w:val="auto"/>
                <w:kern w:val="0"/>
                <w:sz w:val="24"/>
                <w:szCs w:val="24"/>
                <w:highlight w:val="none"/>
              </w:rPr>
              <w:t>项目内</w:t>
            </w:r>
            <w:r>
              <w:rPr>
                <w:rFonts w:hint="eastAsia" w:ascii="宋体" w:hAnsi="宋体" w:cs="宋体"/>
                <w:color w:val="auto"/>
                <w:kern w:val="0"/>
                <w:sz w:val="24"/>
                <w:szCs w:val="24"/>
                <w:highlight w:val="none"/>
                <w:lang w:val="en-US" w:eastAsia="zh-CN"/>
              </w:rPr>
              <w:t>容</w:t>
            </w:r>
          </w:p>
          <w:p w14:paraId="1F11AA1E">
            <w:pPr>
              <w:jc w:val="left"/>
              <w:rPr>
                <w:rFonts w:ascii="宋体" w:eastAsia="宋体" w:cs="宋体"/>
                <w:color w:val="auto"/>
                <w:kern w:val="0"/>
                <w:sz w:val="24"/>
                <w:szCs w:val="24"/>
                <w:highlight w:val="none"/>
              </w:rPr>
            </w:pPr>
            <w:r>
              <w:rPr>
                <w:rFonts w:hint="eastAsia" w:ascii="宋体" w:hAnsi="宋体" w:eastAsia="宋体" w:cs="宋体"/>
                <w:color w:val="auto"/>
                <w:kern w:val="0"/>
                <w:sz w:val="24"/>
                <w:szCs w:val="24"/>
                <w:highlight w:val="none"/>
              </w:rPr>
              <w:t>节日名称</w:t>
            </w:r>
          </w:p>
        </w:tc>
        <w:tc>
          <w:tcPr>
            <w:tcW w:w="3144" w:type="dxa"/>
            <w:vAlign w:val="center"/>
          </w:tcPr>
          <w:p w14:paraId="065776ED">
            <w:pPr>
              <w:ind w:firstLine="480" w:firstLineChars="200"/>
              <w:rPr>
                <w:rFonts w:hint="eastAsia" w:asci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规格</w:t>
            </w:r>
          </w:p>
        </w:tc>
        <w:tc>
          <w:tcPr>
            <w:tcW w:w="3077" w:type="dxa"/>
            <w:vAlign w:val="center"/>
          </w:tcPr>
          <w:p w14:paraId="2D89EC13">
            <w:pPr>
              <w:ind w:firstLine="480" w:firstLineChars="200"/>
              <w:rPr>
                <w:rFonts w:ascii="宋体" w:eastAsia="宋体" w:cs="宋体"/>
                <w:color w:val="auto"/>
                <w:kern w:val="0"/>
                <w:sz w:val="24"/>
                <w:szCs w:val="24"/>
                <w:highlight w:val="none"/>
              </w:rPr>
            </w:pPr>
            <w:r>
              <w:rPr>
                <w:rFonts w:hint="eastAsia" w:ascii="宋体" w:hAnsi="宋体" w:eastAsia="宋体" w:cs="宋体"/>
                <w:color w:val="auto"/>
                <w:kern w:val="0"/>
                <w:sz w:val="24"/>
                <w:szCs w:val="24"/>
                <w:highlight w:val="none"/>
              </w:rPr>
              <w:t>备注</w:t>
            </w:r>
          </w:p>
        </w:tc>
      </w:tr>
      <w:tr w14:paraId="5F4A3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1075" w:type="dxa"/>
            <w:vMerge w:val="continue"/>
            <w:vAlign w:val="center"/>
          </w:tcPr>
          <w:p w14:paraId="4B9FC757">
            <w:pPr>
              <w:ind w:firstLine="480" w:firstLineChars="200"/>
              <w:jc w:val="center"/>
              <w:rPr>
                <w:rFonts w:ascii="宋体" w:eastAsia="宋体" w:cs="宋体"/>
                <w:color w:val="auto"/>
                <w:kern w:val="0"/>
                <w:sz w:val="24"/>
                <w:szCs w:val="24"/>
                <w:highlight w:val="none"/>
              </w:rPr>
            </w:pPr>
          </w:p>
        </w:tc>
        <w:tc>
          <w:tcPr>
            <w:tcW w:w="1742" w:type="dxa"/>
            <w:vAlign w:val="center"/>
          </w:tcPr>
          <w:p w14:paraId="77AC098B">
            <w:pPr>
              <w:jc w:val="left"/>
              <w:rPr>
                <w:rFonts w:hint="default" w:asci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日常时令花卉</w:t>
            </w:r>
          </w:p>
        </w:tc>
        <w:tc>
          <w:tcPr>
            <w:tcW w:w="3144" w:type="dxa"/>
            <w:vAlign w:val="center"/>
          </w:tcPr>
          <w:p w14:paraId="3D17775E">
            <w:pPr>
              <w:rPr>
                <w:rFonts w:hint="default" w:asci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100平方，全年摆种</w:t>
            </w:r>
          </w:p>
        </w:tc>
        <w:tc>
          <w:tcPr>
            <w:tcW w:w="3077" w:type="dxa"/>
            <w:vAlign w:val="center"/>
          </w:tcPr>
          <w:p w14:paraId="50DF4334">
            <w:pPr>
              <w:rPr>
                <w:rFonts w:hint="default" w:ascii="宋体" w:eastAsia="宋体" w:cs="宋体"/>
                <w:color w:val="auto"/>
                <w:kern w:val="0"/>
                <w:sz w:val="24"/>
                <w:szCs w:val="24"/>
                <w:highlight w:val="none"/>
                <w:lang w:val="en-US" w:eastAsia="zh-CN"/>
              </w:rPr>
            </w:pPr>
            <w:r>
              <w:rPr>
                <w:rFonts w:hint="eastAsia" w:ascii="宋体" w:eastAsia="宋体" w:cs="宋体"/>
                <w:color w:val="auto"/>
                <w:kern w:val="0"/>
                <w:sz w:val="24"/>
                <w:szCs w:val="24"/>
                <w:highlight w:val="none"/>
                <w:lang w:val="en-US" w:eastAsia="zh-CN"/>
              </w:rPr>
              <w:t>一年更换不少于6次，要求精品容器苗花卉（详见备选花材目录）。每次更换方案报采购单位审核。</w:t>
            </w:r>
          </w:p>
        </w:tc>
      </w:tr>
      <w:tr w14:paraId="6AB83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1075" w:type="dxa"/>
            <w:vMerge w:val="continue"/>
            <w:vAlign w:val="center"/>
          </w:tcPr>
          <w:p w14:paraId="442CA5C0">
            <w:pPr>
              <w:ind w:firstLine="480" w:firstLineChars="200"/>
              <w:jc w:val="center"/>
              <w:rPr>
                <w:rFonts w:ascii="宋体" w:eastAsia="宋体" w:cs="宋体"/>
                <w:color w:val="auto"/>
                <w:kern w:val="0"/>
                <w:sz w:val="24"/>
                <w:szCs w:val="24"/>
                <w:highlight w:val="none"/>
              </w:rPr>
            </w:pPr>
          </w:p>
        </w:tc>
        <w:tc>
          <w:tcPr>
            <w:tcW w:w="1742" w:type="dxa"/>
            <w:vAlign w:val="center"/>
          </w:tcPr>
          <w:p w14:paraId="341B1F64">
            <w:pPr>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节日时令花卉</w:t>
            </w:r>
          </w:p>
        </w:tc>
        <w:tc>
          <w:tcPr>
            <w:tcW w:w="3144" w:type="dxa"/>
            <w:vAlign w:val="center"/>
          </w:tcPr>
          <w:p w14:paraId="30FDFA3A">
            <w:pP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新增100平方，按实结算</w:t>
            </w:r>
          </w:p>
        </w:tc>
        <w:tc>
          <w:tcPr>
            <w:tcW w:w="3077" w:type="dxa"/>
            <w:vAlign w:val="center"/>
          </w:tcPr>
          <w:p w14:paraId="10E8DBC7">
            <w:pPr>
              <w:rPr>
                <w:rFonts w:hint="default" w:ascii="宋体" w:eastAsia="宋体" w:cs="宋体"/>
                <w:color w:val="auto"/>
                <w:kern w:val="0"/>
                <w:sz w:val="24"/>
                <w:szCs w:val="24"/>
                <w:highlight w:val="none"/>
                <w:lang w:val="en-US" w:eastAsia="zh-CN"/>
              </w:rPr>
            </w:pPr>
            <w:r>
              <w:rPr>
                <w:rFonts w:hint="eastAsia" w:ascii="宋体" w:eastAsia="宋体" w:cs="宋体"/>
                <w:color w:val="auto"/>
                <w:kern w:val="0"/>
                <w:sz w:val="24"/>
                <w:szCs w:val="24"/>
                <w:highlight w:val="none"/>
                <w:lang w:val="en-US" w:eastAsia="zh-CN"/>
              </w:rPr>
              <w:t>春节、国庆期间布置</w:t>
            </w:r>
          </w:p>
        </w:tc>
      </w:tr>
      <w:tr w14:paraId="42D7E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075" w:type="dxa"/>
            <w:vMerge w:val="continue"/>
            <w:vAlign w:val="center"/>
          </w:tcPr>
          <w:p w14:paraId="17BD7CEB">
            <w:pPr>
              <w:ind w:firstLine="480" w:firstLineChars="200"/>
              <w:jc w:val="center"/>
              <w:rPr>
                <w:rFonts w:ascii="宋体" w:eastAsia="宋体" w:cs="宋体"/>
                <w:color w:val="auto"/>
                <w:kern w:val="0"/>
                <w:sz w:val="24"/>
                <w:szCs w:val="24"/>
                <w:highlight w:val="none"/>
              </w:rPr>
            </w:pPr>
          </w:p>
        </w:tc>
        <w:tc>
          <w:tcPr>
            <w:tcW w:w="1742" w:type="dxa"/>
            <w:vAlign w:val="center"/>
          </w:tcPr>
          <w:p w14:paraId="5FAE8C34">
            <w:pPr>
              <w:ind w:firstLine="480" w:firstLineChars="200"/>
              <w:rPr>
                <w:rFonts w:ascii="宋体" w:eastAsia="宋体" w:cs="宋体"/>
                <w:color w:val="auto"/>
                <w:kern w:val="0"/>
                <w:sz w:val="24"/>
                <w:szCs w:val="24"/>
                <w:highlight w:val="none"/>
              </w:rPr>
            </w:pPr>
            <w:r>
              <w:rPr>
                <w:rFonts w:hint="eastAsia" w:ascii="宋体" w:hAnsi="宋体" w:eastAsia="宋体" w:cs="宋体"/>
                <w:color w:val="auto"/>
                <w:kern w:val="0"/>
                <w:sz w:val="24"/>
                <w:szCs w:val="24"/>
                <w:highlight w:val="none"/>
              </w:rPr>
              <w:t>小品</w:t>
            </w:r>
          </w:p>
        </w:tc>
        <w:tc>
          <w:tcPr>
            <w:tcW w:w="3144" w:type="dxa"/>
            <w:vAlign w:val="center"/>
          </w:tcPr>
          <w:p w14:paraId="33D71729">
            <w:pPr>
              <w:rPr>
                <w:rFonts w:hint="default" w:asci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春节期间或其他特定节庆期间摆放，按实结算</w:t>
            </w:r>
          </w:p>
        </w:tc>
        <w:tc>
          <w:tcPr>
            <w:tcW w:w="3077" w:type="dxa"/>
            <w:vAlign w:val="center"/>
          </w:tcPr>
          <w:p w14:paraId="4FB87E9E">
            <w:pPr>
              <w:rPr>
                <w:rFonts w:ascii="宋体" w:eastAsia="宋体" w:cs="宋体"/>
                <w:color w:val="auto"/>
                <w:kern w:val="0"/>
                <w:sz w:val="24"/>
                <w:szCs w:val="24"/>
                <w:highlight w:val="none"/>
              </w:rPr>
            </w:pPr>
            <w:r>
              <w:rPr>
                <w:rFonts w:hint="eastAsia" w:ascii="宋体" w:hAnsi="宋体" w:eastAsia="宋体" w:cs="宋体"/>
                <w:color w:val="auto"/>
                <w:kern w:val="0"/>
                <w:sz w:val="24"/>
                <w:szCs w:val="24"/>
                <w:highlight w:val="none"/>
              </w:rPr>
              <w:t>材质可为金属烤漆、玻璃钢、亚克力等，以实际效果确定</w:t>
            </w:r>
            <w:r>
              <w:rPr>
                <w:rFonts w:hint="eastAsia" w:ascii="宋体" w:hAnsi="宋体" w:eastAsia="宋体" w:cs="宋体"/>
                <w:color w:val="auto"/>
                <w:kern w:val="0"/>
                <w:sz w:val="24"/>
                <w:szCs w:val="24"/>
                <w:highlight w:val="none"/>
                <w:lang w:eastAsia="zh-CN"/>
              </w:rPr>
              <w:t>，</w:t>
            </w:r>
            <w:r>
              <w:rPr>
                <w:rFonts w:hint="eastAsia" w:ascii="宋体" w:eastAsia="宋体" w:cs="宋体"/>
                <w:color w:val="auto"/>
                <w:kern w:val="0"/>
                <w:sz w:val="24"/>
                <w:szCs w:val="24"/>
                <w:highlight w:val="none"/>
                <w:lang w:val="en-US" w:eastAsia="zh-CN"/>
              </w:rPr>
              <w:t>方案报采购人审核</w:t>
            </w:r>
            <w:r>
              <w:rPr>
                <w:rFonts w:hint="eastAsia" w:ascii="宋体" w:hAnsi="宋体" w:eastAsia="宋体" w:cs="宋体"/>
                <w:color w:val="auto"/>
                <w:kern w:val="0"/>
                <w:sz w:val="24"/>
                <w:szCs w:val="24"/>
                <w:highlight w:val="none"/>
              </w:rPr>
              <w:t>。</w:t>
            </w:r>
          </w:p>
        </w:tc>
      </w:tr>
      <w:tr w14:paraId="49A68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075" w:type="dxa"/>
            <w:vMerge w:val="continue"/>
            <w:vAlign w:val="center"/>
          </w:tcPr>
          <w:p w14:paraId="24A30C43">
            <w:pPr>
              <w:ind w:firstLine="480" w:firstLineChars="200"/>
              <w:jc w:val="center"/>
              <w:rPr>
                <w:rFonts w:ascii="宋体" w:eastAsia="宋体" w:cs="宋体"/>
                <w:color w:val="auto"/>
                <w:kern w:val="0"/>
                <w:sz w:val="24"/>
                <w:szCs w:val="24"/>
                <w:highlight w:val="none"/>
              </w:rPr>
            </w:pPr>
          </w:p>
        </w:tc>
        <w:tc>
          <w:tcPr>
            <w:tcW w:w="1742" w:type="dxa"/>
            <w:vAlign w:val="center"/>
          </w:tcPr>
          <w:p w14:paraId="0BC98B0C">
            <w:pPr>
              <w:ind w:firstLine="480" w:firstLineChars="200"/>
              <w:rPr>
                <w:rFonts w:ascii="宋体" w:eastAsia="宋体" w:cs="宋体"/>
                <w:color w:val="auto"/>
                <w:kern w:val="0"/>
                <w:sz w:val="24"/>
                <w:szCs w:val="24"/>
                <w:highlight w:val="none"/>
              </w:rPr>
            </w:pPr>
            <w:r>
              <w:rPr>
                <w:rFonts w:hint="eastAsia" w:ascii="宋体" w:hAnsi="宋体" w:eastAsia="宋体" w:cs="宋体"/>
                <w:color w:val="auto"/>
                <w:kern w:val="0"/>
                <w:sz w:val="24"/>
                <w:szCs w:val="24"/>
                <w:highlight w:val="none"/>
              </w:rPr>
              <w:t>国旗</w:t>
            </w:r>
          </w:p>
        </w:tc>
        <w:tc>
          <w:tcPr>
            <w:tcW w:w="3144" w:type="dxa"/>
            <w:vAlign w:val="center"/>
          </w:tcPr>
          <w:p w14:paraId="4CAE6677">
            <w:pPr>
              <w:rPr>
                <w:rFonts w:ascii="宋体" w:eastAsia="宋体" w:cs="宋体"/>
                <w:color w:val="auto"/>
                <w:kern w:val="0"/>
                <w:sz w:val="24"/>
                <w:szCs w:val="24"/>
                <w:highlight w:val="none"/>
              </w:rPr>
            </w:pPr>
            <w:r>
              <w:rPr>
                <w:rFonts w:hint="eastAsia" w:ascii="宋体" w:eastAsia="宋体" w:cs="宋体"/>
                <w:color w:val="auto"/>
                <w:kern w:val="0"/>
                <w:sz w:val="24"/>
                <w:szCs w:val="24"/>
                <w:highlight w:val="none"/>
                <w:lang w:val="en-US" w:eastAsia="zh-CN"/>
              </w:rPr>
              <w:t>国庆期间，</w:t>
            </w: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号国旗</w:t>
            </w:r>
            <w:r>
              <w:rPr>
                <w:rFonts w:hint="eastAsia" w:ascii="宋体" w:hAnsi="宋体" w:eastAsia="宋体" w:cs="宋体"/>
                <w:color w:val="auto"/>
                <w:kern w:val="0"/>
                <w:sz w:val="24"/>
                <w:szCs w:val="24"/>
                <w:highlight w:val="none"/>
                <w:lang w:val="en-US" w:eastAsia="zh-CN"/>
              </w:rPr>
              <w:t>60</w:t>
            </w:r>
            <w:r>
              <w:rPr>
                <w:rFonts w:hint="eastAsia" w:ascii="宋体" w:hAnsi="宋体" w:eastAsia="宋体" w:cs="宋体"/>
                <w:color w:val="auto"/>
                <w:kern w:val="0"/>
                <w:sz w:val="24"/>
                <w:szCs w:val="24"/>
                <w:highlight w:val="none"/>
              </w:rPr>
              <w:t>面，按实结算</w:t>
            </w:r>
          </w:p>
        </w:tc>
        <w:tc>
          <w:tcPr>
            <w:tcW w:w="3077" w:type="dxa"/>
            <w:vAlign w:val="center"/>
          </w:tcPr>
          <w:p w14:paraId="37C23609">
            <w:pPr>
              <w:rPr>
                <w:rFonts w:ascii="宋体" w:eastAsia="宋体" w:cs="宋体"/>
                <w:color w:val="auto"/>
                <w:kern w:val="0"/>
                <w:sz w:val="24"/>
                <w:szCs w:val="24"/>
                <w:highlight w:val="none"/>
              </w:rPr>
            </w:pPr>
            <w:r>
              <w:rPr>
                <w:rFonts w:hint="eastAsia" w:ascii="宋体" w:hAnsi="宋体" w:eastAsia="宋体" w:cs="宋体"/>
                <w:color w:val="auto"/>
                <w:kern w:val="0"/>
                <w:sz w:val="24"/>
                <w:szCs w:val="24"/>
                <w:highlight w:val="none"/>
              </w:rPr>
              <w:t>包括国旗不锈钢支架和固定模具</w:t>
            </w:r>
          </w:p>
        </w:tc>
      </w:tr>
      <w:tr w14:paraId="6F0CE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075" w:type="dxa"/>
            <w:vMerge w:val="continue"/>
            <w:vAlign w:val="center"/>
          </w:tcPr>
          <w:p w14:paraId="723840AE">
            <w:pPr>
              <w:ind w:firstLine="480" w:firstLineChars="200"/>
              <w:jc w:val="center"/>
              <w:rPr>
                <w:rFonts w:ascii="宋体" w:eastAsia="宋体" w:cs="宋体"/>
                <w:color w:val="auto"/>
                <w:kern w:val="0"/>
                <w:sz w:val="24"/>
                <w:szCs w:val="24"/>
                <w:highlight w:val="none"/>
              </w:rPr>
            </w:pPr>
          </w:p>
        </w:tc>
        <w:tc>
          <w:tcPr>
            <w:tcW w:w="1742" w:type="dxa"/>
            <w:vAlign w:val="center"/>
          </w:tcPr>
          <w:p w14:paraId="25B4FE52">
            <w:pPr>
              <w:ind w:firstLine="480" w:firstLineChars="200"/>
              <w:rPr>
                <w:rFonts w:ascii="宋体" w:eastAsia="宋体" w:cs="宋体"/>
                <w:color w:val="auto"/>
                <w:kern w:val="0"/>
                <w:sz w:val="24"/>
                <w:szCs w:val="24"/>
                <w:highlight w:val="none"/>
              </w:rPr>
            </w:pPr>
            <w:r>
              <w:rPr>
                <w:rFonts w:hint="eastAsia" w:ascii="宋体" w:hAnsi="宋体" w:eastAsia="宋体" w:cs="宋体"/>
                <w:color w:val="auto"/>
                <w:kern w:val="0"/>
                <w:sz w:val="24"/>
                <w:szCs w:val="24"/>
                <w:highlight w:val="none"/>
              </w:rPr>
              <w:t>灯笼</w:t>
            </w:r>
          </w:p>
        </w:tc>
        <w:tc>
          <w:tcPr>
            <w:tcW w:w="3144" w:type="dxa"/>
            <w:vAlign w:val="center"/>
          </w:tcPr>
          <w:p w14:paraId="57EF2330">
            <w:pPr>
              <w:rPr>
                <w:rFonts w:hint="default" w:ascii="宋体" w:eastAsia="宋体" w:cs="宋体"/>
                <w:color w:val="auto"/>
                <w:kern w:val="0"/>
                <w:sz w:val="24"/>
                <w:szCs w:val="24"/>
                <w:highlight w:val="none"/>
                <w:lang w:val="en-US" w:eastAsia="zh-CN"/>
              </w:rPr>
            </w:pPr>
            <w:r>
              <w:rPr>
                <w:rFonts w:hint="eastAsia" w:ascii="宋体" w:hAnsi="宋体" w:eastAsia="宋体" w:cs="宋体"/>
                <w:color w:val="auto"/>
                <w:sz w:val="24"/>
                <w:szCs w:val="24"/>
                <w:highlight w:val="none"/>
              </w:rPr>
              <w:t>不少于</w:t>
            </w:r>
            <w:r>
              <w:rPr>
                <w:rFonts w:hint="eastAsia" w:ascii="宋体" w:hAnsi="宋体" w:eastAsia="宋体" w:cs="宋体"/>
                <w:color w:val="auto"/>
                <w:sz w:val="24"/>
                <w:szCs w:val="24"/>
                <w:highlight w:val="none"/>
                <w:lang w:val="en-US" w:eastAsia="zh-CN"/>
              </w:rPr>
              <w:t>210</w:t>
            </w:r>
            <w:r>
              <w:rPr>
                <w:rFonts w:hint="eastAsia" w:ascii="宋体" w:hAnsi="宋体" w:eastAsia="宋体" w:cs="宋体"/>
                <w:color w:val="auto"/>
                <w:sz w:val="24"/>
                <w:szCs w:val="24"/>
                <w:highlight w:val="none"/>
              </w:rPr>
              <w:t>个</w:t>
            </w:r>
            <w:r>
              <w:rPr>
                <w:rFonts w:hint="eastAsia" w:ascii="宋体" w:hAnsi="宋体" w:eastAsia="宋体" w:cs="宋体"/>
                <w:color w:val="auto"/>
                <w:sz w:val="24"/>
                <w:szCs w:val="24"/>
                <w:highlight w:val="none"/>
                <w:lang w:eastAsia="zh-CN"/>
              </w:rPr>
              <w:t>直径</w:t>
            </w:r>
            <w:r>
              <w:rPr>
                <w:rFonts w:hint="eastAsia" w:ascii="宋体" w:hAnsi="宋体" w:eastAsia="宋体" w:cs="宋体"/>
                <w:color w:val="auto"/>
                <w:sz w:val="24"/>
                <w:szCs w:val="24"/>
                <w:highlight w:val="none"/>
                <w:lang w:val="en-US" w:eastAsia="zh-CN"/>
              </w:rPr>
              <w:t>60cm以上的</w:t>
            </w:r>
            <w:r>
              <w:rPr>
                <w:rFonts w:hint="eastAsia" w:ascii="宋体" w:hAnsi="宋体" w:eastAsia="宋体" w:cs="宋体"/>
                <w:color w:val="auto"/>
                <w:sz w:val="24"/>
                <w:szCs w:val="24"/>
                <w:highlight w:val="none"/>
              </w:rPr>
              <w:t>灯笼，</w:t>
            </w:r>
            <w:r>
              <w:rPr>
                <w:rFonts w:hint="eastAsia" w:ascii="宋体" w:hAnsi="宋体" w:eastAsia="宋体" w:cs="宋体"/>
                <w:color w:val="auto"/>
                <w:sz w:val="24"/>
                <w:szCs w:val="24"/>
                <w:highlight w:val="none"/>
                <w:lang w:eastAsia="zh-CN"/>
              </w:rPr>
              <w:t>中国结</w:t>
            </w:r>
            <w:r>
              <w:rPr>
                <w:rFonts w:hint="eastAsia" w:ascii="宋体" w:hAnsi="宋体" w:eastAsia="宋体" w:cs="宋体"/>
                <w:color w:val="auto"/>
                <w:sz w:val="24"/>
                <w:szCs w:val="24"/>
                <w:highlight w:val="none"/>
                <w:lang w:val="en-US" w:eastAsia="zh-CN"/>
              </w:rPr>
              <w:t>60个，</w:t>
            </w:r>
            <w:r>
              <w:rPr>
                <w:rFonts w:hint="eastAsia" w:ascii="宋体" w:hAnsi="宋体" w:eastAsia="宋体" w:cs="宋体"/>
                <w:color w:val="auto"/>
                <w:sz w:val="24"/>
                <w:szCs w:val="24"/>
                <w:highlight w:val="none"/>
                <w:lang w:eastAsia="zh-CN"/>
              </w:rPr>
              <w:t>地插</w:t>
            </w: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lang w:eastAsia="zh-CN"/>
              </w:rPr>
              <w:t>块，旗幔</w:t>
            </w: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eastAsia="zh-CN"/>
              </w:rPr>
              <w:t>副，按实结算</w:t>
            </w:r>
          </w:p>
        </w:tc>
        <w:tc>
          <w:tcPr>
            <w:tcW w:w="3077" w:type="dxa"/>
            <w:vAlign w:val="center"/>
          </w:tcPr>
          <w:p w14:paraId="5CDD6725">
            <w:pPr>
              <w:jc w:val="left"/>
              <w:rPr>
                <w:rFonts w:ascii="宋体" w:eastAsia="宋体" w:cs="宋体"/>
                <w:color w:val="auto"/>
                <w:kern w:val="0"/>
                <w:sz w:val="24"/>
                <w:szCs w:val="24"/>
                <w:highlight w:val="none"/>
              </w:rPr>
            </w:pPr>
            <w:r>
              <w:rPr>
                <w:rFonts w:hint="eastAsia" w:ascii="宋体" w:hAnsi="宋体" w:eastAsia="宋体" w:cs="宋体"/>
                <w:color w:val="auto"/>
                <w:kern w:val="0"/>
                <w:sz w:val="24"/>
                <w:szCs w:val="24"/>
                <w:highlight w:val="none"/>
              </w:rPr>
              <w:t>包含支架、接电线路、灯泡等</w:t>
            </w:r>
          </w:p>
        </w:tc>
      </w:tr>
      <w:tr w14:paraId="2BD8C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1075" w:type="dxa"/>
            <w:vAlign w:val="center"/>
          </w:tcPr>
          <w:p w14:paraId="43EC0683">
            <w:pPr>
              <w:jc w:val="center"/>
              <w:rPr>
                <w:rFonts w:asci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涉及主要材料要求</w:t>
            </w:r>
          </w:p>
        </w:tc>
        <w:tc>
          <w:tcPr>
            <w:tcW w:w="7963" w:type="dxa"/>
            <w:gridSpan w:val="3"/>
            <w:vAlign w:val="center"/>
          </w:tcPr>
          <w:p w14:paraId="31418FA2">
            <w:pPr>
              <w:rPr>
                <w:rFonts w:ascii="宋体" w:eastAsia="宋体" w:cs="宋体"/>
                <w:color w:val="auto"/>
                <w:kern w:val="0"/>
                <w:sz w:val="24"/>
                <w:szCs w:val="24"/>
                <w:highlight w:val="none"/>
              </w:rPr>
            </w:pPr>
            <w:r>
              <w:rPr>
                <w:rFonts w:ascii="宋体" w:hAnsi="宋体" w:eastAsia="宋体" w:cs="宋体"/>
                <w:color w:val="auto"/>
                <w:kern w:val="0"/>
                <w:sz w:val="24"/>
                <w:szCs w:val="24"/>
                <w:highlight w:val="none"/>
              </w:rPr>
              <w:t>1.</w:t>
            </w:r>
            <w:r>
              <w:rPr>
                <w:rFonts w:hint="eastAsia" w:eastAsia="宋体"/>
                <w:bCs/>
                <w:color w:val="auto"/>
                <w:sz w:val="24"/>
                <w:szCs w:val="24"/>
                <w:highlight w:val="none"/>
              </w:rPr>
              <w:t>主要包括园</w:t>
            </w:r>
            <w:r>
              <w:rPr>
                <w:rFonts w:hint="eastAsia" w:ascii="Times New Roman" w:eastAsia="宋体"/>
                <w:bCs/>
                <w:color w:val="auto"/>
                <w:sz w:val="24"/>
                <w:szCs w:val="24"/>
                <w:highlight w:val="none"/>
                <w:lang w:val="en-US" w:eastAsia="zh-CN"/>
              </w:rPr>
              <w:t>内</w:t>
            </w:r>
            <w:r>
              <w:rPr>
                <w:rFonts w:hint="eastAsia" w:eastAsia="宋体"/>
                <w:bCs/>
                <w:color w:val="auto"/>
                <w:sz w:val="24"/>
                <w:szCs w:val="24"/>
                <w:highlight w:val="none"/>
              </w:rPr>
              <w:t>开展节日氛围营造的花卉布置以及国旗、灯笼等用品。</w:t>
            </w:r>
          </w:p>
          <w:p w14:paraId="603DEBA2">
            <w:pPr>
              <w:widowControl w:val="0"/>
              <w:rPr>
                <w:rFonts w:ascii="宋体" w:eastAsia="宋体"/>
                <w:color w:val="auto"/>
                <w:sz w:val="24"/>
                <w:szCs w:val="24"/>
                <w:highlight w:val="none"/>
              </w:rPr>
            </w:pPr>
            <w:r>
              <w:rPr>
                <w:rFonts w:ascii="宋体" w:hAnsi="宋体" w:eastAsia="宋体"/>
                <w:color w:val="auto"/>
                <w:sz w:val="24"/>
                <w:szCs w:val="24"/>
                <w:highlight w:val="none"/>
              </w:rPr>
              <w:t>2.</w:t>
            </w:r>
            <w:r>
              <w:rPr>
                <w:rFonts w:hint="eastAsia" w:ascii="宋体" w:hAnsi="宋体" w:eastAsia="宋体"/>
                <w:color w:val="auto"/>
                <w:sz w:val="24"/>
                <w:szCs w:val="24"/>
                <w:highlight w:val="none"/>
                <w:lang w:eastAsia="zh-CN"/>
              </w:rPr>
              <w:t>节日</w:t>
            </w:r>
            <w:r>
              <w:rPr>
                <w:rFonts w:hint="eastAsia" w:ascii="宋体" w:hAnsi="宋体" w:eastAsia="宋体"/>
                <w:color w:val="auto"/>
                <w:sz w:val="24"/>
                <w:szCs w:val="24"/>
                <w:highlight w:val="none"/>
              </w:rPr>
              <w:t>花卉等苗木具有良好的品质，色泽鲜艳、植株生长健壮、冠幅满盆、无徒长现象、无病虫害，摆设到现场时盛花率在</w:t>
            </w:r>
            <w:r>
              <w:rPr>
                <w:rFonts w:ascii="宋体" w:hAnsi="宋体" w:eastAsia="宋体"/>
                <w:color w:val="auto"/>
                <w:sz w:val="24"/>
                <w:szCs w:val="24"/>
                <w:highlight w:val="none"/>
              </w:rPr>
              <w:t>60%</w:t>
            </w:r>
            <w:r>
              <w:rPr>
                <w:rFonts w:hint="eastAsia" w:ascii="宋体" w:hAnsi="宋体" w:eastAsia="宋体"/>
                <w:color w:val="auto"/>
                <w:sz w:val="24"/>
                <w:szCs w:val="24"/>
                <w:highlight w:val="none"/>
              </w:rPr>
              <w:t>以上，并提供花卉品种资料及照片，花卉持续开花时间不少于</w:t>
            </w:r>
            <w:r>
              <w:rPr>
                <w:rFonts w:ascii="宋体" w:hAnsi="宋体" w:eastAsia="宋体"/>
                <w:color w:val="auto"/>
                <w:sz w:val="24"/>
                <w:szCs w:val="24"/>
                <w:highlight w:val="none"/>
              </w:rPr>
              <w:t>1</w:t>
            </w:r>
            <w:r>
              <w:rPr>
                <w:rFonts w:hint="eastAsia" w:ascii="宋体" w:hAnsi="宋体" w:eastAsia="宋体"/>
                <w:color w:val="auto"/>
                <w:sz w:val="24"/>
                <w:szCs w:val="24"/>
                <w:highlight w:val="none"/>
              </w:rPr>
              <w:t>个月。</w:t>
            </w:r>
          </w:p>
          <w:p w14:paraId="438F19BB">
            <w:pPr>
              <w:widowControl w:val="0"/>
              <w:rPr>
                <w:rFonts w:ascii="宋体" w:eastAsia="宋体"/>
                <w:color w:val="auto"/>
                <w:sz w:val="24"/>
                <w:szCs w:val="24"/>
                <w:highlight w:val="none"/>
              </w:rPr>
            </w:pPr>
            <w:r>
              <w:rPr>
                <w:rFonts w:ascii="宋体" w:hAnsi="宋体" w:eastAsia="宋体"/>
                <w:color w:val="auto"/>
                <w:sz w:val="24"/>
                <w:szCs w:val="24"/>
                <w:highlight w:val="none"/>
              </w:rPr>
              <w:t>3.</w:t>
            </w:r>
            <w:r>
              <w:rPr>
                <w:rFonts w:hint="eastAsia" w:ascii="宋体" w:hAnsi="宋体" w:eastAsia="宋体"/>
                <w:color w:val="auto"/>
                <w:sz w:val="24"/>
                <w:szCs w:val="24"/>
                <w:highlight w:val="none"/>
              </w:rPr>
              <w:t>现场管理养护及时到位，保证整个种（摆）花期花卉的健康生长。</w:t>
            </w:r>
          </w:p>
          <w:p w14:paraId="4EDCB15E">
            <w:pPr>
              <w:widowControl w:val="0"/>
              <w:rPr>
                <w:rFonts w:ascii="宋体" w:eastAsia="宋体"/>
                <w:color w:val="auto"/>
                <w:sz w:val="24"/>
                <w:szCs w:val="24"/>
                <w:highlight w:val="none"/>
              </w:rPr>
            </w:pPr>
            <w:r>
              <w:rPr>
                <w:rFonts w:ascii="宋体" w:hAnsi="宋体" w:eastAsia="宋体"/>
                <w:color w:val="auto"/>
                <w:sz w:val="24"/>
                <w:szCs w:val="24"/>
                <w:highlight w:val="none"/>
              </w:rPr>
              <w:t>4.</w:t>
            </w:r>
            <w:r>
              <w:rPr>
                <w:rFonts w:hint="eastAsia" w:ascii="宋体" w:hAnsi="宋体" w:eastAsia="宋体"/>
                <w:color w:val="auto"/>
                <w:sz w:val="24"/>
                <w:szCs w:val="24"/>
                <w:highlight w:val="none"/>
              </w:rPr>
              <w:t>所用花卉、材料的规格、技术参数、技术要求、质量要求等必须符合相关规定，肥料、药物等必须经专业检测并符合规范要求。</w:t>
            </w:r>
          </w:p>
          <w:p w14:paraId="1245BDE7">
            <w:pPr>
              <w:widowControl w:val="0"/>
              <w:rPr>
                <w:rFonts w:ascii="宋体" w:eastAsia="宋体"/>
                <w:color w:val="auto"/>
                <w:sz w:val="24"/>
                <w:szCs w:val="24"/>
                <w:highlight w:val="none"/>
              </w:rPr>
            </w:pPr>
            <w:r>
              <w:rPr>
                <w:rFonts w:ascii="宋体" w:hAnsi="宋体" w:eastAsia="宋体"/>
                <w:color w:val="auto"/>
                <w:sz w:val="24"/>
                <w:szCs w:val="24"/>
                <w:highlight w:val="none"/>
              </w:rPr>
              <w:t>5.</w:t>
            </w:r>
            <w:r>
              <w:rPr>
                <w:rFonts w:hint="eastAsia" w:ascii="宋体" w:hAnsi="宋体" w:eastAsia="宋体"/>
                <w:color w:val="auto"/>
                <w:sz w:val="24"/>
                <w:szCs w:val="24"/>
                <w:highlight w:val="none"/>
              </w:rPr>
              <w:t>用于广场等硬质铺装摆花的花盆须统一规格、颜色，并采用适当围挡收边。</w:t>
            </w:r>
          </w:p>
          <w:p w14:paraId="40905DCD">
            <w:pPr>
              <w:widowControl w:val="0"/>
              <w:jc w:val="left"/>
              <w:rPr>
                <w:rFonts w:ascii="宋体" w:eastAsia="宋体" w:cs="宋体"/>
                <w:color w:val="auto"/>
                <w:kern w:val="0"/>
                <w:sz w:val="24"/>
                <w:szCs w:val="24"/>
                <w:highlight w:val="none"/>
              </w:rPr>
            </w:pPr>
            <w:r>
              <w:rPr>
                <w:rFonts w:ascii="宋体" w:hAnsi="宋体" w:eastAsia="宋体" w:cs="宋体"/>
                <w:color w:val="auto"/>
                <w:kern w:val="0"/>
                <w:sz w:val="24"/>
                <w:szCs w:val="24"/>
                <w:highlight w:val="none"/>
              </w:rPr>
              <w:t>6.</w:t>
            </w:r>
            <w:r>
              <w:rPr>
                <w:rFonts w:hint="eastAsia" w:ascii="宋体" w:hAnsi="宋体" w:eastAsia="宋体" w:cs="宋体"/>
                <w:color w:val="auto"/>
                <w:kern w:val="0"/>
                <w:sz w:val="24"/>
                <w:szCs w:val="24"/>
                <w:highlight w:val="none"/>
              </w:rPr>
              <w:t>国旗制作、悬挂严格遵照《国旗法》执行。</w:t>
            </w:r>
          </w:p>
          <w:p w14:paraId="2F655170">
            <w:pPr>
              <w:widowControl w:val="0"/>
              <w:jc w:val="left"/>
              <w:rPr>
                <w:rFonts w:ascii="宋体" w:eastAsia="宋体" w:cs="宋体"/>
                <w:color w:val="auto"/>
                <w:kern w:val="0"/>
                <w:sz w:val="24"/>
                <w:szCs w:val="24"/>
                <w:highlight w:val="none"/>
              </w:rPr>
            </w:pPr>
            <w:r>
              <w:rPr>
                <w:rFonts w:ascii="宋体" w:hAnsi="宋体" w:eastAsia="宋体" w:cs="宋体"/>
                <w:color w:val="auto"/>
                <w:kern w:val="0"/>
                <w:sz w:val="24"/>
                <w:szCs w:val="24"/>
                <w:highlight w:val="none"/>
              </w:rPr>
              <w:t>7.</w:t>
            </w:r>
            <w:r>
              <w:rPr>
                <w:rFonts w:hint="eastAsia" w:ascii="宋体" w:hAnsi="宋体" w:eastAsia="宋体" w:cs="宋体"/>
                <w:color w:val="auto"/>
                <w:kern w:val="0"/>
                <w:sz w:val="24"/>
                <w:szCs w:val="24"/>
                <w:highlight w:val="none"/>
              </w:rPr>
              <w:t>备选花材目录详见附件</w:t>
            </w:r>
            <w:r>
              <w:rPr>
                <w:rFonts w:hint="eastAsia" w:ascii="宋体" w:hAnsi="宋体" w:eastAsia="宋体" w:cs="宋体"/>
                <w:color w:val="auto"/>
                <w:kern w:val="0"/>
                <w:sz w:val="24"/>
                <w:szCs w:val="24"/>
                <w:highlight w:val="none"/>
                <w:lang w:eastAsia="zh-CN"/>
              </w:rPr>
              <w:t>一</w:t>
            </w:r>
            <w:r>
              <w:rPr>
                <w:rFonts w:hint="eastAsia" w:ascii="宋体" w:hAnsi="宋体" w:eastAsia="宋体" w:cs="宋体"/>
                <w:color w:val="auto"/>
                <w:kern w:val="0"/>
                <w:sz w:val="24"/>
                <w:szCs w:val="24"/>
                <w:highlight w:val="none"/>
              </w:rPr>
              <w:t>。</w:t>
            </w:r>
          </w:p>
          <w:p w14:paraId="15698C21">
            <w:pPr>
              <w:widowControl w:val="0"/>
              <w:jc w:val="left"/>
              <w:rPr>
                <w:rFonts w:ascii="宋体" w:eastAsia="宋体" w:cs="宋体"/>
                <w:color w:val="auto"/>
                <w:kern w:val="0"/>
                <w:sz w:val="24"/>
                <w:szCs w:val="24"/>
                <w:highlight w:val="none"/>
              </w:rPr>
            </w:pPr>
            <w:r>
              <w:rPr>
                <w:rFonts w:ascii="宋体" w:hAnsi="宋体" w:eastAsia="宋体" w:cs="宋体"/>
                <w:color w:val="auto"/>
                <w:kern w:val="0"/>
                <w:sz w:val="24"/>
                <w:szCs w:val="24"/>
                <w:highlight w:val="none"/>
              </w:rPr>
              <w:t>8.</w:t>
            </w:r>
            <w:r>
              <w:rPr>
                <w:rFonts w:hint="eastAsia" w:ascii="宋体" w:hAnsi="宋体" w:eastAsia="宋体" w:cs="宋体"/>
                <w:color w:val="auto"/>
                <w:kern w:val="0"/>
                <w:sz w:val="24"/>
                <w:szCs w:val="24"/>
                <w:highlight w:val="none"/>
              </w:rPr>
              <w:t>布置花境的苗木清单中，新优品种苗木数量所占比例不少于</w:t>
            </w:r>
            <w:r>
              <w:rPr>
                <w:rFonts w:ascii="宋体" w:hAnsi="宋体" w:eastAsia="宋体" w:cs="宋体"/>
                <w:color w:val="auto"/>
                <w:kern w:val="0"/>
                <w:sz w:val="24"/>
                <w:szCs w:val="24"/>
                <w:highlight w:val="none"/>
              </w:rPr>
              <w:t>20%</w:t>
            </w:r>
            <w:r>
              <w:rPr>
                <w:rFonts w:hint="eastAsia" w:ascii="宋体" w:hAnsi="宋体" w:eastAsia="宋体" w:cs="宋体"/>
                <w:color w:val="auto"/>
                <w:kern w:val="0"/>
                <w:sz w:val="24"/>
                <w:szCs w:val="24"/>
                <w:highlight w:val="none"/>
              </w:rPr>
              <w:t>。</w:t>
            </w:r>
          </w:p>
        </w:tc>
      </w:tr>
      <w:tr w14:paraId="43131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75" w:type="dxa"/>
            <w:vAlign w:val="center"/>
          </w:tcPr>
          <w:p w14:paraId="15BCD47D">
            <w:pPr>
              <w:jc w:val="center"/>
              <w:rPr>
                <w:rFonts w:asci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管理要求</w:t>
            </w:r>
          </w:p>
        </w:tc>
        <w:tc>
          <w:tcPr>
            <w:tcW w:w="7963" w:type="dxa"/>
            <w:gridSpan w:val="3"/>
            <w:vAlign w:val="center"/>
          </w:tcPr>
          <w:p w14:paraId="0BD4AA64">
            <w:pPr>
              <w:widowControl w:val="0"/>
              <w:rPr>
                <w:rFonts w:ascii="宋体" w:eastAsia="宋体"/>
                <w:bCs/>
                <w:color w:val="auto"/>
                <w:sz w:val="24"/>
                <w:szCs w:val="24"/>
                <w:highlight w:val="none"/>
              </w:rPr>
            </w:pPr>
            <w:r>
              <w:rPr>
                <w:rFonts w:ascii="宋体" w:hAnsi="宋体" w:eastAsia="宋体"/>
                <w:bCs/>
                <w:color w:val="auto"/>
                <w:sz w:val="24"/>
                <w:szCs w:val="24"/>
                <w:highlight w:val="none"/>
              </w:rPr>
              <w:t>1.</w:t>
            </w:r>
            <w:r>
              <w:rPr>
                <w:rFonts w:hint="eastAsia" w:ascii="宋体" w:hAnsi="宋体" w:eastAsia="宋体"/>
                <w:bCs/>
                <w:color w:val="auto"/>
                <w:sz w:val="24"/>
                <w:szCs w:val="24"/>
                <w:highlight w:val="none"/>
              </w:rPr>
              <w:t>投标报价中已包含</w:t>
            </w:r>
            <w:r>
              <w:rPr>
                <w:rFonts w:hint="eastAsia" w:ascii="宋体" w:hAnsi="宋体" w:eastAsia="宋体"/>
                <w:bCs/>
                <w:color w:val="auto"/>
                <w:sz w:val="24"/>
                <w:szCs w:val="24"/>
                <w:highlight w:val="none"/>
                <w:lang w:eastAsia="zh-CN"/>
              </w:rPr>
              <w:t>中标人</w:t>
            </w:r>
            <w:r>
              <w:rPr>
                <w:rFonts w:hint="eastAsia" w:ascii="宋体" w:hAnsi="宋体" w:eastAsia="宋体"/>
                <w:bCs/>
                <w:color w:val="auto"/>
                <w:sz w:val="24"/>
                <w:szCs w:val="24"/>
                <w:highlight w:val="none"/>
              </w:rPr>
              <w:t>提供全年所有费用，若有不足，由</w:t>
            </w:r>
            <w:r>
              <w:rPr>
                <w:rFonts w:hint="eastAsia" w:ascii="宋体" w:hAnsi="宋体" w:eastAsia="宋体"/>
                <w:bCs/>
                <w:color w:val="auto"/>
                <w:sz w:val="24"/>
                <w:szCs w:val="24"/>
                <w:highlight w:val="none"/>
                <w:lang w:eastAsia="zh-CN"/>
              </w:rPr>
              <w:t>中标人</w:t>
            </w:r>
            <w:r>
              <w:rPr>
                <w:rFonts w:hint="eastAsia" w:ascii="宋体" w:hAnsi="宋体" w:eastAsia="宋体"/>
                <w:bCs/>
                <w:color w:val="auto"/>
                <w:sz w:val="24"/>
                <w:szCs w:val="24"/>
                <w:highlight w:val="none"/>
              </w:rPr>
              <w:t>无条件自行保质保量提供。</w:t>
            </w:r>
          </w:p>
          <w:p w14:paraId="215CAB6B">
            <w:pPr>
              <w:widowControl w:val="0"/>
              <w:rPr>
                <w:rFonts w:ascii="宋体" w:eastAsia="宋体" w:cs="宋体"/>
                <w:color w:val="auto"/>
                <w:sz w:val="24"/>
                <w:szCs w:val="24"/>
                <w:highlight w:val="none"/>
              </w:rPr>
            </w:pPr>
            <w:r>
              <w:rPr>
                <w:rFonts w:ascii="宋体" w:hAnsi="宋体" w:eastAsia="宋体"/>
                <w:bCs/>
                <w:color w:val="auto"/>
                <w:sz w:val="24"/>
                <w:szCs w:val="24"/>
                <w:highlight w:val="none"/>
              </w:rPr>
              <w:t>2.</w:t>
            </w:r>
            <w:r>
              <w:rPr>
                <w:rFonts w:hint="eastAsia" w:ascii="宋体" w:hAnsi="宋体" w:eastAsia="宋体"/>
                <w:color w:val="auto"/>
                <w:sz w:val="24"/>
                <w:szCs w:val="24"/>
                <w:highlight w:val="none"/>
              </w:rPr>
              <w:t>各材料具体种类及数量需经</w:t>
            </w:r>
            <w:r>
              <w:rPr>
                <w:rFonts w:hint="eastAsia" w:ascii="宋体" w:hAnsi="宋体" w:eastAsia="宋体"/>
                <w:color w:val="auto"/>
                <w:sz w:val="24"/>
                <w:szCs w:val="24"/>
                <w:highlight w:val="none"/>
                <w:lang w:eastAsia="zh-CN"/>
              </w:rPr>
              <w:t>采购人</w:t>
            </w:r>
            <w:r>
              <w:rPr>
                <w:rFonts w:hint="eastAsia" w:ascii="宋体" w:hAnsi="宋体" w:eastAsia="宋体"/>
                <w:color w:val="auto"/>
                <w:sz w:val="24"/>
                <w:szCs w:val="24"/>
                <w:highlight w:val="none"/>
              </w:rPr>
              <w:t>确认，并根据需要提供样品，</w:t>
            </w:r>
            <w:r>
              <w:rPr>
                <w:rFonts w:hint="eastAsia" w:ascii="宋体" w:hAnsi="宋体" w:eastAsia="宋体" w:cs="宋体"/>
                <w:color w:val="auto"/>
                <w:sz w:val="24"/>
                <w:szCs w:val="24"/>
                <w:highlight w:val="none"/>
              </w:rPr>
              <w:t>合格者进入采购流程，不合格淘汰重新提供。</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有权根据需要进行种类和数量的调整。</w:t>
            </w:r>
          </w:p>
          <w:p w14:paraId="0CEF7D90">
            <w:pPr>
              <w:widowControl w:val="0"/>
              <w:rPr>
                <w:rFonts w:ascii="宋体" w:eastAsia="宋体" w:cs="宋体"/>
                <w:color w:val="auto"/>
                <w:sz w:val="24"/>
                <w:szCs w:val="24"/>
                <w:highlight w:val="none"/>
              </w:rPr>
            </w:pPr>
            <w:r>
              <w:rPr>
                <w:rFonts w:ascii="宋体" w:hAnsi="宋体" w:eastAsia="宋体" w:cs="宋体"/>
                <w:color w:val="auto"/>
                <w:sz w:val="24"/>
                <w:szCs w:val="24"/>
                <w:highlight w:val="none"/>
              </w:rPr>
              <w:t>3.</w:t>
            </w:r>
            <w:r>
              <w:rPr>
                <w:rFonts w:hint="eastAsia" w:ascii="宋体" w:hAnsi="宋体" w:eastAsia="宋体" w:cs="宋体"/>
                <w:color w:val="auto"/>
                <w:sz w:val="24"/>
                <w:szCs w:val="24"/>
                <w:highlight w:val="none"/>
              </w:rPr>
              <w:t>节日氛围营造及</w:t>
            </w:r>
            <w:r>
              <w:rPr>
                <w:rFonts w:hint="eastAsia" w:ascii="宋体" w:hAnsi="宋体" w:eastAsia="宋体" w:cs="宋体"/>
                <w:color w:val="auto"/>
                <w:sz w:val="24"/>
                <w:szCs w:val="24"/>
                <w:highlight w:val="none"/>
                <w:lang w:eastAsia="zh-CN"/>
              </w:rPr>
              <w:t>日常</w:t>
            </w:r>
            <w:r>
              <w:rPr>
                <w:rFonts w:hint="eastAsia" w:ascii="宋体" w:hAnsi="宋体" w:eastAsia="宋体" w:cs="宋体"/>
                <w:color w:val="auto"/>
                <w:sz w:val="24"/>
                <w:szCs w:val="24"/>
                <w:highlight w:val="none"/>
              </w:rPr>
              <w:t>摆花设计方案需经</w:t>
            </w:r>
            <w:r>
              <w:rPr>
                <w:rFonts w:hint="eastAsia" w:ascii="宋体" w:hAnsi="宋体" w:eastAsia="宋体" w:cs="宋体"/>
                <w:color w:val="auto"/>
                <w:sz w:val="24"/>
                <w:szCs w:val="24"/>
                <w:highlight w:val="none"/>
                <w:lang w:val="en-US" w:eastAsia="zh-CN"/>
              </w:rPr>
              <w:t>采购人</w:t>
            </w:r>
            <w:r>
              <w:rPr>
                <w:rFonts w:hint="eastAsia" w:ascii="宋体" w:hAnsi="宋体" w:eastAsia="宋体" w:cs="宋体"/>
                <w:color w:val="auto"/>
                <w:sz w:val="24"/>
                <w:szCs w:val="24"/>
                <w:highlight w:val="none"/>
              </w:rPr>
              <w:t>确认后方可执行。</w:t>
            </w:r>
          </w:p>
        </w:tc>
      </w:tr>
    </w:tbl>
    <w:p w14:paraId="3942E78F">
      <w:pPr>
        <w:widowControl/>
        <w:tabs>
          <w:tab w:val="left" w:pos="851"/>
        </w:tabs>
        <w:adjustRightInd/>
        <w:spacing w:line="360" w:lineRule="auto"/>
        <w:ind w:firstLine="480" w:firstLineChars="200"/>
        <w:rPr>
          <w:rFonts w:hint="eastAsia"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⑤安全生产物资</w:t>
      </w:r>
    </w:p>
    <w:p w14:paraId="15228552">
      <w:pPr>
        <w:widowControl/>
        <w:numPr>
          <w:ilvl w:val="0"/>
          <w:numId w:val="6"/>
        </w:numPr>
        <w:tabs>
          <w:tab w:val="left" w:pos="851"/>
        </w:tabs>
        <w:adjustRightInd/>
        <w:spacing w:line="360" w:lineRule="auto"/>
        <w:ind w:firstLine="480" w:firstLineChars="200"/>
        <w:rPr>
          <w:rFonts w:hint="eastAsia"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绿岛公园</w:t>
      </w:r>
    </w:p>
    <w:tbl>
      <w:tblPr>
        <w:tblStyle w:val="62"/>
        <w:tblW w:w="9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685"/>
        <w:gridCol w:w="1351"/>
        <w:gridCol w:w="2059"/>
        <w:gridCol w:w="870"/>
        <w:gridCol w:w="943"/>
        <w:gridCol w:w="832"/>
        <w:gridCol w:w="1537"/>
      </w:tblGrid>
      <w:tr w14:paraId="0E6F9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Align w:val="center"/>
          </w:tcPr>
          <w:p w14:paraId="57FB5E40">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类别</w:t>
            </w:r>
          </w:p>
        </w:tc>
        <w:tc>
          <w:tcPr>
            <w:tcW w:w="685" w:type="dxa"/>
            <w:vAlign w:val="center"/>
          </w:tcPr>
          <w:p w14:paraId="19FBF23F">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序号</w:t>
            </w:r>
          </w:p>
        </w:tc>
        <w:tc>
          <w:tcPr>
            <w:tcW w:w="1351" w:type="dxa"/>
            <w:vAlign w:val="center"/>
          </w:tcPr>
          <w:p w14:paraId="5B7A6BFF">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名称</w:t>
            </w:r>
          </w:p>
        </w:tc>
        <w:tc>
          <w:tcPr>
            <w:tcW w:w="2059" w:type="dxa"/>
            <w:vAlign w:val="center"/>
          </w:tcPr>
          <w:p w14:paraId="2C0BD70D">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主要技术参数</w:t>
            </w:r>
          </w:p>
        </w:tc>
        <w:tc>
          <w:tcPr>
            <w:tcW w:w="870" w:type="dxa"/>
            <w:vAlign w:val="center"/>
          </w:tcPr>
          <w:p w14:paraId="6D3B3BA4">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最低数量要求</w:t>
            </w:r>
          </w:p>
        </w:tc>
        <w:tc>
          <w:tcPr>
            <w:tcW w:w="943" w:type="dxa"/>
            <w:vAlign w:val="center"/>
          </w:tcPr>
          <w:p w14:paraId="31D88093">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仓库现存数量</w:t>
            </w:r>
          </w:p>
        </w:tc>
        <w:tc>
          <w:tcPr>
            <w:tcW w:w="832" w:type="dxa"/>
            <w:vAlign w:val="center"/>
          </w:tcPr>
          <w:p w14:paraId="4827780D">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单位</w:t>
            </w:r>
          </w:p>
        </w:tc>
        <w:tc>
          <w:tcPr>
            <w:tcW w:w="1537" w:type="dxa"/>
            <w:vAlign w:val="center"/>
          </w:tcPr>
          <w:p w14:paraId="4CE0B2C9">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备注</w:t>
            </w:r>
          </w:p>
        </w:tc>
      </w:tr>
      <w:tr w14:paraId="04EC8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restart"/>
            <w:vAlign w:val="center"/>
          </w:tcPr>
          <w:p w14:paraId="32E60C7B">
            <w:pPr>
              <w:widowControl/>
              <w:adjustRightInd/>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安全生产物资</w:t>
            </w:r>
          </w:p>
        </w:tc>
        <w:tc>
          <w:tcPr>
            <w:tcW w:w="685" w:type="dxa"/>
            <w:vAlign w:val="center"/>
          </w:tcPr>
          <w:p w14:paraId="3B94BF96">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1351" w:type="dxa"/>
            <w:vAlign w:val="center"/>
          </w:tcPr>
          <w:p w14:paraId="69FF3680">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简易不锈钢移动栏杆</w:t>
            </w:r>
          </w:p>
        </w:tc>
        <w:tc>
          <w:tcPr>
            <w:tcW w:w="2059" w:type="dxa"/>
            <w:vAlign w:val="center"/>
          </w:tcPr>
          <w:p w14:paraId="7C09052A">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符合国家、行业标准</w:t>
            </w:r>
          </w:p>
        </w:tc>
        <w:tc>
          <w:tcPr>
            <w:tcW w:w="870" w:type="dxa"/>
            <w:vAlign w:val="center"/>
          </w:tcPr>
          <w:p w14:paraId="0DE9D2CA">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50</w:t>
            </w:r>
          </w:p>
        </w:tc>
        <w:tc>
          <w:tcPr>
            <w:tcW w:w="943" w:type="dxa"/>
            <w:vAlign w:val="center"/>
          </w:tcPr>
          <w:p w14:paraId="578BBFD5">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0</w:t>
            </w:r>
          </w:p>
        </w:tc>
        <w:tc>
          <w:tcPr>
            <w:tcW w:w="832" w:type="dxa"/>
            <w:vAlign w:val="center"/>
          </w:tcPr>
          <w:p w14:paraId="63772C27">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米</w:t>
            </w:r>
          </w:p>
        </w:tc>
        <w:tc>
          <w:tcPr>
            <w:tcW w:w="1537" w:type="dxa"/>
            <w:vAlign w:val="center"/>
          </w:tcPr>
          <w:p w14:paraId="17B58F6F">
            <w:pPr>
              <w:widowControl/>
              <w:adjustRightInd/>
              <w:jc w:val="center"/>
              <w:rPr>
                <w:rFonts w:hint="eastAsia" w:ascii="宋体" w:hAnsi="宋体" w:eastAsia="宋体" w:cs="宋体"/>
                <w:color w:val="auto"/>
                <w:kern w:val="0"/>
                <w:sz w:val="24"/>
                <w:szCs w:val="24"/>
                <w:highlight w:val="none"/>
              </w:rPr>
            </w:pPr>
          </w:p>
        </w:tc>
      </w:tr>
      <w:tr w14:paraId="32A6F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0B5FAF4E">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09C155A3">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1351" w:type="dxa"/>
            <w:vAlign w:val="center"/>
          </w:tcPr>
          <w:p w14:paraId="7CA30F75">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250水泵</w:t>
            </w:r>
          </w:p>
        </w:tc>
        <w:tc>
          <w:tcPr>
            <w:tcW w:w="2059" w:type="dxa"/>
            <w:vAlign w:val="center"/>
          </w:tcPr>
          <w:p w14:paraId="45E5E2D7">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风冷，二冲程，单缸，出水压力1.5.Mpa，扬程150m及以上</w:t>
            </w:r>
          </w:p>
        </w:tc>
        <w:tc>
          <w:tcPr>
            <w:tcW w:w="870" w:type="dxa"/>
            <w:vAlign w:val="center"/>
          </w:tcPr>
          <w:p w14:paraId="58E9C235">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943" w:type="dxa"/>
            <w:vAlign w:val="center"/>
          </w:tcPr>
          <w:p w14:paraId="34D3963C">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0</w:t>
            </w:r>
          </w:p>
        </w:tc>
        <w:tc>
          <w:tcPr>
            <w:tcW w:w="832" w:type="dxa"/>
            <w:vAlign w:val="center"/>
          </w:tcPr>
          <w:p w14:paraId="2A0A4ADE">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537" w:type="dxa"/>
            <w:vAlign w:val="center"/>
          </w:tcPr>
          <w:p w14:paraId="5D651988">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防台</w:t>
            </w:r>
          </w:p>
        </w:tc>
      </w:tr>
      <w:tr w14:paraId="29DFA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211017BE">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6A0A5CB8">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1351" w:type="dxa"/>
            <w:vAlign w:val="center"/>
          </w:tcPr>
          <w:p w14:paraId="1EDD069F">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强光手电</w:t>
            </w:r>
          </w:p>
        </w:tc>
        <w:tc>
          <w:tcPr>
            <w:tcW w:w="2059" w:type="dxa"/>
            <w:vAlign w:val="center"/>
          </w:tcPr>
          <w:p w14:paraId="45E1C403">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无级调光、爆闪、强弱档，LED，续航8小时以上</w:t>
            </w:r>
          </w:p>
        </w:tc>
        <w:tc>
          <w:tcPr>
            <w:tcW w:w="870" w:type="dxa"/>
            <w:vAlign w:val="center"/>
          </w:tcPr>
          <w:p w14:paraId="29E0373A">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943" w:type="dxa"/>
            <w:vAlign w:val="center"/>
          </w:tcPr>
          <w:p w14:paraId="70BB89ED">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0</w:t>
            </w:r>
          </w:p>
        </w:tc>
        <w:tc>
          <w:tcPr>
            <w:tcW w:w="832" w:type="dxa"/>
            <w:vAlign w:val="center"/>
          </w:tcPr>
          <w:p w14:paraId="46476FCF">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把</w:t>
            </w:r>
          </w:p>
        </w:tc>
        <w:tc>
          <w:tcPr>
            <w:tcW w:w="1537" w:type="dxa"/>
            <w:vAlign w:val="center"/>
          </w:tcPr>
          <w:p w14:paraId="62A9425E">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防台、</w:t>
            </w:r>
          </w:p>
          <w:p w14:paraId="3F12A058">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夜间管理</w:t>
            </w:r>
          </w:p>
        </w:tc>
      </w:tr>
      <w:tr w14:paraId="620F2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088E6C8C">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766359ED">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1351" w:type="dxa"/>
            <w:vAlign w:val="center"/>
          </w:tcPr>
          <w:p w14:paraId="2786597D">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灭火毯</w:t>
            </w:r>
          </w:p>
        </w:tc>
        <w:tc>
          <w:tcPr>
            <w:tcW w:w="2059" w:type="dxa"/>
            <w:vAlign w:val="center"/>
          </w:tcPr>
          <w:p w14:paraId="4AE19F65">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符合国家、行业标准</w:t>
            </w:r>
          </w:p>
        </w:tc>
        <w:tc>
          <w:tcPr>
            <w:tcW w:w="870" w:type="dxa"/>
            <w:vAlign w:val="center"/>
          </w:tcPr>
          <w:p w14:paraId="25AA4D6B">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943" w:type="dxa"/>
            <w:vAlign w:val="center"/>
          </w:tcPr>
          <w:p w14:paraId="7B9BD7C1">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0</w:t>
            </w:r>
          </w:p>
        </w:tc>
        <w:tc>
          <w:tcPr>
            <w:tcW w:w="832" w:type="dxa"/>
            <w:vAlign w:val="center"/>
          </w:tcPr>
          <w:p w14:paraId="5781F1D1">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537" w:type="dxa"/>
            <w:vAlign w:val="center"/>
          </w:tcPr>
          <w:p w14:paraId="46EB8D61">
            <w:pPr>
              <w:widowControl/>
              <w:adjustRightInd/>
              <w:jc w:val="center"/>
              <w:rPr>
                <w:rFonts w:hint="eastAsia" w:ascii="宋体" w:hAnsi="宋体" w:eastAsia="宋体" w:cs="宋体"/>
                <w:color w:val="auto"/>
                <w:kern w:val="0"/>
                <w:sz w:val="24"/>
                <w:szCs w:val="24"/>
                <w:highlight w:val="none"/>
              </w:rPr>
            </w:pPr>
          </w:p>
        </w:tc>
      </w:tr>
      <w:tr w14:paraId="71F6F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2008C37D">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7CA52428">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c>
          <w:tcPr>
            <w:tcW w:w="1351" w:type="dxa"/>
            <w:vAlign w:val="center"/>
          </w:tcPr>
          <w:p w14:paraId="7E65D8E0">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灭火器</w:t>
            </w:r>
          </w:p>
        </w:tc>
        <w:tc>
          <w:tcPr>
            <w:tcW w:w="2059" w:type="dxa"/>
            <w:vAlign w:val="center"/>
          </w:tcPr>
          <w:p w14:paraId="7B88259F">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4KG装，符合国家、行业标准，提供合格证，要求生产日期为提供产品时的当年年度</w:t>
            </w:r>
          </w:p>
        </w:tc>
        <w:tc>
          <w:tcPr>
            <w:tcW w:w="870" w:type="dxa"/>
            <w:vAlign w:val="center"/>
          </w:tcPr>
          <w:p w14:paraId="12162901">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943" w:type="dxa"/>
            <w:vAlign w:val="center"/>
          </w:tcPr>
          <w:p w14:paraId="7D166338">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0</w:t>
            </w:r>
          </w:p>
        </w:tc>
        <w:tc>
          <w:tcPr>
            <w:tcW w:w="832" w:type="dxa"/>
            <w:vAlign w:val="center"/>
          </w:tcPr>
          <w:p w14:paraId="4AFB39DB">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537" w:type="dxa"/>
            <w:vAlign w:val="center"/>
          </w:tcPr>
          <w:p w14:paraId="7F2FCAA3">
            <w:pPr>
              <w:widowControl/>
              <w:adjustRightInd/>
              <w:jc w:val="center"/>
              <w:rPr>
                <w:rFonts w:hint="eastAsia" w:ascii="宋体" w:hAnsi="宋体" w:eastAsia="宋体" w:cs="宋体"/>
                <w:color w:val="auto"/>
                <w:kern w:val="0"/>
                <w:sz w:val="24"/>
                <w:szCs w:val="24"/>
                <w:highlight w:val="none"/>
              </w:rPr>
            </w:pPr>
          </w:p>
        </w:tc>
      </w:tr>
      <w:tr w14:paraId="14597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56664232">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20314E81">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1351" w:type="dxa"/>
            <w:vAlign w:val="center"/>
          </w:tcPr>
          <w:p w14:paraId="64297C3A">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手持扩音喇叭</w:t>
            </w:r>
          </w:p>
        </w:tc>
        <w:tc>
          <w:tcPr>
            <w:tcW w:w="2059" w:type="dxa"/>
            <w:vAlign w:val="center"/>
          </w:tcPr>
          <w:p w14:paraId="2D1B1998">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要有录音放音功能，配存储卡</w:t>
            </w:r>
          </w:p>
        </w:tc>
        <w:tc>
          <w:tcPr>
            <w:tcW w:w="870" w:type="dxa"/>
            <w:vAlign w:val="center"/>
          </w:tcPr>
          <w:p w14:paraId="248C1D82">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943" w:type="dxa"/>
            <w:vAlign w:val="center"/>
          </w:tcPr>
          <w:p w14:paraId="175C01CF">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0</w:t>
            </w:r>
          </w:p>
        </w:tc>
        <w:tc>
          <w:tcPr>
            <w:tcW w:w="832" w:type="dxa"/>
            <w:vAlign w:val="center"/>
          </w:tcPr>
          <w:p w14:paraId="0BD9C8C5">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537" w:type="dxa"/>
            <w:vAlign w:val="center"/>
          </w:tcPr>
          <w:p w14:paraId="582A04DE">
            <w:pPr>
              <w:widowControl/>
              <w:adjustRightInd/>
              <w:jc w:val="center"/>
              <w:rPr>
                <w:rFonts w:hint="eastAsia" w:ascii="宋体" w:hAnsi="宋体" w:eastAsia="宋体" w:cs="宋体"/>
                <w:color w:val="auto"/>
                <w:kern w:val="0"/>
                <w:sz w:val="24"/>
                <w:szCs w:val="24"/>
                <w:highlight w:val="none"/>
              </w:rPr>
            </w:pPr>
          </w:p>
        </w:tc>
      </w:tr>
      <w:tr w14:paraId="3D5BC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303D14EF">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32CFA042">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p>
        </w:tc>
        <w:tc>
          <w:tcPr>
            <w:tcW w:w="1351" w:type="dxa"/>
            <w:vAlign w:val="center"/>
          </w:tcPr>
          <w:p w14:paraId="662614E9">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对讲机</w:t>
            </w:r>
          </w:p>
        </w:tc>
        <w:tc>
          <w:tcPr>
            <w:tcW w:w="2059" w:type="dxa"/>
            <w:vAlign w:val="center"/>
          </w:tcPr>
          <w:p w14:paraId="408C4A53">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符合国家、行业标准</w:t>
            </w:r>
          </w:p>
        </w:tc>
        <w:tc>
          <w:tcPr>
            <w:tcW w:w="870" w:type="dxa"/>
            <w:vAlign w:val="center"/>
          </w:tcPr>
          <w:p w14:paraId="1D8A1145">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943" w:type="dxa"/>
            <w:vAlign w:val="center"/>
          </w:tcPr>
          <w:p w14:paraId="3F53CCC8">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0</w:t>
            </w:r>
          </w:p>
        </w:tc>
        <w:tc>
          <w:tcPr>
            <w:tcW w:w="832" w:type="dxa"/>
            <w:vAlign w:val="center"/>
          </w:tcPr>
          <w:p w14:paraId="459A2037">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537" w:type="dxa"/>
            <w:vAlign w:val="center"/>
          </w:tcPr>
          <w:p w14:paraId="04CA8E6A">
            <w:pPr>
              <w:widowControl/>
              <w:adjustRightInd/>
              <w:jc w:val="center"/>
              <w:rPr>
                <w:rFonts w:hint="eastAsia" w:ascii="宋体" w:hAnsi="宋体" w:eastAsia="宋体" w:cs="宋体"/>
                <w:color w:val="auto"/>
                <w:kern w:val="0"/>
                <w:sz w:val="24"/>
                <w:szCs w:val="24"/>
                <w:highlight w:val="none"/>
              </w:rPr>
            </w:pPr>
          </w:p>
        </w:tc>
      </w:tr>
      <w:tr w14:paraId="24432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0AE5C82C">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1A247410">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w:t>
            </w:r>
          </w:p>
        </w:tc>
        <w:tc>
          <w:tcPr>
            <w:tcW w:w="1351" w:type="dxa"/>
            <w:vAlign w:val="center"/>
          </w:tcPr>
          <w:p w14:paraId="30F300A0">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雪糕桶</w:t>
            </w:r>
          </w:p>
        </w:tc>
        <w:tc>
          <w:tcPr>
            <w:tcW w:w="2059" w:type="dxa"/>
            <w:vAlign w:val="center"/>
          </w:tcPr>
          <w:p w14:paraId="4212F581">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符合国家、行业标准</w:t>
            </w:r>
          </w:p>
        </w:tc>
        <w:tc>
          <w:tcPr>
            <w:tcW w:w="870" w:type="dxa"/>
            <w:vAlign w:val="center"/>
          </w:tcPr>
          <w:p w14:paraId="185AD62B">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p>
        </w:tc>
        <w:tc>
          <w:tcPr>
            <w:tcW w:w="943" w:type="dxa"/>
            <w:vAlign w:val="center"/>
          </w:tcPr>
          <w:p w14:paraId="6D47118F">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0</w:t>
            </w:r>
          </w:p>
        </w:tc>
        <w:tc>
          <w:tcPr>
            <w:tcW w:w="832" w:type="dxa"/>
            <w:vAlign w:val="center"/>
          </w:tcPr>
          <w:p w14:paraId="275AD8AC">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537" w:type="dxa"/>
            <w:vAlign w:val="center"/>
          </w:tcPr>
          <w:p w14:paraId="2A609B33">
            <w:pPr>
              <w:widowControl/>
              <w:adjustRightInd/>
              <w:jc w:val="center"/>
              <w:rPr>
                <w:rFonts w:hint="eastAsia" w:ascii="宋体" w:hAnsi="宋体" w:eastAsia="宋体" w:cs="宋体"/>
                <w:color w:val="auto"/>
                <w:kern w:val="0"/>
                <w:sz w:val="24"/>
                <w:szCs w:val="24"/>
                <w:highlight w:val="none"/>
              </w:rPr>
            </w:pPr>
          </w:p>
        </w:tc>
      </w:tr>
      <w:tr w14:paraId="1CF35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73722CD2">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398DC716">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w:t>
            </w:r>
          </w:p>
        </w:tc>
        <w:tc>
          <w:tcPr>
            <w:tcW w:w="1351" w:type="dxa"/>
            <w:vAlign w:val="center"/>
          </w:tcPr>
          <w:p w14:paraId="7B8D016D">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警戒带</w:t>
            </w:r>
          </w:p>
        </w:tc>
        <w:tc>
          <w:tcPr>
            <w:tcW w:w="2059" w:type="dxa"/>
            <w:vAlign w:val="center"/>
          </w:tcPr>
          <w:p w14:paraId="48456D13">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符合国家、行业标准</w:t>
            </w:r>
          </w:p>
        </w:tc>
        <w:tc>
          <w:tcPr>
            <w:tcW w:w="870" w:type="dxa"/>
            <w:vAlign w:val="center"/>
          </w:tcPr>
          <w:p w14:paraId="2BA08C1C">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943" w:type="dxa"/>
            <w:vAlign w:val="center"/>
          </w:tcPr>
          <w:p w14:paraId="049ED2FC">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0</w:t>
            </w:r>
          </w:p>
        </w:tc>
        <w:tc>
          <w:tcPr>
            <w:tcW w:w="832" w:type="dxa"/>
            <w:vAlign w:val="center"/>
          </w:tcPr>
          <w:p w14:paraId="6BCD0E1C">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卷</w:t>
            </w:r>
          </w:p>
        </w:tc>
        <w:tc>
          <w:tcPr>
            <w:tcW w:w="1537" w:type="dxa"/>
            <w:vAlign w:val="center"/>
          </w:tcPr>
          <w:p w14:paraId="66BF0A4E">
            <w:pPr>
              <w:widowControl/>
              <w:adjustRightInd/>
              <w:jc w:val="center"/>
              <w:rPr>
                <w:rFonts w:hint="eastAsia" w:ascii="宋体" w:hAnsi="宋体" w:eastAsia="宋体" w:cs="宋体"/>
                <w:color w:val="auto"/>
                <w:kern w:val="0"/>
                <w:sz w:val="24"/>
                <w:szCs w:val="24"/>
                <w:highlight w:val="none"/>
              </w:rPr>
            </w:pPr>
          </w:p>
        </w:tc>
      </w:tr>
      <w:tr w14:paraId="67DF8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10530D97">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3F4880FD">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p>
        </w:tc>
        <w:tc>
          <w:tcPr>
            <w:tcW w:w="1351" w:type="dxa"/>
            <w:vAlign w:val="center"/>
          </w:tcPr>
          <w:p w14:paraId="3C048EF5">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救生绳</w:t>
            </w:r>
          </w:p>
        </w:tc>
        <w:tc>
          <w:tcPr>
            <w:tcW w:w="2059" w:type="dxa"/>
            <w:vAlign w:val="center"/>
          </w:tcPr>
          <w:p w14:paraId="04ED1928">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符合国家、行业标准</w:t>
            </w:r>
          </w:p>
        </w:tc>
        <w:tc>
          <w:tcPr>
            <w:tcW w:w="870" w:type="dxa"/>
            <w:vAlign w:val="center"/>
          </w:tcPr>
          <w:p w14:paraId="4F210EFF">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50</w:t>
            </w:r>
          </w:p>
        </w:tc>
        <w:tc>
          <w:tcPr>
            <w:tcW w:w="943" w:type="dxa"/>
            <w:vAlign w:val="center"/>
          </w:tcPr>
          <w:p w14:paraId="1819C47D">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0</w:t>
            </w:r>
          </w:p>
        </w:tc>
        <w:tc>
          <w:tcPr>
            <w:tcW w:w="832" w:type="dxa"/>
            <w:vAlign w:val="center"/>
          </w:tcPr>
          <w:p w14:paraId="560E888E">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米</w:t>
            </w:r>
          </w:p>
        </w:tc>
        <w:tc>
          <w:tcPr>
            <w:tcW w:w="1537" w:type="dxa"/>
            <w:vAlign w:val="center"/>
          </w:tcPr>
          <w:p w14:paraId="370C4D90">
            <w:pPr>
              <w:widowControl/>
              <w:adjustRightInd/>
              <w:jc w:val="center"/>
              <w:rPr>
                <w:rFonts w:hint="eastAsia" w:ascii="宋体" w:hAnsi="宋体" w:eastAsia="宋体" w:cs="宋体"/>
                <w:color w:val="auto"/>
                <w:kern w:val="0"/>
                <w:sz w:val="24"/>
                <w:szCs w:val="24"/>
                <w:highlight w:val="none"/>
              </w:rPr>
            </w:pPr>
          </w:p>
        </w:tc>
      </w:tr>
      <w:tr w14:paraId="33883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663F4CB6">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0DD519BE">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w:t>
            </w:r>
          </w:p>
        </w:tc>
        <w:tc>
          <w:tcPr>
            <w:tcW w:w="1351" w:type="dxa"/>
            <w:vAlign w:val="center"/>
          </w:tcPr>
          <w:p w14:paraId="79D6DD1E">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救生衣</w:t>
            </w:r>
          </w:p>
        </w:tc>
        <w:tc>
          <w:tcPr>
            <w:tcW w:w="2059" w:type="dxa"/>
            <w:vAlign w:val="center"/>
          </w:tcPr>
          <w:p w14:paraId="674240F6">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符合国家、行业标准</w:t>
            </w:r>
          </w:p>
        </w:tc>
        <w:tc>
          <w:tcPr>
            <w:tcW w:w="870" w:type="dxa"/>
            <w:vAlign w:val="center"/>
          </w:tcPr>
          <w:p w14:paraId="385232C6">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943" w:type="dxa"/>
            <w:vAlign w:val="center"/>
          </w:tcPr>
          <w:p w14:paraId="284BE85A">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0</w:t>
            </w:r>
          </w:p>
        </w:tc>
        <w:tc>
          <w:tcPr>
            <w:tcW w:w="832" w:type="dxa"/>
            <w:vAlign w:val="center"/>
          </w:tcPr>
          <w:p w14:paraId="0CDFAFA5">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件</w:t>
            </w:r>
          </w:p>
        </w:tc>
        <w:tc>
          <w:tcPr>
            <w:tcW w:w="1537" w:type="dxa"/>
            <w:vAlign w:val="center"/>
          </w:tcPr>
          <w:p w14:paraId="1149DEB5">
            <w:pPr>
              <w:widowControl/>
              <w:adjustRightInd/>
              <w:jc w:val="center"/>
              <w:rPr>
                <w:rFonts w:hint="eastAsia" w:ascii="宋体" w:hAnsi="宋体" w:eastAsia="宋体" w:cs="宋体"/>
                <w:color w:val="auto"/>
                <w:kern w:val="0"/>
                <w:sz w:val="24"/>
                <w:szCs w:val="24"/>
                <w:highlight w:val="none"/>
              </w:rPr>
            </w:pPr>
          </w:p>
        </w:tc>
      </w:tr>
      <w:tr w14:paraId="197D1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7023E2BE">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61070480">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w:t>
            </w:r>
          </w:p>
        </w:tc>
        <w:tc>
          <w:tcPr>
            <w:tcW w:w="1351" w:type="dxa"/>
            <w:vAlign w:val="center"/>
          </w:tcPr>
          <w:p w14:paraId="4A6F519D">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救生圈</w:t>
            </w:r>
          </w:p>
        </w:tc>
        <w:tc>
          <w:tcPr>
            <w:tcW w:w="2059" w:type="dxa"/>
            <w:vAlign w:val="center"/>
          </w:tcPr>
          <w:p w14:paraId="36453E42">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符合国家、行业标准</w:t>
            </w:r>
          </w:p>
        </w:tc>
        <w:tc>
          <w:tcPr>
            <w:tcW w:w="870" w:type="dxa"/>
            <w:vAlign w:val="center"/>
          </w:tcPr>
          <w:p w14:paraId="1E00ACFE">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943" w:type="dxa"/>
            <w:vAlign w:val="center"/>
          </w:tcPr>
          <w:p w14:paraId="13793D7E">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0</w:t>
            </w:r>
          </w:p>
        </w:tc>
        <w:tc>
          <w:tcPr>
            <w:tcW w:w="832" w:type="dxa"/>
            <w:vAlign w:val="center"/>
          </w:tcPr>
          <w:p w14:paraId="6214D994">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537" w:type="dxa"/>
            <w:vAlign w:val="center"/>
          </w:tcPr>
          <w:p w14:paraId="2F1EF4B2">
            <w:pPr>
              <w:widowControl/>
              <w:adjustRightInd/>
              <w:jc w:val="center"/>
              <w:rPr>
                <w:rFonts w:hint="eastAsia" w:ascii="宋体" w:hAnsi="宋体" w:eastAsia="宋体" w:cs="宋体"/>
                <w:color w:val="auto"/>
                <w:kern w:val="0"/>
                <w:sz w:val="24"/>
                <w:szCs w:val="24"/>
                <w:highlight w:val="none"/>
              </w:rPr>
            </w:pPr>
          </w:p>
        </w:tc>
      </w:tr>
      <w:tr w14:paraId="1C18B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58A1DC24">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7AF6401E">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w:t>
            </w:r>
          </w:p>
        </w:tc>
        <w:tc>
          <w:tcPr>
            <w:tcW w:w="1351" w:type="dxa"/>
            <w:vAlign w:val="center"/>
          </w:tcPr>
          <w:p w14:paraId="14A265F5">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防汛沙袋</w:t>
            </w:r>
          </w:p>
        </w:tc>
        <w:tc>
          <w:tcPr>
            <w:tcW w:w="2059" w:type="dxa"/>
            <w:vAlign w:val="center"/>
          </w:tcPr>
          <w:p w14:paraId="55468DF0">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符合国家、行业标准</w:t>
            </w:r>
          </w:p>
        </w:tc>
        <w:tc>
          <w:tcPr>
            <w:tcW w:w="870" w:type="dxa"/>
            <w:vAlign w:val="center"/>
          </w:tcPr>
          <w:p w14:paraId="36C820F8">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943" w:type="dxa"/>
            <w:vAlign w:val="center"/>
          </w:tcPr>
          <w:p w14:paraId="351BF49F">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0</w:t>
            </w:r>
          </w:p>
        </w:tc>
        <w:tc>
          <w:tcPr>
            <w:tcW w:w="832" w:type="dxa"/>
            <w:vAlign w:val="center"/>
          </w:tcPr>
          <w:p w14:paraId="4822931D">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537" w:type="dxa"/>
            <w:vAlign w:val="center"/>
          </w:tcPr>
          <w:p w14:paraId="49F2F3E3">
            <w:pPr>
              <w:widowControl/>
              <w:adjustRightInd/>
              <w:jc w:val="center"/>
              <w:rPr>
                <w:rFonts w:hint="eastAsia" w:ascii="宋体" w:hAnsi="宋体" w:eastAsia="宋体" w:cs="宋体"/>
                <w:color w:val="auto"/>
                <w:kern w:val="0"/>
                <w:sz w:val="24"/>
                <w:szCs w:val="24"/>
                <w:highlight w:val="none"/>
              </w:rPr>
            </w:pPr>
          </w:p>
        </w:tc>
      </w:tr>
      <w:tr w14:paraId="65EF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3E57C9D6">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6FDF1534">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w:t>
            </w:r>
          </w:p>
        </w:tc>
        <w:tc>
          <w:tcPr>
            <w:tcW w:w="1351" w:type="dxa"/>
            <w:vAlign w:val="center"/>
          </w:tcPr>
          <w:p w14:paraId="5DC6DB4F">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消防水带</w:t>
            </w:r>
          </w:p>
        </w:tc>
        <w:tc>
          <w:tcPr>
            <w:tcW w:w="2059" w:type="dxa"/>
            <w:vAlign w:val="center"/>
          </w:tcPr>
          <w:p w14:paraId="25CDC405">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规格为20-65-20，符合国家、行业标准，提供合格证，要求生产日期为提供产品时的当年年度</w:t>
            </w:r>
          </w:p>
        </w:tc>
        <w:tc>
          <w:tcPr>
            <w:tcW w:w="870" w:type="dxa"/>
            <w:vAlign w:val="center"/>
          </w:tcPr>
          <w:p w14:paraId="5030967A">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w:t>
            </w:r>
          </w:p>
        </w:tc>
        <w:tc>
          <w:tcPr>
            <w:tcW w:w="943" w:type="dxa"/>
            <w:vAlign w:val="center"/>
          </w:tcPr>
          <w:p w14:paraId="71424513">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0</w:t>
            </w:r>
          </w:p>
        </w:tc>
        <w:tc>
          <w:tcPr>
            <w:tcW w:w="832" w:type="dxa"/>
            <w:vAlign w:val="center"/>
          </w:tcPr>
          <w:p w14:paraId="6BBFCEA3">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条</w:t>
            </w:r>
          </w:p>
        </w:tc>
        <w:tc>
          <w:tcPr>
            <w:tcW w:w="1537" w:type="dxa"/>
            <w:vAlign w:val="center"/>
          </w:tcPr>
          <w:p w14:paraId="50E9B4FB">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防汛、防台</w:t>
            </w:r>
          </w:p>
        </w:tc>
      </w:tr>
      <w:tr w14:paraId="35EB9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6F4DC548">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1792516C">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w:t>
            </w:r>
          </w:p>
        </w:tc>
        <w:tc>
          <w:tcPr>
            <w:tcW w:w="1351" w:type="dxa"/>
            <w:vAlign w:val="center"/>
          </w:tcPr>
          <w:p w14:paraId="7698E058">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分体式雨衣</w:t>
            </w:r>
          </w:p>
        </w:tc>
        <w:tc>
          <w:tcPr>
            <w:tcW w:w="2059" w:type="dxa"/>
            <w:vAlign w:val="center"/>
          </w:tcPr>
          <w:p w14:paraId="412D3E6A">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符合国家、行业标准</w:t>
            </w:r>
          </w:p>
        </w:tc>
        <w:tc>
          <w:tcPr>
            <w:tcW w:w="870" w:type="dxa"/>
            <w:vAlign w:val="center"/>
          </w:tcPr>
          <w:p w14:paraId="3628E5A8">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p>
        </w:tc>
        <w:tc>
          <w:tcPr>
            <w:tcW w:w="943" w:type="dxa"/>
            <w:vAlign w:val="center"/>
          </w:tcPr>
          <w:p w14:paraId="7899156F">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0</w:t>
            </w:r>
          </w:p>
        </w:tc>
        <w:tc>
          <w:tcPr>
            <w:tcW w:w="832" w:type="dxa"/>
            <w:vAlign w:val="center"/>
          </w:tcPr>
          <w:p w14:paraId="23564A78">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套</w:t>
            </w:r>
          </w:p>
        </w:tc>
        <w:tc>
          <w:tcPr>
            <w:tcW w:w="1537" w:type="dxa"/>
            <w:vAlign w:val="center"/>
          </w:tcPr>
          <w:p w14:paraId="14E6F349">
            <w:pPr>
              <w:widowControl/>
              <w:adjustRightInd/>
              <w:jc w:val="center"/>
              <w:rPr>
                <w:rFonts w:hint="eastAsia" w:ascii="宋体" w:hAnsi="宋体" w:eastAsia="宋体" w:cs="宋体"/>
                <w:color w:val="auto"/>
                <w:kern w:val="0"/>
                <w:sz w:val="24"/>
                <w:szCs w:val="24"/>
                <w:highlight w:val="none"/>
              </w:rPr>
            </w:pPr>
          </w:p>
        </w:tc>
      </w:tr>
      <w:tr w14:paraId="67852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23C3FC87">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2A22E7B8">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w:t>
            </w:r>
          </w:p>
        </w:tc>
        <w:tc>
          <w:tcPr>
            <w:tcW w:w="1351" w:type="dxa"/>
            <w:vAlign w:val="center"/>
          </w:tcPr>
          <w:p w14:paraId="0735CF69">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雨鞋</w:t>
            </w:r>
          </w:p>
        </w:tc>
        <w:tc>
          <w:tcPr>
            <w:tcW w:w="2059" w:type="dxa"/>
            <w:vAlign w:val="center"/>
          </w:tcPr>
          <w:p w14:paraId="29488297">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符合国家、行业标准</w:t>
            </w:r>
          </w:p>
        </w:tc>
        <w:tc>
          <w:tcPr>
            <w:tcW w:w="870" w:type="dxa"/>
            <w:vAlign w:val="center"/>
          </w:tcPr>
          <w:p w14:paraId="5ECBAD81">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p>
        </w:tc>
        <w:tc>
          <w:tcPr>
            <w:tcW w:w="943" w:type="dxa"/>
            <w:vAlign w:val="center"/>
          </w:tcPr>
          <w:p w14:paraId="5B075B74">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0</w:t>
            </w:r>
          </w:p>
        </w:tc>
        <w:tc>
          <w:tcPr>
            <w:tcW w:w="832" w:type="dxa"/>
            <w:vAlign w:val="center"/>
          </w:tcPr>
          <w:p w14:paraId="3520BC24">
            <w:pPr>
              <w:widowControl/>
              <w:adjustRightInd/>
              <w:jc w:val="center"/>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双</w:t>
            </w:r>
          </w:p>
        </w:tc>
        <w:tc>
          <w:tcPr>
            <w:tcW w:w="1537" w:type="dxa"/>
            <w:vAlign w:val="center"/>
          </w:tcPr>
          <w:p w14:paraId="49CEEDA2">
            <w:pPr>
              <w:widowControl/>
              <w:adjustRightInd/>
              <w:jc w:val="center"/>
              <w:rPr>
                <w:rFonts w:hint="eastAsia" w:ascii="宋体" w:hAnsi="宋体" w:eastAsia="宋体" w:cs="宋体"/>
                <w:color w:val="auto"/>
                <w:kern w:val="0"/>
                <w:sz w:val="24"/>
                <w:szCs w:val="24"/>
                <w:highlight w:val="none"/>
              </w:rPr>
            </w:pPr>
          </w:p>
        </w:tc>
      </w:tr>
      <w:tr w14:paraId="6A391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08DAC31B">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004907AD">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17</w:t>
            </w:r>
          </w:p>
        </w:tc>
        <w:tc>
          <w:tcPr>
            <w:tcW w:w="1351" w:type="dxa"/>
            <w:vAlign w:val="center"/>
          </w:tcPr>
          <w:p w14:paraId="01378274">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消防柜</w:t>
            </w:r>
          </w:p>
        </w:tc>
        <w:tc>
          <w:tcPr>
            <w:tcW w:w="2059" w:type="dxa"/>
            <w:vAlign w:val="center"/>
          </w:tcPr>
          <w:p w14:paraId="68163FE2">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符合国家、行业标准</w:t>
            </w:r>
          </w:p>
        </w:tc>
        <w:tc>
          <w:tcPr>
            <w:tcW w:w="870" w:type="dxa"/>
            <w:vAlign w:val="center"/>
          </w:tcPr>
          <w:p w14:paraId="30E681F9">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943" w:type="dxa"/>
            <w:vAlign w:val="center"/>
          </w:tcPr>
          <w:p w14:paraId="194C5E0B">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0</w:t>
            </w:r>
          </w:p>
        </w:tc>
        <w:tc>
          <w:tcPr>
            <w:tcW w:w="832" w:type="dxa"/>
            <w:vAlign w:val="center"/>
          </w:tcPr>
          <w:p w14:paraId="1C23A7DA">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537" w:type="dxa"/>
            <w:vAlign w:val="center"/>
          </w:tcPr>
          <w:p w14:paraId="64F00161">
            <w:pPr>
              <w:widowControl/>
              <w:adjustRightInd/>
              <w:jc w:val="center"/>
              <w:rPr>
                <w:rFonts w:hint="eastAsia" w:ascii="宋体" w:hAnsi="宋体" w:eastAsia="宋体" w:cs="宋体"/>
                <w:color w:val="auto"/>
                <w:kern w:val="0"/>
                <w:sz w:val="24"/>
                <w:szCs w:val="24"/>
                <w:highlight w:val="none"/>
              </w:rPr>
            </w:pPr>
          </w:p>
        </w:tc>
      </w:tr>
      <w:tr w14:paraId="2F700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65ED0E21">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7AD2228A">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18</w:t>
            </w:r>
          </w:p>
        </w:tc>
        <w:tc>
          <w:tcPr>
            <w:tcW w:w="1351" w:type="dxa"/>
            <w:vAlign w:val="center"/>
          </w:tcPr>
          <w:p w14:paraId="404AC521">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消防斧</w:t>
            </w:r>
          </w:p>
        </w:tc>
        <w:tc>
          <w:tcPr>
            <w:tcW w:w="2059" w:type="dxa"/>
            <w:vAlign w:val="center"/>
          </w:tcPr>
          <w:p w14:paraId="2D0C0364">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符合国家、行业标准</w:t>
            </w:r>
          </w:p>
        </w:tc>
        <w:tc>
          <w:tcPr>
            <w:tcW w:w="870" w:type="dxa"/>
            <w:vAlign w:val="center"/>
          </w:tcPr>
          <w:p w14:paraId="744222C7">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943" w:type="dxa"/>
            <w:vAlign w:val="center"/>
          </w:tcPr>
          <w:p w14:paraId="0201019A">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0</w:t>
            </w:r>
          </w:p>
        </w:tc>
        <w:tc>
          <w:tcPr>
            <w:tcW w:w="832" w:type="dxa"/>
            <w:vAlign w:val="center"/>
          </w:tcPr>
          <w:p w14:paraId="47AE2C79">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柄</w:t>
            </w:r>
          </w:p>
        </w:tc>
        <w:tc>
          <w:tcPr>
            <w:tcW w:w="1537" w:type="dxa"/>
            <w:vAlign w:val="center"/>
          </w:tcPr>
          <w:p w14:paraId="23A68A90">
            <w:pPr>
              <w:widowControl/>
              <w:adjustRightInd/>
              <w:jc w:val="center"/>
              <w:rPr>
                <w:rFonts w:hint="eastAsia" w:ascii="宋体" w:hAnsi="宋体" w:eastAsia="宋体" w:cs="宋体"/>
                <w:color w:val="auto"/>
                <w:kern w:val="0"/>
                <w:sz w:val="24"/>
                <w:szCs w:val="24"/>
                <w:highlight w:val="none"/>
              </w:rPr>
            </w:pPr>
          </w:p>
        </w:tc>
      </w:tr>
      <w:tr w14:paraId="360F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2DA82028">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3DA256CC">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19</w:t>
            </w:r>
          </w:p>
        </w:tc>
        <w:tc>
          <w:tcPr>
            <w:tcW w:w="1351" w:type="dxa"/>
            <w:vAlign w:val="center"/>
          </w:tcPr>
          <w:p w14:paraId="2E0E11C2">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消防铁锹</w:t>
            </w:r>
          </w:p>
        </w:tc>
        <w:tc>
          <w:tcPr>
            <w:tcW w:w="2059" w:type="dxa"/>
            <w:vAlign w:val="center"/>
          </w:tcPr>
          <w:p w14:paraId="0CDA2426">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符合国家、行业标准</w:t>
            </w:r>
          </w:p>
        </w:tc>
        <w:tc>
          <w:tcPr>
            <w:tcW w:w="870" w:type="dxa"/>
            <w:vAlign w:val="center"/>
          </w:tcPr>
          <w:p w14:paraId="5728C392">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943" w:type="dxa"/>
            <w:vAlign w:val="center"/>
          </w:tcPr>
          <w:p w14:paraId="5174666D">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0</w:t>
            </w:r>
          </w:p>
        </w:tc>
        <w:tc>
          <w:tcPr>
            <w:tcW w:w="832" w:type="dxa"/>
            <w:vAlign w:val="center"/>
          </w:tcPr>
          <w:p w14:paraId="2F6508E0">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把</w:t>
            </w:r>
          </w:p>
        </w:tc>
        <w:tc>
          <w:tcPr>
            <w:tcW w:w="1537" w:type="dxa"/>
            <w:vAlign w:val="center"/>
          </w:tcPr>
          <w:p w14:paraId="7045D738">
            <w:pPr>
              <w:widowControl/>
              <w:adjustRightInd/>
              <w:jc w:val="center"/>
              <w:rPr>
                <w:rFonts w:hint="eastAsia" w:ascii="宋体" w:hAnsi="宋体" w:eastAsia="宋体" w:cs="宋体"/>
                <w:color w:val="auto"/>
                <w:kern w:val="0"/>
                <w:sz w:val="24"/>
                <w:szCs w:val="24"/>
                <w:highlight w:val="none"/>
              </w:rPr>
            </w:pPr>
          </w:p>
        </w:tc>
      </w:tr>
      <w:tr w14:paraId="74798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6F226EE8">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0CE4D8F8">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w:t>
            </w:r>
          </w:p>
        </w:tc>
        <w:tc>
          <w:tcPr>
            <w:tcW w:w="1351" w:type="dxa"/>
            <w:vAlign w:val="center"/>
          </w:tcPr>
          <w:p w14:paraId="4A9FC1B7">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消防面罩</w:t>
            </w:r>
          </w:p>
        </w:tc>
        <w:tc>
          <w:tcPr>
            <w:tcW w:w="2059" w:type="dxa"/>
            <w:vAlign w:val="center"/>
          </w:tcPr>
          <w:p w14:paraId="305F9AD9">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符合国家、行业标准</w:t>
            </w:r>
          </w:p>
        </w:tc>
        <w:tc>
          <w:tcPr>
            <w:tcW w:w="870" w:type="dxa"/>
            <w:vAlign w:val="center"/>
          </w:tcPr>
          <w:p w14:paraId="042BCFB9">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943" w:type="dxa"/>
            <w:vAlign w:val="center"/>
          </w:tcPr>
          <w:p w14:paraId="0EB16CD7">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0</w:t>
            </w:r>
          </w:p>
        </w:tc>
        <w:tc>
          <w:tcPr>
            <w:tcW w:w="832" w:type="dxa"/>
            <w:vAlign w:val="center"/>
          </w:tcPr>
          <w:p w14:paraId="79068A90">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537" w:type="dxa"/>
            <w:vAlign w:val="center"/>
          </w:tcPr>
          <w:p w14:paraId="1AD4F235">
            <w:pPr>
              <w:widowControl/>
              <w:adjustRightInd/>
              <w:jc w:val="center"/>
              <w:rPr>
                <w:rFonts w:hint="eastAsia" w:ascii="宋体" w:hAnsi="宋体" w:eastAsia="宋体" w:cs="宋体"/>
                <w:color w:val="auto"/>
                <w:kern w:val="0"/>
                <w:sz w:val="24"/>
                <w:szCs w:val="24"/>
                <w:highlight w:val="none"/>
              </w:rPr>
            </w:pPr>
          </w:p>
        </w:tc>
      </w:tr>
      <w:tr w14:paraId="4933F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12F45F64">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6BA7E0B5">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21</w:t>
            </w:r>
          </w:p>
        </w:tc>
        <w:tc>
          <w:tcPr>
            <w:tcW w:w="1351" w:type="dxa"/>
            <w:vAlign w:val="center"/>
          </w:tcPr>
          <w:p w14:paraId="3A4EE9D4">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消防服</w:t>
            </w:r>
          </w:p>
        </w:tc>
        <w:tc>
          <w:tcPr>
            <w:tcW w:w="2059" w:type="dxa"/>
            <w:vAlign w:val="center"/>
          </w:tcPr>
          <w:p w14:paraId="23A68671">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符合国家、行业标准</w:t>
            </w:r>
          </w:p>
        </w:tc>
        <w:tc>
          <w:tcPr>
            <w:tcW w:w="870" w:type="dxa"/>
            <w:vAlign w:val="center"/>
          </w:tcPr>
          <w:p w14:paraId="73801C48">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943" w:type="dxa"/>
            <w:vAlign w:val="center"/>
          </w:tcPr>
          <w:p w14:paraId="1362C7A5">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0</w:t>
            </w:r>
          </w:p>
        </w:tc>
        <w:tc>
          <w:tcPr>
            <w:tcW w:w="832" w:type="dxa"/>
            <w:vAlign w:val="center"/>
          </w:tcPr>
          <w:p w14:paraId="29868B35">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件</w:t>
            </w:r>
          </w:p>
        </w:tc>
        <w:tc>
          <w:tcPr>
            <w:tcW w:w="1537" w:type="dxa"/>
            <w:vAlign w:val="center"/>
          </w:tcPr>
          <w:p w14:paraId="6D8B06DE">
            <w:pPr>
              <w:widowControl/>
              <w:adjustRightInd/>
              <w:jc w:val="center"/>
              <w:rPr>
                <w:rFonts w:hint="eastAsia" w:ascii="宋体" w:hAnsi="宋体" w:eastAsia="宋体" w:cs="宋体"/>
                <w:color w:val="auto"/>
                <w:kern w:val="0"/>
                <w:sz w:val="24"/>
                <w:szCs w:val="24"/>
                <w:highlight w:val="none"/>
              </w:rPr>
            </w:pPr>
          </w:p>
        </w:tc>
      </w:tr>
      <w:tr w14:paraId="5AAED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2F8A0E9E">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385BE79D">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22</w:t>
            </w:r>
          </w:p>
        </w:tc>
        <w:tc>
          <w:tcPr>
            <w:tcW w:w="1351" w:type="dxa"/>
            <w:vAlign w:val="center"/>
          </w:tcPr>
          <w:p w14:paraId="51DFFB37">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消防管</w:t>
            </w:r>
          </w:p>
        </w:tc>
        <w:tc>
          <w:tcPr>
            <w:tcW w:w="2059" w:type="dxa"/>
            <w:vAlign w:val="center"/>
          </w:tcPr>
          <w:p w14:paraId="25A8D3D5">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符合国家、行业标准</w:t>
            </w:r>
          </w:p>
        </w:tc>
        <w:tc>
          <w:tcPr>
            <w:tcW w:w="870" w:type="dxa"/>
            <w:vAlign w:val="center"/>
          </w:tcPr>
          <w:p w14:paraId="0A97054B">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943" w:type="dxa"/>
            <w:vAlign w:val="center"/>
          </w:tcPr>
          <w:p w14:paraId="372AC3DC">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0</w:t>
            </w:r>
          </w:p>
        </w:tc>
        <w:tc>
          <w:tcPr>
            <w:tcW w:w="832" w:type="dxa"/>
            <w:vAlign w:val="center"/>
          </w:tcPr>
          <w:p w14:paraId="6CB4D3A0">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卷</w:t>
            </w:r>
          </w:p>
        </w:tc>
        <w:tc>
          <w:tcPr>
            <w:tcW w:w="1537" w:type="dxa"/>
            <w:vAlign w:val="center"/>
          </w:tcPr>
          <w:p w14:paraId="2A1F8650">
            <w:pPr>
              <w:widowControl/>
              <w:adjustRightInd/>
              <w:jc w:val="center"/>
              <w:rPr>
                <w:rFonts w:hint="eastAsia" w:ascii="宋体" w:hAnsi="宋体" w:eastAsia="宋体" w:cs="宋体"/>
                <w:color w:val="auto"/>
                <w:kern w:val="0"/>
                <w:sz w:val="24"/>
                <w:szCs w:val="24"/>
                <w:highlight w:val="none"/>
              </w:rPr>
            </w:pPr>
          </w:p>
        </w:tc>
      </w:tr>
      <w:tr w14:paraId="5B4C6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64A4638F">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26970EA9">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23</w:t>
            </w:r>
          </w:p>
        </w:tc>
        <w:tc>
          <w:tcPr>
            <w:tcW w:w="1351" w:type="dxa"/>
            <w:vAlign w:val="center"/>
          </w:tcPr>
          <w:p w14:paraId="57E12CED">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防爆柜</w:t>
            </w:r>
          </w:p>
        </w:tc>
        <w:tc>
          <w:tcPr>
            <w:tcW w:w="2059" w:type="dxa"/>
            <w:vAlign w:val="center"/>
          </w:tcPr>
          <w:p w14:paraId="20A2AB9F">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符合国家、行业标准</w:t>
            </w:r>
          </w:p>
        </w:tc>
        <w:tc>
          <w:tcPr>
            <w:tcW w:w="870" w:type="dxa"/>
            <w:vAlign w:val="center"/>
          </w:tcPr>
          <w:p w14:paraId="581F50AC">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943" w:type="dxa"/>
            <w:vAlign w:val="center"/>
          </w:tcPr>
          <w:p w14:paraId="5F182F37">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0</w:t>
            </w:r>
          </w:p>
        </w:tc>
        <w:tc>
          <w:tcPr>
            <w:tcW w:w="832" w:type="dxa"/>
            <w:vAlign w:val="center"/>
          </w:tcPr>
          <w:p w14:paraId="78D3327C">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537" w:type="dxa"/>
            <w:vAlign w:val="center"/>
          </w:tcPr>
          <w:p w14:paraId="2C1C85AF">
            <w:pPr>
              <w:widowControl/>
              <w:adjustRightInd/>
              <w:jc w:val="center"/>
              <w:rPr>
                <w:rFonts w:hint="eastAsia" w:ascii="宋体" w:hAnsi="宋体" w:eastAsia="宋体" w:cs="宋体"/>
                <w:color w:val="auto"/>
                <w:kern w:val="0"/>
                <w:sz w:val="24"/>
                <w:szCs w:val="24"/>
                <w:highlight w:val="none"/>
              </w:rPr>
            </w:pPr>
          </w:p>
        </w:tc>
      </w:tr>
      <w:tr w14:paraId="0733C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42DA2FFB">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45CB93D0">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24</w:t>
            </w:r>
          </w:p>
        </w:tc>
        <w:tc>
          <w:tcPr>
            <w:tcW w:w="1351" w:type="dxa"/>
            <w:vAlign w:val="center"/>
          </w:tcPr>
          <w:p w14:paraId="0F271DEE">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防爆盾牌</w:t>
            </w:r>
          </w:p>
        </w:tc>
        <w:tc>
          <w:tcPr>
            <w:tcW w:w="2059" w:type="dxa"/>
            <w:vAlign w:val="center"/>
          </w:tcPr>
          <w:p w14:paraId="3BDF2689">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符合国家、行业标准</w:t>
            </w:r>
          </w:p>
        </w:tc>
        <w:tc>
          <w:tcPr>
            <w:tcW w:w="870" w:type="dxa"/>
            <w:vAlign w:val="center"/>
          </w:tcPr>
          <w:p w14:paraId="74153B40">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943" w:type="dxa"/>
            <w:vAlign w:val="center"/>
          </w:tcPr>
          <w:p w14:paraId="692BCFA5">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0</w:t>
            </w:r>
          </w:p>
        </w:tc>
        <w:tc>
          <w:tcPr>
            <w:tcW w:w="832" w:type="dxa"/>
            <w:vAlign w:val="center"/>
          </w:tcPr>
          <w:p w14:paraId="0A6D02AA">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537" w:type="dxa"/>
            <w:vAlign w:val="center"/>
          </w:tcPr>
          <w:p w14:paraId="055DADE7">
            <w:pPr>
              <w:widowControl/>
              <w:adjustRightInd/>
              <w:jc w:val="center"/>
              <w:rPr>
                <w:rFonts w:hint="eastAsia" w:ascii="宋体" w:hAnsi="宋体" w:eastAsia="宋体" w:cs="宋体"/>
                <w:color w:val="auto"/>
                <w:kern w:val="0"/>
                <w:sz w:val="24"/>
                <w:szCs w:val="24"/>
                <w:highlight w:val="none"/>
              </w:rPr>
            </w:pPr>
          </w:p>
        </w:tc>
      </w:tr>
      <w:tr w14:paraId="7721C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66050B85">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1931595F">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25</w:t>
            </w:r>
          </w:p>
        </w:tc>
        <w:tc>
          <w:tcPr>
            <w:tcW w:w="1351" w:type="dxa"/>
            <w:vAlign w:val="center"/>
          </w:tcPr>
          <w:p w14:paraId="305B8F54">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钢叉</w:t>
            </w:r>
          </w:p>
        </w:tc>
        <w:tc>
          <w:tcPr>
            <w:tcW w:w="2059" w:type="dxa"/>
            <w:vAlign w:val="center"/>
          </w:tcPr>
          <w:p w14:paraId="60D0F69D">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符合国家、行业标准</w:t>
            </w:r>
          </w:p>
        </w:tc>
        <w:tc>
          <w:tcPr>
            <w:tcW w:w="870" w:type="dxa"/>
            <w:vAlign w:val="center"/>
          </w:tcPr>
          <w:p w14:paraId="0E18CBD8">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943" w:type="dxa"/>
            <w:vAlign w:val="center"/>
          </w:tcPr>
          <w:p w14:paraId="7277BF82">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0</w:t>
            </w:r>
          </w:p>
        </w:tc>
        <w:tc>
          <w:tcPr>
            <w:tcW w:w="832" w:type="dxa"/>
            <w:vAlign w:val="center"/>
          </w:tcPr>
          <w:p w14:paraId="7AA5ADF9">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537" w:type="dxa"/>
            <w:vAlign w:val="center"/>
          </w:tcPr>
          <w:p w14:paraId="30231E4E">
            <w:pPr>
              <w:widowControl/>
              <w:adjustRightInd/>
              <w:jc w:val="center"/>
              <w:rPr>
                <w:rFonts w:hint="eastAsia" w:ascii="宋体" w:hAnsi="宋体" w:eastAsia="宋体" w:cs="宋体"/>
                <w:color w:val="auto"/>
                <w:kern w:val="0"/>
                <w:sz w:val="24"/>
                <w:szCs w:val="24"/>
                <w:highlight w:val="none"/>
              </w:rPr>
            </w:pPr>
          </w:p>
        </w:tc>
      </w:tr>
      <w:tr w14:paraId="497EB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3A639BDB">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197A015C">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26</w:t>
            </w:r>
          </w:p>
        </w:tc>
        <w:tc>
          <w:tcPr>
            <w:tcW w:w="1351" w:type="dxa"/>
            <w:vAlign w:val="center"/>
          </w:tcPr>
          <w:p w14:paraId="19E3389C">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防刺服</w:t>
            </w:r>
          </w:p>
        </w:tc>
        <w:tc>
          <w:tcPr>
            <w:tcW w:w="2059" w:type="dxa"/>
            <w:vAlign w:val="center"/>
          </w:tcPr>
          <w:p w14:paraId="72744D2C">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符合国家、行业标准</w:t>
            </w:r>
          </w:p>
        </w:tc>
        <w:tc>
          <w:tcPr>
            <w:tcW w:w="870" w:type="dxa"/>
            <w:vAlign w:val="center"/>
          </w:tcPr>
          <w:p w14:paraId="24DAD021">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943" w:type="dxa"/>
            <w:vAlign w:val="center"/>
          </w:tcPr>
          <w:p w14:paraId="6FFB7D9C">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0</w:t>
            </w:r>
          </w:p>
        </w:tc>
        <w:tc>
          <w:tcPr>
            <w:tcW w:w="832" w:type="dxa"/>
            <w:vAlign w:val="center"/>
          </w:tcPr>
          <w:p w14:paraId="522B759F">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套</w:t>
            </w:r>
          </w:p>
        </w:tc>
        <w:tc>
          <w:tcPr>
            <w:tcW w:w="1537" w:type="dxa"/>
            <w:vAlign w:val="center"/>
          </w:tcPr>
          <w:p w14:paraId="31E1882D">
            <w:pPr>
              <w:widowControl/>
              <w:adjustRightInd/>
              <w:jc w:val="center"/>
              <w:rPr>
                <w:rFonts w:hint="eastAsia" w:ascii="宋体" w:hAnsi="宋体" w:eastAsia="宋体" w:cs="宋体"/>
                <w:color w:val="auto"/>
                <w:kern w:val="0"/>
                <w:sz w:val="24"/>
                <w:szCs w:val="24"/>
                <w:highlight w:val="none"/>
              </w:rPr>
            </w:pPr>
          </w:p>
        </w:tc>
      </w:tr>
      <w:tr w14:paraId="681A1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5D924596">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128536AC">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27</w:t>
            </w:r>
          </w:p>
        </w:tc>
        <w:tc>
          <w:tcPr>
            <w:tcW w:w="1351" w:type="dxa"/>
            <w:vAlign w:val="center"/>
          </w:tcPr>
          <w:p w14:paraId="7D3B1E47">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防爆头盔</w:t>
            </w:r>
          </w:p>
        </w:tc>
        <w:tc>
          <w:tcPr>
            <w:tcW w:w="2059" w:type="dxa"/>
            <w:vAlign w:val="center"/>
          </w:tcPr>
          <w:p w14:paraId="37EA5C66">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符合国家、行业标准</w:t>
            </w:r>
          </w:p>
        </w:tc>
        <w:tc>
          <w:tcPr>
            <w:tcW w:w="870" w:type="dxa"/>
            <w:vAlign w:val="center"/>
          </w:tcPr>
          <w:p w14:paraId="109B7DE8">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w:t>
            </w:r>
          </w:p>
        </w:tc>
        <w:tc>
          <w:tcPr>
            <w:tcW w:w="943" w:type="dxa"/>
            <w:vAlign w:val="center"/>
          </w:tcPr>
          <w:p w14:paraId="0A6B2519">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0</w:t>
            </w:r>
          </w:p>
        </w:tc>
        <w:tc>
          <w:tcPr>
            <w:tcW w:w="832" w:type="dxa"/>
            <w:vAlign w:val="center"/>
          </w:tcPr>
          <w:p w14:paraId="2A27B079">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537" w:type="dxa"/>
            <w:vAlign w:val="center"/>
          </w:tcPr>
          <w:p w14:paraId="082B7B80">
            <w:pPr>
              <w:widowControl/>
              <w:adjustRightInd/>
              <w:jc w:val="center"/>
              <w:rPr>
                <w:rFonts w:hint="eastAsia" w:ascii="宋体" w:hAnsi="宋体" w:eastAsia="宋体" w:cs="宋体"/>
                <w:color w:val="auto"/>
                <w:kern w:val="0"/>
                <w:sz w:val="24"/>
                <w:szCs w:val="24"/>
                <w:highlight w:val="none"/>
              </w:rPr>
            </w:pPr>
          </w:p>
        </w:tc>
      </w:tr>
      <w:tr w14:paraId="15E2B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2093845D">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7EF2769B">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28</w:t>
            </w:r>
          </w:p>
        </w:tc>
        <w:tc>
          <w:tcPr>
            <w:tcW w:w="1351" w:type="dxa"/>
            <w:vAlign w:val="center"/>
          </w:tcPr>
          <w:p w14:paraId="7811F9D6">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捕狗网</w:t>
            </w:r>
          </w:p>
        </w:tc>
        <w:tc>
          <w:tcPr>
            <w:tcW w:w="2059" w:type="dxa"/>
            <w:vAlign w:val="center"/>
          </w:tcPr>
          <w:p w14:paraId="04848A8A">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符合国家、行业标准</w:t>
            </w:r>
          </w:p>
        </w:tc>
        <w:tc>
          <w:tcPr>
            <w:tcW w:w="870" w:type="dxa"/>
            <w:vAlign w:val="center"/>
          </w:tcPr>
          <w:p w14:paraId="6F2EA6F1">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943" w:type="dxa"/>
            <w:vAlign w:val="center"/>
          </w:tcPr>
          <w:p w14:paraId="74BA0F18">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0</w:t>
            </w:r>
          </w:p>
        </w:tc>
        <w:tc>
          <w:tcPr>
            <w:tcW w:w="832" w:type="dxa"/>
            <w:vAlign w:val="center"/>
          </w:tcPr>
          <w:p w14:paraId="21630293">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537" w:type="dxa"/>
            <w:vAlign w:val="center"/>
          </w:tcPr>
          <w:p w14:paraId="624CB3BD">
            <w:pPr>
              <w:widowControl/>
              <w:adjustRightInd/>
              <w:jc w:val="center"/>
              <w:rPr>
                <w:rFonts w:hint="eastAsia" w:ascii="宋体" w:hAnsi="宋体" w:eastAsia="宋体" w:cs="宋体"/>
                <w:color w:val="auto"/>
                <w:kern w:val="0"/>
                <w:sz w:val="24"/>
                <w:szCs w:val="24"/>
                <w:highlight w:val="none"/>
              </w:rPr>
            </w:pPr>
          </w:p>
        </w:tc>
      </w:tr>
      <w:tr w14:paraId="74AF4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4E00F1F0">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647749B1">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29</w:t>
            </w:r>
          </w:p>
        </w:tc>
        <w:tc>
          <w:tcPr>
            <w:tcW w:w="1351" w:type="dxa"/>
            <w:vAlign w:val="center"/>
          </w:tcPr>
          <w:p w14:paraId="54DA5D95">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心肺复苏假人</w:t>
            </w:r>
          </w:p>
        </w:tc>
        <w:tc>
          <w:tcPr>
            <w:tcW w:w="2059" w:type="dxa"/>
            <w:vAlign w:val="center"/>
          </w:tcPr>
          <w:p w14:paraId="51CCC57A">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符合国家、行业标准</w:t>
            </w:r>
          </w:p>
        </w:tc>
        <w:tc>
          <w:tcPr>
            <w:tcW w:w="870" w:type="dxa"/>
            <w:vAlign w:val="center"/>
          </w:tcPr>
          <w:p w14:paraId="5D147FB0">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943" w:type="dxa"/>
            <w:vAlign w:val="center"/>
          </w:tcPr>
          <w:p w14:paraId="4E1C0355">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0</w:t>
            </w:r>
          </w:p>
        </w:tc>
        <w:tc>
          <w:tcPr>
            <w:tcW w:w="832" w:type="dxa"/>
            <w:vAlign w:val="center"/>
          </w:tcPr>
          <w:p w14:paraId="4C46783C">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537" w:type="dxa"/>
            <w:vAlign w:val="center"/>
          </w:tcPr>
          <w:p w14:paraId="7ED1EEBD">
            <w:pPr>
              <w:widowControl/>
              <w:adjustRightInd/>
              <w:jc w:val="center"/>
              <w:rPr>
                <w:rFonts w:hint="eastAsia" w:ascii="宋体" w:hAnsi="宋体" w:eastAsia="宋体" w:cs="宋体"/>
                <w:color w:val="auto"/>
                <w:kern w:val="0"/>
                <w:sz w:val="24"/>
                <w:szCs w:val="24"/>
                <w:highlight w:val="none"/>
              </w:rPr>
            </w:pPr>
          </w:p>
        </w:tc>
      </w:tr>
      <w:tr w14:paraId="64A8F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1E4E8BBC">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0FD199BB">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30</w:t>
            </w:r>
          </w:p>
        </w:tc>
        <w:tc>
          <w:tcPr>
            <w:tcW w:w="1351" w:type="dxa"/>
            <w:vAlign w:val="center"/>
          </w:tcPr>
          <w:p w14:paraId="5262980E">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应急药品</w:t>
            </w:r>
          </w:p>
        </w:tc>
        <w:tc>
          <w:tcPr>
            <w:tcW w:w="2059" w:type="dxa"/>
            <w:vAlign w:val="center"/>
          </w:tcPr>
          <w:p w14:paraId="62707B71">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包含日常应急使用药品</w:t>
            </w:r>
          </w:p>
        </w:tc>
        <w:tc>
          <w:tcPr>
            <w:tcW w:w="870" w:type="dxa"/>
            <w:vAlign w:val="center"/>
          </w:tcPr>
          <w:p w14:paraId="374D6F34">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c>
          <w:tcPr>
            <w:tcW w:w="943" w:type="dxa"/>
            <w:vAlign w:val="center"/>
          </w:tcPr>
          <w:p w14:paraId="3B37A802">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0</w:t>
            </w:r>
          </w:p>
        </w:tc>
        <w:tc>
          <w:tcPr>
            <w:tcW w:w="832" w:type="dxa"/>
            <w:vAlign w:val="center"/>
          </w:tcPr>
          <w:p w14:paraId="2342FA12">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套</w:t>
            </w:r>
          </w:p>
        </w:tc>
        <w:tc>
          <w:tcPr>
            <w:tcW w:w="1537" w:type="dxa"/>
            <w:vAlign w:val="center"/>
          </w:tcPr>
          <w:p w14:paraId="51960B2A">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伤口简易包扎</w:t>
            </w:r>
          </w:p>
        </w:tc>
      </w:tr>
      <w:tr w14:paraId="440E0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4D43F9F5">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76042EF6">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31</w:t>
            </w:r>
          </w:p>
        </w:tc>
        <w:tc>
          <w:tcPr>
            <w:tcW w:w="1351" w:type="dxa"/>
            <w:vAlign w:val="center"/>
          </w:tcPr>
          <w:p w14:paraId="6A72F244">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规章制度牌</w:t>
            </w:r>
          </w:p>
        </w:tc>
        <w:tc>
          <w:tcPr>
            <w:tcW w:w="2059" w:type="dxa"/>
            <w:vAlign w:val="center"/>
          </w:tcPr>
          <w:p w14:paraId="7D0D2C0F">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符合国家、行业标准</w:t>
            </w:r>
          </w:p>
        </w:tc>
        <w:tc>
          <w:tcPr>
            <w:tcW w:w="870" w:type="dxa"/>
            <w:vAlign w:val="center"/>
          </w:tcPr>
          <w:p w14:paraId="5CB331FB">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943" w:type="dxa"/>
            <w:vAlign w:val="center"/>
          </w:tcPr>
          <w:p w14:paraId="076BF7BB">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0</w:t>
            </w:r>
          </w:p>
        </w:tc>
        <w:tc>
          <w:tcPr>
            <w:tcW w:w="832" w:type="dxa"/>
            <w:vAlign w:val="center"/>
          </w:tcPr>
          <w:p w14:paraId="27CC411A">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块</w:t>
            </w:r>
          </w:p>
        </w:tc>
        <w:tc>
          <w:tcPr>
            <w:tcW w:w="1537" w:type="dxa"/>
            <w:vAlign w:val="center"/>
          </w:tcPr>
          <w:p w14:paraId="372240DD">
            <w:pPr>
              <w:widowControl/>
              <w:adjustRightInd/>
              <w:jc w:val="center"/>
              <w:rPr>
                <w:rFonts w:hint="eastAsia" w:ascii="宋体" w:hAnsi="宋体" w:eastAsia="宋体" w:cs="宋体"/>
                <w:color w:val="auto"/>
                <w:kern w:val="0"/>
                <w:sz w:val="24"/>
                <w:szCs w:val="24"/>
                <w:highlight w:val="none"/>
              </w:rPr>
            </w:pPr>
          </w:p>
        </w:tc>
      </w:tr>
      <w:tr w14:paraId="7329B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0" w:type="dxa"/>
            <w:vMerge w:val="continue"/>
            <w:vAlign w:val="center"/>
          </w:tcPr>
          <w:p w14:paraId="7588F075">
            <w:pPr>
              <w:widowControl/>
              <w:adjustRightInd/>
              <w:jc w:val="left"/>
              <w:rPr>
                <w:rFonts w:hint="eastAsia" w:ascii="宋体" w:hAnsi="宋体" w:eastAsia="宋体" w:cs="宋体"/>
                <w:b/>
                <w:bCs/>
                <w:color w:val="auto"/>
                <w:kern w:val="0"/>
                <w:sz w:val="24"/>
                <w:szCs w:val="24"/>
                <w:highlight w:val="none"/>
              </w:rPr>
            </w:pPr>
          </w:p>
        </w:tc>
        <w:tc>
          <w:tcPr>
            <w:tcW w:w="685" w:type="dxa"/>
            <w:vAlign w:val="center"/>
          </w:tcPr>
          <w:p w14:paraId="695403AF">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32</w:t>
            </w:r>
          </w:p>
        </w:tc>
        <w:tc>
          <w:tcPr>
            <w:tcW w:w="1351" w:type="dxa"/>
            <w:vAlign w:val="center"/>
          </w:tcPr>
          <w:p w14:paraId="19283EAA">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文件柜</w:t>
            </w:r>
          </w:p>
        </w:tc>
        <w:tc>
          <w:tcPr>
            <w:tcW w:w="2059" w:type="dxa"/>
            <w:vAlign w:val="center"/>
          </w:tcPr>
          <w:p w14:paraId="0562A023">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符合国家、行业标准</w:t>
            </w:r>
          </w:p>
        </w:tc>
        <w:tc>
          <w:tcPr>
            <w:tcW w:w="870" w:type="dxa"/>
            <w:vAlign w:val="center"/>
          </w:tcPr>
          <w:p w14:paraId="62520E89">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943" w:type="dxa"/>
            <w:vAlign w:val="center"/>
          </w:tcPr>
          <w:p w14:paraId="507F2997">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0</w:t>
            </w:r>
          </w:p>
        </w:tc>
        <w:tc>
          <w:tcPr>
            <w:tcW w:w="832" w:type="dxa"/>
            <w:vAlign w:val="center"/>
          </w:tcPr>
          <w:p w14:paraId="3E0DF810">
            <w:pPr>
              <w:widowControl/>
              <w:adjustRightIn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537" w:type="dxa"/>
            <w:vAlign w:val="center"/>
          </w:tcPr>
          <w:p w14:paraId="783B0CF0">
            <w:pPr>
              <w:widowControl/>
              <w:adjustRightInd/>
              <w:jc w:val="center"/>
              <w:rPr>
                <w:rFonts w:hint="eastAsia" w:ascii="宋体" w:hAnsi="宋体" w:eastAsia="宋体" w:cs="宋体"/>
                <w:color w:val="auto"/>
                <w:kern w:val="0"/>
                <w:sz w:val="24"/>
                <w:szCs w:val="24"/>
                <w:highlight w:val="none"/>
              </w:rPr>
            </w:pPr>
          </w:p>
        </w:tc>
      </w:tr>
      <w:tr w14:paraId="5379E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485" w:type="dxa"/>
            <w:gridSpan w:val="2"/>
            <w:vAlign w:val="center"/>
          </w:tcPr>
          <w:p w14:paraId="36265F31">
            <w:pPr>
              <w:widowControl/>
              <w:adjustRightInd/>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管理要求</w:t>
            </w:r>
          </w:p>
        </w:tc>
        <w:tc>
          <w:tcPr>
            <w:tcW w:w="7592" w:type="dxa"/>
            <w:gridSpan w:val="6"/>
          </w:tcPr>
          <w:p w14:paraId="2DE0AAB3">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1.产品必须“三证齐全”。</w:t>
            </w:r>
          </w:p>
          <w:p w14:paraId="3FDD5851">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2.物资的数量、品种和质量须公园确认。</w:t>
            </w:r>
          </w:p>
          <w:p w14:paraId="5AF6B1B7">
            <w:pPr>
              <w:widowControl/>
              <w:adjustRightInd/>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3.以上为公园仓库库存的最低数量，</w:t>
            </w:r>
            <w:r>
              <w:rPr>
                <w:rFonts w:hint="eastAsia" w:ascii="宋体" w:hAnsi="宋体" w:eastAsia="宋体" w:cs="宋体"/>
                <w:color w:val="auto"/>
                <w:kern w:val="0"/>
                <w:sz w:val="24"/>
                <w:szCs w:val="24"/>
                <w:highlight w:val="none"/>
                <w:lang w:eastAsia="zh-CN"/>
              </w:rPr>
              <w:t>中标人</w:t>
            </w:r>
            <w:r>
              <w:rPr>
                <w:rFonts w:hint="eastAsia" w:ascii="宋体" w:hAnsi="宋体" w:eastAsia="宋体" w:cs="宋体"/>
                <w:color w:val="auto"/>
                <w:kern w:val="0"/>
                <w:sz w:val="24"/>
                <w:szCs w:val="24"/>
                <w:highlight w:val="none"/>
              </w:rPr>
              <w:t>需定期检查、盘点，及时按公园要求补充消耗、过期或失效的物资。</w:t>
            </w:r>
          </w:p>
        </w:tc>
      </w:tr>
    </w:tbl>
    <w:p w14:paraId="0C9AA8AD">
      <w:pPr>
        <w:widowControl/>
        <w:numPr>
          <w:ilvl w:val="0"/>
          <w:numId w:val="6"/>
        </w:numPr>
        <w:tabs>
          <w:tab w:val="left" w:pos="851"/>
        </w:tabs>
        <w:adjustRightInd/>
        <w:spacing w:line="360" w:lineRule="auto"/>
        <w:ind w:firstLine="480" w:firstLineChars="200"/>
        <w:rPr>
          <w:rFonts w:hint="default" w:ascii="宋体" w:hAnsi="宋体" w:eastAsia="宋体" w:cs="宋体"/>
          <w:b/>
          <w:bCs w:val="0"/>
          <w:color w:val="auto"/>
          <w:kern w:val="0"/>
          <w:sz w:val="24"/>
          <w:highlight w:val="none"/>
          <w:lang w:val="en-US" w:eastAsia="zh-CN"/>
        </w:rPr>
      </w:pPr>
      <w:r>
        <w:rPr>
          <w:rFonts w:hint="default" w:ascii="宋体" w:hAnsi="宋体" w:eastAsia="宋体" w:cs="宋体"/>
          <w:b/>
          <w:bCs w:val="0"/>
          <w:color w:val="auto"/>
          <w:kern w:val="0"/>
          <w:sz w:val="24"/>
          <w:highlight w:val="none"/>
          <w:lang w:val="en-US" w:eastAsia="zh-CN"/>
        </w:rPr>
        <w:t>青林湾公园</w:t>
      </w:r>
    </w:p>
    <w:tbl>
      <w:tblPr>
        <w:tblStyle w:val="62"/>
        <w:tblW w:w="95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719"/>
        <w:gridCol w:w="1419"/>
        <w:gridCol w:w="2271"/>
        <w:gridCol w:w="982"/>
        <w:gridCol w:w="1132"/>
        <w:gridCol w:w="477"/>
        <w:gridCol w:w="1696"/>
      </w:tblGrid>
      <w:tr w14:paraId="2EC99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40" w:type="dxa"/>
            <w:vAlign w:val="center"/>
          </w:tcPr>
          <w:p w14:paraId="4D62767D">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类别</w:t>
            </w:r>
          </w:p>
        </w:tc>
        <w:tc>
          <w:tcPr>
            <w:tcW w:w="719" w:type="dxa"/>
            <w:vAlign w:val="center"/>
          </w:tcPr>
          <w:p w14:paraId="0EB7A5FC">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序号</w:t>
            </w:r>
          </w:p>
        </w:tc>
        <w:tc>
          <w:tcPr>
            <w:tcW w:w="1419" w:type="dxa"/>
            <w:vAlign w:val="center"/>
          </w:tcPr>
          <w:p w14:paraId="10B621DD">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名称</w:t>
            </w:r>
          </w:p>
        </w:tc>
        <w:tc>
          <w:tcPr>
            <w:tcW w:w="2271" w:type="dxa"/>
            <w:vAlign w:val="center"/>
          </w:tcPr>
          <w:p w14:paraId="7A3C0AFF">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主要技术参数</w:t>
            </w:r>
          </w:p>
        </w:tc>
        <w:tc>
          <w:tcPr>
            <w:tcW w:w="982" w:type="dxa"/>
            <w:vAlign w:val="center"/>
          </w:tcPr>
          <w:p w14:paraId="61FCE5F7">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最低数量要求</w:t>
            </w:r>
          </w:p>
        </w:tc>
        <w:tc>
          <w:tcPr>
            <w:tcW w:w="1132" w:type="dxa"/>
            <w:vAlign w:val="center"/>
          </w:tcPr>
          <w:p w14:paraId="064CF0CB">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仓库现存数量</w:t>
            </w:r>
          </w:p>
        </w:tc>
        <w:tc>
          <w:tcPr>
            <w:tcW w:w="477" w:type="dxa"/>
            <w:vAlign w:val="center"/>
          </w:tcPr>
          <w:p w14:paraId="57452AF3">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单位</w:t>
            </w:r>
          </w:p>
        </w:tc>
        <w:tc>
          <w:tcPr>
            <w:tcW w:w="1696" w:type="dxa"/>
            <w:vAlign w:val="center"/>
          </w:tcPr>
          <w:p w14:paraId="1F30F104">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备注</w:t>
            </w:r>
          </w:p>
        </w:tc>
      </w:tr>
      <w:tr w14:paraId="0940C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40" w:type="dxa"/>
            <w:vMerge w:val="restart"/>
            <w:vAlign w:val="center"/>
          </w:tcPr>
          <w:p w14:paraId="72227BE6">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安全生产物资</w:t>
            </w:r>
          </w:p>
        </w:tc>
        <w:tc>
          <w:tcPr>
            <w:tcW w:w="719" w:type="dxa"/>
            <w:vAlign w:val="center"/>
          </w:tcPr>
          <w:p w14:paraId="6825CB83">
            <w:pPr>
              <w:numPr>
                <w:ilvl w:val="0"/>
                <w:numId w:val="7"/>
              </w:numPr>
              <w:ind w:left="454" w:hanging="454"/>
              <w:jc w:val="center"/>
              <w:rPr>
                <w:rFonts w:hint="eastAsia" w:ascii="宋体" w:hAnsi="宋体" w:eastAsia="宋体" w:cs="宋体"/>
                <w:color w:val="auto"/>
                <w:kern w:val="0"/>
                <w:sz w:val="24"/>
                <w:szCs w:val="24"/>
                <w:highlight w:val="none"/>
              </w:rPr>
            </w:pPr>
          </w:p>
        </w:tc>
        <w:tc>
          <w:tcPr>
            <w:tcW w:w="1419" w:type="dxa"/>
            <w:vAlign w:val="center"/>
          </w:tcPr>
          <w:p w14:paraId="47E44CBC">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简易不锈钢移动栏杆</w:t>
            </w:r>
          </w:p>
        </w:tc>
        <w:tc>
          <w:tcPr>
            <w:tcW w:w="2271" w:type="dxa"/>
            <w:vAlign w:val="center"/>
          </w:tcPr>
          <w:p w14:paraId="1BB374A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符合国家、行业标准</w:t>
            </w:r>
          </w:p>
        </w:tc>
        <w:tc>
          <w:tcPr>
            <w:tcW w:w="982" w:type="dxa"/>
            <w:vAlign w:val="center"/>
          </w:tcPr>
          <w:p w14:paraId="62A6415C">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100</w:t>
            </w:r>
          </w:p>
        </w:tc>
        <w:tc>
          <w:tcPr>
            <w:tcW w:w="1132" w:type="dxa"/>
            <w:vAlign w:val="center"/>
          </w:tcPr>
          <w:p w14:paraId="22127D01">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7AF51AA4">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米</w:t>
            </w:r>
          </w:p>
        </w:tc>
        <w:tc>
          <w:tcPr>
            <w:tcW w:w="1696" w:type="dxa"/>
            <w:vAlign w:val="center"/>
          </w:tcPr>
          <w:p w14:paraId="3E020887">
            <w:pPr>
              <w:jc w:val="center"/>
              <w:rPr>
                <w:rFonts w:hint="eastAsia" w:ascii="宋体" w:hAnsi="宋体" w:eastAsia="宋体" w:cs="宋体"/>
                <w:color w:val="auto"/>
                <w:kern w:val="0"/>
                <w:sz w:val="24"/>
                <w:szCs w:val="24"/>
                <w:highlight w:val="none"/>
              </w:rPr>
            </w:pPr>
          </w:p>
        </w:tc>
      </w:tr>
      <w:tr w14:paraId="55137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40" w:type="dxa"/>
            <w:vMerge w:val="continue"/>
            <w:vAlign w:val="center"/>
          </w:tcPr>
          <w:p w14:paraId="1E2E319E">
            <w:pPr>
              <w:jc w:val="left"/>
              <w:rPr>
                <w:rFonts w:hint="eastAsia" w:ascii="宋体" w:hAnsi="宋体" w:eastAsia="宋体" w:cs="宋体"/>
                <w:b/>
                <w:bCs/>
                <w:color w:val="auto"/>
                <w:kern w:val="0"/>
                <w:sz w:val="24"/>
                <w:szCs w:val="24"/>
                <w:highlight w:val="none"/>
              </w:rPr>
            </w:pPr>
          </w:p>
        </w:tc>
        <w:tc>
          <w:tcPr>
            <w:tcW w:w="719" w:type="dxa"/>
            <w:vAlign w:val="center"/>
          </w:tcPr>
          <w:p w14:paraId="0C447B12">
            <w:pPr>
              <w:numPr>
                <w:ilvl w:val="0"/>
                <w:numId w:val="7"/>
              </w:numPr>
              <w:ind w:left="454" w:hanging="454"/>
              <w:jc w:val="center"/>
              <w:rPr>
                <w:rFonts w:hint="eastAsia" w:ascii="宋体" w:hAnsi="宋体" w:eastAsia="宋体" w:cs="宋体"/>
                <w:color w:val="auto"/>
                <w:kern w:val="0"/>
                <w:sz w:val="24"/>
                <w:szCs w:val="24"/>
                <w:highlight w:val="none"/>
              </w:rPr>
            </w:pPr>
          </w:p>
        </w:tc>
        <w:tc>
          <w:tcPr>
            <w:tcW w:w="1419" w:type="dxa"/>
            <w:vAlign w:val="center"/>
          </w:tcPr>
          <w:p w14:paraId="0A2F5BE6">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强光手电</w:t>
            </w:r>
          </w:p>
        </w:tc>
        <w:tc>
          <w:tcPr>
            <w:tcW w:w="2271" w:type="dxa"/>
            <w:vAlign w:val="center"/>
          </w:tcPr>
          <w:p w14:paraId="314062C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无级调光、爆闪、强弱档，LED，续航8小时以上</w:t>
            </w:r>
          </w:p>
        </w:tc>
        <w:tc>
          <w:tcPr>
            <w:tcW w:w="982" w:type="dxa"/>
            <w:vAlign w:val="center"/>
          </w:tcPr>
          <w:p w14:paraId="6EFBD2AF">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20</w:t>
            </w:r>
          </w:p>
        </w:tc>
        <w:tc>
          <w:tcPr>
            <w:tcW w:w="1132" w:type="dxa"/>
            <w:vAlign w:val="center"/>
          </w:tcPr>
          <w:p w14:paraId="02827B7F">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7B643617">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把</w:t>
            </w:r>
          </w:p>
        </w:tc>
        <w:tc>
          <w:tcPr>
            <w:tcW w:w="1696" w:type="dxa"/>
            <w:vAlign w:val="center"/>
          </w:tcPr>
          <w:p w14:paraId="7EB2E613">
            <w:pPr>
              <w:jc w:val="center"/>
              <w:rPr>
                <w:rFonts w:hint="eastAsia" w:ascii="宋体" w:hAnsi="宋体" w:eastAsia="宋体" w:cs="宋体"/>
                <w:color w:val="auto"/>
                <w:kern w:val="0"/>
                <w:sz w:val="24"/>
                <w:szCs w:val="24"/>
                <w:highlight w:val="none"/>
                <w:lang w:eastAsia="zh-CN"/>
              </w:rPr>
            </w:pPr>
          </w:p>
        </w:tc>
      </w:tr>
      <w:tr w14:paraId="765EA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40" w:type="dxa"/>
            <w:vMerge w:val="continue"/>
            <w:vAlign w:val="center"/>
          </w:tcPr>
          <w:p w14:paraId="2392DA1D">
            <w:pPr>
              <w:jc w:val="left"/>
              <w:rPr>
                <w:rFonts w:hint="eastAsia" w:ascii="宋体" w:hAnsi="宋体" w:eastAsia="宋体" w:cs="宋体"/>
                <w:b/>
                <w:bCs/>
                <w:color w:val="auto"/>
                <w:kern w:val="0"/>
                <w:sz w:val="24"/>
                <w:szCs w:val="24"/>
                <w:highlight w:val="none"/>
              </w:rPr>
            </w:pPr>
          </w:p>
        </w:tc>
        <w:tc>
          <w:tcPr>
            <w:tcW w:w="719" w:type="dxa"/>
            <w:vAlign w:val="center"/>
          </w:tcPr>
          <w:p w14:paraId="380667DB">
            <w:pPr>
              <w:numPr>
                <w:ilvl w:val="0"/>
                <w:numId w:val="7"/>
              </w:numPr>
              <w:ind w:left="454" w:hanging="454"/>
              <w:jc w:val="center"/>
              <w:rPr>
                <w:rFonts w:hint="eastAsia" w:ascii="宋体" w:hAnsi="宋体" w:eastAsia="宋体" w:cs="宋体"/>
                <w:color w:val="auto"/>
                <w:kern w:val="0"/>
                <w:sz w:val="24"/>
                <w:szCs w:val="24"/>
                <w:highlight w:val="none"/>
                <w:lang w:val="en-US" w:eastAsia="zh-CN"/>
              </w:rPr>
            </w:pPr>
          </w:p>
        </w:tc>
        <w:tc>
          <w:tcPr>
            <w:tcW w:w="1419" w:type="dxa"/>
            <w:vAlign w:val="center"/>
          </w:tcPr>
          <w:p w14:paraId="1CBC48C8">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灭火毯</w:t>
            </w:r>
          </w:p>
        </w:tc>
        <w:tc>
          <w:tcPr>
            <w:tcW w:w="2271" w:type="dxa"/>
            <w:vAlign w:val="center"/>
          </w:tcPr>
          <w:p w14:paraId="2AEE8B5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符合国家、行业标准</w:t>
            </w:r>
          </w:p>
        </w:tc>
        <w:tc>
          <w:tcPr>
            <w:tcW w:w="982" w:type="dxa"/>
            <w:vAlign w:val="center"/>
          </w:tcPr>
          <w:p w14:paraId="50A0BBE7">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w:t>
            </w:r>
          </w:p>
        </w:tc>
        <w:tc>
          <w:tcPr>
            <w:tcW w:w="1132" w:type="dxa"/>
            <w:vAlign w:val="center"/>
          </w:tcPr>
          <w:p w14:paraId="011F1A91">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0</w:t>
            </w:r>
          </w:p>
        </w:tc>
        <w:tc>
          <w:tcPr>
            <w:tcW w:w="477" w:type="dxa"/>
            <w:vAlign w:val="center"/>
          </w:tcPr>
          <w:p w14:paraId="6EB9811B">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个</w:t>
            </w:r>
          </w:p>
        </w:tc>
        <w:tc>
          <w:tcPr>
            <w:tcW w:w="1696" w:type="dxa"/>
            <w:vAlign w:val="center"/>
          </w:tcPr>
          <w:p w14:paraId="2EDB178A">
            <w:pPr>
              <w:jc w:val="center"/>
              <w:rPr>
                <w:rFonts w:hint="eastAsia" w:ascii="宋体" w:hAnsi="宋体" w:eastAsia="宋体" w:cs="宋体"/>
                <w:color w:val="auto"/>
                <w:kern w:val="0"/>
                <w:sz w:val="24"/>
                <w:szCs w:val="24"/>
                <w:highlight w:val="none"/>
              </w:rPr>
            </w:pPr>
          </w:p>
        </w:tc>
      </w:tr>
      <w:tr w14:paraId="0DD17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840" w:type="dxa"/>
            <w:vMerge w:val="continue"/>
            <w:vAlign w:val="center"/>
          </w:tcPr>
          <w:p w14:paraId="5436ECD4">
            <w:pPr>
              <w:jc w:val="left"/>
              <w:rPr>
                <w:rFonts w:hint="eastAsia" w:ascii="宋体" w:hAnsi="宋体" w:eastAsia="宋体" w:cs="宋体"/>
                <w:b/>
                <w:bCs/>
                <w:color w:val="auto"/>
                <w:kern w:val="0"/>
                <w:sz w:val="24"/>
                <w:szCs w:val="24"/>
                <w:highlight w:val="none"/>
              </w:rPr>
            </w:pPr>
          </w:p>
        </w:tc>
        <w:tc>
          <w:tcPr>
            <w:tcW w:w="719" w:type="dxa"/>
            <w:vAlign w:val="center"/>
          </w:tcPr>
          <w:p w14:paraId="7EAFD65C">
            <w:pPr>
              <w:numPr>
                <w:ilvl w:val="0"/>
                <w:numId w:val="7"/>
              </w:numPr>
              <w:ind w:left="454" w:hanging="454"/>
              <w:jc w:val="center"/>
              <w:rPr>
                <w:rFonts w:hint="eastAsia" w:ascii="宋体" w:hAnsi="宋体" w:eastAsia="宋体" w:cs="宋体"/>
                <w:color w:val="auto"/>
                <w:kern w:val="0"/>
                <w:sz w:val="24"/>
                <w:szCs w:val="24"/>
                <w:highlight w:val="none"/>
                <w:lang w:eastAsia="zh-CN"/>
              </w:rPr>
            </w:pPr>
          </w:p>
        </w:tc>
        <w:tc>
          <w:tcPr>
            <w:tcW w:w="1419" w:type="dxa"/>
            <w:vAlign w:val="center"/>
          </w:tcPr>
          <w:p w14:paraId="29C605C2">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灭火器</w:t>
            </w:r>
          </w:p>
        </w:tc>
        <w:tc>
          <w:tcPr>
            <w:tcW w:w="2271" w:type="dxa"/>
            <w:vAlign w:val="center"/>
          </w:tcPr>
          <w:p w14:paraId="132C489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4KG装，符合国家、行业标准，提供合格证，要求生产日期为提供产品时的当年年度</w:t>
            </w:r>
          </w:p>
        </w:tc>
        <w:tc>
          <w:tcPr>
            <w:tcW w:w="982" w:type="dxa"/>
            <w:vAlign w:val="center"/>
          </w:tcPr>
          <w:p w14:paraId="1A40C8C0">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30</w:t>
            </w:r>
          </w:p>
        </w:tc>
        <w:tc>
          <w:tcPr>
            <w:tcW w:w="1132" w:type="dxa"/>
            <w:vAlign w:val="center"/>
          </w:tcPr>
          <w:p w14:paraId="6D600F58">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1ECAF629">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696" w:type="dxa"/>
            <w:vAlign w:val="center"/>
          </w:tcPr>
          <w:p w14:paraId="31B63B24">
            <w:pPr>
              <w:jc w:val="center"/>
              <w:rPr>
                <w:rFonts w:hint="eastAsia" w:ascii="宋体" w:hAnsi="宋体" w:eastAsia="宋体" w:cs="宋体"/>
                <w:color w:val="auto"/>
                <w:kern w:val="0"/>
                <w:sz w:val="24"/>
                <w:szCs w:val="24"/>
                <w:highlight w:val="none"/>
              </w:rPr>
            </w:pPr>
          </w:p>
        </w:tc>
      </w:tr>
      <w:tr w14:paraId="20C96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40" w:type="dxa"/>
            <w:vMerge w:val="continue"/>
            <w:vAlign w:val="center"/>
          </w:tcPr>
          <w:p w14:paraId="73B52FE8">
            <w:pPr>
              <w:jc w:val="left"/>
              <w:rPr>
                <w:rFonts w:hint="eastAsia" w:ascii="宋体" w:hAnsi="宋体" w:eastAsia="宋体" w:cs="宋体"/>
                <w:b/>
                <w:bCs/>
                <w:color w:val="auto"/>
                <w:kern w:val="0"/>
                <w:sz w:val="24"/>
                <w:szCs w:val="24"/>
                <w:highlight w:val="none"/>
              </w:rPr>
            </w:pPr>
          </w:p>
        </w:tc>
        <w:tc>
          <w:tcPr>
            <w:tcW w:w="719" w:type="dxa"/>
            <w:vAlign w:val="center"/>
          </w:tcPr>
          <w:p w14:paraId="25C2A917">
            <w:pPr>
              <w:numPr>
                <w:ilvl w:val="0"/>
                <w:numId w:val="7"/>
              </w:numPr>
              <w:ind w:left="454" w:hanging="454"/>
              <w:jc w:val="center"/>
              <w:rPr>
                <w:rFonts w:hint="eastAsia" w:ascii="宋体" w:hAnsi="宋体" w:eastAsia="宋体" w:cs="宋体"/>
                <w:color w:val="auto"/>
                <w:kern w:val="0"/>
                <w:sz w:val="24"/>
                <w:szCs w:val="24"/>
                <w:highlight w:val="none"/>
                <w:lang w:val="en-US"/>
              </w:rPr>
            </w:pPr>
          </w:p>
        </w:tc>
        <w:tc>
          <w:tcPr>
            <w:tcW w:w="1419" w:type="dxa"/>
            <w:vAlign w:val="center"/>
          </w:tcPr>
          <w:p w14:paraId="574963E4">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手持</w:t>
            </w:r>
            <w:r>
              <w:rPr>
                <w:rFonts w:hint="eastAsia" w:ascii="宋体" w:hAnsi="宋体" w:eastAsia="宋体" w:cs="宋体"/>
                <w:color w:val="auto"/>
                <w:kern w:val="0"/>
                <w:sz w:val="24"/>
                <w:szCs w:val="24"/>
                <w:highlight w:val="none"/>
              </w:rPr>
              <w:t>扩音喇叭</w:t>
            </w:r>
          </w:p>
        </w:tc>
        <w:tc>
          <w:tcPr>
            <w:tcW w:w="2271" w:type="dxa"/>
            <w:vAlign w:val="center"/>
          </w:tcPr>
          <w:p w14:paraId="025A4639">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要有录音放音功能，配存储卡</w:t>
            </w:r>
          </w:p>
        </w:tc>
        <w:tc>
          <w:tcPr>
            <w:tcW w:w="982" w:type="dxa"/>
            <w:vAlign w:val="center"/>
          </w:tcPr>
          <w:p w14:paraId="7DFB0FD5">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15</w:t>
            </w:r>
          </w:p>
        </w:tc>
        <w:tc>
          <w:tcPr>
            <w:tcW w:w="1132" w:type="dxa"/>
            <w:vAlign w:val="center"/>
          </w:tcPr>
          <w:p w14:paraId="338DEBA1">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47E669C6">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696" w:type="dxa"/>
            <w:vAlign w:val="center"/>
          </w:tcPr>
          <w:p w14:paraId="5FE417C4">
            <w:pPr>
              <w:jc w:val="center"/>
              <w:rPr>
                <w:rFonts w:hint="eastAsia" w:ascii="宋体" w:hAnsi="宋体" w:eastAsia="宋体" w:cs="宋体"/>
                <w:color w:val="auto"/>
                <w:kern w:val="0"/>
                <w:sz w:val="24"/>
                <w:szCs w:val="24"/>
                <w:highlight w:val="none"/>
              </w:rPr>
            </w:pPr>
          </w:p>
        </w:tc>
      </w:tr>
      <w:tr w14:paraId="64C24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40" w:type="dxa"/>
            <w:vMerge w:val="continue"/>
            <w:vAlign w:val="center"/>
          </w:tcPr>
          <w:p w14:paraId="04674081">
            <w:pPr>
              <w:jc w:val="left"/>
              <w:rPr>
                <w:rFonts w:hint="eastAsia" w:ascii="宋体" w:hAnsi="宋体" w:eastAsia="宋体" w:cs="宋体"/>
                <w:b/>
                <w:bCs/>
                <w:color w:val="auto"/>
                <w:kern w:val="0"/>
                <w:sz w:val="24"/>
                <w:szCs w:val="24"/>
                <w:highlight w:val="none"/>
              </w:rPr>
            </w:pPr>
          </w:p>
        </w:tc>
        <w:tc>
          <w:tcPr>
            <w:tcW w:w="719" w:type="dxa"/>
            <w:vAlign w:val="center"/>
          </w:tcPr>
          <w:p w14:paraId="4D6F5DB7">
            <w:pPr>
              <w:numPr>
                <w:ilvl w:val="0"/>
                <w:numId w:val="7"/>
              </w:numPr>
              <w:ind w:left="454" w:hanging="454"/>
              <w:jc w:val="center"/>
              <w:rPr>
                <w:rFonts w:hint="eastAsia" w:ascii="宋体" w:hAnsi="宋体" w:eastAsia="宋体" w:cs="宋体"/>
                <w:color w:val="auto"/>
                <w:kern w:val="0"/>
                <w:sz w:val="24"/>
                <w:szCs w:val="24"/>
                <w:highlight w:val="none"/>
                <w:lang w:val="en-US" w:eastAsia="zh-CN"/>
              </w:rPr>
            </w:pPr>
          </w:p>
        </w:tc>
        <w:tc>
          <w:tcPr>
            <w:tcW w:w="1419" w:type="dxa"/>
            <w:vAlign w:val="center"/>
          </w:tcPr>
          <w:p w14:paraId="10330A24">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对讲机</w:t>
            </w:r>
          </w:p>
        </w:tc>
        <w:tc>
          <w:tcPr>
            <w:tcW w:w="2271" w:type="dxa"/>
            <w:vAlign w:val="center"/>
          </w:tcPr>
          <w:p w14:paraId="7F9C457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符合国家、行业标准</w:t>
            </w:r>
          </w:p>
        </w:tc>
        <w:tc>
          <w:tcPr>
            <w:tcW w:w="982" w:type="dxa"/>
            <w:vAlign w:val="center"/>
          </w:tcPr>
          <w:p w14:paraId="2786E6A8">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16</w:t>
            </w:r>
          </w:p>
        </w:tc>
        <w:tc>
          <w:tcPr>
            <w:tcW w:w="1132" w:type="dxa"/>
            <w:vAlign w:val="center"/>
          </w:tcPr>
          <w:p w14:paraId="47152860">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402A8918">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个</w:t>
            </w:r>
          </w:p>
        </w:tc>
        <w:tc>
          <w:tcPr>
            <w:tcW w:w="1696" w:type="dxa"/>
            <w:vAlign w:val="center"/>
          </w:tcPr>
          <w:p w14:paraId="08987354">
            <w:pPr>
              <w:jc w:val="center"/>
              <w:rPr>
                <w:rFonts w:hint="eastAsia" w:ascii="宋体" w:hAnsi="宋体" w:eastAsia="宋体" w:cs="宋体"/>
                <w:color w:val="auto"/>
                <w:kern w:val="0"/>
                <w:sz w:val="24"/>
                <w:szCs w:val="24"/>
                <w:highlight w:val="none"/>
              </w:rPr>
            </w:pPr>
          </w:p>
        </w:tc>
      </w:tr>
      <w:tr w14:paraId="678A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40" w:type="dxa"/>
            <w:vMerge w:val="continue"/>
            <w:vAlign w:val="center"/>
          </w:tcPr>
          <w:p w14:paraId="5A0217CA">
            <w:pPr>
              <w:jc w:val="left"/>
              <w:rPr>
                <w:rFonts w:hint="eastAsia" w:ascii="宋体" w:hAnsi="宋体" w:eastAsia="宋体" w:cs="宋体"/>
                <w:b/>
                <w:bCs/>
                <w:color w:val="auto"/>
                <w:kern w:val="0"/>
                <w:sz w:val="24"/>
                <w:szCs w:val="24"/>
                <w:highlight w:val="none"/>
              </w:rPr>
            </w:pPr>
          </w:p>
        </w:tc>
        <w:tc>
          <w:tcPr>
            <w:tcW w:w="719" w:type="dxa"/>
            <w:vAlign w:val="center"/>
          </w:tcPr>
          <w:p w14:paraId="302D837B">
            <w:pPr>
              <w:numPr>
                <w:ilvl w:val="0"/>
                <w:numId w:val="7"/>
              </w:numPr>
              <w:ind w:left="454" w:hanging="454"/>
              <w:jc w:val="center"/>
              <w:rPr>
                <w:rFonts w:hint="eastAsia" w:ascii="宋体" w:hAnsi="宋体" w:eastAsia="宋体" w:cs="宋体"/>
                <w:color w:val="auto"/>
                <w:kern w:val="0"/>
                <w:sz w:val="24"/>
                <w:szCs w:val="24"/>
                <w:highlight w:val="none"/>
                <w:lang w:eastAsia="zh-CN"/>
              </w:rPr>
            </w:pPr>
          </w:p>
        </w:tc>
        <w:tc>
          <w:tcPr>
            <w:tcW w:w="1419" w:type="dxa"/>
            <w:vAlign w:val="center"/>
          </w:tcPr>
          <w:p w14:paraId="6EC7691B">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雪糕桶</w:t>
            </w:r>
          </w:p>
        </w:tc>
        <w:tc>
          <w:tcPr>
            <w:tcW w:w="2271" w:type="dxa"/>
            <w:vAlign w:val="center"/>
          </w:tcPr>
          <w:p w14:paraId="47F3F058">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印制公园中心统一LOG0</w:t>
            </w:r>
          </w:p>
        </w:tc>
        <w:tc>
          <w:tcPr>
            <w:tcW w:w="982" w:type="dxa"/>
            <w:vAlign w:val="center"/>
          </w:tcPr>
          <w:p w14:paraId="7831705A">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20</w:t>
            </w:r>
          </w:p>
        </w:tc>
        <w:tc>
          <w:tcPr>
            <w:tcW w:w="1132" w:type="dxa"/>
            <w:vAlign w:val="center"/>
          </w:tcPr>
          <w:p w14:paraId="1E9C29D2">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39ED7A5C">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696" w:type="dxa"/>
            <w:vAlign w:val="center"/>
          </w:tcPr>
          <w:p w14:paraId="45F00BAF">
            <w:pPr>
              <w:jc w:val="center"/>
              <w:rPr>
                <w:rFonts w:hint="eastAsia" w:ascii="宋体" w:hAnsi="宋体" w:eastAsia="宋体" w:cs="宋体"/>
                <w:color w:val="auto"/>
                <w:kern w:val="0"/>
                <w:sz w:val="24"/>
                <w:szCs w:val="24"/>
                <w:highlight w:val="none"/>
              </w:rPr>
            </w:pPr>
          </w:p>
        </w:tc>
      </w:tr>
      <w:tr w14:paraId="62109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40" w:type="dxa"/>
            <w:vMerge w:val="continue"/>
            <w:vAlign w:val="center"/>
          </w:tcPr>
          <w:p w14:paraId="0B58055F">
            <w:pPr>
              <w:jc w:val="left"/>
              <w:rPr>
                <w:rFonts w:hint="eastAsia" w:ascii="宋体" w:hAnsi="宋体" w:eastAsia="宋体" w:cs="宋体"/>
                <w:b/>
                <w:bCs/>
                <w:color w:val="auto"/>
                <w:kern w:val="0"/>
                <w:sz w:val="24"/>
                <w:szCs w:val="24"/>
                <w:highlight w:val="none"/>
              </w:rPr>
            </w:pPr>
          </w:p>
        </w:tc>
        <w:tc>
          <w:tcPr>
            <w:tcW w:w="719" w:type="dxa"/>
            <w:vAlign w:val="center"/>
          </w:tcPr>
          <w:p w14:paraId="36692017">
            <w:pPr>
              <w:numPr>
                <w:ilvl w:val="0"/>
                <w:numId w:val="7"/>
              </w:numPr>
              <w:ind w:left="454" w:hanging="454"/>
              <w:jc w:val="center"/>
              <w:rPr>
                <w:rFonts w:hint="eastAsia" w:ascii="宋体" w:hAnsi="宋体" w:eastAsia="宋体" w:cs="宋体"/>
                <w:color w:val="auto"/>
                <w:kern w:val="0"/>
                <w:sz w:val="24"/>
                <w:szCs w:val="24"/>
                <w:highlight w:val="none"/>
                <w:lang w:eastAsia="zh-CN"/>
              </w:rPr>
            </w:pPr>
          </w:p>
        </w:tc>
        <w:tc>
          <w:tcPr>
            <w:tcW w:w="1419" w:type="dxa"/>
            <w:vAlign w:val="center"/>
          </w:tcPr>
          <w:p w14:paraId="1EB44CA4">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警戒带</w:t>
            </w:r>
          </w:p>
        </w:tc>
        <w:tc>
          <w:tcPr>
            <w:tcW w:w="2271" w:type="dxa"/>
            <w:vAlign w:val="center"/>
          </w:tcPr>
          <w:p w14:paraId="6F7561FF">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rPr>
              <w:t>符合国家、行业标准</w:t>
            </w:r>
          </w:p>
        </w:tc>
        <w:tc>
          <w:tcPr>
            <w:tcW w:w="982" w:type="dxa"/>
            <w:vAlign w:val="center"/>
          </w:tcPr>
          <w:p w14:paraId="425F80D3">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20</w:t>
            </w:r>
          </w:p>
        </w:tc>
        <w:tc>
          <w:tcPr>
            <w:tcW w:w="1132" w:type="dxa"/>
            <w:vAlign w:val="center"/>
          </w:tcPr>
          <w:p w14:paraId="669C739A">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3523F459">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卷</w:t>
            </w:r>
          </w:p>
        </w:tc>
        <w:tc>
          <w:tcPr>
            <w:tcW w:w="1696" w:type="dxa"/>
            <w:vAlign w:val="center"/>
          </w:tcPr>
          <w:p w14:paraId="45E5091C">
            <w:pPr>
              <w:jc w:val="center"/>
              <w:rPr>
                <w:rFonts w:hint="eastAsia" w:ascii="宋体" w:hAnsi="宋体" w:eastAsia="宋体" w:cs="宋体"/>
                <w:color w:val="auto"/>
                <w:kern w:val="0"/>
                <w:sz w:val="24"/>
                <w:szCs w:val="24"/>
                <w:highlight w:val="none"/>
              </w:rPr>
            </w:pPr>
          </w:p>
        </w:tc>
      </w:tr>
      <w:tr w14:paraId="2A85F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40" w:type="dxa"/>
            <w:vMerge w:val="continue"/>
            <w:vAlign w:val="center"/>
          </w:tcPr>
          <w:p w14:paraId="197CCC4F">
            <w:pPr>
              <w:jc w:val="left"/>
              <w:rPr>
                <w:rFonts w:hint="eastAsia" w:ascii="宋体" w:hAnsi="宋体" w:eastAsia="宋体" w:cs="宋体"/>
                <w:b/>
                <w:bCs/>
                <w:color w:val="auto"/>
                <w:kern w:val="0"/>
                <w:sz w:val="24"/>
                <w:szCs w:val="24"/>
                <w:highlight w:val="none"/>
              </w:rPr>
            </w:pPr>
          </w:p>
        </w:tc>
        <w:tc>
          <w:tcPr>
            <w:tcW w:w="719" w:type="dxa"/>
            <w:vAlign w:val="center"/>
          </w:tcPr>
          <w:p w14:paraId="127DB849">
            <w:pPr>
              <w:numPr>
                <w:ilvl w:val="0"/>
                <w:numId w:val="7"/>
              </w:numPr>
              <w:ind w:left="454" w:hanging="454"/>
              <w:jc w:val="center"/>
              <w:rPr>
                <w:rFonts w:hint="eastAsia" w:ascii="宋体" w:hAnsi="宋体" w:eastAsia="宋体" w:cs="宋体"/>
                <w:color w:val="auto"/>
                <w:kern w:val="0"/>
                <w:sz w:val="24"/>
                <w:szCs w:val="24"/>
                <w:highlight w:val="none"/>
                <w:lang w:val="en-US" w:eastAsia="zh-CN"/>
              </w:rPr>
            </w:pPr>
          </w:p>
        </w:tc>
        <w:tc>
          <w:tcPr>
            <w:tcW w:w="1419" w:type="dxa"/>
            <w:vAlign w:val="center"/>
          </w:tcPr>
          <w:p w14:paraId="2E986A09">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救生绳</w:t>
            </w:r>
          </w:p>
        </w:tc>
        <w:tc>
          <w:tcPr>
            <w:tcW w:w="2271" w:type="dxa"/>
            <w:vAlign w:val="center"/>
          </w:tcPr>
          <w:p w14:paraId="71B9C512">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rPr>
              <w:t>符合国家、行业标准</w:t>
            </w:r>
          </w:p>
        </w:tc>
        <w:tc>
          <w:tcPr>
            <w:tcW w:w="982" w:type="dxa"/>
            <w:vAlign w:val="center"/>
          </w:tcPr>
          <w:p w14:paraId="7B65387C">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200</w:t>
            </w:r>
          </w:p>
        </w:tc>
        <w:tc>
          <w:tcPr>
            <w:tcW w:w="1132" w:type="dxa"/>
            <w:vAlign w:val="center"/>
          </w:tcPr>
          <w:p w14:paraId="11FF496B">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61799355">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米</w:t>
            </w:r>
          </w:p>
        </w:tc>
        <w:tc>
          <w:tcPr>
            <w:tcW w:w="1696" w:type="dxa"/>
            <w:vAlign w:val="center"/>
          </w:tcPr>
          <w:p w14:paraId="12645783">
            <w:pPr>
              <w:jc w:val="center"/>
              <w:rPr>
                <w:rFonts w:hint="eastAsia" w:ascii="宋体" w:hAnsi="宋体" w:eastAsia="宋体" w:cs="宋体"/>
                <w:color w:val="auto"/>
                <w:kern w:val="0"/>
                <w:sz w:val="24"/>
                <w:szCs w:val="24"/>
                <w:highlight w:val="none"/>
              </w:rPr>
            </w:pPr>
          </w:p>
        </w:tc>
      </w:tr>
      <w:tr w14:paraId="3F2A4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40" w:type="dxa"/>
            <w:vMerge w:val="continue"/>
            <w:vAlign w:val="center"/>
          </w:tcPr>
          <w:p w14:paraId="52FD2621">
            <w:pPr>
              <w:jc w:val="left"/>
              <w:rPr>
                <w:rFonts w:hint="eastAsia" w:ascii="宋体" w:hAnsi="宋体" w:eastAsia="宋体" w:cs="宋体"/>
                <w:b/>
                <w:bCs/>
                <w:color w:val="auto"/>
                <w:kern w:val="0"/>
                <w:sz w:val="24"/>
                <w:szCs w:val="24"/>
                <w:highlight w:val="none"/>
              </w:rPr>
            </w:pPr>
          </w:p>
        </w:tc>
        <w:tc>
          <w:tcPr>
            <w:tcW w:w="719" w:type="dxa"/>
            <w:vAlign w:val="center"/>
          </w:tcPr>
          <w:p w14:paraId="34BE6A3C">
            <w:pPr>
              <w:numPr>
                <w:ilvl w:val="0"/>
                <w:numId w:val="7"/>
              </w:numPr>
              <w:ind w:left="454" w:hanging="454"/>
              <w:jc w:val="center"/>
              <w:rPr>
                <w:rFonts w:hint="eastAsia" w:ascii="宋体" w:hAnsi="宋体" w:eastAsia="宋体" w:cs="宋体"/>
                <w:color w:val="auto"/>
                <w:kern w:val="0"/>
                <w:sz w:val="24"/>
                <w:szCs w:val="24"/>
                <w:highlight w:val="none"/>
                <w:lang w:val="en-US" w:eastAsia="zh-CN"/>
              </w:rPr>
            </w:pPr>
          </w:p>
        </w:tc>
        <w:tc>
          <w:tcPr>
            <w:tcW w:w="1419" w:type="dxa"/>
            <w:vAlign w:val="center"/>
          </w:tcPr>
          <w:p w14:paraId="00E76185">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救生衣</w:t>
            </w:r>
          </w:p>
        </w:tc>
        <w:tc>
          <w:tcPr>
            <w:tcW w:w="2271" w:type="dxa"/>
            <w:vAlign w:val="center"/>
          </w:tcPr>
          <w:p w14:paraId="24249DA2">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rPr>
              <w:t>符合国家、行业标准</w:t>
            </w:r>
          </w:p>
        </w:tc>
        <w:tc>
          <w:tcPr>
            <w:tcW w:w="982" w:type="dxa"/>
            <w:vAlign w:val="center"/>
          </w:tcPr>
          <w:p w14:paraId="37A48B7C">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w:t>
            </w:r>
          </w:p>
        </w:tc>
        <w:tc>
          <w:tcPr>
            <w:tcW w:w="1132" w:type="dxa"/>
            <w:vAlign w:val="center"/>
          </w:tcPr>
          <w:p w14:paraId="78DA30E2">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7268B9F8">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件</w:t>
            </w:r>
          </w:p>
        </w:tc>
        <w:tc>
          <w:tcPr>
            <w:tcW w:w="1696" w:type="dxa"/>
            <w:vAlign w:val="center"/>
          </w:tcPr>
          <w:p w14:paraId="1D9588CA">
            <w:pPr>
              <w:jc w:val="center"/>
              <w:rPr>
                <w:rFonts w:hint="eastAsia" w:ascii="宋体" w:hAnsi="宋体" w:eastAsia="宋体" w:cs="宋体"/>
                <w:color w:val="auto"/>
                <w:kern w:val="0"/>
                <w:sz w:val="24"/>
                <w:szCs w:val="24"/>
                <w:highlight w:val="none"/>
              </w:rPr>
            </w:pPr>
          </w:p>
        </w:tc>
      </w:tr>
      <w:tr w14:paraId="4BD83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40" w:type="dxa"/>
            <w:vMerge w:val="continue"/>
            <w:vAlign w:val="center"/>
          </w:tcPr>
          <w:p w14:paraId="269CF6A8">
            <w:pPr>
              <w:jc w:val="left"/>
              <w:rPr>
                <w:rFonts w:hint="eastAsia" w:ascii="宋体" w:hAnsi="宋体" w:eastAsia="宋体" w:cs="宋体"/>
                <w:b/>
                <w:bCs/>
                <w:color w:val="auto"/>
                <w:kern w:val="0"/>
                <w:sz w:val="24"/>
                <w:szCs w:val="24"/>
                <w:highlight w:val="none"/>
              </w:rPr>
            </w:pPr>
          </w:p>
        </w:tc>
        <w:tc>
          <w:tcPr>
            <w:tcW w:w="719" w:type="dxa"/>
            <w:vAlign w:val="center"/>
          </w:tcPr>
          <w:p w14:paraId="7267E540">
            <w:pPr>
              <w:numPr>
                <w:ilvl w:val="0"/>
                <w:numId w:val="7"/>
              </w:numPr>
              <w:ind w:left="454" w:hanging="454"/>
              <w:jc w:val="center"/>
              <w:rPr>
                <w:rFonts w:hint="eastAsia" w:ascii="宋体" w:hAnsi="宋体" w:eastAsia="宋体" w:cs="宋体"/>
                <w:color w:val="auto"/>
                <w:kern w:val="0"/>
                <w:sz w:val="24"/>
                <w:szCs w:val="24"/>
                <w:highlight w:val="none"/>
              </w:rPr>
            </w:pPr>
          </w:p>
        </w:tc>
        <w:tc>
          <w:tcPr>
            <w:tcW w:w="1419" w:type="dxa"/>
            <w:vAlign w:val="center"/>
          </w:tcPr>
          <w:p w14:paraId="7E119348">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救生圈</w:t>
            </w:r>
          </w:p>
        </w:tc>
        <w:tc>
          <w:tcPr>
            <w:tcW w:w="2271" w:type="dxa"/>
            <w:vAlign w:val="center"/>
          </w:tcPr>
          <w:p w14:paraId="08B5CE78">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rPr>
              <w:t>符合国家、行业标准</w:t>
            </w:r>
          </w:p>
        </w:tc>
        <w:tc>
          <w:tcPr>
            <w:tcW w:w="982" w:type="dxa"/>
            <w:vAlign w:val="center"/>
          </w:tcPr>
          <w:p w14:paraId="740CFF01">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8</w:t>
            </w:r>
          </w:p>
        </w:tc>
        <w:tc>
          <w:tcPr>
            <w:tcW w:w="1132" w:type="dxa"/>
            <w:vAlign w:val="center"/>
          </w:tcPr>
          <w:p w14:paraId="2CE57A90">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12F2C291">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696" w:type="dxa"/>
            <w:vAlign w:val="center"/>
          </w:tcPr>
          <w:p w14:paraId="15674D6A">
            <w:pPr>
              <w:jc w:val="center"/>
              <w:rPr>
                <w:rFonts w:hint="eastAsia" w:ascii="宋体" w:hAnsi="宋体" w:eastAsia="宋体" w:cs="宋体"/>
                <w:color w:val="auto"/>
                <w:kern w:val="0"/>
                <w:sz w:val="24"/>
                <w:szCs w:val="24"/>
                <w:highlight w:val="none"/>
              </w:rPr>
            </w:pPr>
          </w:p>
        </w:tc>
      </w:tr>
      <w:tr w14:paraId="6918B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40" w:type="dxa"/>
            <w:vMerge w:val="continue"/>
            <w:vAlign w:val="center"/>
          </w:tcPr>
          <w:p w14:paraId="726A944C">
            <w:pPr>
              <w:jc w:val="left"/>
              <w:rPr>
                <w:rFonts w:hint="eastAsia" w:ascii="宋体" w:hAnsi="宋体" w:eastAsia="宋体" w:cs="宋体"/>
                <w:b/>
                <w:bCs/>
                <w:color w:val="auto"/>
                <w:kern w:val="0"/>
                <w:sz w:val="24"/>
                <w:szCs w:val="24"/>
                <w:highlight w:val="none"/>
              </w:rPr>
            </w:pPr>
          </w:p>
        </w:tc>
        <w:tc>
          <w:tcPr>
            <w:tcW w:w="719" w:type="dxa"/>
            <w:vAlign w:val="center"/>
          </w:tcPr>
          <w:p w14:paraId="075BD306">
            <w:pPr>
              <w:numPr>
                <w:ilvl w:val="0"/>
                <w:numId w:val="7"/>
              </w:numPr>
              <w:ind w:left="454" w:hanging="454"/>
              <w:jc w:val="center"/>
              <w:rPr>
                <w:rFonts w:hint="eastAsia" w:ascii="宋体" w:hAnsi="宋体" w:eastAsia="宋体" w:cs="宋体"/>
                <w:color w:val="auto"/>
                <w:kern w:val="0"/>
                <w:sz w:val="24"/>
                <w:szCs w:val="24"/>
                <w:highlight w:val="none"/>
              </w:rPr>
            </w:pPr>
          </w:p>
        </w:tc>
        <w:tc>
          <w:tcPr>
            <w:tcW w:w="1419" w:type="dxa"/>
            <w:vAlign w:val="center"/>
          </w:tcPr>
          <w:p w14:paraId="3B6CF64A">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防汛沙袋</w:t>
            </w:r>
          </w:p>
        </w:tc>
        <w:tc>
          <w:tcPr>
            <w:tcW w:w="2271" w:type="dxa"/>
            <w:vAlign w:val="center"/>
          </w:tcPr>
          <w:p w14:paraId="4425F254">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印制公园中心统一LOG0</w:t>
            </w:r>
          </w:p>
        </w:tc>
        <w:tc>
          <w:tcPr>
            <w:tcW w:w="982" w:type="dxa"/>
            <w:vAlign w:val="center"/>
          </w:tcPr>
          <w:p w14:paraId="6AAF2518">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100</w:t>
            </w:r>
          </w:p>
        </w:tc>
        <w:tc>
          <w:tcPr>
            <w:tcW w:w="1132" w:type="dxa"/>
            <w:vAlign w:val="center"/>
          </w:tcPr>
          <w:p w14:paraId="55D8644A">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0B3549A9">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个</w:t>
            </w:r>
          </w:p>
        </w:tc>
        <w:tc>
          <w:tcPr>
            <w:tcW w:w="1696" w:type="dxa"/>
            <w:vAlign w:val="center"/>
          </w:tcPr>
          <w:p w14:paraId="3EA7DEBD">
            <w:pPr>
              <w:jc w:val="center"/>
              <w:rPr>
                <w:rFonts w:hint="eastAsia" w:ascii="宋体" w:hAnsi="宋体" w:eastAsia="宋体" w:cs="宋体"/>
                <w:color w:val="auto"/>
                <w:kern w:val="0"/>
                <w:sz w:val="24"/>
                <w:szCs w:val="24"/>
                <w:highlight w:val="none"/>
                <w:lang w:eastAsia="zh-CN"/>
              </w:rPr>
            </w:pPr>
          </w:p>
        </w:tc>
      </w:tr>
      <w:tr w14:paraId="5F47E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840" w:type="dxa"/>
            <w:vMerge w:val="continue"/>
            <w:vAlign w:val="center"/>
          </w:tcPr>
          <w:p w14:paraId="593D4F98">
            <w:pPr>
              <w:jc w:val="left"/>
              <w:rPr>
                <w:rFonts w:hint="eastAsia" w:ascii="宋体" w:hAnsi="宋体" w:eastAsia="宋体" w:cs="宋体"/>
                <w:b/>
                <w:bCs/>
                <w:color w:val="auto"/>
                <w:kern w:val="0"/>
                <w:sz w:val="24"/>
                <w:szCs w:val="24"/>
                <w:highlight w:val="none"/>
              </w:rPr>
            </w:pPr>
          </w:p>
        </w:tc>
        <w:tc>
          <w:tcPr>
            <w:tcW w:w="719" w:type="dxa"/>
            <w:vAlign w:val="center"/>
          </w:tcPr>
          <w:p w14:paraId="2C3F5005">
            <w:pPr>
              <w:numPr>
                <w:ilvl w:val="0"/>
                <w:numId w:val="7"/>
              </w:numPr>
              <w:ind w:left="454" w:hanging="454"/>
              <w:jc w:val="center"/>
              <w:rPr>
                <w:rFonts w:hint="eastAsia" w:ascii="宋体" w:hAnsi="宋体" w:eastAsia="宋体" w:cs="宋体"/>
                <w:color w:val="auto"/>
                <w:kern w:val="0"/>
                <w:sz w:val="24"/>
                <w:szCs w:val="24"/>
                <w:highlight w:val="none"/>
              </w:rPr>
            </w:pPr>
          </w:p>
        </w:tc>
        <w:tc>
          <w:tcPr>
            <w:tcW w:w="1419" w:type="dxa"/>
            <w:vAlign w:val="center"/>
          </w:tcPr>
          <w:p w14:paraId="3E9C840D">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消防水带</w:t>
            </w:r>
          </w:p>
        </w:tc>
        <w:tc>
          <w:tcPr>
            <w:tcW w:w="2271" w:type="dxa"/>
            <w:vAlign w:val="center"/>
          </w:tcPr>
          <w:p w14:paraId="709AD3FA">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规格为20-65-20，符合国家、行业标准，提供合格证，要求生产日期为提供产品时的当年年度</w:t>
            </w:r>
          </w:p>
        </w:tc>
        <w:tc>
          <w:tcPr>
            <w:tcW w:w="982" w:type="dxa"/>
            <w:vAlign w:val="center"/>
          </w:tcPr>
          <w:p w14:paraId="739EC1DB">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20</w:t>
            </w:r>
          </w:p>
        </w:tc>
        <w:tc>
          <w:tcPr>
            <w:tcW w:w="1132" w:type="dxa"/>
            <w:vAlign w:val="center"/>
          </w:tcPr>
          <w:p w14:paraId="0C8976CA">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7CE625C9">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条</w:t>
            </w:r>
          </w:p>
        </w:tc>
        <w:tc>
          <w:tcPr>
            <w:tcW w:w="1696" w:type="dxa"/>
            <w:vAlign w:val="center"/>
          </w:tcPr>
          <w:p w14:paraId="743FFE1E">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防汛、防台</w:t>
            </w:r>
          </w:p>
        </w:tc>
      </w:tr>
      <w:tr w14:paraId="58771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40" w:type="dxa"/>
            <w:vMerge w:val="continue"/>
            <w:vAlign w:val="center"/>
          </w:tcPr>
          <w:p w14:paraId="1EE6ADAB">
            <w:pPr>
              <w:jc w:val="left"/>
              <w:rPr>
                <w:rFonts w:hint="eastAsia" w:ascii="宋体" w:hAnsi="宋体" w:eastAsia="宋体" w:cs="宋体"/>
                <w:b/>
                <w:bCs/>
                <w:color w:val="auto"/>
                <w:kern w:val="0"/>
                <w:sz w:val="24"/>
                <w:szCs w:val="24"/>
                <w:highlight w:val="none"/>
              </w:rPr>
            </w:pPr>
          </w:p>
        </w:tc>
        <w:tc>
          <w:tcPr>
            <w:tcW w:w="719" w:type="dxa"/>
            <w:vAlign w:val="center"/>
          </w:tcPr>
          <w:p w14:paraId="34615CB7">
            <w:pPr>
              <w:numPr>
                <w:ilvl w:val="0"/>
                <w:numId w:val="7"/>
              </w:numPr>
              <w:ind w:left="454" w:hanging="454"/>
              <w:jc w:val="center"/>
              <w:rPr>
                <w:rFonts w:hint="eastAsia" w:ascii="宋体" w:hAnsi="宋体" w:eastAsia="宋体" w:cs="宋体"/>
                <w:color w:val="auto"/>
                <w:kern w:val="0"/>
                <w:sz w:val="24"/>
                <w:szCs w:val="24"/>
                <w:highlight w:val="none"/>
              </w:rPr>
            </w:pPr>
          </w:p>
        </w:tc>
        <w:tc>
          <w:tcPr>
            <w:tcW w:w="1419" w:type="dxa"/>
            <w:vAlign w:val="center"/>
          </w:tcPr>
          <w:p w14:paraId="616ACB38">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分体式雨衣</w:t>
            </w:r>
          </w:p>
        </w:tc>
        <w:tc>
          <w:tcPr>
            <w:tcW w:w="2271" w:type="dxa"/>
            <w:vAlign w:val="center"/>
          </w:tcPr>
          <w:p w14:paraId="37ADC26B">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印制公园中心统一LOG0</w:t>
            </w:r>
          </w:p>
        </w:tc>
        <w:tc>
          <w:tcPr>
            <w:tcW w:w="982" w:type="dxa"/>
            <w:vAlign w:val="center"/>
          </w:tcPr>
          <w:p w14:paraId="58129A13">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w:t>
            </w:r>
          </w:p>
        </w:tc>
        <w:tc>
          <w:tcPr>
            <w:tcW w:w="1132" w:type="dxa"/>
            <w:vAlign w:val="center"/>
          </w:tcPr>
          <w:p w14:paraId="5372C419">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536C7771">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套</w:t>
            </w:r>
          </w:p>
        </w:tc>
        <w:tc>
          <w:tcPr>
            <w:tcW w:w="1696" w:type="dxa"/>
            <w:vAlign w:val="center"/>
          </w:tcPr>
          <w:p w14:paraId="519EFE2E">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按应急队伍实际人数配备</w:t>
            </w:r>
          </w:p>
        </w:tc>
      </w:tr>
      <w:tr w14:paraId="69299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40" w:type="dxa"/>
            <w:vMerge w:val="continue"/>
            <w:vAlign w:val="center"/>
          </w:tcPr>
          <w:p w14:paraId="039F9493">
            <w:pPr>
              <w:jc w:val="left"/>
              <w:rPr>
                <w:rFonts w:hint="eastAsia" w:ascii="宋体" w:hAnsi="宋体" w:eastAsia="宋体" w:cs="宋体"/>
                <w:b/>
                <w:bCs/>
                <w:color w:val="auto"/>
                <w:kern w:val="0"/>
                <w:sz w:val="24"/>
                <w:szCs w:val="24"/>
                <w:highlight w:val="none"/>
              </w:rPr>
            </w:pPr>
          </w:p>
        </w:tc>
        <w:tc>
          <w:tcPr>
            <w:tcW w:w="719" w:type="dxa"/>
            <w:vAlign w:val="center"/>
          </w:tcPr>
          <w:p w14:paraId="2C7941D3">
            <w:pPr>
              <w:numPr>
                <w:ilvl w:val="0"/>
                <w:numId w:val="7"/>
              </w:numPr>
              <w:ind w:left="454" w:hanging="454"/>
              <w:jc w:val="center"/>
              <w:rPr>
                <w:rFonts w:hint="eastAsia" w:ascii="宋体" w:hAnsi="宋体" w:eastAsia="宋体" w:cs="宋体"/>
                <w:color w:val="auto"/>
                <w:kern w:val="0"/>
                <w:sz w:val="24"/>
                <w:szCs w:val="24"/>
                <w:highlight w:val="none"/>
                <w:lang w:val="en-US" w:eastAsia="zh-CN"/>
              </w:rPr>
            </w:pPr>
          </w:p>
        </w:tc>
        <w:tc>
          <w:tcPr>
            <w:tcW w:w="1419" w:type="dxa"/>
            <w:vAlign w:val="center"/>
          </w:tcPr>
          <w:p w14:paraId="2D625F03">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雨鞋</w:t>
            </w:r>
          </w:p>
        </w:tc>
        <w:tc>
          <w:tcPr>
            <w:tcW w:w="2271" w:type="dxa"/>
            <w:vAlign w:val="center"/>
          </w:tcPr>
          <w:p w14:paraId="6142B92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印制公园中心统一LOG0</w:t>
            </w:r>
          </w:p>
        </w:tc>
        <w:tc>
          <w:tcPr>
            <w:tcW w:w="982" w:type="dxa"/>
            <w:vAlign w:val="center"/>
          </w:tcPr>
          <w:p w14:paraId="11132E22">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w:t>
            </w:r>
          </w:p>
        </w:tc>
        <w:tc>
          <w:tcPr>
            <w:tcW w:w="1132" w:type="dxa"/>
            <w:vAlign w:val="center"/>
          </w:tcPr>
          <w:p w14:paraId="43B8AE04">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4EF2A42F">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双</w:t>
            </w:r>
          </w:p>
        </w:tc>
        <w:tc>
          <w:tcPr>
            <w:tcW w:w="1696" w:type="dxa"/>
            <w:vAlign w:val="center"/>
          </w:tcPr>
          <w:p w14:paraId="62FD1D30">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按应急队伍实际人数配备</w:t>
            </w:r>
          </w:p>
        </w:tc>
      </w:tr>
      <w:tr w14:paraId="174DF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40" w:type="dxa"/>
            <w:vMerge w:val="continue"/>
            <w:vAlign w:val="center"/>
          </w:tcPr>
          <w:p w14:paraId="4B992EC4">
            <w:pPr>
              <w:jc w:val="left"/>
              <w:rPr>
                <w:rFonts w:hint="eastAsia" w:ascii="宋体" w:hAnsi="宋体" w:eastAsia="宋体" w:cs="宋体"/>
                <w:b/>
                <w:bCs/>
                <w:color w:val="auto"/>
                <w:kern w:val="0"/>
                <w:sz w:val="24"/>
                <w:szCs w:val="24"/>
                <w:highlight w:val="none"/>
              </w:rPr>
            </w:pPr>
          </w:p>
        </w:tc>
        <w:tc>
          <w:tcPr>
            <w:tcW w:w="719" w:type="dxa"/>
            <w:vAlign w:val="center"/>
          </w:tcPr>
          <w:p w14:paraId="208DF457">
            <w:pPr>
              <w:numPr>
                <w:ilvl w:val="0"/>
                <w:numId w:val="7"/>
              </w:numPr>
              <w:ind w:left="454" w:hanging="454"/>
              <w:jc w:val="center"/>
              <w:rPr>
                <w:rFonts w:hint="eastAsia" w:ascii="宋体" w:hAnsi="宋体" w:eastAsia="宋体" w:cs="宋体"/>
                <w:color w:val="auto"/>
                <w:kern w:val="0"/>
                <w:sz w:val="24"/>
                <w:szCs w:val="24"/>
                <w:highlight w:val="none"/>
                <w:lang w:val="en-US" w:eastAsia="zh-CN"/>
              </w:rPr>
            </w:pPr>
          </w:p>
        </w:tc>
        <w:tc>
          <w:tcPr>
            <w:tcW w:w="1419" w:type="dxa"/>
            <w:vAlign w:val="center"/>
          </w:tcPr>
          <w:p w14:paraId="28AD33FB">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消防柜及配套物资</w:t>
            </w:r>
          </w:p>
        </w:tc>
        <w:tc>
          <w:tcPr>
            <w:tcW w:w="2271" w:type="dxa"/>
            <w:vAlign w:val="center"/>
          </w:tcPr>
          <w:p w14:paraId="216B2149">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highlight w:val="none"/>
              </w:rPr>
              <w:t>符合国家、行业标准</w:t>
            </w:r>
          </w:p>
        </w:tc>
        <w:tc>
          <w:tcPr>
            <w:tcW w:w="982" w:type="dxa"/>
            <w:vAlign w:val="center"/>
          </w:tcPr>
          <w:p w14:paraId="327905D6">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2</w:t>
            </w:r>
          </w:p>
        </w:tc>
        <w:tc>
          <w:tcPr>
            <w:tcW w:w="1132" w:type="dxa"/>
            <w:vAlign w:val="center"/>
          </w:tcPr>
          <w:p w14:paraId="6C225864">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5E3C696A">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个</w:t>
            </w:r>
          </w:p>
        </w:tc>
        <w:tc>
          <w:tcPr>
            <w:tcW w:w="1696" w:type="dxa"/>
            <w:vAlign w:val="center"/>
          </w:tcPr>
          <w:p w14:paraId="75F387DD">
            <w:pPr>
              <w:jc w:val="center"/>
              <w:rPr>
                <w:rFonts w:hint="eastAsia" w:ascii="宋体" w:hAnsi="宋体" w:eastAsia="宋体" w:cs="宋体"/>
                <w:color w:val="auto"/>
                <w:kern w:val="0"/>
                <w:sz w:val="24"/>
                <w:szCs w:val="24"/>
                <w:highlight w:val="none"/>
                <w:lang w:eastAsia="zh-CN"/>
              </w:rPr>
            </w:pPr>
          </w:p>
        </w:tc>
      </w:tr>
      <w:tr w14:paraId="5BFD4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40" w:type="dxa"/>
            <w:vMerge w:val="continue"/>
            <w:vAlign w:val="center"/>
          </w:tcPr>
          <w:p w14:paraId="3F7E1CA0">
            <w:pPr>
              <w:jc w:val="left"/>
              <w:rPr>
                <w:rFonts w:hint="eastAsia" w:ascii="宋体" w:hAnsi="宋体" w:eastAsia="宋体" w:cs="宋体"/>
                <w:b/>
                <w:bCs/>
                <w:color w:val="auto"/>
                <w:kern w:val="0"/>
                <w:sz w:val="24"/>
                <w:szCs w:val="24"/>
                <w:highlight w:val="none"/>
              </w:rPr>
            </w:pPr>
          </w:p>
        </w:tc>
        <w:tc>
          <w:tcPr>
            <w:tcW w:w="719" w:type="dxa"/>
            <w:vAlign w:val="center"/>
          </w:tcPr>
          <w:p w14:paraId="3E3DC6FF">
            <w:pPr>
              <w:numPr>
                <w:ilvl w:val="0"/>
                <w:numId w:val="7"/>
              </w:numPr>
              <w:ind w:left="454" w:hanging="454"/>
              <w:jc w:val="center"/>
              <w:rPr>
                <w:rFonts w:hint="eastAsia" w:ascii="宋体" w:hAnsi="宋体" w:eastAsia="宋体" w:cs="宋体"/>
                <w:color w:val="auto"/>
                <w:kern w:val="0"/>
                <w:sz w:val="24"/>
                <w:szCs w:val="24"/>
                <w:highlight w:val="none"/>
                <w:lang w:val="en-US" w:eastAsia="zh-CN"/>
              </w:rPr>
            </w:pPr>
          </w:p>
        </w:tc>
        <w:tc>
          <w:tcPr>
            <w:tcW w:w="1419" w:type="dxa"/>
            <w:vAlign w:val="center"/>
          </w:tcPr>
          <w:p w14:paraId="74498EDC">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防爆柜及配备物资</w:t>
            </w:r>
          </w:p>
        </w:tc>
        <w:tc>
          <w:tcPr>
            <w:tcW w:w="2271" w:type="dxa"/>
            <w:vAlign w:val="center"/>
          </w:tcPr>
          <w:p w14:paraId="7E856BB9">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highlight w:val="none"/>
              </w:rPr>
              <w:t>符合国家、行业标准</w:t>
            </w:r>
          </w:p>
        </w:tc>
        <w:tc>
          <w:tcPr>
            <w:tcW w:w="982" w:type="dxa"/>
            <w:vAlign w:val="center"/>
          </w:tcPr>
          <w:p w14:paraId="1B53741C">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2</w:t>
            </w:r>
          </w:p>
        </w:tc>
        <w:tc>
          <w:tcPr>
            <w:tcW w:w="1132" w:type="dxa"/>
            <w:vAlign w:val="center"/>
          </w:tcPr>
          <w:p w14:paraId="0E19DD87">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4CCC2C05">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个</w:t>
            </w:r>
          </w:p>
        </w:tc>
        <w:tc>
          <w:tcPr>
            <w:tcW w:w="1696" w:type="dxa"/>
            <w:vAlign w:val="center"/>
          </w:tcPr>
          <w:p w14:paraId="1FA825D7">
            <w:pPr>
              <w:jc w:val="center"/>
              <w:rPr>
                <w:rFonts w:hint="eastAsia" w:ascii="宋体" w:hAnsi="宋体" w:eastAsia="宋体" w:cs="宋体"/>
                <w:color w:val="auto"/>
                <w:kern w:val="0"/>
                <w:sz w:val="24"/>
                <w:szCs w:val="24"/>
                <w:highlight w:val="none"/>
                <w:lang w:eastAsia="zh-CN"/>
              </w:rPr>
            </w:pPr>
          </w:p>
        </w:tc>
      </w:tr>
      <w:tr w14:paraId="16929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40" w:type="dxa"/>
            <w:vMerge w:val="continue"/>
            <w:vAlign w:val="center"/>
          </w:tcPr>
          <w:p w14:paraId="025F5068">
            <w:pPr>
              <w:jc w:val="left"/>
              <w:rPr>
                <w:rFonts w:hint="eastAsia" w:ascii="宋体" w:hAnsi="宋体" w:eastAsia="宋体" w:cs="宋体"/>
                <w:b/>
                <w:bCs/>
                <w:color w:val="auto"/>
                <w:kern w:val="0"/>
                <w:sz w:val="24"/>
                <w:szCs w:val="24"/>
                <w:highlight w:val="none"/>
              </w:rPr>
            </w:pPr>
          </w:p>
        </w:tc>
        <w:tc>
          <w:tcPr>
            <w:tcW w:w="719" w:type="dxa"/>
            <w:vAlign w:val="center"/>
          </w:tcPr>
          <w:p w14:paraId="715E2B7A">
            <w:pPr>
              <w:numPr>
                <w:ilvl w:val="0"/>
                <w:numId w:val="7"/>
              </w:numPr>
              <w:ind w:left="454" w:hanging="454"/>
              <w:jc w:val="center"/>
              <w:rPr>
                <w:rFonts w:hint="eastAsia" w:ascii="宋体" w:hAnsi="宋体" w:eastAsia="宋体" w:cs="宋体"/>
                <w:color w:val="auto"/>
                <w:kern w:val="0"/>
                <w:sz w:val="24"/>
                <w:szCs w:val="24"/>
                <w:highlight w:val="none"/>
                <w:lang w:val="en-US" w:eastAsia="zh-CN"/>
              </w:rPr>
            </w:pPr>
          </w:p>
        </w:tc>
        <w:tc>
          <w:tcPr>
            <w:tcW w:w="1419" w:type="dxa"/>
            <w:vAlign w:val="center"/>
          </w:tcPr>
          <w:p w14:paraId="33EAB880">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捕狗网</w:t>
            </w:r>
          </w:p>
        </w:tc>
        <w:tc>
          <w:tcPr>
            <w:tcW w:w="2271" w:type="dxa"/>
            <w:vAlign w:val="center"/>
          </w:tcPr>
          <w:p w14:paraId="3B437E14">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highlight w:val="none"/>
              </w:rPr>
              <w:t>符合国家、行业标准</w:t>
            </w:r>
          </w:p>
        </w:tc>
        <w:tc>
          <w:tcPr>
            <w:tcW w:w="982" w:type="dxa"/>
            <w:vAlign w:val="center"/>
          </w:tcPr>
          <w:p w14:paraId="7EF09AFA">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1132" w:type="dxa"/>
            <w:vAlign w:val="center"/>
          </w:tcPr>
          <w:p w14:paraId="2780186A">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35BD84AC">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个</w:t>
            </w:r>
          </w:p>
        </w:tc>
        <w:tc>
          <w:tcPr>
            <w:tcW w:w="1696" w:type="dxa"/>
            <w:vAlign w:val="center"/>
          </w:tcPr>
          <w:p w14:paraId="35D130FD">
            <w:pPr>
              <w:jc w:val="center"/>
              <w:rPr>
                <w:rFonts w:hint="eastAsia" w:ascii="宋体" w:hAnsi="宋体" w:eastAsia="宋体" w:cs="宋体"/>
                <w:color w:val="auto"/>
                <w:kern w:val="0"/>
                <w:sz w:val="24"/>
                <w:szCs w:val="24"/>
                <w:highlight w:val="none"/>
                <w:lang w:eastAsia="zh-CN"/>
              </w:rPr>
            </w:pPr>
          </w:p>
        </w:tc>
      </w:tr>
      <w:tr w14:paraId="26B51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40" w:type="dxa"/>
            <w:vMerge w:val="continue"/>
            <w:vAlign w:val="center"/>
          </w:tcPr>
          <w:p w14:paraId="73DA3FCC">
            <w:pPr>
              <w:jc w:val="left"/>
              <w:rPr>
                <w:rFonts w:hint="eastAsia" w:ascii="宋体" w:hAnsi="宋体" w:eastAsia="宋体" w:cs="宋体"/>
                <w:b/>
                <w:bCs/>
                <w:color w:val="auto"/>
                <w:kern w:val="0"/>
                <w:sz w:val="24"/>
                <w:szCs w:val="24"/>
                <w:highlight w:val="none"/>
              </w:rPr>
            </w:pPr>
          </w:p>
        </w:tc>
        <w:tc>
          <w:tcPr>
            <w:tcW w:w="719" w:type="dxa"/>
            <w:vAlign w:val="center"/>
          </w:tcPr>
          <w:p w14:paraId="4A0A98B7">
            <w:pPr>
              <w:numPr>
                <w:ilvl w:val="0"/>
                <w:numId w:val="7"/>
              </w:numPr>
              <w:ind w:left="454" w:hanging="454"/>
              <w:jc w:val="center"/>
              <w:rPr>
                <w:rFonts w:hint="eastAsia" w:ascii="宋体" w:hAnsi="宋体" w:eastAsia="宋体" w:cs="宋体"/>
                <w:color w:val="auto"/>
                <w:kern w:val="0"/>
                <w:sz w:val="24"/>
                <w:szCs w:val="24"/>
                <w:highlight w:val="none"/>
                <w:lang w:val="en-US" w:eastAsia="zh-CN"/>
              </w:rPr>
            </w:pPr>
          </w:p>
        </w:tc>
        <w:tc>
          <w:tcPr>
            <w:tcW w:w="1419" w:type="dxa"/>
            <w:vAlign w:val="center"/>
          </w:tcPr>
          <w:p w14:paraId="363BEBBB">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心肺复苏假人</w:t>
            </w:r>
          </w:p>
        </w:tc>
        <w:tc>
          <w:tcPr>
            <w:tcW w:w="2271" w:type="dxa"/>
            <w:vAlign w:val="center"/>
          </w:tcPr>
          <w:p w14:paraId="0A0FD8D7">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highlight w:val="none"/>
              </w:rPr>
              <w:t>符合国家、行业标准</w:t>
            </w:r>
          </w:p>
        </w:tc>
        <w:tc>
          <w:tcPr>
            <w:tcW w:w="982" w:type="dxa"/>
            <w:vAlign w:val="center"/>
          </w:tcPr>
          <w:p w14:paraId="07E697E4">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1132" w:type="dxa"/>
            <w:vAlign w:val="center"/>
          </w:tcPr>
          <w:p w14:paraId="348D296D">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7983B4DE">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个</w:t>
            </w:r>
          </w:p>
        </w:tc>
        <w:tc>
          <w:tcPr>
            <w:tcW w:w="1696" w:type="dxa"/>
            <w:vAlign w:val="center"/>
          </w:tcPr>
          <w:p w14:paraId="49C36645">
            <w:pPr>
              <w:jc w:val="center"/>
              <w:rPr>
                <w:rFonts w:hint="eastAsia" w:ascii="宋体" w:hAnsi="宋体" w:eastAsia="宋体" w:cs="宋体"/>
                <w:color w:val="auto"/>
                <w:kern w:val="0"/>
                <w:sz w:val="24"/>
                <w:szCs w:val="24"/>
                <w:highlight w:val="none"/>
                <w:lang w:eastAsia="zh-CN"/>
              </w:rPr>
            </w:pPr>
          </w:p>
        </w:tc>
      </w:tr>
      <w:tr w14:paraId="78332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40" w:type="dxa"/>
            <w:vMerge w:val="continue"/>
            <w:vAlign w:val="center"/>
          </w:tcPr>
          <w:p w14:paraId="531626E3">
            <w:pPr>
              <w:jc w:val="left"/>
              <w:rPr>
                <w:rFonts w:hint="eastAsia" w:ascii="宋体" w:hAnsi="宋体" w:eastAsia="宋体" w:cs="宋体"/>
                <w:b/>
                <w:bCs/>
                <w:color w:val="auto"/>
                <w:kern w:val="0"/>
                <w:sz w:val="24"/>
                <w:szCs w:val="24"/>
                <w:highlight w:val="none"/>
              </w:rPr>
            </w:pPr>
          </w:p>
        </w:tc>
        <w:tc>
          <w:tcPr>
            <w:tcW w:w="719" w:type="dxa"/>
            <w:vAlign w:val="center"/>
          </w:tcPr>
          <w:p w14:paraId="3F6A1A5D">
            <w:pPr>
              <w:numPr>
                <w:ilvl w:val="0"/>
                <w:numId w:val="7"/>
              </w:numPr>
              <w:ind w:left="454" w:hanging="454"/>
              <w:jc w:val="center"/>
              <w:rPr>
                <w:rFonts w:hint="eastAsia" w:ascii="宋体" w:hAnsi="宋体" w:eastAsia="宋体" w:cs="宋体"/>
                <w:color w:val="auto"/>
                <w:kern w:val="0"/>
                <w:sz w:val="24"/>
                <w:szCs w:val="24"/>
                <w:highlight w:val="none"/>
                <w:lang w:val="en-US" w:eastAsia="zh-CN"/>
              </w:rPr>
            </w:pPr>
          </w:p>
        </w:tc>
        <w:tc>
          <w:tcPr>
            <w:tcW w:w="1419" w:type="dxa"/>
            <w:vAlign w:val="center"/>
          </w:tcPr>
          <w:p w14:paraId="3C795AC6">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应急药品</w:t>
            </w:r>
          </w:p>
        </w:tc>
        <w:tc>
          <w:tcPr>
            <w:tcW w:w="2271" w:type="dxa"/>
            <w:vAlign w:val="center"/>
          </w:tcPr>
          <w:p w14:paraId="581CFC0E">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包含日常应急使用药品</w:t>
            </w:r>
          </w:p>
        </w:tc>
        <w:tc>
          <w:tcPr>
            <w:tcW w:w="982" w:type="dxa"/>
            <w:vAlign w:val="center"/>
          </w:tcPr>
          <w:p w14:paraId="71DB1D51">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5</w:t>
            </w:r>
          </w:p>
        </w:tc>
        <w:tc>
          <w:tcPr>
            <w:tcW w:w="1132" w:type="dxa"/>
            <w:vAlign w:val="center"/>
          </w:tcPr>
          <w:p w14:paraId="7FC1F4C7">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7B72258E">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套</w:t>
            </w:r>
          </w:p>
        </w:tc>
        <w:tc>
          <w:tcPr>
            <w:tcW w:w="1696" w:type="dxa"/>
            <w:vAlign w:val="center"/>
          </w:tcPr>
          <w:p w14:paraId="791ADB2F">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伤口简易包扎</w:t>
            </w:r>
          </w:p>
        </w:tc>
      </w:tr>
      <w:tr w14:paraId="683F8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40" w:type="dxa"/>
            <w:vMerge w:val="continue"/>
            <w:vAlign w:val="center"/>
          </w:tcPr>
          <w:p w14:paraId="1903E081">
            <w:pPr>
              <w:jc w:val="left"/>
              <w:rPr>
                <w:rFonts w:hint="eastAsia" w:ascii="宋体" w:hAnsi="宋体" w:eastAsia="宋体" w:cs="宋体"/>
                <w:b/>
                <w:bCs/>
                <w:color w:val="auto"/>
                <w:kern w:val="0"/>
                <w:sz w:val="24"/>
                <w:szCs w:val="24"/>
                <w:highlight w:val="none"/>
              </w:rPr>
            </w:pPr>
          </w:p>
        </w:tc>
        <w:tc>
          <w:tcPr>
            <w:tcW w:w="719" w:type="dxa"/>
            <w:vAlign w:val="center"/>
          </w:tcPr>
          <w:p w14:paraId="34BEFCC3">
            <w:pPr>
              <w:numPr>
                <w:ilvl w:val="0"/>
                <w:numId w:val="7"/>
              </w:numPr>
              <w:ind w:left="454" w:hanging="454"/>
              <w:jc w:val="center"/>
              <w:rPr>
                <w:rFonts w:hint="eastAsia" w:ascii="宋体" w:hAnsi="宋体" w:eastAsia="宋体" w:cs="宋体"/>
                <w:color w:val="auto"/>
                <w:kern w:val="0"/>
                <w:sz w:val="24"/>
                <w:szCs w:val="24"/>
                <w:highlight w:val="none"/>
                <w:lang w:val="en-US" w:eastAsia="zh-CN"/>
              </w:rPr>
            </w:pPr>
          </w:p>
        </w:tc>
        <w:tc>
          <w:tcPr>
            <w:tcW w:w="1419" w:type="dxa"/>
            <w:vAlign w:val="center"/>
          </w:tcPr>
          <w:p w14:paraId="5EC1F295">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规章制度牌</w:t>
            </w:r>
          </w:p>
        </w:tc>
        <w:tc>
          <w:tcPr>
            <w:tcW w:w="2271" w:type="dxa"/>
            <w:vAlign w:val="center"/>
          </w:tcPr>
          <w:p w14:paraId="0FBE5F3C">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highlight w:val="none"/>
              </w:rPr>
              <w:t>符合国家、行业标准</w:t>
            </w:r>
          </w:p>
        </w:tc>
        <w:tc>
          <w:tcPr>
            <w:tcW w:w="982" w:type="dxa"/>
            <w:vAlign w:val="center"/>
          </w:tcPr>
          <w:p w14:paraId="3973C66A">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6</w:t>
            </w:r>
          </w:p>
        </w:tc>
        <w:tc>
          <w:tcPr>
            <w:tcW w:w="1132" w:type="dxa"/>
            <w:vAlign w:val="center"/>
          </w:tcPr>
          <w:p w14:paraId="2A0CC1C3">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05CBD94E">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块</w:t>
            </w:r>
          </w:p>
        </w:tc>
        <w:tc>
          <w:tcPr>
            <w:tcW w:w="1696" w:type="dxa"/>
            <w:vAlign w:val="center"/>
          </w:tcPr>
          <w:p w14:paraId="7E845C48">
            <w:pPr>
              <w:jc w:val="center"/>
              <w:rPr>
                <w:rFonts w:hint="eastAsia" w:ascii="宋体" w:hAnsi="宋体" w:eastAsia="宋体" w:cs="宋体"/>
                <w:color w:val="auto"/>
                <w:kern w:val="0"/>
                <w:sz w:val="24"/>
                <w:szCs w:val="24"/>
                <w:highlight w:val="none"/>
                <w:lang w:eastAsia="zh-CN"/>
              </w:rPr>
            </w:pPr>
          </w:p>
        </w:tc>
      </w:tr>
      <w:tr w14:paraId="677AC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40" w:type="dxa"/>
            <w:vMerge w:val="continue"/>
            <w:vAlign w:val="center"/>
          </w:tcPr>
          <w:p w14:paraId="234C4AA9">
            <w:pPr>
              <w:jc w:val="left"/>
              <w:rPr>
                <w:rFonts w:hint="eastAsia" w:ascii="宋体" w:hAnsi="宋体" w:eastAsia="宋体" w:cs="宋体"/>
                <w:b/>
                <w:bCs/>
                <w:color w:val="auto"/>
                <w:kern w:val="0"/>
                <w:sz w:val="24"/>
                <w:szCs w:val="24"/>
                <w:highlight w:val="none"/>
              </w:rPr>
            </w:pPr>
          </w:p>
        </w:tc>
        <w:tc>
          <w:tcPr>
            <w:tcW w:w="719" w:type="dxa"/>
            <w:vAlign w:val="center"/>
          </w:tcPr>
          <w:p w14:paraId="24A9E9D8">
            <w:pPr>
              <w:numPr>
                <w:ilvl w:val="0"/>
                <w:numId w:val="7"/>
              </w:numPr>
              <w:ind w:left="454" w:hanging="454"/>
              <w:jc w:val="center"/>
              <w:rPr>
                <w:rFonts w:hint="eastAsia" w:ascii="宋体" w:hAnsi="宋体" w:eastAsia="宋体" w:cs="宋体"/>
                <w:color w:val="auto"/>
                <w:kern w:val="0"/>
                <w:sz w:val="24"/>
                <w:szCs w:val="24"/>
                <w:highlight w:val="none"/>
                <w:lang w:val="en-US" w:eastAsia="zh-CN"/>
              </w:rPr>
            </w:pPr>
          </w:p>
        </w:tc>
        <w:tc>
          <w:tcPr>
            <w:tcW w:w="1419" w:type="dxa"/>
            <w:vAlign w:val="center"/>
          </w:tcPr>
          <w:p w14:paraId="367D92CC">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文件柜</w:t>
            </w:r>
          </w:p>
        </w:tc>
        <w:tc>
          <w:tcPr>
            <w:tcW w:w="2271" w:type="dxa"/>
            <w:vAlign w:val="center"/>
          </w:tcPr>
          <w:p w14:paraId="10EB5BFA">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highlight w:val="none"/>
              </w:rPr>
              <w:t>符合国家、行业标准</w:t>
            </w:r>
          </w:p>
        </w:tc>
        <w:tc>
          <w:tcPr>
            <w:tcW w:w="982" w:type="dxa"/>
            <w:vAlign w:val="center"/>
          </w:tcPr>
          <w:p w14:paraId="6E9B8F62">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1132" w:type="dxa"/>
            <w:vAlign w:val="center"/>
          </w:tcPr>
          <w:p w14:paraId="6362C7E5">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7E6E54F9">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个</w:t>
            </w:r>
          </w:p>
        </w:tc>
        <w:tc>
          <w:tcPr>
            <w:tcW w:w="1696" w:type="dxa"/>
            <w:vAlign w:val="center"/>
          </w:tcPr>
          <w:p w14:paraId="6C0C0661">
            <w:pPr>
              <w:jc w:val="center"/>
              <w:rPr>
                <w:rFonts w:hint="eastAsia" w:ascii="宋体" w:hAnsi="宋体" w:eastAsia="宋体" w:cs="宋体"/>
                <w:color w:val="auto"/>
                <w:kern w:val="0"/>
                <w:sz w:val="24"/>
                <w:szCs w:val="24"/>
                <w:highlight w:val="none"/>
                <w:lang w:eastAsia="zh-CN"/>
              </w:rPr>
            </w:pPr>
          </w:p>
        </w:tc>
      </w:tr>
      <w:tr w14:paraId="2F0A1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40" w:type="dxa"/>
            <w:vMerge w:val="continue"/>
            <w:vAlign w:val="center"/>
          </w:tcPr>
          <w:p w14:paraId="0A80FC79">
            <w:pPr>
              <w:jc w:val="left"/>
              <w:rPr>
                <w:rFonts w:hint="eastAsia" w:ascii="宋体" w:hAnsi="宋体" w:eastAsia="宋体" w:cs="宋体"/>
                <w:b/>
                <w:bCs/>
                <w:color w:val="auto"/>
                <w:kern w:val="0"/>
                <w:sz w:val="24"/>
                <w:szCs w:val="24"/>
                <w:highlight w:val="none"/>
              </w:rPr>
            </w:pPr>
          </w:p>
        </w:tc>
        <w:tc>
          <w:tcPr>
            <w:tcW w:w="719" w:type="dxa"/>
            <w:vAlign w:val="center"/>
          </w:tcPr>
          <w:p w14:paraId="4D86D047">
            <w:pPr>
              <w:numPr>
                <w:ilvl w:val="0"/>
                <w:numId w:val="7"/>
              </w:numPr>
              <w:ind w:left="454" w:hanging="454"/>
              <w:jc w:val="center"/>
              <w:rPr>
                <w:rFonts w:hint="eastAsia" w:ascii="宋体" w:hAnsi="宋体" w:eastAsia="宋体" w:cs="宋体"/>
                <w:color w:val="auto"/>
                <w:kern w:val="0"/>
                <w:sz w:val="24"/>
                <w:szCs w:val="24"/>
                <w:highlight w:val="none"/>
                <w:lang w:val="en-US" w:eastAsia="zh-CN"/>
              </w:rPr>
            </w:pPr>
          </w:p>
        </w:tc>
        <w:tc>
          <w:tcPr>
            <w:tcW w:w="1419" w:type="dxa"/>
            <w:vAlign w:val="center"/>
          </w:tcPr>
          <w:p w14:paraId="4D5A3346">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应急灯</w:t>
            </w:r>
          </w:p>
        </w:tc>
        <w:tc>
          <w:tcPr>
            <w:tcW w:w="2271" w:type="dxa"/>
            <w:vAlign w:val="center"/>
          </w:tcPr>
          <w:p w14:paraId="06A76D3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符合国家、行业标准</w:t>
            </w:r>
          </w:p>
        </w:tc>
        <w:tc>
          <w:tcPr>
            <w:tcW w:w="982" w:type="dxa"/>
            <w:vAlign w:val="center"/>
          </w:tcPr>
          <w:p w14:paraId="0EC0DB0A">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w:t>
            </w:r>
          </w:p>
        </w:tc>
        <w:tc>
          <w:tcPr>
            <w:tcW w:w="1132" w:type="dxa"/>
            <w:vAlign w:val="center"/>
          </w:tcPr>
          <w:p w14:paraId="52E78F70">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56513337">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盏</w:t>
            </w:r>
          </w:p>
        </w:tc>
        <w:tc>
          <w:tcPr>
            <w:tcW w:w="1696" w:type="dxa"/>
            <w:vAlign w:val="center"/>
          </w:tcPr>
          <w:p w14:paraId="42F5A5BA">
            <w:pPr>
              <w:jc w:val="center"/>
              <w:rPr>
                <w:rFonts w:hint="eastAsia" w:ascii="宋体" w:hAnsi="宋体" w:eastAsia="宋体" w:cs="宋体"/>
                <w:color w:val="auto"/>
                <w:kern w:val="0"/>
                <w:sz w:val="24"/>
                <w:szCs w:val="24"/>
                <w:highlight w:val="none"/>
                <w:lang w:eastAsia="zh-CN"/>
              </w:rPr>
            </w:pPr>
          </w:p>
        </w:tc>
      </w:tr>
      <w:tr w14:paraId="1F9C9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40" w:type="dxa"/>
            <w:vMerge w:val="continue"/>
            <w:vAlign w:val="center"/>
          </w:tcPr>
          <w:p w14:paraId="07815286">
            <w:pPr>
              <w:jc w:val="left"/>
              <w:rPr>
                <w:rFonts w:hint="eastAsia" w:ascii="宋体" w:hAnsi="宋体" w:eastAsia="宋体" w:cs="宋体"/>
                <w:b/>
                <w:bCs/>
                <w:color w:val="auto"/>
                <w:kern w:val="0"/>
                <w:sz w:val="24"/>
                <w:szCs w:val="24"/>
                <w:highlight w:val="none"/>
              </w:rPr>
            </w:pPr>
          </w:p>
        </w:tc>
        <w:tc>
          <w:tcPr>
            <w:tcW w:w="719" w:type="dxa"/>
            <w:vAlign w:val="center"/>
          </w:tcPr>
          <w:p w14:paraId="17EC4878">
            <w:pPr>
              <w:numPr>
                <w:ilvl w:val="0"/>
                <w:numId w:val="7"/>
              </w:numPr>
              <w:ind w:left="454" w:hanging="454"/>
              <w:jc w:val="center"/>
              <w:rPr>
                <w:rFonts w:hint="eastAsia" w:ascii="宋体" w:hAnsi="宋体" w:eastAsia="宋体" w:cs="宋体"/>
                <w:color w:val="auto"/>
                <w:kern w:val="0"/>
                <w:sz w:val="24"/>
                <w:szCs w:val="24"/>
                <w:highlight w:val="none"/>
                <w:lang w:val="en-US" w:eastAsia="zh-CN"/>
              </w:rPr>
            </w:pPr>
          </w:p>
        </w:tc>
        <w:tc>
          <w:tcPr>
            <w:tcW w:w="1419" w:type="dxa"/>
            <w:vAlign w:val="center"/>
          </w:tcPr>
          <w:p w14:paraId="423E88EA">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草包</w:t>
            </w:r>
          </w:p>
        </w:tc>
        <w:tc>
          <w:tcPr>
            <w:tcW w:w="2271" w:type="dxa"/>
            <w:vAlign w:val="center"/>
          </w:tcPr>
          <w:p w14:paraId="5AFFB41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符合国家、行业标准</w:t>
            </w:r>
          </w:p>
        </w:tc>
        <w:tc>
          <w:tcPr>
            <w:tcW w:w="982" w:type="dxa"/>
            <w:vAlign w:val="center"/>
          </w:tcPr>
          <w:p w14:paraId="731211E4">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60</w:t>
            </w:r>
          </w:p>
        </w:tc>
        <w:tc>
          <w:tcPr>
            <w:tcW w:w="1132" w:type="dxa"/>
            <w:vAlign w:val="center"/>
          </w:tcPr>
          <w:p w14:paraId="54A403F4">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26B34498">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只</w:t>
            </w:r>
          </w:p>
        </w:tc>
        <w:tc>
          <w:tcPr>
            <w:tcW w:w="1696" w:type="dxa"/>
            <w:vAlign w:val="center"/>
          </w:tcPr>
          <w:p w14:paraId="26708656">
            <w:pPr>
              <w:jc w:val="center"/>
              <w:rPr>
                <w:rFonts w:hint="eastAsia" w:ascii="宋体" w:hAnsi="宋体" w:eastAsia="宋体" w:cs="宋体"/>
                <w:color w:val="auto"/>
                <w:kern w:val="0"/>
                <w:sz w:val="24"/>
                <w:szCs w:val="24"/>
                <w:highlight w:val="none"/>
                <w:lang w:eastAsia="zh-CN"/>
              </w:rPr>
            </w:pPr>
          </w:p>
        </w:tc>
      </w:tr>
      <w:tr w14:paraId="08956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40" w:type="dxa"/>
            <w:vMerge w:val="continue"/>
            <w:vAlign w:val="center"/>
          </w:tcPr>
          <w:p w14:paraId="5E728D68">
            <w:pPr>
              <w:jc w:val="left"/>
              <w:rPr>
                <w:rFonts w:hint="eastAsia" w:ascii="宋体" w:hAnsi="宋体" w:eastAsia="宋体" w:cs="宋体"/>
                <w:b/>
                <w:bCs/>
                <w:color w:val="auto"/>
                <w:kern w:val="0"/>
                <w:sz w:val="24"/>
                <w:szCs w:val="24"/>
                <w:highlight w:val="none"/>
              </w:rPr>
            </w:pPr>
          </w:p>
        </w:tc>
        <w:tc>
          <w:tcPr>
            <w:tcW w:w="719" w:type="dxa"/>
            <w:vAlign w:val="center"/>
          </w:tcPr>
          <w:p w14:paraId="413249D8">
            <w:pPr>
              <w:numPr>
                <w:ilvl w:val="0"/>
                <w:numId w:val="7"/>
              </w:numPr>
              <w:ind w:left="454" w:hanging="454"/>
              <w:jc w:val="center"/>
              <w:rPr>
                <w:rFonts w:hint="eastAsia" w:ascii="宋体" w:hAnsi="宋体" w:eastAsia="宋体" w:cs="宋体"/>
                <w:color w:val="auto"/>
                <w:kern w:val="0"/>
                <w:sz w:val="24"/>
                <w:szCs w:val="24"/>
                <w:highlight w:val="none"/>
                <w:lang w:val="en-US" w:eastAsia="zh-CN"/>
              </w:rPr>
            </w:pPr>
          </w:p>
        </w:tc>
        <w:tc>
          <w:tcPr>
            <w:tcW w:w="1419" w:type="dxa"/>
            <w:vAlign w:val="center"/>
          </w:tcPr>
          <w:p w14:paraId="735B44A8">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安全帽</w:t>
            </w:r>
          </w:p>
        </w:tc>
        <w:tc>
          <w:tcPr>
            <w:tcW w:w="2271" w:type="dxa"/>
            <w:vAlign w:val="center"/>
          </w:tcPr>
          <w:p w14:paraId="14F39D3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符合国家、行业标准</w:t>
            </w:r>
          </w:p>
        </w:tc>
        <w:tc>
          <w:tcPr>
            <w:tcW w:w="982" w:type="dxa"/>
            <w:vAlign w:val="center"/>
          </w:tcPr>
          <w:p w14:paraId="676B3A28">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w:t>
            </w:r>
          </w:p>
        </w:tc>
        <w:tc>
          <w:tcPr>
            <w:tcW w:w="1132" w:type="dxa"/>
            <w:vAlign w:val="center"/>
          </w:tcPr>
          <w:p w14:paraId="6E4D5DD4">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3CEC2B9E">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顶</w:t>
            </w:r>
          </w:p>
        </w:tc>
        <w:tc>
          <w:tcPr>
            <w:tcW w:w="1696" w:type="dxa"/>
            <w:vAlign w:val="center"/>
          </w:tcPr>
          <w:p w14:paraId="384B8540">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按应急队伍实际人数配备</w:t>
            </w:r>
          </w:p>
        </w:tc>
      </w:tr>
      <w:tr w14:paraId="0274F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40" w:type="dxa"/>
            <w:vMerge w:val="continue"/>
            <w:vAlign w:val="center"/>
          </w:tcPr>
          <w:p w14:paraId="018677E2">
            <w:pPr>
              <w:jc w:val="left"/>
              <w:rPr>
                <w:rFonts w:hint="eastAsia" w:ascii="宋体" w:hAnsi="宋体" w:eastAsia="宋体" w:cs="宋体"/>
                <w:b/>
                <w:bCs/>
                <w:color w:val="auto"/>
                <w:kern w:val="0"/>
                <w:sz w:val="24"/>
                <w:szCs w:val="24"/>
                <w:highlight w:val="none"/>
              </w:rPr>
            </w:pPr>
          </w:p>
        </w:tc>
        <w:tc>
          <w:tcPr>
            <w:tcW w:w="719" w:type="dxa"/>
            <w:vAlign w:val="center"/>
          </w:tcPr>
          <w:p w14:paraId="4C77C78E">
            <w:pPr>
              <w:numPr>
                <w:ilvl w:val="0"/>
                <w:numId w:val="7"/>
              </w:numPr>
              <w:ind w:left="454" w:hanging="454"/>
              <w:jc w:val="center"/>
              <w:rPr>
                <w:rFonts w:hint="eastAsia" w:ascii="宋体" w:hAnsi="宋体" w:eastAsia="宋体" w:cs="宋体"/>
                <w:color w:val="auto"/>
                <w:kern w:val="0"/>
                <w:sz w:val="24"/>
                <w:szCs w:val="24"/>
                <w:highlight w:val="none"/>
                <w:lang w:val="en-US" w:eastAsia="zh-CN"/>
              </w:rPr>
            </w:pPr>
          </w:p>
        </w:tc>
        <w:tc>
          <w:tcPr>
            <w:tcW w:w="1419" w:type="dxa"/>
            <w:vAlign w:val="center"/>
          </w:tcPr>
          <w:p w14:paraId="0B6BEAE7">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反光背心</w:t>
            </w:r>
          </w:p>
        </w:tc>
        <w:tc>
          <w:tcPr>
            <w:tcW w:w="2271" w:type="dxa"/>
            <w:vAlign w:val="center"/>
          </w:tcPr>
          <w:p w14:paraId="5BDFFD3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符合国家、行业标准</w:t>
            </w:r>
          </w:p>
        </w:tc>
        <w:tc>
          <w:tcPr>
            <w:tcW w:w="982" w:type="dxa"/>
            <w:vAlign w:val="center"/>
          </w:tcPr>
          <w:p w14:paraId="28A2C9AA">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w:t>
            </w:r>
          </w:p>
        </w:tc>
        <w:tc>
          <w:tcPr>
            <w:tcW w:w="1132" w:type="dxa"/>
            <w:vAlign w:val="center"/>
          </w:tcPr>
          <w:p w14:paraId="55DE4887">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49B003BD">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件</w:t>
            </w:r>
          </w:p>
        </w:tc>
        <w:tc>
          <w:tcPr>
            <w:tcW w:w="1696" w:type="dxa"/>
            <w:vAlign w:val="center"/>
          </w:tcPr>
          <w:p w14:paraId="1663D5CA">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按应急队伍实际人数配备</w:t>
            </w:r>
          </w:p>
        </w:tc>
      </w:tr>
      <w:tr w14:paraId="47F12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40" w:type="dxa"/>
            <w:vMerge w:val="continue"/>
            <w:vAlign w:val="center"/>
          </w:tcPr>
          <w:p w14:paraId="6D794FC3">
            <w:pPr>
              <w:jc w:val="left"/>
              <w:rPr>
                <w:rFonts w:hint="eastAsia" w:ascii="宋体" w:hAnsi="宋体" w:eastAsia="宋体" w:cs="宋体"/>
                <w:b/>
                <w:bCs/>
                <w:color w:val="auto"/>
                <w:kern w:val="0"/>
                <w:sz w:val="24"/>
                <w:szCs w:val="24"/>
                <w:highlight w:val="none"/>
              </w:rPr>
            </w:pPr>
          </w:p>
        </w:tc>
        <w:tc>
          <w:tcPr>
            <w:tcW w:w="719" w:type="dxa"/>
            <w:vAlign w:val="center"/>
          </w:tcPr>
          <w:p w14:paraId="55ADF165">
            <w:pPr>
              <w:numPr>
                <w:ilvl w:val="0"/>
                <w:numId w:val="7"/>
              </w:numPr>
              <w:ind w:left="454" w:hanging="454"/>
              <w:jc w:val="center"/>
              <w:rPr>
                <w:rFonts w:hint="eastAsia" w:ascii="宋体" w:hAnsi="宋体" w:eastAsia="宋体" w:cs="宋体"/>
                <w:color w:val="auto"/>
                <w:kern w:val="0"/>
                <w:sz w:val="24"/>
                <w:szCs w:val="24"/>
                <w:highlight w:val="none"/>
                <w:lang w:val="en-US" w:eastAsia="zh-CN"/>
              </w:rPr>
            </w:pPr>
          </w:p>
        </w:tc>
        <w:tc>
          <w:tcPr>
            <w:tcW w:w="1419" w:type="dxa"/>
            <w:vAlign w:val="center"/>
          </w:tcPr>
          <w:p w14:paraId="7873852C">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爬梯</w:t>
            </w:r>
          </w:p>
        </w:tc>
        <w:tc>
          <w:tcPr>
            <w:tcW w:w="2271" w:type="dxa"/>
            <w:vAlign w:val="center"/>
          </w:tcPr>
          <w:p w14:paraId="32D02B7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符合国家、行业标准</w:t>
            </w:r>
          </w:p>
        </w:tc>
        <w:tc>
          <w:tcPr>
            <w:tcW w:w="982" w:type="dxa"/>
            <w:vAlign w:val="center"/>
          </w:tcPr>
          <w:p w14:paraId="65916CA6">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1132" w:type="dxa"/>
            <w:vAlign w:val="center"/>
          </w:tcPr>
          <w:p w14:paraId="0EFAB39A">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38871E7F">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把</w:t>
            </w:r>
          </w:p>
        </w:tc>
        <w:tc>
          <w:tcPr>
            <w:tcW w:w="1696" w:type="dxa"/>
            <w:vAlign w:val="center"/>
          </w:tcPr>
          <w:p w14:paraId="36C5DEA1">
            <w:pPr>
              <w:jc w:val="center"/>
              <w:rPr>
                <w:rFonts w:hint="eastAsia" w:ascii="宋体" w:hAnsi="宋体" w:eastAsia="宋体" w:cs="宋体"/>
                <w:color w:val="auto"/>
                <w:kern w:val="0"/>
                <w:sz w:val="24"/>
                <w:szCs w:val="24"/>
                <w:highlight w:val="none"/>
                <w:lang w:eastAsia="zh-CN"/>
              </w:rPr>
            </w:pPr>
          </w:p>
        </w:tc>
      </w:tr>
      <w:tr w14:paraId="161D3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40" w:type="dxa"/>
            <w:vMerge w:val="continue"/>
            <w:vAlign w:val="center"/>
          </w:tcPr>
          <w:p w14:paraId="76D6F37A">
            <w:pPr>
              <w:jc w:val="left"/>
              <w:rPr>
                <w:rFonts w:hint="eastAsia" w:ascii="宋体" w:hAnsi="宋体" w:eastAsia="宋体" w:cs="宋体"/>
                <w:b/>
                <w:bCs/>
                <w:color w:val="auto"/>
                <w:kern w:val="0"/>
                <w:sz w:val="24"/>
                <w:szCs w:val="24"/>
                <w:highlight w:val="none"/>
              </w:rPr>
            </w:pPr>
          </w:p>
        </w:tc>
        <w:tc>
          <w:tcPr>
            <w:tcW w:w="719" w:type="dxa"/>
            <w:vAlign w:val="center"/>
          </w:tcPr>
          <w:p w14:paraId="2A8C0591">
            <w:pPr>
              <w:numPr>
                <w:ilvl w:val="0"/>
                <w:numId w:val="7"/>
              </w:numPr>
              <w:ind w:left="454" w:hanging="454"/>
              <w:jc w:val="center"/>
              <w:rPr>
                <w:rFonts w:hint="eastAsia" w:ascii="宋体" w:hAnsi="宋体" w:eastAsia="宋体" w:cs="宋体"/>
                <w:color w:val="auto"/>
                <w:kern w:val="0"/>
                <w:sz w:val="24"/>
                <w:szCs w:val="24"/>
                <w:highlight w:val="none"/>
                <w:lang w:val="en-US" w:eastAsia="zh-CN"/>
              </w:rPr>
            </w:pPr>
          </w:p>
        </w:tc>
        <w:tc>
          <w:tcPr>
            <w:tcW w:w="1419" w:type="dxa"/>
            <w:vAlign w:val="center"/>
          </w:tcPr>
          <w:p w14:paraId="4219B41D">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2.6米</w:t>
            </w:r>
            <w:r>
              <w:rPr>
                <w:rFonts w:hint="eastAsia" w:ascii="宋体" w:hAnsi="宋体" w:eastAsia="宋体" w:cs="宋体"/>
                <w:color w:val="auto"/>
                <w:kern w:val="0"/>
                <w:sz w:val="24"/>
                <w:szCs w:val="24"/>
                <w:highlight w:val="none"/>
                <w:lang w:eastAsia="zh-CN"/>
              </w:rPr>
              <w:t>橡胶船</w:t>
            </w:r>
          </w:p>
        </w:tc>
        <w:tc>
          <w:tcPr>
            <w:tcW w:w="2271" w:type="dxa"/>
            <w:vAlign w:val="center"/>
          </w:tcPr>
          <w:p w14:paraId="65E939D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符合国家、行业标准</w:t>
            </w:r>
          </w:p>
        </w:tc>
        <w:tc>
          <w:tcPr>
            <w:tcW w:w="982" w:type="dxa"/>
            <w:vAlign w:val="center"/>
          </w:tcPr>
          <w:p w14:paraId="47BE5F00">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1132" w:type="dxa"/>
            <w:vAlign w:val="center"/>
          </w:tcPr>
          <w:p w14:paraId="14C01F6D">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212020AD">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艘</w:t>
            </w:r>
          </w:p>
        </w:tc>
        <w:tc>
          <w:tcPr>
            <w:tcW w:w="1696" w:type="dxa"/>
            <w:vAlign w:val="center"/>
          </w:tcPr>
          <w:p w14:paraId="49E7C541">
            <w:pPr>
              <w:jc w:val="center"/>
              <w:rPr>
                <w:rFonts w:hint="eastAsia" w:ascii="宋体" w:hAnsi="宋体" w:eastAsia="宋体" w:cs="宋体"/>
                <w:color w:val="auto"/>
                <w:kern w:val="0"/>
                <w:sz w:val="24"/>
                <w:szCs w:val="24"/>
                <w:highlight w:val="none"/>
                <w:lang w:eastAsia="zh-CN"/>
              </w:rPr>
            </w:pPr>
          </w:p>
        </w:tc>
      </w:tr>
      <w:tr w14:paraId="2F279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40" w:type="dxa"/>
            <w:vMerge w:val="continue"/>
            <w:vAlign w:val="center"/>
          </w:tcPr>
          <w:p w14:paraId="0553AFA0">
            <w:pPr>
              <w:jc w:val="left"/>
              <w:rPr>
                <w:rFonts w:hint="eastAsia" w:ascii="宋体" w:hAnsi="宋体" w:eastAsia="宋体" w:cs="宋体"/>
                <w:b/>
                <w:bCs/>
                <w:color w:val="auto"/>
                <w:kern w:val="0"/>
                <w:sz w:val="24"/>
                <w:szCs w:val="24"/>
                <w:highlight w:val="none"/>
              </w:rPr>
            </w:pPr>
          </w:p>
        </w:tc>
        <w:tc>
          <w:tcPr>
            <w:tcW w:w="719" w:type="dxa"/>
            <w:vAlign w:val="center"/>
          </w:tcPr>
          <w:p w14:paraId="6F07F330">
            <w:pPr>
              <w:numPr>
                <w:ilvl w:val="0"/>
                <w:numId w:val="7"/>
              </w:numPr>
              <w:ind w:left="454" w:hanging="454"/>
              <w:jc w:val="center"/>
              <w:rPr>
                <w:rFonts w:hint="eastAsia" w:ascii="宋体" w:hAnsi="宋体" w:eastAsia="宋体" w:cs="宋体"/>
                <w:color w:val="auto"/>
                <w:kern w:val="0"/>
                <w:sz w:val="24"/>
                <w:szCs w:val="24"/>
                <w:highlight w:val="none"/>
                <w:lang w:val="en-US" w:eastAsia="zh-CN"/>
              </w:rPr>
            </w:pPr>
          </w:p>
        </w:tc>
        <w:tc>
          <w:tcPr>
            <w:tcW w:w="1419" w:type="dxa"/>
            <w:vAlign w:val="center"/>
          </w:tcPr>
          <w:p w14:paraId="70A88BF7">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eastAsia="zh-CN"/>
              </w:rPr>
              <w:t>手推车</w:t>
            </w:r>
          </w:p>
        </w:tc>
        <w:tc>
          <w:tcPr>
            <w:tcW w:w="2271" w:type="dxa"/>
            <w:vAlign w:val="center"/>
          </w:tcPr>
          <w:p w14:paraId="4E7B3B8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符合国家、行业标准</w:t>
            </w:r>
          </w:p>
        </w:tc>
        <w:tc>
          <w:tcPr>
            <w:tcW w:w="982" w:type="dxa"/>
            <w:vAlign w:val="center"/>
          </w:tcPr>
          <w:p w14:paraId="23842689">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w:t>
            </w:r>
          </w:p>
        </w:tc>
        <w:tc>
          <w:tcPr>
            <w:tcW w:w="1132" w:type="dxa"/>
            <w:vAlign w:val="center"/>
          </w:tcPr>
          <w:p w14:paraId="05B50EB2">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4C485A22">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辆</w:t>
            </w:r>
          </w:p>
        </w:tc>
        <w:tc>
          <w:tcPr>
            <w:tcW w:w="1696" w:type="dxa"/>
            <w:vAlign w:val="center"/>
          </w:tcPr>
          <w:p w14:paraId="4A5C6FEB">
            <w:pPr>
              <w:jc w:val="center"/>
              <w:rPr>
                <w:rFonts w:hint="eastAsia" w:ascii="宋体" w:hAnsi="宋体" w:eastAsia="宋体" w:cs="宋体"/>
                <w:color w:val="auto"/>
                <w:kern w:val="0"/>
                <w:sz w:val="24"/>
                <w:szCs w:val="24"/>
                <w:highlight w:val="none"/>
                <w:lang w:eastAsia="zh-CN"/>
              </w:rPr>
            </w:pPr>
          </w:p>
        </w:tc>
      </w:tr>
      <w:tr w14:paraId="483EC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559" w:type="dxa"/>
            <w:gridSpan w:val="2"/>
            <w:vAlign w:val="center"/>
          </w:tcPr>
          <w:p w14:paraId="2CBE95DD">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管理要求</w:t>
            </w:r>
          </w:p>
        </w:tc>
        <w:tc>
          <w:tcPr>
            <w:tcW w:w="7977" w:type="dxa"/>
            <w:gridSpan w:val="6"/>
          </w:tcPr>
          <w:p w14:paraId="058A2A69">
            <w:pPr>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1.产品必须“三证齐全”。</w:t>
            </w:r>
          </w:p>
          <w:p w14:paraId="30B08618">
            <w:pPr>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2.物资的数量、品种和质量须</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确认。</w:t>
            </w:r>
          </w:p>
          <w:p w14:paraId="2A6010F4">
            <w:pPr>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3.公园</w:t>
            </w:r>
            <w:r>
              <w:rPr>
                <w:rFonts w:hint="eastAsia" w:ascii="宋体" w:hAnsi="宋体" w:eastAsia="宋体" w:cs="宋体"/>
                <w:color w:val="auto"/>
                <w:kern w:val="0"/>
                <w:sz w:val="24"/>
                <w:szCs w:val="24"/>
                <w:highlight w:val="none"/>
                <w:lang w:eastAsia="zh-CN"/>
              </w:rPr>
              <w:t>无</w:t>
            </w:r>
            <w:r>
              <w:rPr>
                <w:rFonts w:hint="eastAsia" w:ascii="宋体" w:hAnsi="宋体" w:eastAsia="宋体" w:cs="宋体"/>
                <w:color w:val="auto"/>
                <w:kern w:val="0"/>
                <w:sz w:val="24"/>
                <w:szCs w:val="24"/>
                <w:highlight w:val="none"/>
              </w:rPr>
              <w:t>库</w:t>
            </w:r>
            <w:r>
              <w:rPr>
                <w:rFonts w:hint="eastAsia" w:ascii="宋体" w:hAnsi="宋体" w:eastAsia="宋体" w:cs="宋体"/>
                <w:color w:val="auto"/>
                <w:kern w:val="0"/>
                <w:sz w:val="24"/>
                <w:szCs w:val="24"/>
                <w:highlight w:val="none"/>
                <w:lang w:eastAsia="zh-CN"/>
              </w:rPr>
              <w:t>存</w:t>
            </w:r>
            <w:r>
              <w:rPr>
                <w:rFonts w:hint="eastAsia" w:ascii="宋体" w:hAnsi="宋体" w:eastAsia="宋体" w:cs="宋体"/>
                <w:color w:val="auto"/>
                <w:kern w:val="0"/>
                <w:sz w:val="24"/>
                <w:szCs w:val="24"/>
                <w:highlight w:val="none"/>
              </w:rPr>
              <w:t>，中标</w:t>
            </w:r>
            <w:r>
              <w:rPr>
                <w:rFonts w:hint="eastAsia" w:ascii="宋体" w:hAnsi="宋体" w:eastAsia="宋体" w:cs="宋体"/>
                <w:color w:val="auto"/>
                <w:kern w:val="0"/>
                <w:sz w:val="24"/>
                <w:szCs w:val="24"/>
                <w:highlight w:val="none"/>
                <w:lang w:eastAsia="zh-CN"/>
              </w:rPr>
              <w:t>人</w:t>
            </w:r>
            <w:r>
              <w:rPr>
                <w:rFonts w:hint="eastAsia" w:ascii="宋体" w:hAnsi="宋体" w:eastAsia="宋体" w:cs="宋体"/>
                <w:color w:val="auto"/>
                <w:kern w:val="0"/>
                <w:sz w:val="24"/>
                <w:szCs w:val="24"/>
                <w:highlight w:val="none"/>
              </w:rPr>
              <w:t>需定期检查、盘点，及时按公园要求补充消耗、过期或失效的物资。</w:t>
            </w:r>
          </w:p>
        </w:tc>
      </w:tr>
    </w:tbl>
    <w:p w14:paraId="5C05E7A7">
      <w:pPr>
        <w:widowControl/>
        <w:tabs>
          <w:tab w:val="left" w:pos="851"/>
        </w:tabs>
        <w:adjustRightInd/>
        <w:spacing w:line="360" w:lineRule="auto"/>
        <w:ind w:firstLine="480" w:firstLineChars="200"/>
        <w:rPr>
          <w:rFonts w:hint="default"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⑥设施、设备维修维护类</w:t>
      </w:r>
    </w:p>
    <w:tbl>
      <w:tblPr>
        <w:tblStyle w:val="62"/>
        <w:tblW w:w="9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8236"/>
      </w:tblGrid>
      <w:tr w14:paraId="58479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1277" w:type="dxa"/>
            <w:vAlign w:val="center"/>
          </w:tcPr>
          <w:p w14:paraId="2E95E8F1">
            <w:pPr>
              <w:jc w:val="center"/>
              <w:rPr>
                <w:rFonts w:hint="default" w:ascii="宋体" w:eastAsia="宋体" w:cs="宋体"/>
                <w:b/>
                <w:bCs/>
                <w:color w:val="auto"/>
                <w:kern w:val="0"/>
                <w:sz w:val="24"/>
                <w:szCs w:val="24"/>
                <w:highlight w:val="none"/>
                <w:lang w:val="en-US" w:eastAsia="zh-CN"/>
              </w:rPr>
            </w:pPr>
            <w:r>
              <w:rPr>
                <w:rFonts w:hint="eastAsia" w:ascii="宋体" w:hAnsi="宋体" w:cs="宋体"/>
                <w:b/>
                <w:bCs/>
                <w:color w:val="auto"/>
                <w:kern w:val="0"/>
                <w:sz w:val="24"/>
                <w:szCs w:val="24"/>
                <w:highlight w:val="none"/>
                <w:lang w:val="en-US" w:eastAsia="zh-CN"/>
              </w:rPr>
              <w:t>维护要求</w:t>
            </w:r>
          </w:p>
        </w:tc>
        <w:tc>
          <w:tcPr>
            <w:tcW w:w="8236" w:type="dxa"/>
            <w:vAlign w:val="center"/>
          </w:tcPr>
          <w:p w14:paraId="1C0AA218">
            <w:pPr>
              <w:widowControl w:val="0"/>
              <w:rPr>
                <w:rFonts w:hint="default"/>
                <w:highlight w:val="none"/>
                <w:lang w:val="en-US" w:eastAsia="zh-CN"/>
              </w:rPr>
            </w:pPr>
            <w:r>
              <w:rPr>
                <w:rFonts w:hint="eastAsia" w:ascii="宋体" w:hAnsi="宋体" w:eastAsia="宋体" w:cs="宋体"/>
                <w:color w:val="auto"/>
                <w:sz w:val="24"/>
                <w:szCs w:val="24"/>
                <w:highlight w:val="none"/>
                <w:lang w:eastAsia="zh-CN"/>
              </w:rPr>
              <w:t>每年刷新维护内容及要求详见</w:t>
            </w:r>
            <w:r>
              <w:rPr>
                <w:rFonts w:hint="eastAsia" w:ascii="宋体" w:hAnsi="宋体" w:eastAsia="宋体" w:cs="宋体"/>
                <w:color w:val="auto"/>
                <w:sz w:val="24"/>
                <w:szCs w:val="24"/>
                <w:highlight w:val="none"/>
                <w:lang w:val="en-US" w:eastAsia="zh-CN"/>
              </w:rPr>
              <w:t>附件二</w:t>
            </w:r>
            <w:r>
              <w:rPr>
                <w:rFonts w:hint="eastAsia" w:ascii="宋体" w:hAnsi="宋体" w:eastAsia="宋体" w:cs="宋体"/>
                <w:color w:val="auto"/>
                <w:sz w:val="24"/>
                <w:szCs w:val="24"/>
                <w:highlight w:val="none"/>
                <w:lang w:eastAsia="zh-CN"/>
              </w:rPr>
              <w:t>，其中刷新维护</w:t>
            </w:r>
            <w:r>
              <w:rPr>
                <w:rFonts w:hint="eastAsia" w:ascii="宋体" w:hAnsi="宋体" w:eastAsia="宋体" w:cs="宋体"/>
                <w:color w:val="auto"/>
                <w:sz w:val="24"/>
                <w:szCs w:val="24"/>
                <w:highlight w:val="none"/>
              </w:rPr>
              <w:t>包含墙面刷漆、结构修补、防水修复和用电线路检修等</w:t>
            </w:r>
            <w:r>
              <w:rPr>
                <w:rFonts w:hint="eastAsia" w:ascii="宋体" w:hAnsi="宋体" w:eastAsia="宋体" w:cs="宋体"/>
                <w:color w:val="auto"/>
                <w:sz w:val="24"/>
                <w:szCs w:val="24"/>
                <w:highlight w:val="none"/>
                <w:lang w:eastAsia="zh-CN"/>
              </w:rPr>
              <w:t>，道路、广场等</w:t>
            </w:r>
            <w:r>
              <w:rPr>
                <w:rFonts w:hint="eastAsia" w:ascii="宋体" w:hAnsi="宋体" w:eastAsia="宋体" w:cs="宋体"/>
                <w:color w:val="auto"/>
                <w:sz w:val="24"/>
                <w:szCs w:val="24"/>
                <w:highlight w:val="none"/>
              </w:rPr>
              <w:t>硬质铺装维修根据公园实际情况安排修缮维护</w:t>
            </w:r>
            <w:r>
              <w:rPr>
                <w:rFonts w:hint="eastAsia" w:ascii="宋体" w:hAnsi="宋体" w:cs="宋体"/>
                <w:color w:val="auto"/>
                <w:sz w:val="24"/>
                <w:szCs w:val="24"/>
                <w:highlight w:val="none"/>
                <w:lang w:eastAsia="zh-CN"/>
              </w:rPr>
              <w:t>，</w:t>
            </w:r>
            <w:r>
              <w:rPr>
                <w:rFonts w:hint="eastAsia" w:ascii="宋体" w:hAnsi="宋体" w:eastAsia="宋体" w:cs="宋体"/>
                <w:color w:val="auto"/>
                <w:kern w:val="0"/>
                <w:sz w:val="24"/>
                <w:szCs w:val="24"/>
                <w:highlight w:val="none"/>
              </w:rPr>
              <w:t>应急抢修，主要包括供电及给排水等设施</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相关机械设备的维修保养、定期检修，清单附件二。不限于以上设施、设备维修，具体以</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实际需求情况为准</w:t>
            </w: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按实结算</w:t>
            </w:r>
            <w:r>
              <w:rPr>
                <w:rFonts w:hint="eastAsia" w:ascii="宋体" w:hAnsi="宋体" w:eastAsia="宋体" w:cs="宋体"/>
                <w:color w:val="auto"/>
                <w:kern w:val="0"/>
                <w:sz w:val="24"/>
                <w:szCs w:val="24"/>
                <w:highlight w:val="none"/>
              </w:rPr>
              <w:t>。</w:t>
            </w:r>
          </w:p>
        </w:tc>
      </w:tr>
      <w:tr w14:paraId="74FB9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1277" w:type="dxa"/>
            <w:vAlign w:val="center"/>
          </w:tcPr>
          <w:p w14:paraId="5C0C9FD4">
            <w:pPr>
              <w:jc w:val="center"/>
              <w:rPr>
                <w:rFonts w:asci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涉及主要材料要求</w:t>
            </w:r>
          </w:p>
        </w:tc>
        <w:tc>
          <w:tcPr>
            <w:tcW w:w="8236" w:type="dxa"/>
            <w:vAlign w:val="center"/>
          </w:tcPr>
          <w:p w14:paraId="6A38C092">
            <w:pPr>
              <w:widowControl w:val="0"/>
              <w:numPr>
                <w:ilvl w:val="0"/>
                <w:numId w:val="3"/>
              </w:numPr>
              <w:rPr>
                <w:rFonts w:ascii="宋体" w:eastAsia="宋体" w:cs="宋体"/>
                <w:color w:val="auto"/>
                <w:sz w:val="24"/>
                <w:szCs w:val="24"/>
                <w:highlight w:val="none"/>
              </w:rPr>
            </w:pPr>
            <w:r>
              <w:rPr>
                <w:rFonts w:hint="eastAsia" w:eastAsia="宋体"/>
                <w:bCs/>
                <w:color w:val="auto"/>
                <w:sz w:val="24"/>
                <w:szCs w:val="24"/>
                <w:highlight w:val="none"/>
              </w:rPr>
              <w:t>主要用于</w:t>
            </w:r>
            <w:r>
              <w:rPr>
                <w:rFonts w:hint="eastAsia" w:ascii="宋体" w:hAnsi="宋体" w:eastAsia="宋体" w:cs="宋体"/>
                <w:color w:val="auto"/>
                <w:sz w:val="24"/>
                <w:szCs w:val="24"/>
                <w:highlight w:val="none"/>
              </w:rPr>
              <w:t>园内建筑物、地面、护栏、标识、健身器材、水电设施、垃圾分类点等较大型的设施、设备的常规刷新、维护维修所涉及的</w:t>
            </w:r>
            <w:r>
              <w:rPr>
                <w:rFonts w:hint="eastAsia" w:ascii="宋体" w:hAnsi="宋体" w:eastAsia="宋体" w:cs="宋体"/>
                <w:color w:val="auto"/>
                <w:kern w:val="0"/>
                <w:sz w:val="24"/>
                <w:szCs w:val="24"/>
                <w:highlight w:val="none"/>
              </w:rPr>
              <w:t>油漆、砂石、铺装材料、管线、五金等基本材料</w:t>
            </w:r>
            <w:r>
              <w:rPr>
                <w:rFonts w:hint="eastAsia" w:ascii="宋体" w:hAnsi="宋体" w:eastAsia="宋体" w:cs="宋体"/>
                <w:color w:val="auto"/>
                <w:sz w:val="24"/>
                <w:szCs w:val="24"/>
                <w:highlight w:val="none"/>
              </w:rPr>
              <w:t>，包括但不限于</w:t>
            </w:r>
            <w:r>
              <w:rPr>
                <w:rFonts w:ascii="宋体" w:hAnsi="宋体" w:eastAsia="宋体" w:cs="宋体"/>
                <w:color w:val="auto"/>
                <w:sz w:val="24"/>
                <w:szCs w:val="24"/>
                <w:highlight w:val="none"/>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监控</w:t>
            </w:r>
            <w:r>
              <w:rPr>
                <w:rFonts w:hint="eastAsia" w:ascii="宋体" w:hAnsi="宋体" w:eastAsia="宋体" w:cs="宋体"/>
                <w:color w:val="auto"/>
                <w:sz w:val="24"/>
                <w:szCs w:val="24"/>
                <w:highlight w:val="none"/>
              </w:rPr>
              <w:t>广播系统、</w:t>
            </w:r>
            <w:r>
              <w:rPr>
                <w:rFonts w:hint="eastAsia" w:ascii="宋体" w:hAnsi="宋体" w:eastAsia="宋体" w:cs="宋体"/>
                <w:color w:val="auto"/>
                <w:sz w:val="24"/>
                <w:szCs w:val="24"/>
                <w:highlight w:val="none"/>
                <w:lang w:eastAsia="zh-CN"/>
              </w:rPr>
              <w:t>喷灌系统、雾森系统、智慧灯杆、</w:t>
            </w:r>
            <w:r>
              <w:rPr>
                <w:rFonts w:hint="eastAsia" w:ascii="宋体" w:hAnsi="宋体" w:eastAsia="宋体" w:cs="宋体"/>
                <w:color w:val="auto"/>
                <w:sz w:val="24"/>
                <w:szCs w:val="24"/>
                <w:highlight w:val="none"/>
                <w:lang w:val="en-US" w:eastAsia="zh-CN"/>
              </w:rPr>
              <w:t>LED屏</w:t>
            </w:r>
            <w:r>
              <w:rPr>
                <w:rFonts w:hint="eastAsia" w:ascii="宋体" w:hAnsi="宋体" w:eastAsia="宋体" w:cs="宋体"/>
                <w:color w:val="auto"/>
                <w:sz w:val="24"/>
                <w:szCs w:val="24"/>
                <w:highlight w:val="none"/>
                <w:lang w:eastAsia="zh-CN"/>
              </w:rPr>
              <w:t>等相关设备维修、</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）加压泵、水池、消防设施及供水设施维修、</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）塑木栏杆维修、</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）石柱栏杆铁链维护、</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）亭廊等建筑物维护、</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）办公楼及设备维护、</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）供电设备维护、</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其他设施、设备维护。</w:t>
            </w:r>
          </w:p>
          <w:p w14:paraId="6D32CEB6">
            <w:pPr>
              <w:widowControl w:val="0"/>
              <w:rPr>
                <w:rFonts w:ascii="宋体" w:eastAsia="宋体" w:cs="宋体"/>
                <w:color w:val="auto"/>
                <w:sz w:val="24"/>
                <w:szCs w:val="24"/>
                <w:highlight w:val="none"/>
              </w:rPr>
            </w:pPr>
            <w:r>
              <w:rPr>
                <w:rFonts w:ascii="宋体" w:hAnsi="宋体" w:eastAsia="宋体" w:cs="宋体"/>
                <w:color w:val="auto"/>
                <w:sz w:val="24"/>
                <w:szCs w:val="24"/>
                <w:highlight w:val="none"/>
              </w:rPr>
              <w:t>2.</w:t>
            </w:r>
            <w:r>
              <w:rPr>
                <w:rFonts w:hint="eastAsia" w:ascii="宋体" w:hAnsi="宋体" w:eastAsia="宋体" w:cs="宋体"/>
                <w:color w:val="auto"/>
                <w:sz w:val="24"/>
                <w:szCs w:val="24"/>
                <w:highlight w:val="none"/>
              </w:rPr>
              <w:t>维修维护所用材料配件要求与原本保持一致，若因停产或加工定制原因无法保持一致时，须经</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同意且不低于原本规格及质量标准。</w:t>
            </w:r>
          </w:p>
        </w:tc>
      </w:tr>
      <w:tr w14:paraId="600F0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277" w:type="dxa"/>
            <w:vAlign w:val="center"/>
          </w:tcPr>
          <w:p w14:paraId="19F79873">
            <w:pPr>
              <w:jc w:val="center"/>
              <w:rPr>
                <w:rFonts w:asci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管理要求</w:t>
            </w:r>
          </w:p>
        </w:tc>
        <w:tc>
          <w:tcPr>
            <w:tcW w:w="8236" w:type="dxa"/>
            <w:vAlign w:val="center"/>
          </w:tcPr>
          <w:p w14:paraId="7C802076">
            <w:pPr>
              <w:widowControl w:val="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1.采购人根据近年设施修缮及维护情况，具体约定每年完成维护修缮的设施量、质量要求和扣罚标准，不达标予以扣罚。</w:t>
            </w:r>
          </w:p>
          <w:p w14:paraId="7B3949CC">
            <w:pPr>
              <w:widowControl w:val="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2.设施修缮改造费用由采购人委托相关结算审核部门审核后支付（结算时按本项目整体中标下浮率下浮）。</w:t>
            </w:r>
          </w:p>
          <w:p w14:paraId="3BB643F6">
            <w:pPr>
              <w:widowControl w:val="0"/>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lang w:val="en-US" w:eastAsia="zh-CN"/>
              </w:rPr>
              <w:t>.修缮范围不包括外包服务、经营单位使用的物业或设施。</w:t>
            </w:r>
          </w:p>
          <w:p w14:paraId="4360BF2B">
            <w:pPr>
              <w:widowControl w:val="0"/>
              <w:rPr>
                <w:rFonts w:hint="default" w:eastAsia="宋体"/>
                <w:color w:val="auto"/>
                <w:sz w:val="24"/>
                <w:szCs w:val="24"/>
                <w:highlight w:val="none"/>
                <w:lang w:val="en-US"/>
              </w:rPr>
            </w:pPr>
            <w:r>
              <w:rPr>
                <w:rFonts w:hint="eastAsia" w:ascii="宋体" w:hAnsi="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lang w:val="en-US" w:eastAsia="zh-CN"/>
              </w:rPr>
              <w:t>.中标人需在采购人提出维修需求后24小时之内响应，维修计划以及完成时间需与采购人协商确</w:t>
            </w:r>
            <w:r>
              <w:rPr>
                <w:rFonts w:hint="eastAsia" w:ascii="宋体" w:hAnsi="宋体" w:cs="宋体"/>
                <w:color w:val="auto"/>
                <w:kern w:val="0"/>
                <w:sz w:val="24"/>
                <w:szCs w:val="24"/>
                <w:highlight w:val="none"/>
                <w:lang w:val="en-US" w:eastAsia="zh-CN"/>
              </w:rPr>
              <w:t>定。</w:t>
            </w:r>
          </w:p>
        </w:tc>
      </w:tr>
    </w:tbl>
    <w:p w14:paraId="283352B3">
      <w:pPr>
        <w:widowControl/>
        <w:tabs>
          <w:tab w:val="left" w:pos="851"/>
        </w:tabs>
        <w:adjustRightInd/>
        <w:spacing w:line="360" w:lineRule="auto"/>
        <w:ind w:firstLine="480" w:firstLineChars="200"/>
        <w:rPr>
          <w:rFonts w:hint="default"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⑦自动售卖机投放要求</w:t>
      </w:r>
    </w:p>
    <w:p w14:paraId="61A500FA">
      <w:pPr>
        <w:widowControl w:val="0"/>
        <w:adjustRightInd w:val="0"/>
        <w:spacing w:line="380" w:lineRule="exact"/>
        <w:ind w:firstLine="480"/>
        <w:jc w:val="both"/>
        <w:rPr>
          <w:rFonts w:hint="default" w:ascii="Times New Roman" w:hAnsi="Times New Roman" w:eastAsia="方正书宋简体" w:cs="Times New Roman"/>
          <w:color w:val="auto"/>
          <w:kern w:val="2"/>
          <w:sz w:val="24"/>
          <w:szCs w:val="24"/>
          <w:highlight w:val="none"/>
          <w:lang w:val="en-US" w:eastAsia="zh-CN" w:bidi="ar-SA"/>
        </w:rPr>
      </w:pPr>
      <w:r>
        <w:rPr>
          <w:rFonts w:hint="eastAsia" w:ascii="宋体" w:hAnsi="宋体" w:eastAsia="方正书宋简体" w:cs="宋体"/>
          <w:b/>
          <w:color w:val="auto"/>
          <w:kern w:val="0"/>
          <w:sz w:val="24"/>
          <w:szCs w:val="24"/>
          <w:highlight w:val="none"/>
          <w:lang w:val="en-US" w:eastAsia="zh-CN" w:bidi="ar-SA"/>
        </w:rPr>
        <w:t>a.投标区域及数量</w:t>
      </w:r>
    </w:p>
    <w:tbl>
      <w:tblPr>
        <w:tblStyle w:val="63"/>
        <w:tblW w:w="8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9"/>
        <w:gridCol w:w="3871"/>
        <w:gridCol w:w="1679"/>
        <w:gridCol w:w="2089"/>
      </w:tblGrid>
      <w:tr w14:paraId="5A69C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099" w:type="dxa"/>
            <w:noWrap w:val="0"/>
            <w:vAlign w:val="center"/>
          </w:tcPr>
          <w:p w14:paraId="75D7B5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
                <w:bCs/>
                <w:color w:val="auto"/>
                <w:sz w:val="24"/>
                <w:szCs w:val="24"/>
                <w:highlight w:val="none"/>
                <w:u w:val="none"/>
                <w:vertAlign w:val="baseline"/>
                <w:lang w:val="en-US" w:eastAsia="zh-CN"/>
              </w:rPr>
            </w:pPr>
            <w:r>
              <w:rPr>
                <w:rFonts w:hint="eastAsia" w:ascii="宋体" w:hAnsi="宋体" w:eastAsia="宋体" w:cs="宋体"/>
                <w:b/>
                <w:bCs/>
                <w:color w:val="auto"/>
                <w:sz w:val="24"/>
                <w:szCs w:val="24"/>
                <w:highlight w:val="none"/>
                <w:u w:val="none"/>
                <w:vertAlign w:val="baseline"/>
                <w:lang w:val="en-US" w:eastAsia="zh-CN"/>
              </w:rPr>
              <w:t>序号</w:t>
            </w:r>
          </w:p>
        </w:tc>
        <w:tc>
          <w:tcPr>
            <w:tcW w:w="3871" w:type="dxa"/>
            <w:noWrap w:val="0"/>
            <w:vAlign w:val="center"/>
          </w:tcPr>
          <w:p w14:paraId="495FF0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auto"/>
                <w:sz w:val="24"/>
                <w:szCs w:val="24"/>
                <w:highlight w:val="none"/>
                <w:u w:val="none"/>
                <w:vertAlign w:val="baseline"/>
                <w:lang w:val="en-US" w:eastAsia="zh-CN"/>
              </w:rPr>
            </w:pPr>
            <w:r>
              <w:rPr>
                <w:rFonts w:hint="eastAsia" w:ascii="宋体" w:hAnsi="宋体" w:eastAsia="宋体" w:cs="宋体"/>
                <w:b/>
                <w:bCs/>
                <w:color w:val="auto"/>
                <w:sz w:val="24"/>
                <w:szCs w:val="24"/>
                <w:highlight w:val="none"/>
                <w:u w:val="none"/>
                <w:vertAlign w:val="baseline"/>
                <w:lang w:val="en-US" w:eastAsia="zh-CN"/>
              </w:rPr>
              <w:t>公园名称</w:t>
            </w:r>
          </w:p>
        </w:tc>
        <w:tc>
          <w:tcPr>
            <w:tcW w:w="1679" w:type="dxa"/>
            <w:noWrap w:val="0"/>
            <w:vAlign w:val="center"/>
          </w:tcPr>
          <w:p w14:paraId="63C6C9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auto"/>
                <w:sz w:val="24"/>
                <w:szCs w:val="24"/>
                <w:highlight w:val="none"/>
                <w:u w:val="none"/>
                <w:vertAlign w:val="baseline"/>
                <w:lang w:val="en-US" w:eastAsia="zh-CN"/>
              </w:rPr>
            </w:pPr>
            <w:r>
              <w:rPr>
                <w:rFonts w:hint="eastAsia" w:ascii="宋体" w:hAnsi="宋体" w:eastAsia="宋体" w:cs="宋体"/>
                <w:b/>
                <w:bCs/>
                <w:color w:val="auto"/>
                <w:sz w:val="24"/>
                <w:szCs w:val="24"/>
                <w:highlight w:val="none"/>
                <w:u w:val="none"/>
                <w:vertAlign w:val="baseline"/>
                <w:lang w:val="en-US" w:eastAsia="zh-CN"/>
              </w:rPr>
              <w:t>数量</w:t>
            </w:r>
          </w:p>
        </w:tc>
        <w:tc>
          <w:tcPr>
            <w:tcW w:w="2089" w:type="dxa"/>
            <w:noWrap w:val="0"/>
            <w:vAlign w:val="center"/>
          </w:tcPr>
          <w:p w14:paraId="306798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
                <w:bCs/>
                <w:color w:val="auto"/>
                <w:sz w:val="24"/>
                <w:szCs w:val="24"/>
                <w:highlight w:val="none"/>
                <w:u w:val="none"/>
                <w:vertAlign w:val="baseline"/>
                <w:lang w:val="en-US" w:eastAsia="zh-CN"/>
              </w:rPr>
            </w:pPr>
            <w:r>
              <w:rPr>
                <w:rFonts w:hint="eastAsia" w:ascii="宋体" w:hAnsi="宋体" w:eastAsia="宋体" w:cs="宋体"/>
                <w:b/>
                <w:bCs/>
                <w:color w:val="auto"/>
                <w:sz w:val="24"/>
                <w:szCs w:val="24"/>
                <w:highlight w:val="none"/>
                <w:u w:val="none"/>
                <w:vertAlign w:val="baseline"/>
                <w:lang w:val="en-US" w:eastAsia="zh-CN"/>
              </w:rPr>
              <w:t>单位</w:t>
            </w:r>
          </w:p>
        </w:tc>
      </w:tr>
      <w:tr w14:paraId="6BEC0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099" w:type="dxa"/>
            <w:noWrap w:val="0"/>
            <w:vAlign w:val="center"/>
          </w:tcPr>
          <w:p w14:paraId="52E95A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4"/>
                <w:szCs w:val="24"/>
                <w:highlight w:val="none"/>
                <w:u w:val="none"/>
                <w:vertAlign w:val="baseline"/>
                <w:lang w:val="en-US" w:eastAsia="zh-CN"/>
              </w:rPr>
            </w:pPr>
            <w:r>
              <w:rPr>
                <w:rFonts w:hint="eastAsia" w:ascii="宋体" w:hAnsi="宋体" w:eastAsia="宋体" w:cs="宋体"/>
                <w:color w:val="auto"/>
                <w:sz w:val="24"/>
                <w:szCs w:val="24"/>
                <w:highlight w:val="none"/>
                <w:u w:val="none"/>
                <w:vertAlign w:val="baseline"/>
                <w:lang w:val="en-US" w:eastAsia="zh-CN"/>
              </w:rPr>
              <w:t>1</w:t>
            </w:r>
          </w:p>
        </w:tc>
        <w:tc>
          <w:tcPr>
            <w:tcW w:w="3871" w:type="dxa"/>
            <w:noWrap w:val="0"/>
            <w:vAlign w:val="center"/>
          </w:tcPr>
          <w:p w14:paraId="650639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4"/>
                <w:szCs w:val="24"/>
                <w:highlight w:val="none"/>
                <w:u w:val="none"/>
                <w:vertAlign w:val="baseline"/>
                <w:lang w:val="en-US" w:eastAsia="zh-CN"/>
              </w:rPr>
            </w:pPr>
            <w:r>
              <w:rPr>
                <w:rFonts w:hint="eastAsia" w:ascii="宋体" w:hAnsi="宋体" w:eastAsia="宋体" w:cs="宋体"/>
                <w:color w:val="auto"/>
                <w:sz w:val="24"/>
                <w:szCs w:val="24"/>
                <w:highlight w:val="none"/>
                <w:u w:val="none"/>
                <w:vertAlign w:val="baseline"/>
                <w:lang w:val="en-US" w:eastAsia="zh-CN"/>
              </w:rPr>
              <w:t>青林湾公园</w:t>
            </w:r>
          </w:p>
        </w:tc>
        <w:tc>
          <w:tcPr>
            <w:tcW w:w="1679" w:type="dxa"/>
            <w:noWrap w:val="0"/>
            <w:vAlign w:val="center"/>
          </w:tcPr>
          <w:p w14:paraId="2B5EED5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4"/>
                <w:szCs w:val="24"/>
                <w:highlight w:val="none"/>
                <w:u w:val="none"/>
                <w:vertAlign w:val="baseline"/>
                <w:lang w:val="en-US" w:eastAsia="zh-CN"/>
              </w:rPr>
            </w:pPr>
            <w:r>
              <w:rPr>
                <w:rFonts w:hint="eastAsia" w:ascii="宋体" w:hAnsi="宋体" w:eastAsia="宋体" w:cs="宋体"/>
                <w:color w:val="auto"/>
                <w:sz w:val="24"/>
                <w:szCs w:val="24"/>
                <w:highlight w:val="none"/>
                <w:u w:val="none"/>
                <w:vertAlign w:val="baseline"/>
                <w:lang w:val="en-US" w:eastAsia="zh-CN"/>
              </w:rPr>
              <w:t>1</w:t>
            </w:r>
          </w:p>
        </w:tc>
        <w:tc>
          <w:tcPr>
            <w:tcW w:w="2089" w:type="dxa"/>
            <w:noWrap w:val="0"/>
            <w:vAlign w:val="center"/>
          </w:tcPr>
          <w:p w14:paraId="59EBAF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4"/>
                <w:szCs w:val="24"/>
                <w:highlight w:val="none"/>
                <w:u w:val="none"/>
                <w:vertAlign w:val="baseline"/>
                <w:lang w:val="en-US" w:eastAsia="zh-CN"/>
              </w:rPr>
            </w:pPr>
            <w:r>
              <w:rPr>
                <w:rFonts w:hint="eastAsia" w:ascii="宋体" w:hAnsi="宋体" w:eastAsia="宋体" w:cs="宋体"/>
                <w:color w:val="auto"/>
                <w:sz w:val="24"/>
                <w:szCs w:val="24"/>
                <w:highlight w:val="none"/>
                <w:u w:val="none"/>
                <w:vertAlign w:val="baseline"/>
                <w:lang w:val="en-US" w:eastAsia="zh-CN"/>
              </w:rPr>
              <w:t>台</w:t>
            </w:r>
          </w:p>
        </w:tc>
      </w:tr>
      <w:tr w14:paraId="361D7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099" w:type="dxa"/>
            <w:noWrap w:val="0"/>
            <w:vAlign w:val="center"/>
          </w:tcPr>
          <w:p w14:paraId="58A512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4"/>
                <w:szCs w:val="24"/>
                <w:highlight w:val="none"/>
                <w:u w:val="none"/>
                <w:vertAlign w:val="baseline"/>
                <w:lang w:val="en-US" w:eastAsia="zh-CN"/>
              </w:rPr>
            </w:pPr>
            <w:r>
              <w:rPr>
                <w:rFonts w:hint="eastAsia" w:ascii="宋体" w:hAnsi="宋体" w:eastAsia="宋体" w:cs="宋体"/>
                <w:color w:val="auto"/>
                <w:sz w:val="24"/>
                <w:szCs w:val="24"/>
                <w:highlight w:val="none"/>
                <w:u w:val="none"/>
                <w:vertAlign w:val="baseline"/>
                <w:lang w:val="en-US" w:eastAsia="zh-CN"/>
              </w:rPr>
              <w:t>2</w:t>
            </w:r>
          </w:p>
        </w:tc>
        <w:tc>
          <w:tcPr>
            <w:tcW w:w="3871" w:type="dxa"/>
            <w:noWrap w:val="0"/>
            <w:vAlign w:val="center"/>
          </w:tcPr>
          <w:p w14:paraId="3CDD3D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4"/>
                <w:szCs w:val="24"/>
                <w:highlight w:val="none"/>
                <w:u w:val="none"/>
                <w:vertAlign w:val="baseline"/>
                <w:lang w:val="en-US" w:eastAsia="zh-CN"/>
              </w:rPr>
            </w:pPr>
            <w:r>
              <w:rPr>
                <w:rFonts w:hint="eastAsia" w:ascii="宋体" w:hAnsi="宋体" w:eastAsia="宋体" w:cs="宋体"/>
                <w:color w:val="auto"/>
                <w:sz w:val="24"/>
                <w:szCs w:val="24"/>
                <w:highlight w:val="none"/>
                <w:u w:val="none"/>
                <w:vertAlign w:val="baseline"/>
                <w:lang w:val="en-US" w:eastAsia="zh-CN"/>
              </w:rPr>
              <w:t>园林博物馆</w:t>
            </w:r>
          </w:p>
        </w:tc>
        <w:tc>
          <w:tcPr>
            <w:tcW w:w="1679" w:type="dxa"/>
            <w:noWrap w:val="0"/>
            <w:vAlign w:val="center"/>
          </w:tcPr>
          <w:p w14:paraId="673041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4"/>
                <w:szCs w:val="24"/>
                <w:highlight w:val="none"/>
                <w:u w:val="none"/>
                <w:vertAlign w:val="baseline"/>
                <w:lang w:val="en-US" w:eastAsia="zh-CN"/>
              </w:rPr>
            </w:pPr>
            <w:r>
              <w:rPr>
                <w:rFonts w:hint="eastAsia" w:ascii="宋体" w:hAnsi="宋体" w:eastAsia="宋体" w:cs="宋体"/>
                <w:color w:val="auto"/>
                <w:sz w:val="24"/>
                <w:szCs w:val="24"/>
                <w:highlight w:val="none"/>
                <w:u w:val="none"/>
                <w:vertAlign w:val="baseline"/>
                <w:lang w:val="en-US" w:eastAsia="zh-CN"/>
              </w:rPr>
              <w:t>1</w:t>
            </w:r>
          </w:p>
        </w:tc>
        <w:tc>
          <w:tcPr>
            <w:tcW w:w="2089" w:type="dxa"/>
            <w:noWrap w:val="0"/>
            <w:vAlign w:val="center"/>
          </w:tcPr>
          <w:p w14:paraId="24FB5E0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4"/>
                <w:szCs w:val="24"/>
                <w:highlight w:val="none"/>
                <w:u w:val="none"/>
                <w:vertAlign w:val="baseline"/>
                <w:lang w:val="en-US" w:eastAsia="zh-CN"/>
              </w:rPr>
            </w:pPr>
            <w:r>
              <w:rPr>
                <w:rFonts w:hint="eastAsia" w:ascii="宋体" w:hAnsi="宋体" w:eastAsia="宋体" w:cs="宋体"/>
                <w:color w:val="auto"/>
                <w:sz w:val="24"/>
                <w:szCs w:val="24"/>
                <w:highlight w:val="none"/>
                <w:u w:val="none"/>
                <w:vertAlign w:val="baseline"/>
                <w:lang w:val="en-US" w:eastAsia="zh-CN"/>
              </w:rPr>
              <w:t>台</w:t>
            </w:r>
          </w:p>
        </w:tc>
      </w:tr>
      <w:tr w14:paraId="364D5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099" w:type="dxa"/>
            <w:noWrap w:val="0"/>
            <w:vAlign w:val="center"/>
          </w:tcPr>
          <w:p w14:paraId="0EE1B4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4"/>
                <w:szCs w:val="24"/>
                <w:highlight w:val="none"/>
                <w:u w:val="none"/>
                <w:vertAlign w:val="baseline"/>
                <w:lang w:val="en-US" w:eastAsia="zh-CN"/>
              </w:rPr>
            </w:pPr>
            <w:r>
              <w:rPr>
                <w:rFonts w:hint="eastAsia" w:ascii="宋体" w:hAnsi="宋体" w:eastAsia="宋体" w:cs="宋体"/>
                <w:color w:val="auto"/>
                <w:sz w:val="24"/>
                <w:szCs w:val="24"/>
                <w:highlight w:val="none"/>
                <w:u w:val="none"/>
                <w:vertAlign w:val="baseline"/>
                <w:lang w:val="en-US" w:eastAsia="zh-CN"/>
              </w:rPr>
              <w:t>3</w:t>
            </w:r>
          </w:p>
        </w:tc>
        <w:tc>
          <w:tcPr>
            <w:tcW w:w="3871" w:type="dxa"/>
            <w:noWrap w:val="0"/>
            <w:vAlign w:val="center"/>
          </w:tcPr>
          <w:p w14:paraId="25F408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4"/>
                <w:szCs w:val="24"/>
                <w:highlight w:val="none"/>
                <w:u w:val="none"/>
                <w:vertAlign w:val="baseline"/>
                <w:lang w:val="en-US" w:eastAsia="zh-CN"/>
              </w:rPr>
            </w:pPr>
            <w:r>
              <w:rPr>
                <w:rFonts w:hint="eastAsia" w:ascii="宋体" w:hAnsi="宋体" w:eastAsia="宋体" w:cs="宋体"/>
                <w:color w:val="auto"/>
                <w:sz w:val="24"/>
                <w:szCs w:val="24"/>
                <w:highlight w:val="none"/>
                <w:u w:val="none"/>
                <w:vertAlign w:val="baseline"/>
                <w:lang w:val="en-US" w:eastAsia="zh-CN"/>
              </w:rPr>
              <w:t>绿岛公园</w:t>
            </w:r>
          </w:p>
        </w:tc>
        <w:tc>
          <w:tcPr>
            <w:tcW w:w="1679" w:type="dxa"/>
            <w:noWrap w:val="0"/>
            <w:vAlign w:val="center"/>
          </w:tcPr>
          <w:p w14:paraId="4CF52D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4"/>
                <w:szCs w:val="24"/>
                <w:highlight w:val="none"/>
                <w:u w:val="none"/>
                <w:vertAlign w:val="baseline"/>
                <w:lang w:val="en-US" w:eastAsia="zh-CN"/>
              </w:rPr>
            </w:pPr>
            <w:r>
              <w:rPr>
                <w:rFonts w:hint="eastAsia" w:ascii="宋体" w:hAnsi="宋体" w:eastAsia="宋体" w:cs="宋体"/>
                <w:color w:val="auto"/>
                <w:sz w:val="24"/>
                <w:szCs w:val="24"/>
                <w:highlight w:val="none"/>
                <w:u w:val="none"/>
                <w:vertAlign w:val="baseline"/>
                <w:lang w:val="en-US" w:eastAsia="zh-CN"/>
              </w:rPr>
              <w:t>1</w:t>
            </w:r>
          </w:p>
        </w:tc>
        <w:tc>
          <w:tcPr>
            <w:tcW w:w="2089" w:type="dxa"/>
            <w:noWrap w:val="0"/>
            <w:vAlign w:val="center"/>
          </w:tcPr>
          <w:p w14:paraId="04872A7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4"/>
                <w:szCs w:val="24"/>
                <w:highlight w:val="none"/>
                <w:u w:val="none"/>
                <w:vertAlign w:val="baseline"/>
                <w:lang w:val="en-US" w:eastAsia="zh-CN"/>
              </w:rPr>
            </w:pPr>
            <w:r>
              <w:rPr>
                <w:rFonts w:hint="eastAsia" w:ascii="宋体" w:hAnsi="宋体" w:eastAsia="宋体" w:cs="宋体"/>
                <w:color w:val="auto"/>
                <w:sz w:val="24"/>
                <w:szCs w:val="24"/>
                <w:highlight w:val="none"/>
                <w:u w:val="none"/>
                <w:vertAlign w:val="baseline"/>
                <w:lang w:val="en-US" w:eastAsia="zh-CN"/>
              </w:rPr>
              <w:t>台</w:t>
            </w:r>
          </w:p>
        </w:tc>
      </w:tr>
      <w:tr w14:paraId="21C5D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4970" w:type="dxa"/>
            <w:gridSpan w:val="2"/>
            <w:noWrap w:val="0"/>
            <w:vAlign w:val="center"/>
          </w:tcPr>
          <w:p w14:paraId="184834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4"/>
                <w:szCs w:val="24"/>
                <w:highlight w:val="none"/>
                <w:u w:val="none"/>
                <w:vertAlign w:val="baseline"/>
                <w:lang w:val="en-US" w:eastAsia="zh-CN"/>
              </w:rPr>
            </w:pPr>
            <w:r>
              <w:rPr>
                <w:rFonts w:hint="eastAsia" w:ascii="宋体" w:hAnsi="宋体" w:eastAsia="宋体" w:cs="宋体"/>
                <w:color w:val="auto"/>
                <w:sz w:val="24"/>
                <w:szCs w:val="24"/>
                <w:highlight w:val="none"/>
                <w:u w:val="none"/>
                <w:vertAlign w:val="baseline"/>
                <w:lang w:val="en-US" w:eastAsia="zh-CN"/>
              </w:rPr>
              <w:t>合计</w:t>
            </w:r>
          </w:p>
        </w:tc>
        <w:tc>
          <w:tcPr>
            <w:tcW w:w="1679" w:type="dxa"/>
            <w:noWrap w:val="0"/>
            <w:vAlign w:val="center"/>
          </w:tcPr>
          <w:p w14:paraId="525785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4"/>
                <w:szCs w:val="24"/>
                <w:highlight w:val="none"/>
                <w:u w:val="none"/>
                <w:vertAlign w:val="baseline"/>
                <w:lang w:val="en-US" w:eastAsia="zh-CN"/>
              </w:rPr>
            </w:pPr>
            <w:r>
              <w:rPr>
                <w:rFonts w:hint="eastAsia" w:ascii="宋体" w:hAnsi="宋体" w:cs="宋体"/>
                <w:color w:val="auto"/>
                <w:sz w:val="24"/>
                <w:szCs w:val="24"/>
                <w:highlight w:val="none"/>
                <w:u w:val="none"/>
                <w:vertAlign w:val="baseline"/>
                <w:lang w:val="en-US" w:eastAsia="zh-CN"/>
              </w:rPr>
              <w:t>3</w:t>
            </w:r>
          </w:p>
        </w:tc>
        <w:tc>
          <w:tcPr>
            <w:tcW w:w="2089" w:type="dxa"/>
            <w:noWrap w:val="0"/>
            <w:vAlign w:val="center"/>
          </w:tcPr>
          <w:p w14:paraId="1728D07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4"/>
                <w:szCs w:val="24"/>
                <w:highlight w:val="none"/>
                <w:u w:val="none"/>
                <w:vertAlign w:val="baseline"/>
                <w:lang w:val="en-US" w:eastAsia="zh-CN"/>
              </w:rPr>
            </w:pPr>
            <w:r>
              <w:rPr>
                <w:rFonts w:hint="eastAsia" w:ascii="宋体" w:hAnsi="宋体" w:eastAsia="宋体" w:cs="宋体"/>
                <w:color w:val="auto"/>
                <w:sz w:val="24"/>
                <w:szCs w:val="24"/>
                <w:highlight w:val="none"/>
                <w:u w:val="none"/>
                <w:vertAlign w:val="baseline"/>
                <w:lang w:val="en-US" w:eastAsia="zh-CN"/>
              </w:rPr>
              <w:t>台</w:t>
            </w:r>
          </w:p>
        </w:tc>
      </w:tr>
    </w:tbl>
    <w:p w14:paraId="4715FC8D">
      <w:pPr>
        <w:widowControl w:val="0"/>
        <w:adjustRightInd w:val="0"/>
        <w:spacing w:line="380" w:lineRule="exact"/>
        <w:ind w:firstLine="480"/>
        <w:jc w:val="both"/>
        <w:rPr>
          <w:rFonts w:hint="eastAsia" w:ascii="宋体" w:hAnsi="宋体" w:eastAsia="方正书宋简体" w:cs="宋体"/>
          <w:b/>
          <w:color w:val="auto"/>
          <w:kern w:val="0"/>
          <w:sz w:val="24"/>
          <w:szCs w:val="24"/>
          <w:highlight w:val="none"/>
          <w:lang w:val="en-US" w:eastAsia="zh-CN" w:bidi="ar-SA"/>
        </w:rPr>
      </w:pPr>
      <w:r>
        <w:rPr>
          <w:rFonts w:hint="eastAsia" w:ascii="宋体" w:hAnsi="宋体" w:eastAsia="方正书宋简体" w:cs="宋体"/>
          <w:b/>
          <w:color w:val="auto"/>
          <w:kern w:val="0"/>
          <w:sz w:val="24"/>
          <w:szCs w:val="24"/>
          <w:highlight w:val="none"/>
          <w:lang w:val="en-US" w:eastAsia="zh-CN" w:bidi="ar-SA"/>
        </w:rPr>
        <w:t>b.投标要求</w:t>
      </w:r>
    </w:p>
    <w:p w14:paraId="6858348A">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1.自动售卖机</w:t>
      </w:r>
      <w:r>
        <w:rPr>
          <w:rFonts w:hint="eastAsia" w:ascii="宋体" w:hAnsi="宋体" w:eastAsia="宋体" w:cs="宋体"/>
          <w:bCs/>
          <w:color w:val="auto"/>
          <w:kern w:val="0"/>
          <w:sz w:val="24"/>
          <w:highlight w:val="none"/>
          <w:lang w:val="en-US"/>
        </w:rPr>
        <w:t>购置、供电线路敷设由</w:t>
      </w:r>
      <w:r>
        <w:rPr>
          <w:rFonts w:hint="eastAsia" w:ascii="宋体" w:hAnsi="宋体" w:eastAsia="宋体" w:cs="宋体"/>
          <w:bCs/>
          <w:color w:val="auto"/>
          <w:kern w:val="0"/>
          <w:sz w:val="24"/>
          <w:highlight w:val="none"/>
          <w:lang w:val="en-US" w:eastAsia="zh-CN"/>
        </w:rPr>
        <w:t>中标人</w:t>
      </w:r>
      <w:r>
        <w:rPr>
          <w:rFonts w:hint="eastAsia" w:ascii="宋体" w:hAnsi="宋体" w:eastAsia="宋体" w:cs="宋体"/>
          <w:bCs/>
          <w:color w:val="auto"/>
          <w:kern w:val="0"/>
          <w:sz w:val="24"/>
          <w:highlight w:val="none"/>
          <w:lang w:val="en-US"/>
        </w:rPr>
        <w:t>自行负责（包括电路改造、室外遮蔽设施等基建费用，其中放置点位、设备尺寸、涂装方案、供电线路、电表安装方案必须经</w:t>
      </w:r>
      <w:r>
        <w:rPr>
          <w:rFonts w:hint="eastAsia" w:ascii="宋体" w:hAnsi="宋体" w:eastAsia="宋体" w:cs="宋体"/>
          <w:bCs/>
          <w:color w:val="auto"/>
          <w:kern w:val="0"/>
          <w:sz w:val="24"/>
          <w:highlight w:val="none"/>
          <w:lang w:val="en-US" w:eastAsia="zh-CN"/>
        </w:rPr>
        <w:t>采购人</w:t>
      </w:r>
      <w:r>
        <w:rPr>
          <w:rFonts w:hint="eastAsia" w:ascii="宋体" w:hAnsi="宋体" w:eastAsia="宋体" w:cs="宋体"/>
          <w:bCs/>
          <w:color w:val="auto"/>
          <w:kern w:val="0"/>
          <w:sz w:val="24"/>
          <w:highlight w:val="none"/>
          <w:lang w:val="en-US"/>
        </w:rPr>
        <w:t>确认之后才能施工，费用由</w:t>
      </w:r>
      <w:r>
        <w:rPr>
          <w:rFonts w:hint="eastAsia" w:ascii="宋体" w:hAnsi="宋体" w:eastAsia="宋体" w:cs="宋体"/>
          <w:bCs/>
          <w:color w:val="auto"/>
          <w:kern w:val="0"/>
          <w:sz w:val="24"/>
          <w:highlight w:val="none"/>
          <w:lang w:val="en-US" w:eastAsia="zh-CN"/>
        </w:rPr>
        <w:t>中标人</w:t>
      </w:r>
      <w:r>
        <w:rPr>
          <w:rFonts w:hint="eastAsia" w:ascii="宋体" w:hAnsi="宋体" w:eastAsia="宋体" w:cs="宋体"/>
          <w:bCs/>
          <w:color w:val="auto"/>
          <w:kern w:val="0"/>
          <w:sz w:val="24"/>
          <w:highlight w:val="none"/>
          <w:lang w:val="en-US"/>
        </w:rPr>
        <w:t>承担），</w:t>
      </w:r>
      <w:r>
        <w:rPr>
          <w:rFonts w:hint="eastAsia" w:ascii="宋体" w:hAnsi="宋体" w:eastAsia="宋体" w:cs="宋体"/>
          <w:bCs/>
          <w:color w:val="auto"/>
          <w:kern w:val="0"/>
          <w:sz w:val="24"/>
          <w:highlight w:val="none"/>
          <w:lang w:val="en-US" w:eastAsia="zh-CN"/>
        </w:rPr>
        <w:t>采购人</w:t>
      </w:r>
      <w:r>
        <w:rPr>
          <w:rFonts w:hint="eastAsia" w:ascii="宋体" w:hAnsi="宋体" w:eastAsia="宋体" w:cs="宋体"/>
          <w:bCs/>
          <w:color w:val="auto"/>
          <w:kern w:val="0"/>
          <w:sz w:val="24"/>
          <w:highlight w:val="none"/>
          <w:lang w:val="en-US"/>
        </w:rPr>
        <w:t>不承担任何费用</w:t>
      </w:r>
      <w:r>
        <w:rPr>
          <w:rFonts w:hint="eastAsia" w:ascii="宋体" w:hAnsi="宋体" w:eastAsia="宋体" w:cs="宋体"/>
          <w:bCs/>
          <w:color w:val="auto"/>
          <w:kern w:val="0"/>
          <w:sz w:val="24"/>
          <w:highlight w:val="none"/>
          <w:lang w:val="en-US" w:eastAsia="zh-CN"/>
        </w:rPr>
        <w:t>。</w:t>
      </w:r>
    </w:p>
    <w:p w14:paraId="30B05AA8">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2.自动售卖机</w:t>
      </w:r>
      <w:r>
        <w:rPr>
          <w:rFonts w:hint="eastAsia" w:ascii="宋体" w:hAnsi="宋体" w:eastAsia="宋体" w:cs="宋体"/>
          <w:bCs/>
          <w:color w:val="auto"/>
          <w:kern w:val="0"/>
          <w:sz w:val="24"/>
          <w:highlight w:val="none"/>
          <w:lang w:val="en-US"/>
        </w:rPr>
        <w:t>支付方式多</w:t>
      </w:r>
      <w:r>
        <w:rPr>
          <w:rFonts w:hint="eastAsia" w:ascii="宋体" w:hAnsi="宋体" w:eastAsia="宋体" w:cs="宋体"/>
          <w:bCs/>
          <w:color w:val="auto"/>
          <w:kern w:val="0"/>
          <w:sz w:val="24"/>
          <w:highlight w:val="none"/>
          <w:lang w:val="en-US" w:eastAsia="zh-CN"/>
        </w:rPr>
        <w:t>样</w:t>
      </w:r>
      <w:r>
        <w:rPr>
          <w:rFonts w:hint="eastAsia" w:ascii="宋体" w:hAnsi="宋体" w:eastAsia="宋体" w:cs="宋体"/>
          <w:bCs/>
          <w:color w:val="auto"/>
          <w:kern w:val="0"/>
          <w:sz w:val="24"/>
          <w:highlight w:val="none"/>
          <w:lang w:val="en-US"/>
        </w:rPr>
        <w:t>化，含现金、银行卡、支付宝、微信等支付形式；</w:t>
      </w:r>
      <w:r>
        <w:rPr>
          <w:rFonts w:hint="eastAsia" w:ascii="宋体" w:hAnsi="宋体" w:eastAsia="宋体" w:cs="宋体"/>
          <w:bCs/>
          <w:color w:val="auto"/>
          <w:kern w:val="0"/>
          <w:sz w:val="24"/>
          <w:highlight w:val="none"/>
          <w:lang w:val="en-US" w:eastAsia="zh-CN"/>
        </w:rPr>
        <w:t>商品</w:t>
      </w:r>
      <w:r>
        <w:rPr>
          <w:rFonts w:hint="eastAsia" w:ascii="宋体" w:hAnsi="宋体" w:eastAsia="宋体" w:cs="宋体"/>
          <w:bCs/>
          <w:color w:val="auto"/>
          <w:kern w:val="0"/>
          <w:sz w:val="24"/>
          <w:highlight w:val="none"/>
          <w:lang w:val="en-US"/>
        </w:rPr>
        <w:t>品牌、种类多样化，明码标价，售价不得高于市场价</w:t>
      </w:r>
      <w:r>
        <w:rPr>
          <w:rFonts w:hint="eastAsia" w:ascii="宋体" w:hAnsi="宋体" w:eastAsia="宋体" w:cs="宋体"/>
          <w:bCs/>
          <w:color w:val="auto"/>
          <w:kern w:val="0"/>
          <w:sz w:val="24"/>
          <w:highlight w:val="none"/>
          <w:lang w:val="en-US" w:eastAsia="zh-CN"/>
        </w:rPr>
        <w:t>。</w:t>
      </w:r>
    </w:p>
    <w:p w14:paraId="044685E3">
      <w:pPr>
        <w:widowControl/>
        <w:tabs>
          <w:tab w:val="left" w:pos="851"/>
        </w:tabs>
        <w:adjustRightInd/>
        <w:spacing w:line="360" w:lineRule="auto"/>
        <w:ind w:firstLine="480" w:firstLineChars="200"/>
        <w:rPr>
          <w:rFonts w:hint="default"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3.</w:t>
      </w:r>
      <w:r>
        <w:rPr>
          <w:rFonts w:hint="eastAsia" w:ascii="宋体" w:hAnsi="宋体" w:eastAsia="宋体" w:cs="宋体"/>
          <w:bCs/>
          <w:color w:val="auto"/>
          <w:kern w:val="0"/>
          <w:sz w:val="24"/>
          <w:highlight w:val="none"/>
          <w:lang w:val="en-US"/>
        </w:rPr>
        <w:t>供应商提供的设备必须符合</w:t>
      </w:r>
      <w:r>
        <w:rPr>
          <w:rFonts w:hint="eastAsia" w:ascii="宋体" w:hAnsi="宋体" w:eastAsia="宋体" w:cs="宋体"/>
          <w:bCs/>
          <w:color w:val="auto"/>
          <w:kern w:val="0"/>
          <w:sz w:val="24"/>
          <w:highlight w:val="none"/>
          <w:lang w:val="en-US" w:eastAsia="zh-CN"/>
        </w:rPr>
        <w:t>自动售卖机</w:t>
      </w:r>
      <w:r>
        <w:rPr>
          <w:rFonts w:hint="eastAsia" w:ascii="宋体" w:hAnsi="宋体" w:eastAsia="宋体" w:cs="宋体"/>
          <w:bCs/>
          <w:color w:val="auto"/>
          <w:kern w:val="0"/>
          <w:sz w:val="24"/>
          <w:highlight w:val="none"/>
          <w:lang w:val="en-US"/>
        </w:rPr>
        <w:t>的相关行业规范和国家规定，并由</w:t>
      </w:r>
      <w:r>
        <w:rPr>
          <w:rFonts w:hint="eastAsia" w:ascii="宋体" w:hAnsi="宋体" w:eastAsia="宋体" w:cs="宋体"/>
          <w:bCs/>
          <w:color w:val="auto"/>
          <w:kern w:val="0"/>
          <w:sz w:val="24"/>
          <w:highlight w:val="none"/>
          <w:lang w:val="en-US" w:eastAsia="zh-CN"/>
        </w:rPr>
        <w:t>中标人</w:t>
      </w:r>
      <w:r>
        <w:rPr>
          <w:rFonts w:hint="eastAsia" w:ascii="宋体" w:hAnsi="宋体" w:eastAsia="宋体" w:cs="宋体"/>
          <w:bCs/>
          <w:color w:val="auto"/>
          <w:kern w:val="0"/>
          <w:sz w:val="24"/>
          <w:highlight w:val="none"/>
          <w:lang w:val="en-US"/>
        </w:rPr>
        <w:t>负责设备的日常运</w:t>
      </w:r>
      <w:r>
        <w:rPr>
          <w:rFonts w:hint="eastAsia" w:ascii="宋体" w:hAnsi="宋体" w:eastAsia="宋体" w:cs="宋体"/>
          <w:bCs/>
          <w:color w:val="auto"/>
          <w:kern w:val="0"/>
          <w:sz w:val="24"/>
          <w:highlight w:val="none"/>
          <w:lang w:val="en-US" w:eastAsia="zh-CN"/>
        </w:rPr>
        <w:t>营</w:t>
      </w:r>
      <w:r>
        <w:rPr>
          <w:rFonts w:hint="eastAsia" w:ascii="宋体" w:hAnsi="宋体" w:eastAsia="宋体" w:cs="宋体"/>
          <w:bCs/>
          <w:color w:val="auto"/>
          <w:kern w:val="0"/>
          <w:sz w:val="24"/>
          <w:highlight w:val="none"/>
          <w:lang w:val="en-US"/>
        </w:rPr>
        <w:t>维护</w:t>
      </w:r>
      <w:r>
        <w:rPr>
          <w:rFonts w:hint="eastAsia" w:ascii="宋体" w:hAnsi="宋体" w:eastAsia="宋体" w:cs="宋体"/>
          <w:bCs/>
          <w:color w:val="auto"/>
          <w:kern w:val="0"/>
          <w:sz w:val="24"/>
          <w:highlight w:val="none"/>
          <w:lang w:val="en-US" w:eastAsia="zh-CN"/>
        </w:rPr>
        <w:t>、及时补货，并设立服务热线，对自动售卖机服务提供技术维护支持。</w:t>
      </w:r>
    </w:p>
    <w:p w14:paraId="13114E92">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4.中标人</w:t>
      </w:r>
      <w:r>
        <w:rPr>
          <w:rFonts w:hint="eastAsia" w:ascii="宋体" w:hAnsi="宋体" w:eastAsia="宋体" w:cs="宋体"/>
          <w:bCs/>
          <w:color w:val="auto"/>
          <w:kern w:val="0"/>
          <w:sz w:val="24"/>
          <w:highlight w:val="none"/>
          <w:lang w:val="en-US"/>
        </w:rPr>
        <w:t>有权派人员定期或不定期进入经营场地进行自动售卖机的更换、维护，但需向</w:t>
      </w:r>
      <w:r>
        <w:rPr>
          <w:rFonts w:hint="eastAsia" w:ascii="宋体" w:hAnsi="宋体" w:eastAsia="宋体" w:cs="宋体"/>
          <w:bCs/>
          <w:color w:val="auto"/>
          <w:kern w:val="0"/>
          <w:sz w:val="24"/>
          <w:highlight w:val="none"/>
          <w:lang w:val="en-US" w:eastAsia="zh-CN"/>
        </w:rPr>
        <w:t>采购人</w:t>
      </w:r>
      <w:r>
        <w:rPr>
          <w:rFonts w:hint="eastAsia" w:ascii="宋体" w:hAnsi="宋体" w:eastAsia="宋体" w:cs="宋体"/>
          <w:bCs/>
          <w:color w:val="auto"/>
          <w:kern w:val="0"/>
          <w:sz w:val="24"/>
          <w:highlight w:val="none"/>
          <w:lang w:val="en-US"/>
        </w:rPr>
        <w:t>表明身份，并说明目的，</w:t>
      </w:r>
      <w:r>
        <w:rPr>
          <w:rFonts w:hint="eastAsia" w:ascii="宋体" w:hAnsi="宋体" w:eastAsia="宋体" w:cs="宋体"/>
          <w:bCs/>
          <w:color w:val="auto"/>
          <w:kern w:val="0"/>
          <w:sz w:val="24"/>
          <w:highlight w:val="none"/>
          <w:lang w:val="en-US" w:eastAsia="zh-CN"/>
        </w:rPr>
        <w:t>采购人</w:t>
      </w:r>
      <w:r>
        <w:rPr>
          <w:rFonts w:hint="eastAsia" w:ascii="宋体" w:hAnsi="宋体" w:eastAsia="宋体" w:cs="宋体"/>
          <w:bCs/>
          <w:color w:val="auto"/>
          <w:kern w:val="0"/>
          <w:sz w:val="24"/>
          <w:highlight w:val="none"/>
          <w:lang w:val="en-US"/>
        </w:rPr>
        <w:t>可对前述人员的身份进行核实</w:t>
      </w:r>
      <w:r>
        <w:rPr>
          <w:rFonts w:hint="eastAsia" w:ascii="宋体" w:hAnsi="宋体" w:eastAsia="宋体" w:cs="宋体"/>
          <w:bCs/>
          <w:color w:val="auto"/>
          <w:kern w:val="0"/>
          <w:sz w:val="24"/>
          <w:highlight w:val="none"/>
          <w:lang w:val="en-US" w:eastAsia="zh-CN"/>
        </w:rPr>
        <w:t>。</w:t>
      </w:r>
    </w:p>
    <w:p w14:paraId="65B5BF10">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5.</w:t>
      </w:r>
      <w:r>
        <w:rPr>
          <w:rFonts w:hint="eastAsia" w:ascii="宋体" w:hAnsi="宋体" w:eastAsia="宋体" w:cs="宋体"/>
          <w:bCs/>
          <w:color w:val="auto"/>
          <w:kern w:val="0"/>
          <w:sz w:val="24"/>
          <w:highlight w:val="none"/>
          <w:lang w:val="en-US"/>
        </w:rPr>
        <w:t>经营过程需办理的相关许可证书等申报手续由</w:t>
      </w:r>
      <w:r>
        <w:rPr>
          <w:rFonts w:hint="eastAsia" w:ascii="宋体" w:hAnsi="宋体" w:eastAsia="宋体" w:cs="宋体"/>
          <w:bCs/>
          <w:color w:val="auto"/>
          <w:kern w:val="0"/>
          <w:sz w:val="24"/>
          <w:highlight w:val="none"/>
          <w:lang w:val="en-US" w:eastAsia="zh-CN"/>
        </w:rPr>
        <w:t>中标人</w:t>
      </w:r>
      <w:r>
        <w:rPr>
          <w:rFonts w:hint="eastAsia" w:ascii="宋体" w:hAnsi="宋体" w:eastAsia="宋体" w:cs="宋体"/>
          <w:bCs/>
          <w:color w:val="auto"/>
          <w:kern w:val="0"/>
          <w:sz w:val="24"/>
          <w:highlight w:val="none"/>
          <w:lang w:val="en-US"/>
        </w:rPr>
        <w:t>自行办理，与</w:t>
      </w:r>
      <w:r>
        <w:rPr>
          <w:rFonts w:hint="eastAsia" w:ascii="宋体" w:hAnsi="宋体" w:eastAsia="宋体" w:cs="宋体"/>
          <w:bCs/>
          <w:color w:val="auto"/>
          <w:kern w:val="0"/>
          <w:sz w:val="24"/>
          <w:highlight w:val="none"/>
          <w:lang w:val="en-US" w:eastAsia="zh-CN"/>
        </w:rPr>
        <w:t>采购人</w:t>
      </w:r>
      <w:r>
        <w:rPr>
          <w:rFonts w:hint="eastAsia" w:ascii="宋体" w:hAnsi="宋体" w:eastAsia="宋体" w:cs="宋体"/>
          <w:bCs/>
          <w:color w:val="auto"/>
          <w:kern w:val="0"/>
          <w:sz w:val="24"/>
          <w:highlight w:val="none"/>
          <w:lang w:val="en-US"/>
        </w:rPr>
        <w:t>无关</w:t>
      </w:r>
      <w:r>
        <w:rPr>
          <w:rFonts w:hint="eastAsia" w:ascii="宋体" w:hAnsi="宋体" w:eastAsia="宋体" w:cs="宋体"/>
          <w:bCs/>
          <w:color w:val="auto"/>
          <w:kern w:val="0"/>
          <w:sz w:val="24"/>
          <w:highlight w:val="none"/>
          <w:lang w:val="en-US" w:eastAsia="zh-CN"/>
        </w:rPr>
        <w:t>。</w:t>
      </w:r>
    </w:p>
    <w:p w14:paraId="0C60B233">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6.中标人</w:t>
      </w:r>
      <w:r>
        <w:rPr>
          <w:rFonts w:hint="eastAsia" w:ascii="宋体" w:hAnsi="宋体" w:eastAsia="宋体" w:cs="宋体"/>
          <w:bCs/>
          <w:color w:val="auto"/>
          <w:kern w:val="0"/>
          <w:sz w:val="24"/>
          <w:highlight w:val="none"/>
          <w:lang w:val="en-US"/>
        </w:rPr>
        <w:t>所供</w:t>
      </w:r>
      <w:r>
        <w:rPr>
          <w:rFonts w:hint="eastAsia" w:ascii="宋体" w:hAnsi="宋体" w:eastAsia="宋体" w:cs="宋体"/>
          <w:bCs/>
          <w:color w:val="auto"/>
          <w:kern w:val="0"/>
          <w:sz w:val="24"/>
          <w:highlight w:val="none"/>
          <w:lang w:val="en-US" w:eastAsia="zh-CN"/>
        </w:rPr>
        <w:t>商品</w:t>
      </w:r>
      <w:r>
        <w:rPr>
          <w:rFonts w:hint="eastAsia" w:ascii="宋体" w:hAnsi="宋体" w:eastAsia="宋体" w:cs="宋体"/>
          <w:bCs/>
          <w:color w:val="auto"/>
          <w:kern w:val="0"/>
          <w:sz w:val="24"/>
          <w:highlight w:val="none"/>
          <w:lang w:val="en-US"/>
        </w:rPr>
        <w:t>必须是正规厂家生产的定型包装食品（密封包装），其产品质量符合食品卫生标准，经检查合格且在质保期内</w:t>
      </w:r>
      <w:r>
        <w:rPr>
          <w:rFonts w:hint="eastAsia" w:ascii="宋体" w:hAnsi="宋体" w:eastAsia="宋体" w:cs="宋体"/>
          <w:bCs/>
          <w:color w:val="auto"/>
          <w:kern w:val="0"/>
          <w:sz w:val="24"/>
          <w:highlight w:val="none"/>
          <w:lang w:val="en-US" w:eastAsia="zh-CN"/>
        </w:rPr>
        <w:t>。</w:t>
      </w:r>
    </w:p>
    <w:p w14:paraId="480F3D6B">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7.自动售卖机的所有权、经营权归中标人所有。</w:t>
      </w:r>
    </w:p>
    <w:p w14:paraId="1C6F73E4">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8.</w:t>
      </w:r>
      <w:r>
        <w:rPr>
          <w:rFonts w:hint="eastAsia" w:ascii="宋体" w:hAnsi="宋体" w:eastAsia="宋体" w:cs="宋体"/>
          <w:bCs/>
          <w:color w:val="auto"/>
          <w:kern w:val="0"/>
          <w:sz w:val="24"/>
          <w:highlight w:val="none"/>
          <w:lang w:val="en-US"/>
        </w:rPr>
        <w:t>经营费用及产生的债权、债务由</w:t>
      </w:r>
      <w:r>
        <w:rPr>
          <w:rFonts w:hint="eastAsia" w:ascii="宋体" w:hAnsi="宋体" w:eastAsia="宋体" w:cs="宋体"/>
          <w:bCs/>
          <w:color w:val="auto"/>
          <w:kern w:val="0"/>
          <w:sz w:val="24"/>
          <w:highlight w:val="none"/>
          <w:lang w:val="en-US" w:eastAsia="zh-CN"/>
        </w:rPr>
        <w:t>中标人</w:t>
      </w:r>
      <w:r>
        <w:rPr>
          <w:rFonts w:hint="eastAsia" w:ascii="宋体" w:hAnsi="宋体" w:eastAsia="宋体" w:cs="宋体"/>
          <w:bCs/>
          <w:color w:val="auto"/>
          <w:kern w:val="0"/>
          <w:sz w:val="24"/>
          <w:highlight w:val="none"/>
          <w:lang w:val="en-US"/>
        </w:rPr>
        <w:t>承担。</w:t>
      </w:r>
      <w:r>
        <w:rPr>
          <w:rFonts w:hint="eastAsia" w:ascii="宋体" w:hAnsi="宋体" w:eastAsia="宋体" w:cs="宋体"/>
          <w:bCs/>
          <w:color w:val="auto"/>
          <w:kern w:val="0"/>
          <w:sz w:val="24"/>
          <w:highlight w:val="none"/>
          <w:lang w:val="en-US" w:eastAsia="zh-CN"/>
        </w:rPr>
        <w:t>中标人</w:t>
      </w:r>
      <w:r>
        <w:rPr>
          <w:rFonts w:hint="eastAsia" w:ascii="宋体" w:hAnsi="宋体" w:eastAsia="宋体" w:cs="宋体"/>
          <w:bCs/>
          <w:color w:val="auto"/>
          <w:kern w:val="0"/>
          <w:sz w:val="24"/>
          <w:highlight w:val="none"/>
          <w:lang w:val="en-US"/>
        </w:rPr>
        <w:t>不得擅自将该项目转租、出让给他人，如有违反，</w:t>
      </w:r>
      <w:r>
        <w:rPr>
          <w:rFonts w:hint="eastAsia" w:ascii="宋体" w:hAnsi="宋体" w:eastAsia="宋体" w:cs="宋体"/>
          <w:bCs/>
          <w:color w:val="auto"/>
          <w:kern w:val="0"/>
          <w:sz w:val="24"/>
          <w:highlight w:val="none"/>
          <w:lang w:val="en-US" w:eastAsia="zh-CN"/>
        </w:rPr>
        <w:t>采购人</w:t>
      </w:r>
      <w:r>
        <w:rPr>
          <w:rFonts w:hint="eastAsia" w:ascii="宋体" w:hAnsi="宋体" w:eastAsia="宋体" w:cs="宋体"/>
          <w:bCs/>
          <w:color w:val="auto"/>
          <w:kern w:val="0"/>
          <w:sz w:val="24"/>
          <w:highlight w:val="none"/>
          <w:lang w:val="en-US"/>
        </w:rPr>
        <w:t>有权终止合同</w:t>
      </w:r>
      <w:r>
        <w:rPr>
          <w:rFonts w:hint="eastAsia" w:ascii="宋体" w:hAnsi="宋体" w:eastAsia="宋体" w:cs="宋体"/>
          <w:bCs/>
          <w:color w:val="auto"/>
          <w:kern w:val="0"/>
          <w:sz w:val="24"/>
          <w:highlight w:val="none"/>
          <w:lang w:val="en-US" w:eastAsia="zh-CN"/>
        </w:rPr>
        <w:t>。</w:t>
      </w:r>
    </w:p>
    <w:p w14:paraId="589956D0">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rPr>
      </w:pPr>
      <w:r>
        <w:rPr>
          <w:rFonts w:hint="eastAsia" w:ascii="宋体" w:hAnsi="宋体" w:eastAsia="宋体" w:cs="宋体"/>
          <w:bCs/>
          <w:color w:val="auto"/>
          <w:kern w:val="0"/>
          <w:sz w:val="24"/>
          <w:highlight w:val="none"/>
          <w:lang w:val="en-US" w:eastAsia="zh-CN"/>
        </w:rPr>
        <w:t>9.中标人</w:t>
      </w:r>
      <w:r>
        <w:rPr>
          <w:rFonts w:hint="eastAsia" w:ascii="宋体" w:hAnsi="宋体" w:eastAsia="宋体" w:cs="宋体"/>
          <w:bCs/>
          <w:color w:val="auto"/>
          <w:kern w:val="0"/>
          <w:sz w:val="24"/>
          <w:highlight w:val="none"/>
          <w:lang w:val="en-US"/>
        </w:rPr>
        <w:t>不得进行上述以外的产品销售、机体广告投放等额外的经营内容。</w:t>
      </w:r>
    </w:p>
    <w:p w14:paraId="4FC438E4">
      <w:pPr>
        <w:widowControl/>
        <w:tabs>
          <w:tab w:val="left" w:pos="851"/>
        </w:tabs>
        <w:adjustRightInd/>
        <w:spacing w:line="360" w:lineRule="auto"/>
        <w:ind w:firstLine="480" w:firstLineChars="200"/>
        <w:rPr>
          <w:rFonts w:hint="default"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10.中标人须根据采购人要求，机体投放公益性广告。</w:t>
      </w:r>
    </w:p>
    <w:p w14:paraId="39077C61">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11.中标人在合作期间应承担自动售卖机的保洁责任，自动售卖机机身出现污渍时应及时进行清理。</w:t>
      </w:r>
    </w:p>
    <w:p w14:paraId="128381C9">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12.中标人应无条件配合服从场馆工作人员的管理。</w:t>
      </w:r>
    </w:p>
    <w:p w14:paraId="30FBEBF1">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13.合同期内，如遇市政建设等原因需撤柜的，中标人须服从采购人的统一安排和规划进行搬运，由此产生的所有费用均由中标人承担。</w:t>
      </w:r>
    </w:p>
    <w:p w14:paraId="72B9AC93">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14.如因自动售卖机质量、性能或销售的商品等内在原因给顾客造成损害，责任由中标人承担。</w:t>
      </w:r>
    </w:p>
    <w:p w14:paraId="5F9FB76C">
      <w:pPr>
        <w:widowControl/>
        <w:tabs>
          <w:tab w:val="left" w:pos="851"/>
        </w:tabs>
        <w:adjustRightInd/>
        <w:spacing w:line="360" w:lineRule="auto"/>
        <w:ind w:firstLine="480" w:firstLineChars="200"/>
        <w:rPr>
          <w:rFonts w:hint="default"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15.如因自动售卖机质量等内在原因导致漏电等安全事故发生，由此产生的一切责任和后果由中标人承担，与招标人无关。</w:t>
      </w:r>
    </w:p>
    <w:p w14:paraId="28CA6B55">
      <w:pPr>
        <w:widowControl/>
        <w:tabs>
          <w:tab w:val="left" w:pos="851"/>
        </w:tabs>
        <w:adjustRightInd/>
        <w:spacing w:line="360" w:lineRule="auto"/>
        <w:ind w:firstLine="480" w:firstLineChars="200"/>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c.费用结算</w:t>
      </w:r>
    </w:p>
    <w:p w14:paraId="37793906">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1.自动售卖机投放所产生的收益归中标人所有（自负盈亏）。</w:t>
      </w:r>
    </w:p>
    <w:p w14:paraId="1B7549E7">
      <w:pPr>
        <w:widowControl/>
        <w:tabs>
          <w:tab w:val="left" w:pos="851"/>
        </w:tabs>
        <w:adjustRightInd/>
        <w:spacing w:line="360" w:lineRule="auto"/>
        <w:ind w:firstLine="480" w:firstLineChars="200"/>
        <w:rPr>
          <w:rFonts w:hint="default"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2.自动售卖机费用不参与报价评审，不作下浮，采购人根据评估价（含场地租赁费和水单费）在应付养护费（固定支付部分）中直接扣除。</w:t>
      </w:r>
    </w:p>
    <w:p w14:paraId="6A182202">
      <w:pPr>
        <w:widowControl/>
        <w:tabs>
          <w:tab w:val="left" w:pos="851"/>
        </w:tabs>
        <w:adjustRightInd/>
        <w:spacing w:line="360" w:lineRule="auto"/>
        <w:outlineLvl w:val="1"/>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（三）水电费要求</w:t>
      </w:r>
    </w:p>
    <w:p w14:paraId="0132866A">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rPr>
      </w:pPr>
      <w:r>
        <w:rPr>
          <w:rFonts w:hint="eastAsia" w:ascii="宋体" w:hAnsi="宋体" w:eastAsia="宋体" w:cs="宋体"/>
          <w:bCs/>
          <w:color w:val="auto"/>
          <w:kern w:val="0"/>
          <w:sz w:val="24"/>
          <w:highlight w:val="none"/>
          <w:lang w:val="en-US"/>
        </w:rPr>
        <w:t>（1）本标项涉及的所有水电费均已包含在投标报价中，投标人投标报价时应予以充分考虑。本标项近一年水费、电费情况如下表示：</w:t>
      </w:r>
    </w:p>
    <w:tbl>
      <w:tblPr>
        <w:tblStyle w:val="62"/>
        <w:tblW w:w="8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1754"/>
        <w:gridCol w:w="2066"/>
        <w:gridCol w:w="3508"/>
      </w:tblGrid>
      <w:tr w14:paraId="35489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1452" w:type="dxa"/>
            <w:vAlign w:val="center"/>
          </w:tcPr>
          <w:p w14:paraId="3EC1EDAC">
            <w:pPr>
              <w:widowControl w:val="0"/>
              <w:adjustRightInd w:val="0"/>
              <w:snapToGrid w:val="0"/>
              <w:spacing w:line="240" w:lineRule="auto"/>
              <w:ind w:firstLine="228" w:firstLineChars="95"/>
              <w:jc w:val="center"/>
              <w:rPr>
                <w:rFonts w:hint="default"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公园</w:t>
            </w:r>
          </w:p>
        </w:tc>
        <w:tc>
          <w:tcPr>
            <w:tcW w:w="1754" w:type="dxa"/>
            <w:vAlign w:val="center"/>
          </w:tcPr>
          <w:p w14:paraId="628B60CE">
            <w:pPr>
              <w:widowControl w:val="0"/>
              <w:adjustRightInd w:val="0"/>
              <w:snapToGrid w:val="0"/>
              <w:spacing w:line="240" w:lineRule="auto"/>
              <w:ind w:firstLine="0" w:firstLineChars="0"/>
              <w:jc w:val="center"/>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水费（万元）</w:t>
            </w:r>
          </w:p>
        </w:tc>
        <w:tc>
          <w:tcPr>
            <w:tcW w:w="2066" w:type="dxa"/>
            <w:vAlign w:val="center"/>
          </w:tcPr>
          <w:p w14:paraId="5D25C2E8">
            <w:pPr>
              <w:widowControl w:val="0"/>
              <w:adjustRightInd w:val="0"/>
              <w:snapToGrid w:val="0"/>
              <w:spacing w:line="240" w:lineRule="auto"/>
              <w:ind w:firstLine="0" w:firstLineChars="0"/>
              <w:jc w:val="center"/>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电费（万元）</w:t>
            </w:r>
          </w:p>
        </w:tc>
        <w:tc>
          <w:tcPr>
            <w:tcW w:w="3508" w:type="dxa"/>
            <w:vAlign w:val="center"/>
          </w:tcPr>
          <w:p w14:paraId="7E7F74F1">
            <w:pPr>
              <w:widowControl w:val="0"/>
              <w:adjustRightInd w:val="0"/>
              <w:snapToGrid w:val="0"/>
              <w:spacing w:line="240" w:lineRule="auto"/>
              <w:ind w:firstLine="0" w:firstLineChars="0"/>
              <w:jc w:val="center"/>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备注</w:t>
            </w:r>
          </w:p>
        </w:tc>
      </w:tr>
      <w:tr w14:paraId="521B6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1452" w:type="dxa"/>
            <w:vAlign w:val="center"/>
          </w:tcPr>
          <w:p w14:paraId="2948312A">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青林湾公园</w:t>
            </w:r>
          </w:p>
        </w:tc>
        <w:tc>
          <w:tcPr>
            <w:tcW w:w="1754" w:type="dxa"/>
            <w:vAlign w:val="center"/>
          </w:tcPr>
          <w:p w14:paraId="61388A48">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2.67</w:t>
            </w:r>
          </w:p>
        </w:tc>
        <w:tc>
          <w:tcPr>
            <w:tcW w:w="2066" w:type="dxa"/>
            <w:vAlign w:val="center"/>
          </w:tcPr>
          <w:p w14:paraId="3AEFF6A0">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8.58</w:t>
            </w:r>
          </w:p>
        </w:tc>
        <w:tc>
          <w:tcPr>
            <w:tcW w:w="3508" w:type="dxa"/>
            <w:vAlign w:val="center"/>
          </w:tcPr>
          <w:p w14:paraId="6D18AE9C">
            <w:pPr>
              <w:keepNext w:val="0"/>
              <w:keepLines w:val="0"/>
              <w:widowControl/>
              <w:suppressLineNumbers w:val="0"/>
              <w:jc w:val="left"/>
              <w:textAlignment w:val="center"/>
              <w:rPr>
                <w:rFonts w:hint="eastAsia" w:ascii="宋体" w:hAnsi="宋体" w:eastAsia="宋体" w:cs="宋体"/>
                <w:color w:val="auto"/>
                <w:sz w:val="24"/>
                <w:szCs w:val="24"/>
                <w:highlight w:val="none"/>
                <w:lang w:val="en-US"/>
              </w:rPr>
            </w:pPr>
            <w:r>
              <w:rPr>
                <w:rFonts w:hint="eastAsia" w:ascii="宋体" w:hAnsi="宋体" w:eastAsia="宋体" w:cs="宋体"/>
                <w:i w:val="0"/>
                <w:iCs w:val="0"/>
                <w:color w:val="auto"/>
                <w:kern w:val="0"/>
                <w:sz w:val="24"/>
                <w:szCs w:val="24"/>
                <w:highlight w:val="none"/>
                <w:u w:val="none"/>
                <w:lang w:val="en-US" w:eastAsia="zh-CN" w:bidi="ar"/>
              </w:rPr>
              <w:t>水费支出包含公厕及管理用房。电费支出包含地面及地下停车场、公厕、管理用房及其他，其中地面及地下停车场年费用约占总费用的2%和50%。管理用房水电用量包含采购人及现有管理单位合计用量。</w:t>
            </w:r>
          </w:p>
        </w:tc>
      </w:tr>
      <w:tr w14:paraId="79B05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452" w:type="dxa"/>
            <w:vAlign w:val="center"/>
          </w:tcPr>
          <w:p w14:paraId="24B2FA80">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福民公园</w:t>
            </w:r>
          </w:p>
        </w:tc>
        <w:tc>
          <w:tcPr>
            <w:tcW w:w="1754" w:type="dxa"/>
            <w:vAlign w:val="center"/>
          </w:tcPr>
          <w:p w14:paraId="5B76F771">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0.95</w:t>
            </w:r>
          </w:p>
        </w:tc>
        <w:tc>
          <w:tcPr>
            <w:tcW w:w="2066" w:type="dxa"/>
            <w:vAlign w:val="center"/>
          </w:tcPr>
          <w:p w14:paraId="6F5CB947">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0.5</w:t>
            </w:r>
          </w:p>
        </w:tc>
        <w:tc>
          <w:tcPr>
            <w:tcW w:w="3508" w:type="dxa"/>
            <w:vAlign w:val="center"/>
          </w:tcPr>
          <w:p w14:paraId="0EADC73A">
            <w:pPr>
              <w:keepNext w:val="0"/>
              <w:keepLines w:val="0"/>
              <w:widowControl/>
              <w:suppressLineNumbers w:val="0"/>
              <w:jc w:val="left"/>
              <w:textAlignment w:val="center"/>
              <w:rPr>
                <w:rFonts w:hint="eastAsia" w:ascii="宋体" w:hAnsi="宋体" w:eastAsia="宋体" w:cs="宋体"/>
                <w:color w:val="auto"/>
                <w:sz w:val="24"/>
                <w:szCs w:val="24"/>
                <w:highlight w:val="none"/>
                <w:lang w:val="en-US"/>
              </w:rPr>
            </w:pPr>
            <w:r>
              <w:rPr>
                <w:rFonts w:hint="eastAsia" w:ascii="宋体" w:hAnsi="宋体" w:eastAsia="宋体" w:cs="宋体"/>
                <w:i w:val="0"/>
                <w:iCs w:val="0"/>
                <w:color w:val="auto"/>
                <w:kern w:val="0"/>
                <w:sz w:val="24"/>
                <w:szCs w:val="24"/>
                <w:highlight w:val="none"/>
                <w:u w:val="none"/>
                <w:lang w:val="en-US" w:eastAsia="zh-CN" w:bidi="ar"/>
              </w:rPr>
              <w:t>仅公厕用量</w:t>
            </w:r>
          </w:p>
        </w:tc>
      </w:tr>
      <w:tr w14:paraId="63B04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jc w:val="center"/>
        </w:trPr>
        <w:tc>
          <w:tcPr>
            <w:tcW w:w="1452" w:type="dxa"/>
            <w:vAlign w:val="center"/>
          </w:tcPr>
          <w:p w14:paraId="587E5F4F">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绿岛及博物馆</w:t>
            </w:r>
          </w:p>
        </w:tc>
        <w:tc>
          <w:tcPr>
            <w:tcW w:w="1754" w:type="dxa"/>
            <w:vAlign w:val="center"/>
          </w:tcPr>
          <w:p w14:paraId="4077AD43">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2.8</w:t>
            </w:r>
          </w:p>
        </w:tc>
        <w:tc>
          <w:tcPr>
            <w:tcW w:w="2066" w:type="dxa"/>
            <w:vAlign w:val="center"/>
          </w:tcPr>
          <w:p w14:paraId="570C813E">
            <w:pPr>
              <w:keepNext w:val="0"/>
              <w:keepLines w:val="0"/>
              <w:widowControl/>
              <w:suppressLineNumbers w:val="0"/>
              <w:jc w:val="center"/>
              <w:textAlignment w:val="center"/>
              <w:rPr>
                <w:rFonts w:hint="default" w:ascii="宋体" w:hAnsi="宋体" w:eastAsia="宋体" w:cs="宋体"/>
                <w:color w:val="auto"/>
                <w:sz w:val="24"/>
                <w:szCs w:val="24"/>
                <w:highlight w:val="none"/>
                <w:lang w:val="en-US"/>
              </w:rPr>
            </w:pPr>
            <w:r>
              <w:rPr>
                <w:rFonts w:hint="eastAsia" w:ascii="宋体" w:hAnsi="宋体" w:cs="宋体"/>
                <w:i w:val="0"/>
                <w:iCs w:val="0"/>
                <w:color w:val="auto"/>
                <w:kern w:val="0"/>
                <w:sz w:val="24"/>
                <w:szCs w:val="24"/>
                <w:highlight w:val="none"/>
                <w:u w:val="none"/>
                <w:lang w:val="en-US" w:eastAsia="zh-CN" w:bidi="ar"/>
              </w:rPr>
              <w:t>9.5</w:t>
            </w:r>
          </w:p>
        </w:tc>
        <w:tc>
          <w:tcPr>
            <w:tcW w:w="3508" w:type="dxa"/>
            <w:vAlign w:val="center"/>
          </w:tcPr>
          <w:p w14:paraId="4D0D81DD">
            <w:pPr>
              <w:rPr>
                <w:rFonts w:hint="eastAsia" w:ascii="宋体" w:hAnsi="宋体" w:eastAsia="宋体" w:cs="宋体"/>
                <w:color w:val="auto"/>
                <w:sz w:val="24"/>
                <w:szCs w:val="24"/>
                <w:highlight w:val="none"/>
                <w:lang w:val="en-US" w:eastAsia="zh-CN"/>
              </w:rPr>
            </w:pPr>
          </w:p>
        </w:tc>
      </w:tr>
      <w:tr w14:paraId="4F171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452" w:type="dxa"/>
            <w:vAlign w:val="center"/>
          </w:tcPr>
          <w:p w14:paraId="02C7D7D7">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盆景园</w:t>
            </w:r>
          </w:p>
        </w:tc>
        <w:tc>
          <w:tcPr>
            <w:tcW w:w="1754" w:type="dxa"/>
            <w:vAlign w:val="center"/>
          </w:tcPr>
          <w:p w14:paraId="5F0AA0BB">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0.83</w:t>
            </w:r>
          </w:p>
        </w:tc>
        <w:tc>
          <w:tcPr>
            <w:tcW w:w="2066" w:type="dxa"/>
            <w:vAlign w:val="center"/>
          </w:tcPr>
          <w:p w14:paraId="010F0B68">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1.37</w:t>
            </w:r>
          </w:p>
        </w:tc>
        <w:tc>
          <w:tcPr>
            <w:tcW w:w="3508" w:type="dxa"/>
            <w:vAlign w:val="center"/>
          </w:tcPr>
          <w:p w14:paraId="5CDC49D5">
            <w:pPr>
              <w:rPr>
                <w:rFonts w:hint="eastAsia" w:ascii="宋体" w:hAnsi="宋体" w:eastAsia="宋体" w:cs="宋体"/>
                <w:color w:val="auto"/>
                <w:sz w:val="24"/>
                <w:szCs w:val="24"/>
                <w:highlight w:val="none"/>
                <w:lang w:val="en-US"/>
              </w:rPr>
            </w:pPr>
          </w:p>
        </w:tc>
      </w:tr>
      <w:tr w14:paraId="3633F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452" w:type="dxa"/>
            <w:vAlign w:val="center"/>
          </w:tcPr>
          <w:p w14:paraId="603B092F">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合计</w:t>
            </w:r>
          </w:p>
        </w:tc>
        <w:tc>
          <w:tcPr>
            <w:tcW w:w="1754" w:type="dxa"/>
            <w:vAlign w:val="center"/>
          </w:tcPr>
          <w:p w14:paraId="4364A1E9">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7.</w:t>
            </w:r>
            <w:r>
              <w:rPr>
                <w:rFonts w:hint="eastAsia" w:ascii="宋体" w:hAnsi="宋体" w:cs="宋体"/>
                <w:i w:val="0"/>
                <w:iCs w:val="0"/>
                <w:color w:val="auto"/>
                <w:kern w:val="0"/>
                <w:sz w:val="24"/>
                <w:szCs w:val="24"/>
                <w:highlight w:val="none"/>
                <w:u w:val="none"/>
                <w:lang w:val="en-US" w:eastAsia="zh-CN" w:bidi="ar"/>
              </w:rPr>
              <w:t>25</w:t>
            </w:r>
          </w:p>
        </w:tc>
        <w:tc>
          <w:tcPr>
            <w:tcW w:w="2066" w:type="dxa"/>
            <w:vAlign w:val="center"/>
          </w:tcPr>
          <w:p w14:paraId="6DB5F224">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19.95</w:t>
            </w:r>
          </w:p>
        </w:tc>
        <w:tc>
          <w:tcPr>
            <w:tcW w:w="3508" w:type="dxa"/>
            <w:vAlign w:val="center"/>
          </w:tcPr>
          <w:p w14:paraId="3413953E">
            <w:pPr>
              <w:rPr>
                <w:rFonts w:hint="eastAsia" w:ascii="宋体" w:hAnsi="宋体" w:eastAsia="宋体" w:cs="宋体"/>
                <w:color w:val="auto"/>
                <w:sz w:val="24"/>
                <w:szCs w:val="24"/>
                <w:highlight w:val="none"/>
                <w:lang w:val="en-US"/>
              </w:rPr>
            </w:pPr>
          </w:p>
        </w:tc>
      </w:tr>
    </w:tbl>
    <w:p w14:paraId="3738B6D8">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（2）公园用水、用电与当年气候条件、游客数量、公园建设等不确定因素存在极大关联，因此，以上数据仅是历史数据供投标人了解，并不作为本项目服务期内的实际水电使用情况预计使用。</w:t>
      </w:r>
    </w:p>
    <w:p w14:paraId="5282A8A5">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3）由于水电费划扣单位为采购人（水电费由采购人代缴），因此，中标人与采购人签订合同后，应在规定时间提前预交三个月用作待扣款，每两个月向采购人按代缴水电费实际总额划至采购人指定账户，以确保水电费的成功划扣。</w:t>
      </w:r>
    </w:p>
    <w:p w14:paraId="38FE7233">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（4）实际发生水电费在27.2万元内，按实际发生金额结算；实际发生水电费超出27.2万元的，超额部分由中标人自行承担，采购人不再额外支付。</w:t>
      </w:r>
    </w:p>
    <w:p w14:paraId="0590E783">
      <w:pPr>
        <w:widowControl/>
        <w:tabs>
          <w:tab w:val="left" w:pos="851"/>
        </w:tabs>
        <w:adjustRightInd/>
        <w:spacing w:line="360" w:lineRule="auto"/>
        <w:outlineLvl w:val="1"/>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eastAsia="zh-CN"/>
        </w:rPr>
        <w:t>（</w:t>
      </w:r>
      <w:r>
        <w:rPr>
          <w:rFonts w:hint="eastAsia" w:ascii="宋体" w:hAnsi="宋体" w:eastAsia="宋体" w:cs="宋体"/>
          <w:b/>
          <w:color w:val="auto"/>
          <w:kern w:val="0"/>
          <w:sz w:val="24"/>
          <w:highlight w:val="none"/>
          <w:lang w:val="en-US" w:eastAsia="zh-CN"/>
        </w:rPr>
        <w:t>四</w:t>
      </w:r>
      <w:r>
        <w:rPr>
          <w:rFonts w:hint="eastAsia" w:ascii="宋体" w:hAnsi="宋体" w:eastAsia="宋体" w:cs="宋体"/>
          <w:b/>
          <w:color w:val="auto"/>
          <w:kern w:val="0"/>
          <w:sz w:val="24"/>
          <w:highlight w:val="none"/>
          <w:lang w:eastAsia="zh-CN"/>
        </w:rPr>
        <w:t>）</w:t>
      </w:r>
      <w:r>
        <w:rPr>
          <w:rFonts w:hint="eastAsia" w:ascii="宋体" w:hAnsi="宋体" w:eastAsia="宋体" w:cs="宋体"/>
          <w:b/>
          <w:color w:val="auto"/>
          <w:kern w:val="0"/>
          <w:sz w:val="24"/>
          <w:highlight w:val="none"/>
        </w:rPr>
        <w:t>其他要求</w:t>
      </w:r>
    </w:p>
    <w:p w14:paraId="6CBF7EB3">
      <w:pPr>
        <w:widowControl/>
        <w:tabs>
          <w:tab w:val="left" w:pos="851"/>
        </w:tabs>
        <w:adjustRightInd/>
        <w:spacing w:line="360" w:lineRule="auto"/>
        <w:ind w:firstLine="480" w:firstLineChars="200"/>
        <w:rPr>
          <w:rFonts w:hint="default"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完成本项目服务及相关作业人员开展日常作业必须配备的基本材料由中标人无条件提供和配备，包括且不限于人员服装、鞋帽、手套；垃圾袋、清洁剂等保洁用品及相关耗材，费用含入投标总价中，不另行支付。</w:t>
      </w:r>
    </w:p>
    <w:p w14:paraId="244E7231">
      <w:pPr>
        <w:widowControl/>
        <w:tabs>
          <w:tab w:val="left" w:pos="851"/>
        </w:tabs>
        <w:adjustRightInd/>
        <w:spacing w:line="360" w:lineRule="auto"/>
        <w:outlineLvl w:val="1"/>
        <w:rPr>
          <w:rFonts w:ascii="宋体" w:hAnsi="宋体" w:eastAsia="宋体" w:cs="宋体"/>
          <w:b/>
          <w:color w:val="auto"/>
          <w:kern w:val="0"/>
          <w:sz w:val="24"/>
          <w:highlight w:val="none"/>
        </w:rPr>
      </w:pPr>
      <w:r>
        <w:rPr>
          <w:rFonts w:hint="eastAsia" w:ascii="宋体" w:hAnsi="宋体" w:eastAsia="宋体" w:cs="宋体"/>
          <w:b/>
          <w:color w:val="auto"/>
          <w:kern w:val="0"/>
          <w:szCs w:val="21"/>
          <w:highlight w:val="none"/>
        </w:rPr>
        <w:t>▲</w:t>
      </w:r>
      <w:r>
        <w:rPr>
          <w:rFonts w:hint="eastAsia" w:ascii="宋体" w:hAnsi="宋体" w:eastAsia="宋体" w:cs="宋体"/>
          <w:b/>
          <w:color w:val="auto"/>
          <w:kern w:val="0"/>
          <w:sz w:val="24"/>
          <w:highlight w:val="none"/>
          <w:lang w:val="en-US" w:eastAsia="zh-CN"/>
        </w:rPr>
        <w:t>十</w:t>
      </w:r>
      <w:r>
        <w:rPr>
          <w:rFonts w:hint="eastAsia" w:ascii="宋体" w:hAnsi="宋体" w:eastAsia="宋体" w:cs="宋体"/>
          <w:b/>
          <w:color w:val="auto"/>
          <w:kern w:val="0"/>
          <w:sz w:val="24"/>
          <w:highlight w:val="none"/>
        </w:rPr>
        <w:t>、其他要求</w:t>
      </w:r>
    </w:p>
    <w:p w14:paraId="43E80BC2">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rPr>
        <w:t>1</w:t>
      </w:r>
      <w:r>
        <w:rPr>
          <w:rFonts w:hint="eastAsia" w:ascii="宋体" w:hAnsi="宋体" w:cs="宋体"/>
          <w:bCs/>
          <w:color w:val="auto"/>
          <w:kern w:val="0"/>
          <w:sz w:val="24"/>
          <w:highlight w:val="none"/>
          <w:lang w:eastAsia="zh-CN"/>
        </w:rPr>
        <w:t>.</w:t>
      </w:r>
      <w:r>
        <w:rPr>
          <w:rFonts w:hint="eastAsia" w:ascii="宋体" w:hAnsi="宋体" w:eastAsia="宋体" w:cs="宋体"/>
          <w:bCs/>
          <w:color w:val="auto"/>
          <w:kern w:val="0"/>
          <w:sz w:val="24"/>
          <w:highlight w:val="none"/>
          <w:lang w:eastAsia="zh-CN"/>
        </w:rPr>
        <w:t>投标人承诺，投标文件中所列的所有信息真实准确。若采购人需要，将在接到采购人通知之日起，一日内备齐采购人所需核查的所有证明材料以及设备机械供采购人查验。若无法按时或充分提供相关证明材料及设备机械，同意采购人将其视为投标文件不真实，还可视情况追究相关投标人责任。</w:t>
      </w:r>
    </w:p>
    <w:p w14:paraId="772901AC">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2</w:t>
      </w:r>
      <w:r>
        <w:rPr>
          <w:rFonts w:hint="eastAsia" w:ascii="宋体" w:hAnsi="宋体" w:cs="宋体"/>
          <w:bCs/>
          <w:color w:val="auto"/>
          <w:kern w:val="0"/>
          <w:sz w:val="24"/>
          <w:highlight w:val="none"/>
          <w:lang w:val="en-US" w:eastAsia="zh-CN"/>
        </w:rPr>
        <w:t>.</w:t>
      </w:r>
      <w:r>
        <w:rPr>
          <w:rFonts w:hint="eastAsia" w:ascii="宋体" w:hAnsi="宋体" w:eastAsia="宋体" w:cs="宋体"/>
          <w:bCs/>
          <w:color w:val="auto"/>
          <w:kern w:val="0"/>
          <w:sz w:val="24"/>
          <w:highlight w:val="none"/>
          <w:lang w:eastAsia="zh-CN"/>
        </w:rPr>
        <w:t>投标人派驻项目团队内设项目管理团队和项目作业队伍。其中项目管理团队对采购人直接负责，按采购人要求，全面落实好本服务项目。同时项目管理团队通过对项目作业队伍作业人员进行聘用、培训、检查、考评，确保作业队伍人员的工作状态和作业质量，实现各专业块状的融合、互动、协作管理。而项目作业队伍对项目管理团队直接负责，通过专业化运作，条状管理，确保一线作业质量达到公园管理考核标准。</w:t>
      </w:r>
    </w:p>
    <w:p w14:paraId="0E5477B4">
      <w:pPr>
        <w:widowControl/>
        <w:tabs>
          <w:tab w:val="left" w:pos="851"/>
        </w:tabs>
        <w:adjustRightInd/>
        <w:spacing w:line="360" w:lineRule="auto"/>
        <w:ind w:firstLine="480" w:firstLineChars="200"/>
        <w:rPr>
          <w:rFonts w:hint="default"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3</w:t>
      </w:r>
      <w:r>
        <w:rPr>
          <w:rFonts w:hint="eastAsia" w:ascii="宋体" w:hAnsi="宋体" w:cs="宋体"/>
          <w:bCs/>
          <w:color w:val="auto"/>
          <w:kern w:val="0"/>
          <w:sz w:val="24"/>
          <w:highlight w:val="none"/>
          <w:lang w:val="en-US" w:eastAsia="zh-CN"/>
        </w:rPr>
        <w:t>.</w:t>
      </w:r>
      <w:r>
        <w:rPr>
          <w:rFonts w:hint="eastAsia" w:ascii="宋体" w:hAnsi="宋体" w:eastAsia="宋体" w:cs="宋体"/>
          <w:bCs/>
          <w:color w:val="auto"/>
          <w:kern w:val="0"/>
          <w:sz w:val="24"/>
          <w:highlight w:val="none"/>
          <w:lang w:eastAsia="zh-CN"/>
        </w:rPr>
        <w:t>所有服务于本项目的人员，均应为投标人自有聘用人员，若有转包、擅自违法分包行为，将严肃处理。除最基层的一线普通作业工人岗位，可由投标人项目管理部直接做出调整后报采购人备案外，其他岗位人员的调整均需事先书面报请采购人审核，经采购人审核同意后，跟班至少一周，方可正式交接更换。否则将作违约处理，扣减相应违约金，并有权单方取消合同。</w:t>
      </w:r>
    </w:p>
    <w:p w14:paraId="796EF088">
      <w:pPr>
        <w:widowControl/>
        <w:tabs>
          <w:tab w:val="left" w:pos="851"/>
        </w:tabs>
        <w:adjustRightInd/>
        <w:spacing w:line="360" w:lineRule="auto"/>
        <w:ind w:firstLine="480" w:firstLineChars="200"/>
        <w:rPr>
          <w:rFonts w:eastAsia="宋体"/>
          <w:color w:val="auto"/>
          <w:highlight w:val="none"/>
        </w:rPr>
      </w:pPr>
      <w:r>
        <w:rPr>
          <w:rFonts w:hint="eastAsia" w:ascii="宋体" w:hAnsi="宋体" w:eastAsia="宋体" w:cs="宋体"/>
          <w:bCs/>
          <w:color w:val="auto"/>
          <w:kern w:val="0"/>
          <w:sz w:val="24"/>
          <w:highlight w:val="none"/>
          <w:lang w:val="en-US" w:eastAsia="zh-CN"/>
        </w:rPr>
        <w:t>4</w:t>
      </w:r>
      <w:r>
        <w:rPr>
          <w:rFonts w:hint="eastAsia" w:ascii="宋体" w:hAnsi="宋体" w:cs="宋体"/>
          <w:bCs/>
          <w:color w:val="auto"/>
          <w:kern w:val="0"/>
          <w:sz w:val="24"/>
          <w:highlight w:val="none"/>
          <w:lang w:val="en-US" w:eastAsia="zh-CN"/>
        </w:rPr>
        <w:t>.</w:t>
      </w:r>
      <w:r>
        <w:rPr>
          <w:rFonts w:hint="eastAsia" w:ascii="宋体" w:hAnsi="宋体" w:eastAsia="宋体" w:cs="宋体"/>
          <w:bCs/>
          <w:color w:val="auto"/>
          <w:kern w:val="0"/>
          <w:sz w:val="24"/>
          <w:highlight w:val="none"/>
          <w:lang w:val="en-US" w:eastAsia="zh-CN"/>
        </w:rPr>
        <w:t>因政府政策原因或市政建设需要、征用土地、公园重大建设等因素，采购人有权根据实际情况单方终止或减少投标内容中的部分或全部内容，对应核减相关费用，中标人需无条件服从。</w:t>
      </w:r>
    </w:p>
    <w:p w14:paraId="0A1C81DC">
      <w:pPr>
        <w:pStyle w:val="2"/>
        <w:rPr>
          <w:highlight w:val="none"/>
        </w:rPr>
        <w:sectPr>
          <w:pgSz w:w="11906" w:h="16838"/>
          <w:pgMar w:top="1418" w:right="1287" w:bottom="1134" w:left="1621" w:header="851" w:footer="992" w:gutter="0"/>
          <w:pgBorders>
            <w:top w:val="none" w:sz="0" w:space="0"/>
            <w:left w:val="none" w:sz="0" w:space="0"/>
            <w:bottom w:val="none" w:sz="0" w:space="0"/>
            <w:right w:val="none" w:sz="0" w:space="0"/>
          </w:pgBorders>
          <w:pgNumType w:fmt="decimal"/>
          <w:cols w:space="720" w:num="1"/>
          <w:titlePg/>
          <w:docGrid w:type="linesAndChars" w:linePitch="321" w:charSpace="0"/>
        </w:sectPr>
      </w:pPr>
    </w:p>
    <w:p w14:paraId="2B1D020F">
      <w:pPr>
        <w:widowControl/>
        <w:adjustRightInd/>
        <w:spacing w:line="360" w:lineRule="auto"/>
        <w:jc w:val="center"/>
        <w:outlineLvl w:val="1"/>
        <w:rPr>
          <w:rFonts w:hint="default" w:ascii="宋体" w:hAnsi="宋体" w:eastAsia="宋体" w:cs="宋体"/>
          <w:b/>
          <w:color w:val="auto"/>
          <w:kern w:val="0"/>
          <w:szCs w:val="21"/>
          <w:highlight w:val="none"/>
          <w:lang w:val="en-US"/>
        </w:rPr>
      </w:pPr>
      <w:r>
        <w:rPr>
          <w:rFonts w:hint="eastAsia" w:ascii="宋体" w:hAnsi="宋体" w:eastAsia="宋体" w:cs="宋体"/>
          <w:b/>
          <w:color w:val="auto"/>
          <w:kern w:val="0"/>
          <w:sz w:val="24"/>
          <w:szCs w:val="24"/>
          <w:highlight w:val="none"/>
          <w:lang w:val="en-US" w:eastAsia="zh-CN"/>
        </w:rPr>
        <w:t>标项3 儿童公园</w:t>
      </w:r>
    </w:p>
    <w:p w14:paraId="50A5F816">
      <w:pPr>
        <w:widowControl/>
        <w:adjustRightInd/>
        <w:spacing w:line="360" w:lineRule="auto"/>
        <w:jc w:val="left"/>
        <w:outlineLvl w:val="1"/>
        <w:rPr>
          <w:rFonts w:ascii="宋体" w:hAnsi="宋体" w:eastAsia="宋体" w:cs="宋体"/>
          <w:b/>
          <w:color w:val="auto"/>
          <w:kern w:val="0"/>
          <w:sz w:val="24"/>
          <w:highlight w:val="none"/>
        </w:rPr>
      </w:pPr>
      <w:r>
        <w:rPr>
          <w:rFonts w:hint="eastAsia" w:ascii="宋体" w:hAnsi="宋体" w:eastAsia="宋体" w:cs="宋体"/>
          <w:b/>
          <w:color w:val="auto"/>
          <w:kern w:val="0"/>
          <w:szCs w:val="21"/>
          <w:highlight w:val="none"/>
        </w:rPr>
        <w:t>▲</w:t>
      </w:r>
      <w:r>
        <w:rPr>
          <w:rFonts w:hint="eastAsia" w:ascii="宋体" w:hAnsi="宋体" w:eastAsia="宋体" w:cs="宋体"/>
          <w:b/>
          <w:color w:val="auto"/>
          <w:kern w:val="0"/>
          <w:sz w:val="24"/>
          <w:highlight w:val="none"/>
        </w:rPr>
        <w:t>一、重要商务要求一览表</w:t>
      </w:r>
    </w:p>
    <w:tbl>
      <w:tblPr>
        <w:tblStyle w:val="6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2"/>
        <w:gridCol w:w="1582"/>
        <w:gridCol w:w="6567"/>
      </w:tblGrid>
      <w:tr w14:paraId="11308F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42" w:type="dxa"/>
            <w:tcBorders>
              <w:top w:val="single" w:color="auto" w:sz="4" w:space="0"/>
              <w:left w:val="single" w:color="auto" w:sz="4" w:space="0"/>
              <w:bottom w:val="single" w:color="auto" w:sz="4" w:space="0"/>
              <w:right w:val="single" w:color="auto" w:sz="4" w:space="0"/>
            </w:tcBorders>
            <w:vAlign w:val="center"/>
          </w:tcPr>
          <w:p w14:paraId="025F426A">
            <w:pPr>
              <w:adjustRightInd/>
              <w:spacing w:line="360" w:lineRule="auto"/>
              <w:contextualSpacing/>
              <w:jc w:val="center"/>
              <w:rPr>
                <w:rFonts w:ascii="宋体" w:hAnsi="宋体" w:eastAsia="宋体" w:cs="宋体"/>
                <w:b/>
                <w:bCs/>
                <w:color w:val="auto"/>
                <w:sz w:val="24"/>
                <w:highlight w:val="none"/>
              </w:rPr>
            </w:pPr>
            <w:r>
              <w:rPr>
                <w:rFonts w:hint="eastAsia" w:ascii="宋体" w:hAnsi="宋体" w:eastAsia="宋体" w:cs="宋体"/>
                <w:b/>
                <w:bCs/>
                <w:color w:val="auto"/>
                <w:sz w:val="24"/>
                <w:highlight w:val="none"/>
              </w:rPr>
              <w:t>序号</w:t>
            </w:r>
          </w:p>
        </w:tc>
        <w:tc>
          <w:tcPr>
            <w:tcW w:w="1582" w:type="dxa"/>
            <w:tcBorders>
              <w:top w:val="single" w:color="auto" w:sz="4" w:space="0"/>
              <w:left w:val="single" w:color="auto" w:sz="4" w:space="0"/>
              <w:bottom w:val="single" w:color="auto" w:sz="4" w:space="0"/>
              <w:right w:val="single" w:color="auto" w:sz="4" w:space="0"/>
            </w:tcBorders>
            <w:vAlign w:val="center"/>
          </w:tcPr>
          <w:p w14:paraId="65125772">
            <w:pPr>
              <w:adjustRightInd/>
              <w:spacing w:line="360" w:lineRule="auto"/>
              <w:contextualSpacing/>
              <w:jc w:val="center"/>
              <w:rPr>
                <w:rFonts w:ascii="宋体" w:hAnsi="宋体" w:eastAsia="宋体" w:cs="宋体"/>
                <w:b/>
                <w:bCs/>
                <w:color w:val="auto"/>
                <w:sz w:val="24"/>
                <w:highlight w:val="none"/>
              </w:rPr>
            </w:pPr>
            <w:r>
              <w:rPr>
                <w:rFonts w:hint="eastAsia" w:ascii="宋体" w:hAnsi="宋体" w:eastAsia="宋体" w:cs="宋体"/>
                <w:b/>
                <w:bCs/>
                <w:color w:val="auto"/>
                <w:sz w:val="24"/>
                <w:highlight w:val="none"/>
              </w:rPr>
              <w:t>项目</w:t>
            </w:r>
          </w:p>
        </w:tc>
        <w:tc>
          <w:tcPr>
            <w:tcW w:w="6567" w:type="dxa"/>
            <w:tcBorders>
              <w:top w:val="single" w:color="auto" w:sz="4" w:space="0"/>
              <w:left w:val="single" w:color="auto" w:sz="4" w:space="0"/>
              <w:bottom w:val="single" w:color="auto" w:sz="4" w:space="0"/>
              <w:right w:val="single" w:color="auto" w:sz="4" w:space="0"/>
            </w:tcBorders>
            <w:vAlign w:val="center"/>
          </w:tcPr>
          <w:p w14:paraId="01A1CAF9">
            <w:pPr>
              <w:adjustRightInd/>
              <w:spacing w:line="360" w:lineRule="auto"/>
              <w:contextualSpacing/>
              <w:jc w:val="center"/>
              <w:rPr>
                <w:rFonts w:ascii="宋体" w:hAnsi="宋体" w:eastAsia="宋体" w:cs="宋体"/>
                <w:b/>
                <w:bCs/>
                <w:color w:val="auto"/>
                <w:sz w:val="24"/>
                <w:highlight w:val="none"/>
              </w:rPr>
            </w:pPr>
            <w:r>
              <w:rPr>
                <w:rFonts w:hint="eastAsia" w:ascii="宋体" w:hAnsi="宋体" w:eastAsia="宋体" w:cs="宋体"/>
                <w:b/>
                <w:bCs/>
                <w:color w:val="auto"/>
                <w:sz w:val="24"/>
                <w:highlight w:val="none"/>
              </w:rPr>
              <w:t>要 求</w:t>
            </w:r>
          </w:p>
        </w:tc>
      </w:tr>
      <w:tr w14:paraId="1A473A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42" w:type="dxa"/>
            <w:tcBorders>
              <w:top w:val="single" w:color="auto" w:sz="4" w:space="0"/>
              <w:left w:val="single" w:color="auto" w:sz="4" w:space="0"/>
              <w:bottom w:val="single" w:color="auto" w:sz="4" w:space="0"/>
              <w:right w:val="single" w:color="auto" w:sz="4" w:space="0"/>
            </w:tcBorders>
            <w:vAlign w:val="center"/>
          </w:tcPr>
          <w:p w14:paraId="01197213">
            <w:pPr>
              <w:adjustRightInd/>
              <w:spacing w:line="360" w:lineRule="auto"/>
              <w:contextualSpacing/>
              <w:jc w:val="center"/>
              <w:rPr>
                <w:rFonts w:ascii="宋体" w:hAnsi="宋体" w:eastAsia="宋体" w:cs="宋体"/>
                <w:color w:val="auto"/>
                <w:sz w:val="24"/>
                <w:highlight w:val="none"/>
              </w:rPr>
            </w:pPr>
            <w:r>
              <w:rPr>
                <w:rFonts w:hint="eastAsia" w:ascii="宋体" w:hAnsi="宋体" w:eastAsia="宋体" w:cs="宋体"/>
                <w:color w:val="auto"/>
                <w:sz w:val="24"/>
                <w:highlight w:val="none"/>
              </w:rPr>
              <w:t>1</w:t>
            </w:r>
          </w:p>
        </w:tc>
        <w:tc>
          <w:tcPr>
            <w:tcW w:w="1582" w:type="dxa"/>
            <w:tcBorders>
              <w:top w:val="single" w:color="auto" w:sz="4" w:space="0"/>
              <w:left w:val="single" w:color="auto" w:sz="4" w:space="0"/>
              <w:bottom w:val="single" w:color="auto" w:sz="4" w:space="0"/>
              <w:right w:val="single" w:color="auto" w:sz="4" w:space="0"/>
            </w:tcBorders>
            <w:vAlign w:val="center"/>
          </w:tcPr>
          <w:p w14:paraId="2CF31BBE">
            <w:pPr>
              <w:adjustRightInd/>
              <w:spacing w:line="360" w:lineRule="auto"/>
              <w:contextualSpacing/>
              <w:jc w:val="center"/>
              <w:rPr>
                <w:rFonts w:ascii="宋体" w:hAnsi="宋体" w:eastAsia="宋体" w:cs="宋体"/>
                <w:color w:val="auto"/>
                <w:sz w:val="24"/>
                <w:highlight w:val="none"/>
              </w:rPr>
            </w:pPr>
            <w:r>
              <w:rPr>
                <w:rFonts w:hint="eastAsia" w:ascii="宋体" w:hAnsi="宋体" w:eastAsia="宋体" w:cs="宋体"/>
                <w:color w:val="auto"/>
                <w:sz w:val="24"/>
                <w:highlight w:val="none"/>
              </w:rPr>
              <w:t>服务期限</w:t>
            </w:r>
          </w:p>
        </w:tc>
        <w:tc>
          <w:tcPr>
            <w:tcW w:w="6567" w:type="dxa"/>
            <w:tcBorders>
              <w:top w:val="single" w:color="auto" w:sz="4" w:space="0"/>
              <w:left w:val="single" w:color="auto" w:sz="4" w:space="0"/>
              <w:bottom w:val="single" w:color="auto" w:sz="4" w:space="0"/>
              <w:right w:val="single" w:color="auto" w:sz="4" w:space="0"/>
            </w:tcBorders>
            <w:vAlign w:val="center"/>
          </w:tcPr>
          <w:p w14:paraId="5E4F93F0">
            <w:pPr>
              <w:adjustRightInd/>
              <w:spacing w:line="360" w:lineRule="auto"/>
              <w:contextualSpacing/>
              <w:rPr>
                <w:rFonts w:ascii="宋体" w:hAnsi="宋体" w:eastAsia="宋体" w:cs="宋体"/>
                <w:color w:val="auto"/>
                <w:sz w:val="24"/>
                <w:highlight w:val="none"/>
              </w:rPr>
            </w:pPr>
            <w:r>
              <w:rPr>
                <w:rFonts w:hint="eastAsia" w:ascii="宋体" w:hAnsi="宋体" w:eastAsia="宋体" w:cs="宋体"/>
                <w:color w:val="auto"/>
                <w:sz w:val="24"/>
                <w:highlight w:val="none"/>
              </w:rPr>
              <w:t>详见第一部分 招标公告</w:t>
            </w:r>
          </w:p>
        </w:tc>
      </w:tr>
      <w:tr w14:paraId="3B7E47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42" w:type="dxa"/>
            <w:tcBorders>
              <w:top w:val="single" w:color="auto" w:sz="4" w:space="0"/>
              <w:left w:val="single" w:color="auto" w:sz="4" w:space="0"/>
              <w:bottom w:val="single" w:color="auto" w:sz="4" w:space="0"/>
              <w:right w:val="single" w:color="auto" w:sz="4" w:space="0"/>
            </w:tcBorders>
            <w:vAlign w:val="center"/>
          </w:tcPr>
          <w:p w14:paraId="6864A835">
            <w:pPr>
              <w:adjustRightInd/>
              <w:spacing w:line="360" w:lineRule="auto"/>
              <w:contextualSpacing/>
              <w:jc w:val="center"/>
              <w:rPr>
                <w:rFonts w:ascii="宋体" w:hAnsi="宋体" w:eastAsia="宋体" w:cs="宋体"/>
                <w:color w:val="auto"/>
                <w:sz w:val="24"/>
                <w:highlight w:val="none"/>
              </w:rPr>
            </w:pPr>
            <w:r>
              <w:rPr>
                <w:rFonts w:hint="eastAsia" w:ascii="宋体" w:hAnsi="宋体" w:eastAsia="宋体" w:cs="宋体"/>
                <w:color w:val="auto"/>
                <w:sz w:val="24"/>
                <w:highlight w:val="none"/>
              </w:rPr>
              <w:t>2</w:t>
            </w:r>
          </w:p>
        </w:tc>
        <w:tc>
          <w:tcPr>
            <w:tcW w:w="1582" w:type="dxa"/>
            <w:tcBorders>
              <w:top w:val="single" w:color="auto" w:sz="4" w:space="0"/>
              <w:left w:val="single" w:color="auto" w:sz="4" w:space="0"/>
              <w:bottom w:val="single" w:color="auto" w:sz="4" w:space="0"/>
              <w:right w:val="single" w:color="auto" w:sz="4" w:space="0"/>
            </w:tcBorders>
            <w:vAlign w:val="center"/>
          </w:tcPr>
          <w:p w14:paraId="6F530623">
            <w:pPr>
              <w:adjustRightInd/>
              <w:spacing w:line="360" w:lineRule="auto"/>
              <w:contextualSpacing/>
              <w:jc w:val="center"/>
              <w:rPr>
                <w:rFonts w:ascii="宋体" w:hAnsi="宋体" w:eastAsia="宋体" w:cs="宋体"/>
                <w:color w:val="auto"/>
                <w:sz w:val="24"/>
                <w:highlight w:val="none"/>
              </w:rPr>
            </w:pPr>
            <w:r>
              <w:rPr>
                <w:rFonts w:hint="eastAsia" w:ascii="宋体" w:hAnsi="宋体" w:eastAsia="宋体" w:cs="宋体"/>
                <w:color w:val="auto"/>
                <w:sz w:val="24"/>
                <w:highlight w:val="none"/>
              </w:rPr>
              <w:t>服务地点</w:t>
            </w:r>
          </w:p>
        </w:tc>
        <w:tc>
          <w:tcPr>
            <w:tcW w:w="6567" w:type="dxa"/>
            <w:tcBorders>
              <w:top w:val="single" w:color="auto" w:sz="4" w:space="0"/>
              <w:left w:val="single" w:color="auto" w:sz="4" w:space="0"/>
              <w:bottom w:val="single" w:color="auto" w:sz="4" w:space="0"/>
              <w:right w:val="single" w:color="auto" w:sz="4" w:space="0"/>
            </w:tcBorders>
            <w:vAlign w:val="center"/>
          </w:tcPr>
          <w:p w14:paraId="239FCAAF">
            <w:pPr>
              <w:adjustRightInd/>
              <w:spacing w:line="360" w:lineRule="auto"/>
              <w:contextualSpacing/>
              <w:rPr>
                <w:rFonts w:ascii="宋体" w:hAnsi="宋体" w:eastAsia="宋体" w:cs="宋体"/>
                <w:bCs/>
                <w:color w:val="auto"/>
                <w:sz w:val="24"/>
                <w:highlight w:val="none"/>
              </w:rPr>
            </w:pPr>
            <w:r>
              <w:rPr>
                <w:rFonts w:hint="eastAsia" w:ascii="宋体" w:hAnsi="宋体" w:eastAsia="宋体" w:cs="宋体"/>
                <w:color w:val="auto"/>
                <w:sz w:val="24"/>
                <w:highlight w:val="none"/>
              </w:rPr>
              <w:t>宁波市范围内采购人指定地点。</w:t>
            </w:r>
          </w:p>
        </w:tc>
      </w:tr>
      <w:tr w14:paraId="7A6C14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42" w:type="dxa"/>
            <w:tcBorders>
              <w:top w:val="single" w:color="auto" w:sz="4" w:space="0"/>
              <w:left w:val="single" w:color="auto" w:sz="4" w:space="0"/>
              <w:bottom w:val="single" w:color="auto" w:sz="4" w:space="0"/>
              <w:right w:val="single" w:color="auto" w:sz="4" w:space="0"/>
            </w:tcBorders>
            <w:vAlign w:val="center"/>
          </w:tcPr>
          <w:p w14:paraId="6D29D3DA">
            <w:pPr>
              <w:adjustRightInd/>
              <w:spacing w:line="360" w:lineRule="auto"/>
              <w:contextualSpacing/>
              <w:jc w:val="center"/>
              <w:rPr>
                <w:rFonts w:ascii="宋体" w:hAnsi="宋体" w:eastAsia="宋体" w:cs="宋体"/>
                <w:color w:val="auto"/>
                <w:sz w:val="24"/>
                <w:highlight w:val="none"/>
              </w:rPr>
            </w:pPr>
            <w:r>
              <w:rPr>
                <w:rFonts w:hint="eastAsia" w:ascii="宋体" w:hAnsi="宋体" w:eastAsia="宋体" w:cs="宋体"/>
                <w:color w:val="auto"/>
                <w:sz w:val="24"/>
                <w:highlight w:val="none"/>
              </w:rPr>
              <w:t>3</w:t>
            </w:r>
          </w:p>
        </w:tc>
        <w:tc>
          <w:tcPr>
            <w:tcW w:w="1582" w:type="dxa"/>
            <w:tcBorders>
              <w:top w:val="single" w:color="auto" w:sz="4" w:space="0"/>
              <w:left w:val="single" w:color="auto" w:sz="4" w:space="0"/>
              <w:bottom w:val="single" w:color="auto" w:sz="4" w:space="0"/>
              <w:right w:val="single" w:color="auto" w:sz="4" w:space="0"/>
            </w:tcBorders>
            <w:vAlign w:val="center"/>
          </w:tcPr>
          <w:p w14:paraId="726EB348">
            <w:pPr>
              <w:adjustRightInd/>
              <w:spacing w:line="360" w:lineRule="auto"/>
              <w:contextualSpacing/>
              <w:jc w:val="center"/>
              <w:rPr>
                <w:rFonts w:ascii="宋体" w:hAnsi="宋体" w:eastAsia="宋体" w:cs="宋体"/>
                <w:color w:val="auto"/>
                <w:sz w:val="24"/>
                <w:highlight w:val="none"/>
              </w:rPr>
            </w:pPr>
            <w:r>
              <w:rPr>
                <w:rFonts w:hint="eastAsia" w:ascii="宋体" w:hAnsi="宋体" w:eastAsia="宋体" w:cs="宋体"/>
                <w:color w:val="auto"/>
                <w:sz w:val="24"/>
                <w:highlight w:val="none"/>
              </w:rPr>
              <w:t>付款方式</w:t>
            </w:r>
          </w:p>
        </w:tc>
        <w:tc>
          <w:tcPr>
            <w:tcW w:w="6567" w:type="dxa"/>
            <w:tcBorders>
              <w:top w:val="single" w:color="auto" w:sz="4" w:space="0"/>
              <w:left w:val="single" w:color="auto" w:sz="4" w:space="0"/>
              <w:bottom w:val="single" w:color="auto" w:sz="4" w:space="0"/>
              <w:right w:val="single" w:color="auto" w:sz="4" w:space="0"/>
            </w:tcBorders>
            <w:vAlign w:val="center"/>
          </w:tcPr>
          <w:p w14:paraId="3B6A6531">
            <w:pPr>
              <w:autoSpaceDE w:val="0"/>
              <w:autoSpaceDN w:val="0"/>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合同生效以及具备实施条件后7个工作日内支付年度合同金额（含固定支付和按实结算部分）40%的预付款；预付款从首次支付的养护经费开始抵扣，直至扣完为止。</w:t>
            </w:r>
          </w:p>
          <w:p w14:paraId="3DDDB068">
            <w:pPr>
              <w:autoSpaceDE w:val="0"/>
              <w:autoSpaceDN w:val="0"/>
              <w:spacing w:line="360" w:lineRule="auto"/>
              <w:contextualSpacing/>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本项目养护经费支付包含“固定支付”和“按实结算”两种</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具体经费分类详见附件</w:t>
            </w:r>
            <w:r>
              <w:rPr>
                <w:rFonts w:hint="eastAsia" w:ascii="宋体" w:hAnsi="宋体" w:cs="宋体"/>
                <w:color w:val="auto"/>
                <w:sz w:val="24"/>
                <w:highlight w:val="none"/>
                <w:lang w:val="en-US" w:eastAsia="zh-CN"/>
              </w:rPr>
              <w:t xml:space="preserve"> </w:t>
            </w:r>
            <w:r>
              <w:rPr>
                <w:rFonts w:hint="eastAsia" w:ascii="宋体" w:hAnsi="宋体" w:eastAsia="宋体" w:cs="宋体"/>
                <w:color w:val="auto"/>
                <w:sz w:val="24"/>
                <w:highlight w:val="none"/>
                <w:lang w:val="en-US" w:eastAsia="zh-CN"/>
              </w:rPr>
              <w:t>设施量清单及编制说明</w:t>
            </w:r>
            <w:r>
              <w:rPr>
                <w:rFonts w:hint="eastAsia" w:ascii="宋体" w:hAnsi="宋体" w:eastAsia="宋体" w:cs="宋体"/>
                <w:color w:val="auto"/>
                <w:sz w:val="24"/>
                <w:highlight w:val="none"/>
                <w:lang w:eastAsia="zh-CN"/>
              </w:rPr>
              <w:t>）：</w:t>
            </w:r>
          </w:p>
          <w:p w14:paraId="779A0479">
            <w:pPr>
              <w:autoSpaceDE w:val="0"/>
              <w:autoSpaceDN w:val="0"/>
              <w:spacing w:line="360" w:lineRule="auto"/>
              <w:contextualSpacing/>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①固定部分：第6个月考核完成且收到发票后7个工作日内支付至50%（同步扣除第1-6月考核扣罚费用），并结合中标下浮率结算；第9个月考核完成且收到发票后7个工作日支付至75%（同步扣除第7-9月考核扣罚费用），并结合中标下浮率结算；12个月考核完成且收到发票后7个工作日后支付至100%（同步扣除第10-12月考核扣罚费用），并结合中标下浮率结算。</w:t>
            </w:r>
          </w:p>
          <w:p w14:paraId="66C74035">
            <w:pPr>
              <w:autoSpaceDE w:val="0"/>
              <w:autoSpaceDN w:val="0"/>
              <w:spacing w:line="360" w:lineRule="auto"/>
              <w:contextualSpacing/>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②按实结算部分：在固定部分支付时同步支付，实际完成量支付进度款至已完成工作量金额（经第三方咨询单位审核金额）的85%，并结合中标下浮率，按实结算，合同期满后支付至审核价的100%，并结合中标下浮率，按实结算。实际发生金额对应核减相关费用（中标人投标文件有核减部分内容报价明细的则根据报价明细扣除，否则按照整体中标下浮比率对该部分费用进行扣除），报价明细和招标文件都没有提及的部分则参考公布的市场信息价或市场询价进行核定，中标人需提供能证明实际发生金额的相关资料由采购人审核确认，实施内容涉及外聘人工、机械、材料的由采购人相关业务部门审核确认。</w:t>
            </w:r>
          </w:p>
        </w:tc>
      </w:tr>
      <w:tr w14:paraId="47CEE1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42" w:type="dxa"/>
            <w:tcBorders>
              <w:top w:val="single" w:color="auto" w:sz="4" w:space="0"/>
              <w:left w:val="single" w:color="auto" w:sz="4" w:space="0"/>
              <w:bottom w:val="single" w:color="auto" w:sz="4" w:space="0"/>
              <w:right w:val="single" w:color="auto" w:sz="4" w:space="0"/>
            </w:tcBorders>
            <w:vAlign w:val="center"/>
          </w:tcPr>
          <w:p w14:paraId="05CD1AA5">
            <w:pPr>
              <w:adjustRightInd/>
              <w:spacing w:line="360" w:lineRule="auto"/>
              <w:contextualSpacing/>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4</w:t>
            </w:r>
          </w:p>
        </w:tc>
        <w:tc>
          <w:tcPr>
            <w:tcW w:w="1582" w:type="dxa"/>
            <w:tcBorders>
              <w:top w:val="single" w:color="auto" w:sz="4" w:space="0"/>
              <w:left w:val="single" w:color="auto" w:sz="4" w:space="0"/>
              <w:bottom w:val="single" w:color="auto" w:sz="4" w:space="0"/>
              <w:right w:val="single" w:color="auto" w:sz="4" w:space="0"/>
            </w:tcBorders>
            <w:vAlign w:val="center"/>
          </w:tcPr>
          <w:p w14:paraId="46CFBB5C">
            <w:pPr>
              <w:adjustRightInd/>
              <w:spacing w:line="360" w:lineRule="auto"/>
              <w:contextualSpacing/>
              <w:jc w:val="center"/>
              <w:rPr>
                <w:rFonts w:ascii="宋体" w:hAnsi="宋体" w:eastAsia="宋体" w:cs="宋体"/>
                <w:color w:val="auto"/>
                <w:sz w:val="24"/>
                <w:highlight w:val="none"/>
              </w:rPr>
            </w:pPr>
            <w:r>
              <w:rPr>
                <w:rFonts w:hint="eastAsia" w:ascii="宋体" w:hAnsi="宋体" w:eastAsia="宋体" w:cs="宋体"/>
                <w:color w:val="auto"/>
                <w:sz w:val="24"/>
                <w:highlight w:val="none"/>
              </w:rPr>
              <w:t>履约保证金</w:t>
            </w:r>
          </w:p>
        </w:tc>
        <w:tc>
          <w:tcPr>
            <w:tcW w:w="6567" w:type="dxa"/>
            <w:tcBorders>
              <w:top w:val="single" w:color="auto" w:sz="4" w:space="0"/>
              <w:left w:val="single" w:color="auto" w:sz="4" w:space="0"/>
              <w:bottom w:val="single" w:color="auto" w:sz="4" w:space="0"/>
              <w:right w:val="single" w:color="auto" w:sz="4" w:space="0"/>
            </w:tcBorders>
            <w:vAlign w:val="center"/>
          </w:tcPr>
          <w:p w14:paraId="77751AED">
            <w:pPr>
              <w:adjustRightInd/>
              <w:spacing w:line="360" w:lineRule="auto"/>
              <w:contextualSpacing/>
              <w:rPr>
                <w:rFonts w:ascii="宋体" w:hAnsi="宋体" w:eastAsia="宋体" w:cs="宋体"/>
                <w:color w:val="auto"/>
                <w:sz w:val="24"/>
                <w:highlight w:val="none"/>
              </w:rPr>
            </w:pPr>
            <w:r>
              <w:rPr>
                <w:rFonts w:hint="eastAsia" w:ascii="宋体" w:hAnsi="宋体" w:eastAsia="宋体" w:cs="宋体"/>
                <w:color w:val="auto"/>
                <w:sz w:val="24"/>
                <w:highlight w:val="none"/>
              </w:rPr>
              <w:t>无。</w:t>
            </w:r>
          </w:p>
        </w:tc>
      </w:tr>
      <w:tr w14:paraId="4999FE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42" w:type="dxa"/>
            <w:tcBorders>
              <w:top w:val="single" w:color="auto" w:sz="4" w:space="0"/>
              <w:left w:val="single" w:color="auto" w:sz="4" w:space="0"/>
              <w:bottom w:val="single" w:color="auto" w:sz="4" w:space="0"/>
              <w:right w:val="single" w:color="auto" w:sz="4" w:space="0"/>
            </w:tcBorders>
            <w:vAlign w:val="center"/>
          </w:tcPr>
          <w:p w14:paraId="453E8342">
            <w:pPr>
              <w:adjustRightInd/>
              <w:spacing w:line="360" w:lineRule="auto"/>
              <w:contextualSpacing/>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w:t>
            </w:r>
          </w:p>
        </w:tc>
        <w:tc>
          <w:tcPr>
            <w:tcW w:w="1582" w:type="dxa"/>
            <w:tcBorders>
              <w:top w:val="single" w:color="auto" w:sz="4" w:space="0"/>
              <w:left w:val="single" w:color="auto" w:sz="4" w:space="0"/>
              <w:bottom w:val="single" w:color="auto" w:sz="4" w:space="0"/>
              <w:right w:val="single" w:color="auto" w:sz="4" w:space="0"/>
            </w:tcBorders>
            <w:vAlign w:val="center"/>
          </w:tcPr>
          <w:p w14:paraId="720FE66A">
            <w:pPr>
              <w:adjustRightInd/>
              <w:spacing w:line="360" w:lineRule="auto"/>
              <w:contextualSpacing/>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违约责任</w:t>
            </w:r>
          </w:p>
        </w:tc>
        <w:tc>
          <w:tcPr>
            <w:tcW w:w="6567" w:type="dxa"/>
            <w:tcBorders>
              <w:top w:val="single" w:color="auto" w:sz="4" w:space="0"/>
              <w:left w:val="single" w:color="auto" w:sz="4" w:space="0"/>
              <w:bottom w:val="single" w:color="auto" w:sz="4" w:space="0"/>
              <w:right w:val="single" w:color="auto" w:sz="4" w:space="0"/>
            </w:tcBorders>
            <w:vAlign w:val="center"/>
          </w:tcPr>
          <w:p w14:paraId="35C7760D">
            <w:pPr>
              <w:spacing w:line="312"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中标</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履行本项目发生以下情形的，按照下列规定执行。同时，采购</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有权调整以下现有违约责任或增加相关违约责任。出现下列情形之一的，按照中标价的5%支付违约金，并承担相应的责任。</w:t>
            </w:r>
          </w:p>
          <w:p w14:paraId="1A51FA97">
            <w:pPr>
              <w:spacing w:line="312"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①</w:t>
            </w:r>
            <w:r>
              <w:rPr>
                <w:rFonts w:hint="eastAsia" w:ascii="宋体" w:hAnsi="宋体" w:eastAsia="宋体" w:cs="宋体"/>
                <w:color w:val="auto"/>
                <w:sz w:val="24"/>
                <w:highlight w:val="none"/>
              </w:rPr>
              <w:t>合同履行期间，中标</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未落实安全防火、防风、防灾和安全生产措施，发生安全事故或者环境污染事故</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中标</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负全责。发生1人以上（含1人）死亡（自然死亡除外）或3人以上（含3人）重伤，并负主要责任的，采购</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有权单方解除合同，而无须向中标</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支付任何费用或承担其他的任何责任</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预付款未使用完的进行扣回</w:t>
            </w:r>
            <w:r>
              <w:rPr>
                <w:rFonts w:hint="eastAsia" w:ascii="宋体" w:hAnsi="宋体" w:eastAsia="宋体" w:cs="宋体"/>
                <w:color w:val="auto"/>
                <w:sz w:val="24"/>
                <w:highlight w:val="none"/>
              </w:rPr>
              <w:t>。</w:t>
            </w:r>
          </w:p>
          <w:p w14:paraId="345C9C55">
            <w:pPr>
              <w:spacing w:line="312"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②</w:t>
            </w:r>
            <w:r>
              <w:rPr>
                <w:rFonts w:hint="eastAsia" w:ascii="宋体" w:hAnsi="宋体" w:eastAsia="宋体" w:cs="宋体"/>
                <w:color w:val="auto"/>
                <w:sz w:val="24"/>
                <w:highlight w:val="none"/>
              </w:rPr>
              <w:t>合同履行期间，中标</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因违反劳动管理方面的</w:t>
            </w:r>
            <w:r>
              <w:rPr>
                <w:rFonts w:hint="eastAsia" w:ascii="宋体" w:hAnsi="宋体" w:eastAsia="宋体" w:cs="宋体"/>
                <w:color w:val="auto"/>
                <w:sz w:val="24"/>
                <w:highlight w:val="none"/>
                <w:lang w:eastAsia="zh-CN"/>
              </w:rPr>
              <w:t>法律法规</w:t>
            </w:r>
            <w:r>
              <w:rPr>
                <w:rFonts w:hint="eastAsia" w:ascii="宋体" w:hAnsi="宋体" w:eastAsia="宋体" w:cs="宋体"/>
                <w:color w:val="auto"/>
                <w:sz w:val="24"/>
                <w:highlight w:val="none"/>
              </w:rPr>
              <w:t>、规章及其他一般规范性文件的规定引起10人以上劳资纠纷案件败诉或10人以上歇工事件的，采购</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有权单方解除合同，而无须向中标</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支付任何费用或承担其他的任何责任，由此产生的经济损失和法律责任均全部由中标</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承担，预付款未使用完的进行扣回。</w:t>
            </w:r>
          </w:p>
          <w:p w14:paraId="73FE4EEA">
            <w:pPr>
              <w:spacing w:line="312"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③</w:t>
            </w:r>
            <w:r>
              <w:rPr>
                <w:rFonts w:hint="eastAsia" w:ascii="宋体" w:hAnsi="宋体" w:eastAsia="宋体" w:cs="宋体"/>
                <w:color w:val="auto"/>
                <w:sz w:val="24"/>
                <w:highlight w:val="none"/>
              </w:rPr>
              <w:t>合同履行期间，将公园委托管理的房屋建筑或场地挪作他用或违规用于经营性行为。</w:t>
            </w:r>
          </w:p>
          <w:p w14:paraId="4A9ACB45">
            <w:pPr>
              <w:spacing w:line="312"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④</w:t>
            </w:r>
            <w:r>
              <w:rPr>
                <w:rFonts w:hint="eastAsia" w:ascii="宋体" w:hAnsi="宋体" w:eastAsia="宋体" w:cs="宋体"/>
                <w:color w:val="auto"/>
                <w:sz w:val="24"/>
                <w:highlight w:val="none"/>
              </w:rPr>
              <w:t>在台风季节、暴雨等抢险救灾情况下，不服从采购</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和政府三防指挥机构的统一指挥和调度等。</w:t>
            </w:r>
          </w:p>
          <w:p w14:paraId="2A328079">
            <w:pPr>
              <w:spacing w:line="312"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有以下情形之一的，采购</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有权终止合同，合同期届满未续约或提前终止，中标</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不按时移交，按每日2万元的标准向采购</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支付违约金</w:t>
            </w:r>
            <w:r>
              <w:rPr>
                <w:rFonts w:hint="eastAsia" w:ascii="宋体" w:hAnsi="宋体" w:eastAsia="宋体" w:cs="宋体"/>
                <w:color w:val="auto"/>
                <w:sz w:val="24"/>
                <w:highlight w:val="none"/>
                <w:lang w:eastAsia="zh-CN"/>
              </w:rPr>
              <w:t>：</w:t>
            </w:r>
          </w:p>
          <w:p w14:paraId="2C0EA5FF">
            <w:pPr>
              <w:spacing w:line="312"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①</w:t>
            </w:r>
            <w:r>
              <w:rPr>
                <w:rFonts w:hint="eastAsia" w:ascii="宋体" w:hAnsi="宋体" w:eastAsia="宋体" w:cs="宋体"/>
                <w:color w:val="auto"/>
                <w:sz w:val="24"/>
                <w:highlight w:val="none"/>
              </w:rPr>
              <w:t>中标</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擅自将承包的服务转包或分包给第三人的，采购</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有权终止合同。</w:t>
            </w:r>
          </w:p>
          <w:p w14:paraId="4EB8FCB8">
            <w:pPr>
              <w:spacing w:line="312"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②</w:t>
            </w:r>
            <w:r>
              <w:rPr>
                <w:rFonts w:hint="eastAsia" w:ascii="宋体" w:hAnsi="宋体" w:eastAsia="宋体" w:cs="宋体"/>
                <w:color w:val="auto"/>
                <w:sz w:val="24"/>
                <w:highlight w:val="none"/>
              </w:rPr>
              <w:t>中标</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累计扣罚达到当年固定支付部分服务费10％以上（含10%），采购</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有权终止合同。</w:t>
            </w:r>
          </w:p>
          <w:p w14:paraId="1BEA66B6">
            <w:pPr>
              <w:spacing w:line="312"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③</w:t>
            </w:r>
            <w:r>
              <w:rPr>
                <w:rFonts w:hint="eastAsia" w:ascii="宋体" w:hAnsi="宋体" w:eastAsia="宋体" w:cs="宋体"/>
                <w:color w:val="auto"/>
                <w:sz w:val="24"/>
                <w:highlight w:val="none"/>
              </w:rPr>
              <w:t>合同期内，中标</w:t>
            </w:r>
            <w:r>
              <w:rPr>
                <w:rFonts w:hint="eastAsia" w:ascii="宋体" w:hAnsi="宋体" w:eastAsia="宋体" w:cs="宋体"/>
                <w:color w:val="auto"/>
                <w:sz w:val="24"/>
                <w:highlight w:val="none"/>
                <w:lang w:eastAsia="zh-CN"/>
              </w:rPr>
              <w:t>人累计</w:t>
            </w:r>
            <w:r>
              <w:rPr>
                <w:rFonts w:hint="eastAsia" w:ascii="宋体" w:hAnsi="宋体" w:eastAsia="宋体" w:cs="宋体"/>
                <w:color w:val="auto"/>
                <w:sz w:val="24"/>
                <w:highlight w:val="none"/>
                <w:lang w:val="en-US" w:eastAsia="zh-CN"/>
              </w:rPr>
              <w:t>二</w:t>
            </w:r>
            <w:r>
              <w:rPr>
                <w:rFonts w:hint="eastAsia" w:ascii="宋体" w:hAnsi="宋体" w:eastAsia="宋体" w:cs="宋体"/>
                <w:color w:val="auto"/>
                <w:sz w:val="24"/>
                <w:highlight w:val="none"/>
              </w:rPr>
              <w:t>次及以上月度综合考核评分为不</w:t>
            </w:r>
            <w:r>
              <w:rPr>
                <w:rFonts w:hint="eastAsia" w:ascii="宋体" w:hAnsi="宋体" w:cs="宋体"/>
                <w:color w:val="auto"/>
                <w:sz w:val="24"/>
                <w:highlight w:val="none"/>
                <w:lang w:val="en-US" w:eastAsia="zh-CN"/>
              </w:rPr>
              <w:t>合格</w:t>
            </w:r>
            <w:r>
              <w:rPr>
                <w:rFonts w:hint="eastAsia" w:ascii="宋体" w:hAnsi="宋体" w:eastAsia="宋体" w:cs="宋体"/>
                <w:color w:val="auto"/>
                <w:sz w:val="24"/>
                <w:highlight w:val="none"/>
              </w:rPr>
              <w:t>，采购</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有权终止合同。</w:t>
            </w:r>
          </w:p>
          <w:p w14:paraId="01F91926">
            <w:pPr>
              <w:spacing w:line="312"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④</w:t>
            </w:r>
            <w:r>
              <w:rPr>
                <w:rFonts w:hint="eastAsia" w:ascii="宋体" w:hAnsi="宋体" w:eastAsia="宋体" w:cs="宋体"/>
                <w:color w:val="auto"/>
                <w:sz w:val="24"/>
                <w:highlight w:val="none"/>
              </w:rPr>
              <w:t>经核实，中标</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有弄虚</w:t>
            </w:r>
            <w:r>
              <w:rPr>
                <w:rFonts w:hint="eastAsia" w:ascii="宋体" w:hAnsi="宋体" w:eastAsia="宋体" w:cs="宋体"/>
                <w:color w:val="auto"/>
                <w:sz w:val="24"/>
                <w:highlight w:val="none"/>
                <w:lang w:eastAsia="zh-CN"/>
              </w:rPr>
              <w:t>作</w:t>
            </w:r>
            <w:r>
              <w:rPr>
                <w:rFonts w:hint="eastAsia" w:ascii="宋体" w:hAnsi="宋体" w:eastAsia="宋体" w:cs="宋体"/>
                <w:color w:val="auto"/>
                <w:sz w:val="24"/>
                <w:highlight w:val="none"/>
              </w:rPr>
              <w:t>假等行为，采购</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有权终止合同。</w:t>
            </w:r>
          </w:p>
          <w:p w14:paraId="42A624EC">
            <w:pPr>
              <w:spacing w:line="312"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⑤</w:t>
            </w:r>
            <w:r>
              <w:rPr>
                <w:rFonts w:hint="eastAsia" w:ascii="宋体" w:hAnsi="宋体" w:eastAsia="宋体" w:cs="宋体"/>
                <w:color w:val="auto"/>
                <w:sz w:val="24"/>
                <w:highlight w:val="none"/>
              </w:rPr>
              <w:t>中标</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违反</w:t>
            </w:r>
            <w:r>
              <w:rPr>
                <w:rFonts w:hint="eastAsia" w:ascii="宋体" w:hAnsi="宋体" w:eastAsia="宋体" w:cs="宋体"/>
                <w:color w:val="auto"/>
                <w:sz w:val="24"/>
                <w:highlight w:val="none"/>
                <w:lang w:eastAsia="zh-CN"/>
              </w:rPr>
              <w:t>法律法规</w:t>
            </w:r>
            <w:r>
              <w:rPr>
                <w:rFonts w:hint="eastAsia" w:ascii="宋体" w:hAnsi="宋体" w:eastAsia="宋体" w:cs="宋体"/>
                <w:color w:val="auto"/>
                <w:sz w:val="24"/>
                <w:highlight w:val="none"/>
              </w:rPr>
              <w:t>、规章、合同、招标文件</w:t>
            </w:r>
            <w:r>
              <w:rPr>
                <w:rFonts w:hint="eastAsia" w:ascii="宋体" w:hAnsi="宋体" w:eastAsia="宋体" w:cs="宋体"/>
                <w:color w:val="auto"/>
                <w:sz w:val="24"/>
                <w:highlight w:val="none"/>
                <w:lang w:eastAsia="zh-CN"/>
              </w:rPr>
              <w:t>等其他</w:t>
            </w:r>
            <w:r>
              <w:rPr>
                <w:rFonts w:hint="eastAsia" w:ascii="宋体" w:hAnsi="宋体" w:eastAsia="宋体" w:cs="宋体"/>
                <w:color w:val="auto"/>
                <w:sz w:val="24"/>
                <w:highlight w:val="none"/>
              </w:rPr>
              <w:t>相关规范性文件</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严重损害</w:t>
            </w:r>
            <w:r>
              <w:rPr>
                <w:rFonts w:hint="eastAsia" w:ascii="宋体" w:hAnsi="宋体" w:eastAsia="宋体" w:cs="宋体"/>
                <w:color w:val="auto"/>
                <w:sz w:val="24"/>
                <w:highlight w:val="none"/>
                <w:lang w:eastAsia="zh-CN"/>
              </w:rPr>
              <w:t>采购人</w:t>
            </w:r>
            <w:r>
              <w:rPr>
                <w:rFonts w:hint="eastAsia" w:ascii="宋体" w:hAnsi="宋体" w:eastAsia="宋体" w:cs="宋体"/>
                <w:color w:val="auto"/>
                <w:sz w:val="24"/>
                <w:highlight w:val="none"/>
              </w:rPr>
              <w:t>利益或社会公众利益等造成本项目无法履行。</w:t>
            </w:r>
          </w:p>
        </w:tc>
      </w:tr>
    </w:tbl>
    <w:p w14:paraId="20116DAB">
      <w:pPr>
        <w:widowControl/>
        <w:adjustRightInd/>
        <w:spacing w:line="360" w:lineRule="auto"/>
        <w:jc w:val="left"/>
        <w:outlineLvl w:val="1"/>
        <w:rPr>
          <w:rFonts w:hint="default"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rPr>
        <w:t>二、</w:t>
      </w:r>
      <w:r>
        <w:rPr>
          <w:rFonts w:hint="eastAsia" w:ascii="宋体" w:hAnsi="宋体" w:eastAsia="宋体" w:cs="宋体"/>
          <w:b/>
          <w:color w:val="auto"/>
          <w:kern w:val="0"/>
          <w:sz w:val="24"/>
          <w:highlight w:val="none"/>
          <w:lang w:val="en-US" w:eastAsia="zh-CN"/>
        </w:rPr>
        <w:t>项目概况</w:t>
      </w:r>
    </w:p>
    <w:p w14:paraId="09039956">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儿童公园位于鄞州区东柳街道，总占地面积约为8.90万</w:t>
      </w:r>
      <w:r>
        <w:rPr>
          <w:rFonts w:hint="eastAsia" w:ascii="宋体" w:hAnsi="宋体" w:eastAsia="宋体" w:cs="宋体"/>
          <w:bCs/>
          <w:color w:val="auto"/>
          <w:kern w:val="0"/>
          <w:sz w:val="24"/>
          <w:highlight w:val="none"/>
          <w:lang w:val="en-US" w:eastAsia="zh-CN"/>
        </w:rPr>
        <w:t>平方米</w:t>
      </w:r>
      <w:r>
        <w:rPr>
          <w:rFonts w:hint="eastAsia" w:ascii="宋体" w:hAnsi="宋体" w:eastAsia="宋体" w:cs="宋体"/>
          <w:bCs/>
          <w:color w:val="auto"/>
          <w:kern w:val="0"/>
          <w:sz w:val="24"/>
          <w:highlight w:val="none"/>
        </w:rPr>
        <w:t>，公园分内外环，外环24小时开放，内环需预约进入，限时开放。公园目前有</w:t>
      </w:r>
      <w:r>
        <w:rPr>
          <w:rFonts w:hint="eastAsia" w:ascii="宋体" w:hAnsi="宋体" w:eastAsia="宋体" w:cs="宋体"/>
          <w:bCs/>
          <w:color w:val="auto"/>
          <w:kern w:val="0"/>
          <w:sz w:val="24"/>
          <w:highlight w:val="none"/>
          <w:lang w:val="en-US" w:eastAsia="zh-CN"/>
        </w:rPr>
        <w:t>8</w:t>
      </w:r>
      <w:r>
        <w:rPr>
          <w:rFonts w:hint="eastAsia" w:ascii="宋体" w:hAnsi="宋体" w:eastAsia="宋体" w:cs="宋体"/>
          <w:bCs/>
          <w:color w:val="auto"/>
          <w:kern w:val="0"/>
          <w:sz w:val="24"/>
          <w:highlight w:val="none"/>
        </w:rPr>
        <w:t>个出入口</w:t>
      </w:r>
      <w:r>
        <w:rPr>
          <w:rFonts w:hint="eastAsia" w:ascii="宋体" w:hAnsi="宋体" w:eastAsia="宋体" w:cs="宋体"/>
          <w:bCs/>
          <w:color w:val="auto"/>
          <w:kern w:val="0"/>
          <w:sz w:val="24"/>
          <w:highlight w:val="none"/>
          <w:lang w:eastAsia="zh-CN"/>
        </w:rPr>
        <w:t>（</w:t>
      </w:r>
      <w:r>
        <w:rPr>
          <w:rFonts w:hint="eastAsia" w:ascii="宋体" w:hAnsi="宋体" w:eastAsia="宋体" w:cs="宋体"/>
          <w:bCs/>
          <w:color w:val="auto"/>
          <w:kern w:val="0"/>
          <w:sz w:val="24"/>
          <w:highlight w:val="none"/>
          <w:lang w:val="en-US" w:eastAsia="zh-CN"/>
        </w:rPr>
        <w:t>其中内环5个出入口</w:t>
      </w:r>
      <w:r>
        <w:rPr>
          <w:rFonts w:hint="eastAsia" w:ascii="宋体" w:hAnsi="宋体" w:eastAsia="宋体" w:cs="宋体"/>
          <w:bCs/>
          <w:color w:val="auto"/>
          <w:kern w:val="0"/>
          <w:sz w:val="24"/>
          <w:highlight w:val="none"/>
          <w:lang w:eastAsia="zh-CN"/>
        </w:rPr>
        <w:t>）</w:t>
      </w:r>
      <w:r>
        <w:rPr>
          <w:rFonts w:hint="eastAsia" w:ascii="宋体" w:hAnsi="宋体" w:eastAsia="宋体" w:cs="宋体"/>
          <w:bCs/>
          <w:color w:val="auto"/>
          <w:kern w:val="0"/>
          <w:sz w:val="24"/>
          <w:highlight w:val="none"/>
        </w:rPr>
        <w:t>，其中绿化面积约5.20万</w:t>
      </w:r>
      <w:r>
        <w:rPr>
          <w:rFonts w:hint="eastAsia" w:ascii="宋体" w:hAnsi="宋体" w:eastAsia="宋体" w:cs="宋体"/>
          <w:bCs/>
          <w:color w:val="auto"/>
          <w:kern w:val="0"/>
          <w:sz w:val="24"/>
          <w:highlight w:val="none"/>
          <w:lang w:val="en-US" w:eastAsia="zh-CN"/>
        </w:rPr>
        <w:t>平方米</w:t>
      </w:r>
      <w:r>
        <w:rPr>
          <w:rFonts w:hint="eastAsia" w:ascii="宋体" w:hAnsi="宋体" w:eastAsia="宋体" w:cs="宋体"/>
          <w:bCs/>
          <w:color w:val="auto"/>
          <w:kern w:val="0"/>
          <w:sz w:val="24"/>
          <w:highlight w:val="none"/>
        </w:rPr>
        <w:t>，水域面积约0.90万</w:t>
      </w:r>
      <w:r>
        <w:rPr>
          <w:rFonts w:hint="eastAsia" w:ascii="宋体" w:hAnsi="宋体" w:eastAsia="宋体" w:cs="宋体"/>
          <w:bCs/>
          <w:color w:val="auto"/>
          <w:kern w:val="0"/>
          <w:sz w:val="24"/>
          <w:highlight w:val="none"/>
          <w:lang w:val="en-US" w:eastAsia="zh-CN"/>
        </w:rPr>
        <w:t>平方米</w:t>
      </w:r>
      <w:r>
        <w:rPr>
          <w:rFonts w:hint="eastAsia" w:ascii="宋体" w:hAnsi="宋体" w:eastAsia="宋体" w:cs="宋体"/>
          <w:bCs/>
          <w:color w:val="auto"/>
          <w:kern w:val="0"/>
          <w:sz w:val="24"/>
          <w:highlight w:val="none"/>
        </w:rPr>
        <w:t>，公共厕所1座，另有通用厕间2处，建有月亮湾、黑森林、悠悠园、蔚蓝海、宁静港五大游乐区、2#-5#配套用房、海螺</w:t>
      </w:r>
      <w:r>
        <w:rPr>
          <w:rFonts w:hint="eastAsia" w:ascii="宋体" w:hAnsi="宋体" w:eastAsia="宋体" w:cs="宋体"/>
          <w:bCs/>
          <w:color w:val="auto"/>
          <w:kern w:val="0"/>
          <w:sz w:val="24"/>
          <w:highlight w:val="none"/>
          <w:lang w:eastAsia="zh-CN"/>
        </w:rPr>
        <w:t>、</w:t>
      </w:r>
      <w:r>
        <w:rPr>
          <w:rFonts w:hint="eastAsia" w:ascii="宋体" w:hAnsi="宋体" w:eastAsia="宋体" w:cs="宋体"/>
          <w:bCs/>
          <w:color w:val="auto"/>
          <w:kern w:val="0"/>
          <w:sz w:val="24"/>
          <w:highlight w:val="none"/>
        </w:rPr>
        <w:t>雕塑等设施（1#建筑不包含在本项目管理范围内）。</w:t>
      </w:r>
    </w:p>
    <w:p w14:paraId="4AA7871B">
      <w:pPr>
        <w:widowControl/>
        <w:tabs>
          <w:tab w:val="left" w:pos="851"/>
        </w:tabs>
        <w:adjustRightInd/>
        <w:spacing w:line="360" w:lineRule="auto"/>
        <w:outlineLvl w:val="1"/>
        <w:rPr>
          <w:rFonts w:ascii="宋体" w:hAnsi="宋体" w:eastAsia="宋体" w:cs="宋体"/>
          <w:b/>
          <w:color w:val="auto"/>
          <w:kern w:val="0"/>
          <w:sz w:val="24"/>
          <w:highlight w:val="none"/>
        </w:rPr>
      </w:pPr>
      <w:r>
        <w:rPr>
          <w:rFonts w:hint="eastAsia" w:ascii="宋体" w:hAnsi="宋体" w:eastAsia="宋体" w:cs="宋体"/>
          <w:b/>
          <w:color w:val="auto"/>
          <w:kern w:val="0"/>
          <w:sz w:val="24"/>
          <w:highlight w:val="none"/>
        </w:rPr>
        <w:t>三、主要服务内容</w:t>
      </w:r>
    </w:p>
    <w:p w14:paraId="310F78AF">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rPr>
        <w:t>公园综合管理服务主要实施内容：1.固定结算部分：绿化养护、保洁（含水域、公厕）、安保服务、四害消杀（含白蚁防治）、外来入侵物种防范、游客服务等，还包括其他配合公园开展的各项管理服务、各类活动保障、完善应急预案体系、落实极端气候防护、组建应急抢险队伍等相关保障内容。2：按实结算部分：零星设施维护修缮更新（包括管理设施、公共服务设施</w:t>
      </w:r>
      <w:r>
        <w:rPr>
          <w:rFonts w:hint="eastAsia" w:ascii="宋体" w:hAnsi="宋体" w:cs="宋体"/>
          <w:bCs/>
          <w:color w:val="auto"/>
          <w:kern w:val="0"/>
          <w:sz w:val="24"/>
          <w:highlight w:val="none"/>
          <w:lang w:eastAsia="zh-CN"/>
        </w:rPr>
        <w:t>、网络安全设施</w:t>
      </w:r>
      <w:r>
        <w:rPr>
          <w:rFonts w:hint="eastAsia" w:ascii="宋体" w:hAnsi="宋体" w:eastAsia="宋体" w:cs="宋体"/>
          <w:bCs/>
          <w:color w:val="auto"/>
          <w:kern w:val="0"/>
          <w:sz w:val="24"/>
          <w:highlight w:val="none"/>
        </w:rPr>
        <w:t>等）；景观环境提升（包括绿化景观环境提升或服务设施类提升、新优品种或特色苗木引入、水质提升等）；节日活动氛围营造布置；不可预期的增派人员或机械设备；因管理需要按实结算的材料、物资，各类专业服务等。</w:t>
      </w:r>
    </w:p>
    <w:p w14:paraId="59847467">
      <w:pPr>
        <w:widowControl/>
        <w:tabs>
          <w:tab w:val="left" w:pos="851"/>
        </w:tabs>
        <w:adjustRightInd/>
        <w:spacing w:line="360" w:lineRule="auto"/>
        <w:outlineLvl w:val="1"/>
        <w:rPr>
          <w:rFonts w:hint="default"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四、具体服务要求</w:t>
      </w:r>
    </w:p>
    <w:p w14:paraId="4872A469">
      <w:pPr>
        <w:widowControl/>
        <w:tabs>
          <w:tab w:val="left" w:pos="851"/>
        </w:tabs>
        <w:adjustRightInd/>
        <w:spacing w:line="360" w:lineRule="auto"/>
        <w:ind w:firstLine="482" w:firstLineChars="200"/>
        <w:rPr>
          <w:rFonts w:hint="default"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（一）总体管理要求</w:t>
      </w:r>
    </w:p>
    <w:tbl>
      <w:tblPr>
        <w:tblStyle w:val="62"/>
        <w:tblW w:w="9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7608"/>
        <w:gridCol w:w="929"/>
      </w:tblGrid>
      <w:tr w14:paraId="42CB4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blHeader/>
          <w:jc w:val="center"/>
        </w:trPr>
        <w:tc>
          <w:tcPr>
            <w:tcW w:w="813" w:type="dxa"/>
            <w:vAlign w:val="center"/>
          </w:tcPr>
          <w:p w14:paraId="4858DE85">
            <w:pPr>
              <w:widowControl w:val="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类别</w:t>
            </w:r>
          </w:p>
        </w:tc>
        <w:tc>
          <w:tcPr>
            <w:tcW w:w="7608" w:type="dxa"/>
            <w:vAlign w:val="center"/>
          </w:tcPr>
          <w:p w14:paraId="6821C743">
            <w:pPr>
              <w:widowControl w:val="0"/>
              <w:ind w:firstLine="482" w:firstLineChars="20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管理要求</w:t>
            </w:r>
          </w:p>
        </w:tc>
        <w:tc>
          <w:tcPr>
            <w:tcW w:w="929" w:type="dxa"/>
            <w:vAlign w:val="center"/>
          </w:tcPr>
          <w:p w14:paraId="070995D0">
            <w:pPr>
              <w:widowControl w:val="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备注</w:t>
            </w:r>
          </w:p>
        </w:tc>
      </w:tr>
      <w:tr w14:paraId="4D067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13" w:type="dxa"/>
            <w:vAlign w:val="center"/>
          </w:tcPr>
          <w:p w14:paraId="376381F8">
            <w:pPr>
              <w:widowControl w:val="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合同执行</w:t>
            </w:r>
          </w:p>
        </w:tc>
        <w:tc>
          <w:tcPr>
            <w:tcW w:w="7608" w:type="dxa"/>
            <w:vAlign w:val="center"/>
          </w:tcPr>
          <w:p w14:paraId="6F24C42B">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1.中标人应具有完善的管理机构，管理人员职责明确、管理制度健全、日常运作规范。（中标人需提供公司规范运作的相关管理制度和资料）。</w:t>
            </w:r>
          </w:p>
          <w:p w14:paraId="31D3B4BD">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2.中标人进场之日开始启动全面的摸底工作，提出项目可行的组织实施方案。</w:t>
            </w:r>
          </w:p>
          <w:p w14:paraId="0EA73843">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3.中标人应建立质量控制体系，对服务状况进行有效监控，每季度向采购人报一份履约自查报告。</w:t>
            </w:r>
          </w:p>
          <w:p w14:paraId="3CD77348">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4.中标人需根据实际需要自行购置确保项目正常运行的办公、管理、维修、养护所需工具、设备、车辆等资产，并承担所需办公、管理、维修、养护的日常费用、人员工资及法定税费等。</w:t>
            </w:r>
          </w:p>
          <w:p w14:paraId="1F07CC9D">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5.中标人应设置专门的咨询投诉电话（应在公园公厕、标识牌等明显位置标注）受理游客和其他单位的咨询、投诉、意见反馈，并保证得到有效解决，如果是采购人或监管部门的检查、考核或书面整改通知书，则须在5个工作日内整改，并给予采购人书面回复。</w:t>
            </w:r>
          </w:p>
          <w:p w14:paraId="7CBE151D">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6.中标人应根据公园管理水平和科技不断发展的情况，自行引进先进的、有效的管理理念和采用更先进、更有效的管理方式和设备。</w:t>
            </w:r>
          </w:p>
          <w:p w14:paraId="6230AFE0">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7.中标人应当按照法律法规、规章和其他规范性文件的规定开展各项工作。因重大活动、应急事件、突发事件等需要，中标人必须无条件地完成采购人交办的突击工作。</w:t>
            </w:r>
          </w:p>
          <w:p w14:paraId="519D8DA4">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8.在公园管辖区域内有重大活动或接待任务情况下，中标人应服从采购人的统一指挥和调动，并配备充足的安保和服务力量。</w:t>
            </w:r>
          </w:p>
          <w:p w14:paraId="70BD487D">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9.中标人不得发生拖欠员工工资、劳资纠纷、罢工停工、人员工伤等事件。员工正常工作时间工资（不包括加班费、高温补贴及其他福利）不低于投标承诺的工资水平</w:t>
            </w:r>
            <w:r>
              <w:rPr>
                <w:rFonts w:hint="eastAsia" w:ascii="宋体" w:hAnsi="宋体" w:eastAsia="宋体" w:cs="宋体"/>
                <w:bCs/>
                <w:color w:val="auto"/>
                <w:kern w:val="0"/>
                <w:sz w:val="24"/>
                <w:highlight w:val="none"/>
              </w:rPr>
              <w:t>及宁波市本级的最低工资（按市人社局发布的最新最低工资规定）</w:t>
            </w:r>
            <w:r>
              <w:rPr>
                <w:rFonts w:hint="eastAsia" w:ascii="宋体" w:hAnsi="宋体" w:eastAsia="宋体" w:cs="宋体"/>
                <w:bCs/>
                <w:color w:val="auto"/>
                <w:kern w:val="0"/>
                <w:sz w:val="24"/>
                <w:highlight w:val="none"/>
                <w:lang w:eastAsia="zh-CN"/>
              </w:rPr>
              <w:t>。</w:t>
            </w:r>
          </w:p>
          <w:p w14:paraId="23508374">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10.中标人必须遵守《劳动法》相关规定为员工购买相关社会保险，同时须为全体服务于本项目的人员办理每人最低赔付额度为人民币</w:t>
            </w:r>
            <w:r>
              <w:rPr>
                <w:rFonts w:hint="eastAsia" w:ascii="宋体" w:hAnsi="宋体" w:cs="宋体"/>
                <w:bCs/>
                <w:color w:val="auto"/>
                <w:kern w:val="0"/>
                <w:sz w:val="24"/>
                <w:highlight w:val="none"/>
                <w:lang w:eastAsia="zh-CN"/>
              </w:rPr>
              <w:t>100万</w:t>
            </w:r>
            <w:r>
              <w:rPr>
                <w:rFonts w:hint="eastAsia" w:ascii="宋体" w:hAnsi="宋体" w:eastAsia="宋体" w:cs="宋体"/>
                <w:bCs/>
                <w:color w:val="auto"/>
                <w:kern w:val="0"/>
                <w:sz w:val="24"/>
                <w:highlight w:val="none"/>
                <w:lang w:eastAsia="zh-CN"/>
              </w:rPr>
              <w:t>元的人身意外商业保险，并负责办理社会保险和商业保险的理赔手续和发放保险金。</w:t>
            </w:r>
          </w:p>
          <w:p w14:paraId="57F60FE3">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11.本项目将纳入智慧园林管理系统，中标人必须按要求配合使用，使用中</w:t>
            </w:r>
            <w:r>
              <w:rPr>
                <w:rFonts w:hint="eastAsia" w:ascii="宋体" w:hAnsi="宋体" w:eastAsia="宋体" w:cs="宋体"/>
                <w:bCs/>
                <w:color w:val="auto"/>
                <w:kern w:val="0"/>
                <w:sz w:val="24"/>
                <w:highlight w:val="none"/>
                <w:lang w:val="en-US" w:eastAsia="zh-CN"/>
              </w:rPr>
              <w:t>可能</w:t>
            </w:r>
            <w:r>
              <w:rPr>
                <w:rFonts w:hint="eastAsia" w:ascii="宋体" w:hAnsi="宋体" w:eastAsia="宋体" w:cs="宋体"/>
                <w:bCs/>
                <w:color w:val="auto"/>
                <w:kern w:val="0"/>
                <w:sz w:val="24"/>
                <w:highlight w:val="none"/>
                <w:lang w:eastAsia="zh-CN"/>
              </w:rPr>
              <w:t>产生的智能工牌等设备购置相关费用均由中标人无条件承担。</w:t>
            </w:r>
          </w:p>
          <w:p w14:paraId="73AB97ED">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12.合同期内，中标人服务不达标，采购人有权</w:t>
            </w:r>
            <w:r>
              <w:rPr>
                <w:rFonts w:hint="eastAsia" w:ascii="宋体" w:hAnsi="宋体" w:eastAsia="宋体" w:cs="宋体"/>
                <w:bCs/>
                <w:color w:val="auto"/>
                <w:kern w:val="0"/>
                <w:sz w:val="24"/>
                <w:highlight w:val="none"/>
                <w:lang w:val="en-US" w:eastAsia="zh-CN"/>
              </w:rPr>
              <w:t>终止</w:t>
            </w:r>
            <w:r>
              <w:rPr>
                <w:rFonts w:hint="eastAsia" w:ascii="宋体" w:hAnsi="宋体" w:eastAsia="宋体" w:cs="宋体"/>
                <w:bCs/>
                <w:color w:val="auto"/>
                <w:kern w:val="0"/>
                <w:sz w:val="24"/>
                <w:highlight w:val="none"/>
                <w:lang w:eastAsia="zh-CN"/>
              </w:rPr>
              <w:t>合同。</w:t>
            </w:r>
          </w:p>
          <w:p w14:paraId="39C3B2D8">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Cs/>
                <w:color w:val="auto"/>
                <w:kern w:val="0"/>
                <w:sz w:val="24"/>
                <w:highlight w:val="none"/>
                <w:lang w:eastAsia="zh-CN"/>
              </w:rPr>
              <w:t>13.由中标人负责管理维护的专用设施如仓库、工具间、值班休息室等禁止挪作他用。</w:t>
            </w:r>
          </w:p>
        </w:tc>
        <w:tc>
          <w:tcPr>
            <w:tcW w:w="929" w:type="dxa"/>
            <w:vMerge w:val="restart"/>
            <w:vAlign w:val="center"/>
          </w:tcPr>
          <w:p w14:paraId="2E329533">
            <w:pPr>
              <w:widowControl w:val="0"/>
              <w:jc w:val="center"/>
              <w:rPr>
                <w:rFonts w:hint="eastAsia" w:ascii="宋体" w:hAnsi="宋体" w:eastAsia="宋体" w:cs="宋体"/>
                <w:bCs/>
                <w:color w:val="auto"/>
                <w:sz w:val="24"/>
                <w:szCs w:val="24"/>
                <w:highlight w:val="none"/>
              </w:rPr>
            </w:pPr>
            <w:r>
              <w:rPr>
                <w:rFonts w:hint="eastAsia" w:ascii="宋体" w:hAnsi="宋体" w:eastAsia="宋体" w:cs="宋体"/>
                <w:b/>
                <w:color w:val="auto"/>
                <w:sz w:val="24"/>
                <w:szCs w:val="24"/>
                <w:highlight w:val="none"/>
              </w:rPr>
              <w:t>达到招标文件、合同及相关部门要求。</w:t>
            </w:r>
          </w:p>
        </w:tc>
      </w:tr>
      <w:tr w14:paraId="162CF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813" w:type="dxa"/>
            <w:vAlign w:val="center"/>
          </w:tcPr>
          <w:p w14:paraId="15DA7A67">
            <w:pPr>
              <w:widowControl w:val="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人员管理</w:t>
            </w:r>
          </w:p>
        </w:tc>
        <w:tc>
          <w:tcPr>
            <w:tcW w:w="7608" w:type="dxa"/>
            <w:vAlign w:val="center"/>
          </w:tcPr>
          <w:p w14:paraId="3994D90E">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1.中标人应在合同签订后10天内将项目管理团队成员名单以及执业资格证书和职称证书的复印件，车辆行驶证的复印件并加盖公章提交给采购人。其他人员有资质要求的也需要提供相关资格证书复印件。</w:t>
            </w:r>
          </w:p>
          <w:p w14:paraId="24CB6B10">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2.人员考勤达到合同规定要求（要求</w:t>
            </w:r>
            <w:r>
              <w:rPr>
                <w:rFonts w:hint="eastAsia" w:ascii="宋体" w:hAnsi="宋体" w:eastAsia="宋体" w:cs="宋体"/>
                <w:bCs/>
                <w:color w:val="auto"/>
                <w:kern w:val="0"/>
                <w:sz w:val="24"/>
                <w:highlight w:val="none"/>
                <w:lang w:val="en-US" w:eastAsia="zh-CN"/>
              </w:rPr>
              <w:t>中标人采用</w:t>
            </w:r>
            <w:r>
              <w:rPr>
                <w:rFonts w:hint="eastAsia" w:ascii="宋体" w:hAnsi="宋体" w:eastAsia="宋体" w:cs="宋体"/>
                <w:bCs/>
                <w:color w:val="auto"/>
                <w:kern w:val="0"/>
                <w:sz w:val="24"/>
                <w:highlight w:val="none"/>
                <w:lang w:eastAsia="zh-CN"/>
              </w:rPr>
              <w:t>人脸识别仪打卡数据、钉钉打卡或其他考勤方式），在管理服务期间，采购人将根据名单和证件对现场服务人员进行抽查，发现未按招标文件和合同要求到场服务的，中标人应根据招标文件和合同有关条款承担违约责任。</w:t>
            </w:r>
          </w:p>
          <w:p w14:paraId="6DCE8B8B">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3.投标人一旦中标，投标</w:t>
            </w:r>
            <w:r>
              <w:rPr>
                <w:rFonts w:hint="eastAsia" w:ascii="宋体" w:hAnsi="宋体" w:eastAsia="宋体" w:cs="宋体"/>
                <w:bCs/>
                <w:color w:val="auto"/>
                <w:kern w:val="0"/>
                <w:sz w:val="24"/>
                <w:highlight w:val="none"/>
                <w:lang w:val="en-US" w:eastAsia="zh-CN"/>
              </w:rPr>
              <w:t>文件中列明的</w:t>
            </w:r>
            <w:r>
              <w:rPr>
                <w:rFonts w:hint="eastAsia" w:ascii="宋体" w:hAnsi="宋体" w:eastAsia="宋体" w:cs="宋体"/>
                <w:bCs/>
                <w:color w:val="auto"/>
                <w:kern w:val="0"/>
                <w:sz w:val="24"/>
                <w:highlight w:val="none"/>
                <w:lang w:eastAsia="zh-CN"/>
              </w:rPr>
              <w:t>项目负责人原则上不可更换，即为该项目的项目负责人；如确需更换，项目负责人必须不低于投标时的要求，并经采购人书面同意。</w:t>
            </w:r>
          </w:p>
          <w:p w14:paraId="65B716BB">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4.中标人必须与员工签订书面劳动合同并遵守《劳动法》相关规定。</w:t>
            </w:r>
          </w:p>
          <w:p w14:paraId="722A40CB">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5</w:t>
            </w:r>
            <w:r>
              <w:rPr>
                <w:rFonts w:hint="eastAsia" w:ascii="宋体" w:hAnsi="宋体" w:eastAsia="宋体" w:cs="宋体"/>
                <w:bCs/>
                <w:color w:val="auto"/>
                <w:kern w:val="0"/>
                <w:sz w:val="24"/>
                <w:highlight w:val="none"/>
                <w:lang w:eastAsia="zh-CN"/>
              </w:rPr>
              <w:t>.在服务期限内，中标人须服从采购人的指挥和合理调整。相关人员不称职、不符合采购人的要求，采购人有权要求更换。</w:t>
            </w:r>
          </w:p>
          <w:p w14:paraId="7CB9A15B">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6</w:t>
            </w:r>
            <w:r>
              <w:rPr>
                <w:rFonts w:hint="eastAsia" w:ascii="宋体" w:hAnsi="宋体" w:eastAsia="宋体" w:cs="宋体"/>
                <w:bCs/>
                <w:color w:val="auto"/>
                <w:kern w:val="0"/>
                <w:sz w:val="24"/>
                <w:highlight w:val="none"/>
                <w:lang w:eastAsia="zh-CN"/>
              </w:rPr>
              <w:t>.工作人员进行工作时必须按要求统一工作服。一线员工着装样式，按《宁波市园林绿化行业养护作业服装技术指引》的样式标准制作，同时保证服饰材质适用工作需求，包含不限于工作鞋、工作帽、全套服装、反光衣等。</w:t>
            </w:r>
          </w:p>
          <w:p w14:paraId="35B2C2D9">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bCs/>
                <w:color w:val="auto"/>
                <w:kern w:val="0"/>
                <w:sz w:val="24"/>
                <w:highlight w:val="none"/>
                <w:lang w:val="en-US" w:eastAsia="zh-CN"/>
              </w:rPr>
              <w:t>7</w:t>
            </w:r>
            <w:r>
              <w:rPr>
                <w:rFonts w:hint="eastAsia" w:ascii="宋体" w:hAnsi="宋体" w:eastAsia="宋体" w:cs="宋体"/>
                <w:bCs/>
                <w:color w:val="auto"/>
                <w:kern w:val="0"/>
                <w:sz w:val="24"/>
                <w:highlight w:val="none"/>
                <w:lang w:eastAsia="zh-CN"/>
              </w:rPr>
              <w:t>.中标人原则上自行解决员工的生活基地，包括上下班的交通工具。</w:t>
            </w:r>
          </w:p>
        </w:tc>
        <w:tc>
          <w:tcPr>
            <w:tcW w:w="929" w:type="dxa"/>
            <w:vMerge w:val="continue"/>
            <w:vAlign w:val="center"/>
          </w:tcPr>
          <w:p w14:paraId="277980F5">
            <w:pPr>
              <w:widowControl w:val="0"/>
              <w:ind w:firstLine="480" w:firstLineChars="200"/>
              <w:jc w:val="left"/>
              <w:rPr>
                <w:rFonts w:hint="eastAsia" w:ascii="宋体" w:hAnsi="宋体" w:eastAsia="宋体" w:cs="宋体"/>
                <w:bCs/>
                <w:color w:val="auto"/>
                <w:sz w:val="24"/>
                <w:szCs w:val="24"/>
                <w:highlight w:val="none"/>
              </w:rPr>
            </w:pPr>
          </w:p>
        </w:tc>
      </w:tr>
      <w:tr w14:paraId="633B5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7" w:hRule="atLeast"/>
          <w:jc w:val="center"/>
        </w:trPr>
        <w:tc>
          <w:tcPr>
            <w:tcW w:w="813" w:type="dxa"/>
            <w:vAlign w:val="center"/>
          </w:tcPr>
          <w:p w14:paraId="77DCCA7E">
            <w:pPr>
              <w:widowControl w:val="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机械设备管理</w:t>
            </w:r>
          </w:p>
        </w:tc>
        <w:tc>
          <w:tcPr>
            <w:tcW w:w="7608" w:type="dxa"/>
            <w:vAlign w:val="center"/>
          </w:tcPr>
          <w:p w14:paraId="08017353">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1.机械设备按合同要求的种类及数量配备或提供。</w:t>
            </w:r>
          </w:p>
          <w:p w14:paraId="4314C01F">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2</w:t>
            </w:r>
            <w:r>
              <w:rPr>
                <w:rFonts w:hint="eastAsia" w:ascii="宋体" w:hAnsi="宋体" w:eastAsia="宋体" w:cs="宋体"/>
                <w:bCs/>
                <w:color w:val="auto"/>
                <w:kern w:val="0"/>
                <w:sz w:val="24"/>
                <w:highlight w:val="none"/>
                <w:lang w:eastAsia="zh-CN"/>
              </w:rPr>
              <w:t>.相关作业车辆应符合环保要求，通过年检取得车管部门合格检验标志。</w:t>
            </w:r>
          </w:p>
          <w:p w14:paraId="4D3038BD">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3</w:t>
            </w:r>
            <w:r>
              <w:rPr>
                <w:rFonts w:hint="eastAsia" w:ascii="宋体" w:hAnsi="宋体" w:eastAsia="宋体" w:cs="宋体"/>
                <w:bCs/>
                <w:color w:val="auto"/>
                <w:kern w:val="0"/>
                <w:sz w:val="24"/>
                <w:highlight w:val="none"/>
                <w:lang w:eastAsia="zh-CN"/>
              </w:rPr>
              <w:t>.作业工具使用完成后正确摆放，并保持干净整洁。作业车辆在园区规定地方停放。</w:t>
            </w:r>
          </w:p>
          <w:p w14:paraId="25CA23F5">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4</w:t>
            </w:r>
            <w:r>
              <w:rPr>
                <w:rFonts w:hint="eastAsia" w:ascii="宋体" w:hAnsi="宋体" w:eastAsia="宋体" w:cs="宋体"/>
                <w:bCs/>
                <w:color w:val="auto"/>
                <w:kern w:val="0"/>
                <w:sz w:val="24"/>
                <w:highlight w:val="none"/>
                <w:lang w:eastAsia="zh-CN"/>
              </w:rPr>
              <w:t>.设备应专用于本项目服务，做好日常检查和定期保养，及时上报有关问题和故障，做好设备管理清单和运行日志。</w:t>
            </w:r>
          </w:p>
          <w:p w14:paraId="34B9A36C">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5</w:t>
            </w:r>
            <w:r>
              <w:rPr>
                <w:rFonts w:hint="eastAsia" w:ascii="宋体" w:hAnsi="宋体" w:eastAsia="宋体" w:cs="宋体"/>
                <w:bCs/>
                <w:color w:val="auto"/>
                <w:kern w:val="0"/>
                <w:sz w:val="24"/>
                <w:highlight w:val="none"/>
                <w:lang w:eastAsia="zh-CN"/>
              </w:rPr>
              <w:t>.由于采购人特殊要求更换机械设备时，中标人须无条件配合采购人进行更换。</w:t>
            </w:r>
          </w:p>
        </w:tc>
        <w:tc>
          <w:tcPr>
            <w:tcW w:w="929" w:type="dxa"/>
            <w:vMerge w:val="continue"/>
            <w:vAlign w:val="center"/>
          </w:tcPr>
          <w:p w14:paraId="7FB8965F">
            <w:pPr>
              <w:widowControl w:val="0"/>
              <w:ind w:firstLine="480" w:firstLineChars="200"/>
              <w:jc w:val="left"/>
              <w:rPr>
                <w:rFonts w:hint="eastAsia" w:ascii="宋体" w:hAnsi="宋体" w:eastAsia="宋体" w:cs="宋体"/>
                <w:bCs/>
                <w:color w:val="auto"/>
                <w:sz w:val="24"/>
                <w:szCs w:val="24"/>
                <w:highlight w:val="none"/>
              </w:rPr>
            </w:pPr>
          </w:p>
        </w:tc>
      </w:tr>
      <w:tr w14:paraId="7C075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13" w:type="dxa"/>
            <w:vAlign w:val="center"/>
          </w:tcPr>
          <w:p w14:paraId="3845DA08">
            <w:pPr>
              <w:widowControl w:val="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台账管理</w:t>
            </w:r>
          </w:p>
        </w:tc>
        <w:tc>
          <w:tcPr>
            <w:tcW w:w="7608" w:type="dxa"/>
            <w:vAlign w:val="center"/>
          </w:tcPr>
          <w:p w14:paraId="652417E4">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1.</w:t>
            </w:r>
            <w:r>
              <w:rPr>
                <w:rFonts w:hint="eastAsia" w:ascii="宋体" w:hAnsi="宋体" w:eastAsia="宋体" w:cs="宋体"/>
                <w:bCs/>
                <w:color w:val="auto"/>
                <w:kern w:val="0"/>
                <w:sz w:val="24"/>
                <w:highlight w:val="none"/>
                <w:lang w:eastAsia="zh-CN"/>
              </w:rPr>
              <w:t>中标人必须建立日常管理规章制度，服务规范、设备操作规范及应急响应制度等，健全各种设备、设施的运行维护计划、记录及管理内容的基础档案。</w:t>
            </w:r>
          </w:p>
          <w:p w14:paraId="78F1FD93">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2.</w:t>
            </w:r>
            <w:r>
              <w:rPr>
                <w:rFonts w:hint="eastAsia" w:ascii="宋体" w:hAnsi="宋体" w:eastAsia="宋体" w:cs="宋体"/>
                <w:bCs/>
                <w:color w:val="auto"/>
                <w:kern w:val="0"/>
                <w:sz w:val="24"/>
                <w:highlight w:val="none"/>
                <w:lang w:eastAsia="zh-CN"/>
              </w:rPr>
              <w:t>中标人必须建立公园档案，及时记录，按时上报月报、年度总结。公园档案资料包括：日常养护台账、人员考核台账、日常巡查及整改记录、安全管理台账、游乐设施管理台账、生活垃圾分类管理台账等。</w:t>
            </w:r>
          </w:p>
          <w:p w14:paraId="7613F8BE">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3.</w:t>
            </w:r>
            <w:r>
              <w:rPr>
                <w:rFonts w:hint="eastAsia" w:ascii="宋体" w:hAnsi="宋体" w:eastAsia="宋体" w:cs="宋体"/>
                <w:bCs/>
                <w:color w:val="auto"/>
                <w:kern w:val="0"/>
                <w:sz w:val="24"/>
                <w:highlight w:val="none"/>
                <w:lang w:eastAsia="zh-CN"/>
              </w:rPr>
              <w:t>公园管理维护中涉及的文件、台账均需要归档，并分别用纸质、电子版保存，由专人负责管理，按要求对文件、台账资料进行备案。</w:t>
            </w:r>
          </w:p>
        </w:tc>
        <w:tc>
          <w:tcPr>
            <w:tcW w:w="929" w:type="dxa"/>
            <w:vMerge w:val="continue"/>
            <w:vAlign w:val="center"/>
          </w:tcPr>
          <w:p w14:paraId="220E5319">
            <w:pPr>
              <w:widowControl w:val="0"/>
              <w:ind w:firstLine="480" w:firstLineChars="200"/>
              <w:jc w:val="left"/>
              <w:rPr>
                <w:rFonts w:hint="eastAsia" w:ascii="宋体" w:hAnsi="宋体" w:eastAsia="宋体" w:cs="宋体"/>
                <w:bCs/>
                <w:color w:val="auto"/>
                <w:sz w:val="24"/>
                <w:szCs w:val="24"/>
                <w:highlight w:val="none"/>
              </w:rPr>
            </w:pPr>
          </w:p>
        </w:tc>
      </w:tr>
      <w:tr w14:paraId="3CC44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13" w:type="dxa"/>
            <w:vAlign w:val="center"/>
          </w:tcPr>
          <w:p w14:paraId="72B75FF9">
            <w:pPr>
              <w:widowControl w:val="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安全文明</w:t>
            </w:r>
          </w:p>
        </w:tc>
        <w:tc>
          <w:tcPr>
            <w:tcW w:w="7608" w:type="dxa"/>
            <w:vAlign w:val="center"/>
          </w:tcPr>
          <w:p w14:paraId="15D2E724">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1.</w:t>
            </w:r>
            <w:r>
              <w:rPr>
                <w:rFonts w:hint="eastAsia" w:ascii="宋体" w:hAnsi="宋体" w:eastAsia="宋体" w:cs="宋体"/>
                <w:bCs/>
                <w:color w:val="auto"/>
                <w:kern w:val="0"/>
                <w:sz w:val="24"/>
                <w:highlight w:val="none"/>
                <w:lang w:eastAsia="zh-CN"/>
              </w:rPr>
              <w:t>做好所有员工的安全生产教育，中标人员工上班期间或下班发生的一切人身伤亡事故责任均由中标人自行负责。</w:t>
            </w:r>
          </w:p>
          <w:p w14:paraId="03E7B95E">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2.</w:t>
            </w:r>
            <w:r>
              <w:rPr>
                <w:rFonts w:hint="eastAsia" w:ascii="宋体" w:hAnsi="宋体" w:eastAsia="宋体" w:cs="宋体"/>
                <w:bCs/>
                <w:color w:val="auto"/>
                <w:kern w:val="0"/>
                <w:sz w:val="24"/>
                <w:highlight w:val="none"/>
                <w:lang w:eastAsia="zh-CN"/>
              </w:rPr>
              <w:t>中标人须落实文明服务措施，如应急维修作业前放置好安全围挡、安全标志、警示标线、温馨提示等。</w:t>
            </w:r>
          </w:p>
          <w:p w14:paraId="69D34F40">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cs="宋体"/>
                <w:bCs/>
                <w:color w:val="auto"/>
                <w:kern w:val="0"/>
                <w:sz w:val="24"/>
                <w:highlight w:val="none"/>
                <w:lang w:val="en-US" w:eastAsia="zh-CN"/>
              </w:rPr>
              <w:t>3.</w:t>
            </w:r>
            <w:r>
              <w:rPr>
                <w:rFonts w:hint="eastAsia" w:ascii="宋体" w:hAnsi="宋体" w:eastAsia="宋体" w:cs="宋体"/>
                <w:bCs/>
                <w:color w:val="auto"/>
                <w:kern w:val="0"/>
                <w:sz w:val="24"/>
                <w:highlight w:val="none"/>
                <w:lang w:eastAsia="zh-CN"/>
              </w:rPr>
              <w:t>若因中标人原因导致采购人或者入园游客发生伤亡事故的，中标人必须第一时间进行应急处理并上报给采购人，一切责任和损失由中标人承担。</w:t>
            </w:r>
          </w:p>
          <w:p w14:paraId="4E526ADC">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cs="宋体"/>
                <w:bCs/>
                <w:color w:val="auto"/>
                <w:kern w:val="0"/>
                <w:sz w:val="24"/>
                <w:highlight w:val="none"/>
                <w:lang w:val="en-US" w:eastAsia="zh-CN"/>
              </w:rPr>
              <w:t>4</w:t>
            </w:r>
            <w:r>
              <w:rPr>
                <w:rFonts w:hint="eastAsia" w:ascii="宋体" w:hAnsi="宋体" w:eastAsia="宋体" w:cs="宋体"/>
                <w:bCs/>
                <w:color w:val="auto"/>
                <w:kern w:val="0"/>
                <w:sz w:val="24"/>
                <w:highlight w:val="none"/>
                <w:lang w:val="en-US" w:eastAsia="zh-CN"/>
              </w:rPr>
              <w:t>.</w:t>
            </w:r>
            <w:r>
              <w:rPr>
                <w:rFonts w:hint="eastAsia" w:ascii="宋体" w:hAnsi="宋体" w:eastAsia="宋体" w:cs="宋体"/>
                <w:bCs/>
                <w:color w:val="auto"/>
                <w:kern w:val="0"/>
                <w:sz w:val="24"/>
                <w:highlight w:val="none"/>
                <w:lang w:eastAsia="zh-CN"/>
              </w:rPr>
              <w:t>中标人进行日常消杀、病虫害防治等工作时，使用药物必须为国家规定“三证”（农药登记证、生产许可证、产品标准证）齐全的药物，不得使用国家及省市相关部门明令禁止使用的有毒有害药物，在消杀前提前报管理单位，并提前</w:t>
            </w:r>
            <w:r>
              <w:rPr>
                <w:rFonts w:hint="eastAsia" w:ascii="宋体" w:hAnsi="宋体" w:eastAsia="宋体" w:cs="宋体"/>
                <w:bCs/>
                <w:color w:val="auto"/>
                <w:kern w:val="0"/>
                <w:sz w:val="24"/>
                <w:highlight w:val="none"/>
                <w:lang w:val="en-US" w:eastAsia="zh-CN"/>
              </w:rPr>
              <w:t>1</w:t>
            </w:r>
            <w:r>
              <w:rPr>
                <w:rFonts w:hint="eastAsia" w:ascii="宋体" w:hAnsi="宋体" w:eastAsia="宋体" w:cs="宋体"/>
                <w:bCs/>
                <w:color w:val="auto"/>
                <w:kern w:val="0"/>
                <w:sz w:val="24"/>
                <w:highlight w:val="none"/>
                <w:lang w:eastAsia="zh-CN"/>
              </w:rPr>
              <w:t>日在公园主出入口放置提示牌，在消杀时在园路沿线设置警示牌，并做好安全防护措施，杜绝污染环境事故发生，如发生安全事故或者环境污染事故，中标人承担一切经济及法律责任。</w:t>
            </w:r>
          </w:p>
          <w:p w14:paraId="2FDEAE28">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cs="宋体"/>
                <w:bCs/>
                <w:color w:val="auto"/>
                <w:kern w:val="0"/>
                <w:sz w:val="24"/>
                <w:highlight w:val="none"/>
                <w:lang w:val="en-US" w:eastAsia="zh-CN"/>
              </w:rPr>
              <w:t>5</w:t>
            </w:r>
            <w:r>
              <w:rPr>
                <w:rFonts w:hint="eastAsia" w:ascii="宋体" w:hAnsi="宋体" w:eastAsia="宋体" w:cs="宋体"/>
                <w:bCs/>
                <w:color w:val="auto"/>
                <w:kern w:val="0"/>
                <w:sz w:val="24"/>
                <w:highlight w:val="none"/>
                <w:lang w:val="en-US" w:eastAsia="zh-CN"/>
              </w:rPr>
              <w:t>.</w:t>
            </w:r>
            <w:r>
              <w:rPr>
                <w:rFonts w:hint="eastAsia" w:ascii="宋体" w:hAnsi="宋体" w:eastAsia="宋体" w:cs="宋体"/>
                <w:bCs/>
                <w:color w:val="auto"/>
                <w:kern w:val="0"/>
                <w:sz w:val="24"/>
                <w:highlight w:val="none"/>
                <w:lang w:eastAsia="zh-CN"/>
              </w:rPr>
              <w:t>对破坏绿化、违法占用或超范围占用绿地的行为及时采取措施制止或上报。</w:t>
            </w:r>
          </w:p>
          <w:p w14:paraId="1F4A4D8C">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cs="宋体"/>
                <w:bCs/>
                <w:color w:val="auto"/>
                <w:kern w:val="0"/>
                <w:sz w:val="24"/>
                <w:highlight w:val="none"/>
                <w:lang w:val="en-US" w:eastAsia="zh-CN"/>
              </w:rPr>
              <w:t>6</w:t>
            </w:r>
            <w:r>
              <w:rPr>
                <w:rFonts w:hint="eastAsia" w:ascii="宋体" w:hAnsi="宋体" w:eastAsia="宋体" w:cs="宋体"/>
                <w:bCs/>
                <w:color w:val="auto"/>
                <w:kern w:val="0"/>
                <w:sz w:val="24"/>
                <w:highlight w:val="none"/>
                <w:lang w:val="en-US" w:eastAsia="zh-CN"/>
              </w:rPr>
              <w:t>.</w:t>
            </w:r>
            <w:r>
              <w:rPr>
                <w:rFonts w:hint="eastAsia" w:ascii="宋体" w:hAnsi="宋体" w:eastAsia="宋体" w:cs="宋体"/>
                <w:bCs/>
                <w:color w:val="auto"/>
                <w:kern w:val="0"/>
                <w:sz w:val="24"/>
                <w:highlight w:val="none"/>
                <w:lang w:eastAsia="zh-CN"/>
              </w:rPr>
              <w:t>对绿地改造工程或其他占用单位的不文明施工行为及时制止、纠正，如无围挡、围挡不规范、污染路面等。</w:t>
            </w:r>
          </w:p>
          <w:p w14:paraId="3BD67044">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cs="宋体"/>
                <w:bCs/>
                <w:color w:val="auto"/>
                <w:kern w:val="0"/>
                <w:sz w:val="24"/>
                <w:highlight w:val="none"/>
                <w:lang w:val="en-US" w:eastAsia="zh-CN"/>
              </w:rPr>
              <w:t>7</w:t>
            </w:r>
            <w:r>
              <w:rPr>
                <w:rFonts w:hint="eastAsia" w:ascii="宋体" w:hAnsi="宋体" w:eastAsia="宋体" w:cs="宋体"/>
                <w:bCs/>
                <w:color w:val="auto"/>
                <w:kern w:val="0"/>
                <w:sz w:val="24"/>
                <w:highlight w:val="none"/>
                <w:lang w:val="en-US" w:eastAsia="zh-CN"/>
              </w:rPr>
              <w:t>.</w:t>
            </w:r>
            <w:r>
              <w:rPr>
                <w:rFonts w:hint="eastAsia" w:ascii="宋体" w:hAnsi="宋体" w:eastAsia="宋体" w:cs="宋体"/>
                <w:bCs/>
                <w:color w:val="auto"/>
                <w:kern w:val="0"/>
                <w:sz w:val="24"/>
                <w:highlight w:val="none"/>
                <w:lang w:eastAsia="zh-CN"/>
              </w:rPr>
              <w:t>对突发事件造成的绿地损坏及时恢复。</w:t>
            </w:r>
          </w:p>
        </w:tc>
        <w:tc>
          <w:tcPr>
            <w:tcW w:w="929" w:type="dxa"/>
            <w:vMerge w:val="continue"/>
            <w:vAlign w:val="center"/>
          </w:tcPr>
          <w:p w14:paraId="3DC74CE2">
            <w:pPr>
              <w:widowControl w:val="0"/>
              <w:ind w:firstLine="480" w:firstLineChars="200"/>
              <w:jc w:val="left"/>
              <w:rPr>
                <w:rFonts w:hint="eastAsia" w:ascii="宋体" w:hAnsi="宋体" w:eastAsia="宋体" w:cs="宋体"/>
                <w:bCs/>
                <w:color w:val="auto"/>
                <w:sz w:val="24"/>
                <w:szCs w:val="24"/>
                <w:highlight w:val="none"/>
              </w:rPr>
            </w:pPr>
          </w:p>
        </w:tc>
      </w:tr>
      <w:tr w14:paraId="5C73E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3" w:type="dxa"/>
            <w:vAlign w:val="center"/>
          </w:tcPr>
          <w:p w14:paraId="78466ADA">
            <w:pPr>
              <w:widowControl w:val="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响应程度</w:t>
            </w:r>
          </w:p>
        </w:tc>
        <w:tc>
          <w:tcPr>
            <w:tcW w:w="7608" w:type="dxa"/>
            <w:vAlign w:val="center"/>
          </w:tcPr>
          <w:p w14:paraId="7677356E">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1</w:t>
            </w:r>
            <w:r>
              <w:rPr>
                <w:rFonts w:hint="eastAsia" w:ascii="宋体" w:hAnsi="宋体" w:eastAsia="宋体" w:cs="宋体"/>
                <w:bCs/>
                <w:color w:val="auto"/>
                <w:kern w:val="0"/>
                <w:sz w:val="24"/>
                <w:highlight w:val="none"/>
                <w:lang w:eastAsia="zh-CN"/>
              </w:rPr>
              <w:t>.积极配合采购人推进各项工作，推广使用新优品种，主动应用新技术、新机械、新设备投入日常养护管理当中。</w:t>
            </w:r>
          </w:p>
          <w:p w14:paraId="5C1A4519">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2</w:t>
            </w:r>
            <w:r>
              <w:rPr>
                <w:rFonts w:hint="eastAsia" w:ascii="宋体" w:hAnsi="宋体" w:eastAsia="宋体" w:cs="宋体"/>
                <w:bCs/>
                <w:color w:val="auto"/>
                <w:kern w:val="0"/>
                <w:sz w:val="24"/>
                <w:highlight w:val="none"/>
                <w:lang w:eastAsia="zh-CN"/>
              </w:rPr>
              <w:t>.在</w:t>
            </w:r>
            <w:r>
              <w:rPr>
                <w:rFonts w:hint="eastAsia" w:ascii="宋体" w:hAnsi="宋体" w:eastAsia="宋体" w:cs="宋体"/>
                <w:bCs/>
                <w:color w:val="auto"/>
                <w:kern w:val="0"/>
                <w:sz w:val="24"/>
                <w:highlight w:val="none"/>
                <w:lang w:val="en-US" w:eastAsia="zh-CN"/>
              </w:rPr>
              <w:t>合同签订之日起30天内</w:t>
            </w:r>
            <w:r>
              <w:rPr>
                <w:rFonts w:hint="eastAsia" w:ascii="宋体" w:hAnsi="宋体" w:eastAsia="宋体" w:cs="宋体"/>
                <w:bCs/>
                <w:color w:val="auto"/>
                <w:kern w:val="0"/>
                <w:sz w:val="24"/>
                <w:highlight w:val="none"/>
                <w:lang w:eastAsia="zh-CN"/>
              </w:rPr>
              <w:t>完成合同始止过渡期的服务及人员交接。</w:t>
            </w:r>
          </w:p>
          <w:p w14:paraId="0AD6E6EE">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3</w:t>
            </w:r>
            <w:r>
              <w:rPr>
                <w:rFonts w:hint="eastAsia" w:ascii="宋体" w:hAnsi="宋体" w:eastAsia="宋体" w:cs="宋体"/>
                <w:bCs/>
                <w:color w:val="auto"/>
                <w:kern w:val="0"/>
                <w:sz w:val="24"/>
                <w:highlight w:val="none"/>
                <w:lang w:eastAsia="zh-CN"/>
              </w:rPr>
              <w:t>.因工作需要召集的各种会议（或者有关指令），中标人相关人员要按会议要求准时参加。</w:t>
            </w:r>
          </w:p>
          <w:p w14:paraId="404448AE">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4</w:t>
            </w:r>
            <w:r>
              <w:rPr>
                <w:rFonts w:hint="eastAsia" w:ascii="宋体" w:hAnsi="宋体" w:eastAsia="宋体" w:cs="宋体"/>
                <w:bCs/>
                <w:color w:val="auto"/>
                <w:kern w:val="0"/>
                <w:sz w:val="24"/>
                <w:highlight w:val="none"/>
                <w:lang w:eastAsia="zh-CN"/>
              </w:rPr>
              <w:t>.相关检查发现的问题、上级领导巡查及社会投诉信访问题、媒体曝光的问题及时整改。</w:t>
            </w:r>
          </w:p>
          <w:p w14:paraId="41F61602">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5</w:t>
            </w:r>
            <w:r>
              <w:rPr>
                <w:rFonts w:hint="eastAsia" w:ascii="宋体" w:hAnsi="宋体" w:eastAsia="宋体" w:cs="宋体"/>
                <w:bCs/>
                <w:color w:val="auto"/>
                <w:kern w:val="0"/>
                <w:sz w:val="24"/>
                <w:highlight w:val="none"/>
                <w:lang w:eastAsia="zh-CN"/>
              </w:rPr>
              <w:t>.迎检任务或突发事件处理的工作到位、措施得力、保障到位。</w:t>
            </w:r>
          </w:p>
        </w:tc>
        <w:tc>
          <w:tcPr>
            <w:tcW w:w="929" w:type="dxa"/>
            <w:vMerge w:val="continue"/>
            <w:vAlign w:val="center"/>
          </w:tcPr>
          <w:p w14:paraId="445C9236">
            <w:pPr>
              <w:widowControl w:val="0"/>
              <w:ind w:firstLine="480" w:firstLineChars="200"/>
              <w:jc w:val="left"/>
              <w:rPr>
                <w:rFonts w:hint="eastAsia" w:ascii="宋体" w:hAnsi="宋体" w:eastAsia="宋体" w:cs="宋体"/>
                <w:bCs/>
                <w:color w:val="auto"/>
                <w:sz w:val="24"/>
                <w:szCs w:val="24"/>
                <w:highlight w:val="none"/>
              </w:rPr>
            </w:pPr>
          </w:p>
        </w:tc>
      </w:tr>
      <w:tr w14:paraId="1EC39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13" w:type="dxa"/>
            <w:vAlign w:val="center"/>
          </w:tcPr>
          <w:p w14:paraId="526FCF76">
            <w:pPr>
              <w:widowControl w:val="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工作计划及培训</w:t>
            </w:r>
          </w:p>
        </w:tc>
        <w:tc>
          <w:tcPr>
            <w:tcW w:w="7608" w:type="dxa"/>
            <w:vAlign w:val="center"/>
          </w:tcPr>
          <w:p w14:paraId="7AEFCEB7">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1.</w:t>
            </w:r>
            <w:r>
              <w:rPr>
                <w:rFonts w:hint="eastAsia" w:ascii="宋体" w:hAnsi="宋体" w:eastAsia="宋体" w:cs="宋体"/>
                <w:bCs/>
                <w:color w:val="auto"/>
                <w:kern w:val="0"/>
                <w:sz w:val="24"/>
                <w:highlight w:val="none"/>
                <w:lang w:eastAsia="zh-CN"/>
              </w:rPr>
              <w:t>中标人应完善培训体系，编写各项作业规程，制定培训计划，使一线岗位熟练掌握并切实遵守。培训体系中必须包括夏季水域安全管理、公园应急疏散、儿童公园游乐设施管理等内容。</w:t>
            </w:r>
          </w:p>
          <w:p w14:paraId="28C67EBE">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2.对新入职员工进行岗前培训，包括但不限于本项目招标文件及其附件、投标文件等其他管理需求应注意的相关内容。每个季度开展专项安全或专业技能培训，危险作业对相关作业人员进行岗前安全培训。如发生安全事故， 中标人负责事故处理的一切费用。</w:t>
            </w:r>
          </w:p>
          <w:p w14:paraId="041DC57A">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3.按要求制定作业计划、工作方案、应急预案等报采购人审核。</w:t>
            </w:r>
          </w:p>
          <w:p w14:paraId="54F97056">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4</w:t>
            </w:r>
            <w:r>
              <w:rPr>
                <w:rFonts w:hint="eastAsia" w:ascii="宋体" w:hAnsi="宋体" w:cs="宋体"/>
                <w:bCs/>
                <w:color w:val="auto"/>
                <w:kern w:val="0"/>
                <w:sz w:val="24"/>
                <w:highlight w:val="none"/>
                <w:lang w:eastAsia="zh-CN"/>
              </w:rPr>
              <w:t>.</w:t>
            </w:r>
            <w:r>
              <w:rPr>
                <w:rFonts w:hint="eastAsia" w:ascii="宋体" w:hAnsi="宋体" w:cs="宋体"/>
                <w:bCs/>
                <w:color w:val="auto"/>
                <w:kern w:val="0"/>
                <w:sz w:val="24"/>
                <w:highlight w:val="none"/>
                <w:lang w:val="en-US" w:eastAsia="zh-CN"/>
              </w:rPr>
              <w:t>工作培训</w:t>
            </w:r>
            <w:r>
              <w:rPr>
                <w:rFonts w:hint="eastAsia" w:ascii="宋体" w:hAnsi="宋体" w:eastAsia="宋体" w:cs="宋体"/>
                <w:bCs/>
                <w:color w:val="auto"/>
                <w:kern w:val="0"/>
                <w:sz w:val="24"/>
                <w:highlight w:val="none"/>
                <w:lang w:eastAsia="zh-CN"/>
              </w:rPr>
              <w:t>每季度不少于一次（与应急响应演练二选一）。</w:t>
            </w:r>
          </w:p>
        </w:tc>
        <w:tc>
          <w:tcPr>
            <w:tcW w:w="929" w:type="dxa"/>
            <w:vMerge w:val="continue"/>
            <w:vAlign w:val="center"/>
          </w:tcPr>
          <w:p w14:paraId="084C954A">
            <w:pPr>
              <w:widowControl w:val="0"/>
              <w:ind w:firstLine="480" w:firstLineChars="200"/>
              <w:jc w:val="left"/>
              <w:rPr>
                <w:rFonts w:hint="eastAsia" w:ascii="宋体" w:hAnsi="宋体" w:eastAsia="宋体" w:cs="宋体"/>
                <w:bCs/>
                <w:color w:val="auto"/>
                <w:sz w:val="24"/>
                <w:szCs w:val="24"/>
                <w:highlight w:val="none"/>
              </w:rPr>
            </w:pPr>
          </w:p>
        </w:tc>
      </w:tr>
      <w:tr w14:paraId="117FF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13" w:type="dxa"/>
            <w:vAlign w:val="center"/>
          </w:tcPr>
          <w:p w14:paraId="558B7BD9">
            <w:pPr>
              <w:jc w:val="center"/>
              <w:rPr>
                <w:rFonts w:hint="eastAsia" w:ascii="宋体" w:hAnsi="宋体" w:eastAsia="宋体" w:cs="宋体"/>
                <w:b/>
                <w:color w:val="auto"/>
                <w:sz w:val="24"/>
                <w:szCs w:val="24"/>
                <w:highlight w:val="none"/>
              </w:rPr>
            </w:pPr>
            <w:r>
              <w:rPr>
                <w:rFonts w:hint="eastAsia" w:ascii="宋体" w:hAnsi="宋体" w:eastAsia="宋体" w:cs="宋体"/>
                <w:b/>
                <w:bCs w:val="0"/>
                <w:color w:val="auto"/>
                <w:sz w:val="24"/>
                <w:szCs w:val="24"/>
                <w:highlight w:val="none"/>
              </w:rPr>
              <w:t>应急响应</w:t>
            </w:r>
          </w:p>
        </w:tc>
        <w:tc>
          <w:tcPr>
            <w:tcW w:w="7608" w:type="dxa"/>
            <w:vAlign w:val="center"/>
          </w:tcPr>
          <w:p w14:paraId="3FA57696">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1.</w:t>
            </w:r>
            <w:r>
              <w:rPr>
                <w:rFonts w:hint="eastAsia" w:ascii="宋体" w:hAnsi="宋体" w:eastAsia="宋体" w:cs="宋体"/>
                <w:bCs/>
                <w:color w:val="auto"/>
                <w:kern w:val="0"/>
                <w:sz w:val="24"/>
                <w:highlight w:val="none"/>
                <w:lang w:eastAsia="zh-CN"/>
              </w:rPr>
              <w:t>在台风、洪涝、雨雪冰冻等特殊天气情况下，公园全范围加强防御措施，设立明显警示标志，禁止行人进入危险区段；做好园内的设施设备安全保护；提前针对绿化合理修剪，加固护树设施；对排水沟渠进行清理疏通。</w:t>
            </w:r>
          </w:p>
          <w:p w14:paraId="19215F98">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2.</w:t>
            </w:r>
            <w:r>
              <w:rPr>
                <w:rFonts w:hint="eastAsia" w:ascii="宋体" w:hAnsi="宋体" w:eastAsia="宋体" w:cs="宋体"/>
                <w:bCs/>
                <w:color w:val="auto"/>
                <w:kern w:val="0"/>
                <w:sz w:val="24"/>
                <w:highlight w:val="none"/>
                <w:lang w:eastAsia="zh-CN"/>
              </w:rPr>
              <w:t>中标人必须及时巡查、发现和及时消除园内安全隐患，精心看护园内绿地及绿地上设施设备，做好三防及火灾等防范工作，在重大灾害时需及时调度增派人员、车辆和机械满足需要，对灾害引起的破坏及时清理修复。</w:t>
            </w:r>
          </w:p>
          <w:p w14:paraId="0B5F54DD">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3.</w:t>
            </w:r>
            <w:r>
              <w:rPr>
                <w:rFonts w:hint="eastAsia" w:ascii="宋体" w:hAnsi="宋体" w:eastAsia="宋体" w:cs="宋体"/>
                <w:bCs/>
                <w:color w:val="auto"/>
                <w:kern w:val="0"/>
                <w:sz w:val="24"/>
                <w:highlight w:val="none"/>
                <w:lang w:eastAsia="zh-CN"/>
              </w:rPr>
              <w:t>中标人必须结合公园实际情况，制定应对台风、洪涝、雨雪冰冻、消防、突发公共事件的应急预案。</w:t>
            </w:r>
          </w:p>
          <w:p w14:paraId="33557C7B">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4.</w:t>
            </w:r>
            <w:r>
              <w:rPr>
                <w:rFonts w:hint="eastAsia" w:ascii="宋体" w:hAnsi="宋体" w:eastAsia="宋体" w:cs="宋体"/>
                <w:bCs/>
                <w:color w:val="auto"/>
                <w:kern w:val="0"/>
                <w:sz w:val="24"/>
                <w:highlight w:val="none"/>
                <w:lang w:eastAsia="zh-CN"/>
              </w:rPr>
              <w:t>中标人根据应急抢险工作预案、建立应急机制，组织一支应急队伍</w:t>
            </w:r>
            <w:r>
              <w:rPr>
                <w:rFonts w:hint="eastAsia" w:ascii="宋体" w:hAnsi="宋体" w:eastAsia="宋体" w:cs="宋体"/>
                <w:bCs/>
                <w:color w:val="auto"/>
                <w:kern w:val="0"/>
                <w:sz w:val="24"/>
                <w:highlight w:val="none"/>
                <w:lang w:val="en-US" w:eastAsia="zh-CN"/>
              </w:rPr>
              <w:t>不少于10人</w:t>
            </w:r>
            <w:r>
              <w:rPr>
                <w:rFonts w:hint="eastAsia" w:ascii="宋体" w:hAnsi="宋体" w:eastAsia="宋体" w:cs="宋体"/>
                <w:bCs/>
                <w:color w:val="auto"/>
                <w:kern w:val="0"/>
                <w:sz w:val="24"/>
                <w:highlight w:val="none"/>
                <w:lang w:eastAsia="zh-CN"/>
              </w:rPr>
              <w:t>，遇到台风、洪涝、雨雪冰冻等抢险救灾或机动应急事项时，无条件服从指挥并开展不限于本标项公园场地的抢险救灾等工作。</w:t>
            </w:r>
            <w:r>
              <w:rPr>
                <w:rFonts w:hint="eastAsia" w:ascii="宋体" w:hAnsi="宋体" w:eastAsia="宋体" w:cs="宋体"/>
                <w:bCs/>
                <w:color w:val="auto"/>
                <w:kern w:val="0"/>
                <w:sz w:val="24"/>
                <w:highlight w:val="none"/>
                <w:lang w:val="en-US" w:eastAsia="zh-CN"/>
              </w:rPr>
              <w:t>该队伍进行支援任务时，应配备有接送车辆，携带完成当次任务的必要装备，做好后勤保障工作。该队伍执行任务时不能影响公园正常运行。</w:t>
            </w:r>
          </w:p>
          <w:p w14:paraId="54B31263">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5.</w:t>
            </w:r>
            <w:r>
              <w:rPr>
                <w:rFonts w:hint="eastAsia" w:ascii="宋体" w:hAnsi="宋体" w:eastAsia="宋体" w:cs="宋体"/>
                <w:bCs/>
                <w:color w:val="auto"/>
                <w:kern w:val="0"/>
                <w:sz w:val="24"/>
                <w:highlight w:val="none"/>
                <w:lang w:eastAsia="zh-CN"/>
              </w:rPr>
              <w:t>中标人要求定期开展应急抢险技能培训和实操练习，涉及高空作业、机械设备使用等要求应急队伍成员必须具备相关操作或资格证书，要求应急队伍成员能熟练掌握抢险的基本技能。</w:t>
            </w:r>
          </w:p>
          <w:p w14:paraId="22729368">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6.应急响应演练每季度不少于一次（与培训二选一）。</w:t>
            </w:r>
          </w:p>
        </w:tc>
        <w:tc>
          <w:tcPr>
            <w:tcW w:w="929" w:type="dxa"/>
            <w:vAlign w:val="center"/>
          </w:tcPr>
          <w:p w14:paraId="06A49D26">
            <w:pPr>
              <w:widowControl w:val="0"/>
              <w:ind w:firstLine="480" w:firstLineChars="200"/>
              <w:jc w:val="left"/>
              <w:rPr>
                <w:rFonts w:hint="eastAsia" w:ascii="宋体" w:hAnsi="宋体" w:eastAsia="宋体" w:cs="宋体"/>
                <w:bCs/>
                <w:color w:val="auto"/>
                <w:sz w:val="24"/>
                <w:szCs w:val="24"/>
                <w:highlight w:val="none"/>
              </w:rPr>
            </w:pPr>
          </w:p>
        </w:tc>
      </w:tr>
      <w:tr w14:paraId="0CF72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13" w:type="dxa"/>
            <w:vAlign w:val="center"/>
          </w:tcPr>
          <w:p w14:paraId="6FFC8BC1">
            <w:pPr>
              <w:jc w:val="center"/>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关于核减经费</w:t>
            </w:r>
          </w:p>
        </w:tc>
        <w:tc>
          <w:tcPr>
            <w:tcW w:w="7608" w:type="dxa"/>
            <w:vAlign w:val="center"/>
          </w:tcPr>
          <w:p w14:paraId="5C3FF53C">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合同期内，若公园绿地、公厕等设施等因市政基础建设等原因发生外单位借、占用问题，中标人必须无条件配合采购人开展相关经费核减工作，在不影响公园正常运营前提下，由中标人向采购人提交核减费用明细，经采购人审核，双方协商一致后，通过养护联系单方式。</w:t>
            </w:r>
          </w:p>
        </w:tc>
        <w:tc>
          <w:tcPr>
            <w:tcW w:w="929" w:type="dxa"/>
            <w:vAlign w:val="center"/>
          </w:tcPr>
          <w:p w14:paraId="3DA0974A">
            <w:pPr>
              <w:widowControl w:val="0"/>
              <w:ind w:firstLine="480" w:firstLineChars="200"/>
              <w:jc w:val="left"/>
              <w:rPr>
                <w:rFonts w:hint="eastAsia" w:ascii="宋体" w:hAnsi="宋体" w:eastAsia="宋体" w:cs="宋体"/>
                <w:bCs/>
                <w:color w:val="auto"/>
                <w:sz w:val="24"/>
                <w:szCs w:val="24"/>
                <w:highlight w:val="none"/>
              </w:rPr>
            </w:pPr>
          </w:p>
        </w:tc>
      </w:tr>
      <w:tr w14:paraId="0F525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5" w:hRule="atLeast"/>
          <w:jc w:val="center"/>
        </w:trPr>
        <w:tc>
          <w:tcPr>
            <w:tcW w:w="813" w:type="dxa"/>
            <w:vAlign w:val="center"/>
          </w:tcPr>
          <w:p w14:paraId="22EAF800">
            <w:pPr>
              <w:jc w:val="center"/>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本项目主要执行及参照的相关标准或规范性文件</w:t>
            </w:r>
          </w:p>
        </w:tc>
        <w:tc>
          <w:tcPr>
            <w:tcW w:w="7608" w:type="dxa"/>
            <w:vAlign w:val="center"/>
          </w:tcPr>
          <w:p w14:paraId="5234DC5C">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1.</w:t>
            </w:r>
            <w:r>
              <w:rPr>
                <w:rFonts w:hint="eastAsia" w:ascii="宋体" w:hAnsi="宋体" w:eastAsia="宋体" w:cs="宋体"/>
                <w:bCs/>
                <w:color w:val="auto"/>
                <w:kern w:val="0"/>
                <w:sz w:val="24"/>
                <w:highlight w:val="none"/>
                <w:lang w:eastAsia="zh-CN"/>
              </w:rPr>
              <w:t>《公园服务基本要求》（GBT 38584-2020）</w:t>
            </w:r>
          </w:p>
          <w:p w14:paraId="3A6211D4">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2.</w:t>
            </w:r>
            <w:r>
              <w:rPr>
                <w:rFonts w:hint="eastAsia" w:ascii="宋体" w:hAnsi="宋体" w:eastAsia="宋体" w:cs="宋体"/>
                <w:bCs/>
                <w:color w:val="auto"/>
                <w:kern w:val="0"/>
                <w:sz w:val="24"/>
                <w:highlight w:val="none"/>
                <w:lang w:eastAsia="zh-CN"/>
              </w:rPr>
              <w:t>《城市绿地养护技术规范》（DB3302/T1117-2020）</w:t>
            </w:r>
          </w:p>
          <w:p w14:paraId="6B78F8F6">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3.</w:t>
            </w:r>
            <w:r>
              <w:rPr>
                <w:rFonts w:hint="eastAsia" w:ascii="宋体" w:hAnsi="宋体" w:eastAsia="宋体" w:cs="宋体"/>
                <w:bCs/>
                <w:color w:val="auto"/>
                <w:kern w:val="0"/>
                <w:sz w:val="24"/>
                <w:highlight w:val="none"/>
                <w:lang w:eastAsia="zh-CN"/>
              </w:rPr>
              <w:t>《宁波市城区绿地养护管理综合考核办法》（</w:t>
            </w:r>
            <w:r>
              <w:rPr>
                <w:rFonts w:hint="eastAsia" w:ascii="宋体" w:hAnsi="宋体" w:eastAsia="宋体" w:cs="宋体"/>
                <w:bCs/>
                <w:color w:val="auto"/>
                <w:kern w:val="0"/>
                <w:sz w:val="24"/>
                <w:highlight w:val="none"/>
                <w:lang w:val="en-US" w:eastAsia="zh-CN"/>
              </w:rPr>
              <w:t>2022</w:t>
            </w:r>
            <w:r>
              <w:rPr>
                <w:rFonts w:hint="eastAsia" w:ascii="宋体" w:hAnsi="宋体" w:eastAsia="宋体" w:cs="宋体"/>
                <w:bCs/>
                <w:color w:val="auto"/>
                <w:kern w:val="0"/>
                <w:sz w:val="24"/>
                <w:highlight w:val="none"/>
                <w:lang w:eastAsia="zh-CN"/>
              </w:rPr>
              <w:t>）</w:t>
            </w:r>
          </w:p>
          <w:p w14:paraId="716CCBDF">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注：</w:t>
            </w:r>
          </w:p>
          <w:p w14:paraId="7C8EDBD1">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1.包括且不限于列举文件范围，相关文件如有调整，则按调整后的标准执行。</w:t>
            </w:r>
          </w:p>
          <w:p w14:paraId="154CAA9B">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eastAsia="zh-CN"/>
              </w:rPr>
              <w:t>2.若相关标准规范相关内容或要求有冲突或不一致时，按较严格地执行。</w:t>
            </w:r>
          </w:p>
          <w:p w14:paraId="46F1DC86">
            <w:pPr>
              <w:keepNext w:val="0"/>
              <w:keepLines w:val="0"/>
              <w:pageBreakBefore w:val="0"/>
              <w:widowControl/>
              <w:tabs>
                <w:tab w:val="left" w:pos="851"/>
              </w:tabs>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3.</w:t>
            </w:r>
            <w:r>
              <w:rPr>
                <w:rFonts w:hint="eastAsia" w:ascii="宋体" w:hAnsi="宋体" w:eastAsia="宋体" w:cs="宋体"/>
                <w:bCs/>
                <w:color w:val="auto"/>
                <w:kern w:val="0"/>
                <w:sz w:val="24"/>
                <w:highlight w:val="none"/>
                <w:lang w:eastAsia="zh-CN"/>
              </w:rPr>
              <w:t>相关文件如有调整，则按调整后的标准执行；本合同规定的考核及评分标准自调整之日起开始实施。</w:t>
            </w:r>
          </w:p>
        </w:tc>
        <w:tc>
          <w:tcPr>
            <w:tcW w:w="929" w:type="dxa"/>
            <w:vAlign w:val="center"/>
          </w:tcPr>
          <w:p w14:paraId="48035553">
            <w:pPr>
              <w:jc w:val="left"/>
              <w:rPr>
                <w:rFonts w:hint="eastAsia" w:ascii="宋体" w:hAnsi="宋体" w:eastAsia="宋体" w:cs="宋体"/>
                <w:bCs/>
                <w:color w:val="auto"/>
                <w:sz w:val="24"/>
                <w:szCs w:val="24"/>
                <w:highlight w:val="none"/>
              </w:rPr>
            </w:pPr>
          </w:p>
        </w:tc>
      </w:tr>
    </w:tbl>
    <w:p w14:paraId="70FFD750">
      <w:pPr>
        <w:widowControl/>
        <w:tabs>
          <w:tab w:val="left" w:pos="851"/>
        </w:tabs>
        <w:adjustRightInd/>
        <w:spacing w:line="360" w:lineRule="auto"/>
        <w:ind w:firstLine="482" w:firstLineChars="200"/>
        <w:rPr>
          <w:rFonts w:hint="default"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（二）服务质量要求</w:t>
      </w:r>
    </w:p>
    <w:tbl>
      <w:tblPr>
        <w:tblStyle w:val="62"/>
        <w:tblW w:w="93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263"/>
        <w:gridCol w:w="4106"/>
        <w:gridCol w:w="3317"/>
      </w:tblGrid>
      <w:tr w14:paraId="5B0D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923" w:type="dxa"/>
            <w:gridSpan w:val="2"/>
            <w:noWrap w:val="0"/>
            <w:vAlign w:val="center"/>
          </w:tcPr>
          <w:p w14:paraId="5BBF06AF">
            <w:pPr>
              <w:widowControl/>
              <w:autoSpaceDE w:val="0"/>
              <w:autoSpaceDN w:val="0"/>
              <w:spacing w:beforeLines="50"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类别</w:t>
            </w:r>
          </w:p>
        </w:tc>
        <w:tc>
          <w:tcPr>
            <w:tcW w:w="4106" w:type="dxa"/>
            <w:noWrap w:val="0"/>
            <w:vAlign w:val="top"/>
          </w:tcPr>
          <w:p w14:paraId="2B8C265F">
            <w:pPr>
              <w:widowControl/>
              <w:autoSpaceDE w:val="0"/>
              <w:autoSpaceDN w:val="0"/>
              <w:spacing w:beforeLines="50"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管理服务</w:t>
            </w:r>
            <w:r>
              <w:rPr>
                <w:rFonts w:hint="eastAsia" w:ascii="宋体" w:hAnsi="宋体" w:eastAsia="宋体" w:cs="宋体"/>
                <w:b/>
                <w:bCs/>
                <w:color w:val="auto"/>
                <w:sz w:val="24"/>
                <w:szCs w:val="24"/>
                <w:highlight w:val="none"/>
              </w:rPr>
              <w:t>要求</w:t>
            </w:r>
          </w:p>
        </w:tc>
        <w:tc>
          <w:tcPr>
            <w:tcW w:w="3317" w:type="dxa"/>
            <w:noWrap w:val="0"/>
            <w:vAlign w:val="top"/>
          </w:tcPr>
          <w:p w14:paraId="31B28EA1">
            <w:pPr>
              <w:widowControl/>
              <w:autoSpaceDE w:val="0"/>
              <w:autoSpaceDN w:val="0"/>
              <w:spacing w:beforeLines="50"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质量要求</w:t>
            </w:r>
          </w:p>
        </w:tc>
      </w:tr>
      <w:tr w14:paraId="1EF85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923" w:type="dxa"/>
            <w:gridSpan w:val="2"/>
            <w:tcBorders>
              <w:bottom w:val="single" w:color="auto" w:sz="4" w:space="0"/>
            </w:tcBorders>
            <w:noWrap w:val="0"/>
            <w:vAlign w:val="center"/>
          </w:tcPr>
          <w:p w14:paraId="61B5A01B">
            <w:pPr>
              <w:keepNext w:val="0"/>
              <w:keepLines w:val="0"/>
              <w:pageBreakBefore w:val="0"/>
              <w:widowControl/>
              <w:kinsoku/>
              <w:wordWrap/>
              <w:overflowPunct/>
              <w:topLinePunct w:val="0"/>
              <w:autoSpaceDE w:val="0"/>
              <w:autoSpaceDN w:val="0"/>
              <w:bidi w:val="0"/>
              <w:adjustRightInd/>
              <w:snapToGrid/>
              <w:spacing w:line="24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绿化养护</w:t>
            </w:r>
          </w:p>
        </w:tc>
        <w:tc>
          <w:tcPr>
            <w:tcW w:w="4106" w:type="dxa"/>
            <w:noWrap w:val="0"/>
            <w:vAlign w:val="center"/>
          </w:tcPr>
          <w:p w14:paraId="00DDF9C5">
            <w:pPr>
              <w:numPr>
                <w:ilvl w:val="3"/>
                <w:numId w:val="0"/>
              </w:numPr>
              <w:spacing w:before="50" w:after="50"/>
              <w:outlineLvl w:val="9"/>
              <w:rPr>
                <w:rFonts w:hint="eastAsia" w:ascii="宋体" w:hAnsi="宋体" w:eastAsia="宋体" w:cs="宋体"/>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严格按照《城市绿地养护技术规范》（DB3302/T1117-2020）做好质保期内的绿化养护工作。</w:t>
            </w:r>
          </w:p>
        </w:tc>
        <w:tc>
          <w:tcPr>
            <w:tcW w:w="3317" w:type="dxa"/>
            <w:noWrap w:val="0"/>
            <w:vAlign w:val="center"/>
          </w:tcPr>
          <w:p w14:paraId="0421DEA0">
            <w:pPr>
              <w:numPr>
                <w:ilvl w:val="3"/>
                <w:numId w:val="0"/>
              </w:numPr>
              <w:spacing w:before="50" w:after="50"/>
              <w:jc w:val="left"/>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养护质量达到《城市绿地养护质量等级标准》（DB3302/T 1016—2018）中一级公园绿地养护质量标准。</w:t>
            </w:r>
          </w:p>
        </w:tc>
      </w:tr>
      <w:tr w14:paraId="7781A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tblHeader/>
          <w:jc w:val="center"/>
        </w:trPr>
        <w:tc>
          <w:tcPr>
            <w:tcW w:w="660" w:type="dxa"/>
            <w:vMerge w:val="restart"/>
            <w:noWrap w:val="0"/>
            <w:vAlign w:val="center"/>
          </w:tcPr>
          <w:p w14:paraId="78A4840E">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公园深度</w:t>
            </w:r>
            <w:r>
              <w:rPr>
                <w:rFonts w:hint="eastAsia" w:ascii="宋体" w:hAnsi="宋体" w:eastAsia="宋体" w:cs="宋体"/>
                <w:b/>
                <w:bCs/>
                <w:color w:val="auto"/>
                <w:sz w:val="24"/>
                <w:szCs w:val="24"/>
                <w:highlight w:val="none"/>
                <w:lang w:eastAsia="zh-CN"/>
              </w:rPr>
              <w:t>保洁</w:t>
            </w:r>
          </w:p>
        </w:tc>
        <w:tc>
          <w:tcPr>
            <w:tcW w:w="1263" w:type="dxa"/>
            <w:noWrap w:val="0"/>
            <w:vAlign w:val="center"/>
          </w:tcPr>
          <w:p w14:paraId="10B85C91">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城市家具</w:t>
            </w:r>
          </w:p>
        </w:tc>
        <w:tc>
          <w:tcPr>
            <w:tcW w:w="4106" w:type="dxa"/>
            <w:noWrap w:val="0"/>
            <w:vAlign w:val="center"/>
          </w:tcPr>
          <w:p w14:paraId="18EB43AE">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每日循环擦拭园椅、石凳（花坛边缘）</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每日</w:t>
            </w:r>
            <w:r>
              <w:rPr>
                <w:rFonts w:hint="eastAsia" w:ascii="宋体" w:hAnsi="宋体" w:eastAsia="宋体" w:cs="宋体"/>
                <w:color w:val="auto"/>
                <w:sz w:val="24"/>
                <w:szCs w:val="24"/>
                <w:highlight w:val="none"/>
                <w:lang w:val="en-US" w:eastAsia="zh-CN"/>
              </w:rPr>
              <w:t>2次</w:t>
            </w:r>
            <w:r>
              <w:rPr>
                <w:rFonts w:hint="eastAsia" w:ascii="宋体" w:hAnsi="宋体" w:eastAsia="宋体" w:cs="宋体"/>
                <w:color w:val="auto"/>
                <w:sz w:val="24"/>
                <w:szCs w:val="24"/>
                <w:highlight w:val="none"/>
              </w:rPr>
              <w:t>擦拭果壳箱箱体</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早中晚各1次清理果壳箱垃圾</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每日</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次擦拭指示牌、配电箱</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每日</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次擦拭不锈钢、木质栏杆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每日</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次擦拭雕塑小品</w:t>
            </w:r>
            <w:r>
              <w:rPr>
                <w:rFonts w:hint="eastAsia" w:ascii="宋体" w:hAnsi="宋体" w:eastAsia="宋体" w:cs="宋体"/>
                <w:color w:val="auto"/>
                <w:sz w:val="24"/>
                <w:szCs w:val="24"/>
                <w:highlight w:val="none"/>
                <w:lang w:val="en-US" w:eastAsia="zh-CN"/>
              </w:rPr>
              <w:t>等</w:t>
            </w:r>
            <w:r>
              <w:rPr>
                <w:rFonts w:hint="eastAsia" w:ascii="宋体" w:hAnsi="宋体" w:eastAsia="宋体" w:cs="宋体"/>
                <w:color w:val="auto"/>
                <w:sz w:val="24"/>
                <w:szCs w:val="24"/>
                <w:highlight w:val="none"/>
                <w:lang w:eastAsia="zh-CN"/>
              </w:rPr>
              <w:t>。</w:t>
            </w:r>
          </w:p>
        </w:tc>
        <w:tc>
          <w:tcPr>
            <w:tcW w:w="3317" w:type="dxa"/>
            <w:noWrap w:val="0"/>
            <w:vAlign w:val="center"/>
          </w:tcPr>
          <w:p w14:paraId="1FEA2643">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无明显灰尘和污渍，手摸无污迹感，凳上积水及时清理干净，无蜘蛛网等</w:t>
            </w:r>
            <w:r>
              <w:rPr>
                <w:rFonts w:hint="eastAsia" w:ascii="宋体" w:hAnsi="宋体" w:eastAsia="宋体" w:cs="宋体"/>
                <w:color w:val="auto"/>
                <w:sz w:val="24"/>
                <w:szCs w:val="24"/>
                <w:highlight w:val="none"/>
                <w:lang w:eastAsia="zh-CN"/>
              </w:rPr>
              <w:t>，作业时间内</w:t>
            </w:r>
            <w:r>
              <w:rPr>
                <w:rFonts w:hint="eastAsia" w:ascii="宋体" w:hAnsi="宋体" w:eastAsia="宋体" w:cs="宋体"/>
                <w:color w:val="auto"/>
                <w:kern w:val="0"/>
                <w:sz w:val="24"/>
                <w:szCs w:val="24"/>
                <w:highlight w:val="none"/>
                <w:lang w:eastAsia="zh-CN" w:bidi="ar"/>
              </w:rPr>
              <w:t>垃圾</w:t>
            </w:r>
            <w:r>
              <w:rPr>
                <w:rFonts w:hint="eastAsia" w:ascii="宋体" w:hAnsi="宋体" w:eastAsia="宋体" w:cs="宋体"/>
                <w:color w:val="auto"/>
                <w:kern w:val="0"/>
                <w:sz w:val="24"/>
                <w:szCs w:val="24"/>
                <w:highlight w:val="none"/>
                <w:lang w:bidi="ar"/>
              </w:rPr>
              <w:t>停留时间不超过30分钟</w:t>
            </w:r>
            <w:r>
              <w:rPr>
                <w:rFonts w:hint="eastAsia" w:ascii="宋体" w:hAnsi="宋体" w:eastAsia="宋体" w:cs="宋体"/>
                <w:color w:val="auto"/>
                <w:kern w:val="0"/>
                <w:sz w:val="24"/>
                <w:szCs w:val="24"/>
                <w:highlight w:val="none"/>
                <w:lang w:eastAsia="zh-CN" w:bidi="ar"/>
              </w:rPr>
              <w:t>。</w:t>
            </w:r>
          </w:p>
        </w:tc>
      </w:tr>
      <w:tr w14:paraId="6AA14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tblHeader/>
          <w:jc w:val="center"/>
        </w:trPr>
        <w:tc>
          <w:tcPr>
            <w:tcW w:w="660" w:type="dxa"/>
            <w:vMerge w:val="continue"/>
            <w:noWrap w:val="0"/>
            <w:vAlign w:val="center"/>
          </w:tcPr>
          <w:p w14:paraId="75B8CD29">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rPr>
            </w:pPr>
          </w:p>
        </w:tc>
        <w:tc>
          <w:tcPr>
            <w:tcW w:w="1263" w:type="dxa"/>
            <w:noWrap w:val="0"/>
            <w:vAlign w:val="center"/>
          </w:tcPr>
          <w:p w14:paraId="0EC255E1">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游乐设施</w:t>
            </w:r>
          </w:p>
        </w:tc>
        <w:tc>
          <w:tcPr>
            <w:tcW w:w="4106" w:type="dxa"/>
            <w:noWrap w:val="0"/>
            <w:vAlign w:val="center"/>
          </w:tcPr>
          <w:p w14:paraId="67CD1AC7">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每日内圈开放前完成游乐设施的全面清理</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次，每日内圈关闭后清理</w:t>
            </w:r>
            <w:r>
              <w:rPr>
                <w:rFonts w:hint="eastAsia" w:ascii="宋体" w:hAnsi="宋体" w:eastAsia="宋体" w:cs="宋体"/>
                <w:color w:val="auto"/>
                <w:sz w:val="24"/>
                <w:szCs w:val="24"/>
                <w:highlight w:val="none"/>
                <w:lang w:val="en-US" w:eastAsia="zh-CN"/>
              </w:rPr>
              <w:t>垃圾1</w:t>
            </w:r>
            <w:r>
              <w:rPr>
                <w:rFonts w:hint="eastAsia" w:ascii="宋体" w:hAnsi="宋体" w:eastAsia="宋体" w:cs="宋体"/>
                <w:color w:val="auto"/>
                <w:sz w:val="24"/>
                <w:szCs w:val="24"/>
                <w:highlight w:val="none"/>
                <w:lang w:eastAsia="zh-CN"/>
              </w:rPr>
              <w:t>次。</w:t>
            </w:r>
          </w:p>
        </w:tc>
        <w:tc>
          <w:tcPr>
            <w:tcW w:w="3317" w:type="dxa"/>
            <w:noWrap w:val="0"/>
            <w:vAlign w:val="center"/>
          </w:tcPr>
          <w:p w14:paraId="0A62ED93">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无明显灰尘和污渍，手摸无污迹感，积水及时清理干净，无蜘蛛网等</w:t>
            </w:r>
            <w:r>
              <w:rPr>
                <w:rFonts w:hint="eastAsia" w:ascii="宋体" w:hAnsi="宋体" w:eastAsia="宋体" w:cs="宋体"/>
                <w:color w:val="auto"/>
                <w:sz w:val="24"/>
                <w:szCs w:val="24"/>
                <w:highlight w:val="none"/>
                <w:lang w:eastAsia="zh-CN"/>
              </w:rPr>
              <w:t>，作业时间内</w:t>
            </w:r>
            <w:r>
              <w:rPr>
                <w:rFonts w:hint="eastAsia" w:ascii="宋体" w:hAnsi="宋体" w:eastAsia="宋体" w:cs="宋体"/>
                <w:color w:val="auto"/>
                <w:kern w:val="0"/>
                <w:sz w:val="24"/>
                <w:szCs w:val="24"/>
                <w:highlight w:val="none"/>
                <w:lang w:eastAsia="zh-CN" w:bidi="ar"/>
              </w:rPr>
              <w:t>垃圾</w:t>
            </w:r>
            <w:r>
              <w:rPr>
                <w:rFonts w:hint="eastAsia" w:ascii="宋体" w:hAnsi="宋体" w:eastAsia="宋体" w:cs="宋体"/>
                <w:color w:val="auto"/>
                <w:kern w:val="0"/>
                <w:sz w:val="24"/>
                <w:szCs w:val="24"/>
                <w:highlight w:val="none"/>
                <w:lang w:bidi="ar"/>
              </w:rPr>
              <w:t>停留时间不超过30分钟</w:t>
            </w:r>
            <w:r>
              <w:rPr>
                <w:rFonts w:hint="eastAsia" w:ascii="宋体" w:hAnsi="宋体" w:eastAsia="宋体" w:cs="宋体"/>
                <w:color w:val="auto"/>
                <w:kern w:val="0"/>
                <w:sz w:val="24"/>
                <w:szCs w:val="24"/>
                <w:highlight w:val="none"/>
                <w:lang w:eastAsia="zh-CN" w:bidi="ar"/>
              </w:rPr>
              <w:t>。</w:t>
            </w:r>
          </w:p>
        </w:tc>
      </w:tr>
      <w:tr w14:paraId="14AB8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tblHeader/>
          <w:jc w:val="center"/>
        </w:trPr>
        <w:tc>
          <w:tcPr>
            <w:tcW w:w="660" w:type="dxa"/>
            <w:vMerge w:val="continue"/>
            <w:noWrap w:val="0"/>
            <w:vAlign w:val="center"/>
          </w:tcPr>
          <w:p w14:paraId="40ABCBFA">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rPr>
            </w:pPr>
          </w:p>
        </w:tc>
        <w:tc>
          <w:tcPr>
            <w:tcW w:w="1263" w:type="dxa"/>
            <w:noWrap w:val="0"/>
            <w:vAlign w:val="center"/>
          </w:tcPr>
          <w:p w14:paraId="06733299">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铺装路面</w:t>
            </w:r>
          </w:p>
        </w:tc>
        <w:tc>
          <w:tcPr>
            <w:tcW w:w="4106" w:type="dxa"/>
            <w:noWrap w:val="0"/>
            <w:vAlign w:val="top"/>
          </w:tcPr>
          <w:p w14:paraId="0445B9E7">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每日7点前全面清扫</w:t>
            </w:r>
            <w:r>
              <w:rPr>
                <w:rFonts w:hint="eastAsia" w:ascii="宋体" w:hAnsi="宋体" w:eastAsia="宋体" w:cs="宋体"/>
                <w:color w:val="auto"/>
                <w:sz w:val="24"/>
                <w:szCs w:val="24"/>
                <w:highlight w:val="none"/>
                <w:lang w:eastAsia="zh-CN"/>
              </w:rPr>
              <w:t>园路、</w:t>
            </w:r>
            <w:r>
              <w:rPr>
                <w:rFonts w:hint="eastAsia" w:ascii="宋体" w:hAnsi="宋体" w:eastAsia="宋体" w:cs="宋体"/>
                <w:color w:val="auto"/>
                <w:sz w:val="24"/>
                <w:szCs w:val="24"/>
                <w:highlight w:val="none"/>
              </w:rPr>
              <w:t>铺装可见垃圾，7点后人工巡检</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每日</w:t>
            </w:r>
            <w:r>
              <w:rPr>
                <w:rFonts w:hint="eastAsia" w:ascii="宋体" w:hAnsi="宋体" w:eastAsia="宋体" w:cs="宋体"/>
                <w:color w:val="auto"/>
                <w:sz w:val="24"/>
                <w:szCs w:val="24"/>
                <w:highlight w:val="none"/>
                <w:lang w:eastAsia="zh-CN"/>
              </w:rPr>
              <w:t>主园路、</w:t>
            </w:r>
            <w:r>
              <w:rPr>
                <w:rFonts w:hint="eastAsia" w:ascii="宋体" w:hAnsi="宋体" w:eastAsia="宋体" w:cs="宋体"/>
                <w:color w:val="auto"/>
                <w:sz w:val="24"/>
                <w:szCs w:val="24"/>
                <w:highlight w:val="none"/>
              </w:rPr>
              <w:t>广场铺装循环清扫</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每日</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次清扫</w:t>
            </w:r>
            <w:r>
              <w:rPr>
                <w:rFonts w:hint="eastAsia" w:ascii="宋体" w:hAnsi="宋体" w:eastAsia="宋体" w:cs="宋体"/>
                <w:color w:val="auto"/>
                <w:sz w:val="24"/>
                <w:szCs w:val="24"/>
                <w:highlight w:val="none"/>
                <w:lang w:eastAsia="zh-CN"/>
              </w:rPr>
              <w:t>次要</w:t>
            </w:r>
            <w:r>
              <w:rPr>
                <w:rFonts w:hint="eastAsia" w:ascii="宋体" w:hAnsi="宋体" w:eastAsia="宋体" w:cs="宋体"/>
                <w:color w:val="auto"/>
                <w:sz w:val="24"/>
                <w:szCs w:val="24"/>
                <w:highlight w:val="none"/>
              </w:rPr>
              <w:t>园路</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每周</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次冲洗</w:t>
            </w:r>
            <w:r>
              <w:rPr>
                <w:rFonts w:hint="eastAsia" w:ascii="宋体" w:hAnsi="宋体" w:eastAsia="宋体" w:cs="宋体"/>
                <w:color w:val="auto"/>
                <w:sz w:val="24"/>
                <w:szCs w:val="24"/>
                <w:highlight w:val="none"/>
                <w:lang w:eastAsia="zh-CN"/>
              </w:rPr>
              <w:t>园内主要铺装广场；</w:t>
            </w:r>
            <w:r>
              <w:rPr>
                <w:rFonts w:hint="eastAsia" w:ascii="宋体" w:hAnsi="宋体" w:eastAsia="宋体" w:cs="宋体"/>
                <w:color w:val="auto"/>
                <w:sz w:val="24"/>
                <w:szCs w:val="24"/>
                <w:highlight w:val="none"/>
              </w:rPr>
              <w:t>每月</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次深度清洗铺装园路</w:t>
            </w:r>
            <w:r>
              <w:rPr>
                <w:rFonts w:hint="eastAsia" w:ascii="宋体" w:hAnsi="宋体" w:eastAsia="宋体" w:cs="宋体"/>
                <w:color w:val="auto"/>
                <w:sz w:val="24"/>
                <w:szCs w:val="24"/>
                <w:highlight w:val="none"/>
              </w:rPr>
              <w:tab/>
            </w:r>
          </w:p>
        </w:tc>
        <w:tc>
          <w:tcPr>
            <w:tcW w:w="3317" w:type="dxa"/>
            <w:noWrap w:val="0"/>
            <w:vAlign w:val="center"/>
          </w:tcPr>
          <w:p w14:paraId="23D89652">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铺装见本色，地面无污渍、无垃圾、无积泥、无青苔，接缝无杂草</w:t>
            </w:r>
            <w:r>
              <w:rPr>
                <w:rFonts w:hint="eastAsia" w:ascii="宋体" w:hAnsi="宋体" w:eastAsia="宋体" w:cs="宋体"/>
                <w:color w:val="auto"/>
                <w:sz w:val="24"/>
                <w:szCs w:val="24"/>
                <w:highlight w:val="none"/>
                <w:lang w:eastAsia="zh-CN"/>
              </w:rPr>
              <w:t>，作业时间内</w:t>
            </w:r>
            <w:r>
              <w:rPr>
                <w:rFonts w:hint="eastAsia" w:ascii="宋体" w:hAnsi="宋体" w:eastAsia="宋体" w:cs="宋体"/>
                <w:color w:val="auto"/>
                <w:kern w:val="0"/>
                <w:sz w:val="24"/>
                <w:szCs w:val="24"/>
                <w:highlight w:val="none"/>
                <w:lang w:eastAsia="zh-CN" w:bidi="ar"/>
              </w:rPr>
              <w:t>垃圾</w:t>
            </w:r>
            <w:r>
              <w:rPr>
                <w:rFonts w:hint="eastAsia" w:ascii="宋体" w:hAnsi="宋体" w:eastAsia="宋体" w:cs="宋体"/>
                <w:color w:val="auto"/>
                <w:kern w:val="0"/>
                <w:sz w:val="24"/>
                <w:szCs w:val="24"/>
                <w:highlight w:val="none"/>
                <w:lang w:bidi="ar"/>
              </w:rPr>
              <w:t>停留时间不超过30分钟</w:t>
            </w:r>
            <w:r>
              <w:rPr>
                <w:rFonts w:hint="eastAsia" w:ascii="宋体" w:hAnsi="宋体" w:eastAsia="宋体" w:cs="宋体"/>
                <w:color w:val="auto"/>
                <w:kern w:val="0"/>
                <w:sz w:val="24"/>
                <w:szCs w:val="24"/>
                <w:highlight w:val="none"/>
                <w:lang w:eastAsia="zh-CN" w:bidi="ar"/>
              </w:rPr>
              <w:t>。</w:t>
            </w:r>
          </w:p>
        </w:tc>
      </w:tr>
      <w:tr w14:paraId="064E9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tblHeader/>
          <w:jc w:val="center"/>
        </w:trPr>
        <w:tc>
          <w:tcPr>
            <w:tcW w:w="660" w:type="dxa"/>
            <w:vMerge w:val="continue"/>
            <w:noWrap w:val="0"/>
            <w:vAlign w:val="center"/>
          </w:tcPr>
          <w:p w14:paraId="74967675">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rPr>
            </w:pPr>
          </w:p>
        </w:tc>
        <w:tc>
          <w:tcPr>
            <w:tcW w:w="1263" w:type="dxa"/>
            <w:noWrap w:val="0"/>
            <w:vAlign w:val="center"/>
          </w:tcPr>
          <w:p w14:paraId="4CB354CA">
            <w:pPr>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建构筑物</w:t>
            </w:r>
          </w:p>
        </w:tc>
        <w:tc>
          <w:tcPr>
            <w:tcW w:w="4106" w:type="dxa"/>
            <w:noWrap w:val="0"/>
            <w:vAlign w:val="top"/>
          </w:tcPr>
          <w:p w14:paraId="581C88A1">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每日</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次清理蜘蛛网</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每月</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次屋顶清理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每月</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次冲洗青石栏杆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每周</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次清洁亭、廊、立柱</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每月</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次清洁玻璃顶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每3个月</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次清理房屋立面</w:t>
            </w:r>
            <w:r>
              <w:rPr>
                <w:rFonts w:hint="eastAsia" w:ascii="宋体" w:hAnsi="宋体" w:eastAsia="宋体" w:cs="宋体"/>
                <w:color w:val="auto"/>
                <w:sz w:val="24"/>
                <w:szCs w:val="24"/>
                <w:highlight w:val="none"/>
                <w:lang w:eastAsia="zh-CN"/>
              </w:rPr>
              <w:t>。</w:t>
            </w:r>
          </w:p>
        </w:tc>
        <w:tc>
          <w:tcPr>
            <w:tcW w:w="3317" w:type="dxa"/>
            <w:noWrap w:val="0"/>
            <w:vAlign w:val="top"/>
          </w:tcPr>
          <w:p w14:paraId="3D2C2857">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无蜘蛛网、无积尘、无青苔、无</w:t>
            </w:r>
            <w:r>
              <w:rPr>
                <w:rFonts w:hint="eastAsia" w:ascii="宋体" w:hAnsi="宋体" w:eastAsia="宋体" w:cs="宋体"/>
                <w:color w:val="auto"/>
                <w:sz w:val="24"/>
                <w:szCs w:val="24"/>
                <w:highlight w:val="none"/>
                <w:lang w:eastAsia="zh-CN"/>
              </w:rPr>
              <w:t>污渍</w:t>
            </w:r>
            <w:r>
              <w:rPr>
                <w:rFonts w:hint="eastAsia" w:ascii="宋体" w:hAnsi="宋体" w:eastAsia="宋体" w:cs="宋体"/>
                <w:color w:val="auto"/>
                <w:sz w:val="24"/>
                <w:szCs w:val="24"/>
                <w:highlight w:val="none"/>
              </w:rPr>
              <w:t>，石材见本色</w:t>
            </w:r>
            <w:r>
              <w:rPr>
                <w:rFonts w:hint="eastAsia" w:ascii="宋体" w:hAnsi="宋体" w:eastAsia="宋体" w:cs="宋体"/>
                <w:color w:val="auto"/>
                <w:sz w:val="24"/>
                <w:szCs w:val="24"/>
                <w:highlight w:val="none"/>
                <w:lang w:eastAsia="zh-CN"/>
              </w:rPr>
              <w:t>，作业时间内</w:t>
            </w:r>
            <w:r>
              <w:rPr>
                <w:rFonts w:hint="eastAsia" w:ascii="宋体" w:hAnsi="宋体" w:eastAsia="宋体" w:cs="宋体"/>
                <w:color w:val="auto"/>
                <w:kern w:val="0"/>
                <w:sz w:val="24"/>
                <w:szCs w:val="24"/>
                <w:highlight w:val="none"/>
                <w:lang w:eastAsia="zh-CN" w:bidi="ar"/>
              </w:rPr>
              <w:t>垃圾</w:t>
            </w:r>
            <w:r>
              <w:rPr>
                <w:rFonts w:hint="eastAsia" w:ascii="宋体" w:hAnsi="宋体" w:eastAsia="宋体" w:cs="宋体"/>
                <w:color w:val="auto"/>
                <w:kern w:val="0"/>
                <w:sz w:val="24"/>
                <w:szCs w:val="24"/>
                <w:highlight w:val="none"/>
                <w:lang w:bidi="ar"/>
              </w:rPr>
              <w:t>停留时间不超过30 分钟</w:t>
            </w:r>
            <w:r>
              <w:rPr>
                <w:rFonts w:hint="eastAsia" w:ascii="宋体" w:hAnsi="宋体" w:eastAsia="宋体" w:cs="宋体"/>
                <w:color w:val="auto"/>
                <w:kern w:val="0"/>
                <w:sz w:val="24"/>
                <w:szCs w:val="24"/>
                <w:highlight w:val="none"/>
                <w:lang w:eastAsia="zh-CN" w:bidi="ar"/>
              </w:rPr>
              <w:t>。</w:t>
            </w:r>
          </w:p>
        </w:tc>
      </w:tr>
      <w:tr w14:paraId="5001D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tblHeader/>
          <w:jc w:val="center"/>
        </w:trPr>
        <w:tc>
          <w:tcPr>
            <w:tcW w:w="660" w:type="dxa"/>
            <w:vMerge w:val="continue"/>
            <w:noWrap w:val="0"/>
            <w:vAlign w:val="center"/>
          </w:tcPr>
          <w:p w14:paraId="61204CD2">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rPr>
            </w:pPr>
          </w:p>
        </w:tc>
        <w:tc>
          <w:tcPr>
            <w:tcW w:w="1263" w:type="dxa"/>
            <w:noWrap w:val="0"/>
            <w:vAlign w:val="center"/>
          </w:tcPr>
          <w:p w14:paraId="3BD856C8">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绿化保洁</w:t>
            </w:r>
          </w:p>
        </w:tc>
        <w:tc>
          <w:tcPr>
            <w:tcW w:w="4106" w:type="dxa"/>
            <w:noWrap w:val="0"/>
            <w:vAlign w:val="center"/>
          </w:tcPr>
          <w:p w14:paraId="046DEC67">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每日循环</w:t>
            </w:r>
            <w:r>
              <w:rPr>
                <w:rFonts w:hint="eastAsia" w:ascii="宋体" w:hAnsi="宋体" w:eastAsia="宋体" w:cs="宋体"/>
                <w:color w:val="auto"/>
                <w:sz w:val="24"/>
                <w:szCs w:val="24"/>
                <w:highlight w:val="none"/>
                <w:lang w:eastAsia="zh-CN"/>
              </w:rPr>
              <w:t>清理</w:t>
            </w:r>
            <w:r>
              <w:rPr>
                <w:rFonts w:hint="eastAsia" w:ascii="宋体" w:hAnsi="宋体" w:eastAsia="宋体" w:cs="宋体"/>
                <w:color w:val="auto"/>
                <w:sz w:val="24"/>
                <w:szCs w:val="24"/>
                <w:highlight w:val="none"/>
              </w:rPr>
              <w:t>绿地内白色垃圾、烟蒂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枯枝</w:t>
            </w:r>
            <w:r>
              <w:rPr>
                <w:rFonts w:hint="eastAsia" w:ascii="宋体" w:hAnsi="宋体" w:eastAsia="宋体" w:cs="宋体"/>
                <w:color w:val="auto"/>
                <w:sz w:val="24"/>
                <w:szCs w:val="24"/>
                <w:highlight w:val="none"/>
                <w:lang w:eastAsia="zh-CN"/>
              </w:rPr>
              <w:t>等，</w:t>
            </w:r>
            <w:r>
              <w:rPr>
                <w:rFonts w:hint="eastAsia" w:ascii="宋体" w:hAnsi="宋体" w:eastAsia="宋体" w:cs="宋体"/>
                <w:color w:val="auto"/>
                <w:sz w:val="24"/>
                <w:szCs w:val="24"/>
                <w:highlight w:val="none"/>
              </w:rPr>
              <w:t>每月</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次清理雨水沟、窨井落叶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ab/>
            </w:r>
          </w:p>
        </w:tc>
        <w:tc>
          <w:tcPr>
            <w:tcW w:w="3317" w:type="dxa"/>
            <w:noWrap w:val="0"/>
            <w:vAlign w:val="top"/>
          </w:tcPr>
          <w:p w14:paraId="73A91111">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绿化整洁、完好，绿地无杂物、垃圾</w:t>
            </w:r>
            <w:r>
              <w:rPr>
                <w:rFonts w:hint="eastAsia" w:ascii="宋体" w:hAnsi="宋体" w:eastAsia="宋体" w:cs="宋体"/>
                <w:color w:val="auto"/>
                <w:sz w:val="24"/>
                <w:szCs w:val="24"/>
                <w:highlight w:val="none"/>
                <w:lang w:eastAsia="zh-CN"/>
              </w:rPr>
              <w:t>及其他</w:t>
            </w:r>
            <w:r>
              <w:rPr>
                <w:rFonts w:hint="eastAsia" w:ascii="宋体" w:hAnsi="宋体" w:eastAsia="宋体" w:cs="宋体"/>
                <w:color w:val="auto"/>
                <w:sz w:val="24"/>
                <w:szCs w:val="24"/>
                <w:highlight w:val="none"/>
              </w:rPr>
              <w:t>废弃物</w:t>
            </w:r>
            <w:r>
              <w:rPr>
                <w:rFonts w:hint="eastAsia" w:ascii="宋体" w:hAnsi="宋体" w:eastAsia="宋体" w:cs="宋体"/>
                <w:color w:val="auto"/>
                <w:sz w:val="24"/>
                <w:szCs w:val="24"/>
                <w:highlight w:val="none"/>
                <w:lang w:eastAsia="zh-CN"/>
              </w:rPr>
              <w:t>，作业时间内</w:t>
            </w:r>
            <w:r>
              <w:rPr>
                <w:rFonts w:hint="eastAsia" w:ascii="宋体" w:hAnsi="宋体" w:eastAsia="宋体" w:cs="宋体"/>
                <w:color w:val="auto"/>
                <w:kern w:val="0"/>
                <w:sz w:val="24"/>
                <w:szCs w:val="24"/>
                <w:highlight w:val="none"/>
                <w:lang w:bidi="ar"/>
              </w:rPr>
              <w:t>垃圾停留时间不超过 30 分钟</w:t>
            </w:r>
            <w:r>
              <w:rPr>
                <w:rFonts w:hint="eastAsia" w:ascii="宋体" w:hAnsi="宋体" w:eastAsia="宋体" w:cs="宋体"/>
                <w:color w:val="auto"/>
                <w:kern w:val="0"/>
                <w:sz w:val="24"/>
                <w:szCs w:val="24"/>
                <w:highlight w:val="none"/>
                <w:lang w:eastAsia="zh-CN" w:bidi="ar"/>
              </w:rPr>
              <w:t>。</w:t>
            </w:r>
          </w:p>
        </w:tc>
      </w:tr>
      <w:tr w14:paraId="30CCE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4" w:hRule="atLeast"/>
          <w:tblHeader/>
          <w:jc w:val="center"/>
        </w:trPr>
        <w:tc>
          <w:tcPr>
            <w:tcW w:w="660" w:type="dxa"/>
            <w:vMerge w:val="continue"/>
            <w:noWrap w:val="0"/>
            <w:vAlign w:val="center"/>
          </w:tcPr>
          <w:p w14:paraId="36EA6C79">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rPr>
            </w:pPr>
          </w:p>
        </w:tc>
        <w:tc>
          <w:tcPr>
            <w:tcW w:w="1263" w:type="dxa"/>
            <w:noWrap w:val="0"/>
            <w:vAlign w:val="center"/>
          </w:tcPr>
          <w:p w14:paraId="35CDCAC6">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垃圾分类及清运</w:t>
            </w:r>
          </w:p>
        </w:tc>
        <w:tc>
          <w:tcPr>
            <w:tcW w:w="4106" w:type="dxa"/>
            <w:noWrap w:val="0"/>
            <w:vAlign w:val="top"/>
          </w:tcPr>
          <w:p w14:paraId="7C5E2011">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产生的垃圾进行分类减量处理，尽可能循环利用，错峰时间作业进行垃圾归集和运输，确保</w:t>
            </w:r>
            <w:r>
              <w:rPr>
                <w:rFonts w:hint="eastAsia" w:ascii="宋体" w:hAnsi="宋体" w:eastAsia="宋体" w:cs="宋体"/>
                <w:color w:val="auto"/>
                <w:sz w:val="24"/>
                <w:szCs w:val="24"/>
                <w:highlight w:val="none"/>
                <w:lang w:eastAsia="zh-CN"/>
              </w:rPr>
              <w:t>园内每日</w:t>
            </w:r>
            <w:r>
              <w:rPr>
                <w:rFonts w:hint="eastAsia" w:ascii="宋体" w:hAnsi="宋体" w:eastAsia="宋体" w:cs="宋体"/>
                <w:color w:val="auto"/>
                <w:sz w:val="24"/>
                <w:szCs w:val="24"/>
                <w:highlight w:val="none"/>
              </w:rPr>
              <w:t>8:00-18:00无垃圾堆放，不得在绿地及路旁遗留垃圾。由于台风、暴雨等不可抗力因素无条件增加垃圾清运任务。垃圾清运要求实行日产日清，垃圾车辆每天擦洗，保洁车辆需有醒目警示标志</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垃圾</w:t>
            </w:r>
            <w:r>
              <w:rPr>
                <w:rFonts w:hint="eastAsia" w:ascii="宋体" w:hAnsi="宋体" w:eastAsia="宋体" w:cs="宋体"/>
                <w:color w:val="auto"/>
                <w:sz w:val="24"/>
                <w:szCs w:val="24"/>
                <w:highlight w:val="none"/>
                <w:lang w:eastAsia="zh-CN"/>
              </w:rPr>
              <w:t>车</w:t>
            </w:r>
            <w:r>
              <w:rPr>
                <w:rFonts w:hint="eastAsia" w:ascii="宋体" w:hAnsi="宋体" w:eastAsia="宋体" w:cs="宋体"/>
                <w:color w:val="auto"/>
                <w:sz w:val="24"/>
                <w:szCs w:val="24"/>
                <w:highlight w:val="none"/>
              </w:rPr>
              <w:t>严禁停放在草坪、地被植物上。</w:t>
            </w:r>
          </w:p>
        </w:tc>
        <w:tc>
          <w:tcPr>
            <w:tcW w:w="3317" w:type="dxa"/>
            <w:noWrap w:val="0"/>
            <w:vAlign w:val="center"/>
          </w:tcPr>
          <w:p w14:paraId="7CB4FF9B">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确保垃圾收集设施清洁、正常，规范安全使用，</w:t>
            </w:r>
            <w:r>
              <w:rPr>
                <w:rFonts w:hint="eastAsia" w:ascii="宋体" w:hAnsi="宋体" w:eastAsia="宋体" w:cs="宋体"/>
                <w:color w:val="auto"/>
                <w:sz w:val="24"/>
                <w:szCs w:val="24"/>
                <w:highlight w:val="none"/>
                <w:lang w:eastAsia="zh-CN"/>
              </w:rPr>
              <w:t>垃圾车</w:t>
            </w:r>
            <w:r>
              <w:rPr>
                <w:rFonts w:hint="eastAsia" w:ascii="宋体" w:hAnsi="宋体" w:eastAsia="宋体" w:cs="宋体"/>
                <w:color w:val="auto"/>
                <w:sz w:val="24"/>
                <w:szCs w:val="24"/>
                <w:highlight w:val="none"/>
              </w:rPr>
              <w:t>运输无滴漏撒情况</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无污迹，车外无吊挂杂物，车辆无破损</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垃圾车</w:t>
            </w:r>
            <w:r>
              <w:rPr>
                <w:rFonts w:hint="eastAsia" w:ascii="宋体" w:hAnsi="宋体" w:eastAsia="宋体" w:cs="宋体"/>
                <w:color w:val="auto"/>
                <w:sz w:val="24"/>
                <w:szCs w:val="24"/>
                <w:highlight w:val="none"/>
                <w:lang w:eastAsia="zh-CN"/>
              </w:rPr>
              <w:t>、保洁作业车定点停放规范，无乱停放现象。</w:t>
            </w:r>
          </w:p>
        </w:tc>
      </w:tr>
      <w:tr w14:paraId="6A963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tblHeader/>
          <w:jc w:val="center"/>
        </w:trPr>
        <w:tc>
          <w:tcPr>
            <w:tcW w:w="1923" w:type="dxa"/>
            <w:gridSpan w:val="2"/>
            <w:noWrap w:val="0"/>
            <w:vAlign w:val="center"/>
          </w:tcPr>
          <w:p w14:paraId="3B1541F3">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公厕</w:t>
            </w:r>
            <w:r>
              <w:rPr>
                <w:rFonts w:hint="eastAsia" w:ascii="宋体" w:hAnsi="宋体" w:eastAsia="宋体" w:cs="宋体"/>
                <w:b/>
                <w:bCs/>
                <w:color w:val="auto"/>
                <w:sz w:val="24"/>
                <w:szCs w:val="24"/>
                <w:highlight w:val="none"/>
                <w:lang w:eastAsia="zh-CN"/>
              </w:rPr>
              <w:t>管理</w:t>
            </w:r>
          </w:p>
        </w:tc>
        <w:tc>
          <w:tcPr>
            <w:tcW w:w="4106" w:type="dxa"/>
            <w:noWrap w:val="0"/>
            <w:vAlign w:val="center"/>
          </w:tcPr>
          <w:p w14:paraId="7C4CF052">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按照《公共厕所保洁与服务规范》（DB3302T1081-201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 xml:space="preserve">）标准。确保精细化保洁质量，促进长效常态管理。  </w:t>
            </w:r>
          </w:p>
        </w:tc>
        <w:tc>
          <w:tcPr>
            <w:tcW w:w="3317" w:type="dxa"/>
            <w:noWrap w:val="0"/>
            <w:vAlign w:val="center"/>
          </w:tcPr>
          <w:p w14:paraId="1B7EB835">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做到公厕干净整洁无异味、设施设备正常使用、</w:t>
            </w:r>
            <w:r>
              <w:rPr>
                <w:rFonts w:hint="eastAsia" w:ascii="宋体" w:hAnsi="宋体" w:eastAsia="宋体" w:cs="宋体"/>
                <w:color w:val="auto"/>
                <w:sz w:val="24"/>
                <w:szCs w:val="24"/>
                <w:highlight w:val="none"/>
              </w:rPr>
              <w:t>免费厕纸和洗手液</w:t>
            </w:r>
            <w:r>
              <w:rPr>
                <w:rFonts w:hint="eastAsia" w:ascii="宋体" w:hAnsi="宋体" w:eastAsia="宋体" w:cs="宋体"/>
                <w:color w:val="auto"/>
                <w:sz w:val="24"/>
                <w:szCs w:val="24"/>
                <w:highlight w:val="none"/>
                <w:lang w:eastAsia="zh-CN"/>
              </w:rPr>
              <w:t>补充及时，</w:t>
            </w:r>
            <w:r>
              <w:rPr>
                <w:rFonts w:hint="eastAsia" w:ascii="宋体" w:hAnsi="宋体" w:eastAsia="宋体" w:cs="宋体"/>
                <w:color w:val="auto"/>
                <w:sz w:val="24"/>
                <w:szCs w:val="24"/>
                <w:highlight w:val="none"/>
                <w:lang w:val="en-US" w:eastAsia="zh-CN"/>
              </w:rPr>
              <w:t>11-3月提供热水洗手</w:t>
            </w:r>
            <w:r>
              <w:rPr>
                <w:rFonts w:hint="eastAsia" w:ascii="宋体" w:hAnsi="宋体" w:eastAsia="宋体" w:cs="宋体"/>
                <w:color w:val="auto"/>
                <w:kern w:val="0"/>
                <w:sz w:val="24"/>
                <w:szCs w:val="24"/>
                <w:highlight w:val="none"/>
                <w:lang w:bidi="ar"/>
              </w:rPr>
              <w:t xml:space="preserve">。 </w:t>
            </w:r>
          </w:p>
        </w:tc>
      </w:tr>
      <w:tr w14:paraId="4E15E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tblHeader/>
          <w:jc w:val="center"/>
        </w:trPr>
        <w:tc>
          <w:tcPr>
            <w:tcW w:w="1923" w:type="dxa"/>
            <w:gridSpan w:val="2"/>
            <w:noWrap w:val="0"/>
            <w:vAlign w:val="center"/>
          </w:tcPr>
          <w:p w14:paraId="72A331B7">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绿化垃圾</w:t>
            </w:r>
          </w:p>
          <w:p w14:paraId="1A1B6C33">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资源利用</w:t>
            </w:r>
          </w:p>
        </w:tc>
        <w:tc>
          <w:tcPr>
            <w:tcW w:w="4106" w:type="dxa"/>
            <w:noWrap w:val="0"/>
            <w:vAlign w:val="center"/>
          </w:tcPr>
          <w:p w14:paraId="5C36960B">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中标人应与具备园林绿化垃圾资源化终端处置能力（非中转）的企业签订收运处置协议，规范运输，确保园林绿化垃圾进行资源化利用。后续若相关部门出台相关管理规范，则按相关规范执行。</w:t>
            </w:r>
          </w:p>
        </w:tc>
        <w:tc>
          <w:tcPr>
            <w:tcW w:w="3317" w:type="dxa"/>
            <w:noWrap w:val="0"/>
            <w:vAlign w:val="center"/>
          </w:tcPr>
          <w:p w14:paraId="51743665">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资源化利用后的产物要按比例</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返回用于公园日常养护。</w:t>
            </w:r>
          </w:p>
        </w:tc>
      </w:tr>
      <w:tr w14:paraId="4A1D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tblHeader/>
          <w:jc w:val="center"/>
        </w:trPr>
        <w:tc>
          <w:tcPr>
            <w:tcW w:w="1923" w:type="dxa"/>
            <w:gridSpan w:val="2"/>
            <w:noWrap w:val="0"/>
            <w:vAlign w:val="center"/>
          </w:tcPr>
          <w:p w14:paraId="496254CA">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lang w:eastAsia="zh-CN"/>
              </w:rPr>
              <w:t>水体保洁</w:t>
            </w:r>
          </w:p>
        </w:tc>
        <w:tc>
          <w:tcPr>
            <w:tcW w:w="4106" w:type="dxa"/>
            <w:noWrap w:val="0"/>
            <w:vAlign w:val="center"/>
          </w:tcPr>
          <w:p w14:paraId="19CBDDFC">
            <w:pPr>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及时打捞断草、树叶</w:t>
            </w:r>
            <w:r>
              <w:rPr>
                <w:rFonts w:hint="eastAsia" w:ascii="宋体" w:hAnsi="宋体" w:eastAsia="宋体" w:cs="宋体"/>
                <w:color w:val="auto"/>
                <w:sz w:val="24"/>
                <w:szCs w:val="24"/>
                <w:highlight w:val="none"/>
                <w:lang w:eastAsia="zh-CN"/>
              </w:rPr>
              <w:t>、垃圾等水</w:t>
            </w:r>
            <w:r>
              <w:rPr>
                <w:rFonts w:hint="eastAsia" w:ascii="宋体" w:hAnsi="宋体" w:eastAsia="宋体" w:cs="宋体"/>
                <w:color w:val="auto"/>
                <w:sz w:val="24"/>
                <w:szCs w:val="24"/>
                <w:highlight w:val="none"/>
              </w:rPr>
              <w:t>面漂浮物</w:t>
            </w:r>
            <w:r>
              <w:rPr>
                <w:rFonts w:hint="eastAsia" w:ascii="宋体" w:hAnsi="宋体" w:eastAsia="宋体" w:cs="宋体"/>
                <w:color w:val="auto"/>
                <w:sz w:val="24"/>
                <w:szCs w:val="24"/>
                <w:highlight w:val="none"/>
                <w:lang w:eastAsia="zh-CN"/>
              </w:rPr>
              <w:t>，及时清理青苔，及时应对处理水质各类问题。</w:t>
            </w:r>
          </w:p>
        </w:tc>
        <w:tc>
          <w:tcPr>
            <w:tcW w:w="3317" w:type="dxa"/>
            <w:noWrap w:val="0"/>
            <w:vAlign w:val="center"/>
          </w:tcPr>
          <w:p w14:paraId="4B766181">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保持水面清洁，</w:t>
            </w:r>
            <w:r>
              <w:rPr>
                <w:rFonts w:hint="eastAsia" w:ascii="宋体" w:hAnsi="宋体" w:eastAsia="宋体" w:cs="宋体"/>
                <w:color w:val="auto"/>
                <w:sz w:val="24"/>
                <w:szCs w:val="24"/>
                <w:highlight w:val="none"/>
              </w:rPr>
              <w:t>水体长期维持无黑臭和无大面积蓝绿藻爆发等情况。</w:t>
            </w:r>
          </w:p>
        </w:tc>
      </w:tr>
      <w:tr w14:paraId="5FAEE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0" w:hRule="atLeast"/>
          <w:tblHeader/>
          <w:jc w:val="center"/>
        </w:trPr>
        <w:tc>
          <w:tcPr>
            <w:tcW w:w="1923" w:type="dxa"/>
            <w:gridSpan w:val="2"/>
            <w:noWrap w:val="0"/>
            <w:vAlign w:val="center"/>
          </w:tcPr>
          <w:p w14:paraId="1DF27FC0">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设施维护</w:t>
            </w:r>
          </w:p>
        </w:tc>
        <w:tc>
          <w:tcPr>
            <w:tcW w:w="4106" w:type="dxa"/>
            <w:noWrap w:val="0"/>
            <w:vAlign w:val="center"/>
          </w:tcPr>
          <w:p w14:paraId="31DCE123">
            <w:pPr>
              <w:widowControl w:val="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lang w:eastAsia="zh-CN"/>
              </w:rPr>
              <w:t>中标人</w:t>
            </w:r>
            <w:r>
              <w:rPr>
                <w:rFonts w:hint="eastAsia" w:ascii="宋体" w:hAnsi="宋体" w:eastAsia="宋体" w:cs="宋体"/>
                <w:bCs/>
                <w:color w:val="auto"/>
                <w:sz w:val="24"/>
                <w:szCs w:val="24"/>
                <w:highlight w:val="none"/>
              </w:rPr>
              <w:t>每周对公园设施定期巡检，并按要求填写巡检记录表。</w:t>
            </w:r>
          </w:p>
          <w:p w14:paraId="30CAFF13">
            <w:pPr>
              <w:widowControl w:val="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故障响应：（1）特殊或重要设备的，如监控系统，</w:t>
            </w:r>
            <w:r>
              <w:rPr>
                <w:rFonts w:hint="eastAsia" w:ascii="宋体" w:hAnsi="宋体" w:eastAsia="宋体" w:cs="宋体"/>
                <w:bCs/>
                <w:color w:val="auto"/>
                <w:sz w:val="24"/>
                <w:szCs w:val="24"/>
                <w:highlight w:val="none"/>
                <w:lang w:eastAsia="zh-CN"/>
              </w:rPr>
              <w:t>中标人</w:t>
            </w:r>
            <w:r>
              <w:rPr>
                <w:rFonts w:hint="eastAsia" w:ascii="宋体" w:hAnsi="宋体" w:eastAsia="宋体" w:cs="宋体"/>
                <w:bCs/>
                <w:color w:val="auto"/>
                <w:sz w:val="24"/>
                <w:szCs w:val="24"/>
                <w:highlight w:val="none"/>
              </w:rPr>
              <w:t>在接到公园电话或书面的检修通知后，必须1小时响应，一般故障技术人员4小时内到达现场，重大事故（8个以上摄像头不能正常工作）技术人员2小时内到达现场进行处理。（2）其他故障的，必须24小时内响应。</w:t>
            </w:r>
          </w:p>
          <w:p w14:paraId="010D12AB">
            <w:pPr>
              <w:widowControl w:val="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.维修过程中要按要求进行安全文明作业。</w:t>
            </w:r>
          </w:p>
          <w:p w14:paraId="045FAE5B">
            <w:pPr>
              <w:widowControl w:val="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.维修作业无正当理由必须按照</w:t>
            </w:r>
            <w:r>
              <w:rPr>
                <w:rFonts w:hint="eastAsia" w:ascii="宋体" w:hAnsi="宋体" w:eastAsia="宋体" w:cs="宋体"/>
                <w:bCs/>
                <w:color w:val="auto"/>
                <w:sz w:val="24"/>
                <w:szCs w:val="24"/>
                <w:highlight w:val="none"/>
                <w:lang w:eastAsia="zh-CN"/>
              </w:rPr>
              <w:t>采购人</w:t>
            </w:r>
            <w:r>
              <w:rPr>
                <w:rFonts w:hint="eastAsia" w:ascii="宋体" w:hAnsi="宋体" w:eastAsia="宋体" w:cs="宋体"/>
                <w:bCs/>
                <w:color w:val="auto"/>
                <w:sz w:val="24"/>
                <w:szCs w:val="24"/>
                <w:highlight w:val="none"/>
              </w:rPr>
              <w:t>指令期限内完工。</w:t>
            </w:r>
          </w:p>
          <w:p w14:paraId="475114AC">
            <w:pPr>
              <w:widowControl w:val="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5.加强公园网络安全维护巡查，确保公园安全网络不受入侵。</w:t>
            </w:r>
          </w:p>
        </w:tc>
        <w:tc>
          <w:tcPr>
            <w:tcW w:w="3317" w:type="dxa"/>
            <w:noWrap w:val="0"/>
            <w:vAlign w:val="center"/>
          </w:tcPr>
          <w:p w14:paraId="0CBE5F7A">
            <w:pPr>
              <w:jc w:val="both"/>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eastAsia="zh-CN"/>
              </w:rPr>
              <w:t>园内</w:t>
            </w:r>
            <w:r>
              <w:rPr>
                <w:rFonts w:hint="eastAsia" w:ascii="宋体" w:hAnsi="宋体" w:eastAsia="宋体" w:cs="宋体"/>
                <w:bCs/>
                <w:color w:val="auto"/>
                <w:sz w:val="24"/>
                <w:szCs w:val="24"/>
                <w:highlight w:val="none"/>
              </w:rPr>
              <w:t>设施完好率达100</w:t>
            </w:r>
            <w:r>
              <w:rPr>
                <w:rFonts w:hint="eastAsia" w:ascii="宋体" w:hAnsi="宋体" w:eastAsia="宋体" w:cs="宋体"/>
                <w:bCs/>
                <w:color w:val="auto"/>
                <w:sz w:val="24"/>
                <w:szCs w:val="24"/>
                <w:highlight w:val="none"/>
                <w:lang w:val="en-US" w:eastAsia="zh-CN"/>
              </w:rPr>
              <w:t>%，设施破损、设备故障后能快速响应处理。</w:t>
            </w:r>
          </w:p>
        </w:tc>
      </w:tr>
      <w:tr w14:paraId="53F12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blHeader/>
          <w:jc w:val="center"/>
        </w:trPr>
        <w:tc>
          <w:tcPr>
            <w:tcW w:w="1923" w:type="dxa"/>
            <w:gridSpan w:val="2"/>
            <w:noWrap w:val="0"/>
            <w:vAlign w:val="center"/>
          </w:tcPr>
          <w:p w14:paraId="385BBC1D">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公园绿地</w:t>
            </w:r>
          </w:p>
          <w:p w14:paraId="2650CC1F">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开放共享</w:t>
            </w:r>
          </w:p>
        </w:tc>
        <w:tc>
          <w:tcPr>
            <w:tcW w:w="4106" w:type="dxa"/>
            <w:noWrap w:val="0"/>
            <w:vAlign w:val="center"/>
          </w:tcPr>
          <w:p w14:paraId="7A131C86">
            <w:pPr>
              <w:widowControl w:val="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根据《宁波市城市公园绿地开放共享试点工作实施方案》和《宁波市公园绿地开放共享管理指引（试行）》，做好共享草坪养护管理，加大垃圾清运频次，完善配套服务设施，劝阻不文明行为，完善应急处理预案，做好人流安全管理。</w:t>
            </w:r>
          </w:p>
        </w:tc>
        <w:tc>
          <w:tcPr>
            <w:tcW w:w="3317" w:type="dxa"/>
            <w:noWrap w:val="0"/>
            <w:vAlign w:val="center"/>
          </w:tcPr>
          <w:p w14:paraId="0B976142">
            <w:pPr>
              <w:jc w:val="both"/>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达到《宁波市城市公园绿地开放共享试点工作实施方案》和《宁波市公园绿地开放共享管理指引（试行）》相关质量要求。</w:t>
            </w:r>
          </w:p>
        </w:tc>
      </w:tr>
      <w:tr w14:paraId="767D5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923" w:type="dxa"/>
            <w:gridSpan w:val="2"/>
            <w:noWrap w:val="0"/>
            <w:vAlign w:val="center"/>
          </w:tcPr>
          <w:p w14:paraId="278428C5">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公园分级分类</w:t>
            </w:r>
          </w:p>
        </w:tc>
        <w:tc>
          <w:tcPr>
            <w:tcW w:w="4106" w:type="dxa"/>
            <w:noWrap w:val="0"/>
            <w:vAlign w:val="center"/>
          </w:tcPr>
          <w:p w14:paraId="006237EF">
            <w:pPr>
              <w:widowControl w:val="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根据《宁波市城市管理局关于进一步做好宁波市城市公园分级分类管理和园长制工作的通知》《宁波市城市公园分级评分标准》做好绿化养护、设施维护、清卫保洁及园容园貌提升、文明游园和服务管理、园艺景观、设施服务、科普和文化展示等内容。</w:t>
            </w:r>
          </w:p>
        </w:tc>
        <w:tc>
          <w:tcPr>
            <w:tcW w:w="3317" w:type="dxa"/>
            <w:noWrap w:val="0"/>
            <w:vAlign w:val="center"/>
          </w:tcPr>
          <w:p w14:paraId="7FEE1CC8">
            <w:pPr>
              <w:jc w:val="both"/>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根据《宁波市城市公园分级评分标准》，达到五星级公园标准，被降星或摘星的，采购人有权无条件解除合同，相关责任和损失由中标人承担。</w:t>
            </w:r>
          </w:p>
        </w:tc>
      </w:tr>
      <w:tr w14:paraId="24531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4" w:hRule="atLeast"/>
          <w:tblHeader/>
          <w:jc w:val="center"/>
        </w:trPr>
        <w:tc>
          <w:tcPr>
            <w:tcW w:w="1923" w:type="dxa"/>
            <w:gridSpan w:val="2"/>
            <w:noWrap w:val="0"/>
            <w:vAlign w:val="center"/>
          </w:tcPr>
          <w:p w14:paraId="5EEED8D7">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安全管理</w:t>
            </w:r>
          </w:p>
        </w:tc>
        <w:tc>
          <w:tcPr>
            <w:tcW w:w="4106" w:type="dxa"/>
            <w:noWrap w:val="0"/>
            <w:vAlign w:val="center"/>
          </w:tcPr>
          <w:p w14:paraId="2617C6E4">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做好公园治安、消防、防盗、反恐防暴、防灾害事故等安全防范工作，保护采购人及入园游客的人身及财产安全，承担公园应急救援，维护游园秩序，对不文明行为及时劝导、说明、纠正，高度警惕各类违法行为苗头，及时发现并配合公安部门制（防）止打架斗殴、敲诈勒索、盗抢诈骗等各类治安或刑事案件。相关责任由中标人承担。</w:t>
            </w:r>
          </w:p>
        </w:tc>
        <w:tc>
          <w:tcPr>
            <w:tcW w:w="3317" w:type="dxa"/>
            <w:noWrap w:val="0"/>
            <w:vAlign w:val="center"/>
          </w:tcPr>
          <w:p w14:paraId="73E0BB2C">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园内安全，游园秩序井然，无不文明现象、无安全事故</w:t>
            </w:r>
          </w:p>
        </w:tc>
      </w:tr>
      <w:tr w14:paraId="099D3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4" w:hRule="atLeast"/>
          <w:tblHeader/>
          <w:jc w:val="center"/>
        </w:trPr>
        <w:tc>
          <w:tcPr>
            <w:tcW w:w="1923" w:type="dxa"/>
            <w:gridSpan w:val="2"/>
            <w:noWrap w:val="0"/>
            <w:vAlign w:val="center"/>
          </w:tcPr>
          <w:p w14:paraId="71447EB5">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lang w:eastAsia="zh-CN"/>
              </w:rPr>
              <w:t>极端气候防护</w:t>
            </w:r>
          </w:p>
        </w:tc>
        <w:tc>
          <w:tcPr>
            <w:tcW w:w="4106" w:type="dxa"/>
            <w:noWrap w:val="0"/>
            <w:vAlign w:val="center"/>
          </w:tcPr>
          <w:p w14:paraId="7A8CBA8B">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预先做好防汛防台防涝以及冰冻雪灾的应急预案和物资准备工作，梅雨、台风季节随时进行安全巡查，发现险情及时处理。</w:t>
            </w:r>
            <w:r>
              <w:rPr>
                <w:rFonts w:hint="eastAsia" w:ascii="宋体" w:hAnsi="宋体" w:eastAsia="宋体" w:cs="宋体"/>
                <w:color w:val="auto"/>
                <w:sz w:val="24"/>
                <w:szCs w:val="24"/>
                <w:highlight w:val="none"/>
                <w:lang w:eastAsia="zh-CN"/>
              </w:rPr>
              <w:t>在</w:t>
            </w:r>
            <w:r>
              <w:rPr>
                <w:rFonts w:hint="eastAsia" w:ascii="宋体" w:hAnsi="宋体" w:eastAsia="宋体" w:cs="宋体"/>
                <w:color w:val="auto"/>
                <w:sz w:val="24"/>
                <w:szCs w:val="24"/>
                <w:highlight w:val="none"/>
              </w:rPr>
              <w:t>台风季节</w:t>
            </w:r>
            <w:r>
              <w:rPr>
                <w:rFonts w:hint="eastAsia" w:ascii="宋体" w:hAnsi="宋体" w:eastAsia="宋体" w:cs="宋体"/>
                <w:color w:val="auto"/>
                <w:sz w:val="24"/>
                <w:szCs w:val="24"/>
                <w:highlight w:val="none"/>
                <w:lang w:eastAsia="zh-CN"/>
              </w:rPr>
              <w:t>做好</w:t>
            </w:r>
            <w:r>
              <w:rPr>
                <w:rFonts w:hint="eastAsia" w:ascii="宋体" w:hAnsi="宋体" w:eastAsia="宋体" w:cs="宋体"/>
                <w:color w:val="auto"/>
                <w:sz w:val="24"/>
                <w:szCs w:val="24"/>
                <w:highlight w:val="none"/>
              </w:rPr>
              <w:t>对高大乔木和抗风能力较差的树种</w:t>
            </w:r>
            <w:r>
              <w:rPr>
                <w:rFonts w:hint="eastAsia" w:ascii="宋体" w:hAnsi="宋体" w:eastAsia="宋体" w:cs="宋体"/>
                <w:color w:val="auto"/>
                <w:sz w:val="24"/>
                <w:szCs w:val="24"/>
                <w:highlight w:val="none"/>
                <w:lang w:eastAsia="zh-CN"/>
              </w:rPr>
              <w:t>的</w:t>
            </w:r>
            <w:r>
              <w:rPr>
                <w:rFonts w:hint="eastAsia" w:ascii="宋体" w:hAnsi="宋体" w:eastAsia="宋体" w:cs="宋体"/>
                <w:color w:val="auto"/>
                <w:sz w:val="24"/>
                <w:szCs w:val="24"/>
                <w:highlight w:val="none"/>
              </w:rPr>
              <w:t>疏枝、</w:t>
            </w:r>
            <w:r>
              <w:rPr>
                <w:rFonts w:hint="eastAsia" w:ascii="宋体" w:hAnsi="宋体" w:eastAsia="宋体" w:cs="宋体"/>
                <w:color w:val="auto"/>
                <w:sz w:val="24"/>
                <w:szCs w:val="24"/>
                <w:highlight w:val="none"/>
                <w:lang w:eastAsia="zh-CN"/>
              </w:rPr>
              <w:t>支撑</w:t>
            </w:r>
            <w:r>
              <w:rPr>
                <w:rFonts w:hint="eastAsia" w:ascii="宋体" w:hAnsi="宋体" w:eastAsia="宋体" w:cs="宋体"/>
                <w:color w:val="auto"/>
                <w:sz w:val="24"/>
                <w:szCs w:val="24"/>
                <w:highlight w:val="none"/>
              </w:rPr>
              <w:t>等加固工作，发生水涝后及时对植物进行排水、遮阴和修剪，冰冻雪灾时对植物进行草包绑扎等防冻措施，并组织人力物力配合做好灾后恢复工作。</w:t>
            </w:r>
          </w:p>
        </w:tc>
        <w:tc>
          <w:tcPr>
            <w:tcW w:w="3317" w:type="dxa"/>
            <w:noWrap w:val="0"/>
            <w:vAlign w:val="center"/>
          </w:tcPr>
          <w:p w14:paraId="7244D935">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及时</w:t>
            </w:r>
            <w:r>
              <w:rPr>
                <w:rFonts w:hint="eastAsia" w:ascii="宋体" w:hAnsi="宋体" w:eastAsia="宋体" w:cs="宋体"/>
                <w:color w:val="auto"/>
                <w:sz w:val="24"/>
                <w:szCs w:val="24"/>
                <w:highlight w:val="none"/>
              </w:rPr>
              <w:t>做好</w:t>
            </w:r>
            <w:r>
              <w:rPr>
                <w:rFonts w:hint="eastAsia" w:ascii="宋体" w:hAnsi="宋体" w:eastAsia="宋体" w:cs="宋体"/>
                <w:color w:val="auto"/>
                <w:sz w:val="24"/>
                <w:szCs w:val="24"/>
                <w:highlight w:val="none"/>
                <w:lang w:eastAsia="zh-CN"/>
              </w:rPr>
              <w:t>各项防护</w:t>
            </w:r>
            <w:r>
              <w:rPr>
                <w:rFonts w:hint="eastAsia" w:ascii="宋体" w:hAnsi="宋体" w:eastAsia="宋体" w:cs="宋体"/>
                <w:color w:val="auto"/>
                <w:sz w:val="24"/>
                <w:szCs w:val="24"/>
                <w:highlight w:val="none"/>
              </w:rPr>
              <w:t>措施</w:t>
            </w:r>
            <w:r>
              <w:rPr>
                <w:rFonts w:hint="eastAsia" w:ascii="宋体" w:hAnsi="宋体" w:eastAsia="宋体" w:cs="宋体"/>
                <w:color w:val="auto"/>
                <w:sz w:val="24"/>
                <w:szCs w:val="24"/>
                <w:highlight w:val="none"/>
                <w:lang w:eastAsia="zh-CN"/>
              </w:rPr>
              <w:t>，确保措施到位</w:t>
            </w:r>
            <w:r>
              <w:rPr>
                <w:rFonts w:hint="eastAsia" w:ascii="宋体" w:hAnsi="宋体" w:eastAsia="宋体" w:cs="宋体"/>
                <w:color w:val="auto"/>
                <w:sz w:val="24"/>
                <w:szCs w:val="24"/>
                <w:highlight w:val="none"/>
              </w:rPr>
              <w:t>，灾后</w:t>
            </w:r>
            <w:r>
              <w:rPr>
                <w:rFonts w:hint="eastAsia" w:ascii="宋体" w:hAnsi="宋体" w:eastAsia="宋体" w:cs="宋体"/>
                <w:color w:val="auto"/>
                <w:sz w:val="24"/>
                <w:szCs w:val="24"/>
                <w:highlight w:val="none"/>
                <w:lang w:eastAsia="zh-CN"/>
              </w:rPr>
              <w:t>第一时间</w:t>
            </w:r>
            <w:r>
              <w:rPr>
                <w:rFonts w:hint="eastAsia" w:ascii="宋体" w:hAnsi="宋体" w:eastAsia="宋体" w:cs="宋体"/>
                <w:color w:val="auto"/>
                <w:sz w:val="24"/>
                <w:szCs w:val="24"/>
                <w:highlight w:val="none"/>
              </w:rPr>
              <w:t>做好恢复工作。</w:t>
            </w:r>
          </w:p>
        </w:tc>
      </w:tr>
      <w:tr w14:paraId="12B44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tblHeader/>
          <w:jc w:val="center"/>
        </w:trPr>
        <w:tc>
          <w:tcPr>
            <w:tcW w:w="1923" w:type="dxa"/>
            <w:gridSpan w:val="2"/>
            <w:noWrap w:val="0"/>
            <w:vAlign w:val="center"/>
          </w:tcPr>
          <w:p w14:paraId="527E5BC5">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rPr>
              <w:t>安全生产</w:t>
            </w:r>
          </w:p>
        </w:tc>
        <w:tc>
          <w:tcPr>
            <w:tcW w:w="4106" w:type="dxa"/>
            <w:noWrap w:val="0"/>
            <w:vAlign w:val="center"/>
          </w:tcPr>
          <w:p w14:paraId="799B2023">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做好安全生产和安全文明作业。督促</w:t>
            </w:r>
            <w:r>
              <w:rPr>
                <w:rFonts w:hint="eastAsia" w:ascii="宋体" w:hAnsi="宋体" w:eastAsia="宋体" w:cs="宋体"/>
                <w:color w:val="auto"/>
                <w:sz w:val="24"/>
                <w:szCs w:val="24"/>
                <w:highlight w:val="none"/>
                <w:lang w:eastAsia="zh-CN"/>
              </w:rPr>
              <w:t>原施工单位</w:t>
            </w:r>
            <w:r>
              <w:rPr>
                <w:rFonts w:hint="eastAsia" w:ascii="宋体" w:hAnsi="宋体" w:eastAsia="宋体" w:cs="宋体"/>
                <w:color w:val="auto"/>
                <w:sz w:val="24"/>
                <w:szCs w:val="24"/>
                <w:highlight w:val="none"/>
              </w:rPr>
              <w:t>安全规范操作</w:t>
            </w:r>
            <w:r>
              <w:rPr>
                <w:rFonts w:hint="eastAsia" w:ascii="宋体" w:hAnsi="宋体" w:eastAsia="宋体" w:cs="宋体"/>
                <w:color w:val="auto"/>
                <w:sz w:val="24"/>
                <w:szCs w:val="24"/>
                <w:highlight w:val="none"/>
                <w:lang w:eastAsia="zh-CN"/>
              </w:rPr>
              <w:t>机械设备及安全使用农药化肥、汽油等物资</w:t>
            </w:r>
            <w:r>
              <w:rPr>
                <w:rFonts w:hint="eastAsia" w:ascii="宋体" w:hAnsi="宋体" w:eastAsia="宋体" w:cs="宋体"/>
                <w:color w:val="auto"/>
                <w:sz w:val="24"/>
                <w:szCs w:val="24"/>
                <w:highlight w:val="none"/>
              </w:rPr>
              <w:t>；对于高温等特殊天气，做好作业人员的劳动保障措施。</w:t>
            </w:r>
          </w:p>
        </w:tc>
        <w:tc>
          <w:tcPr>
            <w:tcW w:w="3317" w:type="dxa"/>
            <w:noWrap w:val="0"/>
            <w:vAlign w:val="center"/>
          </w:tcPr>
          <w:p w14:paraId="0E2C4884">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全年不发生</w:t>
            </w:r>
            <w:r>
              <w:rPr>
                <w:rFonts w:hint="eastAsia" w:ascii="宋体" w:hAnsi="宋体" w:eastAsia="宋体" w:cs="宋体"/>
                <w:color w:val="auto"/>
                <w:sz w:val="24"/>
                <w:szCs w:val="24"/>
                <w:highlight w:val="none"/>
                <w:lang w:eastAsia="zh-CN"/>
              </w:rPr>
              <w:t>各类</w:t>
            </w:r>
            <w:r>
              <w:rPr>
                <w:rFonts w:hint="eastAsia" w:ascii="宋体" w:hAnsi="宋体" w:eastAsia="宋体" w:cs="宋体"/>
                <w:color w:val="auto"/>
                <w:sz w:val="24"/>
                <w:szCs w:val="24"/>
                <w:highlight w:val="none"/>
              </w:rPr>
              <w:t>安全责任事故。</w:t>
            </w:r>
          </w:p>
        </w:tc>
      </w:tr>
      <w:tr w14:paraId="06E7B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923" w:type="dxa"/>
            <w:gridSpan w:val="2"/>
            <w:noWrap w:val="0"/>
            <w:vAlign w:val="center"/>
          </w:tcPr>
          <w:p w14:paraId="2121D0F6">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四害消杀</w:t>
            </w:r>
          </w:p>
        </w:tc>
        <w:tc>
          <w:tcPr>
            <w:tcW w:w="4106" w:type="dxa"/>
            <w:noWrap w:val="0"/>
            <w:vAlign w:val="center"/>
          </w:tcPr>
          <w:p w14:paraId="50ABF190">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每月不少于</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次，每次防治人员不少于2人，使用的药品“三证”齐全。</w:t>
            </w:r>
          </w:p>
        </w:tc>
        <w:tc>
          <w:tcPr>
            <w:tcW w:w="3317" w:type="dxa"/>
            <w:vMerge w:val="restart"/>
            <w:noWrap w:val="0"/>
            <w:vAlign w:val="center"/>
          </w:tcPr>
          <w:p w14:paraId="59D516BC">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四害消杀效果达到国家C级标准，符合爱卫部门相关要求；白蚁防治做到不发生伤人事件，不危害园内建筑、植物等，符合爱卫部门相关要求。</w:t>
            </w:r>
          </w:p>
        </w:tc>
      </w:tr>
      <w:tr w14:paraId="2AAC0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923" w:type="dxa"/>
            <w:gridSpan w:val="2"/>
            <w:noWrap w:val="0"/>
            <w:vAlign w:val="center"/>
          </w:tcPr>
          <w:p w14:paraId="657A8A88">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白蚁防治</w:t>
            </w:r>
          </w:p>
        </w:tc>
        <w:tc>
          <w:tcPr>
            <w:tcW w:w="4106" w:type="dxa"/>
            <w:noWrap w:val="0"/>
            <w:vAlign w:val="center"/>
          </w:tcPr>
          <w:p w14:paraId="6600B6EB">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及时发现及时处理，使用的药品“三证”齐全。</w:t>
            </w:r>
          </w:p>
        </w:tc>
        <w:tc>
          <w:tcPr>
            <w:tcW w:w="3317" w:type="dxa"/>
            <w:vMerge w:val="continue"/>
            <w:noWrap w:val="0"/>
            <w:vAlign w:val="center"/>
          </w:tcPr>
          <w:p w14:paraId="7F4CEAE9">
            <w:pPr>
              <w:rPr>
                <w:rFonts w:hint="eastAsia" w:ascii="宋体" w:hAnsi="宋体" w:eastAsia="宋体" w:cs="宋体"/>
                <w:color w:val="auto"/>
                <w:sz w:val="24"/>
                <w:szCs w:val="24"/>
                <w:highlight w:val="none"/>
              </w:rPr>
            </w:pPr>
          </w:p>
        </w:tc>
      </w:tr>
      <w:tr w14:paraId="38E27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923" w:type="dxa"/>
            <w:gridSpan w:val="2"/>
            <w:noWrap w:val="0"/>
            <w:vAlign w:val="center"/>
          </w:tcPr>
          <w:p w14:paraId="55EF85C6">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外来入侵</w:t>
            </w:r>
          </w:p>
          <w:p w14:paraId="10430B63">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物种防范</w:t>
            </w:r>
          </w:p>
        </w:tc>
        <w:tc>
          <w:tcPr>
            <w:tcW w:w="4106" w:type="dxa"/>
            <w:noWrap w:val="0"/>
            <w:vAlign w:val="center"/>
          </w:tcPr>
          <w:p w14:paraId="527244B8">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根据《重点管理外来入侵物种名录》及时进行防范，发现外来入侵物种及时上报处置。</w:t>
            </w:r>
          </w:p>
        </w:tc>
        <w:tc>
          <w:tcPr>
            <w:tcW w:w="3317" w:type="dxa"/>
            <w:noWrap w:val="0"/>
            <w:vAlign w:val="center"/>
          </w:tcPr>
          <w:p w14:paraId="6BDA8E8B">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及时发现，及时上报处置。</w:t>
            </w:r>
          </w:p>
        </w:tc>
      </w:tr>
      <w:tr w14:paraId="250DB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tblHeader/>
          <w:jc w:val="center"/>
        </w:trPr>
        <w:tc>
          <w:tcPr>
            <w:tcW w:w="1923" w:type="dxa"/>
            <w:gridSpan w:val="2"/>
            <w:noWrap w:val="0"/>
            <w:vAlign w:val="center"/>
          </w:tcPr>
          <w:p w14:paraId="5CB2265E">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节日氛围营造</w:t>
            </w:r>
          </w:p>
        </w:tc>
        <w:tc>
          <w:tcPr>
            <w:tcW w:w="4106" w:type="dxa"/>
            <w:noWrap w:val="0"/>
            <w:vAlign w:val="center"/>
          </w:tcPr>
          <w:p w14:paraId="7350D9F3">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春节、国庆等节假日，在采购人指定的范围进行相关的花卉布置，并根据要求悬挂国旗、灯笼等。</w:t>
            </w:r>
            <w:r>
              <w:rPr>
                <w:rFonts w:hint="eastAsia" w:ascii="宋体" w:hAnsi="宋体" w:eastAsia="宋体" w:cs="宋体"/>
                <w:color w:val="auto"/>
                <w:sz w:val="24"/>
                <w:szCs w:val="24"/>
                <w:highlight w:val="none"/>
              </w:rPr>
              <w:t>节前1个月完成方案设计，节前</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天完成布置</w:t>
            </w:r>
            <w:r>
              <w:rPr>
                <w:rFonts w:hint="eastAsia" w:ascii="宋体" w:hAnsi="宋体" w:eastAsia="宋体" w:cs="宋体"/>
                <w:color w:val="auto"/>
                <w:sz w:val="24"/>
                <w:szCs w:val="24"/>
                <w:highlight w:val="none"/>
                <w:lang w:eastAsia="zh-CN"/>
              </w:rPr>
              <w:t>。</w:t>
            </w:r>
          </w:p>
        </w:tc>
        <w:tc>
          <w:tcPr>
            <w:tcW w:w="3317" w:type="dxa"/>
            <w:noWrap w:val="0"/>
            <w:vAlign w:val="center"/>
          </w:tcPr>
          <w:p w14:paraId="4B4B79A7">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达到高标准景观效果。</w:t>
            </w:r>
          </w:p>
        </w:tc>
      </w:tr>
      <w:tr w14:paraId="27885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tblHeader/>
          <w:jc w:val="center"/>
        </w:trPr>
        <w:tc>
          <w:tcPr>
            <w:tcW w:w="1923" w:type="dxa"/>
            <w:gridSpan w:val="2"/>
            <w:noWrap w:val="0"/>
            <w:vAlign w:val="center"/>
          </w:tcPr>
          <w:p w14:paraId="6649543A">
            <w:pPr>
              <w:keepNext w:val="0"/>
              <w:keepLines w:val="0"/>
              <w:pageBreakBefore w:val="0"/>
              <w:widowControl/>
              <w:kinsoku/>
              <w:wordWrap/>
              <w:overflowPunct/>
              <w:topLinePunct w:val="0"/>
              <w:autoSpaceDE w:val="0"/>
              <w:autoSpaceDN w:val="0"/>
              <w:bidi w:val="0"/>
              <w:adjustRightInd/>
              <w:snapToGrid/>
              <w:spacing w:line="360" w:lineRule="auto"/>
              <w:jc w:val="center"/>
              <w:textAlignment w:val="bottom"/>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台账管理</w:t>
            </w:r>
          </w:p>
        </w:tc>
        <w:tc>
          <w:tcPr>
            <w:tcW w:w="4106" w:type="dxa"/>
            <w:noWrap w:val="0"/>
            <w:vAlign w:val="center"/>
          </w:tcPr>
          <w:p w14:paraId="5E35A3DB">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按时修订、完善、记录、整理、上报各类管理台账</w:t>
            </w:r>
            <w:r>
              <w:rPr>
                <w:rFonts w:hint="eastAsia" w:ascii="宋体" w:hAnsi="宋体" w:eastAsia="宋体" w:cs="宋体"/>
                <w:color w:val="auto"/>
                <w:sz w:val="24"/>
                <w:szCs w:val="24"/>
                <w:highlight w:val="none"/>
                <w:lang w:eastAsia="zh-CN"/>
              </w:rPr>
              <w:t>。</w:t>
            </w:r>
          </w:p>
        </w:tc>
        <w:tc>
          <w:tcPr>
            <w:tcW w:w="3317" w:type="dxa"/>
            <w:noWrap w:val="0"/>
            <w:vAlign w:val="center"/>
          </w:tcPr>
          <w:p w14:paraId="00A697CD">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确保</w:t>
            </w:r>
            <w:r>
              <w:rPr>
                <w:rFonts w:hint="eastAsia" w:ascii="宋体" w:hAnsi="宋体" w:eastAsia="宋体" w:cs="宋体"/>
                <w:color w:val="auto"/>
                <w:sz w:val="24"/>
                <w:szCs w:val="24"/>
                <w:highlight w:val="none"/>
                <w:lang w:eastAsia="zh-CN"/>
              </w:rPr>
              <w:t>根据采购人要求，</w:t>
            </w:r>
            <w:r>
              <w:rPr>
                <w:rFonts w:hint="eastAsia" w:ascii="宋体" w:hAnsi="宋体" w:eastAsia="宋体" w:cs="宋体"/>
                <w:color w:val="auto"/>
                <w:sz w:val="24"/>
                <w:szCs w:val="24"/>
                <w:highlight w:val="none"/>
              </w:rPr>
              <w:t>按时修订、完善、记录、整理、上报各类管理台账</w:t>
            </w:r>
            <w:r>
              <w:rPr>
                <w:rFonts w:hint="eastAsia" w:ascii="宋体" w:hAnsi="宋体" w:eastAsia="宋体" w:cs="宋体"/>
                <w:color w:val="auto"/>
                <w:sz w:val="24"/>
                <w:szCs w:val="24"/>
                <w:highlight w:val="none"/>
                <w:lang w:eastAsia="zh-CN"/>
              </w:rPr>
              <w:t>。</w:t>
            </w:r>
          </w:p>
        </w:tc>
      </w:tr>
    </w:tbl>
    <w:p w14:paraId="28566414">
      <w:pPr>
        <w:widowControl/>
        <w:tabs>
          <w:tab w:val="left" w:pos="851"/>
        </w:tabs>
        <w:adjustRightInd/>
        <w:spacing w:line="360" w:lineRule="auto"/>
        <w:ind w:firstLine="482" w:firstLineChars="200"/>
        <w:rPr>
          <w:rFonts w:hint="eastAsia"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（三）设施维护要求</w:t>
      </w:r>
    </w:p>
    <w:p w14:paraId="72BD8873">
      <w:pPr>
        <w:widowControl/>
        <w:tabs>
          <w:tab w:val="left" w:pos="851"/>
        </w:tabs>
        <w:adjustRightInd/>
        <w:spacing w:line="360" w:lineRule="auto"/>
        <w:ind w:firstLine="482" w:firstLineChars="200"/>
        <w:rPr>
          <w:rFonts w:hint="eastAsia"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（1）公共厕所</w:t>
      </w:r>
    </w:p>
    <w:p w14:paraId="3E354EDF">
      <w:pPr>
        <w:widowControl/>
        <w:tabs>
          <w:tab w:val="left" w:pos="851"/>
        </w:tabs>
        <w:adjustRightInd/>
        <w:spacing w:line="360" w:lineRule="auto"/>
        <w:ind w:firstLine="482" w:firstLineChars="200"/>
        <w:rPr>
          <w:rFonts w:hint="default"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①公厕开放要求</w:t>
      </w:r>
    </w:p>
    <w:tbl>
      <w:tblPr>
        <w:tblStyle w:val="62"/>
        <w:tblW w:w="107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449"/>
        <w:gridCol w:w="1009"/>
        <w:gridCol w:w="883"/>
        <w:gridCol w:w="867"/>
        <w:gridCol w:w="835"/>
        <w:gridCol w:w="881"/>
        <w:gridCol w:w="884"/>
        <w:gridCol w:w="866"/>
        <w:gridCol w:w="900"/>
        <w:gridCol w:w="850"/>
        <w:gridCol w:w="918"/>
      </w:tblGrid>
      <w:tr w14:paraId="261BC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27" w:type="dxa"/>
            <w:vMerge w:val="restart"/>
            <w:vAlign w:val="center"/>
          </w:tcPr>
          <w:p w14:paraId="0565C5B6">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序号</w:t>
            </w:r>
          </w:p>
        </w:tc>
        <w:tc>
          <w:tcPr>
            <w:tcW w:w="1449" w:type="dxa"/>
            <w:vMerge w:val="restart"/>
            <w:vAlign w:val="center"/>
          </w:tcPr>
          <w:p w14:paraId="17FD5EE5">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公厕名称</w:t>
            </w:r>
          </w:p>
        </w:tc>
        <w:tc>
          <w:tcPr>
            <w:tcW w:w="1009" w:type="dxa"/>
            <w:vMerge w:val="restart"/>
            <w:vAlign w:val="center"/>
          </w:tcPr>
          <w:p w14:paraId="1A3E92D7">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总面积</w:t>
            </w:r>
          </w:p>
          <w:p w14:paraId="61869331">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w:t>
            </w:r>
          </w:p>
        </w:tc>
        <w:tc>
          <w:tcPr>
            <w:tcW w:w="7884" w:type="dxa"/>
            <w:gridSpan w:val="9"/>
            <w:vAlign w:val="center"/>
          </w:tcPr>
          <w:p w14:paraId="68D60701">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其中</w:t>
            </w:r>
          </w:p>
        </w:tc>
      </w:tr>
      <w:tr w14:paraId="57CBC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27" w:type="dxa"/>
            <w:vMerge w:val="continue"/>
            <w:vAlign w:val="center"/>
          </w:tcPr>
          <w:p w14:paraId="7D688E68">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p>
        </w:tc>
        <w:tc>
          <w:tcPr>
            <w:tcW w:w="1449" w:type="dxa"/>
            <w:vMerge w:val="continue"/>
            <w:vAlign w:val="center"/>
          </w:tcPr>
          <w:p w14:paraId="33F5A44B">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p>
        </w:tc>
        <w:tc>
          <w:tcPr>
            <w:tcW w:w="1009" w:type="dxa"/>
            <w:vMerge w:val="continue"/>
            <w:vAlign w:val="center"/>
          </w:tcPr>
          <w:p w14:paraId="3C677FDB">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p>
        </w:tc>
        <w:tc>
          <w:tcPr>
            <w:tcW w:w="2585" w:type="dxa"/>
            <w:gridSpan w:val="3"/>
            <w:vAlign w:val="center"/>
          </w:tcPr>
          <w:p w14:paraId="3DFB6990">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男厕</w:t>
            </w:r>
          </w:p>
        </w:tc>
        <w:tc>
          <w:tcPr>
            <w:tcW w:w="1765" w:type="dxa"/>
            <w:gridSpan w:val="2"/>
            <w:vAlign w:val="center"/>
          </w:tcPr>
          <w:p w14:paraId="212DFDB8">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女厕</w:t>
            </w:r>
          </w:p>
        </w:tc>
        <w:tc>
          <w:tcPr>
            <w:tcW w:w="866" w:type="dxa"/>
            <w:vMerge w:val="restart"/>
            <w:vAlign w:val="center"/>
          </w:tcPr>
          <w:p w14:paraId="1D2B2A70">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工具房面积</w:t>
            </w:r>
          </w:p>
          <w:p w14:paraId="7A35EE16">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w:t>
            </w:r>
          </w:p>
        </w:tc>
        <w:tc>
          <w:tcPr>
            <w:tcW w:w="900" w:type="dxa"/>
            <w:vMerge w:val="restart"/>
            <w:vAlign w:val="center"/>
          </w:tcPr>
          <w:p w14:paraId="484FFE2C">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母婴室面积（㎡）</w:t>
            </w:r>
          </w:p>
        </w:tc>
        <w:tc>
          <w:tcPr>
            <w:tcW w:w="850" w:type="dxa"/>
            <w:vMerge w:val="restart"/>
            <w:vAlign w:val="center"/>
          </w:tcPr>
          <w:p w14:paraId="70570924">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第三卫生间（㎡）</w:t>
            </w:r>
          </w:p>
        </w:tc>
        <w:tc>
          <w:tcPr>
            <w:tcW w:w="918" w:type="dxa"/>
            <w:vMerge w:val="restart"/>
            <w:vAlign w:val="center"/>
          </w:tcPr>
          <w:p w14:paraId="13AA0DB8">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残疾人厕所（㎡）</w:t>
            </w:r>
          </w:p>
        </w:tc>
      </w:tr>
      <w:tr w14:paraId="02C1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427" w:type="dxa"/>
            <w:vMerge w:val="continue"/>
            <w:vAlign w:val="center"/>
          </w:tcPr>
          <w:p w14:paraId="119AAA26">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p>
        </w:tc>
        <w:tc>
          <w:tcPr>
            <w:tcW w:w="1449" w:type="dxa"/>
            <w:vMerge w:val="continue"/>
            <w:vAlign w:val="center"/>
          </w:tcPr>
          <w:p w14:paraId="2517C5C8">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p>
        </w:tc>
        <w:tc>
          <w:tcPr>
            <w:tcW w:w="1009" w:type="dxa"/>
            <w:vMerge w:val="continue"/>
            <w:vAlign w:val="center"/>
          </w:tcPr>
          <w:p w14:paraId="5FDD1295">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p>
        </w:tc>
        <w:tc>
          <w:tcPr>
            <w:tcW w:w="883" w:type="dxa"/>
            <w:vAlign w:val="center"/>
          </w:tcPr>
          <w:p w14:paraId="708133BD">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面积（㎡）</w:t>
            </w:r>
          </w:p>
        </w:tc>
        <w:tc>
          <w:tcPr>
            <w:tcW w:w="867" w:type="dxa"/>
            <w:vAlign w:val="center"/>
          </w:tcPr>
          <w:p w14:paraId="6828DA6C">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小便斗（个）</w:t>
            </w:r>
          </w:p>
        </w:tc>
        <w:tc>
          <w:tcPr>
            <w:tcW w:w="835" w:type="dxa"/>
            <w:vAlign w:val="center"/>
          </w:tcPr>
          <w:p w14:paraId="4B05F83B">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蹲位（个）</w:t>
            </w:r>
          </w:p>
        </w:tc>
        <w:tc>
          <w:tcPr>
            <w:tcW w:w="881" w:type="dxa"/>
            <w:vAlign w:val="center"/>
          </w:tcPr>
          <w:p w14:paraId="1CA8F967">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面积（㎡）</w:t>
            </w:r>
          </w:p>
        </w:tc>
        <w:tc>
          <w:tcPr>
            <w:tcW w:w="884" w:type="dxa"/>
            <w:vAlign w:val="center"/>
          </w:tcPr>
          <w:p w14:paraId="4FD9BEAE">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蹲位</w:t>
            </w:r>
          </w:p>
          <w:p w14:paraId="48C9F63E">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（个）</w:t>
            </w:r>
          </w:p>
        </w:tc>
        <w:tc>
          <w:tcPr>
            <w:tcW w:w="866" w:type="dxa"/>
            <w:vMerge w:val="continue"/>
            <w:vAlign w:val="center"/>
          </w:tcPr>
          <w:p w14:paraId="08BEC476">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color w:val="auto"/>
                <w:kern w:val="2"/>
                <w:sz w:val="24"/>
                <w:szCs w:val="24"/>
                <w:highlight w:val="none"/>
                <w:lang w:val="en-US" w:eastAsia="zh-CN" w:bidi="ar-SA"/>
              </w:rPr>
            </w:pPr>
          </w:p>
        </w:tc>
        <w:tc>
          <w:tcPr>
            <w:tcW w:w="900" w:type="dxa"/>
            <w:vMerge w:val="continue"/>
            <w:vAlign w:val="center"/>
          </w:tcPr>
          <w:p w14:paraId="12947DFB">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color w:val="auto"/>
                <w:kern w:val="2"/>
                <w:sz w:val="24"/>
                <w:szCs w:val="24"/>
                <w:highlight w:val="none"/>
                <w:lang w:val="en-US" w:eastAsia="zh-CN" w:bidi="ar-SA"/>
              </w:rPr>
            </w:pPr>
          </w:p>
        </w:tc>
        <w:tc>
          <w:tcPr>
            <w:tcW w:w="850" w:type="dxa"/>
            <w:vMerge w:val="continue"/>
            <w:vAlign w:val="center"/>
          </w:tcPr>
          <w:p w14:paraId="7083B4E6">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color w:val="auto"/>
                <w:kern w:val="2"/>
                <w:sz w:val="24"/>
                <w:szCs w:val="24"/>
                <w:highlight w:val="none"/>
                <w:lang w:val="en-US" w:eastAsia="zh-CN" w:bidi="ar-SA"/>
              </w:rPr>
            </w:pPr>
          </w:p>
        </w:tc>
        <w:tc>
          <w:tcPr>
            <w:tcW w:w="918" w:type="dxa"/>
            <w:vMerge w:val="continue"/>
            <w:vAlign w:val="center"/>
          </w:tcPr>
          <w:p w14:paraId="2336A9B4">
            <w:pPr>
              <w:keepNext w:val="0"/>
              <w:keepLines w:val="0"/>
              <w:pageBreakBefore w:val="0"/>
              <w:widowControl w:val="0"/>
              <w:kinsoku/>
              <w:wordWrap/>
              <w:overflowPunct/>
              <w:topLinePunct w:val="0"/>
              <w:bidi w:val="0"/>
              <w:adjustRightInd w:val="0"/>
              <w:snapToGrid/>
              <w:spacing w:beforeAutospacing="0" w:afterAutospacing="0"/>
              <w:ind w:right="0" w:firstLine="0" w:firstLineChars="0"/>
              <w:jc w:val="center"/>
              <w:textAlignment w:val="auto"/>
              <w:rPr>
                <w:rFonts w:hint="eastAsia" w:ascii="宋体" w:hAnsi="宋体" w:eastAsia="宋体" w:cs="宋体"/>
                <w:color w:val="auto"/>
                <w:kern w:val="2"/>
                <w:sz w:val="24"/>
                <w:szCs w:val="24"/>
                <w:highlight w:val="none"/>
                <w:lang w:val="en-US" w:eastAsia="zh-CN" w:bidi="ar-SA"/>
              </w:rPr>
            </w:pPr>
          </w:p>
        </w:tc>
      </w:tr>
      <w:tr w14:paraId="6F7C2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427" w:type="dxa"/>
            <w:vAlign w:val="center"/>
          </w:tcPr>
          <w:p w14:paraId="008F754D">
            <w:pPr>
              <w:keepNext w:val="0"/>
              <w:keepLines w:val="0"/>
              <w:pageBreakBefore w:val="0"/>
              <w:widowControl w:val="0"/>
              <w:kinsoku/>
              <w:wordWrap/>
              <w:overflowPunct/>
              <w:topLinePunct w:val="0"/>
              <w:bidi w:val="0"/>
              <w:adjustRightInd/>
              <w:snapToGrid/>
              <w:spacing w:beforeAutospacing="0" w:afterAutospacing="0"/>
              <w:ind w:right="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w:t>
            </w:r>
          </w:p>
        </w:tc>
        <w:tc>
          <w:tcPr>
            <w:tcW w:w="1449" w:type="dxa"/>
            <w:vAlign w:val="center"/>
          </w:tcPr>
          <w:p w14:paraId="55EB526C">
            <w:pPr>
              <w:keepNext w:val="0"/>
              <w:keepLines w:val="0"/>
              <w:pageBreakBefore w:val="0"/>
              <w:widowControl w:val="0"/>
              <w:kinsoku/>
              <w:wordWrap/>
              <w:overflowPunct/>
              <w:topLinePunct w:val="0"/>
              <w:bidi w:val="0"/>
              <w:adjustRightInd/>
              <w:snapToGrid/>
              <w:spacing w:beforeAutospacing="0" w:afterAutospacing="0" w:line="360" w:lineRule="auto"/>
              <w:ind w:right="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儿童公厕</w:t>
            </w:r>
          </w:p>
        </w:tc>
        <w:tc>
          <w:tcPr>
            <w:tcW w:w="1009" w:type="dxa"/>
            <w:vAlign w:val="center"/>
          </w:tcPr>
          <w:p w14:paraId="3A6B9267">
            <w:pPr>
              <w:keepNext w:val="0"/>
              <w:keepLines w:val="0"/>
              <w:pageBreakBefore w:val="0"/>
              <w:widowControl w:val="0"/>
              <w:kinsoku/>
              <w:wordWrap/>
              <w:overflowPunct/>
              <w:topLinePunct w:val="0"/>
              <w:bidi w:val="0"/>
              <w:snapToGrid/>
              <w:spacing w:beforeAutospacing="0" w:afterAutospacing="0" w:line="240" w:lineRule="auto"/>
              <w:ind w:right="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219.26</w:t>
            </w:r>
          </w:p>
        </w:tc>
        <w:tc>
          <w:tcPr>
            <w:tcW w:w="883" w:type="dxa"/>
            <w:vAlign w:val="center"/>
          </w:tcPr>
          <w:p w14:paraId="79FCEEE7">
            <w:pPr>
              <w:keepNext w:val="0"/>
              <w:keepLines w:val="0"/>
              <w:pageBreakBefore w:val="0"/>
              <w:widowControl w:val="0"/>
              <w:kinsoku/>
              <w:wordWrap/>
              <w:overflowPunct/>
              <w:topLinePunct w:val="0"/>
              <w:bidi w:val="0"/>
              <w:adjustRightInd/>
              <w:snapToGrid/>
              <w:spacing w:beforeAutospacing="0" w:afterAutospacing="0" w:line="240" w:lineRule="auto"/>
              <w:ind w:right="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27.05</w:t>
            </w:r>
          </w:p>
        </w:tc>
        <w:tc>
          <w:tcPr>
            <w:tcW w:w="867" w:type="dxa"/>
            <w:vAlign w:val="center"/>
          </w:tcPr>
          <w:p w14:paraId="40B37AE4">
            <w:pPr>
              <w:keepNext w:val="0"/>
              <w:keepLines w:val="0"/>
              <w:pageBreakBefore w:val="0"/>
              <w:widowControl w:val="0"/>
              <w:kinsoku/>
              <w:wordWrap/>
              <w:overflowPunct/>
              <w:topLinePunct w:val="0"/>
              <w:bidi w:val="0"/>
              <w:adjustRightInd/>
              <w:snapToGrid/>
              <w:spacing w:beforeAutospacing="0" w:afterAutospacing="0" w:line="240" w:lineRule="auto"/>
              <w:ind w:right="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w:t>
            </w:r>
          </w:p>
        </w:tc>
        <w:tc>
          <w:tcPr>
            <w:tcW w:w="835" w:type="dxa"/>
            <w:vAlign w:val="center"/>
          </w:tcPr>
          <w:p w14:paraId="46A52C19">
            <w:pPr>
              <w:keepNext w:val="0"/>
              <w:keepLines w:val="0"/>
              <w:pageBreakBefore w:val="0"/>
              <w:widowControl w:val="0"/>
              <w:kinsoku/>
              <w:wordWrap/>
              <w:overflowPunct/>
              <w:topLinePunct w:val="0"/>
              <w:bidi w:val="0"/>
              <w:adjustRightInd/>
              <w:snapToGrid/>
              <w:spacing w:beforeAutospacing="0" w:afterAutospacing="0" w:line="240" w:lineRule="auto"/>
              <w:ind w:right="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4</w:t>
            </w:r>
          </w:p>
        </w:tc>
        <w:tc>
          <w:tcPr>
            <w:tcW w:w="881" w:type="dxa"/>
            <w:vAlign w:val="center"/>
          </w:tcPr>
          <w:p w14:paraId="052BA7A6">
            <w:pPr>
              <w:keepNext w:val="0"/>
              <w:keepLines w:val="0"/>
              <w:pageBreakBefore w:val="0"/>
              <w:widowControl w:val="0"/>
              <w:kinsoku/>
              <w:wordWrap/>
              <w:overflowPunct/>
              <w:topLinePunct w:val="0"/>
              <w:bidi w:val="0"/>
              <w:adjustRightInd/>
              <w:snapToGrid/>
              <w:spacing w:beforeAutospacing="0" w:afterAutospacing="0" w:line="240" w:lineRule="auto"/>
              <w:ind w:right="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30.67</w:t>
            </w:r>
          </w:p>
        </w:tc>
        <w:tc>
          <w:tcPr>
            <w:tcW w:w="884" w:type="dxa"/>
            <w:vAlign w:val="center"/>
          </w:tcPr>
          <w:p w14:paraId="1D2F22AF">
            <w:pPr>
              <w:keepNext w:val="0"/>
              <w:keepLines w:val="0"/>
              <w:pageBreakBefore w:val="0"/>
              <w:widowControl w:val="0"/>
              <w:kinsoku/>
              <w:wordWrap/>
              <w:overflowPunct/>
              <w:topLinePunct w:val="0"/>
              <w:bidi w:val="0"/>
              <w:adjustRightInd/>
              <w:snapToGrid/>
              <w:spacing w:beforeAutospacing="0" w:afterAutospacing="0" w:line="240" w:lineRule="auto"/>
              <w:ind w:right="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8</w:t>
            </w:r>
          </w:p>
        </w:tc>
        <w:tc>
          <w:tcPr>
            <w:tcW w:w="866" w:type="dxa"/>
            <w:vAlign w:val="center"/>
          </w:tcPr>
          <w:p w14:paraId="6D1A93A3">
            <w:pPr>
              <w:keepNext w:val="0"/>
              <w:keepLines w:val="0"/>
              <w:pageBreakBefore w:val="0"/>
              <w:widowControl w:val="0"/>
              <w:kinsoku/>
              <w:wordWrap/>
              <w:overflowPunct/>
              <w:topLinePunct w:val="0"/>
              <w:bidi w:val="0"/>
              <w:adjustRightInd/>
              <w:snapToGrid/>
              <w:spacing w:beforeAutospacing="0" w:afterAutospacing="0" w:line="240" w:lineRule="auto"/>
              <w:ind w:right="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w:t>
            </w:r>
          </w:p>
        </w:tc>
        <w:tc>
          <w:tcPr>
            <w:tcW w:w="900" w:type="dxa"/>
            <w:vAlign w:val="center"/>
          </w:tcPr>
          <w:p w14:paraId="7FFA9F77">
            <w:pPr>
              <w:keepNext w:val="0"/>
              <w:keepLines w:val="0"/>
              <w:pageBreakBefore w:val="0"/>
              <w:widowControl w:val="0"/>
              <w:kinsoku/>
              <w:wordWrap/>
              <w:overflowPunct/>
              <w:topLinePunct w:val="0"/>
              <w:bidi w:val="0"/>
              <w:adjustRightInd/>
              <w:snapToGrid/>
              <w:spacing w:beforeAutospacing="0" w:afterAutospacing="0" w:line="240" w:lineRule="auto"/>
              <w:ind w:right="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17.5</w:t>
            </w:r>
          </w:p>
        </w:tc>
        <w:tc>
          <w:tcPr>
            <w:tcW w:w="850" w:type="dxa"/>
            <w:vAlign w:val="center"/>
          </w:tcPr>
          <w:p w14:paraId="1FA05FBA">
            <w:pPr>
              <w:keepNext w:val="0"/>
              <w:keepLines w:val="0"/>
              <w:pageBreakBefore w:val="0"/>
              <w:widowControl w:val="0"/>
              <w:kinsoku/>
              <w:wordWrap/>
              <w:overflowPunct/>
              <w:topLinePunct w:val="0"/>
              <w:bidi w:val="0"/>
              <w:adjustRightInd/>
              <w:snapToGrid/>
              <w:spacing w:beforeAutospacing="0" w:afterAutospacing="0" w:line="240" w:lineRule="auto"/>
              <w:ind w:right="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5.39</w:t>
            </w:r>
          </w:p>
        </w:tc>
        <w:tc>
          <w:tcPr>
            <w:tcW w:w="918" w:type="dxa"/>
            <w:vAlign w:val="center"/>
          </w:tcPr>
          <w:p w14:paraId="65665BEC">
            <w:pPr>
              <w:keepNext w:val="0"/>
              <w:keepLines w:val="0"/>
              <w:pageBreakBefore w:val="0"/>
              <w:widowControl w:val="0"/>
              <w:kinsoku/>
              <w:wordWrap/>
              <w:overflowPunct/>
              <w:topLinePunct w:val="0"/>
              <w:bidi w:val="0"/>
              <w:adjustRightInd/>
              <w:snapToGrid/>
              <w:spacing w:beforeAutospacing="0" w:afterAutospacing="0" w:line="240" w:lineRule="auto"/>
              <w:ind w:right="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5.39</w:t>
            </w:r>
          </w:p>
        </w:tc>
      </w:tr>
      <w:tr w14:paraId="5C16F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27" w:type="dxa"/>
            <w:vAlign w:val="center"/>
          </w:tcPr>
          <w:p w14:paraId="23A3C650">
            <w:pPr>
              <w:keepNext w:val="0"/>
              <w:keepLines w:val="0"/>
              <w:pageBreakBefore w:val="0"/>
              <w:widowControl w:val="0"/>
              <w:kinsoku/>
              <w:wordWrap/>
              <w:overflowPunct/>
              <w:topLinePunct w:val="0"/>
              <w:bidi w:val="0"/>
              <w:adjustRightInd/>
              <w:snapToGrid/>
              <w:spacing w:beforeAutospacing="0" w:afterAutospacing="0"/>
              <w:ind w:right="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相关说明</w:t>
            </w:r>
          </w:p>
        </w:tc>
        <w:tc>
          <w:tcPr>
            <w:tcW w:w="10342" w:type="dxa"/>
            <w:gridSpan w:val="11"/>
            <w:vAlign w:val="center"/>
          </w:tcPr>
          <w:p w14:paraId="184C258B">
            <w:pP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1.公厕开放时间：儿童公园公厕第三卫生间（同残疾人</w:t>
            </w:r>
            <w:r>
              <w:rPr>
                <w:rFonts w:hint="eastAsia" w:ascii="宋体" w:hAnsi="宋体" w:eastAsia="宋体" w:cs="宋体"/>
                <w:color w:val="auto"/>
                <w:sz w:val="24"/>
                <w:szCs w:val="24"/>
                <w:highlight w:val="none"/>
                <w:lang w:val="en-US" w:eastAsia="zh-CN"/>
              </w:rPr>
              <w:t>卫生间</w:t>
            </w:r>
            <w:r>
              <w:rPr>
                <w:rFonts w:hint="eastAsia" w:ascii="宋体" w:hAnsi="宋体" w:eastAsia="宋体" w:cs="宋体"/>
                <w:bCs/>
                <w:color w:val="auto"/>
                <w:kern w:val="2"/>
                <w:sz w:val="24"/>
                <w:szCs w:val="24"/>
                <w:highlight w:val="none"/>
                <w:lang w:val="en-US" w:eastAsia="zh-CN" w:bidi="ar-SA"/>
              </w:rPr>
              <w:t>）24小时开放，其余开放时间为冬季（12-3月）：9-17点/夏季（4-11月）：9-20点；</w:t>
            </w:r>
          </w:p>
          <w:p w14:paraId="30DFD2F2">
            <w:pPr>
              <w:widowControl w:val="0"/>
              <w:spacing w:line="240" w:lineRule="auto"/>
              <w:jc w:val="both"/>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0"/>
                <w:sz w:val="24"/>
                <w:szCs w:val="24"/>
                <w:highlight w:val="none"/>
                <w:lang w:val="en-US" w:eastAsia="zh-CN" w:bidi="ar-SA"/>
              </w:rPr>
              <w:t>2.公厕保洁时间：</w:t>
            </w:r>
            <w:r>
              <w:rPr>
                <w:rFonts w:hint="eastAsia" w:ascii="宋体" w:hAnsi="宋体" w:eastAsia="宋体" w:cs="宋体"/>
                <w:b w:val="0"/>
                <w:bCs/>
                <w:color w:val="auto"/>
                <w:kern w:val="2"/>
                <w:sz w:val="24"/>
                <w:szCs w:val="24"/>
                <w:highlight w:val="none"/>
                <w:lang w:val="en-US" w:eastAsia="zh-CN" w:bidi="ar-SA"/>
              </w:rPr>
              <w:t>具体见岗位设置要求</w:t>
            </w:r>
          </w:p>
          <w:p w14:paraId="4EBDE566">
            <w:pPr>
              <w:widowControl w:val="0"/>
              <w:ind w:firstLine="0" w:firstLineChars="0"/>
              <w:jc w:val="both"/>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3</w:t>
            </w:r>
            <w:r>
              <w:rPr>
                <w:rFonts w:hint="eastAsia" w:ascii="宋体" w:hAnsi="宋体" w:eastAsia="宋体" w:cs="宋体"/>
                <w:b w:val="0"/>
                <w:bCs/>
                <w:color w:val="auto"/>
                <w:kern w:val="0"/>
                <w:sz w:val="24"/>
                <w:szCs w:val="24"/>
                <w:highlight w:val="none"/>
                <w:lang w:val="en-US" w:eastAsia="zh-CN" w:bidi="ar-SA"/>
              </w:rPr>
              <w:t>.</w:t>
            </w:r>
            <w:r>
              <w:rPr>
                <w:rFonts w:hint="eastAsia" w:ascii="宋体" w:hAnsi="宋体" w:eastAsia="宋体" w:cs="宋体"/>
                <w:bCs/>
                <w:color w:val="auto"/>
                <w:kern w:val="2"/>
                <w:sz w:val="24"/>
                <w:szCs w:val="24"/>
                <w:highlight w:val="none"/>
                <w:lang w:val="en-US" w:eastAsia="zh-CN" w:bidi="ar-SA"/>
              </w:rPr>
              <w:t>厕位计算：</w:t>
            </w:r>
          </w:p>
          <w:p w14:paraId="7F952860">
            <w:pPr>
              <w:widowControl w:val="0"/>
              <w:ind w:firstLine="0" w:firstLineChars="0"/>
              <w:jc w:val="both"/>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1）配有母婴室的公厕按每1个母婴室等同于2个厕位；</w:t>
            </w:r>
          </w:p>
          <w:p w14:paraId="54170389">
            <w:pPr>
              <w:widowControl w:val="0"/>
              <w:ind w:firstLine="0" w:firstLineChars="0"/>
              <w:jc w:val="both"/>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2）配有第三卫生间的公厕按每1个第三卫生间等同于3个厕位；</w:t>
            </w:r>
          </w:p>
          <w:p w14:paraId="403311E3">
            <w:pP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3）男厕两个小便斗（包括成人及儿童）按等同于1个厕位蹲位；</w:t>
            </w:r>
          </w:p>
          <w:p w14:paraId="2205C62D">
            <w:pP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4.达到四星级标准。</w:t>
            </w:r>
          </w:p>
          <w:p w14:paraId="5DD96BB6">
            <w:pPr>
              <w:rPr>
                <w:rFonts w:hint="default"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5.实际合同执行过程中，若因厕所封停、改建等需要核减经费时，需根据设施量清单相应核减金额。</w:t>
            </w:r>
          </w:p>
        </w:tc>
      </w:tr>
    </w:tbl>
    <w:p w14:paraId="02BB16A4">
      <w:pPr>
        <w:widowControl/>
        <w:tabs>
          <w:tab w:val="left" w:pos="851"/>
        </w:tabs>
        <w:adjustRightInd/>
        <w:spacing w:line="360" w:lineRule="auto"/>
        <w:ind w:firstLine="482" w:firstLineChars="200"/>
        <w:rPr>
          <w:rFonts w:hint="default"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②厕间开放要求</w:t>
      </w:r>
    </w:p>
    <w:tbl>
      <w:tblPr>
        <w:tblStyle w:val="62"/>
        <w:tblW w:w="10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4"/>
        <w:gridCol w:w="2813"/>
        <w:gridCol w:w="883"/>
        <w:gridCol w:w="963"/>
        <w:gridCol w:w="906"/>
        <w:gridCol w:w="4947"/>
      </w:tblGrid>
      <w:tr w14:paraId="575EB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5" w:hRule="atLeast"/>
          <w:jc w:val="center"/>
        </w:trPr>
        <w:tc>
          <w:tcPr>
            <w:tcW w:w="404" w:type="dxa"/>
            <w:vAlign w:val="center"/>
          </w:tcPr>
          <w:p w14:paraId="71BEDD3D">
            <w:pPr>
              <w:widowControl w:val="0"/>
              <w:ind w:firstLine="0" w:firstLineChars="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序号</w:t>
            </w:r>
          </w:p>
        </w:tc>
        <w:tc>
          <w:tcPr>
            <w:tcW w:w="2813" w:type="dxa"/>
            <w:vAlign w:val="center"/>
          </w:tcPr>
          <w:p w14:paraId="3A8277FB">
            <w:pPr>
              <w:widowControl w:val="0"/>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厕间名称</w:t>
            </w:r>
          </w:p>
        </w:tc>
        <w:tc>
          <w:tcPr>
            <w:tcW w:w="883" w:type="dxa"/>
            <w:vAlign w:val="center"/>
          </w:tcPr>
          <w:p w14:paraId="7600E578">
            <w:pPr>
              <w:widowControl w:val="0"/>
              <w:autoSpaceDE w:val="0"/>
              <w:autoSpaceDN w:val="0"/>
              <w:spacing w:line="240" w:lineRule="auto"/>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男厕蹲位（个）</w:t>
            </w:r>
          </w:p>
        </w:tc>
        <w:tc>
          <w:tcPr>
            <w:tcW w:w="963" w:type="dxa"/>
            <w:vAlign w:val="center"/>
          </w:tcPr>
          <w:p w14:paraId="62FF482C">
            <w:pPr>
              <w:widowControl w:val="0"/>
              <w:autoSpaceDE w:val="0"/>
              <w:autoSpaceDN w:val="0"/>
              <w:spacing w:line="240" w:lineRule="auto"/>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小便斗（个）</w:t>
            </w:r>
          </w:p>
        </w:tc>
        <w:tc>
          <w:tcPr>
            <w:tcW w:w="906" w:type="dxa"/>
            <w:vAlign w:val="center"/>
          </w:tcPr>
          <w:p w14:paraId="27100A60">
            <w:pPr>
              <w:widowControl w:val="0"/>
              <w:autoSpaceDE w:val="0"/>
              <w:autoSpaceDN w:val="0"/>
              <w:spacing w:line="240" w:lineRule="auto"/>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女厕蹲位（个）</w:t>
            </w:r>
          </w:p>
        </w:tc>
        <w:tc>
          <w:tcPr>
            <w:tcW w:w="4947" w:type="dxa"/>
            <w:vAlign w:val="center"/>
          </w:tcPr>
          <w:p w14:paraId="31901582">
            <w:pPr>
              <w:widowControl/>
              <w:adjustRightInd/>
              <w:ind w:firstLine="0" w:firstLineChars="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备注</w:t>
            </w:r>
          </w:p>
        </w:tc>
      </w:tr>
      <w:tr w14:paraId="1EA18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404" w:type="dxa"/>
            <w:vAlign w:val="center"/>
          </w:tcPr>
          <w:p w14:paraId="7F123F18">
            <w:pPr>
              <w:widowControl w:val="0"/>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w:t>
            </w:r>
          </w:p>
        </w:tc>
        <w:tc>
          <w:tcPr>
            <w:tcW w:w="2813" w:type="dxa"/>
            <w:vAlign w:val="center"/>
          </w:tcPr>
          <w:p w14:paraId="6CAE7F66">
            <w:pPr>
              <w:widowControl/>
              <w:adjustRightInd/>
              <w:spacing w:before="100" w:beforeAutospacing="1" w:after="100" w:afterAutospacing="1"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儿童公园厕间</w:t>
            </w:r>
            <w:r>
              <w:rPr>
                <w:rFonts w:hint="eastAsia" w:ascii="宋体" w:hAnsi="宋体" w:eastAsia="宋体" w:cs="宋体"/>
                <w:color w:val="auto"/>
                <w:sz w:val="24"/>
                <w:szCs w:val="24"/>
                <w:highlight w:val="none"/>
                <w:lang w:val="en-US" w:eastAsia="zh-CN"/>
              </w:rPr>
              <w:t>1（东入口）</w:t>
            </w:r>
          </w:p>
        </w:tc>
        <w:tc>
          <w:tcPr>
            <w:tcW w:w="883" w:type="dxa"/>
            <w:vAlign w:val="center"/>
          </w:tcPr>
          <w:p w14:paraId="081A2C58">
            <w:pPr>
              <w:widowControl w:val="0"/>
              <w:autoSpaceDE w:val="0"/>
              <w:autoSpaceDN w:val="0"/>
              <w:spacing w:line="240" w:lineRule="auto"/>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w:t>
            </w:r>
          </w:p>
        </w:tc>
        <w:tc>
          <w:tcPr>
            <w:tcW w:w="963" w:type="dxa"/>
            <w:vAlign w:val="center"/>
          </w:tcPr>
          <w:p w14:paraId="773163B0">
            <w:pPr>
              <w:widowControl w:val="0"/>
              <w:autoSpaceDE w:val="0"/>
              <w:autoSpaceDN w:val="0"/>
              <w:spacing w:line="240" w:lineRule="auto"/>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w:t>
            </w:r>
          </w:p>
        </w:tc>
        <w:tc>
          <w:tcPr>
            <w:tcW w:w="906" w:type="dxa"/>
            <w:vAlign w:val="center"/>
          </w:tcPr>
          <w:p w14:paraId="026FFBA0">
            <w:pPr>
              <w:widowControl w:val="0"/>
              <w:autoSpaceDE w:val="0"/>
              <w:autoSpaceDN w:val="0"/>
              <w:spacing w:line="240" w:lineRule="auto"/>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w:t>
            </w:r>
          </w:p>
        </w:tc>
        <w:tc>
          <w:tcPr>
            <w:tcW w:w="4947" w:type="dxa"/>
            <w:vAlign w:val="center"/>
          </w:tcPr>
          <w:p w14:paraId="41D7795B">
            <w:pPr>
              <w:widowControl/>
              <w:adjustRightInd/>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开放时间（</w:t>
            </w:r>
            <w:r>
              <w:rPr>
                <w:rFonts w:hint="eastAsia" w:ascii="宋体" w:hAnsi="宋体" w:eastAsia="宋体" w:cs="宋体"/>
                <w:color w:val="auto"/>
                <w:sz w:val="24"/>
                <w:szCs w:val="24"/>
                <w:highlight w:val="none"/>
                <w:lang w:val="en-US" w:eastAsia="zh-CN"/>
              </w:rPr>
              <w:t>同公厕开放时间</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4-11月：9-20点；其余月份9-17点</w:t>
            </w:r>
          </w:p>
        </w:tc>
      </w:tr>
      <w:tr w14:paraId="3423D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404" w:type="dxa"/>
            <w:vAlign w:val="center"/>
          </w:tcPr>
          <w:p w14:paraId="77E8C8AB">
            <w:pPr>
              <w:widowControl w:val="0"/>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w:t>
            </w:r>
          </w:p>
        </w:tc>
        <w:tc>
          <w:tcPr>
            <w:tcW w:w="2813" w:type="dxa"/>
            <w:vAlign w:val="center"/>
          </w:tcPr>
          <w:p w14:paraId="1149AF1C">
            <w:pPr>
              <w:widowControl/>
              <w:adjustRightInd/>
              <w:spacing w:before="100" w:beforeAutospacing="1" w:after="100" w:afterAutospacing="1"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儿童公园厕间</w:t>
            </w:r>
            <w:r>
              <w:rPr>
                <w:rFonts w:hint="eastAsia" w:ascii="宋体" w:hAnsi="宋体" w:eastAsia="宋体" w:cs="宋体"/>
                <w:color w:val="auto"/>
                <w:sz w:val="24"/>
                <w:szCs w:val="24"/>
                <w:highlight w:val="none"/>
                <w:lang w:val="en-US" w:eastAsia="zh-CN"/>
              </w:rPr>
              <w:t>2（管理房）</w:t>
            </w:r>
          </w:p>
        </w:tc>
        <w:tc>
          <w:tcPr>
            <w:tcW w:w="883" w:type="dxa"/>
            <w:vAlign w:val="center"/>
          </w:tcPr>
          <w:p w14:paraId="3C13A5FC">
            <w:pPr>
              <w:widowControl w:val="0"/>
              <w:autoSpaceDE w:val="0"/>
              <w:autoSpaceDN w:val="0"/>
              <w:spacing w:line="240" w:lineRule="auto"/>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w:t>
            </w:r>
          </w:p>
        </w:tc>
        <w:tc>
          <w:tcPr>
            <w:tcW w:w="963" w:type="dxa"/>
            <w:vAlign w:val="center"/>
          </w:tcPr>
          <w:p w14:paraId="5CF04DB6">
            <w:pPr>
              <w:widowControl w:val="0"/>
              <w:autoSpaceDE w:val="0"/>
              <w:autoSpaceDN w:val="0"/>
              <w:spacing w:line="240" w:lineRule="auto"/>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w:t>
            </w:r>
          </w:p>
        </w:tc>
        <w:tc>
          <w:tcPr>
            <w:tcW w:w="906" w:type="dxa"/>
            <w:vAlign w:val="center"/>
          </w:tcPr>
          <w:p w14:paraId="5B526137">
            <w:pPr>
              <w:widowControl w:val="0"/>
              <w:autoSpaceDE w:val="0"/>
              <w:autoSpaceDN w:val="0"/>
              <w:spacing w:line="240" w:lineRule="auto"/>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w:t>
            </w:r>
          </w:p>
        </w:tc>
        <w:tc>
          <w:tcPr>
            <w:tcW w:w="4947" w:type="dxa"/>
            <w:vAlign w:val="center"/>
          </w:tcPr>
          <w:p w14:paraId="087A13C6">
            <w:pPr>
              <w:widowControl/>
              <w:adjustRightInd/>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不对外开放，仅工作人员使用，保证工作日日均维护</w:t>
            </w:r>
            <w:r>
              <w:rPr>
                <w:rFonts w:hint="eastAsia" w:ascii="宋体" w:hAnsi="宋体" w:eastAsia="宋体" w:cs="宋体"/>
                <w:color w:val="auto"/>
                <w:sz w:val="24"/>
                <w:szCs w:val="24"/>
                <w:highlight w:val="none"/>
                <w:lang w:val="en-US" w:eastAsia="zh-CN"/>
              </w:rPr>
              <w:t xml:space="preserve">1次 </w:t>
            </w:r>
          </w:p>
        </w:tc>
      </w:tr>
    </w:tbl>
    <w:p w14:paraId="7940ABFB">
      <w:pPr>
        <w:widowControl w:val="0"/>
        <w:adjustRightInd/>
        <w:spacing w:line="240" w:lineRule="auto"/>
        <w:ind w:firstLine="0" w:firstLineChars="0"/>
        <w:rPr>
          <w:rFonts w:hint="default"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（2）其他设施</w:t>
      </w:r>
    </w:p>
    <w:p w14:paraId="0CCB94B6">
      <w:pPr>
        <w:widowControl/>
        <w:tabs>
          <w:tab w:val="left" w:pos="851"/>
        </w:tabs>
        <w:adjustRightInd/>
        <w:spacing w:line="360" w:lineRule="auto"/>
        <w:outlineLvl w:val="1"/>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其余主要管理设施量清单详见（附件</w:t>
      </w:r>
      <w:r>
        <w:rPr>
          <w:rFonts w:hint="eastAsia" w:ascii="宋体" w:hAnsi="宋体" w:cs="宋体"/>
          <w:b/>
          <w:color w:val="auto"/>
          <w:kern w:val="0"/>
          <w:sz w:val="24"/>
          <w:highlight w:val="none"/>
          <w:lang w:val="en-US" w:eastAsia="zh-CN"/>
        </w:rPr>
        <w:t xml:space="preserve"> </w:t>
      </w:r>
      <w:r>
        <w:rPr>
          <w:rFonts w:hint="eastAsia" w:ascii="宋体" w:hAnsi="宋体" w:eastAsia="宋体" w:cs="宋体"/>
          <w:b/>
          <w:color w:val="auto"/>
          <w:kern w:val="0"/>
          <w:sz w:val="24"/>
          <w:highlight w:val="none"/>
          <w:lang w:val="en-US" w:eastAsia="zh-CN"/>
        </w:rPr>
        <w:t>设施量清单及编制说明）</w:t>
      </w:r>
    </w:p>
    <w:p w14:paraId="65386242">
      <w:pPr>
        <w:widowControl/>
        <w:tabs>
          <w:tab w:val="left" w:pos="851"/>
        </w:tabs>
        <w:adjustRightInd/>
        <w:spacing w:line="360" w:lineRule="auto"/>
        <w:outlineLvl w:val="1"/>
        <w:rPr>
          <w:rFonts w:ascii="宋体" w:hAnsi="宋体" w:eastAsia="宋体" w:cs="宋体"/>
          <w:b/>
          <w:color w:val="auto"/>
          <w:kern w:val="0"/>
          <w:sz w:val="24"/>
          <w:highlight w:val="none"/>
        </w:rPr>
      </w:pPr>
      <w:r>
        <w:rPr>
          <w:rFonts w:hint="eastAsia" w:ascii="宋体" w:hAnsi="宋体" w:eastAsia="宋体" w:cs="宋体"/>
          <w:b/>
          <w:color w:val="auto"/>
          <w:kern w:val="0"/>
          <w:sz w:val="24"/>
          <w:highlight w:val="none"/>
          <w:lang w:val="en-US" w:eastAsia="zh-CN"/>
        </w:rPr>
        <w:t>五</w:t>
      </w:r>
      <w:r>
        <w:rPr>
          <w:rFonts w:hint="eastAsia" w:ascii="宋体" w:hAnsi="宋体" w:eastAsia="宋体" w:cs="宋体"/>
          <w:b/>
          <w:color w:val="auto"/>
          <w:kern w:val="0"/>
          <w:sz w:val="24"/>
          <w:highlight w:val="none"/>
        </w:rPr>
        <w:t>、人员岗位配置要求</w:t>
      </w:r>
    </w:p>
    <w:p w14:paraId="7593BA6A">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本项目派驻团队人员分为“管理团队”和“</w:t>
      </w:r>
      <w:r>
        <w:rPr>
          <w:rFonts w:hint="eastAsia" w:ascii="宋体" w:hAnsi="宋体" w:eastAsia="宋体" w:cs="宋体"/>
          <w:bCs/>
          <w:color w:val="auto"/>
          <w:kern w:val="0"/>
          <w:sz w:val="24"/>
          <w:highlight w:val="none"/>
          <w:lang w:eastAsia="zh-CN"/>
        </w:rPr>
        <w:t>作业</w:t>
      </w:r>
      <w:r>
        <w:rPr>
          <w:rFonts w:hint="eastAsia" w:ascii="宋体" w:hAnsi="宋体" w:eastAsia="宋体" w:cs="宋体"/>
          <w:bCs/>
          <w:color w:val="auto"/>
          <w:kern w:val="0"/>
          <w:sz w:val="24"/>
          <w:highlight w:val="none"/>
        </w:rPr>
        <w:t>队伍”。管理团队直接对</w:t>
      </w:r>
      <w:r>
        <w:rPr>
          <w:rFonts w:hint="eastAsia" w:ascii="宋体" w:hAnsi="宋体" w:eastAsia="宋体" w:cs="宋体"/>
          <w:bCs/>
          <w:color w:val="auto"/>
          <w:kern w:val="0"/>
          <w:sz w:val="24"/>
          <w:highlight w:val="none"/>
          <w:lang w:eastAsia="zh-CN"/>
        </w:rPr>
        <w:t>采购人</w:t>
      </w:r>
      <w:r>
        <w:rPr>
          <w:rFonts w:hint="eastAsia" w:ascii="宋体" w:hAnsi="宋体" w:eastAsia="宋体" w:cs="宋体"/>
          <w:bCs/>
          <w:color w:val="auto"/>
          <w:kern w:val="0"/>
          <w:sz w:val="24"/>
          <w:highlight w:val="none"/>
        </w:rPr>
        <w:t>负责，按采购人</w:t>
      </w:r>
      <w:r>
        <w:rPr>
          <w:rFonts w:hint="eastAsia" w:ascii="宋体" w:hAnsi="宋体" w:eastAsia="宋体" w:cs="宋体"/>
          <w:bCs/>
          <w:color w:val="auto"/>
          <w:kern w:val="0"/>
          <w:sz w:val="24"/>
          <w:highlight w:val="none"/>
          <w:lang w:eastAsia="zh-CN"/>
        </w:rPr>
        <w:t>管理部门</w:t>
      </w:r>
      <w:r>
        <w:rPr>
          <w:rFonts w:hint="eastAsia" w:ascii="宋体" w:hAnsi="宋体" w:eastAsia="宋体" w:cs="宋体"/>
          <w:bCs/>
          <w:color w:val="auto"/>
          <w:kern w:val="0"/>
          <w:sz w:val="24"/>
          <w:highlight w:val="none"/>
        </w:rPr>
        <w:t>要求，全面落实好本服务项目，并负责对</w:t>
      </w:r>
      <w:r>
        <w:rPr>
          <w:rFonts w:hint="eastAsia" w:ascii="宋体" w:hAnsi="宋体" w:eastAsia="宋体" w:cs="宋体"/>
          <w:bCs/>
          <w:color w:val="auto"/>
          <w:kern w:val="0"/>
          <w:sz w:val="24"/>
          <w:highlight w:val="none"/>
          <w:lang w:eastAsia="zh-CN"/>
        </w:rPr>
        <w:t>作业队伍</w:t>
      </w:r>
      <w:r>
        <w:rPr>
          <w:rFonts w:hint="eastAsia" w:ascii="宋体" w:hAnsi="宋体" w:eastAsia="宋体" w:cs="宋体"/>
          <w:bCs/>
          <w:color w:val="auto"/>
          <w:kern w:val="0"/>
          <w:sz w:val="24"/>
          <w:highlight w:val="none"/>
        </w:rPr>
        <w:t>的一线作业人员进行聘用、培训、检查、考评，确保项目运营状态和作业质量，实现各专业块状的融合、互动与协作，通过专业化运作，条块管理相结合，确保作业质量达到综合管理考核标准。</w:t>
      </w:r>
      <w:r>
        <w:rPr>
          <w:rFonts w:hint="eastAsia" w:ascii="宋体" w:hAnsi="宋体" w:eastAsia="宋体" w:cs="宋体"/>
          <w:bCs/>
          <w:color w:val="auto"/>
          <w:kern w:val="0"/>
          <w:sz w:val="24"/>
          <w:highlight w:val="none"/>
          <w:lang w:eastAsia="zh-CN"/>
        </w:rPr>
        <w:t>作业</w:t>
      </w:r>
      <w:r>
        <w:rPr>
          <w:rFonts w:hint="eastAsia" w:ascii="宋体" w:hAnsi="宋体" w:eastAsia="宋体" w:cs="宋体"/>
          <w:bCs/>
          <w:color w:val="auto"/>
          <w:kern w:val="0"/>
          <w:sz w:val="24"/>
          <w:highlight w:val="none"/>
        </w:rPr>
        <w:t>队伍对管理团队直接负责，通过专业化运作，条状管理，确保一线作业质量达到采购人管理考核标准。</w:t>
      </w:r>
    </w:p>
    <w:p w14:paraId="334A3811">
      <w:pPr>
        <w:widowControl/>
        <w:tabs>
          <w:tab w:val="left" w:pos="851"/>
        </w:tabs>
        <w:adjustRightInd/>
        <w:spacing w:line="360" w:lineRule="auto"/>
        <w:ind w:firstLine="482" w:firstLineChars="200"/>
        <w:rPr>
          <w:rFonts w:hint="eastAsia"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（一）“管理团队”主要职责及岗位设置标准</w:t>
      </w:r>
    </w:p>
    <w:tbl>
      <w:tblPr>
        <w:tblStyle w:val="62"/>
        <w:tblW w:w="94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816"/>
        <w:gridCol w:w="2930"/>
        <w:gridCol w:w="2976"/>
        <w:gridCol w:w="1883"/>
      </w:tblGrid>
      <w:tr w14:paraId="77D1E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833" w:type="dxa"/>
            <w:noWrap w:val="0"/>
            <w:vAlign w:val="center"/>
          </w:tcPr>
          <w:p w14:paraId="3309B86A">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岗位名称</w:t>
            </w:r>
          </w:p>
        </w:tc>
        <w:tc>
          <w:tcPr>
            <w:tcW w:w="816" w:type="dxa"/>
            <w:noWrap w:val="0"/>
            <w:vAlign w:val="center"/>
          </w:tcPr>
          <w:p w14:paraId="3F5EC107">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岗位数量</w:t>
            </w:r>
          </w:p>
        </w:tc>
        <w:tc>
          <w:tcPr>
            <w:tcW w:w="2930" w:type="dxa"/>
            <w:noWrap w:val="0"/>
            <w:vAlign w:val="center"/>
          </w:tcPr>
          <w:p w14:paraId="410E0FCC">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岗位职责</w:t>
            </w:r>
          </w:p>
        </w:tc>
        <w:tc>
          <w:tcPr>
            <w:tcW w:w="2976" w:type="dxa"/>
            <w:noWrap w:val="0"/>
            <w:vAlign w:val="center"/>
          </w:tcPr>
          <w:p w14:paraId="0805907F">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考勤要求</w:t>
            </w:r>
          </w:p>
        </w:tc>
        <w:tc>
          <w:tcPr>
            <w:tcW w:w="1883" w:type="dxa"/>
            <w:noWrap w:val="0"/>
            <w:vAlign w:val="center"/>
          </w:tcPr>
          <w:p w14:paraId="2734B1CA">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p>
        </w:tc>
      </w:tr>
      <w:tr w14:paraId="44F87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833" w:type="dxa"/>
            <w:noWrap w:val="0"/>
            <w:vAlign w:val="center"/>
          </w:tcPr>
          <w:p w14:paraId="504254E5">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kern w:val="0"/>
                <w:sz w:val="24"/>
                <w:szCs w:val="24"/>
                <w:highlight w:val="none"/>
                <w:lang w:eastAsia="zh-CN"/>
              </w:rPr>
              <w:t>项目负责人</w:t>
            </w:r>
          </w:p>
        </w:tc>
        <w:tc>
          <w:tcPr>
            <w:tcW w:w="816" w:type="dxa"/>
            <w:noWrap w:val="0"/>
            <w:vAlign w:val="center"/>
          </w:tcPr>
          <w:p w14:paraId="5B26E96A">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930" w:type="dxa"/>
            <w:noWrap w:val="0"/>
            <w:vAlign w:val="center"/>
          </w:tcPr>
          <w:p w14:paraId="55DA9983">
            <w:pPr>
              <w:keepNext w:val="0"/>
              <w:keepLines w:val="0"/>
              <w:pageBreakBefore w:val="0"/>
              <w:kinsoku/>
              <w:wordWrap/>
              <w:overflowPunct/>
              <w:topLinePunct w:val="0"/>
              <w:autoSpaceDE/>
              <w:autoSpaceDN/>
              <w:bidi w:val="0"/>
              <w:adjustRightInd w:val="0"/>
              <w:snapToGri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负责项目整体管理。</w:t>
            </w:r>
          </w:p>
        </w:tc>
        <w:tc>
          <w:tcPr>
            <w:tcW w:w="2976" w:type="dxa"/>
            <w:noWrap w:val="0"/>
            <w:vAlign w:val="center"/>
          </w:tcPr>
          <w:p w14:paraId="51D13BCA">
            <w:pPr>
              <w:keepNext w:val="0"/>
              <w:keepLines w:val="0"/>
              <w:pageBreakBefore w:val="0"/>
              <w:kinsoku/>
              <w:wordWrap/>
              <w:overflowPunct/>
              <w:topLinePunct w:val="0"/>
              <w:autoSpaceDE/>
              <w:autoSpaceDN/>
              <w:bidi w:val="0"/>
              <w:adjustRightInd w:val="0"/>
              <w:snapToGrid/>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驻点公园，每周在岗</w:t>
            </w:r>
            <w:r>
              <w:rPr>
                <w:rFonts w:hint="eastAsia" w:ascii="宋体" w:hAnsi="宋体" w:eastAsia="宋体" w:cs="宋体"/>
                <w:color w:val="auto"/>
                <w:sz w:val="24"/>
                <w:szCs w:val="24"/>
                <w:highlight w:val="none"/>
                <w:lang w:val="en-US" w:eastAsia="zh-CN"/>
              </w:rPr>
              <w:t>5天</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重大活动、</w:t>
            </w:r>
            <w:r>
              <w:rPr>
                <w:rFonts w:hint="eastAsia" w:ascii="宋体" w:hAnsi="宋体" w:eastAsia="宋体" w:cs="宋体"/>
                <w:color w:val="auto"/>
                <w:kern w:val="0"/>
                <w:sz w:val="24"/>
                <w:szCs w:val="24"/>
                <w:highlight w:val="none"/>
              </w:rPr>
              <w:t>节假日及应急</w:t>
            </w:r>
            <w:r>
              <w:rPr>
                <w:rFonts w:hint="eastAsia" w:ascii="宋体" w:hAnsi="宋体" w:eastAsia="宋体" w:cs="宋体"/>
                <w:color w:val="auto"/>
                <w:kern w:val="0"/>
                <w:sz w:val="24"/>
                <w:szCs w:val="24"/>
                <w:highlight w:val="none"/>
                <w:lang w:eastAsia="zh-CN"/>
              </w:rPr>
              <w:t>响应</w:t>
            </w:r>
            <w:r>
              <w:rPr>
                <w:rFonts w:hint="eastAsia" w:ascii="宋体" w:hAnsi="宋体" w:eastAsia="宋体" w:cs="宋体"/>
                <w:color w:val="auto"/>
                <w:kern w:val="0"/>
                <w:sz w:val="24"/>
                <w:szCs w:val="24"/>
                <w:highlight w:val="none"/>
              </w:rPr>
              <w:t>时期需</w:t>
            </w:r>
            <w:r>
              <w:rPr>
                <w:rFonts w:hint="eastAsia" w:ascii="宋体" w:hAnsi="宋体" w:eastAsia="宋体" w:cs="宋体"/>
                <w:color w:val="auto"/>
                <w:kern w:val="0"/>
                <w:sz w:val="24"/>
                <w:szCs w:val="24"/>
                <w:highlight w:val="none"/>
                <w:lang w:eastAsia="zh-CN"/>
              </w:rPr>
              <w:t>在岗。</w:t>
            </w:r>
          </w:p>
        </w:tc>
        <w:tc>
          <w:tcPr>
            <w:tcW w:w="1883" w:type="dxa"/>
            <w:vMerge w:val="restart"/>
            <w:noWrap w:val="0"/>
            <w:vAlign w:val="center"/>
          </w:tcPr>
          <w:p w14:paraId="5DCDEDA3">
            <w:pPr>
              <w:keepNext w:val="0"/>
              <w:keepLines w:val="0"/>
              <w:pageBreakBefore w:val="0"/>
              <w:kinsoku/>
              <w:wordWrap/>
              <w:overflowPunct/>
              <w:topLinePunct w:val="0"/>
              <w:autoSpaceDE/>
              <w:autoSpaceDN/>
              <w:bidi w:val="0"/>
              <w:adjustRightInd w:val="0"/>
              <w:snapToGrid/>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投标</w:t>
            </w:r>
            <w:r>
              <w:rPr>
                <w:rFonts w:hint="eastAsia" w:ascii="宋体" w:hAnsi="宋体" w:eastAsia="宋体" w:cs="宋体"/>
                <w:color w:val="auto"/>
                <w:sz w:val="24"/>
                <w:szCs w:val="24"/>
                <w:highlight w:val="none"/>
                <w:lang w:eastAsia="zh-CN"/>
              </w:rPr>
              <w:t>人</w:t>
            </w:r>
            <w:r>
              <w:rPr>
                <w:rFonts w:hint="eastAsia" w:ascii="宋体" w:hAnsi="宋体" w:eastAsia="宋体" w:cs="宋体"/>
                <w:color w:val="auto"/>
                <w:sz w:val="24"/>
                <w:szCs w:val="24"/>
                <w:highlight w:val="none"/>
              </w:rPr>
              <w:t>为其缴纳的投标截止时间前3个月</w:t>
            </w:r>
            <w:r>
              <w:rPr>
                <w:rFonts w:hint="eastAsia" w:ascii="宋体" w:hAnsi="宋体" w:eastAsia="宋体" w:cs="宋体"/>
                <w:color w:val="auto"/>
                <w:sz w:val="24"/>
                <w:szCs w:val="24"/>
                <w:highlight w:val="none"/>
                <w:lang w:eastAsia="zh-CN"/>
              </w:rPr>
              <w:t>任意一月</w:t>
            </w:r>
            <w:r>
              <w:rPr>
                <w:rFonts w:hint="eastAsia" w:ascii="宋体" w:hAnsi="宋体" w:eastAsia="宋体" w:cs="宋体"/>
                <w:color w:val="auto"/>
                <w:sz w:val="24"/>
                <w:szCs w:val="24"/>
                <w:highlight w:val="none"/>
              </w:rPr>
              <w:t>的社保证明</w:t>
            </w:r>
            <w:r>
              <w:rPr>
                <w:rFonts w:hint="eastAsia" w:ascii="宋体" w:hAnsi="宋体" w:eastAsia="宋体" w:cs="宋体"/>
                <w:color w:val="auto"/>
                <w:sz w:val="24"/>
                <w:szCs w:val="24"/>
                <w:highlight w:val="none"/>
                <w:lang w:eastAsia="zh-CN"/>
              </w:rPr>
              <w:t>，编入商务技术文件中。</w:t>
            </w:r>
          </w:p>
        </w:tc>
      </w:tr>
      <w:tr w14:paraId="60215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33" w:type="dxa"/>
            <w:noWrap w:val="0"/>
            <w:vAlign w:val="center"/>
          </w:tcPr>
          <w:p w14:paraId="07653566">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eastAsia="zh-CN"/>
              </w:rPr>
              <w:t>园容</w:t>
            </w:r>
            <w:r>
              <w:rPr>
                <w:rFonts w:hint="eastAsia" w:ascii="宋体" w:hAnsi="宋体" w:eastAsia="宋体" w:cs="宋体"/>
                <w:b/>
                <w:bCs/>
                <w:color w:val="auto"/>
                <w:kern w:val="0"/>
                <w:sz w:val="24"/>
                <w:szCs w:val="24"/>
                <w:highlight w:val="none"/>
              </w:rPr>
              <w:t>主管</w:t>
            </w:r>
          </w:p>
        </w:tc>
        <w:tc>
          <w:tcPr>
            <w:tcW w:w="816" w:type="dxa"/>
            <w:noWrap w:val="0"/>
            <w:vAlign w:val="center"/>
          </w:tcPr>
          <w:p w14:paraId="40EAF067">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p>
        </w:tc>
        <w:tc>
          <w:tcPr>
            <w:tcW w:w="2930" w:type="dxa"/>
            <w:noWrap w:val="0"/>
            <w:vAlign w:val="center"/>
          </w:tcPr>
          <w:p w14:paraId="40168216">
            <w:pPr>
              <w:keepNext w:val="0"/>
              <w:keepLines w:val="0"/>
              <w:pageBreakBefore w:val="0"/>
              <w:kinsoku/>
              <w:wordWrap/>
              <w:overflowPunct/>
              <w:topLinePunct w:val="0"/>
              <w:autoSpaceDE/>
              <w:autoSpaceDN/>
              <w:bidi w:val="0"/>
              <w:adjustRightInd w:val="0"/>
              <w:snapToGrid/>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负责</w:t>
            </w:r>
            <w:r>
              <w:rPr>
                <w:rFonts w:hint="eastAsia" w:ascii="宋体" w:hAnsi="宋体" w:eastAsia="宋体" w:cs="宋体"/>
                <w:color w:val="auto"/>
                <w:sz w:val="24"/>
                <w:szCs w:val="24"/>
                <w:highlight w:val="none"/>
                <w:lang w:eastAsia="zh-CN"/>
              </w:rPr>
              <w:t>管理</w:t>
            </w:r>
            <w:r>
              <w:rPr>
                <w:rFonts w:hint="eastAsia" w:ascii="宋体" w:hAnsi="宋体" w:eastAsia="宋体" w:cs="宋体"/>
                <w:color w:val="auto"/>
                <w:sz w:val="24"/>
                <w:szCs w:val="24"/>
                <w:highlight w:val="none"/>
              </w:rPr>
              <w:t>公园</w:t>
            </w:r>
            <w:r>
              <w:rPr>
                <w:rFonts w:hint="eastAsia" w:ascii="宋体" w:hAnsi="宋体" w:eastAsia="宋体" w:cs="宋体"/>
                <w:color w:val="auto"/>
                <w:sz w:val="24"/>
                <w:szCs w:val="24"/>
                <w:highlight w:val="none"/>
                <w:lang w:eastAsia="zh-CN"/>
              </w:rPr>
              <w:t>日常绿化养护；负责公园接待保障。</w:t>
            </w:r>
          </w:p>
        </w:tc>
        <w:tc>
          <w:tcPr>
            <w:tcW w:w="2976" w:type="dxa"/>
            <w:noWrap w:val="0"/>
            <w:vAlign w:val="center"/>
          </w:tcPr>
          <w:p w14:paraId="1DE001FA">
            <w:pPr>
              <w:keepNext w:val="0"/>
              <w:keepLines w:val="0"/>
              <w:pageBreakBefore w:val="0"/>
              <w:kinsoku/>
              <w:wordWrap/>
              <w:overflowPunct/>
              <w:topLinePunct w:val="0"/>
              <w:autoSpaceDE/>
              <w:autoSpaceDN/>
              <w:bidi w:val="0"/>
              <w:adjustRightInd w:val="0"/>
              <w:snapToGrid/>
              <w:jc w:val="left"/>
              <w:textAlignment w:val="auto"/>
              <w:rPr>
                <w:rFonts w:hint="eastAsia" w:ascii="宋体" w:hAnsi="宋体" w:eastAsia="宋体" w:cs="宋体"/>
                <w:color w:val="auto"/>
                <w:sz w:val="24"/>
                <w:szCs w:val="24"/>
                <w:highlight w:val="none"/>
                <w:shd w:val="pct10" w:color="auto" w:fill="FFFFFF"/>
                <w:lang w:eastAsia="zh-CN"/>
              </w:rPr>
            </w:pPr>
            <w:r>
              <w:rPr>
                <w:rFonts w:hint="eastAsia" w:ascii="宋体" w:hAnsi="宋体" w:eastAsia="宋体" w:cs="宋体"/>
                <w:color w:val="auto"/>
                <w:kern w:val="0"/>
                <w:sz w:val="24"/>
                <w:szCs w:val="24"/>
                <w:highlight w:val="none"/>
              </w:rPr>
              <w:t>驻点公园，现场管理。</w:t>
            </w:r>
            <w:r>
              <w:rPr>
                <w:rFonts w:hint="eastAsia" w:ascii="宋体" w:hAnsi="宋体" w:eastAsia="宋体" w:cs="宋体"/>
                <w:color w:val="auto"/>
                <w:sz w:val="24"/>
                <w:szCs w:val="24"/>
                <w:highlight w:val="none"/>
              </w:rPr>
              <w:t>每周在岗</w:t>
            </w:r>
            <w:r>
              <w:rPr>
                <w:rFonts w:hint="eastAsia" w:ascii="宋体" w:hAnsi="宋体" w:eastAsia="宋体" w:cs="宋体"/>
                <w:color w:val="auto"/>
                <w:sz w:val="24"/>
                <w:szCs w:val="24"/>
                <w:highlight w:val="none"/>
                <w:lang w:val="en-US" w:eastAsia="zh-CN"/>
              </w:rPr>
              <w:t>6天</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重大活动、</w:t>
            </w:r>
            <w:r>
              <w:rPr>
                <w:rFonts w:hint="eastAsia" w:ascii="宋体" w:hAnsi="宋体" w:eastAsia="宋体" w:cs="宋体"/>
                <w:color w:val="auto"/>
                <w:kern w:val="0"/>
                <w:sz w:val="24"/>
                <w:szCs w:val="24"/>
                <w:highlight w:val="none"/>
              </w:rPr>
              <w:t>节假日及应急时期需值班</w:t>
            </w:r>
            <w:r>
              <w:rPr>
                <w:rFonts w:hint="eastAsia" w:ascii="宋体" w:hAnsi="宋体" w:eastAsia="宋体" w:cs="宋体"/>
                <w:color w:val="auto"/>
                <w:kern w:val="0"/>
                <w:sz w:val="24"/>
                <w:szCs w:val="24"/>
                <w:highlight w:val="none"/>
                <w:lang w:eastAsia="zh-CN"/>
              </w:rPr>
              <w:t>。</w:t>
            </w:r>
          </w:p>
        </w:tc>
        <w:tc>
          <w:tcPr>
            <w:tcW w:w="1883" w:type="dxa"/>
            <w:vMerge w:val="continue"/>
            <w:noWrap w:val="0"/>
            <w:vAlign w:val="top"/>
          </w:tcPr>
          <w:p w14:paraId="24E41DDA">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color w:val="auto"/>
                <w:sz w:val="24"/>
                <w:szCs w:val="24"/>
                <w:highlight w:val="none"/>
              </w:rPr>
            </w:pPr>
          </w:p>
        </w:tc>
      </w:tr>
      <w:tr w14:paraId="7B3DF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833" w:type="dxa"/>
            <w:noWrap w:val="0"/>
            <w:vAlign w:val="center"/>
          </w:tcPr>
          <w:p w14:paraId="2861889C">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eastAsia="zh-CN"/>
              </w:rPr>
              <w:t>安全</w:t>
            </w:r>
            <w:r>
              <w:rPr>
                <w:rFonts w:hint="eastAsia" w:ascii="宋体" w:hAnsi="宋体" w:eastAsia="宋体" w:cs="宋体"/>
                <w:b/>
                <w:bCs/>
                <w:color w:val="auto"/>
                <w:kern w:val="0"/>
                <w:sz w:val="24"/>
                <w:szCs w:val="24"/>
                <w:highlight w:val="none"/>
              </w:rPr>
              <w:t>主管</w:t>
            </w:r>
          </w:p>
        </w:tc>
        <w:tc>
          <w:tcPr>
            <w:tcW w:w="816" w:type="dxa"/>
            <w:noWrap w:val="0"/>
            <w:vAlign w:val="center"/>
          </w:tcPr>
          <w:p w14:paraId="345C3DC7">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p>
        </w:tc>
        <w:tc>
          <w:tcPr>
            <w:tcW w:w="2930" w:type="dxa"/>
            <w:noWrap w:val="0"/>
            <w:vAlign w:val="center"/>
          </w:tcPr>
          <w:p w14:paraId="7E0D7559">
            <w:pPr>
              <w:keepNext w:val="0"/>
              <w:keepLines w:val="0"/>
              <w:pageBreakBefore w:val="0"/>
              <w:kinsoku/>
              <w:wordWrap/>
              <w:overflowPunct/>
              <w:topLinePunct w:val="0"/>
              <w:autoSpaceDE/>
              <w:autoSpaceDN/>
              <w:bidi w:val="0"/>
              <w:adjustRightInd w:val="0"/>
              <w:snapToGri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负责整个项目的安全保卫和安全生产管理工作</w:t>
            </w:r>
            <w:r>
              <w:rPr>
                <w:rFonts w:hint="eastAsia" w:ascii="宋体" w:hAnsi="宋体" w:eastAsia="宋体" w:cs="宋体"/>
                <w:color w:val="auto"/>
                <w:sz w:val="24"/>
                <w:szCs w:val="24"/>
                <w:highlight w:val="none"/>
                <w:lang w:eastAsia="zh-CN"/>
              </w:rPr>
              <w:t>，负责公园应急响应工作</w:t>
            </w:r>
            <w:r>
              <w:rPr>
                <w:rFonts w:hint="eastAsia" w:ascii="宋体" w:hAnsi="宋体" w:eastAsia="宋体" w:cs="宋体"/>
                <w:color w:val="auto"/>
                <w:sz w:val="24"/>
                <w:szCs w:val="24"/>
                <w:highlight w:val="none"/>
              </w:rPr>
              <w:t>，负责公园设施维修管理。</w:t>
            </w:r>
          </w:p>
        </w:tc>
        <w:tc>
          <w:tcPr>
            <w:tcW w:w="2976" w:type="dxa"/>
            <w:noWrap w:val="0"/>
            <w:vAlign w:val="center"/>
          </w:tcPr>
          <w:p w14:paraId="642CC7A4">
            <w:pPr>
              <w:keepNext w:val="0"/>
              <w:keepLines w:val="0"/>
              <w:pageBreakBefore w:val="0"/>
              <w:kinsoku/>
              <w:wordWrap/>
              <w:overflowPunct/>
              <w:topLinePunct w:val="0"/>
              <w:autoSpaceDE/>
              <w:autoSpaceDN/>
              <w:bidi w:val="0"/>
              <w:adjustRightInd w:val="0"/>
              <w:snapToGrid/>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驻点公园，现场管理和技术指导。每周在岗</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天，</w:t>
            </w:r>
            <w:r>
              <w:rPr>
                <w:rFonts w:hint="eastAsia" w:ascii="宋体" w:hAnsi="宋体" w:eastAsia="宋体" w:cs="宋体"/>
                <w:color w:val="auto"/>
                <w:sz w:val="24"/>
                <w:szCs w:val="24"/>
                <w:highlight w:val="none"/>
                <w:lang w:eastAsia="zh-CN"/>
              </w:rPr>
              <w:t>重大活动、</w:t>
            </w:r>
            <w:r>
              <w:rPr>
                <w:rFonts w:hint="eastAsia" w:ascii="宋体" w:hAnsi="宋体" w:eastAsia="宋体" w:cs="宋体"/>
                <w:color w:val="auto"/>
                <w:sz w:val="24"/>
                <w:szCs w:val="24"/>
                <w:highlight w:val="none"/>
              </w:rPr>
              <w:t>节假日及应急时期需值班</w:t>
            </w:r>
            <w:r>
              <w:rPr>
                <w:rFonts w:hint="eastAsia" w:ascii="宋体" w:hAnsi="宋体" w:eastAsia="宋体" w:cs="宋体"/>
                <w:color w:val="auto"/>
                <w:sz w:val="24"/>
                <w:szCs w:val="24"/>
                <w:highlight w:val="none"/>
                <w:lang w:eastAsia="zh-CN"/>
              </w:rPr>
              <w:t>。</w:t>
            </w:r>
          </w:p>
        </w:tc>
        <w:tc>
          <w:tcPr>
            <w:tcW w:w="1883" w:type="dxa"/>
            <w:vMerge w:val="continue"/>
            <w:noWrap w:val="0"/>
            <w:vAlign w:val="top"/>
          </w:tcPr>
          <w:p w14:paraId="773625C6">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color w:val="auto"/>
                <w:sz w:val="24"/>
                <w:szCs w:val="24"/>
                <w:highlight w:val="none"/>
              </w:rPr>
            </w:pPr>
          </w:p>
        </w:tc>
      </w:tr>
      <w:tr w14:paraId="6D17F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833" w:type="dxa"/>
            <w:noWrap w:val="0"/>
            <w:vAlign w:val="center"/>
          </w:tcPr>
          <w:p w14:paraId="3A83195F">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kern w:val="0"/>
                <w:sz w:val="24"/>
                <w:szCs w:val="24"/>
                <w:highlight w:val="none"/>
                <w:lang w:eastAsia="zh-CN"/>
              </w:rPr>
              <w:t>文员</w:t>
            </w:r>
          </w:p>
        </w:tc>
        <w:tc>
          <w:tcPr>
            <w:tcW w:w="816" w:type="dxa"/>
            <w:noWrap w:val="0"/>
            <w:vAlign w:val="center"/>
          </w:tcPr>
          <w:p w14:paraId="1423C04B">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2930" w:type="dxa"/>
            <w:noWrap w:val="0"/>
            <w:vAlign w:val="center"/>
          </w:tcPr>
          <w:p w14:paraId="66A18CA4">
            <w:pPr>
              <w:keepNext w:val="0"/>
              <w:keepLines w:val="0"/>
              <w:pageBreakBefore w:val="0"/>
              <w:kinsoku/>
              <w:wordWrap/>
              <w:overflowPunct/>
              <w:topLinePunct w:val="0"/>
              <w:autoSpaceDE/>
              <w:autoSpaceDN/>
              <w:bidi w:val="0"/>
              <w:adjustRightInd w:val="0"/>
              <w:snapToGrid/>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负责整个项目的台账管理及资料上报，负责公园</w:t>
            </w:r>
            <w:r>
              <w:rPr>
                <w:rFonts w:hint="eastAsia" w:ascii="宋体" w:hAnsi="宋体" w:eastAsia="宋体" w:cs="宋体"/>
                <w:color w:val="auto"/>
                <w:sz w:val="24"/>
                <w:szCs w:val="24"/>
                <w:highlight w:val="none"/>
              </w:rPr>
              <w:t>宣传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游客服务</w:t>
            </w:r>
            <w:r>
              <w:rPr>
                <w:rFonts w:hint="eastAsia" w:ascii="宋体" w:hAnsi="宋体" w:eastAsia="宋体" w:cs="宋体"/>
                <w:color w:val="auto"/>
                <w:sz w:val="24"/>
                <w:szCs w:val="24"/>
                <w:highlight w:val="none"/>
              </w:rPr>
              <w:t>和投诉处理</w:t>
            </w:r>
            <w:r>
              <w:rPr>
                <w:rFonts w:hint="eastAsia" w:ascii="宋体" w:hAnsi="宋体" w:eastAsia="宋体" w:cs="宋体"/>
                <w:color w:val="auto"/>
                <w:sz w:val="24"/>
                <w:szCs w:val="24"/>
                <w:highlight w:val="none"/>
                <w:lang w:eastAsia="zh-CN"/>
              </w:rPr>
              <w:t>。</w:t>
            </w:r>
          </w:p>
        </w:tc>
        <w:tc>
          <w:tcPr>
            <w:tcW w:w="2976" w:type="dxa"/>
            <w:noWrap w:val="0"/>
            <w:vAlign w:val="center"/>
          </w:tcPr>
          <w:p w14:paraId="39533251">
            <w:pPr>
              <w:keepNext w:val="0"/>
              <w:keepLines w:val="0"/>
              <w:pageBreakBefore w:val="0"/>
              <w:kinsoku/>
              <w:wordWrap/>
              <w:overflowPunct/>
              <w:topLinePunct w:val="0"/>
              <w:autoSpaceDE/>
              <w:autoSpaceDN/>
              <w:bidi w:val="0"/>
              <w:adjustRightInd w:val="0"/>
              <w:snapToGrid/>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驻点公园，每周在岗</w:t>
            </w:r>
            <w:r>
              <w:rPr>
                <w:rFonts w:hint="eastAsia" w:ascii="宋体" w:hAnsi="宋体" w:eastAsia="宋体" w:cs="宋体"/>
                <w:color w:val="auto"/>
                <w:sz w:val="24"/>
                <w:szCs w:val="24"/>
                <w:highlight w:val="none"/>
                <w:lang w:val="en-US" w:eastAsia="zh-CN"/>
              </w:rPr>
              <w:t>6天。</w:t>
            </w:r>
          </w:p>
        </w:tc>
        <w:tc>
          <w:tcPr>
            <w:tcW w:w="1883" w:type="dxa"/>
            <w:vMerge w:val="continue"/>
            <w:noWrap w:val="0"/>
            <w:vAlign w:val="top"/>
          </w:tcPr>
          <w:p w14:paraId="342A481A">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color w:val="auto"/>
                <w:sz w:val="24"/>
                <w:szCs w:val="24"/>
                <w:highlight w:val="none"/>
              </w:rPr>
            </w:pPr>
          </w:p>
        </w:tc>
      </w:tr>
      <w:tr w14:paraId="375E5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833" w:type="dxa"/>
            <w:noWrap w:val="0"/>
            <w:vAlign w:val="top"/>
          </w:tcPr>
          <w:p w14:paraId="2CA93908">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小计</w:t>
            </w:r>
          </w:p>
        </w:tc>
        <w:tc>
          <w:tcPr>
            <w:tcW w:w="816" w:type="dxa"/>
            <w:noWrap w:val="0"/>
            <w:vAlign w:val="top"/>
          </w:tcPr>
          <w:p w14:paraId="708AD6E8">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7789" w:type="dxa"/>
            <w:gridSpan w:val="3"/>
            <w:noWrap w:val="0"/>
            <w:vAlign w:val="top"/>
          </w:tcPr>
          <w:p w14:paraId="5A45C722">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color w:val="auto"/>
                <w:sz w:val="24"/>
                <w:szCs w:val="24"/>
                <w:highlight w:val="none"/>
              </w:rPr>
            </w:pPr>
          </w:p>
        </w:tc>
      </w:tr>
      <w:tr w14:paraId="79B2E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833" w:type="dxa"/>
            <w:noWrap w:val="0"/>
            <w:vAlign w:val="center"/>
          </w:tcPr>
          <w:p w14:paraId="2C64BE64">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kern w:val="0"/>
                <w:sz w:val="24"/>
                <w:szCs w:val="24"/>
                <w:highlight w:val="none"/>
                <w:lang w:eastAsia="zh-CN"/>
              </w:rPr>
              <w:t>主要职责</w:t>
            </w:r>
          </w:p>
          <w:p w14:paraId="046143D4">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4"/>
                <w:szCs w:val="24"/>
                <w:highlight w:val="none"/>
              </w:rPr>
            </w:pPr>
          </w:p>
        </w:tc>
        <w:tc>
          <w:tcPr>
            <w:tcW w:w="8605" w:type="dxa"/>
            <w:gridSpan w:val="4"/>
            <w:noWrap w:val="0"/>
            <w:vAlign w:val="top"/>
          </w:tcPr>
          <w:p w14:paraId="3ACF721E">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1.对</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负责，全面开展好本服务项目；对项目提出完善性建议性意见，供</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参考，以实现本服务项目质量持续改进的目标；配合</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开展公园相关管理活动；</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要求</w:t>
            </w:r>
            <w:r>
              <w:rPr>
                <w:rFonts w:hint="eastAsia" w:ascii="宋体" w:hAnsi="宋体" w:eastAsia="宋体" w:cs="宋体"/>
                <w:color w:val="auto"/>
                <w:kern w:val="0"/>
                <w:sz w:val="24"/>
                <w:szCs w:val="24"/>
                <w:highlight w:val="none"/>
                <w:lang w:eastAsia="zh-CN"/>
              </w:rPr>
              <w:t>的其他</w:t>
            </w:r>
            <w:r>
              <w:rPr>
                <w:rFonts w:hint="eastAsia" w:ascii="宋体" w:hAnsi="宋体" w:eastAsia="宋体" w:cs="宋体"/>
                <w:color w:val="auto"/>
                <w:kern w:val="0"/>
                <w:sz w:val="24"/>
                <w:szCs w:val="24"/>
                <w:highlight w:val="none"/>
              </w:rPr>
              <w:t>与本项目服务内容有关的工作。</w:t>
            </w:r>
          </w:p>
          <w:p w14:paraId="4B9A7F6A">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2.对</w:t>
            </w:r>
            <w:r>
              <w:rPr>
                <w:rFonts w:hint="eastAsia" w:ascii="宋体" w:hAnsi="宋体" w:eastAsia="宋体" w:cs="宋体"/>
                <w:color w:val="auto"/>
                <w:kern w:val="0"/>
                <w:sz w:val="24"/>
                <w:szCs w:val="24"/>
                <w:highlight w:val="none"/>
                <w:lang w:eastAsia="zh-CN"/>
              </w:rPr>
              <w:t>作业队伍</w:t>
            </w:r>
            <w:r>
              <w:rPr>
                <w:rFonts w:hint="eastAsia" w:ascii="宋体" w:hAnsi="宋体" w:eastAsia="宋体" w:cs="宋体"/>
                <w:color w:val="auto"/>
                <w:kern w:val="0"/>
                <w:sz w:val="24"/>
                <w:szCs w:val="24"/>
                <w:highlight w:val="none"/>
              </w:rPr>
              <w:t>的作业人员进行全面管理，制定各项管理制度，对其开展的各专项工作进行检查、</w:t>
            </w:r>
            <w:r>
              <w:rPr>
                <w:rFonts w:hint="eastAsia" w:ascii="宋体" w:hAnsi="宋体" w:eastAsia="宋体" w:cs="宋体"/>
                <w:color w:val="auto"/>
                <w:kern w:val="0"/>
                <w:sz w:val="24"/>
                <w:szCs w:val="24"/>
                <w:highlight w:val="none"/>
                <w:lang w:eastAsia="zh-CN"/>
              </w:rPr>
              <w:t>考核</w:t>
            </w:r>
            <w:r>
              <w:rPr>
                <w:rFonts w:hint="eastAsia" w:ascii="宋体" w:hAnsi="宋体" w:eastAsia="宋体" w:cs="宋体"/>
                <w:color w:val="auto"/>
                <w:kern w:val="0"/>
                <w:sz w:val="24"/>
                <w:szCs w:val="24"/>
                <w:highlight w:val="none"/>
              </w:rPr>
              <w:t>，确保人员到位、服务质量达标；负责对</w:t>
            </w:r>
            <w:r>
              <w:rPr>
                <w:rFonts w:hint="eastAsia" w:ascii="宋体" w:hAnsi="宋体" w:eastAsia="宋体" w:cs="宋体"/>
                <w:color w:val="auto"/>
                <w:kern w:val="0"/>
                <w:sz w:val="24"/>
                <w:szCs w:val="24"/>
                <w:highlight w:val="none"/>
                <w:lang w:eastAsia="zh-CN"/>
              </w:rPr>
              <w:t>作业队伍</w:t>
            </w:r>
            <w:r>
              <w:rPr>
                <w:rFonts w:hint="eastAsia" w:ascii="宋体" w:hAnsi="宋体" w:eastAsia="宋体" w:cs="宋体"/>
                <w:color w:val="auto"/>
                <w:kern w:val="0"/>
                <w:sz w:val="24"/>
                <w:szCs w:val="24"/>
                <w:highlight w:val="none"/>
              </w:rPr>
              <w:t>人员进行聘用、人员培训、合理分工、应急演练等</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及时妥善解决好</w:t>
            </w:r>
            <w:r>
              <w:rPr>
                <w:rFonts w:hint="eastAsia" w:ascii="宋体" w:hAnsi="宋体" w:eastAsia="宋体" w:cs="宋体"/>
                <w:color w:val="auto"/>
                <w:kern w:val="0"/>
                <w:sz w:val="24"/>
                <w:szCs w:val="24"/>
                <w:highlight w:val="none"/>
                <w:lang w:eastAsia="zh-CN"/>
              </w:rPr>
              <w:t>作业队伍</w:t>
            </w:r>
            <w:r>
              <w:rPr>
                <w:rFonts w:hint="eastAsia" w:ascii="宋体" w:hAnsi="宋体" w:eastAsia="宋体" w:cs="宋体"/>
                <w:color w:val="auto"/>
                <w:kern w:val="0"/>
                <w:sz w:val="24"/>
                <w:szCs w:val="24"/>
                <w:highlight w:val="none"/>
              </w:rPr>
              <w:t>在一线作业中存在的各类问题。</w:t>
            </w:r>
          </w:p>
          <w:p w14:paraId="25F0140E">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3.定期收集市民游客对公园</w:t>
            </w:r>
            <w:r>
              <w:rPr>
                <w:rFonts w:hint="eastAsia" w:ascii="宋体" w:hAnsi="宋体" w:eastAsia="宋体" w:cs="宋体"/>
                <w:color w:val="auto"/>
                <w:kern w:val="0"/>
                <w:sz w:val="24"/>
                <w:szCs w:val="24"/>
                <w:highlight w:val="none"/>
                <w:lang w:eastAsia="zh-CN"/>
              </w:rPr>
              <w:t>综合</w:t>
            </w:r>
            <w:r>
              <w:rPr>
                <w:rFonts w:hint="eastAsia" w:ascii="宋体" w:hAnsi="宋体" w:eastAsia="宋体" w:cs="宋体"/>
                <w:color w:val="auto"/>
                <w:kern w:val="0"/>
                <w:sz w:val="24"/>
                <w:szCs w:val="24"/>
                <w:highlight w:val="none"/>
              </w:rPr>
              <w:t>服务相关的各类意见和建议，对属于本服务项目服务范围内的合理意见和建议，提出相应措施方案，在工作中予以完善改进；对不属于本服务项目服务范围内的，书面整理后反馈</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，并为公园完善改进市民游客服务体验提供技术指导支持。</w:t>
            </w:r>
          </w:p>
          <w:p w14:paraId="42CF0E6A">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要求完成的与本项目服务</w:t>
            </w:r>
            <w:r>
              <w:rPr>
                <w:rFonts w:hint="eastAsia" w:ascii="宋体" w:hAnsi="宋体" w:eastAsia="宋体" w:cs="宋体"/>
                <w:color w:val="auto"/>
                <w:kern w:val="0"/>
                <w:sz w:val="24"/>
                <w:szCs w:val="24"/>
                <w:highlight w:val="none"/>
                <w:lang w:eastAsia="zh-CN"/>
              </w:rPr>
              <w:t>相关的其他</w:t>
            </w:r>
            <w:r>
              <w:rPr>
                <w:rFonts w:hint="eastAsia" w:ascii="宋体" w:hAnsi="宋体" w:eastAsia="宋体" w:cs="宋体"/>
                <w:color w:val="auto"/>
                <w:kern w:val="0"/>
                <w:sz w:val="24"/>
                <w:szCs w:val="24"/>
                <w:highlight w:val="none"/>
              </w:rPr>
              <w:t xml:space="preserve">工作。 </w:t>
            </w:r>
          </w:p>
        </w:tc>
      </w:tr>
      <w:tr w14:paraId="113F3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833" w:type="dxa"/>
            <w:noWrap w:val="0"/>
            <w:vAlign w:val="center"/>
          </w:tcPr>
          <w:p w14:paraId="32F901FF">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eastAsia="zh-CN"/>
              </w:rPr>
              <w:t>具体管理要求</w:t>
            </w:r>
          </w:p>
        </w:tc>
        <w:tc>
          <w:tcPr>
            <w:tcW w:w="8605" w:type="dxa"/>
            <w:gridSpan w:val="4"/>
            <w:noWrap w:val="0"/>
            <w:vAlign w:val="top"/>
          </w:tcPr>
          <w:p w14:paraId="3892D41C">
            <w:pPr>
              <w:keepNext w:val="0"/>
              <w:keepLines w:val="0"/>
              <w:pageBreakBefore w:val="0"/>
              <w:kinsoku/>
              <w:wordWrap/>
              <w:overflowPunct/>
              <w:topLinePunct w:val="0"/>
              <w:autoSpaceDE/>
              <w:autoSpaceDN/>
              <w:bidi w:val="0"/>
              <w:adjustRightInd w:val="0"/>
              <w:snapToGrid/>
              <w:jc w:val="left"/>
              <w:textAlignment w:val="auto"/>
              <w:rPr>
                <w:rFonts w:hint="eastAsia" w:ascii="宋体" w:hAnsi="宋体" w:eastAsia="宋体" w:cs="宋体"/>
                <w:b w:val="0"/>
                <w:bCs w:val="0"/>
                <w:color w:val="auto"/>
                <w:kern w:val="0"/>
                <w:sz w:val="24"/>
                <w:szCs w:val="24"/>
                <w:highlight w:val="none"/>
                <w:lang w:eastAsia="zh-CN"/>
              </w:rPr>
            </w:pPr>
            <w:r>
              <w:rPr>
                <w:rFonts w:hint="eastAsia" w:ascii="宋体" w:hAnsi="宋体" w:eastAsia="宋体" w:cs="宋体"/>
                <w:b w:val="0"/>
                <w:bCs w:val="0"/>
                <w:color w:val="auto"/>
                <w:kern w:val="0"/>
                <w:sz w:val="24"/>
                <w:szCs w:val="24"/>
                <w:highlight w:val="none"/>
                <w:lang w:eastAsia="zh-CN"/>
              </w:rPr>
              <w:t>1.人员备案要求：中标人在上岗后一个月内将人员资料报采购人管理单位备案。变更前须征得采购人同意，如确需更换的（因不可抗力因素、重大疾病、死亡等原因变更的除外），在满足招标文件的要求下，更换人员需曾参加过同类项目，有工作经验，职称等于或高于被更换人员，变更后7天内完成备案。备案资料包括：人员管理规定、人员岗位表、技术人员资质证明、变更记录。</w:t>
            </w:r>
          </w:p>
          <w:p w14:paraId="0EC64746">
            <w:pPr>
              <w:keepNext w:val="0"/>
              <w:keepLines w:val="0"/>
              <w:pageBreakBefore w:val="0"/>
              <w:kinsoku/>
              <w:wordWrap/>
              <w:overflowPunct/>
              <w:topLinePunct w:val="0"/>
              <w:autoSpaceDE/>
              <w:autoSpaceDN/>
              <w:bidi w:val="0"/>
              <w:adjustRightInd w:val="0"/>
              <w:snapToGrid/>
              <w:jc w:val="left"/>
              <w:textAlignment w:val="auto"/>
              <w:rPr>
                <w:rFonts w:hint="eastAsia" w:ascii="宋体" w:hAnsi="宋体" w:eastAsia="宋体" w:cs="宋体"/>
                <w:b w:val="0"/>
                <w:bCs w:val="0"/>
                <w:color w:val="auto"/>
                <w:kern w:val="0"/>
                <w:sz w:val="24"/>
                <w:szCs w:val="24"/>
                <w:highlight w:val="none"/>
                <w:lang w:eastAsia="zh-CN"/>
              </w:rPr>
            </w:pPr>
            <w:r>
              <w:rPr>
                <w:rFonts w:hint="eastAsia" w:ascii="宋体" w:hAnsi="宋体" w:eastAsia="宋体" w:cs="宋体"/>
                <w:b w:val="0"/>
                <w:bCs w:val="0"/>
                <w:color w:val="auto"/>
                <w:kern w:val="0"/>
                <w:sz w:val="24"/>
                <w:szCs w:val="24"/>
                <w:highlight w:val="none"/>
                <w:lang w:eastAsia="zh-CN"/>
              </w:rPr>
              <w:t>2.以上岗位数为每天需要开展工作的最低岗位数，要求到岗率必须100%。在管理服务期间，采购人将根据名单对现场作业人员进行抽查，发现未按招标文件和合同要求到场服务的，中标人须根据招标文件和合同有关条款承担违约责任。</w:t>
            </w:r>
          </w:p>
          <w:p w14:paraId="5D95D7E4">
            <w:pPr>
              <w:keepNext w:val="0"/>
              <w:keepLines w:val="0"/>
              <w:pageBreakBefore w:val="0"/>
              <w:kinsoku/>
              <w:wordWrap/>
              <w:overflowPunct/>
              <w:topLinePunct w:val="0"/>
              <w:autoSpaceDE/>
              <w:autoSpaceDN/>
              <w:bidi w:val="0"/>
              <w:adjustRightInd w:val="0"/>
              <w:snapToGrid/>
              <w:jc w:val="left"/>
              <w:textAlignment w:val="auto"/>
              <w:rPr>
                <w:rFonts w:hint="eastAsia" w:ascii="宋体" w:hAnsi="宋体" w:eastAsia="宋体" w:cs="宋体"/>
                <w:b w:val="0"/>
                <w:bCs w:val="0"/>
                <w:color w:val="auto"/>
                <w:kern w:val="0"/>
                <w:sz w:val="24"/>
                <w:szCs w:val="24"/>
                <w:highlight w:val="none"/>
                <w:lang w:eastAsia="zh-CN"/>
              </w:rPr>
            </w:pPr>
            <w:r>
              <w:rPr>
                <w:rFonts w:hint="eastAsia" w:ascii="宋体" w:hAnsi="宋体" w:eastAsia="宋体" w:cs="宋体"/>
                <w:b w:val="0"/>
                <w:bCs w:val="0"/>
                <w:color w:val="auto"/>
                <w:kern w:val="0"/>
                <w:sz w:val="24"/>
                <w:szCs w:val="24"/>
                <w:highlight w:val="none"/>
                <w:lang w:eastAsia="zh-CN"/>
              </w:rPr>
              <w:t>3.中标人必须严格遵守关于劳动合同、工资福利、社保、住房公积金、加班费等有关规定，做好社会治安综合治理等工作，如发生违纪、违法事件，中标人承担一切经济责任和法律责任。中标人不得拖欠员工工资（含加班工资）。</w:t>
            </w:r>
          </w:p>
          <w:p w14:paraId="14E84247">
            <w:pPr>
              <w:keepNext w:val="0"/>
              <w:keepLines w:val="0"/>
              <w:pageBreakBefore w:val="0"/>
              <w:kinsoku/>
              <w:wordWrap/>
              <w:overflowPunct/>
              <w:topLinePunct w:val="0"/>
              <w:autoSpaceDE/>
              <w:autoSpaceDN/>
              <w:bidi w:val="0"/>
              <w:adjustRightInd w:val="0"/>
              <w:snapToGrid/>
              <w:jc w:val="left"/>
              <w:textAlignment w:val="auto"/>
              <w:rPr>
                <w:rFonts w:hint="eastAsia" w:ascii="宋体" w:hAnsi="宋体" w:eastAsia="宋体" w:cs="宋体"/>
                <w:b w:val="0"/>
                <w:bCs w:val="0"/>
                <w:color w:val="auto"/>
                <w:kern w:val="0"/>
                <w:sz w:val="24"/>
                <w:szCs w:val="24"/>
                <w:highlight w:val="none"/>
                <w:lang w:eastAsia="zh-CN"/>
              </w:rPr>
            </w:pPr>
            <w:r>
              <w:rPr>
                <w:rFonts w:hint="eastAsia" w:ascii="宋体" w:hAnsi="宋体" w:eastAsia="宋体" w:cs="宋体"/>
                <w:b w:val="0"/>
                <w:bCs w:val="0"/>
                <w:color w:val="auto"/>
                <w:kern w:val="0"/>
                <w:sz w:val="24"/>
                <w:szCs w:val="24"/>
                <w:highlight w:val="none"/>
                <w:lang w:eastAsia="zh-CN"/>
              </w:rPr>
              <w:t>4.作业队伍工作人员工资标准应参考人社部门最新一期指导工资，以保证服务人员的稳定性、积极性和专业性。</w:t>
            </w:r>
          </w:p>
          <w:p w14:paraId="699AECB7">
            <w:pPr>
              <w:keepNext w:val="0"/>
              <w:keepLines w:val="0"/>
              <w:pageBreakBefore w:val="0"/>
              <w:kinsoku/>
              <w:wordWrap/>
              <w:overflowPunct/>
              <w:topLinePunct w:val="0"/>
              <w:autoSpaceDE/>
              <w:autoSpaceDN/>
              <w:bidi w:val="0"/>
              <w:adjustRightInd w:val="0"/>
              <w:snapToGrid/>
              <w:jc w:val="left"/>
              <w:textAlignment w:val="auto"/>
              <w:rPr>
                <w:rFonts w:hint="eastAsia" w:ascii="宋体" w:hAnsi="宋体" w:eastAsia="宋体" w:cs="宋体"/>
                <w:b w:val="0"/>
                <w:bCs w:val="0"/>
                <w:color w:val="auto"/>
                <w:kern w:val="0"/>
                <w:sz w:val="24"/>
                <w:szCs w:val="24"/>
                <w:highlight w:val="none"/>
                <w:lang w:eastAsia="zh-CN"/>
              </w:rPr>
            </w:pPr>
            <w:r>
              <w:rPr>
                <w:rFonts w:hint="eastAsia" w:ascii="宋体" w:hAnsi="宋体" w:eastAsia="宋体" w:cs="宋体"/>
                <w:b w:val="0"/>
                <w:bCs w:val="0"/>
                <w:color w:val="auto"/>
                <w:kern w:val="0"/>
                <w:sz w:val="24"/>
                <w:szCs w:val="24"/>
                <w:highlight w:val="none"/>
                <w:lang w:eastAsia="zh-CN"/>
              </w:rPr>
              <w:t>5.在服务期限内，中标人须服从采购人的指挥和合理调整。相关人员不称职、不符合采购人要求的，采购人有权要求更换，中标人须在15日之内更换。</w:t>
            </w:r>
          </w:p>
          <w:p w14:paraId="5522BFD5">
            <w:pPr>
              <w:keepNext w:val="0"/>
              <w:keepLines w:val="0"/>
              <w:pageBreakBefore w:val="0"/>
              <w:kinsoku/>
              <w:wordWrap/>
              <w:overflowPunct/>
              <w:topLinePunct w:val="0"/>
              <w:autoSpaceDE/>
              <w:autoSpaceDN/>
              <w:bidi w:val="0"/>
              <w:adjustRightInd w:val="0"/>
              <w:snapToGrid/>
              <w:jc w:val="left"/>
              <w:textAlignment w:val="auto"/>
              <w:rPr>
                <w:rFonts w:hint="eastAsia" w:ascii="宋体" w:hAnsi="宋体" w:eastAsia="宋体" w:cs="宋体"/>
                <w:b w:val="0"/>
                <w:bCs w:val="0"/>
                <w:color w:val="auto"/>
                <w:kern w:val="0"/>
                <w:sz w:val="24"/>
                <w:szCs w:val="24"/>
                <w:highlight w:val="none"/>
                <w:lang w:eastAsia="zh-CN"/>
              </w:rPr>
            </w:pPr>
            <w:r>
              <w:rPr>
                <w:rFonts w:hint="eastAsia" w:ascii="宋体" w:hAnsi="宋体" w:eastAsia="宋体" w:cs="宋体"/>
                <w:b w:val="0"/>
                <w:bCs w:val="0"/>
                <w:color w:val="auto"/>
                <w:kern w:val="0"/>
                <w:sz w:val="24"/>
                <w:szCs w:val="24"/>
                <w:highlight w:val="none"/>
                <w:lang w:eastAsia="zh-CN"/>
              </w:rPr>
              <w:t>6.中标人应保证该项目所有员工的年龄满足岗位设定的年龄，未设定年龄要求的应该要满足《劳动法》相关规定。</w:t>
            </w:r>
          </w:p>
          <w:p w14:paraId="66DAE719">
            <w:pPr>
              <w:keepNext w:val="0"/>
              <w:keepLines w:val="0"/>
              <w:pageBreakBefore w:val="0"/>
              <w:kinsoku/>
              <w:wordWrap/>
              <w:overflowPunct/>
              <w:topLinePunct w:val="0"/>
              <w:autoSpaceDE/>
              <w:autoSpaceDN/>
              <w:bidi w:val="0"/>
              <w:adjustRightInd w:val="0"/>
              <w:snapToGrid/>
              <w:jc w:val="left"/>
              <w:textAlignment w:val="auto"/>
              <w:rPr>
                <w:rFonts w:hint="eastAsia" w:ascii="宋体" w:hAnsi="宋体" w:eastAsia="宋体" w:cs="宋体"/>
                <w:b w:val="0"/>
                <w:bCs w:val="0"/>
                <w:color w:val="auto"/>
                <w:kern w:val="0"/>
                <w:sz w:val="24"/>
                <w:szCs w:val="24"/>
                <w:highlight w:val="none"/>
                <w:lang w:eastAsia="zh-CN"/>
              </w:rPr>
            </w:pPr>
            <w:r>
              <w:rPr>
                <w:rFonts w:hint="eastAsia" w:ascii="宋体" w:hAnsi="宋体" w:eastAsia="宋体" w:cs="宋体"/>
                <w:b w:val="0"/>
                <w:bCs w:val="0"/>
                <w:color w:val="auto"/>
                <w:kern w:val="0"/>
                <w:sz w:val="24"/>
                <w:szCs w:val="24"/>
                <w:highlight w:val="none"/>
                <w:lang w:eastAsia="zh-CN"/>
              </w:rPr>
              <w:t>7.工作人员进行工作时必须按要求统一工作服。相同工种必须统一着装样式，按统一设计的样式标准制作，包含不限于全套服装、工作鞋、工作帽、反光衣等。</w:t>
            </w:r>
          </w:p>
          <w:p w14:paraId="3AC1BB13">
            <w:pPr>
              <w:keepNext w:val="0"/>
              <w:keepLines w:val="0"/>
              <w:pageBreakBefore w:val="0"/>
              <w:kinsoku/>
              <w:wordWrap/>
              <w:overflowPunct/>
              <w:topLinePunct w:val="0"/>
              <w:autoSpaceDE/>
              <w:autoSpaceDN/>
              <w:bidi w:val="0"/>
              <w:adjustRightInd w:val="0"/>
              <w:snapToGrid/>
              <w:jc w:val="left"/>
              <w:textAlignment w:val="auto"/>
              <w:rPr>
                <w:rFonts w:hint="eastAsia" w:ascii="宋体" w:hAnsi="宋体" w:eastAsia="宋体" w:cs="宋体"/>
                <w:b w:val="0"/>
                <w:bCs w:val="0"/>
                <w:color w:val="auto"/>
                <w:kern w:val="0"/>
                <w:sz w:val="24"/>
                <w:szCs w:val="24"/>
                <w:highlight w:val="none"/>
                <w:lang w:eastAsia="zh-CN"/>
              </w:rPr>
            </w:pPr>
            <w:r>
              <w:rPr>
                <w:rFonts w:hint="eastAsia" w:ascii="宋体" w:hAnsi="宋体" w:eastAsia="宋体" w:cs="宋体"/>
                <w:b w:val="0"/>
                <w:bCs w:val="0"/>
                <w:color w:val="auto"/>
                <w:kern w:val="0"/>
                <w:sz w:val="24"/>
                <w:szCs w:val="24"/>
                <w:highlight w:val="none"/>
                <w:lang w:eastAsia="zh-CN"/>
              </w:rPr>
              <w:t>8.中标人原则上自行解决员工的生活基地，包括上下班的交通工具。中标人应根据公园管理实际情况，组建应急保障队伍，除满足公园需求外，还须服从宁波市园林绿化中心统一指挥调度。</w:t>
            </w:r>
          </w:p>
          <w:p w14:paraId="2F7A3F87">
            <w:pPr>
              <w:keepNext w:val="0"/>
              <w:keepLines w:val="0"/>
              <w:pageBreakBefore w:val="0"/>
              <w:kinsoku/>
              <w:wordWrap/>
              <w:overflowPunct/>
              <w:topLinePunct w:val="0"/>
              <w:autoSpaceDE/>
              <w:autoSpaceDN/>
              <w:bidi w:val="0"/>
              <w:adjustRightInd w:val="0"/>
              <w:snapToGrid/>
              <w:jc w:val="left"/>
              <w:textAlignment w:val="auto"/>
              <w:rPr>
                <w:rFonts w:hint="eastAsia" w:ascii="宋体" w:hAnsi="宋体" w:eastAsia="宋体" w:cs="宋体"/>
                <w:b w:val="0"/>
                <w:bCs w:val="0"/>
                <w:color w:val="auto"/>
                <w:kern w:val="0"/>
                <w:sz w:val="24"/>
                <w:szCs w:val="24"/>
                <w:highlight w:val="none"/>
                <w:lang w:eastAsia="zh-CN"/>
              </w:rPr>
            </w:pPr>
            <w:r>
              <w:rPr>
                <w:rFonts w:hint="eastAsia" w:ascii="宋体" w:hAnsi="宋体" w:eastAsia="宋体" w:cs="宋体"/>
                <w:b w:val="0"/>
                <w:bCs w:val="0"/>
                <w:color w:val="auto"/>
                <w:kern w:val="0"/>
                <w:sz w:val="24"/>
                <w:szCs w:val="24"/>
                <w:highlight w:val="none"/>
                <w:lang w:eastAsia="zh-CN"/>
              </w:rPr>
              <w:t>9.中标人负责安排员工参加业务技术的培训学习，应安排岗前培训。岗位人员调整时，新进员工资格应满足岗位任职条件，方可上岗，否则按缺岗扣款。</w:t>
            </w:r>
          </w:p>
          <w:p w14:paraId="691933B9">
            <w:pPr>
              <w:keepNext w:val="0"/>
              <w:keepLines w:val="0"/>
              <w:pageBreakBefore w:val="0"/>
              <w:kinsoku/>
              <w:wordWrap/>
              <w:overflowPunct/>
              <w:topLinePunct w:val="0"/>
              <w:autoSpaceDE/>
              <w:autoSpaceDN/>
              <w:bidi w:val="0"/>
              <w:adjustRightInd w:val="0"/>
              <w:snapToGrid/>
              <w:jc w:val="left"/>
              <w:textAlignment w:val="auto"/>
              <w:rPr>
                <w:rFonts w:hint="eastAsia" w:ascii="宋体" w:hAnsi="宋体" w:eastAsia="宋体" w:cs="宋体"/>
                <w:b w:val="0"/>
                <w:bCs w:val="0"/>
                <w:color w:val="auto"/>
                <w:kern w:val="0"/>
                <w:sz w:val="24"/>
                <w:szCs w:val="24"/>
                <w:highlight w:val="none"/>
                <w:lang w:eastAsia="zh-CN"/>
              </w:rPr>
            </w:pPr>
            <w:r>
              <w:rPr>
                <w:rFonts w:hint="eastAsia" w:ascii="宋体" w:hAnsi="宋体" w:eastAsia="宋体" w:cs="宋体"/>
                <w:b w:val="0"/>
                <w:bCs w:val="0"/>
                <w:color w:val="auto"/>
                <w:kern w:val="0"/>
                <w:sz w:val="24"/>
                <w:szCs w:val="24"/>
                <w:highlight w:val="none"/>
                <w:lang w:eastAsia="zh-CN"/>
              </w:rPr>
              <w:t>10.中标人应根据采购人要求在公园重大活动、花展等期间增派人员。</w:t>
            </w:r>
          </w:p>
          <w:p w14:paraId="5AD301CC">
            <w:pPr>
              <w:keepNext w:val="0"/>
              <w:keepLines w:val="0"/>
              <w:pageBreakBefore w:val="0"/>
              <w:kinsoku/>
              <w:wordWrap/>
              <w:overflowPunct/>
              <w:topLinePunct w:val="0"/>
              <w:autoSpaceDE/>
              <w:autoSpaceDN/>
              <w:bidi w:val="0"/>
              <w:adjustRightInd w:val="0"/>
              <w:snapToGrid/>
              <w:jc w:val="left"/>
              <w:textAlignment w:val="auto"/>
              <w:rPr>
                <w:rFonts w:hint="eastAsia" w:ascii="宋体" w:hAnsi="宋体" w:eastAsia="宋体" w:cs="宋体"/>
                <w:b w:val="0"/>
                <w:bCs w:val="0"/>
                <w:color w:val="auto"/>
                <w:kern w:val="0"/>
                <w:sz w:val="24"/>
                <w:szCs w:val="24"/>
                <w:highlight w:val="none"/>
                <w:lang w:eastAsia="zh-CN"/>
              </w:rPr>
            </w:pPr>
            <w:r>
              <w:rPr>
                <w:rFonts w:hint="eastAsia" w:ascii="宋体" w:hAnsi="宋体" w:eastAsia="宋体" w:cs="宋体"/>
                <w:b w:val="0"/>
                <w:bCs w:val="0"/>
                <w:color w:val="auto"/>
                <w:kern w:val="0"/>
                <w:sz w:val="24"/>
                <w:szCs w:val="24"/>
                <w:highlight w:val="none"/>
                <w:lang w:eastAsia="zh-CN"/>
              </w:rPr>
              <w:t>11.作业队伍各岗位上岗时间若有调整，根据采购人调整后的要求统一执行。</w:t>
            </w:r>
          </w:p>
          <w:p w14:paraId="4409B685">
            <w:pPr>
              <w:keepNext w:val="0"/>
              <w:keepLines w:val="0"/>
              <w:pageBreakBefore w:val="0"/>
              <w:kinsoku/>
              <w:wordWrap/>
              <w:overflowPunct/>
              <w:topLinePunct w:val="0"/>
              <w:autoSpaceDE/>
              <w:autoSpaceDN/>
              <w:bidi w:val="0"/>
              <w:adjustRightInd w:val="0"/>
              <w:snapToGrid/>
              <w:jc w:val="left"/>
              <w:textAlignment w:val="auto"/>
              <w:rPr>
                <w:rFonts w:hint="eastAsia" w:ascii="宋体" w:hAnsi="宋体" w:eastAsia="宋体" w:cs="宋体"/>
                <w:b/>
                <w:bCs/>
                <w:color w:val="auto"/>
                <w:kern w:val="0"/>
                <w:sz w:val="24"/>
                <w:szCs w:val="24"/>
                <w:highlight w:val="none"/>
                <w:lang w:eastAsia="zh-CN"/>
              </w:rPr>
            </w:pPr>
            <w:r>
              <w:rPr>
                <w:rFonts w:hint="eastAsia" w:ascii="宋体" w:hAnsi="宋体" w:eastAsia="宋体" w:cs="宋体"/>
                <w:b w:val="0"/>
                <w:bCs w:val="0"/>
                <w:color w:val="auto"/>
                <w:kern w:val="0"/>
                <w:sz w:val="24"/>
                <w:szCs w:val="24"/>
                <w:highlight w:val="none"/>
                <w:lang w:eastAsia="zh-CN"/>
              </w:rPr>
              <w:t>12.采购人根据工作需要，有权调整岗位及任职条件。</w:t>
            </w:r>
          </w:p>
        </w:tc>
      </w:tr>
    </w:tbl>
    <w:p w14:paraId="28C3E6CB">
      <w:pPr>
        <w:widowControl/>
        <w:tabs>
          <w:tab w:val="left" w:pos="851"/>
        </w:tabs>
        <w:adjustRightInd/>
        <w:spacing w:line="360" w:lineRule="auto"/>
        <w:ind w:firstLine="482" w:firstLineChars="200"/>
        <w:rPr>
          <w:rFonts w:hint="eastAsia"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（二）“作业队伍”主要职责及岗位设置标准</w:t>
      </w:r>
    </w:p>
    <w:p w14:paraId="5D6C1FC0">
      <w:pPr>
        <w:widowControl/>
        <w:tabs>
          <w:tab w:val="left" w:pos="851"/>
        </w:tabs>
        <w:adjustRightInd/>
        <w:spacing w:line="360" w:lineRule="auto"/>
        <w:ind w:firstLine="482" w:firstLineChars="200"/>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①儿童公园</w:t>
      </w:r>
    </w:p>
    <w:tbl>
      <w:tblPr>
        <w:tblStyle w:val="62"/>
        <w:tblW w:w="9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326"/>
        <w:gridCol w:w="680"/>
        <w:gridCol w:w="2479"/>
        <w:gridCol w:w="1487"/>
        <w:gridCol w:w="1234"/>
        <w:gridCol w:w="1779"/>
      </w:tblGrid>
      <w:tr w14:paraId="271A7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732" w:type="dxa"/>
            <w:noWrap w:val="0"/>
            <w:vAlign w:val="center"/>
          </w:tcPr>
          <w:p w14:paraId="72EE685E">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类别</w:t>
            </w:r>
          </w:p>
        </w:tc>
        <w:tc>
          <w:tcPr>
            <w:tcW w:w="1326" w:type="dxa"/>
            <w:noWrap w:val="0"/>
            <w:vAlign w:val="center"/>
          </w:tcPr>
          <w:p w14:paraId="348BDD9D">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岗位</w:t>
            </w:r>
          </w:p>
          <w:p w14:paraId="11283FD0">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名称</w:t>
            </w:r>
          </w:p>
        </w:tc>
        <w:tc>
          <w:tcPr>
            <w:tcW w:w="680" w:type="dxa"/>
            <w:noWrap w:val="0"/>
            <w:vAlign w:val="center"/>
          </w:tcPr>
          <w:p w14:paraId="7E7B1A90">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岗位数量</w:t>
            </w:r>
          </w:p>
        </w:tc>
        <w:tc>
          <w:tcPr>
            <w:tcW w:w="2479" w:type="dxa"/>
            <w:noWrap w:val="0"/>
            <w:vAlign w:val="center"/>
          </w:tcPr>
          <w:p w14:paraId="6E0D1F0C">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岗位职责</w:t>
            </w:r>
          </w:p>
        </w:tc>
        <w:tc>
          <w:tcPr>
            <w:tcW w:w="1487" w:type="dxa"/>
            <w:noWrap w:val="0"/>
            <w:vAlign w:val="center"/>
          </w:tcPr>
          <w:p w14:paraId="5F64A796">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任职条件（执业资格、年龄、工作经验等）</w:t>
            </w:r>
          </w:p>
        </w:tc>
        <w:tc>
          <w:tcPr>
            <w:tcW w:w="1234" w:type="dxa"/>
            <w:noWrap w:val="0"/>
            <w:vAlign w:val="center"/>
          </w:tcPr>
          <w:p w14:paraId="6DC63B71">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上岗</w:t>
            </w:r>
          </w:p>
          <w:p w14:paraId="09699153">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时间</w:t>
            </w:r>
          </w:p>
        </w:tc>
        <w:tc>
          <w:tcPr>
            <w:tcW w:w="1779" w:type="dxa"/>
            <w:noWrap w:val="0"/>
            <w:vAlign w:val="center"/>
          </w:tcPr>
          <w:p w14:paraId="1BB427C0">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p>
        </w:tc>
      </w:tr>
      <w:tr w14:paraId="1962E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732" w:type="dxa"/>
            <w:noWrap w:val="0"/>
            <w:vAlign w:val="center"/>
          </w:tcPr>
          <w:p w14:paraId="38C85C48">
            <w:pPr>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绿化</w:t>
            </w:r>
          </w:p>
        </w:tc>
        <w:tc>
          <w:tcPr>
            <w:tcW w:w="1326" w:type="dxa"/>
            <w:noWrap w:val="0"/>
            <w:vAlign w:val="center"/>
          </w:tcPr>
          <w:p w14:paraId="5A8D2CF1">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绿化</w:t>
            </w:r>
          </w:p>
          <w:p w14:paraId="29F3A2E7">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养护</w:t>
            </w:r>
          </w:p>
        </w:tc>
        <w:tc>
          <w:tcPr>
            <w:tcW w:w="680" w:type="dxa"/>
            <w:noWrap w:val="0"/>
            <w:vAlign w:val="center"/>
          </w:tcPr>
          <w:p w14:paraId="6C484DF5">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2479" w:type="dxa"/>
            <w:noWrap w:val="0"/>
            <w:vAlign w:val="center"/>
          </w:tcPr>
          <w:p w14:paraId="7001BF0A">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负责</w:t>
            </w:r>
            <w:r>
              <w:rPr>
                <w:rFonts w:hint="eastAsia" w:ascii="宋体" w:hAnsi="宋体" w:eastAsia="宋体" w:cs="宋体"/>
                <w:color w:val="auto"/>
                <w:kern w:val="0"/>
                <w:sz w:val="24"/>
                <w:szCs w:val="24"/>
                <w:highlight w:val="none"/>
                <w:lang w:eastAsia="zh-CN"/>
              </w:rPr>
              <w:t>园</w:t>
            </w:r>
            <w:r>
              <w:rPr>
                <w:rFonts w:hint="eastAsia" w:ascii="宋体" w:hAnsi="宋体" w:eastAsia="宋体" w:cs="宋体"/>
                <w:color w:val="auto"/>
                <w:kern w:val="0"/>
                <w:sz w:val="24"/>
                <w:szCs w:val="24"/>
                <w:highlight w:val="none"/>
              </w:rPr>
              <w:t>内植物修剪、浇水、施肥、除杂草、植物补植、植物病虫害防治</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防台</w:t>
            </w:r>
            <w:r>
              <w:rPr>
                <w:rFonts w:hint="eastAsia" w:ascii="宋体" w:hAnsi="宋体" w:eastAsia="宋体" w:cs="宋体"/>
                <w:color w:val="auto"/>
                <w:kern w:val="0"/>
                <w:sz w:val="24"/>
                <w:szCs w:val="24"/>
                <w:highlight w:val="none"/>
                <w:lang w:eastAsia="zh-CN"/>
              </w:rPr>
              <w:t>防汛</w:t>
            </w:r>
            <w:r>
              <w:rPr>
                <w:rFonts w:hint="eastAsia" w:ascii="宋体" w:hAnsi="宋体" w:eastAsia="宋体" w:cs="宋体"/>
                <w:color w:val="auto"/>
                <w:kern w:val="0"/>
                <w:sz w:val="24"/>
                <w:szCs w:val="24"/>
                <w:highlight w:val="none"/>
              </w:rPr>
              <w:t>等工作；掌握绿化机械设备的使用和对使用的机具进行清洁、保养。</w:t>
            </w:r>
          </w:p>
        </w:tc>
        <w:tc>
          <w:tcPr>
            <w:tcW w:w="1487" w:type="dxa"/>
            <w:noWrap w:val="0"/>
            <w:vAlign w:val="center"/>
          </w:tcPr>
          <w:p w14:paraId="40484630">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有相关工作经验，法定工作年龄，且须具备人社部门或者主管部门认证的绿化工或草坪工证书</w:t>
            </w:r>
          </w:p>
        </w:tc>
        <w:tc>
          <w:tcPr>
            <w:tcW w:w="1234" w:type="dxa"/>
            <w:noWrap w:val="0"/>
            <w:vAlign w:val="center"/>
          </w:tcPr>
          <w:p w14:paraId="759F94B5">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每日在岗不少于8小时</w:t>
            </w:r>
          </w:p>
        </w:tc>
        <w:tc>
          <w:tcPr>
            <w:tcW w:w="1779" w:type="dxa"/>
            <w:noWrap w:val="0"/>
            <w:vAlign w:val="center"/>
          </w:tcPr>
          <w:p w14:paraId="25AE3441">
            <w:p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绿化工或草坪工证书，允许中标人在合同签订后6个月内配足，否则考核后进行扣罚。</w:t>
            </w:r>
          </w:p>
        </w:tc>
      </w:tr>
      <w:tr w14:paraId="00F73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732" w:type="dxa"/>
            <w:vMerge w:val="restart"/>
            <w:noWrap w:val="0"/>
            <w:vAlign w:val="center"/>
          </w:tcPr>
          <w:p w14:paraId="04390CF8">
            <w:pPr>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保洁</w:t>
            </w:r>
          </w:p>
        </w:tc>
        <w:tc>
          <w:tcPr>
            <w:tcW w:w="1326" w:type="dxa"/>
            <w:noWrap w:val="0"/>
            <w:vAlign w:val="center"/>
          </w:tcPr>
          <w:p w14:paraId="1B2446A2">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广场铺装深度保洁（内圈）</w:t>
            </w:r>
          </w:p>
        </w:tc>
        <w:tc>
          <w:tcPr>
            <w:tcW w:w="680" w:type="dxa"/>
            <w:noWrap w:val="0"/>
            <w:vAlign w:val="center"/>
          </w:tcPr>
          <w:p w14:paraId="3277A501">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2479" w:type="dxa"/>
            <w:noWrap w:val="0"/>
            <w:vAlign w:val="center"/>
          </w:tcPr>
          <w:p w14:paraId="7039F2B5">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负责内圈路面、绿地、游乐设施内区域等保洁，确保公共区域的保洁符合“席地而坐”公园的卫生标准。</w:t>
            </w:r>
          </w:p>
        </w:tc>
        <w:tc>
          <w:tcPr>
            <w:tcW w:w="1487" w:type="dxa"/>
            <w:noWrap w:val="0"/>
            <w:vAlign w:val="center"/>
          </w:tcPr>
          <w:p w14:paraId="020A7057">
            <w:pPr>
              <w:keepNext w:val="0"/>
              <w:keepLines w:val="0"/>
              <w:pageBreakBefore w:val="0"/>
              <w:kinsoku/>
              <w:wordWrap/>
              <w:overflowPunct/>
              <w:topLinePunct w:val="0"/>
              <w:autoSpaceDE/>
              <w:autoSpaceDN/>
              <w:bidi w:val="0"/>
              <w:adjustRightInd w:val="0"/>
              <w:snapToGrid/>
              <w:textAlignment w:val="auto"/>
              <w:rPr>
                <w:rFonts w:hint="default"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eastAsia="zh-CN"/>
              </w:rPr>
              <w:t>有相关工作经验，符合劳动法</w:t>
            </w:r>
          </w:p>
        </w:tc>
        <w:tc>
          <w:tcPr>
            <w:tcW w:w="1234" w:type="dxa"/>
            <w:noWrap w:val="0"/>
            <w:vAlign w:val="center"/>
          </w:tcPr>
          <w:p w14:paraId="5FA7C73F">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年日均在岗不少于10小时</w:t>
            </w:r>
          </w:p>
        </w:tc>
        <w:tc>
          <w:tcPr>
            <w:tcW w:w="1779" w:type="dxa"/>
            <w:noWrap w:val="0"/>
            <w:vAlign w:val="center"/>
          </w:tcPr>
          <w:p w14:paraId="7DAEC656">
            <w:pPr>
              <w:jc w:val="left"/>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4-11月：8-21点；12-3月：8-18点。（含午休时间）</w:t>
            </w:r>
          </w:p>
        </w:tc>
      </w:tr>
      <w:tr w14:paraId="3AE2D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732" w:type="dxa"/>
            <w:vMerge w:val="continue"/>
            <w:noWrap w:val="0"/>
            <w:vAlign w:val="center"/>
          </w:tcPr>
          <w:p w14:paraId="3D9D0BD6">
            <w:pPr>
              <w:jc w:val="center"/>
              <w:rPr>
                <w:rFonts w:hint="eastAsia" w:ascii="宋体" w:hAnsi="宋体" w:eastAsia="宋体" w:cs="宋体"/>
                <w:b/>
                <w:bCs/>
                <w:color w:val="auto"/>
                <w:sz w:val="24"/>
                <w:szCs w:val="24"/>
                <w:highlight w:val="none"/>
                <w:lang w:eastAsia="zh-CN"/>
              </w:rPr>
            </w:pPr>
          </w:p>
        </w:tc>
        <w:tc>
          <w:tcPr>
            <w:tcW w:w="1326" w:type="dxa"/>
            <w:noWrap w:val="0"/>
            <w:vAlign w:val="center"/>
          </w:tcPr>
          <w:p w14:paraId="766EF08E">
            <w:pPr>
              <w:keepNext w:val="0"/>
              <w:keepLines w:val="0"/>
              <w:pageBreakBefore w:val="0"/>
              <w:kinsoku/>
              <w:wordWrap/>
              <w:overflowPunct/>
              <w:topLinePunct w:val="0"/>
              <w:autoSpaceDE/>
              <w:autoSpaceDN/>
              <w:bidi w:val="0"/>
              <w:adjustRightInd w:val="0"/>
              <w:snapToGrid/>
              <w:jc w:val="center"/>
              <w:textAlignment w:val="auto"/>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eastAsia="zh-CN"/>
              </w:rPr>
              <w:t>广场铺装深度保洁（外圈）</w:t>
            </w:r>
          </w:p>
        </w:tc>
        <w:tc>
          <w:tcPr>
            <w:tcW w:w="680" w:type="dxa"/>
            <w:noWrap w:val="0"/>
            <w:vAlign w:val="center"/>
          </w:tcPr>
          <w:p w14:paraId="663B4231">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2479" w:type="dxa"/>
            <w:noWrap w:val="0"/>
            <w:vAlign w:val="center"/>
          </w:tcPr>
          <w:p w14:paraId="0B4AA8A8">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负责外圈路面、绿地及活动区等保洁，确保公共区域的保洁符合“席地而坐”公园的卫生标准。</w:t>
            </w:r>
          </w:p>
        </w:tc>
        <w:tc>
          <w:tcPr>
            <w:tcW w:w="1487" w:type="dxa"/>
            <w:noWrap w:val="0"/>
            <w:vAlign w:val="center"/>
          </w:tcPr>
          <w:p w14:paraId="28F7C80C">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eastAsia="zh-CN"/>
              </w:rPr>
              <w:t>有相关工作经验，符合劳动法</w:t>
            </w:r>
          </w:p>
        </w:tc>
        <w:tc>
          <w:tcPr>
            <w:tcW w:w="1234" w:type="dxa"/>
            <w:noWrap w:val="0"/>
            <w:vAlign w:val="center"/>
          </w:tcPr>
          <w:p w14:paraId="390F9741">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日均在岗不少于10小时</w:t>
            </w:r>
          </w:p>
        </w:tc>
        <w:tc>
          <w:tcPr>
            <w:tcW w:w="1779" w:type="dxa"/>
            <w:noWrap w:val="0"/>
            <w:vAlign w:val="center"/>
          </w:tcPr>
          <w:p w14:paraId="4BBBD6DB">
            <w:pPr>
              <w:jc w:val="left"/>
              <w:rPr>
                <w:rFonts w:hint="eastAsia" w:ascii="宋体" w:hAnsi="宋体" w:eastAsia="宋体" w:cs="宋体"/>
                <w:color w:val="auto"/>
                <w:sz w:val="24"/>
                <w:szCs w:val="24"/>
                <w:highlight w:val="none"/>
                <w:lang w:val="en-US" w:eastAsia="zh-CN"/>
              </w:rPr>
            </w:pPr>
          </w:p>
        </w:tc>
      </w:tr>
      <w:tr w14:paraId="75965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732" w:type="dxa"/>
            <w:vMerge w:val="continue"/>
            <w:noWrap w:val="0"/>
            <w:vAlign w:val="center"/>
          </w:tcPr>
          <w:p w14:paraId="77DAE9C0">
            <w:pPr>
              <w:jc w:val="center"/>
              <w:rPr>
                <w:rFonts w:hint="eastAsia" w:ascii="宋体" w:hAnsi="宋体" w:eastAsia="宋体" w:cs="宋体"/>
                <w:b/>
                <w:bCs/>
                <w:color w:val="auto"/>
                <w:sz w:val="24"/>
                <w:szCs w:val="24"/>
                <w:highlight w:val="none"/>
              </w:rPr>
            </w:pPr>
          </w:p>
        </w:tc>
        <w:tc>
          <w:tcPr>
            <w:tcW w:w="1326" w:type="dxa"/>
            <w:noWrap w:val="0"/>
            <w:vAlign w:val="center"/>
          </w:tcPr>
          <w:p w14:paraId="574869C4">
            <w:pPr>
              <w:keepNext w:val="0"/>
              <w:keepLines w:val="0"/>
              <w:pageBreakBefore w:val="0"/>
              <w:kinsoku/>
              <w:wordWrap/>
              <w:overflowPunct/>
              <w:topLinePunct w:val="0"/>
              <w:autoSpaceDE/>
              <w:autoSpaceDN/>
              <w:bidi w:val="0"/>
              <w:adjustRightInd w:val="0"/>
              <w:snapToGrid/>
              <w:jc w:val="center"/>
              <w:textAlignment w:val="auto"/>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设施深度保洁</w:t>
            </w:r>
          </w:p>
        </w:tc>
        <w:tc>
          <w:tcPr>
            <w:tcW w:w="680" w:type="dxa"/>
            <w:noWrap w:val="0"/>
            <w:vAlign w:val="center"/>
          </w:tcPr>
          <w:p w14:paraId="2B2AE02A">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2479" w:type="dxa"/>
            <w:noWrap w:val="0"/>
            <w:vAlign w:val="center"/>
          </w:tcPr>
          <w:p w14:paraId="0499D45B">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负责户外公共区域内建构筑物、城市家具、游乐设施的深度保洁，确保公共区域的保洁符合“席地而坐”公园的卫生标准。</w:t>
            </w:r>
          </w:p>
        </w:tc>
        <w:tc>
          <w:tcPr>
            <w:tcW w:w="1487" w:type="dxa"/>
            <w:noWrap w:val="0"/>
            <w:vAlign w:val="center"/>
          </w:tcPr>
          <w:p w14:paraId="083D0F88">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有相关工作经验，符合劳动法</w:t>
            </w:r>
          </w:p>
        </w:tc>
        <w:tc>
          <w:tcPr>
            <w:tcW w:w="1234" w:type="dxa"/>
            <w:noWrap w:val="0"/>
            <w:vAlign w:val="center"/>
          </w:tcPr>
          <w:p w14:paraId="1B276270">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每日在岗不少于8小时</w:t>
            </w:r>
          </w:p>
        </w:tc>
        <w:tc>
          <w:tcPr>
            <w:tcW w:w="1779" w:type="dxa"/>
            <w:noWrap w:val="0"/>
            <w:vAlign w:val="top"/>
          </w:tcPr>
          <w:p w14:paraId="7402D45C">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p>
        </w:tc>
      </w:tr>
      <w:tr w14:paraId="7E08E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732" w:type="dxa"/>
            <w:vMerge w:val="continue"/>
            <w:noWrap w:val="0"/>
            <w:vAlign w:val="center"/>
          </w:tcPr>
          <w:p w14:paraId="5D276B86">
            <w:pPr>
              <w:jc w:val="center"/>
              <w:rPr>
                <w:rFonts w:hint="eastAsia" w:ascii="宋体" w:hAnsi="宋体" w:eastAsia="宋体" w:cs="宋体"/>
                <w:b/>
                <w:bCs/>
                <w:color w:val="auto"/>
                <w:sz w:val="24"/>
                <w:szCs w:val="24"/>
                <w:highlight w:val="none"/>
              </w:rPr>
            </w:pPr>
          </w:p>
        </w:tc>
        <w:tc>
          <w:tcPr>
            <w:tcW w:w="1326" w:type="dxa"/>
            <w:noWrap w:val="0"/>
            <w:vAlign w:val="center"/>
          </w:tcPr>
          <w:p w14:paraId="7B17DC80">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公厕</w:t>
            </w:r>
          </w:p>
          <w:p w14:paraId="76C5AE02">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保洁</w:t>
            </w:r>
          </w:p>
        </w:tc>
        <w:tc>
          <w:tcPr>
            <w:tcW w:w="680" w:type="dxa"/>
            <w:noWrap w:val="0"/>
            <w:vAlign w:val="center"/>
          </w:tcPr>
          <w:p w14:paraId="76BAB356">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p>
        </w:tc>
        <w:tc>
          <w:tcPr>
            <w:tcW w:w="2479" w:type="dxa"/>
            <w:noWrap w:val="0"/>
            <w:vAlign w:val="center"/>
          </w:tcPr>
          <w:p w14:paraId="6F3D21A2">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负责</w:t>
            </w:r>
            <w:r>
              <w:rPr>
                <w:rFonts w:hint="eastAsia" w:ascii="宋体" w:hAnsi="宋体" w:eastAsia="宋体" w:cs="宋体"/>
                <w:color w:val="auto"/>
                <w:kern w:val="0"/>
                <w:sz w:val="24"/>
                <w:szCs w:val="24"/>
                <w:highlight w:val="none"/>
                <w:lang w:eastAsia="zh-CN"/>
              </w:rPr>
              <w:t>公园</w:t>
            </w:r>
            <w:r>
              <w:rPr>
                <w:rFonts w:hint="eastAsia" w:ascii="宋体" w:hAnsi="宋体" w:eastAsia="宋体" w:cs="宋体"/>
                <w:color w:val="auto"/>
                <w:kern w:val="0"/>
                <w:sz w:val="24"/>
                <w:szCs w:val="24"/>
                <w:highlight w:val="none"/>
              </w:rPr>
              <w:t>公共厕所</w:t>
            </w:r>
            <w:r>
              <w:rPr>
                <w:rFonts w:hint="eastAsia" w:ascii="宋体" w:hAnsi="宋体" w:eastAsia="宋体" w:cs="宋体"/>
                <w:color w:val="auto"/>
                <w:kern w:val="0"/>
                <w:sz w:val="24"/>
                <w:szCs w:val="24"/>
                <w:highlight w:val="none"/>
                <w:lang w:eastAsia="zh-CN"/>
              </w:rPr>
              <w:t>、母婴室等的</w:t>
            </w:r>
            <w:r>
              <w:rPr>
                <w:rFonts w:hint="eastAsia" w:ascii="宋体" w:hAnsi="宋体" w:eastAsia="宋体" w:cs="宋体"/>
                <w:color w:val="auto"/>
                <w:kern w:val="0"/>
                <w:sz w:val="24"/>
                <w:szCs w:val="24"/>
                <w:highlight w:val="none"/>
              </w:rPr>
              <w:t>卫生保洁。</w:t>
            </w:r>
          </w:p>
        </w:tc>
        <w:tc>
          <w:tcPr>
            <w:tcW w:w="1487" w:type="dxa"/>
            <w:noWrap w:val="0"/>
            <w:vAlign w:val="center"/>
          </w:tcPr>
          <w:p w14:paraId="54A96C83">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有相关工作经验</w:t>
            </w:r>
          </w:p>
        </w:tc>
        <w:tc>
          <w:tcPr>
            <w:tcW w:w="1234" w:type="dxa"/>
            <w:noWrap w:val="0"/>
            <w:vAlign w:val="center"/>
          </w:tcPr>
          <w:p w14:paraId="6ACCFCE4">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日均在岗不少于12小时</w:t>
            </w:r>
          </w:p>
        </w:tc>
        <w:tc>
          <w:tcPr>
            <w:tcW w:w="1779" w:type="dxa"/>
            <w:noWrap w:val="0"/>
            <w:vAlign w:val="top"/>
          </w:tcPr>
          <w:p w14:paraId="3A06A460">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4-11月：8-21点；12－次年3月：8-18点</w:t>
            </w:r>
          </w:p>
        </w:tc>
      </w:tr>
      <w:tr w14:paraId="62621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732" w:type="dxa"/>
            <w:vMerge w:val="continue"/>
            <w:noWrap w:val="0"/>
            <w:vAlign w:val="center"/>
          </w:tcPr>
          <w:p w14:paraId="77BC0C81">
            <w:pPr>
              <w:jc w:val="center"/>
              <w:rPr>
                <w:rFonts w:hint="eastAsia" w:ascii="宋体" w:hAnsi="宋体" w:eastAsia="宋体" w:cs="宋体"/>
                <w:b/>
                <w:bCs/>
                <w:color w:val="auto"/>
                <w:sz w:val="24"/>
                <w:szCs w:val="24"/>
                <w:highlight w:val="none"/>
              </w:rPr>
            </w:pPr>
          </w:p>
        </w:tc>
        <w:tc>
          <w:tcPr>
            <w:tcW w:w="1326" w:type="dxa"/>
            <w:noWrap w:val="0"/>
            <w:vAlign w:val="center"/>
          </w:tcPr>
          <w:p w14:paraId="06C7261A">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水域保洁</w:t>
            </w:r>
          </w:p>
        </w:tc>
        <w:tc>
          <w:tcPr>
            <w:tcW w:w="680" w:type="dxa"/>
            <w:noWrap w:val="0"/>
            <w:vAlign w:val="center"/>
          </w:tcPr>
          <w:p w14:paraId="1336DB76">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2479" w:type="dxa"/>
            <w:noWrap w:val="0"/>
            <w:vAlign w:val="center"/>
          </w:tcPr>
          <w:p w14:paraId="5485687F">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负责公园水域保洁作业</w:t>
            </w:r>
            <w:r>
              <w:rPr>
                <w:rFonts w:hint="eastAsia" w:ascii="宋体" w:hAnsi="宋体" w:eastAsia="宋体" w:cs="宋体"/>
                <w:color w:val="auto"/>
                <w:kern w:val="0"/>
                <w:sz w:val="24"/>
                <w:szCs w:val="24"/>
                <w:highlight w:val="none"/>
                <w:lang w:val="en-US" w:eastAsia="zh-CN"/>
              </w:rPr>
              <w:t>及水质维护</w:t>
            </w:r>
            <w:r>
              <w:rPr>
                <w:rFonts w:hint="eastAsia" w:ascii="宋体" w:hAnsi="宋体" w:eastAsia="宋体" w:cs="宋体"/>
                <w:color w:val="auto"/>
                <w:kern w:val="0"/>
                <w:sz w:val="24"/>
                <w:szCs w:val="24"/>
                <w:highlight w:val="none"/>
                <w:lang w:eastAsia="zh-CN"/>
              </w:rPr>
              <w:t>作业</w:t>
            </w:r>
          </w:p>
        </w:tc>
        <w:tc>
          <w:tcPr>
            <w:tcW w:w="1487" w:type="dxa"/>
            <w:noWrap w:val="0"/>
            <w:vAlign w:val="center"/>
          </w:tcPr>
          <w:p w14:paraId="77205A57">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有相关工作经验，法定工作年龄，会游泳</w:t>
            </w:r>
          </w:p>
        </w:tc>
        <w:tc>
          <w:tcPr>
            <w:tcW w:w="1234" w:type="dxa"/>
            <w:noWrap w:val="0"/>
            <w:vAlign w:val="center"/>
          </w:tcPr>
          <w:p w14:paraId="15D627D2">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每</w:t>
            </w:r>
            <w:r>
              <w:rPr>
                <w:rFonts w:hint="eastAsia" w:ascii="宋体" w:hAnsi="宋体" w:eastAsia="宋体" w:cs="宋体"/>
                <w:color w:val="auto"/>
                <w:kern w:val="0"/>
                <w:sz w:val="24"/>
                <w:szCs w:val="24"/>
                <w:highlight w:val="none"/>
                <w:lang w:val="en-US" w:eastAsia="zh-CN"/>
              </w:rPr>
              <w:t>日</w:t>
            </w:r>
            <w:r>
              <w:rPr>
                <w:rFonts w:hint="eastAsia" w:ascii="宋体" w:hAnsi="宋体" w:eastAsia="宋体" w:cs="宋体"/>
                <w:color w:val="auto"/>
                <w:kern w:val="0"/>
                <w:sz w:val="24"/>
                <w:szCs w:val="24"/>
                <w:highlight w:val="none"/>
                <w:lang w:eastAsia="zh-CN"/>
              </w:rPr>
              <w:t>在岗</w:t>
            </w:r>
            <w:r>
              <w:rPr>
                <w:rFonts w:hint="eastAsia" w:ascii="宋体" w:hAnsi="宋体" w:eastAsia="宋体" w:cs="宋体"/>
                <w:color w:val="auto"/>
                <w:kern w:val="0"/>
                <w:sz w:val="24"/>
                <w:szCs w:val="24"/>
                <w:highlight w:val="none"/>
                <w:lang w:val="en-US" w:eastAsia="zh-CN"/>
              </w:rPr>
              <w:t>8小时</w:t>
            </w:r>
          </w:p>
        </w:tc>
        <w:tc>
          <w:tcPr>
            <w:tcW w:w="1779" w:type="dxa"/>
            <w:noWrap w:val="0"/>
            <w:vAlign w:val="top"/>
          </w:tcPr>
          <w:p w14:paraId="602054AB">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rPr>
            </w:pPr>
          </w:p>
        </w:tc>
      </w:tr>
      <w:tr w14:paraId="09949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2" w:type="dxa"/>
            <w:vMerge w:val="restart"/>
            <w:noWrap w:val="0"/>
            <w:vAlign w:val="center"/>
          </w:tcPr>
          <w:p w14:paraId="59B1D42A">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安保服务</w:t>
            </w:r>
          </w:p>
        </w:tc>
        <w:tc>
          <w:tcPr>
            <w:tcW w:w="1326" w:type="dxa"/>
            <w:noWrap w:val="0"/>
            <w:vAlign w:val="center"/>
          </w:tcPr>
          <w:p w14:paraId="1F7E2A8B">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保安</w:t>
            </w:r>
            <w:r>
              <w:rPr>
                <w:rFonts w:hint="eastAsia" w:ascii="宋体" w:hAnsi="宋体" w:eastAsia="宋体" w:cs="宋体"/>
                <w:color w:val="auto"/>
                <w:kern w:val="0"/>
                <w:sz w:val="24"/>
                <w:szCs w:val="24"/>
                <w:highlight w:val="none"/>
                <w:lang w:eastAsia="zh-CN"/>
              </w:rPr>
              <w:t>（内圈）</w:t>
            </w:r>
          </w:p>
        </w:tc>
        <w:tc>
          <w:tcPr>
            <w:tcW w:w="680" w:type="dxa"/>
            <w:noWrap w:val="0"/>
            <w:vAlign w:val="center"/>
          </w:tcPr>
          <w:p w14:paraId="1F85125A">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3</w:t>
            </w:r>
          </w:p>
        </w:tc>
        <w:tc>
          <w:tcPr>
            <w:tcW w:w="2479" w:type="dxa"/>
            <w:noWrap w:val="0"/>
            <w:vAlign w:val="center"/>
          </w:tcPr>
          <w:p w14:paraId="6C05258D">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负责园区</w:t>
            </w:r>
            <w:r>
              <w:rPr>
                <w:rFonts w:hint="eastAsia" w:ascii="宋体" w:hAnsi="宋体" w:eastAsia="宋体" w:cs="宋体"/>
                <w:color w:val="auto"/>
                <w:kern w:val="0"/>
                <w:sz w:val="24"/>
                <w:szCs w:val="24"/>
                <w:highlight w:val="none"/>
                <w:lang w:eastAsia="zh-CN"/>
              </w:rPr>
              <w:t>内圈</w:t>
            </w:r>
            <w:r>
              <w:rPr>
                <w:rFonts w:hint="eastAsia" w:ascii="宋体" w:hAnsi="宋体" w:eastAsia="宋体" w:cs="宋体"/>
                <w:color w:val="auto"/>
                <w:kern w:val="0"/>
                <w:sz w:val="24"/>
                <w:szCs w:val="24"/>
                <w:highlight w:val="none"/>
              </w:rPr>
              <w:t>安全生产，维护园区游客秩序工作；</w:t>
            </w:r>
          </w:p>
        </w:tc>
        <w:tc>
          <w:tcPr>
            <w:tcW w:w="1487" w:type="dxa"/>
            <w:vMerge w:val="restart"/>
            <w:noWrap w:val="0"/>
            <w:vAlign w:val="center"/>
          </w:tcPr>
          <w:p w14:paraId="3A83C32C">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r>
              <w:rPr>
                <w:rFonts w:hint="eastAsia" w:ascii="宋体" w:hAnsi="宋体" w:eastAsia="宋体" w:cs="宋体"/>
                <w:color w:val="auto"/>
                <w:kern w:val="0"/>
                <w:sz w:val="24"/>
                <w:szCs w:val="24"/>
                <w:highlight w:val="none"/>
                <w:lang w:val="en-US" w:eastAsia="zh-CN"/>
              </w:rPr>
              <w:t>5周</w:t>
            </w:r>
            <w:r>
              <w:rPr>
                <w:rFonts w:hint="eastAsia" w:ascii="宋体" w:hAnsi="宋体" w:eastAsia="宋体" w:cs="宋体"/>
                <w:color w:val="auto"/>
                <w:kern w:val="0"/>
                <w:sz w:val="24"/>
                <w:szCs w:val="24"/>
                <w:highlight w:val="none"/>
              </w:rPr>
              <w:t>岁以下</w:t>
            </w:r>
            <w:r>
              <w:rPr>
                <w:rFonts w:hint="eastAsia" w:ascii="宋体" w:hAnsi="宋体" w:eastAsia="宋体" w:cs="宋体"/>
                <w:color w:val="auto"/>
                <w:kern w:val="0"/>
                <w:sz w:val="24"/>
                <w:szCs w:val="24"/>
                <w:highlight w:val="none"/>
                <w:lang w:eastAsia="zh-CN"/>
              </w:rPr>
              <w:t>，有相关经验</w:t>
            </w:r>
            <w:r>
              <w:rPr>
                <w:rFonts w:hint="eastAsia" w:ascii="宋体" w:hAnsi="宋体" w:eastAsia="宋体" w:cs="宋体"/>
                <w:color w:val="auto"/>
                <w:kern w:val="0"/>
                <w:sz w:val="24"/>
                <w:szCs w:val="24"/>
                <w:highlight w:val="none"/>
              </w:rPr>
              <w:t>。</w:t>
            </w:r>
          </w:p>
        </w:tc>
        <w:tc>
          <w:tcPr>
            <w:tcW w:w="1234" w:type="dxa"/>
            <w:noWrap w:val="0"/>
            <w:vAlign w:val="center"/>
          </w:tcPr>
          <w:p w14:paraId="39DAC61E">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年日均在岗不少于12小时</w:t>
            </w:r>
          </w:p>
        </w:tc>
        <w:tc>
          <w:tcPr>
            <w:tcW w:w="1779" w:type="dxa"/>
            <w:noWrap w:val="0"/>
            <w:vAlign w:val="center"/>
          </w:tcPr>
          <w:p w14:paraId="1561AC42">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4-11月：8-21点；12-3月：8-18点。法定节日及六一增加24班，周末增加104班（8小时为1班）</w:t>
            </w:r>
          </w:p>
        </w:tc>
      </w:tr>
      <w:tr w14:paraId="72EFB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2" w:type="dxa"/>
            <w:vMerge w:val="continue"/>
            <w:noWrap w:val="0"/>
            <w:vAlign w:val="center"/>
          </w:tcPr>
          <w:p w14:paraId="0B808EC1">
            <w:pPr>
              <w:jc w:val="center"/>
              <w:rPr>
                <w:rFonts w:hint="eastAsia" w:ascii="宋体" w:hAnsi="宋体" w:eastAsia="宋体" w:cs="宋体"/>
                <w:b/>
                <w:bCs/>
                <w:color w:val="auto"/>
                <w:kern w:val="0"/>
                <w:sz w:val="24"/>
                <w:szCs w:val="24"/>
                <w:highlight w:val="none"/>
              </w:rPr>
            </w:pPr>
          </w:p>
        </w:tc>
        <w:tc>
          <w:tcPr>
            <w:tcW w:w="1326" w:type="dxa"/>
            <w:noWrap w:val="0"/>
            <w:vAlign w:val="center"/>
          </w:tcPr>
          <w:p w14:paraId="5FCB8682">
            <w:pPr>
              <w:keepNext w:val="0"/>
              <w:keepLines w:val="0"/>
              <w:pageBreakBefore w:val="0"/>
              <w:kinsoku/>
              <w:wordWrap/>
              <w:overflowPunct/>
              <w:topLinePunct w:val="0"/>
              <w:autoSpaceDE/>
              <w:autoSpaceDN/>
              <w:bidi w:val="0"/>
              <w:adjustRightInd w:val="0"/>
              <w:snapToGrid/>
              <w:jc w:val="center"/>
              <w:textAlignment w:val="auto"/>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保安</w:t>
            </w:r>
            <w:r>
              <w:rPr>
                <w:rFonts w:hint="eastAsia" w:ascii="宋体" w:hAnsi="宋体" w:eastAsia="宋体" w:cs="宋体"/>
                <w:color w:val="auto"/>
                <w:kern w:val="0"/>
                <w:sz w:val="24"/>
                <w:szCs w:val="24"/>
                <w:highlight w:val="none"/>
                <w:lang w:eastAsia="zh-CN"/>
              </w:rPr>
              <w:t>（外圈）</w:t>
            </w:r>
          </w:p>
        </w:tc>
        <w:tc>
          <w:tcPr>
            <w:tcW w:w="680" w:type="dxa"/>
            <w:noWrap w:val="0"/>
            <w:vAlign w:val="center"/>
          </w:tcPr>
          <w:p w14:paraId="2C953377">
            <w:pPr>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2479" w:type="dxa"/>
            <w:noWrap w:val="0"/>
            <w:vAlign w:val="center"/>
          </w:tcPr>
          <w:p w14:paraId="4AA8B7F4">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负责园区</w:t>
            </w:r>
            <w:r>
              <w:rPr>
                <w:rFonts w:hint="eastAsia" w:ascii="宋体" w:hAnsi="宋体" w:eastAsia="宋体" w:cs="宋体"/>
                <w:color w:val="auto"/>
                <w:kern w:val="0"/>
                <w:sz w:val="24"/>
                <w:szCs w:val="24"/>
                <w:highlight w:val="none"/>
                <w:lang w:eastAsia="zh-CN"/>
              </w:rPr>
              <w:t>外圈</w:t>
            </w:r>
            <w:r>
              <w:rPr>
                <w:rFonts w:hint="eastAsia" w:ascii="宋体" w:hAnsi="宋体" w:eastAsia="宋体" w:cs="宋体"/>
                <w:color w:val="auto"/>
                <w:kern w:val="0"/>
                <w:sz w:val="24"/>
                <w:szCs w:val="24"/>
                <w:highlight w:val="none"/>
              </w:rPr>
              <w:t>安全生产，维护园区游客秩序工作；</w:t>
            </w:r>
          </w:p>
        </w:tc>
        <w:tc>
          <w:tcPr>
            <w:tcW w:w="1487" w:type="dxa"/>
            <w:vMerge w:val="continue"/>
            <w:noWrap w:val="0"/>
            <w:vAlign w:val="center"/>
          </w:tcPr>
          <w:p w14:paraId="460BC8D7">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rPr>
            </w:pPr>
          </w:p>
        </w:tc>
        <w:tc>
          <w:tcPr>
            <w:tcW w:w="1234" w:type="dxa"/>
            <w:noWrap w:val="0"/>
            <w:vAlign w:val="center"/>
          </w:tcPr>
          <w:p w14:paraId="56D58A3D">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每日在岗不少于12小时</w:t>
            </w:r>
          </w:p>
        </w:tc>
        <w:tc>
          <w:tcPr>
            <w:tcW w:w="1779" w:type="dxa"/>
            <w:noWrap w:val="0"/>
            <w:vAlign w:val="center"/>
          </w:tcPr>
          <w:p w14:paraId="3CFDBFD3">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p>
        </w:tc>
      </w:tr>
      <w:tr w14:paraId="698C6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2" w:type="dxa"/>
            <w:vMerge w:val="continue"/>
            <w:noWrap w:val="0"/>
            <w:vAlign w:val="center"/>
          </w:tcPr>
          <w:p w14:paraId="0B9B772F">
            <w:pPr>
              <w:jc w:val="center"/>
              <w:rPr>
                <w:rFonts w:hint="eastAsia" w:ascii="宋体" w:hAnsi="宋体" w:eastAsia="宋体" w:cs="宋体"/>
                <w:b/>
                <w:bCs/>
                <w:color w:val="auto"/>
                <w:kern w:val="0"/>
                <w:sz w:val="24"/>
                <w:szCs w:val="24"/>
                <w:highlight w:val="none"/>
              </w:rPr>
            </w:pPr>
          </w:p>
        </w:tc>
        <w:tc>
          <w:tcPr>
            <w:tcW w:w="1326" w:type="dxa"/>
            <w:noWrap w:val="0"/>
            <w:vAlign w:val="center"/>
          </w:tcPr>
          <w:p w14:paraId="2B10A163">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保安</w:t>
            </w:r>
            <w:r>
              <w:rPr>
                <w:rFonts w:hint="eastAsia" w:ascii="宋体" w:hAnsi="宋体" w:eastAsia="宋体" w:cs="宋体"/>
                <w:color w:val="auto"/>
                <w:kern w:val="0"/>
                <w:sz w:val="24"/>
                <w:szCs w:val="24"/>
                <w:highlight w:val="none"/>
                <w:lang w:val="en-US" w:eastAsia="zh-CN"/>
              </w:rPr>
              <w:t>（全天）</w:t>
            </w:r>
          </w:p>
        </w:tc>
        <w:tc>
          <w:tcPr>
            <w:tcW w:w="680" w:type="dxa"/>
            <w:noWrap w:val="0"/>
            <w:vAlign w:val="center"/>
          </w:tcPr>
          <w:p w14:paraId="40D7C58D">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2</w:t>
            </w:r>
          </w:p>
        </w:tc>
        <w:tc>
          <w:tcPr>
            <w:tcW w:w="2479" w:type="dxa"/>
            <w:noWrap w:val="0"/>
            <w:vAlign w:val="center"/>
          </w:tcPr>
          <w:p w14:paraId="177931B4">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负责园区安全生产，维护园区游客秩序工作；</w:t>
            </w:r>
          </w:p>
        </w:tc>
        <w:tc>
          <w:tcPr>
            <w:tcW w:w="1487" w:type="dxa"/>
            <w:vMerge w:val="continue"/>
            <w:noWrap w:val="0"/>
            <w:vAlign w:val="center"/>
          </w:tcPr>
          <w:p w14:paraId="2B3FD6C9">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rPr>
            </w:pPr>
          </w:p>
        </w:tc>
        <w:tc>
          <w:tcPr>
            <w:tcW w:w="1234" w:type="dxa"/>
            <w:noWrap w:val="0"/>
            <w:vAlign w:val="center"/>
          </w:tcPr>
          <w:p w14:paraId="24E6D213">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每日在岗24小时</w:t>
            </w:r>
          </w:p>
        </w:tc>
        <w:tc>
          <w:tcPr>
            <w:tcW w:w="1779" w:type="dxa"/>
            <w:noWrap w:val="0"/>
            <w:vAlign w:val="center"/>
          </w:tcPr>
          <w:p w14:paraId="49EC4191">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p>
        </w:tc>
      </w:tr>
      <w:tr w14:paraId="4BA45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2" w:type="dxa"/>
            <w:vMerge w:val="continue"/>
            <w:noWrap w:val="0"/>
            <w:vAlign w:val="center"/>
          </w:tcPr>
          <w:p w14:paraId="1C93C824">
            <w:pPr>
              <w:jc w:val="center"/>
              <w:rPr>
                <w:rFonts w:hint="eastAsia" w:ascii="宋体" w:hAnsi="宋体" w:eastAsia="宋体" w:cs="宋体"/>
                <w:b/>
                <w:bCs/>
                <w:color w:val="auto"/>
                <w:kern w:val="0"/>
                <w:sz w:val="24"/>
                <w:szCs w:val="24"/>
                <w:highlight w:val="none"/>
              </w:rPr>
            </w:pPr>
          </w:p>
        </w:tc>
        <w:tc>
          <w:tcPr>
            <w:tcW w:w="1326" w:type="dxa"/>
            <w:noWrap w:val="0"/>
            <w:vAlign w:val="center"/>
          </w:tcPr>
          <w:p w14:paraId="397F3B8B">
            <w:pPr>
              <w:keepNext w:val="0"/>
              <w:keepLines w:val="0"/>
              <w:pageBreakBefore w:val="0"/>
              <w:kinsoku/>
              <w:wordWrap/>
              <w:overflowPunct/>
              <w:topLinePunct w:val="0"/>
              <w:autoSpaceDE/>
              <w:autoSpaceDN/>
              <w:bidi w:val="0"/>
              <w:adjustRightInd w:val="0"/>
              <w:snapToGrid/>
              <w:jc w:val="center"/>
              <w:textAlignment w:val="auto"/>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入园管理</w:t>
            </w:r>
          </w:p>
        </w:tc>
        <w:tc>
          <w:tcPr>
            <w:tcW w:w="680" w:type="dxa"/>
            <w:noWrap w:val="0"/>
            <w:vAlign w:val="center"/>
          </w:tcPr>
          <w:p w14:paraId="76442731">
            <w:pPr>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w:t>
            </w:r>
          </w:p>
        </w:tc>
        <w:tc>
          <w:tcPr>
            <w:tcW w:w="2479" w:type="dxa"/>
            <w:noWrap w:val="0"/>
            <w:vAlign w:val="center"/>
          </w:tcPr>
          <w:p w14:paraId="3577BE98">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负责游客通过道闸进入内圈的预约检验及其他相关信息查验。负责维持排队区秩序；负责游客咨询服务；不需要入园预约核验时支援内圈进行秩序管理等。</w:t>
            </w:r>
          </w:p>
        </w:tc>
        <w:tc>
          <w:tcPr>
            <w:tcW w:w="1487" w:type="dxa"/>
            <w:vMerge w:val="continue"/>
            <w:noWrap w:val="0"/>
            <w:vAlign w:val="center"/>
          </w:tcPr>
          <w:p w14:paraId="7C5C139D">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rPr>
            </w:pPr>
          </w:p>
        </w:tc>
        <w:tc>
          <w:tcPr>
            <w:tcW w:w="1234" w:type="dxa"/>
            <w:noWrap w:val="0"/>
            <w:vAlign w:val="center"/>
          </w:tcPr>
          <w:p w14:paraId="07390FF2">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年日均在岗不少于11小时</w:t>
            </w:r>
          </w:p>
        </w:tc>
        <w:tc>
          <w:tcPr>
            <w:tcW w:w="1779" w:type="dxa"/>
            <w:noWrap w:val="0"/>
            <w:vAlign w:val="center"/>
          </w:tcPr>
          <w:p w14:paraId="2A422213">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4-11月：8:30-20:30点；12-3月：8:30-17:30点</w:t>
            </w:r>
          </w:p>
        </w:tc>
      </w:tr>
      <w:tr w14:paraId="0E9CE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2" w:type="dxa"/>
            <w:vMerge w:val="continue"/>
            <w:noWrap w:val="0"/>
            <w:vAlign w:val="center"/>
          </w:tcPr>
          <w:p w14:paraId="044F66AF">
            <w:pPr>
              <w:jc w:val="center"/>
              <w:rPr>
                <w:rFonts w:hint="eastAsia" w:ascii="宋体" w:hAnsi="宋体" w:eastAsia="宋体" w:cs="宋体"/>
                <w:b/>
                <w:bCs/>
                <w:color w:val="auto"/>
                <w:kern w:val="0"/>
                <w:sz w:val="24"/>
                <w:szCs w:val="24"/>
                <w:highlight w:val="none"/>
              </w:rPr>
            </w:pPr>
          </w:p>
        </w:tc>
        <w:tc>
          <w:tcPr>
            <w:tcW w:w="1326" w:type="dxa"/>
            <w:noWrap w:val="0"/>
            <w:vAlign w:val="center"/>
          </w:tcPr>
          <w:p w14:paraId="3781CB4A">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监控室（</w:t>
            </w:r>
            <w:r>
              <w:rPr>
                <w:rFonts w:hint="eastAsia" w:ascii="宋体" w:hAnsi="宋体" w:eastAsia="宋体" w:cs="宋体"/>
                <w:color w:val="auto"/>
                <w:kern w:val="0"/>
                <w:sz w:val="24"/>
                <w:szCs w:val="24"/>
                <w:highlight w:val="none"/>
                <w:lang w:val="en-US" w:eastAsia="zh-CN"/>
              </w:rPr>
              <w:t>24小时</w:t>
            </w:r>
            <w:r>
              <w:rPr>
                <w:rFonts w:hint="eastAsia" w:ascii="宋体" w:hAnsi="宋体" w:eastAsia="宋体" w:cs="宋体"/>
                <w:color w:val="auto"/>
                <w:kern w:val="0"/>
                <w:sz w:val="24"/>
                <w:szCs w:val="24"/>
                <w:highlight w:val="none"/>
                <w:lang w:eastAsia="zh-CN"/>
              </w:rPr>
              <w:t>）</w:t>
            </w:r>
          </w:p>
        </w:tc>
        <w:tc>
          <w:tcPr>
            <w:tcW w:w="680" w:type="dxa"/>
            <w:noWrap w:val="0"/>
            <w:vAlign w:val="center"/>
          </w:tcPr>
          <w:p w14:paraId="7105D848">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2479" w:type="dxa"/>
            <w:noWrap w:val="0"/>
            <w:vAlign w:val="center"/>
          </w:tcPr>
          <w:p w14:paraId="53FC1478">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负责监控室24小时管理。</w:t>
            </w:r>
          </w:p>
        </w:tc>
        <w:tc>
          <w:tcPr>
            <w:tcW w:w="1487" w:type="dxa"/>
            <w:vMerge w:val="continue"/>
            <w:noWrap w:val="0"/>
            <w:vAlign w:val="center"/>
          </w:tcPr>
          <w:p w14:paraId="0ED3A87E">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rPr>
            </w:pPr>
          </w:p>
        </w:tc>
        <w:tc>
          <w:tcPr>
            <w:tcW w:w="1234" w:type="dxa"/>
            <w:noWrap w:val="0"/>
            <w:vAlign w:val="center"/>
          </w:tcPr>
          <w:p w14:paraId="66B90699">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rPr>
              <w:t>每日在岗24h在岗</w:t>
            </w:r>
          </w:p>
        </w:tc>
        <w:tc>
          <w:tcPr>
            <w:tcW w:w="1779" w:type="dxa"/>
            <w:noWrap w:val="0"/>
            <w:vAlign w:val="center"/>
          </w:tcPr>
          <w:p w14:paraId="55A7F7DB">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eastAsia="zh-CN"/>
              </w:rPr>
            </w:pPr>
          </w:p>
        </w:tc>
      </w:tr>
      <w:tr w14:paraId="5F5CD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2" w:type="dxa"/>
            <w:noWrap w:val="0"/>
            <w:vAlign w:val="center"/>
          </w:tcPr>
          <w:p w14:paraId="69AC7F1E">
            <w:pPr>
              <w:jc w:val="center"/>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kern w:val="0"/>
                <w:sz w:val="24"/>
                <w:szCs w:val="24"/>
                <w:highlight w:val="none"/>
                <w:lang w:eastAsia="zh-CN"/>
              </w:rPr>
              <w:t>游乐设施管理</w:t>
            </w:r>
          </w:p>
        </w:tc>
        <w:tc>
          <w:tcPr>
            <w:tcW w:w="1326" w:type="dxa"/>
            <w:noWrap w:val="0"/>
            <w:vAlign w:val="center"/>
          </w:tcPr>
          <w:p w14:paraId="66E74EBC">
            <w:pPr>
              <w:keepNext w:val="0"/>
              <w:keepLines w:val="0"/>
              <w:pageBreakBefore w:val="0"/>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设施</w:t>
            </w:r>
            <w:r>
              <w:rPr>
                <w:rFonts w:hint="eastAsia" w:ascii="宋体" w:hAnsi="宋体" w:cs="宋体"/>
                <w:color w:val="auto"/>
                <w:kern w:val="0"/>
                <w:sz w:val="24"/>
                <w:szCs w:val="24"/>
                <w:highlight w:val="none"/>
                <w:lang w:val="en-US" w:eastAsia="zh-CN"/>
              </w:rPr>
              <w:t>巡查</w:t>
            </w:r>
          </w:p>
        </w:tc>
        <w:tc>
          <w:tcPr>
            <w:tcW w:w="680" w:type="dxa"/>
            <w:noWrap w:val="0"/>
            <w:vAlign w:val="center"/>
          </w:tcPr>
          <w:p w14:paraId="13C09253">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2479" w:type="dxa"/>
            <w:noWrap w:val="0"/>
            <w:vAlign w:val="center"/>
          </w:tcPr>
          <w:p w14:paraId="245DC65B">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负责园内游乐设施及公园设施日常巡查</w:t>
            </w:r>
          </w:p>
        </w:tc>
        <w:tc>
          <w:tcPr>
            <w:tcW w:w="1487" w:type="dxa"/>
            <w:noWrap w:val="0"/>
            <w:vAlign w:val="center"/>
          </w:tcPr>
          <w:p w14:paraId="6537F063">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相关工作经验，法定工作年龄</w:t>
            </w:r>
          </w:p>
        </w:tc>
        <w:tc>
          <w:tcPr>
            <w:tcW w:w="1234" w:type="dxa"/>
            <w:noWrap w:val="0"/>
            <w:vAlign w:val="center"/>
          </w:tcPr>
          <w:p w14:paraId="56C9DEDA">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一周5日，每日在岗不少于8小时</w:t>
            </w:r>
          </w:p>
        </w:tc>
        <w:tc>
          <w:tcPr>
            <w:tcW w:w="1779" w:type="dxa"/>
            <w:noWrap w:val="0"/>
            <w:vAlign w:val="center"/>
          </w:tcPr>
          <w:p w14:paraId="789A811C">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eastAsia="zh-CN"/>
              </w:rPr>
            </w:pPr>
          </w:p>
        </w:tc>
      </w:tr>
      <w:tr w14:paraId="77C00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32" w:type="dxa"/>
            <w:noWrap w:val="0"/>
            <w:vAlign w:val="top"/>
          </w:tcPr>
          <w:p w14:paraId="0E8CCC69">
            <w:pPr>
              <w:jc w:val="center"/>
              <w:rPr>
                <w:rFonts w:hint="eastAsia" w:ascii="宋体" w:hAnsi="宋体" w:eastAsia="宋体" w:cs="宋体"/>
                <w:color w:val="auto"/>
                <w:kern w:val="0"/>
                <w:sz w:val="24"/>
                <w:szCs w:val="24"/>
                <w:highlight w:val="none"/>
              </w:rPr>
            </w:pPr>
          </w:p>
        </w:tc>
        <w:tc>
          <w:tcPr>
            <w:tcW w:w="1326" w:type="dxa"/>
            <w:noWrap w:val="0"/>
            <w:vAlign w:val="top"/>
          </w:tcPr>
          <w:p w14:paraId="16F4E89A">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小计</w:t>
            </w:r>
          </w:p>
        </w:tc>
        <w:tc>
          <w:tcPr>
            <w:tcW w:w="680" w:type="dxa"/>
            <w:noWrap w:val="0"/>
            <w:vAlign w:val="top"/>
          </w:tcPr>
          <w:p w14:paraId="65A0F004">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32</w:t>
            </w:r>
          </w:p>
        </w:tc>
        <w:tc>
          <w:tcPr>
            <w:tcW w:w="2479" w:type="dxa"/>
            <w:noWrap w:val="0"/>
            <w:vAlign w:val="top"/>
          </w:tcPr>
          <w:p w14:paraId="59061585">
            <w:pPr>
              <w:jc w:val="center"/>
              <w:rPr>
                <w:rFonts w:hint="eastAsia" w:ascii="宋体" w:hAnsi="宋体" w:eastAsia="宋体" w:cs="宋体"/>
                <w:color w:val="auto"/>
                <w:kern w:val="0"/>
                <w:sz w:val="24"/>
                <w:szCs w:val="24"/>
                <w:highlight w:val="none"/>
              </w:rPr>
            </w:pPr>
          </w:p>
        </w:tc>
        <w:tc>
          <w:tcPr>
            <w:tcW w:w="1487" w:type="dxa"/>
            <w:noWrap w:val="0"/>
            <w:vAlign w:val="top"/>
          </w:tcPr>
          <w:p w14:paraId="114E367D">
            <w:pPr>
              <w:jc w:val="center"/>
              <w:rPr>
                <w:rFonts w:hint="eastAsia" w:ascii="宋体" w:hAnsi="宋体" w:eastAsia="宋体" w:cs="宋体"/>
                <w:color w:val="auto"/>
                <w:kern w:val="0"/>
                <w:sz w:val="24"/>
                <w:szCs w:val="24"/>
                <w:highlight w:val="none"/>
              </w:rPr>
            </w:pPr>
          </w:p>
        </w:tc>
        <w:tc>
          <w:tcPr>
            <w:tcW w:w="1234" w:type="dxa"/>
            <w:noWrap w:val="0"/>
            <w:vAlign w:val="top"/>
          </w:tcPr>
          <w:p w14:paraId="13D6647F">
            <w:pPr>
              <w:jc w:val="center"/>
              <w:rPr>
                <w:rFonts w:hint="eastAsia" w:ascii="宋体" w:hAnsi="宋体" w:eastAsia="宋体" w:cs="宋体"/>
                <w:color w:val="auto"/>
                <w:kern w:val="0"/>
                <w:sz w:val="24"/>
                <w:szCs w:val="24"/>
                <w:highlight w:val="none"/>
              </w:rPr>
            </w:pPr>
          </w:p>
        </w:tc>
        <w:tc>
          <w:tcPr>
            <w:tcW w:w="1779" w:type="dxa"/>
            <w:noWrap w:val="0"/>
            <w:vAlign w:val="top"/>
          </w:tcPr>
          <w:p w14:paraId="630FCE0F">
            <w:pPr>
              <w:jc w:val="center"/>
              <w:rPr>
                <w:rFonts w:hint="eastAsia" w:ascii="宋体" w:hAnsi="宋体" w:eastAsia="宋体" w:cs="宋体"/>
                <w:color w:val="auto"/>
                <w:kern w:val="0"/>
                <w:sz w:val="24"/>
                <w:szCs w:val="24"/>
                <w:highlight w:val="none"/>
              </w:rPr>
            </w:pPr>
          </w:p>
        </w:tc>
      </w:tr>
    </w:tbl>
    <w:p w14:paraId="508FACAD">
      <w:pPr>
        <w:widowControl/>
        <w:tabs>
          <w:tab w:val="left" w:pos="851"/>
        </w:tabs>
        <w:adjustRightInd/>
        <w:spacing w:line="360" w:lineRule="auto"/>
        <w:outlineLvl w:val="1"/>
        <w:rPr>
          <w:rFonts w:ascii="宋体" w:hAnsi="宋体" w:eastAsia="宋体" w:cs="宋体"/>
          <w:b/>
          <w:color w:val="auto"/>
          <w:kern w:val="0"/>
          <w:sz w:val="24"/>
          <w:highlight w:val="none"/>
        </w:rPr>
      </w:pPr>
      <w:r>
        <w:rPr>
          <w:rFonts w:hint="eastAsia" w:ascii="宋体" w:hAnsi="宋体" w:eastAsia="宋体" w:cs="宋体"/>
          <w:b/>
          <w:color w:val="auto"/>
          <w:kern w:val="0"/>
          <w:sz w:val="24"/>
          <w:highlight w:val="none"/>
          <w:lang w:val="en-US" w:eastAsia="zh-CN"/>
        </w:rPr>
        <w:t>六</w:t>
      </w:r>
      <w:r>
        <w:rPr>
          <w:rFonts w:hint="eastAsia" w:ascii="宋体" w:hAnsi="宋体" w:eastAsia="宋体" w:cs="宋体"/>
          <w:b/>
          <w:color w:val="auto"/>
          <w:kern w:val="0"/>
          <w:sz w:val="24"/>
          <w:highlight w:val="none"/>
        </w:rPr>
        <w:t>、机械化设备配备要求</w:t>
      </w:r>
    </w:p>
    <w:p w14:paraId="6057B4DB">
      <w:pPr>
        <w:widowControl/>
        <w:tabs>
          <w:tab w:val="left" w:pos="851"/>
        </w:tabs>
        <w:adjustRightInd/>
        <w:spacing w:line="360" w:lineRule="auto"/>
        <w:outlineLvl w:val="1"/>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eastAsia="zh-CN"/>
        </w:rPr>
        <w:t>（</w:t>
      </w:r>
      <w:r>
        <w:rPr>
          <w:rFonts w:hint="eastAsia" w:ascii="宋体" w:hAnsi="宋体" w:eastAsia="宋体" w:cs="宋体"/>
          <w:b/>
          <w:color w:val="auto"/>
          <w:kern w:val="0"/>
          <w:sz w:val="24"/>
          <w:highlight w:val="none"/>
          <w:lang w:val="en-US" w:eastAsia="zh-CN"/>
        </w:rPr>
        <w:t>一</w:t>
      </w:r>
      <w:r>
        <w:rPr>
          <w:rFonts w:hint="eastAsia" w:ascii="宋体" w:hAnsi="宋体" w:eastAsia="宋体" w:cs="宋体"/>
          <w:b/>
          <w:color w:val="auto"/>
          <w:kern w:val="0"/>
          <w:sz w:val="24"/>
          <w:highlight w:val="none"/>
          <w:lang w:eastAsia="zh-CN"/>
        </w:rPr>
        <w:t>）</w:t>
      </w:r>
      <w:r>
        <w:rPr>
          <w:rFonts w:hint="eastAsia" w:ascii="宋体" w:hAnsi="宋体" w:eastAsia="宋体" w:cs="宋体"/>
          <w:b/>
          <w:color w:val="auto"/>
          <w:kern w:val="0"/>
          <w:sz w:val="24"/>
          <w:highlight w:val="none"/>
          <w:lang w:val="en-US" w:eastAsia="zh-CN"/>
        </w:rPr>
        <w:t>设备最低数量要求</w:t>
      </w:r>
    </w:p>
    <w:tbl>
      <w:tblPr>
        <w:tblStyle w:val="62"/>
        <w:tblW w:w="55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883"/>
        <w:gridCol w:w="1369"/>
        <w:gridCol w:w="883"/>
        <w:gridCol w:w="3259"/>
        <w:gridCol w:w="1383"/>
        <w:gridCol w:w="929"/>
      </w:tblGrid>
      <w:tr w14:paraId="30006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blHeader/>
          <w:jc w:val="center"/>
        </w:trPr>
        <w:tc>
          <w:tcPr>
            <w:tcW w:w="403" w:type="pct"/>
            <w:vAlign w:val="center"/>
          </w:tcPr>
          <w:p w14:paraId="68380400">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序号</w:t>
            </w:r>
          </w:p>
        </w:tc>
        <w:tc>
          <w:tcPr>
            <w:tcW w:w="466" w:type="pct"/>
            <w:vAlign w:val="center"/>
          </w:tcPr>
          <w:p w14:paraId="695776FB">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设备名称</w:t>
            </w:r>
          </w:p>
        </w:tc>
        <w:tc>
          <w:tcPr>
            <w:tcW w:w="722" w:type="pct"/>
            <w:vAlign w:val="center"/>
          </w:tcPr>
          <w:p w14:paraId="6C6CA5B6">
            <w:pPr>
              <w:jc w:val="center"/>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kern w:val="0"/>
                <w:sz w:val="24"/>
                <w:szCs w:val="24"/>
                <w:highlight w:val="none"/>
                <w:lang w:val="en-US" w:eastAsia="zh-CN"/>
              </w:rPr>
              <w:t>数量要求</w:t>
            </w:r>
          </w:p>
        </w:tc>
        <w:tc>
          <w:tcPr>
            <w:tcW w:w="466" w:type="pct"/>
            <w:vAlign w:val="center"/>
          </w:tcPr>
          <w:p w14:paraId="09B02440">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单位</w:t>
            </w:r>
          </w:p>
        </w:tc>
        <w:tc>
          <w:tcPr>
            <w:tcW w:w="1720" w:type="pct"/>
            <w:vAlign w:val="center"/>
          </w:tcPr>
          <w:p w14:paraId="5B587FE3">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参考样式（具体参数）</w:t>
            </w:r>
          </w:p>
        </w:tc>
        <w:tc>
          <w:tcPr>
            <w:tcW w:w="730" w:type="pct"/>
            <w:vAlign w:val="center"/>
          </w:tcPr>
          <w:p w14:paraId="3AA88B5E">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使用及维护要求</w:t>
            </w:r>
          </w:p>
        </w:tc>
        <w:tc>
          <w:tcPr>
            <w:tcW w:w="490" w:type="pct"/>
            <w:vAlign w:val="center"/>
          </w:tcPr>
          <w:p w14:paraId="02516503">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备注</w:t>
            </w:r>
          </w:p>
        </w:tc>
      </w:tr>
      <w:tr w14:paraId="23D14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jc w:val="center"/>
        </w:trPr>
        <w:tc>
          <w:tcPr>
            <w:tcW w:w="403" w:type="pct"/>
            <w:vAlign w:val="center"/>
          </w:tcPr>
          <w:p w14:paraId="49F30368">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466" w:type="pct"/>
            <w:vAlign w:val="center"/>
          </w:tcPr>
          <w:p w14:paraId="2D3E4287">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高压洗</w:t>
            </w:r>
            <w:r>
              <w:rPr>
                <w:rFonts w:hint="eastAsia" w:ascii="宋体" w:hAnsi="宋体" w:eastAsia="宋体" w:cs="宋体"/>
                <w:color w:val="auto"/>
                <w:kern w:val="0"/>
                <w:sz w:val="24"/>
                <w:szCs w:val="24"/>
                <w:highlight w:val="none"/>
                <w:lang w:eastAsia="zh-CN"/>
              </w:rPr>
              <w:t>地</w:t>
            </w:r>
            <w:r>
              <w:rPr>
                <w:rFonts w:hint="eastAsia" w:ascii="宋体" w:hAnsi="宋体" w:eastAsia="宋体" w:cs="宋体"/>
                <w:color w:val="auto"/>
                <w:kern w:val="0"/>
                <w:sz w:val="24"/>
                <w:szCs w:val="24"/>
                <w:highlight w:val="none"/>
              </w:rPr>
              <w:t>机</w:t>
            </w:r>
          </w:p>
        </w:tc>
        <w:tc>
          <w:tcPr>
            <w:tcW w:w="722" w:type="pct"/>
            <w:vAlign w:val="center"/>
          </w:tcPr>
          <w:p w14:paraId="20BF74E8">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466" w:type="pct"/>
            <w:vAlign w:val="center"/>
          </w:tcPr>
          <w:p w14:paraId="6DF10953">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台</w:t>
            </w:r>
          </w:p>
        </w:tc>
        <w:tc>
          <w:tcPr>
            <w:tcW w:w="1720" w:type="pct"/>
            <w:vAlign w:val="center"/>
          </w:tcPr>
          <w:p w14:paraId="18A62D33">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drawing>
                <wp:inline distT="0" distB="0" distL="114300" distR="114300">
                  <wp:extent cx="1569085" cy="1345565"/>
                  <wp:effectExtent l="0" t="0" r="12065" b="6985"/>
                  <wp:docPr id="56" name="图片 56" descr="171247968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712479686657"/>
                          <pic:cNvPicPr>
                            <a:picLocks noChangeAspect="1"/>
                          </pic:cNvPicPr>
                        </pic:nvPicPr>
                        <pic:blipFill>
                          <a:blip r:embed="rId52"/>
                          <a:stretch>
                            <a:fillRect/>
                          </a:stretch>
                        </pic:blipFill>
                        <pic:spPr>
                          <a:xfrm>
                            <a:off x="0" y="0"/>
                            <a:ext cx="1569085" cy="1345565"/>
                          </a:xfrm>
                          <a:prstGeom prst="rect">
                            <a:avLst/>
                          </a:prstGeom>
                        </pic:spPr>
                      </pic:pic>
                    </a:graphicData>
                  </a:graphic>
                </wp:inline>
              </w:drawing>
            </w:r>
          </w:p>
        </w:tc>
        <w:tc>
          <w:tcPr>
            <w:tcW w:w="730" w:type="pct"/>
            <w:vAlign w:val="center"/>
          </w:tcPr>
          <w:p w14:paraId="3BCEF4BE">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整齐、清洁、润滑、安全、完好</w:t>
            </w:r>
          </w:p>
        </w:tc>
        <w:tc>
          <w:tcPr>
            <w:tcW w:w="490" w:type="pct"/>
            <w:vAlign w:val="center"/>
          </w:tcPr>
          <w:p w14:paraId="5ADB877B">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p>
        </w:tc>
      </w:tr>
      <w:tr w14:paraId="2A930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03" w:type="pct"/>
            <w:vAlign w:val="center"/>
          </w:tcPr>
          <w:p w14:paraId="3E3E0DFC">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466" w:type="pct"/>
            <w:vAlign w:val="center"/>
          </w:tcPr>
          <w:p w14:paraId="48A2BFC0">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垃圾清运车</w:t>
            </w:r>
          </w:p>
        </w:tc>
        <w:tc>
          <w:tcPr>
            <w:tcW w:w="722" w:type="pct"/>
            <w:vAlign w:val="center"/>
          </w:tcPr>
          <w:p w14:paraId="39BCA1D4">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466" w:type="pct"/>
            <w:vAlign w:val="center"/>
          </w:tcPr>
          <w:p w14:paraId="2FC6E725">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辆</w:t>
            </w:r>
          </w:p>
        </w:tc>
        <w:tc>
          <w:tcPr>
            <w:tcW w:w="1720" w:type="pct"/>
            <w:vAlign w:val="center"/>
          </w:tcPr>
          <w:p w14:paraId="77E244D8">
            <w:pPr>
              <w:widowControl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c>
          <w:tcPr>
            <w:tcW w:w="730" w:type="pct"/>
            <w:vAlign w:val="center"/>
          </w:tcPr>
          <w:p w14:paraId="7B3579B8">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整齐、清洁、润滑、安全、完好</w:t>
            </w:r>
          </w:p>
        </w:tc>
        <w:tc>
          <w:tcPr>
            <w:tcW w:w="490" w:type="pct"/>
            <w:vAlign w:val="center"/>
          </w:tcPr>
          <w:p w14:paraId="5243A110">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保证日常修剪后绿化垃圾清运需求</w:t>
            </w:r>
          </w:p>
        </w:tc>
      </w:tr>
      <w:tr w14:paraId="50FA6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3" w:hRule="atLeast"/>
          <w:jc w:val="center"/>
        </w:trPr>
        <w:tc>
          <w:tcPr>
            <w:tcW w:w="403" w:type="pct"/>
            <w:vAlign w:val="center"/>
          </w:tcPr>
          <w:p w14:paraId="1B81EA64">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w:t>
            </w:r>
          </w:p>
        </w:tc>
        <w:tc>
          <w:tcPr>
            <w:tcW w:w="466" w:type="pct"/>
            <w:vAlign w:val="center"/>
          </w:tcPr>
          <w:p w14:paraId="1873871B">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翻砂机</w:t>
            </w:r>
          </w:p>
        </w:tc>
        <w:tc>
          <w:tcPr>
            <w:tcW w:w="722" w:type="pct"/>
            <w:vAlign w:val="center"/>
          </w:tcPr>
          <w:p w14:paraId="3FF83DD2">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466" w:type="pct"/>
            <w:vAlign w:val="center"/>
          </w:tcPr>
          <w:p w14:paraId="7F0EDF62">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台</w:t>
            </w:r>
          </w:p>
        </w:tc>
        <w:tc>
          <w:tcPr>
            <w:tcW w:w="1720" w:type="pct"/>
            <w:vAlign w:val="center"/>
          </w:tcPr>
          <w:p w14:paraId="4EE50732">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w:t>
            </w:r>
          </w:p>
        </w:tc>
        <w:tc>
          <w:tcPr>
            <w:tcW w:w="730" w:type="pct"/>
            <w:vAlign w:val="center"/>
          </w:tcPr>
          <w:p w14:paraId="47124E7B">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整齐、清洁、润滑、安全、完好</w:t>
            </w:r>
          </w:p>
        </w:tc>
        <w:tc>
          <w:tcPr>
            <w:tcW w:w="490" w:type="pct"/>
            <w:vAlign w:val="center"/>
          </w:tcPr>
          <w:p w14:paraId="590847C4">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用于游乐区砂地</w:t>
            </w:r>
          </w:p>
        </w:tc>
      </w:tr>
      <w:tr w14:paraId="41031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03" w:type="pct"/>
            <w:vAlign w:val="center"/>
          </w:tcPr>
          <w:p w14:paraId="17050832">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w:t>
            </w:r>
          </w:p>
        </w:tc>
        <w:tc>
          <w:tcPr>
            <w:tcW w:w="466" w:type="pct"/>
            <w:vAlign w:val="center"/>
          </w:tcPr>
          <w:p w14:paraId="6C1AB0B1">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油（电）锯</w:t>
            </w:r>
          </w:p>
        </w:tc>
        <w:tc>
          <w:tcPr>
            <w:tcW w:w="722" w:type="pct"/>
            <w:vAlign w:val="center"/>
          </w:tcPr>
          <w:p w14:paraId="286BB900">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466" w:type="pct"/>
            <w:vAlign w:val="center"/>
          </w:tcPr>
          <w:p w14:paraId="562C7A6E">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把</w:t>
            </w:r>
          </w:p>
        </w:tc>
        <w:tc>
          <w:tcPr>
            <w:tcW w:w="1720" w:type="pct"/>
            <w:vAlign w:val="center"/>
          </w:tcPr>
          <w:p w14:paraId="76FDE890">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drawing>
                <wp:inline distT="0" distB="0" distL="114300" distR="114300">
                  <wp:extent cx="1619250" cy="1280160"/>
                  <wp:effectExtent l="0" t="0" r="0" b="15240"/>
                  <wp:docPr id="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
                          <pic:cNvPicPr>
                            <a:picLocks noChangeAspect="1"/>
                          </pic:cNvPicPr>
                        </pic:nvPicPr>
                        <pic:blipFill>
                          <a:blip r:embed="rId36"/>
                          <a:stretch>
                            <a:fillRect/>
                          </a:stretch>
                        </pic:blipFill>
                        <pic:spPr>
                          <a:xfrm>
                            <a:off x="0" y="0"/>
                            <a:ext cx="1619250" cy="1280160"/>
                          </a:xfrm>
                          <a:prstGeom prst="rect">
                            <a:avLst/>
                          </a:prstGeom>
                          <a:noFill/>
                          <a:ln>
                            <a:noFill/>
                          </a:ln>
                        </pic:spPr>
                      </pic:pic>
                    </a:graphicData>
                  </a:graphic>
                </wp:inline>
              </w:drawing>
            </w:r>
          </w:p>
        </w:tc>
        <w:tc>
          <w:tcPr>
            <w:tcW w:w="730" w:type="pct"/>
            <w:vAlign w:val="center"/>
          </w:tcPr>
          <w:p w14:paraId="6140FDE3">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整齐、清洁、润滑、安全、完好</w:t>
            </w:r>
          </w:p>
        </w:tc>
        <w:tc>
          <w:tcPr>
            <w:tcW w:w="490" w:type="pct"/>
            <w:vAlign w:val="center"/>
          </w:tcPr>
          <w:p w14:paraId="709A618D">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p>
        </w:tc>
      </w:tr>
      <w:tr w14:paraId="16948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9" w:hRule="atLeast"/>
          <w:jc w:val="center"/>
        </w:trPr>
        <w:tc>
          <w:tcPr>
            <w:tcW w:w="403" w:type="pct"/>
            <w:vAlign w:val="center"/>
          </w:tcPr>
          <w:p w14:paraId="3B1280E7">
            <w:pPr>
              <w:widowControl w:val="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w:t>
            </w:r>
          </w:p>
        </w:tc>
        <w:tc>
          <w:tcPr>
            <w:tcW w:w="466" w:type="pct"/>
            <w:vAlign w:val="center"/>
          </w:tcPr>
          <w:p w14:paraId="703B549C">
            <w:pPr>
              <w:widowControl w:val="0"/>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手推</w:t>
            </w:r>
            <w:r>
              <w:rPr>
                <w:rFonts w:hint="eastAsia" w:ascii="宋体" w:hAnsi="宋体" w:eastAsia="宋体" w:cs="宋体"/>
                <w:color w:val="auto"/>
                <w:kern w:val="0"/>
                <w:sz w:val="24"/>
                <w:szCs w:val="24"/>
                <w:highlight w:val="none"/>
              </w:rPr>
              <w:t>草坪</w:t>
            </w:r>
            <w:r>
              <w:rPr>
                <w:rFonts w:hint="eastAsia" w:ascii="宋体" w:hAnsi="宋体" w:eastAsia="宋体" w:cs="宋体"/>
                <w:color w:val="auto"/>
                <w:kern w:val="0"/>
                <w:sz w:val="24"/>
                <w:szCs w:val="24"/>
                <w:highlight w:val="none"/>
                <w:lang w:eastAsia="zh-CN"/>
              </w:rPr>
              <w:t>机</w:t>
            </w:r>
          </w:p>
        </w:tc>
        <w:tc>
          <w:tcPr>
            <w:tcW w:w="722" w:type="pct"/>
            <w:vAlign w:val="center"/>
          </w:tcPr>
          <w:p w14:paraId="3827792C">
            <w:pPr>
              <w:widowControl w:val="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466" w:type="pct"/>
            <w:vAlign w:val="center"/>
          </w:tcPr>
          <w:p w14:paraId="1525FF0B">
            <w:pPr>
              <w:widowControl w:val="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辆</w:t>
            </w:r>
          </w:p>
        </w:tc>
        <w:tc>
          <w:tcPr>
            <w:tcW w:w="1720" w:type="pct"/>
            <w:vAlign w:val="center"/>
          </w:tcPr>
          <w:p w14:paraId="3A27438C">
            <w:pPr>
              <w:widowControl w:val="0"/>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drawing>
                <wp:inline distT="0" distB="0" distL="114300" distR="114300">
                  <wp:extent cx="1461770" cy="1250950"/>
                  <wp:effectExtent l="0" t="0" r="5080" b="6350"/>
                  <wp:docPr id="58" name="图片 58" descr="C:/Users/Administrator/Desktop/cpj.jpgcp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Administrator/Desktop/cpj.jpgcpj"/>
                          <pic:cNvPicPr>
                            <a:picLocks noChangeAspect="1"/>
                          </pic:cNvPicPr>
                        </pic:nvPicPr>
                        <pic:blipFill>
                          <a:blip r:embed="rId39"/>
                          <a:srcRect t="7211" b="7211"/>
                          <a:stretch>
                            <a:fillRect/>
                          </a:stretch>
                        </pic:blipFill>
                        <pic:spPr>
                          <a:xfrm>
                            <a:off x="0" y="0"/>
                            <a:ext cx="1461770" cy="1250950"/>
                          </a:xfrm>
                          <a:prstGeom prst="rect">
                            <a:avLst/>
                          </a:prstGeom>
                        </pic:spPr>
                      </pic:pic>
                    </a:graphicData>
                  </a:graphic>
                </wp:inline>
              </w:drawing>
            </w:r>
          </w:p>
        </w:tc>
        <w:tc>
          <w:tcPr>
            <w:tcW w:w="730" w:type="pct"/>
            <w:vAlign w:val="center"/>
          </w:tcPr>
          <w:p w14:paraId="7407EDA9">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整齐、清洁、润滑、安全、完好</w:t>
            </w:r>
          </w:p>
        </w:tc>
        <w:tc>
          <w:tcPr>
            <w:tcW w:w="490" w:type="pct"/>
            <w:vAlign w:val="center"/>
          </w:tcPr>
          <w:p w14:paraId="273C8DDB">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推荐油电混合配备</w:t>
            </w:r>
          </w:p>
        </w:tc>
      </w:tr>
      <w:tr w14:paraId="40B2F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403" w:type="pct"/>
            <w:vAlign w:val="center"/>
          </w:tcPr>
          <w:p w14:paraId="1677C5D5">
            <w:pPr>
              <w:widowControl w:val="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6</w:t>
            </w:r>
          </w:p>
        </w:tc>
        <w:tc>
          <w:tcPr>
            <w:tcW w:w="466" w:type="pct"/>
            <w:vAlign w:val="center"/>
          </w:tcPr>
          <w:p w14:paraId="52B00B9A">
            <w:pPr>
              <w:widowControl w:val="0"/>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割灌割草机</w:t>
            </w:r>
          </w:p>
        </w:tc>
        <w:tc>
          <w:tcPr>
            <w:tcW w:w="722" w:type="pct"/>
            <w:vAlign w:val="center"/>
          </w:tcPr>
          <w:p w14:paraId="10853AA7">
            <w:pPr>
              <w:widowControl w:val="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466" w:type="pct"/>
            <w:vAlign w:val="center"/>
          </w:tcPr>
          <w:p w14:paraId="52ECD83C">
            <w:pPr>
              <w:widowControl w:val="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台</w:t>
            </w:r>
          </w:p>
        </w:tc>
        <w:tc>
          <w:tcPr>
            <w:tcW w:w="1720" w:type="pct"/>
            <w:vAlign w:val="center"/>
          </w:tcPr>
          <w:p w14:paraId="5A894FDD">
            <w:pPr>
              <w:widowControl w:val="0"/>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drawing>
                <wp:inline distT="0" distB="0" distL="114300" distR="114300">
                  <wp:extent cx="1521460" cy="1040130"/>
                  <wp:effectExtent l="0" t="0" r="2540" b="7620"/>
                  <wp:docPr id="59" name="图片 59" descr="171247915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712479150176"/>
                          <pic:cNvPicPr>
                            <a:picLocks noChangeAspect="1"/>
                          </pic:cNvPicPr>
                        </pic:nvPicPr>
                        <pic:blipFill>
                          <a:blip r:embed="rId53"/>
                          <a:stretch>
                            <a:fillRect/>
                          </a:stretch>
                        </pic:blipFill>
                        <pic:spPr>
                          <a:xfrm>
                            <a:off x="0" y="0"/>
                            <a:ext cx="1521460" cy="1040130"/>
                          </a:xfrm>
                          <a:prstGeom prst="rect">
                            <a:avLst/>
                          </a:prstGeom>
                        </pic:spPr>
                      </pic:pic>
                    </a:graphicData>
                  </a:graphic>
                </wp:inline>
              </w:drawing>
            </w:r>
          </w:p>
        </w:tc>
        <w:tc>
          <w:tcPr>
            <w:tcW w:w="730" w:type="pct"/>
            <w:vAlign w:val="center"/>
          </w:tcPr>
          <w:p w14:paraId="7A02E710">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整齐、清洁、润滑、安全、完好</w:t>
            </w:r>
          </w:p>
        </w:tc>
        <w:tc>
          <w:tcPr>
            <w:tcW w:w="490" w:type="pct"/>
            <w:vAlign w:val="center"/>
          </w:tcPr>
          <w:p w14:paraId="20C81D38">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推荐油电混合配备</w:t>
            </w:r>
          </w:p>
        </w:tc>
      </w:tr>
      <w:tr w14:paraId="54AC0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03" w:type="pct"/>
            <w:vAlign w:val="center"/>
          </w:tcPr>
          <w:p w14:paraId="1E911A56">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7</w:t>
            </w:r>
          </w:p>
        </w:tc>
        <w:tc>
          <w:tcPr>
            <w:tcW w:w="466" w:type="pct"/>
            <w:vAlign w:val="center"/>
          </w:tcPr>
          <w:p w14:paraId="1FACE313">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电动</w:t>
            </w:r>
            <w:r>
              <w:rPr>
                <w:rFonts w:hint="eastAsia" w:ascii="宋体" w:hAnsi="宋体" w:eastAsia="宋体" w:cs="宋体"/>
                <w:color w:val="auto"/>
                <w:kern w:val="0"/>
                <w:sz w:val="24"/>
                <w:szCs w:val="24"/>
                <w:highlight w:val="none"/>
              </w:rPr>
              <w:t>吹风机</w:t>
            </w:r>
          </w:p>
        </w:tc>
        <w:tc>
          <w:tcPr>
            <w:tcW w:w="722" w:type="pct"/>
            <w:vAlign w:val="center"/>
          </w:tcPr>
          <w:p w14:paraId="765D28E4">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466" w:type="pct"/>
            <w:vAlign w:val="center"/>
          </w:tcPr>
          <w:p w14:paraId="5DFF6B55">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台</w:t>
            </w:r>
          </w:p>
        </w:tc>
        <w:tc>
          <w:tcPr>
            <w:tcW w:w="1720" w:type="pct"/>
            <w:vAlign w:val="center"/>
          </w:tcPr>
          <w:p w14:paraId="049B9D41">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drawing>
                <wp:inline distT="0" distB="0" distL="114300" distR="114300">
                  <wp:extent cx="1652270" cy="1028700"/>
                  <wp:effectExtent l="0" t="0" r="5080" b="0"/>
                  <wp:docPr id="6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0"/>
                          <pic:cNvPicPr>
                            <a:picLocks noChangeAspect="1"/>
                          </pic:cNvPicPr>
                        </pic:nvPicPr>
                        <pic:blipFill>
                          <a:blip r:embed="rId51"/>
                          <a:stretch>
                            <a:fillRect/>
                          </a:stretch>
                        </pic:blipFill>
                        <pic:spPr>
                          <a:xfrm>
                            <a:off x="0" y="0"/>
                            <a:ext cx="1652270" cy="1028700"/>
                          </a:xfrm>
                          <a:prstGeom prst="rect">
                            <a:avLst/>
                          </a:prstGeom>
                          <a:noFill/>
                          <a:ln>
                            <a:noFill/>
                          </a:ln>
                        </pic:spPr>
                      </pic:pic>
                    </a:graphicData>
                  </a:graphic>
                </wp:inline>
              </w:drawing>
            </w:r>
          </w:p>
        </w:tc>
        <w:tc>
          <w:tcPr>
            <w:tcW w:w="730" w:type="pct"/>
            <w:vAlign w:val="center"/>
          </w:tcPr>
          <w:p w14:paraId="10738281">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整齐、清洁、润滑、安全、完好</w:t>
            </w:r>
          </w:p>
        </w:tc>
        <w:tc>
          <w:tcPr>
            <w:tcW w:w="490" w:type="pct"/>
            <w:vAlign w:val="center"/>
          </w:tcPr>
          <w:p w14:paraId="2213FA01">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优先选择低噪音款</w:t>
            </w:r>
          </w:p>
        </w:tc>
      </w:tr>
      <w:tr w14:paraId="6F13C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jc w:val="center"/>
        </w:trPr>
        <w:tc>
          <w:tcPr>
            <w:tcW w:w="403" w:type="pct"/>
            <w:vAlign w:val="center"/>
          </w:tcPr>
          <w:p w14:paraId="3052D5F9">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8</w:t>
            </w:r>
          </w:p>
        </w:tc>
        <w:tc>
          <w:tcPr>
            <w:tcW w:w="466" w:type="pct"/>
            <w:vAlign w:val="center"/>
          </w:tcPr>
          <w:p w14:paraId="1F3E91E7">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打药车</w:t>
            </w:r>
          </w:p>
        </w:tc>
        <w:tc>
          <w:tcPr>
            <w:tcW w:w="722" w:type="pct"/>
            <w:vAlign w:val="center"/>
          </w:tcPr>
          <w:p w14:paraId="7C40617E">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466" w:type="pct"/>
            <w:vAlign w:val="center"/>
          </w:tcPr>
          <w:p w14:paraId="6BAD2B21">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台</w:t>
            </w:r>
          </w:p>
        </w:tc>
        <w:tc>
          <w:tcPr>
            <w:tcW w:w="1720" w:type="pct"/>
            <w:vAlign w:val="center"/>
          </w:tcPr>
          <w:p w14:paraId="65162160">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drawing>
                <wp:inline distT="0" distB="0" distL="114300" distR="114300">
                  <wp:extent cx="1528445" cy="1016635"/>
                  <wp:effectExtent l="0" t="0" r="14605" b="12065"/>
                  <wp:docPr id="61" name="图片 61" descr="1712479239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1712479239676"/>
                          <pic:cNvPicPr>
                            <a:picLocks noChangeAspect="1"/>
                          </pic:cNvPicPr>
                        </pic:nvPicPr>
                        <pic:blipFill>
                          <a:blip r:embed="rId54"/>
                          <a:stretch>
                            <a:fillRect/>
                          </a:stretch>
                        </pic:blipFill>
                        <pic:spPr>
                          <a:xfrm>
                            <a:off x="0" y="0"/>
                            <a:ext cx="1528445" cy="1016635"/>
                          </a:xfrm>
                          <a:prstGeom prst="rect">
                            <a:avLst/>
                          </a:prstGeom>
                        </pic:spPr>
                      </pic:pic>
                    </a:graphicData>
                  </a:graphic>
                </wp:inline>
              </w:drawing>
            </w:r>
          </w:p>
        </w:tc>
        <w:tc>
          <w:tcPr>
            <w:tcW w:w="730" w:type="pct"/>
            <w:vAlign w:val="center"/>
          </w:tcPr>
          <w:p w14:paraId="64500EDE">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整齐、清洁、润滑、安全、完好</w:t>
            </w:r>
          </w:p>
        </w:tc>
        <w:tc>
          <w:tcPr>
            <w:tcW w:w="490" w:type="pct"/>
            <w:vAlign w:val="center"/>
          </w:tcPr>
          <w:p w14:paraId="6FC13F02">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p>
        </w:tc>
      </w:tr>
      <w:tr w14:paraId="504AA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03" w:type="pct"/>
            <w:vAlign w:val="center"/>
          </w:tcPr>
          <w:p w14:paraId="686758DC">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9</w:t>
            </w:r>
          </w:p>
        </w:tc>
        <w:tc>
          <w:tcPr>
            <w:tcW w:w="466" w:type="pct"/>
            <w:vAlign w:val="center"/>
          </w:tcPr>
          <w:p w14:paraId="248547E5">
            <w:pPr>
              <w:widowControl w:val="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绿篱机</w:t>
            </w:r>
          </w:p>
        </w:tc>
        <w:tc>
          <w:tcPr>
            <w:tcW w:w="722" w:type="pct"/>
            <w:vAlign w:val="center"/>
          </w:tcPr>
          <w:p w14:paraId="185660A1">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466" w:type="pct"/>
            <w:vAlign w:val="center"/>
          </w:tcPr>
          <w:p w14:paraId="30ED55B3">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台　</w:t>
            </w:r>
          </w:p>
        </w:tc>
        <w:tc>
          <w:tcPr>
            <w:tcW w:w="1720" w:type="pct"/>
            <w:vAlign w:val="center"/>
          </w:tcPr>
          <w:p w14:paraId="14003636">
            <w:pPr>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r>
              <w:rPr>
                <w:rFonts w:hint="eastAsia" w:ascii="宋体" w:hAnsi="宋体" w:eastAsia="宋体" w:cs="宋体"/>
                <w:color w:val="auto"/>
                <w:sz w:val="24"/>
                <w:szCs w:val="24"/>
                <w:highlight w:val="none"/>
              </w:rPr>
              <w:drawing>
                <wp:inline distT="0" distB="0" distL="114300" distR="114300">
                  <wp:extent cx="1647825" cy="1269365"/>
                  <wp:effectExtent l="0" t="0" r="9525" b="6985"/>
                  <wp:docPr id="6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4"/>
                          <pic:cNvPicPr>
                            <a:picLocks noChangeAspect="1"/>
                          </pic:cNvPicPr>
                        </pic:nvPicPr>
                        <pic:blipFill>
                          <a:blip r:embed="rId45"/>
                          <a:stretch>
                            <a:fillRect/>
                          </a:stretch>
                        </pic:blipFill>
                        <pic:spPr>
                          <a:xfrm>
                            <a:off x="0" y="0"/>
                            <a:ext cx="1647825" cy="1269365"/>
                          </a:xfrm>
                          <a:prstGeom prst="rect">
                            <a:avLst/>
                          </a:prstGeom>
                          <a:noFill/>
                          <a:ln>
                            <a:noFill/>
                          </a:ln>
                        </pic:spPr>
                      </pic:pic>
                    </a:graphicData>
                  </a:graphic>
                </wp:inline>
              </w:drawing>
            </w:r>
          </w:p>
        </w:tc>
        <w:tc>
          <w:tcPr>
            <w:tcW w:w="730" w:type="pct"/>
            <w:vAlign w:val="center"/>
          </w:tcPr>
          <w:p w14:paraId="01AB5FD8">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整齐、清洁、润滑、安全、完好</w:t>
            </w:r>
          </w:p>
        </w:tc>
        <w:tc>
          <w:tcPr>
            <w:tcW w:w="490" w:type="pct"/>
            <w:vAlign w:val="center"/>
          </w:tcPr>
          <w:p w14:paraId="6970EB55">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p>
        </w:tc>
      </w:tr>
      <w:tr w14:paraId="094AE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403" w:type="pct"/>
            <w:vAlign w:val="center"/>
          </w:tcPr>
          <w:p w14:paraId="26504F7A">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w:t>
            </w:r>
          </w:p>
        </w:tc>
        <w:tc>
          <w:tcPr>
            <w:tcW w:w="466" w:type="pct"/>
            <w:vAlign w:val="center"/>
          </w:tcPr>
          <w:p w14:paraId="2C66D48D">
            <w:pPr>
              <w:widowControl w:val="0"/>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高枝油锯</w:t>
            </w:r>
          </w:p>
        </w:tc>
        <w:tc>
          <w:tcPr>
            <w:tcW w:w="722" w:type="pct"/>
            <w:vAlign w:val="center"/>
          </w:tcPr>
          <w:p w14:paraId="5303C825">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466" w:type="pct"/>
            <w:vAlign w:val="center"/>
          </w:tcPr>
          <w:p w14:paraId="16796435">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把</w:t>
            </w:r>
          </w:p>
        </w:tc>
        <w:tc>
          <w:tcPr>
            <w:tcW w:w="1720" w:type="pct"/>
            <w:vAlign w:val="center"/>
          </w:tcPr>
          <w:p w14:paraId="665157F8">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drawing>
                <wp:inline distT="0" distB="0" distL="114300" distR="114300">
                  <wp:extent cx="1613535" cy="1228725"/>
                  <wp:effectExtent l="0" t="0" r="5715" b="9525"/>
                  <wp:docPr id="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
                          <pic:cNvPicPr>
                            <a:picLocks noChangeAspect="1"/>
                          </pic:cNvPicPr>
                        </pic:nvPicPr>
                        <pic:blipFill>
                          <a:blip r:embed="rId35"/>
                          <a:stretch>
                            <a:fillRect/>
                          </a:stretch>
                        </pic:blipFill>
                        <pic:spPr>
                          <a:xfrm>
                            <a:off x="0" y="0"/>
                            <a:ext cx="1613535" cy="1228725"/>
                          </a:xfrm>
                          <a:prstGeom prst="rect">
                            <a:avLst/>
                          </a:prstGeom>
                          <a:noFill/>
                          <a:ln>
                            <a:noFill/>
                          </a:ln>
                        </pic:spPr>
                      </pic:pic>
                    </a:graphicData>
                  </a:graphic>
                </wp:inline>
              </w:drawing>
            </w:r>
          </w:p>
        </w:tc>
        <w:tc>
          <w:tcPr>
            <w:tcW w:w="730" w:type="pct"/>
            <w:vAlign w:val="center"/>
          </w:tcPr>
          <w:p w14:paraId="7D7DBA57">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整齐、清洁、润滑、安全、完好</w:t>
            </w:r>
          </w:p>
        </w:tc>
        <w:tc>
          <w:tcPr>
            <w:tcW w:w="490" w:type="pct"/>
            <w:vAlign w:val="center"/>
          </w:tcPr>
          <w:p w14:paraId="4ED5BEE0">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p>
        </w:tc>
      </w:tr>
      <w:tr w14:paraId="76124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403" w:type="pct"/>
            <w:vAlign w:val="center"/>
          </w:tcPr>
          <w:p w14:paraId="60213832">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11</w:t>
            </w:r>
          </w:p>
        </w:tc>
        <w:tc>
          <w:tcPr>
            <w:tcW w:w="466" w:type="pct"/>
            <w:vAlign w:val="center"/>
          </w:tcPr>
          <w:p w14:paraId="08171E37">
            <w:pPr>
              <w:widowControl w:val="0"/>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打孔机</w:t>
            </w:r>
          </w:p>
        </w:tc>
        <w:tc>
          <w:tcPr>
            <w:tcW w:w="722" w:type="pct"/>
            <w:vAlign w:val="center"/>
          </w:tcPr>
          <w:p w14:paraId="2C21759E">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466" w:type="pct"/>
            <w:vAlign w:val="center"/>
          </w:tcPr>
          <w:p w14:paraId="7B4633CE">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台</w:t>
            </w:r>
          </w:p>
        </w:tc>
        <w:tc>
          <w:tcPr>
            <w:tcW w:w="1720" w:type="pct"/>
            <w:vAlign w:val="center"/>
          </w:tcPr>
          <w:p w14:paraId="047E985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1677035" cy="1161415"/>
                  <wp:effectExtent l="0" t="0" r="18415" b="635"/>
                  <wp:docPr id="6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3"/>
                          <pic:cNvPicPr>
                            <a:picLocks noChangeAspect="1"/>
                          </pic:cNvPicPr>
                        </pic:nvPicPr>
                        <pic:blipFill>
                          <a:blip r:embed="rId44"/>
                          <a:stretch>
                            <a:fillRect/>
                          </a:stretch>
                        </pic:blipFill>
                        <pic:spPr>
                          <a:xfrm>
                            <a:off x="0" y="0"/>
                            <a:ext cx="1677035" cy="1161415"/>
                          </a:xfrm>
                          <a:prstGeom prst="rect">
                            <a:avLst/>
                          </a:prstGeom>
                          <a:noFill/>
                          <a:ln>
                            <a:noFill/>
                          </a:ln>
                        </pic:spPr>
                      </pic:pic>
                    </a:graphicData>
                  </a:graphic>
                </wp:inline>
              </w:drawing>
            </w:r>
          </w:p>
        </w:tc>
        <w:tc>
          <w:tcPr>
            <w:tcW w:w="730" w:type="pct"/>
            <w:vAlign w:val="center"/>
          </w:tcPr>
          <w:p w14:paraId="427B8C05">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整齐、清洁、润滑、安全、完好</w:t>
            </w:r>
          </w:p>
        </w:tc>
        <w:tc>
          <w:tcPr>
            <w:tcW w:w="490" w:type="pct"/>
            <w:vAlign w:val="center"/>
          </w:tcPr>
          <w:p w14:paraId="33EDDE2D">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p>
        </w:tc>
      </w:tr>
      <w:tr w14:paraId="60B80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403" w:type="pct"/>
            <w:vAlign w:val="center"/>
          </w:tcPr>
          <w:p w14:paraId="0A2EC4E5">
            <w:pPr>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12</w:t>
            </w:r>
          </w:p>
        </w:tc>
        <w:tc>
          <w:tcPr>
            <w:tcW w:w="466" w:type="pct"/>
            <w:vAlign w:val="center"/>
          </w:tcPr>
          <w:p w14:paraId="3C470A89">
            <w:pPr>
              <w:widowControl w:val="0"/>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高空修剪车</w:t>
            </w:r>
          </w:p>
        </w:tc>
        <w:tc>
          <w:tcPr>
            <w:tcW w:w="722" w:type="pct"/>
            <w:vAlign w:val="center"/>
          </w:tcPr>
          <w:p w14:paraId="77B1300D">
            <w:pPr>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466" w:type="pct"/>
            <w:vAlign w:val="center"/>
          </w:tcPr>
          <w:p w14:paraId="7189C180">
            <w:pPr>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台</w:t>
            </w:r>
          </w:p>
        </w:tc>
        <w:tc>
          <w:tcPr>
            <w:tcW w:w="1720" w:type="pct"/>
            <w:vAlign w:val="center"/>
          </w:tcPr>
          <w:p w14:paraId="5B83B77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最大作业高度20米以上</w:t>
            </w:r>
          </w:p>
        </w:tc>
        <w:tc>
          <w:tcPr>
            <w:tcW w:w="730" w:type="pct"/>
            <w:vAlign w:val="center"/>
          </w:tcPr>
          <w:p w14:paraId="08664ACE">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整齐、清洁、润滑、安全、完好</w:t>
            </w:r>
          </w:p>
        </w:tc>
        <w:tc>
          <w:tcPr>
            <w:tcW w:w="490" w:type="pct"/>
            <w:vAlign w:val="center"/>
          </w:tcPr>
          <w:p w14:paraId="2B7EFE22">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适用于高度较高的树木修剪及路灯检修等高空作业。</w:t>
            </w:r>
          </w:p>
        </w:tc>
      </w:tr>
      <w:tr w14:paraId="5280E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03" w:type="pct"/>
            <w:vAlign w:val="center"/>
          </w:tcPr>
          <w:p w14:paraId="001FFCC7">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13</w:t>
            </w:r>
          </w:p>
        </w:tc>
        <w:tc>
          <w:tcPr>
            <w:tcW w:w="466" w:type="pct"/>
            <w:vAlign w:val="center"/>
          </w:tcPr>
          <w:p w14:paraId="7424477E">
            <w:pPr>
              <w:widowControl w:val="0"/>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水泵</w:t>
            </w:r>
          </w:p>
        </w:tc>
        <w:tc>
          <w:tcPr>
            <w:tcW w:w="722" w:type="pct"/>
            <w:vAlign w:val="center"/>
          </w:tcPr>
          <w:p w14:paraId="6201B4F2">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466" w:type="pct"/>
            <w:vAlign w:val="center"/>
          </w:tcPr>
          <w:p w14:paraId="4324ED0A">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台</w:t>
            </w:r>
          </w:p>
        </w:tc>
        <w:tc>
          <w:tcPr>
            <w:tcW w:w="1720" w:type="pct"/>
            <w:vAlign w:val="center"/>
          </w:tcPr>
          <w:p w14:paraId="493FFC8A">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w:t>
            </w:r>
          </w:p>
        </w:tc>
        <w:tc>
          <w:tcPr>
            <w:tcW w:w="730" w:type="pct"/>
            <w:vAlign w:val="center"/>
          </w:tcPr>
          <w:p w14:paraId="0DB7E608">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整齐、清洁、润滑、安全、完好</w:t>
            </w:r>
          </w:p>
        </w:tc>
        <w:tc>
          <w:tcPr>
            <w:tcW w:w="490" w:type="pct"/>
            <w:vAlign w:val="center"/>
          </w:tcPr>
          <w:p w14:paraId="1CA24C4C">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p>
        </w:tc>
      </w:tr>
      <w:tr w14:paraId="64AA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03" w:type="pct"/>
            <w:vAlign w:val="center"/>
          </w:tcPr>
          <w:p w14:paraId="214566AF">
            <w:pPr>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14</w:t>
            </w:r>
          </w:p>
        </w:tc>
        <w:tc>
          <w:tcPr>
            <w:tcW w:w="466" w:type="pct"/>
            <w:vAlign w:val="center"/>
          </w:tcPr>
          <w:p w14:paraId="4761C218">
            <w:pPr>
              <w:widowControl w:val="0"/>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保洁工具车</w:t>
            </w:r>
          </w:p>
        </w:tc>
        <w:tc>
          <w:tcPr>
            <w:tcW w:w="722" w:type="pct"/>
            <w:vAlign w:val="center"/>
          </w:tcPr>
          <w:p w14:paraId="2CDD6C86">
            <w:pPr>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8</w:t>
            </w:r>
          </w:p>
        </w:tc>
        <w:tc>
          <w:tcPr>
            <w:tcW w:w="466" w:type="pct"/>
            <w:vAlign w:val="center"/>
          </w:tcPr>
          <w:p w14:paraId="07B2B0CC">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台</w:t>
            </w:r>
          </w:p>
        </w:tc>
        <w:tc>
          <w:tcPr>
            <w:tcW w:w="1720" w:type="pct"/>
            <w:vAlign w:val="center"/>
          </w:tcPr>
          <w:p w14:paraId="1DFCBDF3">
            <w:pPr>
              <w:jc w:val="center"/>
              <w:rPr>
                <w:rFonts w:hint="eastAsia" w:ascii="宋体" w:hAnsi="宋体" w:eastAsia="宋体" w:cs="宋体"/>
                <w:color w:val="auto"/>
                <w:kern w:val="0"/>
                <w:sz w:val="24"/>
                <w:szCs w:val="24"/>
                <w:highlight w:val="none"/>
                <w:lang w:val="en-US" w:eastAsia="zh-CN"/>
              </w:rPr>
            </w:pPr>
          </w:p>
        </w:tc>
        <w:tc>
          <w:tcPr>
            <w:tcW w:w="730" w:type="pct"/>
            <w:vAlign w:val="center"/>
          </w:tcPr>
          <w:p w14:paraId="7F9F43B9">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整齐、清洁、润滑、安全、完好</w:t>
            </w:r>
          </w:p>
        </w:tc>
        <w:tc>
          <w:tcPr>
            <w:tcW w:w="490" w:type="pct"/>
            <w:vAlign w:val="center"/>
          </w:tcPr>
          <w:p w14:paraId="7EA71724">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kern w:val="0"/>
                <w:sz w:val="24"/>
                <w:szCs w:val="24"/>
                <w:highlight w:val="none"/>
                <w:lang w:val="en-US" w:eastAsia="zh-CN"/>
              </w:rPr>
            </w:pPr>
          </w:p>
        </w:tc>
      </w:tr>
      <w:tr w14:paraId="60B67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3" w:type="pct"/>
            <w:vAlign w:val="center"/>
          </w:tcPr>
          <w:p w14:paraId="2E574F17">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管理要求</w:t>
            </w:r>
          </w:p>
        </w:tc>
        <w:tc>
          <w:tcPr>
            <w:tcW w:w="4596" w:type="pct"/>
            <w:gridSpan w:val="6"/>
            <w:vAlign w:val="center"/>
          </w:tcPr>
          <w:p w14:paraId="6E3DE4FC">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完成服务相关人员开展日常作业必须配备的基本工具、器械不列入本清单，由中标人无条件提供，费用包干。主要指完成相关作业必备的无动力装置或通讯工具，包括1）手推车、工具车、垃圾铲（灰斗）、扫把、拖布、抹布等清洁工具；2）人工打药机、枝剪、水管等植物养护工具；3）五金等维修工具等；4）安保、服务人员对讲机等通讯工具；5）口罩、手套等。</w:t>
            </w:r>
          </w:p>
          <w:p w14:paraId="3A320C29">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2.本清单仅要求经常性使用且要求常驻公园的机械设备。</w:t>
            </w:r>
          </w:p>
          <w:p w14:paraId="65D97A1A">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本清单所有机械设备需在合同签订10日内配齐，仅限于在本项目中使用，保养记录和存放地点须向采购单位备案，随时预备检查。机械设备均应在闲时进行维修保养，工作期间如发生故障无法正常使用，中标人须无条件提供同等规格或以上的机械设备。</w:t>
            </w:r>
          </w:p>
          <w:p w14:paraId="38C92B92">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4.以上车辆机械设备数量为满足本标段的最低配备要求，供应商应根据本标段实际情况配备足够的车辆机械设备。</w:t>
            </w:r>
          </w:p>
          <w:p w14:paraId="6E28CAA9">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5.相关机械设备的操作使用、维护保养由中标人负责，费用包干。</w:t>
            </w:r>
          </w:p>
          <w:p w14:paraId="2195A298">
            <w:pPr>
              <w:keepNext w:val="0"/>
              <w:keepLines w:val="0"/>
              <w:pageBreakBefore w:val="0"/>
              <w:kinsoku/>
              <w:wordWrap/>
              <w:overflowPunct/>
              <w:topLinePunct w:val="0"/>
              <w:autoSpaceDE/>
              <w:autoSpaceDN/>
              <w:bidi w:val="0"/>
              <w:adjustRightInd w:val="0"/>
              <w:snapToGri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本清单机械设备生产制造时间要求为2021年1月份以后，具备国家认可的合格证书，性能良好；属于投标单位自有的机械设备，要求采购时间不早于2021年1月份，属于租赁的机械设备，租赁时间必须长于本项目招标服务时限或一致，不得短于项目服务时限。</w:t>
            </w:r>
          </w:p>
        </w:tc>
      </w:tr>
    </w:tbl>
    <w:p w14:paraId="6C8E934B">
      <w:pPr>
        <w:widowControl/>
        <w:tabs>
          <w:tab w:val="left" w:pos="851"/>
        </w:tabs>
        <w:adjustRightInd/>
        <w:spacing w:line="360" w:lineRule="auto"/>
        <w:outlineLvl w:val="1"/>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eastAsia="zh-CN"/>
        </w:rPr>
        <w:t>（</w:t>
      </w:r>
      <w:r>
        <w:rPr>
          <w:rFonts w:hint="eastAsia" w:ascii="宋体" w:hAnsi="宋体" w:eastAsia="宋体" w:cs="宋体"/>
          <w:b/>
          <w:color w:val="auto"/>
          <w:kern w:val="0"/>
          <w:sz w:val="24"/>
          <w:highlight w:val="none"/>
          <w:lang w:val="en-US" w:eastAsia="zh-CN"/>
        </w:rPr>
        <w:t>二</w:t>
      </w:r>
      <w:r>
        <w:rPr>
          <w:rFonts w:hint="eastAsia" w:ascii="宋体" w:hAnsi="宋体" w:eastAsia="宋体" w:cs="宋体"/>
          <w:b/>
          <w:color w:val="auto"/>
          <w:kern w:val="0"/>
          <w:sz w:val="24"/>
          <w:highlight w:val="none"/>
          <w:lang w:eastAsia="zh-CN"/>
        </w:rPr>
        <w:t>）</w:t>
      </w:r>
      <w:r>
        <w:rPr>
          <w:rFonts w:hint="eastAsia" w:ascii="宋体" w:hAnsi="宋体" w:eastAsia="宋体" w:cs="宋体"/>
          <w:b/>
          <w:color w:val="auto"/>
          <w:kern w:val="0"/>
          <w:sz w:val="24"/>
          <w:highlight w:val="none"/>
          <w:lang w:val="en-US" w:eastAsia="zh-CN"/>
        </w:rPr>
        <w:t>采购人</w:t>
      </w:r>
      <w:r>
        <w:rPr>
          <w:rFonts w:hint="eastAsia" w:ascii="宋体" w:hAnsi="宋体" w:eastAsia="宋体" w:cs="宋体"/>
          <w:b/>
          <w:color w:val="auto"/>
          <w:kern w:val="0"/>
          <w:sz w:val="24"/>
          <w:highlight w:val="none"/>
          <w:lang w:eastAsia="zh-CN"/>
        </w:rPr>
        <w:t>可提供设备清单</w:t>
      </w:r>
    </w:p>
    <w:tbl>
      <w:tblPr>
        <w:tblStyle w:val="62"/>
        <w:tblW w:w="4886" w:type="pct"/>
        <w:tblInd w:w="5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44"/>
        <w:gridCol w:w="1887"/>
        <w:gridCol w:w="1150"/>
        <w:gridCol w:w="762"/>
        <w:gridCol w:w="3585"/>
      </w:tblGrid>
      <w:tr w14:paraId="32478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67AB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序号</w:t>
            </w:r>
          </w:p>
        </w:tc>
        <w:tc>
          <w:tcPr>
            <w:tcW w:w="1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EB95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设备名称</w:t>
            </w:r>
          </w:p>
        </w:tc>
        <w:tc>
          <w:tcPr>
            <w:tcW w:w="6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9C08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数量</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3D5A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单位</w:t>
            </w:r>
          </w:p>
        </w:tc>
        <w:tc>
          <w:tcPr>
            <w:tcW w:w="21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90F1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使用及维护要求</w:t>
            </w:r>
          </w:p>
        </w:tc>
      </w:tr>
      <w:tr w14:paraId="58A3D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3946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1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994C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水泵</w:t>
            </w:r>
          </w:p>
        </w:tc>
        <w:tc>
          <w:tcPr>
            <w:tcW w:w="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C187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E517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21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46C3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整齐、清洁、润滑、安全、完好</w:t>
            </w:r>
          </w:p>
        </w:tc>
      </w:tr>
      <w:tr w14:paraId="4A87E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0218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1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8442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背负式吹风机</w:t>
            </w:r>
          </w:p>
        </w:tc>
        <w:tc>
          <w:tcPr>
            <w:tcW w:w="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90FB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893A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21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23CC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整齐、清洁、润滑、安全、完好</w:t>
            </w:r>
          </w:p>
        </w:tc>
      </w:tr>
      <w:tr w14:paraId="1A2B3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0785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11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F0FC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吹吸两用风机</w:t>
            </w:r>
          </w:p>
        </w:tc>
        <w:tc>
          <w:tcPr>
            <w:tcW w:w="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910C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5010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21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0B77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整齐、清洁、润滑、安全、完好</w:t>
            </w:r>
          </w:p>
        </w:tc>
      </w:tr>
      <w:tr w14:paraId="2A6D1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9CFB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11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8A45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高压冲洗机</w:t>
            </w:r>
          </w:p>
        </w:tc>
        <w:tc>
          <w:tcPr>
            <w:tcW w:w="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8031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9297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21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0F9D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整齐、清洁、润滑、安全、完好</w:t>
            </w:r>
          </w:p>
        </w:tc>
      </w:tr>
      <w:tr w14:paraId="59E0A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128F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11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E837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割灌机</w:t>
            </w:r>
          </w:p>
        </w:tc>
        <w:tc>
          <w:tcPr>
            <w:tcW w:w="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433E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0D28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21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0690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整齐、清洁、润滑、安全、完好</w:t>
            </w:r>
          </w:p>
        </w:tc>
      </w:tr>
      <w:tr w14:paraId="7A96E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4C2F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11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CBF6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草坪机</w:t>
            </w:r>
          </w:p>
        </w:tc>
        <w:tc>
          <w:tcPr>
            <w:tcW w:w="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3983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C810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21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55DA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整齐、清洁、润滑、安全、完好</w:t>
            </w:r>
          </w:p>
        </w:tc>
      </w:tr>
      <w:tr w14:paraId="3F6ED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D4EF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11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EECE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绿篱机</w:t>
            </w:r>
          </w:p>
        </w:tc>
        <w:tc>
          <w:tcPr>
            <w:tcW w:w="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47E0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8FF1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21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7016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整齐、清洁、润滑、安全、完好</w:t>
            </w:r>
          </w:p>
        </w:tc>
      </w:tr>
      <w:tr w14:paraId="3DAE7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948D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11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B5AC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背负式喷雾机</w:t>
            </w:r>
          </w:p>
        </w:tc>
        <w:tc>
          <w:tcPr>
            <w:tcW w:w="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22D2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05EA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21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06CB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整齐、清洁、润滑、安全、完好</w:t>
            </w:r>
          </w:p>
        </w:tc>
      </w:tr>
      <w:tr w14:paraId="016EF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2D72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11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02B4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油锯</w:t>
            </w:r>
          </w:p>
        </w:tc>
        <w:tc>
          <w:tcPr>
            <w:tcW w:w="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D98C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0769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把</w:t>
            </w:r>
          </w:p>
        </w:tc>
        <w:tc>
          <w:tcPr>
            <w:tcW w:w="21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A54B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整齐、清洁、润滑、安全、完好</w:t>
            </w:r>
          </w:p>
        </w:tc>
      </w:tr>
      <w:tr w14:paraId="69D56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EB3C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11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49AA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高枝锯</w:t>
            </w:r>
          </w:p>
        </w:tc>
        <w:tc>
          <w:tcPr>
            <w:tcW w:w="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C47B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9D42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把</w:t>
            </w:r>
          </w:p>
        </w:tc>
        <w:tc>
          <w:tcPr>
            <w:tcW w:w="21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78EC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整齐、清洁、润滑、安全、完好</w:t>
            </w:r>
          </w:p>
        </w:tc>
      </w:tr>
      <w:tr w14:paraId="0F1B7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FDBE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11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4377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微耕机</w:t>
            </w:r>
          </w:p>
        </w:tc>
        <w:tc>
          <w:tcPr>
            <w:tcW w:w="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127D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C3C2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21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A8A6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整齐、清洁、润滑、安全、完好</w:t>
            </w:r>
          </w:p>
        </w:tc>
      </w:tr>
      <w:tr w14:paraId="5B6EF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59D7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11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4083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打药机</w:t>
            </w:r>
          </w:p>
        </w:tc>
        <w:tc>
          <w:tcPr>
            <w:tcW w:w="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269A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11E5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21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F9C9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整齐、清洁、润滑、安全、完好</w:t>
            </w:r>
          </w:p>
        </w:tc>
      </w:tr>
    </w:tbl>
    <w:p w14:paraId="485F3A35">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采购人提供的设备由中标人使用并维护，无法维修、租赁到期或报废后由中标人提供同等或以上规格机械设备供项目使用，优先使用新能源设备；置换后的保洁车、垃圾清运车等车辆要求优先采用新能源车辆。</w:t>
      </w:r>
    </w:p>
    <w:p w14:paraId="60011DDC">
      <w:pPr>
        <w:widowControl/>
        <w:tabs>
          <w:tab w:val="left" w:pos="851"/>
        </w:tabs>
        <w:adjustRightInd/>
        <w:spacing w:line="360" w:lineRule="auto"/>
        <w:ind w:firstLine="480" w:firstLineChars="200"/>
        <w:rPr>
          <w:rFonts w:hint="default"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采购人提供的设备</w:t>
      </w:r>
      <w:r>
        <w:rPr>
          <w:rFonts w:hint="eastAsia" w:ascii="宋体" w:hAnsi="宋体" w:eastAsia="宋体" w:cs="宋体"/>
          <w:bCs/>
          <w:color w:val="auto"/>
          <w:kern w:val="0"/>
          <w:sz w:val="24"/>
          <w:highlight w:val="none"/>
        </w:rPr>
        <w:t>的操作使用、维护保养由中标</w:t>
      </w:r>
      <w:r>
        <w:rPr>
          <w:rFonts w:hint="eastAsia" w:ascii="宋体" w:hAnsi="宋体" w:eastAsia="宋体" w:cs="宋体"/>
          <w:bCs/>
          <w:color w:val="auto"/>
          <w:kern w:val="0"/>
          <w:sz w:val="24"/>
          <w:highlight w:val="none"/>
          <w:lang w:eastAsia="zh-CN"/>
        </w:rPr>
        <w:t>人</w:t>
      </w:r>
      <w:r>
        <w:rPr>
          <w:rFonts w:hint="eastAsia" w:ascii="宋体" w:hAnsi="宋体" w:eastAsia="宋体" w:cs="宋体"/>
          <w:bCs/>
          <w:color w:val="auto"/>
          <w:kern w:val="0"/>
          <w:sz w:val="24"/>
          <w:highlight w:val="none"/>
        </w:rPr>
        <w:t>负责，费用包干。</w:t>
      </w:r>
    </w:p>
    <w:p w14:paraId="4D785673">
      <w:pPr>
        <w:widowControl/>
        <w:tabs>
          <w:tab w:val="left" w:pos="851"/>
        </w:tabs>
        <w:adjustRightInd/>
        <w:spacing w:line="360" w:lineRule="auto"/>
        <w:outlineLvl w:val="1"/>
        <w:rPr>
          <w:rFonts w:ascii="宋体" w:hAnsi="宋体" w:eastAsia="宋体" w:cs="宋体"/>
          <w:b/>
          <w:color w:val="auto"/>
          <w:kern w:val="0"/>
          <w:sz w:val="24"/>
          <w:highlight w:val="none"/>
        </w:rPr>
      </w:pPr>
      <w:r>
        <w:rPr>
          <w:rFonts w:hint="eastAsia" w:ascii="宋体" w:hAnsi="宋体" w:eastAsia="宋体" w:cs="宋体"/>
          <w:b/>
          <w:color w:val="auto"/>
          <w:kern w:val="0"/>
          <w:sz w:val="24"/>
          <w:highlight w:val="none"/>
          <w:lang w:val="en-US" w:eastAsia="zh-CN"/>
        </w:rPr>
        <w:t>七</w:t>
      </w:r>
      <w:r>
        <w:rPr>
          <w:rFonts w:hint="eastAsia" w:ascii="宋体" w:hAnsi="宋体" w:eastAsia="宋体" w:cs="宋体"/>
          <w:b/>
          <w:color w:val="auto"/>
          <w:kern w:val="0"/>
          <w:sz w:val="24"/>
          <w:highlight w:val="none"/>
        </w:rPr>
        <w:t>、</w:t>
      </w:r>
      <w:r>
        <w:rPr>
          <w:rFonts w:hint="eastAsia" w:ascii="宋体" w:hAnsi="宋体" w:eastAsia="宋体" w:cs="宋体"/>
          <w:b/>
          <w:color w:val="auto"/>
          <w:kern w:val="0"/>
          <w:sz w:val="24"/>
          <w:highlight w:val="none"/>
          <w:lang w:val="en-US" w:eastAsia="zh-CN"/>
        </w:rPr>
        <w:t>台账</w:t>
      </w:r>
      <w:r>
        <w:rPr>
          <w:rFonts w:hint="eastAsia" w:ascii="宋体" w:hAnsi="宋体" w:eastAsia="宋体" w:cs="宋体"/>
          <w:b/>
          <w:color w:val="auto"/>
          <w:kern w:val="0"/>
          <w:sz w:val="24"/>
          <w:highlight w:val="none"/>
        </w:rPr>
        <w:t>要求</w:t>
      </w:r>
    </w:p>
    <w:tbl>
      <w:tblPr>
        <w:tblStyle w:val="62"/>
        <w:tblW w:w="8647" w:type="dxa"/>
        <w:jc w:val="center"/>
        <w:tblLayout w:type="fixed"/>
        <w:tblCellMar>
          <w:top w:w="0" w:type="dxa"/>
          <w:left w:w="0" w:type="dxa"/>
          <w:bottom w:w="0" w:type="dxa"/>
          <w:right w:w="0" w:type="dxa"/>
        </w:tblCellMar>
      </w:tblPr>
      <w:tblGrid>
        <w:gridCol w:w="1281"/>
        <w:gridCol w:w="4646"/>
        <w:gridCol w:w="2720"/>
      </w:tblGrid>
      <w:tr w14:paraId="10563F72">
        <w:tblPrEx>
          <w:tblCellMar>
            <w:top w:w="0" w:type="dxa"/>
            <w:left w:w="0" w:type="dxa"/>
            <w:bottom w:w="0" w:type="dxa"/>
            <w:right w:w="0" w:type="dxa"/>
          </w:tblCellMar>
        </w:tblPrEx>
        <w:trPr>
          <w:trHeight w:val="397" w:hRule="atLeast"/>
          <w:jc w:val="center"/>
        </w:trPr>
        <w:tc>
          <w:tcPr>
            <w:tcW w:w="128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61EA871">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台账类别</w:t>
            </w: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A3E361E">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台账名称</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08C5A99">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相关标准要求</w:t>
            </w:r>
          </w:p>
        </w:tc>
      </w:tr>
      <w:tr w14:paraId="790BA10D">
        <w:tblPrEx>
          <w:tblCellMar>
            <w:top w:w="0" w:type="dxa"/>
            <w:left w:w="0" w:type="dxa"/>
            <w:bottom w:w="0" w:type="dxa"/>
            <w:right w:w="0" w:type="dxa"/>
          </w:tblCellMar>
        </w:tblPrEx>
        <w:trPr>
          <w:trHeight w:val="261" w:hRule="atLeast"/>
          <w:jc w:val="center"/>
        </w:trPr>
        <w:tc>
          <w:tcPr>
            <w:tcW w:w="1281"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98C6C6C">
            <w:pPr>
              <w:widowControl/>
              <w:jc w:val="left"/>
              <w:textAlignment w:val="center"/>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1.项目基本情况</w:t>
            </w: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CBA5FF5">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1.1招、投标文件</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3538E67">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0229AD7B">
        <w:tblPrEx>
          <w:tblCellMar>
            <w:top w:w="0" w:type="dxa"/>
            <w:left w:w="0" w:type="dxa"/>
            <w:bottom w:w="0" w:type="dxa"/>
            <w:right w:w="0" w:type="dxa"/>
          </w:tblCellMar>
        </w:tblPrEx>
        <w:trPr>
          <w:trHeight w:val="123" w:hRule="atLeast"/>
          <w:jc w:val="center"/>
        </w:trPr>
        <w:tc>
          <w:tcPr>
            <w:tcW w:w="1281"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FF3EB31">
            <w:pPr>
              <w:jc w:val="left"/>
              <w:rPr>
                <w:rFonts w:hint="eastAsia" w:ascii="宋体" w:hAnsi="宋体" w:eastAsia="宋体" w:cs="宋体"/>
                <w:b/>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B4FBE50">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1.2合同</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5C7312C">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575DBD7C">
        <w:tblPrEx>
          <w:tblCellMar>
            <w:top w:w="0" w:type="dxa"/>
            <w:left w:w="0" w:type="dxa"/>
            <w:bottom w:w="0" w:type="dxa"/>
            <w:right w:w="0" w:type="dxa"/>
          </w:tblCellMar>
        </w:tblPrEx>
        <w:trPr>
          <w:trHeight w:val="241" w:hRule="atLeast"/>
          <w:jc w:val="center"/>
        </w:trPr>
        <w:tc>
          <w:tcPr>
            <w:tcW w:w="1281"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2A344A3">
            <w:pPr>
              <w:widowControl/>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2.人员管理情况</w:t>
            </w: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AD84CFB">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2.1项目人员名录</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3423528">
            <w:pPr>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需含身份证信息、年龄、学历、专业</w:t>
            </w:r>
            <w:r>
              <w:rPr>
                <w:rFonts w:hint="eastAsia" w:ascii="宋体" w:hAnsi="宋体" w:eastAsia="宋体" w:cs="宋体"/>
                <w:bCs/>
                <w:color w:val="auto"/>
                <w:sz w:val="24"/>
                <w:szCs w:val="24"/>
                <w:highlight w:val="none"/>
                <w:lang w:eastAsia="zh-CN"/>
              </w:rPr>
              <w:t>、资质证书</w:t>
            </w:r>
            <w:r>
              <w:rPr>
                <w:rFonts w:hint="eastAsia" w:ascii="宋体" w:hAnsi="宋体" w:eastAsia="宋体" w:cs="宋体"/>
                <w:bCs/>
                <w:color w:val="auto"/>
                <w:sz w:val="24"/>
                <w:szCs w:val="24"/>
                <w:highlight w:val="none"/>
              </w:rPr>
              <w:t>等</w:t>
            </w:r>
          </w:p>
        </w:tc>
      </w:tr>
      <w:tr w14:paraId="34B6CFAC">
        <w:tblPrEx>
          <w:tblCellMar>
            <w:top w:w="0" w:type="dxa"/>
            <w:left w:w="0" w:type="dxa"/>
            <w:bottom w:w="0" w:type="dxa"/>
            <w:right w:w="0" w:type="dxa"/>
          </w:tblCellMar>
        </w:tblPrEx>
        <w:trPr>
          <w:trHeight w:val="548" w:hRule="atLeast"/>
          <w:jc w:val="center"/>
        </w:trPr>
        <w:tc>
          <w:tcPr>
            <w:tcW w:w="1281"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BB57FD7">
            <w:pPr>
              <w:jc w:val="left"/>
              <w:rPr>
                <w:rFonts w:hint="eastAsia" w:ascii="宋体" w:hAnsi="宋体" w:eastAsia="宋体" w:cs="宋体"/>
                <w:b/>
                <w:bCs/>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EDE5100">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2.2员工用工合同资料</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50056CD">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0851DB97">
        <w:tblPrEx>
          <w:tblCellMar>
            <w:top w:w="0" w:type="dxa"/>
            <w:left w:w="0" w:type="dxa"/>
            <w:bottom w:w="0" w:type="dxa"/>
            <w:right w:w="0" w:type="dxa"/>
          </w:tblCellMar>
        </w:tblPrEx>
        <w:trPr>
          <w:trHeight w:val="600" w:hRule="atLeast"/>
          <w:jc w:val="center"/>
        </w:trPr>
        <w:tc>
          <w:tcPr>
            <w:tcW w:w="1281"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B182DD1">
            <w:pPr>
              <w:jc w:val="left"/>
              <w:rPr>
                <w:rFonts w:hint="eastAsia" w:ascii="宋体" w:hAnsi="宋体" w:eastAsia="宋体" w:cs="宋体"/>
                <w:b/>
                <w:bCs/>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8EEF5E0">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2.3人员考勤打卡数据、</w:t>
            </w:r>
            <w:r>
              <w:rPr>
                <w:rFonts w:hint="eastAsia" w:ascii="宋体" w:hAnsi="宋体" w:eastAsia="宋体" w:cs="宋体"/>
                <w:bCs/>
                <w:color w:val="auto"/>
                <w:sz w:val="24"/>
                <w:szCs w:val="24"/>
                <w:highlight w:val="none"/>
                <w:lang w:eastAsia="zh-CN"/>
              </w:rPr>
              <w:t>公厕</w:t>
            </w:r>
            <w:r>
              <w:rPr>
                <w:rFonts w:hint="eastAsia" w:ascii="宋体" w:hAnsi="宋体" w:eastAsia="宋体" w:cs="宋体"/>
                <w:bCs/>
                <w:color w:val="auto"/>
                <w:sz w:val="24"/>
                <w:szCs w:val="24"/>
                <w:highlight w:val="none"/>
              </w:rPr>
              <w:t>保洁签到表</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EAC2E7F">
            <w:pPr>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钉钉考勤等打卡数据或</w:t>
            </w:r>
            <w:r>
              <w:rPr>
                <w:rFonts w:hint="eastAsia" w:ascii="宋体" w:hAnsi="宋体" w:eastAsia="宋体" w:cs="宋体"/>
                <w:bCs/>
                <w:color w:val="auto"/>
                <w:sz w:val="24"/>
                <w:szCs w:val="24"/>
                <w:highlight w:val="none"/>
                <w:lang w:eastAsia="zh-CN"/>
              </w:rPr>
              <w:t>智慧公园</w:t>
            </w:r>
            <w:r>
              <w:rPr>
                <w:rFonts w:hint="eastAsia" w:ascii="宋体" w:hAnsi="宋体" w:eastAsia="宋体" w:cs="宋体"/>
                <w:bCs/>
                <w:color w:val="auto"/>
                <w:sz w:val="24"/>
                <w:szCs w:val="24"/>
                <w:highlight w:val="none"/>
              </w:rPr>
              <w:t>系统考勤</w:t>
            </w:r>
            <w:r>
              <w:rPr>
                <w:rFonts w:hint="eastAsia" w:ascii="宋体" w:hAnsi="宋体" w:eastAsia="宋体" w:cs="宋体"/>
                <w:bCs/>
                <w:color w:val="auto"/>
                <w:sz w:val="24"/>
                <w:szCs w:val="24"/>
                <w:highlight w:val="none"/>
                <w:lang w:eastAsia="zh-CN"/>
              </w:rPr>
              <w:t>签到</w:t>
            </w:r>
            <w:r>
              <w:rPr>
                <w:rFonts w:hint="eastAsia" w:ascii="宋体" w:hAnsi="宋体" w:eastAsia="宋体" w:cs="宋体"/>
                <w:bCs/>
                <w:color w:val="auto"/>
                <w:sz w:val="24"/>
                <w:szCs w:val="24"/>
                <w:highlight w:val="none"/>
              </w:rPr>
              <w:t>记录</w:t>
            </w:r>
          </w:p>
        </w:tc>
      </w:tr>
      <w:tr w14:paraId="2C98CE21">
        <w:tblPrEx>
          <w:tblCellMar>
            <w:top w:w="0" w:type="dxa"/>
            <w:left w:w="0" w:type="dxa"/>
            <w:bottom w:w="0" w:type="dxa"/>
            <w:right w:w="0" w:type="dxa"/>
          </w:tblCellMar>
        </w:tblPrEx>
        <w:trPr>
          <w:trHeight w:val="409" w:hRule="atLeast"/>
          <w:jc w:val="center"/>
        </w:trPr>
        <w:tc>
          <w:tcPr>
            <w:tcW w:w="1281"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EC1040C">
            <w:pPr>
              <w:jc w:val="left"/>
              <w:rPr>
                <w:rFonts w:hint="eastAsia" w:ascii="宋体" w:hAnsi="宋体" w:eastAsia="宋体" w:cs="宋体"/>
                <w:b/>
                <w:bCs/>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BDB7C9B">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w:t>
            </w:r>
            <w:r>
              <w:rPr>
                <w:rFonts w:hint="eastAsia" w:ascii="宋体" w:hAnsi="宋体" w:cs="宋体"/>
                <w:bCs/>
                <w:color w:val="auto"/>
                <w:sz w:val="24"/>
                <w:szCs w:val="24"/>
                <w:highlight w:val="none"/>
                <w:lang w:val="en-US" w:eastAsia="zh-CN"/>
              </w:rPr>
              <w:t>4</w:t>
            </w:r>
            <w:r>
              <w:rPr>
                <w:rFonts w:hint="eastAsia" w:ascii="宋体" w:hAnsi="宋体" w:eastAsia="宋体" w:cs="宋体"/>
                <w:bCs/>
                <w:color w:val="auto"/>
                <w:sz w:val="24"/>
                <w:szCs w:val="24"/>
                <w:highlight w:val="none"/>
              </w:rPr>
              <w:t>为</w:t>
            </w:r>
            <w:r>
              <w:rPr>
                <w:rFonts w:hint="eastAsia" w:ascii="宋体" w:hAnsi="宋体" w:eastAsia="宋体" w:cs="宋体"/>
                <w:bCs/>
                <w:color w:val="auto"/>
                <w:sz w:val="24"/>
                <w:szCs w:val="24"/>
                <w:highlight w:val="none"/>
                <w:lang w:eastAsia="zh-CN"/>
              </w:rPr>
              <w:t>员工</w:t>
            </w:r>
            <w:r>
              <w:rPr>
                <w:rFonts w:hint="eastAsia" w:ascii="宋体" w:hAnsi="宋体" w:eastAsia="宋体" w:cs="宋体"/>
                <w:bCs/>
                <w:color w:val="auto"/>
                <w:sz w:val="24"/>
                <w:szCs w:val="24"/>
                <w:highlight w:val="none"/>
              </w:rPr>
              <w:t>购买相关保险资料</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FDD8236">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4EF376E6">
        <w:tblPrEx>
          <w:tblCellMar>
            <w:top w:w="0" w:type="dxa"/>
            <w:left w:w="0" w:type="dxa"/>
            <w:bottom w:w="0" w:type="dxa"/>
            <w:right w:w="0" w:type="dxa"/>
          </w:tblCellMar>
        </w:tblPrEx>
        <w:trPr>
          <w:trHeight w:val="727" w:hRule="atLeast"/>
          <w:jc w:val="center"/>
        </w:trPr>
        <w:tc>
          <w:tcPr>
            <w:tcW w:w="1281"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5B00B4C">
            <w:pPr>
              <w:jc w:val="left"/>
              <w:rPr>
                <w:rFonts w:hint="eastAsia" w:ascii="宋体" w:hAnsi="宋体" w:eastAsia="宋体" w:cs="宋体"/>
                <w:b/>
                <w:bCs/>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401CA15">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w:t>
            </w:r>
            <w:r>
              <w:rPr>
                <w:rFonts w:hint="eastAsia" w:ascii="宋体" w:hAnsi="宋体" w:cs="宋体"/>
                <w:bCs/>
                <w:color w:val="auto"/>
                <w:sz w:val="24"/>
                <w:szCs w:val="24"/>
                <w:highlight w:val="none"/>
                <w:lang w:val="en-US" w:eastAsia="zh-CN"/>
              </w:rPr>
              <w:t>5</w:t>
            </w:r>
            <w:r>
              <w:rPr>
                <w:rFonts w:hint="eastAsia" w:ascii="宋体" w:hAnsi="宋体" w:eastAsia="宋体" w:cs="宋体"/>
                <w:bCs/>
                <w:color w:val="auto"/>
                <w:sz w:val="24"/>
                <w:szCs w:val="24"/>
                <w:highlight w:val="none"/>
              </w:rPr>
              <w:t>项目管理</w:t>
            </w:r>
            <w:r>
              <w:rPr>
                <w:rFonts w:hint="eastAsia" w:ascii="宋体" w:hAnsi="宋体" w:eastAsia="宋体" w:cs="宋体"/>
                <w:bCs/>
                <w:color w:val="auto"/>
                <w:sz w:val="24"/>
                <w:szCs w:val="24"/>
                <w:highlight w:val="none"/>
                <w:lang w:eastAsia="zh-CN"/>
              </w:rPr>
              <w:t>团队</w:t>
            </w:r>
            <w:r>
              <w:rPr>
                <w:rFonts w:hint="eastAsia" w:ascii="宋体" w:hAnsi="宋体" w:eastAsia="宋体" w:cs="宋体"/>
                <w:bCs/>
                <w:color w:val="auto"/>
                <w:sz w:val="24"/>
                <w:szCs w:val="24"/>
                <w:highlight w:val="none"/>
              </w:rPr>
              <w:t>按要求参加项目会议、参与现场检查的记录（含签到记录、现场</w:t>
            </w:r>
            <w:r>
              <w:rPr>
                <w:rFonts w:hint="eastAsia" w:ascii="宋体" w:hAnsi="宋体" w:eastAsia="宋体" w:cs="宋体"/>
                <w:bCs/>
                <w:color w:val="auto"/>
                <w:sz w:val="24"/>
                <w:szCs w:val="24"/>
                <w:highlight w:val="none"/>
                <w:lang w:eastAsia="zh-CN"/>
              </w:rPr>
              <w:t>水印</w:t>
            </w:r>
            <w:r>
              <w:rPr>
                <w:rFonts w:hint="eastAsia" w:ascii="宋体" w:hAnsi="宋体" w:eastAsia="宋体" w:cs="宋体"/>
                <w:bCs/>
                <w:color w:val="auto"/>
                <w:sz w:val="24"/>
                <w:szCs w:val="24"/>
                <w:highlight w:val="none"/>
              </w:rPr>
              <w:t>照片等）</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E967FC7">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6D8514B9">
        <w:tblPrEx>
          <w:tblCellMar>
            <w:top w:w="0" w:type="dxa"/>
            <w:left w:w="0" w:type="dxa"/>
            <w:bottom w:w="0" w:type="dxa"/>
            <w:right w:w="0" w:type="dxa"/>
          </w:tblCellMar>
        </w:tblPrEx>
        <w:trPr>
          <w:trHeight w:val="577" w:hRule="atLeast"/>
          <w:jc w:val="center"/>
        </w:trPr>
        <w:tc>
          <w:tcPr>
            <w:tcW w:w="1281" w:type="dxa"/>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14:paraId="248CAF58">
            <w:pPr>
              <w:widowControl/>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3.设备情况</w:t>
            </w: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56BB383">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3.1设备统计备案（明确种类及数量，附上现场水印</w:t>
            </w:r>
            <w:r>
              <w:rPr>
                <w:rFonts w:hint="eastAsia" w:ascii="宋体" w:hAnsi="宋体" w:eastAsia="宋体" w:cs="宋体"/>
                <w:bCs/>
                <w:color w:val="auto"/>
                <w:sz w:val="24"/>
                <w:szCs w:val="24"/>
                <w:highlight w:val="none"/>
                <w:lang w:eastAsia="zh-CN"/>
              </w:rPr>
              <w:t>照片</w:t>
            </w:r>
            <w:r>
              <w:rPr>
                <w:rFonts w:hint="eastAsia" w:ascii="宋体" w:hAnsi="宋体" w:eastAsia="宋体" w:cs="宋体"/>
                <w:bCs/>
                <w:color w:val="auto"/>
                <w:sz w:val="24"/>
                <w:szCs w:val="24"/>
                <w:highlight w:val="none"/>
              </w:rPr>
              <w:t>）</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E4FE83A">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1B6251B7">
        <w:tblPrEx>
          <w:tblCellMar>
            <w:top w:w="0" w:type="dxa"/>
            <w:left w:w="0" w:type="dxa"/>
            <w:bottom w:w="0" w:type="dxa"/>
            <w:right w:w="0" w:type="dxa"/>
          </w:tblCellMar>
        </w:tblPrEx>
        <w:trPr>
          <w:trHeight w:val="600" w:hRule="atLeast"/>
          <w:jc w:val="center"/>
        </w:trPr>
        <w:tc>
          <w:tcPr>
            <w:tcW w:w="1281" w:type="dxa"/>
            <w:vMerge w:val="continue"/>
            <w:tcBorders>
              <w:left w:val="single" w:color="000000" w:sz="4" w:space="0"/>
              <w:right w:val="single" w:color="000000" w:sz="4" w:space="0"/>
            </w:tcBorders>
            <w:noWrap w:val="0"/>
            <w:tcMar>
              <w:top w:w="10" w:type="dxa"/>
              <w:left w:w="10" w:type="dxa"/>
              <w:right w:w="10" w:type="dxa"/>
            </w:tcMar>
            <w:vAlign w:val="center"/>
          </w:tcPr>
          <w:p w14:paraId="59B5069B">
            <w:pPr>
              <w:jc w:val="left"/>
              <w:rPr>
                <w:rFonts w:hint="eastAsia" w:ascii="宋体" w:hAnsi="宋体" w:eastAsia="宋体" w:cs="宋体"/>
                <w:b/>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E46E993">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设备日常</w:t>
            </w:r>
            <w:r>
              <w:rPr>
                <w:rFonts w:hint="eastAsia" w:ascii="宋体" w:hAnsi="宋体" w:eastAsia="宋体" w:cs="宋体"/>
                <w:bCs/>
                <w:color w:val="auto"/>
                <w:sz w:val="24"/>
                <w:szCs w:val="24"/>
                <w:highlight w:val="none"/>
                <w:lang w:eastAsia="zh-CN"/>
              </w:rPr>
              <w:t>检查、</w:t>
            </w:r>
            <w:r>
              <w:rPr>
                <w:rFonts w:hint="eastAsia" w:ascii="宋体" w:hAnsi="宋体" w:eastAsia="宋体" w:cs="宋体"/>
                <w:bCs/>
                <w:color w:val="auto"/>
                <w:sz w:val="24"/>
                <w:szCs w:val="24"/>
                <w:highlight w:val="none"/>
              </w:rPr>
              <w:t>维护检修，保养更新的备案记录（含检修现场照片，水印照片）</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D6F2FC2">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17054C8D">
        <w:tblPrEx>
          <w:tblCellMar>
            <w:top w:w="0" w:type="dxa"/>
            <w:left w:w="0" w:type="dxa"/>
            <w:bottom w:w="0" w:type="dxa"/>
            <w:right w:w="0" w:type="dxa"/>
          </w:tblCellMar>
        </w:tblPrEx>
        <w:trPr>
          <w:trHeight w:val="445" w:hRule="atLeast"/>
          <w:jc w:val="center"/>
        </w:trPr>
        <w:tc>
          <w:tcPr>
            <w:tcW w:w="1281" w:type="dxa"/>
            <w:vMerge w:val="continue"/>
            <w:tcBorders>
              <w:left w:val="single" w:color="000000" w:sz="4" w:space="0"/>
              <w:bottom w:val="single" w:color="000000" w:sz="4" w:space="0"/>
              <w:right w:val="single" w:color="000000" w:sz="4" w:space="0"/>
            </w:tcBorders>
            <w:noWrap w:val="0"/>
            <w:tcMar>
              <w:top w:w="10" w:type="dxa"/>
              <w:left w:w="10" w:type="dxa"/>
              <w:right w:w="10" w:type="dxa"/>
            </w:tcMar>
            <w:vAlign w:val="center"/>
          </w:tcPr>
          <w:p w14:paraId="750532BA">
            <w:pPr>
              <w:jc w:val="left"/>
              <w:rPr>
                <w:rFonts w:hint="eastAsia" w:ascii="宋体" w:hAnsi="宋体" w:eastAsia="宋体" w:cs="宋体"/>
                <w:b/>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73F05C8">
            <w:pP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做好安全生产物资出入库、每月盘点等记录</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80EA298">
            <w:pPr>
              <w:ind w:firstLine="240" w:firstLineChars="100"/>
              <w:jc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rPr>
              <w:t>/</w:t>
            </w:r>
          </w:p>
        </w:tc>
      </w:tr>
      <w:tr w14:paraId="345CE3AE">
        <w:tblPrEx>
          <w:tblCellMar>
            <w:top w:w="0" w:type="dxa"/>
            <w:left w:w="0" w:type="dxa"/>
            <w:bottom w:w="0" w:type="dxa"/>
            <w:right w:w="0" w:type="dxa"/>
          </w:tblCellMar>
        </w:tblPrEx>
        <w:trPr>
          <w:trHeight w:val="658" w:hRule="atLeast"/>
          <w:jc w:val="center"/>
        </w:trPr>
        <w:tc>
          <w:tcPr>
            <w:tcW w:w="1281" w:type="dxa"/>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14:paraId="03A0E92C">
            <w:pPr>
              <w:widowControl/>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4.工作安排</w:t>
            </w: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2668054">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4.1制定</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月-年</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工作计划，按</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月-年</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总结工作完成进度</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846FE71">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317BF907">
        <w:tblPrEx>
          <w:tblCellMar>
            <w:top w:w="0" w:type="dxa"/>
            <w:left w:w="0" w:type="dxa"/>
            <w:bottom w:w="0" w:type="dxa"/>
            <w:right w:w="0" w:type="dxa"/>
          </w:tblCellMar>
        </w:tblPrEx>
        <w:trPr>
          <w:trHeight w:val="60" w:hRule="atLeast"/>
          <w:jc w:val="center"/>
        </w:trPr>
        <w:tc>
          <w:tcPr>
            <w:tcW w:w="1281" w:type="dxa"/>
            <w:vMerge w:val="continue"/>
            <w:tcBorders>
              <w:left w:val="single" w:color="000000" w:sz="4" w:space="0"/>
              <w:right w:val="single" w:color="000000" w:sz="4" w:space="0"/>
            </w:tcBorders>
            <w:noWrap w:val="0"/>
            <w:tcMar>
              <w:top w:w="10" w:type="dxa"/>
              <w:left w:w="10" w:type="dxa"/>
              <w:right w:w="10" w:type="dxa"/>
            </w:tcMar>
            <w:vAlign w:val="center"/>
          </w:tcPr>
          <w:p w14:paraId="72E8ED64">
            <w:pPr>
              <w:widowControl/>
              <w:jc w:val="left"/>
              <w:textAlignment w:val="center"/>
              <w:rPr>
                <w:rFonts w:hint="eastAsia" w:ascii="宋体" w:hAnsi="宋体" w:eastAsia="宋体" w:cs="宋体"/>
                <w:b/>
                <w:bCs/>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8ED4E11">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制定应急预案</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8D85F97">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3503695C">
        <w:tblPrEx>
          <w:tblCellMar>
            <w:top w:w="0" w:type="dxa"/>
            <w:left w:w="0" w:type="dxa"/>
            <w:bottom w:w="0" w:type="dxa"/>
            <w:right w:w="0" w:type="dxa"/>
          </w:tblCellMar>
        </w:tblPrEx>
        <w:trPr>
          <w:trHeight w:val="122" w:hRule="atLeast"/>
          <w:jc w:val="center"/>
        </w:trPr>
        <w:tc>
          <w:tcPr>
            <w:tcW w:w="1281" w:type="dxa"/>
            <w:vMerge w:val="continue"/>
            <w:tcBorders>
              <w:left w:val="single" w:color="000000" w:sz="4" w:space="0"/>
              <w:right w:val="single" w:color="000000" w:sz="4" w:space="0"/>
            </w:tcBorders>
            <w:noWrap w:val="0"/>
            <w:tcMar>
              <w:top w:w="10" w:type="dxa"/>
              <w:left w:w="10" w:type="dxa"/>
              <w:right w:w="10" w:type="dxa"/>
            </w:tcMar>
            <w:vAlign w:val="center"/>
          </w:tcPr>
          <w:p w14:paraId="06CC832D">
            <w:pPr>
              <w:widowControl/>
              <w:jc w:val="left"/>
              <w:textAlignment w:val="center"/>
              <w:rPr>
                <w:rFonts w:hint="eastAsia" w:ascii="宋体" w:hAnsi="宋体" w:eastAsia="宋体" w:cs="宋体"/>
                <w:b/>
                <w:bCs/>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F584350">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新入职岗前培训（图文并茂，</w:t>
            </w:r>
            <w:r>
              <w:rPr>
                <w:rFonts w:hint="eastAsia" w:ascii="宋体" w:hAnsi="宋体" w:eastAsia="宋体" w:cs="宋体"/>
                <w:bCs/>
                <w:color w:val="auto"/>
                <w:sz w:val="24"/>
                <w:szCs w:val="24"/>
                <w:highlight w:val="none"/>
                <w:lang w:eastAsia="zh-CN"/>
              </w:rPr>
              <w:t>水印</w:t>
            </w:r>
            <w:r>
              <w:rPr>
                <w:rFonts w:hint="eastAsia" w:ascii="宋体" w:hAnsi="宋体" w:eastAsia="宋体" w:cs="宋体"/>
                <w:bCs/>
                <w:color w:val="auto"/>
                <w:sz w:val="24"/>
                <w:szCs w:val="24"/>
                <w:highlight w:val="none"/>
              </w:rPr>
              <w:t>照片）</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5366C97">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180B081F">
        <w:tblPrEx>
          <w:tblCellMar>
            <w:top w:w="0" w:type="dxa"/>
            <w:left w:w="0" w:type="dxa"/>
            <w:bottom w:w="0" w:type="dxa"/>
            <w:right w:w="0" w:type="dxa"/>
          </w:tblCellMar>
        </w:tblPrEx>
        <w:trPr>
          <w:trHeight w:val="60" w:hRule="atLeast"/>
          <w:jc w:val="center"/>
        </w:trPr>
        <w:tc>
          <w:tcPr>
            <w:tcW w:w="1281" w:type="dxa"/>
            <w:vMerge w:val="continue"/>
            <w:tcBorders>
              <w:left w:val="single" w:color="000000" w:sz="4" w:space="0"/>
              <w:right w:val="single" w:color="000000" w:sz="4" w:space="0"/>
            </w:tcBorders>
            <w:noWrap w:val="0"/>
            <w:tcMar>
              <w:top w:w="10" w:type="dxa"/>
              <w:left w:w="10" w:type="dxa"/>
              <w:right w:w="10" w:type="dxa"/>
            </w:tcMar>
            <w:vAlign w:val="center"/>
          </w:tcPr>
          <w:p w14:paraId="06062105">
            <w:pPr>
              <w:widowControl/>
              <w:jc w:val="left"/>
              <w:textAlignment w:val="center"/>
              <w:rPr>
                <w:rFonts w:hint="eastAsia" w:ascii="宋体" w:hAnsi="宋体" w:eastAsia="宋体" w:cs="宋体"/>
                <w:b/>
                <w:bCs/>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0AF8302">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定期开展专项安全培训及演练</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图文并茂，水印照片</w:t>
            </w:r>
            <w:r>
              <w:rPr>
                <w:rFonts w:hint="eastAsia" w:ascii="宋体" w:hAnsi="宋体" w:eastAsia="宋体" w:cs="宋体"/>
                <w:bCs/>
                <w:color w:val="auto"/>
                <w:sz w:val="24"/>
                <w:szCs w:val="24"/>
                <w:highlight w:val="none"/>
                <w:lang w:eastAsia="zh-CN"/>
              </w:rPr>
              <w:t>）</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F26CFAB">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6F266623">
        <w:tblPrEx>
          <w:tblCellMar>
            <w:top w:w="0" w:type="dxa"/>
            <w:left w:w="0" w:type="dxa"/>
            <w:bottom w:w="0" w:type="dxa"/>
            <w:right w:w="0" w:type="dxa"/>
          </w:tblCellMar>
        </w:tblPrEx>
        <w:trPr>
          <w:trHeight w:val="60" w:hRule="atLeast"/>
          <w:jc w:val="center"/>
        </w:trPr>
        <w:tc>
          <w:tcPr>
            <w:tcW w:w="1281" w:type="dxa"/>
            <w:vMerge w:val="continue"/>
            <w:tcBorders>
              <w:left w:val="single" w:color="000000" w:sz="4" w:space="0"/>
              <w:right w:val="single" w:color="000000" w:sz="4" w:space="0"/>
            </w:tcBorders>
            <w:noWrap w:val="0"/>
            <w:tcMar>
              <w:top w:w="10" w:type="dxa"/>
              <w:left w:w="10" w:type="dxa"/>
              <w:right w:w="10" w:type="dxa"/>
            </w:tcMar>
            <w:vAlign w:val="center"/>
          </w:tcPr>
          <w:p w14:paraId="6F824605">
            <w:pPr>
              <w:widowControl/>
              <w:jc w:val="left"/>
              <w:textAlignment w:val="center"/>
              <w:rPr>
                <w:rFonts w:hint="eastAsia" w:ascii="宋体" w:hAnsi="宋体" w:eastAsia="宋体" w:cs="宋体"/>
                <w:b/>
                <w:bCs/>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4EE4D75">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w:t>
            </w:r>
            <w:r>
              <w:rPr>
                <w:rFonts w:hint="eastAsia"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rPr>
              <w:t>定期开展专项技能培训</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图文并茂，水印照片</w:t>
            </w:r>
            <w:r>
              <w:rPr>
                <w:rFonts w:hint="eastAsia" w:ascii="宋体" w:hAnsi="宋体" w:eastAsia="宋体" w:cs="宋体"/>
                <w:bCs/>
                <w:color w:val="auto"/>
                <w:sz w:val="24"/>
                <w:szCs w:val="24"/>
                <w:highlight w:val="none"/>
                <w:lang w:eastAsia="zh-CN"/>
              </w:rPr>
              <w:t>）</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F6E2E6E">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617A70E1">
        <w:tblPrEx>
          <w:tblCellMar>
            <w:top w:w="0" w:type="dxa"/>
            <w:left w:w="0" w:type="dxa"/>
            <w:bottom w:w="0" w:type="dxa"/>
            <w:right w:w="0" w:type="dxa"/>
          </w:tblCellMar>
        </w:tblPrEx>
        <w:trPr>
          <w:trHeight w:val="60" w:hRule="atLeast"/>
          <w:jc w:val="center"/>
        </w:trPr>
        <w:tc>
          <w:tcPr>
            <w:tcW w:w="1281" w:type="dxa"/>
            <w:vMerge w:val="continue"/>
            <w:tcBorders>
              <w:left w:val="single" w:color="000000" w:sz="4" w:space="0"/>
              <w:bottom w:val="single" w:color="000000" w:sz="4" w:space="0"/>
              <w:right w:val="single" w:color="000000" w:sz="4" w:space="0"/>
            </w:tcBorders>
            <w:noWrap w:val="0"/>
            <w:tcMar>
              <w:top w:w="10" w:type="dxa"/>
              <w:left w:w="10" w:type="dxa"/>
              <w:right w:w="10" w:type="dxa"/>
            </w:tcMar>
            <w:vAlign w:val="center"/>
          </w:tcPr>
          <w:p w14:paraId="49E6FB62">
            <w:pPr>
              <w:widowControl/>
              <w:jc w:val="left"/>
              <w:textAlignment w:val="center"/>
              <w:rPr>
                <w:rFonts w:hint="eastAsia" w:ascii="宋体" w:hAnsi="宋体" w:eastAsia="宋体" w:cs="宋体"/>
                <w:b/>
                <w:bCs/>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8535E61">
            <w:pP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rPr>
              <w:t>4.6</w:t>
            </w:r>
            <w:r>
              <w:rPr>
                <w:rFonts w:hint="eastAsia" w:ascii="宋体" w:hAnsi="宋体" w:eastAsia="宋体" w:cs="宋体"/>
                <w:bCs/>
                <w:color w:val="auto"/>
                <w:sz w:val="24"/>
                <w:szCs w:val="24"/>
                <w:highlight w:val="none"/>
              </w:rPr>
              <w:t>做好重大活动或</w:t>
            </w:r>
            <w:r>
              <w:rPr>
                <w:rFonts w:hint="eastAsia" w:ascii="宋体" w:hAnsi="宋体" w:eastAsia="宋体" w:cs="宋体"/>
                <w:color w:val="auto"/>
                <w:kern w:val="0"/>
                <w:sz w:val="24"/>
                <w:szCs w:val="24"/>
                <w:highlight w:val="none"/>
              </w:rPr>
              <w:t>节假日增派人员记录</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2A5B1EB">
            <w:pPr>
              <w:ind w:firstLine="240" w:firstLineChars="100"/>
              <w:jc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rPr>
              <w:t>/</w:t>
            </w:r>
          </w:p>
        </w:tc>
      </w:tr>
      <w:tr w14:paraId="3F4D2162">
        <w:tblPrEx>
          <w:tblCellMar>
            <w:top w:w="0" w:type="dxa"/>
            <w:left w:w="0" w:type="dxa"/>
            <w:bottom w:w="0" w:type="dxa"/>
            <w:right w:w="0" w:type="dxa"/>
          </w:tblCellMar>
        </w:tblPrEx>
        <w:trPr>
          <w:trHeight w:val="60" w:hRule="atLeast"/>
          <w:jc w:val="center"/>
        </w:trPr>
        <w:tc>
          <w:tcPr>
            <w:tcW w:w="1281" w:type="dxa"/>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14:paraId="0279CF52">
            <w:pPr>
              <w:widowControl/>
              <w:jc w:val="left"/>
              <w:textAlignment w:val="center"/>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5.</w:t>
            </w:r>
            <w:r>
              <w:rPr>
                <w:rFonts w:hint="eastAsia" w:ascii="宋体" w:hAnsi="宋体" w:eastAsia="宋体" w:cs="宋体"/>
                <w:b/>
                <w:bCs/>
                <w:color w:val="auto"/>
                <w:sz w:val="24"/>
                <w:szCs w:val="24"/>
                <w:highlight w:val="none"/>
                <w:lang w:val="en-US" w:eastAsia="zh-CN"/>
              </w:rPr>
              <w:t>绿化专项工作记录</w:t>
            </w: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FE4367D">
            <w:pP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rPr>
              <w:t>5.1修剪工作备案（含乔木、灌木、绿篱、花坛、地被、草坪等专项修剪，图文并茂，照片需留时间水印）</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B1B6BC7">
            <w:pPr>
              <w:ind w:firstLine="240" w:firstLineChars="100"/>
              <w:jc w:val="center"/>
              <w:rPr>
                <w:rFonts w:hint="eastAsia" w:ascii="宋体" w:hAnsi="宋体" w:eastAsia="宋体" w:cs="宋体"/>
                <w:bCs/>
                <w:color w:val="auto"/>
                <w:sz w:val="24"/>
                <w:szCs w:val="24"/>
                <w:highlight w:val="none"/>
              </w:rPr>
            </w:pPr>
          </w:p>
        </w:tc>
      </w:tr>
      <w:tr w14:paraId="237BE902">
        <w:tblPrEx>
          <w:tblCellMar>
            <w:top w:w="0" w:type="dxa"/>
            <w:left w:w="0" w:type="dxa"/>
            <w:bottom w:w="0" w:type="dxa"/>
            <w:right w:w="0" w:type="dxa"/>
          </w:tblCellMar>
        </w:tblPrEx>
        <w:trPr>
          <w:trHeight w:val="60" w:hRule="atLeast"/>
          <w:jc w:val="center"/>
        </w:trPr>
        <w:tc>
          <w:tcPr>
            <w:tcW w:w="1281" w:type="dxa"/>
            <w:vMerge w:val="continue"/>
            <w:tcBorders>
              <w:left w:val="single" w:color="000000" w:sz="4" w:space="0"/>
              <w:right w:val="single" w:color="000000" w:sz="4" w:space="0"/>
            </w:tcBorders>
            <w:noWrap w:val="0"/>
            <w:tcMar>
              <w:top w:w="10" w:type="dxa"/>
              <w:left w:w="10" w:type="dxa"/>
              <w:right w:w="10" w:type="dxa"/>
            </w:tcMar>
            <w:vAlign w:val="center"/>
          </w:tcPr>
          <w:p w14:paraId="71A74E93">
            <w:pPr>
              <w:widowControl/>
              <w:jc w:val="left"/>
              <w:textAlignment w:val="center"/>
              <w:rPr>
                <w:rFonts w:hint="eastAsia" w:ascii="宋体" w:hAnsi="宋体" w:eastAsia="宋体" w:cs="宋体"/>
                <w:b/>
                <w:bCs/>
                <w:color w:val="auto"/>
                <w:sz w:val="24"/>
                <w:szCs w:val="24"/>
                <w:highlight w:val="none"/>
                <w:lang w:val="en-US" w:eastAsia="zh-CN"/>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C0865B2">
            <w:pP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rPr>
              <w:t>5.2施肥工作备案（含春秋季大型施肥记录等，图文并茂，照片需留时间水印）</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D68CCC1">
            <w:pPr>
              <w:ind w:firstLine="240" w:firstLineChars="100"/>
              <w:jc w:val="center"/>
              <w:rPr>
                <w:rFonts w:hint="eastAsia" w:ascii="宋体" w:hAnsi="宋体" w:eastAsia="宋体" w:cs="宋体"/>
                <w:bCs/>
                <w:color w:val="auto"/>
                <w:sz w:val="24"/>
                <w:szCs w:val="24"/>
                <w:highlight w:val="none"/>
              </w:rPr>
            </w:pPr>
          </w:p>
        </w:tc>
      </w:tr>
      <w:tr w14:paraId="5A48FCB7">
        <w:tblPrEx>
          <w:tblCellMar>
            <w:top w:w="0" w:type="dxa"/>
            <w:left w:w="0" w:type="dxa"/>
            <w:bottom w:w="0" w:type="dxa"/>
            <w:right w:w="0" w:type="dxa"/>
          </w:tblCellMar>
        </w:tblPrEx>
        <w:trPr>
          <w:trHeight w:val="60" w:hRule="atLeast"/>
          <w:jc w:val="center"/>
        </w:trPr>
        <w:tc>
          <w:tcPr>
            <w:tcW w:w="1281" w:type="dxa"/>
            <w:vMerge w:val="continue"/>
            <w:tcBorders>
              <w:left w:val="single" w:color="000000" w:sz="4" w:space="0"/>
              <w:right w:val="single" w:color="000000" w:sz="4" w:space="0"/>
            </w:tcBorders>
            <w:noWrap w:val="0"/>
            <w:tcMar>
              <w:top w:w="10" w:type="dxa"/>
              <w:left w:w="10" w:type="dxa"/>
              <w:right w:w="10" w:type="dxa"/>
            </w:tcMar>
            <w:vAlign w:val="center"/>
          </w:tcPr>
          <w:p w14:paraId="029CBC1A">
            <w:pPr>
              <w:widowControl/>
              <w:jc w:val="left"/>
              <w:textAlignment w:val="center"/>
              <w:rPr>
                <w:rFonts w:hint="eastAsia" w:ascii="宋体" w:hAnsi="宋体" w:eastAsia="宋体" w:cs="宋体"/>
                <w:b/>
                <w:bCs/>
                <w:color w:val="auto"/>
                <w:sz w:val="24"/>
                <w:szCs w:val="24"/>
                <w:highlight w:val="none"/>
                <w:lang w:val="en-US" w:eastAsia="zh-CN"/>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5800194">
            <w:pP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rPr>
              <w:t>5.3病虫害防治工作备案（含使用药剂信息，喷施药剂过程照等，图文并茂，照片需留时间水印）</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2C7E0D5">
            <w:pPr>
              <w:ind w:firstLine="240" w:firstLineChars="100"/>
              <w:jc w:val="center"/>
              <w:rPr>
                <w:rFonts w:hint="eastAsia" w:ascii="宋体" w:hAnsi="宋体" w:eastAsia="宋体" w:cs="宋体"/>
                <w:bCs/>
                <w:color w:val="auto"/>
                <w:sz w:val="24"/>
                <w:szCs w:val="24"/>
                <w:highlight w:val="none"/>
              </w:rPr>
            </w:pPr>
          </w:p>
        </w:tc>
      </w:tr>
      <w:tr w14:paraId="4986754D">
        <w:tblPrEx>
          <w:tblCellMar>
            <w:top w:w="0" w:type="dxa"/>
            <w:left w:w="0" w:type="dxa"/>
            <w:bottom w:w="0" w:type="dxa"/>
            <w:right w:w="0" w:type="dxa"/>
          </w:tblCellMar>
        </w:tblPrEx>
        <w:trPr>
          <w:trHeight w:val="60" w:hRule="atLeast"/>
          <w:jc w:val="center"/>
        </w:trPr>
        <w:tc>
          <w:tcPr>
            <w:tcW w:w="1281" w:type="dxa"/>
            <w:vMerge w:val="continue"/>
            <w:tcBorders>
              <w:left w:val="single" w:color="000000" w:sz="4" w:space="0"/>
              <w:right w:val="single" w:color="000000" w:sz="4" w:space="0"/>
            </w:tcBorders>
            <w:noWrap w:val="0"/>
            <w:tcMar>
              <w:top w:w="10" w:type="dxa"/>
              <w:left w:w="10" w:type="dxa"/>
              <w:right w:w="10" w:type="dxa"/>
            </w:tcMar>
            <w:vAlign w:val="center"/>
          </w:tcPr>
          <w:p w14:paraId="5A99759C">
            <w:pPr>
              <w:widowControl/>
              <w:jc w:val="left"/>
              <w:textAlignment w:val="center"/>
              <w:rPr>
                <w:rFonts w:hint="eastAsia" w:ascii="宋体" w:hAnsi="宋体" w:eastAsia="宋体" w:cs="宋体"/>
                <w:b/>
                <w:bCs/>
                <w:color w:val="auto"/>
                <w:sz w:val="24"/>
                <w:szCs w:val="24"/>
                <w:highlight w:val="none"/>
                <w:lang w:val="en-US" w:eastAsia="zh-CN"/>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9F94CC6">
            <w:pP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rPr>
              <w:t>5.4景观提升工作备案（含提升设计方案，现场施工进度情况等，图文并茂，照片需留时间水印）</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BB10F29">
            <w:pPr>
              <w:ind w:firstLine="240" w:firstLineChars="100"/>
              <w:jc w:val="center"/>
              <w:rPr>
                <w:rFonts w:hint="eastAsia" w:ascii="宋体" w:hAnsi="宋体" w:eastAsia="宋体" w:cs="宋体"/>
                <w:bCs/>
                <w:color w:val="auto"/>
                <w:sz w:val="24"/>
                <w:szCs w:val="24"/>
                <w:highlight w:val="none"/>
              </w:rPr>
            </w:pPr>
          </w:p>
        </w:tc>
      </w:tr>
      <w:tr w14:paraId="5F0148B8">
        <w:tblPrEx>
          <w:tblCellMar>
            <w:top w:w="0" w:type="dxa"/>
            <w:left w:w="0" w:type="dxa"/>
            <w:bottom w:w="0" w:type="dxa"/>
            <w:right w:w="0" w:type="dxa"/>
          </w:tblCellMar>
        </w:tblPrEx>
        <w:trPr>
          <w:trHeight w:val="60" w:hRule="atLeast"/>
          <w:jc w:val="center"/>
        </w:trPr>
        <w:tc>
          <w:tcPr>
            <w:tcW w:w="1281" w:type="dxa"/>
            <w:vMerge w:val="continue"/>
            <w:tcBorders>
              <w:left w:val="single" w:color="000000" w:sz="4" w:space="0"/>
              <w:right w:val="single" w:color="000000" w:sz="4" w:space="0"/>
            </w:tcBorders>
            <w:noWrap w:val="0"/>
            <w:tcMar>
              <w:top w:w="10" w:type="dxa"/>
              <w:left w:w="10" w:type="dxa"/>
              <w:right w:w="10" w:type="dxa"/>
            </w:tcMar>
            <w:vAlign w:val="center"/>
          </w:tcPr>
          <w:p w14:paraId="2F50574A">
            <w:pPr>
              <w:widowControl/>
              <w:jc w:val="left"/>
              <w:textAlignment w:val="center"/>
              <w:rPr>
                <w:rFonts w:hint="eastAsia" w:ascii="宋体" w:hAnsi="宋体" w:eastAsia="宋体" w:cs="宋体"/>
                <w:b/>
                <w:bCs/>
                <w:color w:val="auto"/>
                <w:sz w:val="24"/>
                <w:szCs w:val="24"/>
                <w:highlight w:val="none"/>
                <w:lang w:val="en-US" w:eastAsia="zh-CN"/>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070345A">
            <w:pP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rPr>
              <w:t>5.5“特色植物”管养工作备案（专项植物养护工作操作，图文并茂，照片需留时间水印）</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3862947">
            <w:pPr>
              <w:ind w:firstLine="240" w:firstLineChars="100"/>
              <w:jc w:val="center"/>
              <w:rPr>
                <w:rFonts w:hint="eastAsia" w:ascii="宋体" w:hAnsi="宋体" w:eastAsia="宋体" w:cs="宋体"/>
                <w:bCs/>
                <w:color w:val="auto"/>
                <w:sz w:val="24"/>
                <w:szCs w:val="24"/>
                <w:highlight w:val="none"/>
              </w:rPr>
            </w:pPr>
          </w:p>
        </w:tc>
      </w:tr>
      <w:tr w14:paraId="1ABA62D3">
        <w:tblPrEx>
          <w:tblCellMar>
            <w:top w:w="0" w:type="dxa"/>
            <w:left w:w="0" w:type="dxa"/>
            <w:bottom w:w="0" w:type="dxa"/>
            <w:right w:w="0" w:type="dxa"/>
          </w:tblCellMar>
        </w:tblPrEx>
        <w:trPr>
          <w:trHeight w:val="60" w:hRule="atLeast"/>
          <w:jc w:val="center"/>
        </w:trPr>
        <w:tc>
          <w:tcPr>
            <w:tcW w:w="1281" w:type="dxa"/>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14:paraId="0142A5B3">
            <w:pPr>
              <w:widowControl/>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.工作整改记录</w:t>
            </w: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C94E575">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6</w:t>
            </w:r>
            <w:r>
              <w:rPr>
                <w:rFonts w:hint="eastAsia" w:ascii="宋体" w:hAnsi="宋体" w:eastAsia="宋体" w:cs="宋体"/>
                <w:bCs/>
                <w:color w:val="auto"/>
                <w:sz w:val="24"/>
                <w:szCs w:val="24"/>
                <w:highlight w:val="none"/>
              </w:rPr>
              <w:t>.1针对</w:t>
            </w:r>
            <w:r>
              <w:rPr>
                <w:rFonts w:hint="eastAsia" w:ascii="宋体" w:hAnsi="宋体" w:eastAsia="宋体" w:cs="宋体"/>
                <w:bCs/>
                <w:color w:val="auto"/>
                <w:sz w:val="24"/>
                <w:szCs w:val="24"/>
                <w:highlight w:val="none"/>
                <w:lang w:eastAsia="zh-CN"/>
              </w:rPr>
              <w:t>企业日常自查</w:t>
            </w:r>
            <w:r>
              <w:rPr>
                <w:rFonts w:hint="eastAsia" w:ascii="宋体" w:hAnsi="宋体" w:eastAsia="宋体" w:cs="宋体"/>
                <w:bCs/>
                <w:color w:val="auto"/>
                <w:sz w:val="24"/>
                <w:szCs w:val="24"/>
                <w:highlight w:val="none"/>
              </w:rPr>
              <w:t>问题记录备案及整改前后对比资料备案</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5C4E35D">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2D37A9D3">
        <w:tblPrEx>
          <w:tblCellMar>
            <w:top w:w="0" w:type="dxa"/>
            <w:left w:w="0" w:type="dxa"/>
            <w:bottom w:w="0" w:type="dxa"/>
            <w:right w:w="0" w:type="dxa"/>
          </w:tblCellMar>
        </w:tblPrEx>
        <w:trPr>
          <w:trHeight w:val="60" w:hRule="atLeast"/>
          <w:jc w:val="center"/>
        </w:trPr>
        <w:tc>
          <w:tcPr>
            <w:tcW w:w="1281" w:type="dxa"/>
            <w:vMerge w:val="continue"/>
            <w:tcBorders>
              <w:left w:val="single" w:color="000000" w:sz="4" w:space="0"/>
              <w:right w:val="single" w:color="000000" w:sz="4" w:space="0"/>
            </w:tcBorders>
            <w:noWrap w:val="0"/>
            <w:tcMar>
              <w:top w:w="10" w:type="dxa"/>
              <w:left w:w="10" w:type="dxa"/>
              <w:right w:w="10" w:type="dxa"/>
            </w:tcMar>
            <w:vAlign w:val="center"/>
          </w:tcPr>
          <w:p w14:paraId="769B8A8F">
            <w:pPr>
              <w:jc w:val="center"/>
              <w:rPr>
                <w:rFonts w:hint="eastAsia" w:ascii="宋体" w:hAnsi="宋体" w:eastAsia="宋体" w:cs="宋体"/>
                <w:b/>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ABE8734">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6</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针对</w:t>
            </w:r>
            <w:r>
              <w:rPr>
                <w:rFonts w:hint="eastAsia" w:ascii="宋体" w:hAnsi="宋体" w:eastAsia="宋体" w:cs="宋体"/>
                <w:bCs/>
                <w:color w:val="auto"/>
                <w:sz w:val="24"/>
                <w:szCs w:val="24"/>
                <w:highlight w:val="none"/>
                <w:lang w:eastAsia="zh-CN"/>
              </w:rPr>
              <w:t>采购人各类</w:t>
            </w:r>
            <w:r>
              <w:rPr>
                <w:rFonts w:hint="eastAsia" w:ascii="宋体" w:hAnsi="宋体" w:eastAsia="宋体" w:cs="宋体"/>
                <w:bCs/>
                <w:color w:val="auto"/>
                <w:sz w:val="24"/>
                <w:szCs w:val="24"/>
                <w:highlight w:val="none"/>
              </w:rPr>
              <w:t>检查问题记录备案及整改前后对比资料备案</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714377D">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3B2CA15E">
        <w:tblPrEx>
          <w:tblCellMar>
            <w:top w:w="0" w:type="dxa"/>
            <w:left w:w="0" w:type="dxa"/>
            <w:bottom w:w="0" w:type="dxa"/>
            <w:right w:w="0" w:type="dxa"/>
          </w:tblCellMar>
        </w:tblPrEx>
        <w:trPr>
          <w:trHeight w:val="60" w:hRule="atLeast"/>
          <w:jc w:val="center"/>
        </w:trPr>
        <w:tc>
          <w:tcPr>
            <w:tcW w:w="1281" w:type="dxa"/>
            <w:vMerge w:val="continue"/>
            <w:tcBorders>
              <w:left w:val="single" w:color="000000" w:sz="4" w:space="0"/>
              <w:bottom w:val="single" w:color="000000" w:sz="4" w:space="0"/>
              <w:right w:val="single" w:color="000000" w:sz="4" w:space="0"/>
            </w:tcBorders>
            <w:noWrap w:val="0"/>
            <w:tcMar>
              <w:top w:w="10" w:type="dxa"/>
              <w:left w:w="10" w:type="dxa"/>
              <w:right w:w="10" w:type="dxa"/>
            </w:tcMar>
            <w:vAlign w:val="center"/>
          </w:tcPr>
          <w:p w14:paraId="1F5BFB28">
            <w:pPr>
              <w:jc w:val="center"/>
              <w:rPr>
                <w:rFonts w:hint="eastAsia" w:ascii="宋体" w:hAnsi="宋体" w:eastAsia="宋体" w:cs="宋体"/>
                <w:b/>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208EB8D">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6</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上级或相关部门专项检查、游客投诉、媒体曝光等问题记录及整改情况</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0F26717">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161112A9">
        <w:tblPrEx>
          <w:tblCellMar>
            <w:top w:w="0" w:type="dxa"/>
            <w:left w:w="0" w:type="dxa"/>
            <w:bottom w:w="0" w:type="dxa"/>
            <w:right w:w="0" w:type="dxa"/>
          </w:tblCellMar>
        </w:tblPrEx>
        <w:trPr>
          <w:trHeight w:val="60" w:hRule="atLeast"/>
          <w:jc w:val="center"/>
        </w:trPr>
        <w:tc>
          <w:tcPr>
            <w:tcW w:w="1281"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7417DCED">
            <w:pPr>
              <w:widowControl/>
              <w:jc w:val="left"/>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val="en-US" w:eastAsia="zh-CN"/>
              </w:rPr>
              <w:t>7</w:t>
            </w:r>
            <w:r>
              <w:rPr>
                <w:rFonts w:hint="eastAsia" w:ascii="宋体" w:hAnsi="宋体" w:eastAsia="宋体" w:cs="宋体"/>
                <w:b/>
                <w:bCs/>
                <w:color w:val="auto"/>
                <w:sz w:val="24"/>
                <w:szCs w:val="24"/>
                <w:highlight w:val="none"/>
              </w:rPr>
              <w:t>.经费支付情况</w:t>
            </w:r>
          </w:p>
        </w:tc>
        <w:tc>
          <w:tcPr>
            <w:tcW w:w="4646"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4A86BEA1">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rPr>
              <w:t>.1按合同要求，提交付款资料和申请</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FB8CB64">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6AC07BD3">
        <w:tblPrEx>
          <w:tblCellMar>
            <w:top w:w="0" w:type="dxa"/>
            <w:left w:w="0" w:type="dxa"/>
            <w:bottom w:w="0" w:type="dxa"/>
            <w:right w:w="0" w:type="dxa"/>
          </w:tblCellMar>
        </w:tblPrEx>
        <w:trPr>
          <w:trHeight w:val="60" w:hRule="atLeast"/>
          <w:jc w:val="center"/>
        </w:trPr>
        <w:tc>
          <w:tcPr>
            <w:tcW w:w="1281" w:type="dxa"/>
            <w:vMerge w:val="restart"/>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53339792">
            <w:pPr>
              <w:widowControl/>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8</w:t>
            </w:r>
            <w:r>
              <w:rPr>
                <w:rFonts w:hint="eastAsia" w:ascii="宋体" w:hAnsi="宋体" w:eastAsia="宋体" w:cs="宋体"/>
                <w:b/>
                <w:bCs/>
                <w:color w:val="auto"/>
                <w:sz w:val="24"/>
                <w:szCs w:val="24"/>
                <w:highlight w:val="none"/>
              </w:rPr>
              <w:t>.游客服务</w:t>
            </w:r>
          </w:p>
        </w:tc>
        <w:tc>
          <w:tcPr>
            <w:tcW w:w="4646"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top"/>
          </w:tcPr>
          <w:p w14:paraId="142D13CF">
            <w:pPr>
              <w:jc w:val="lef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8.1便民用品使用记录表</w:t>
            </w:r>
          </w:p>
        </w:tc>
        <w:tc>
          <w:tcPr>
            <w:tcW w:w="2720" w:type="dxa"/>
            <w:tcBorders>
              <w:top w:val="single" w:color="000000" w:sz="4" w:space="0"/>
              <w:left w:val="single" w:color="auto" w:sz="4" w:space="0"/>
              <w:bottom w:val="single" w:color="000000" w:sz="4" w:space="0"/>
              <w:right w:val="single" w:color="000000" w:sz="4" w:space="0"/>
            </w:tcBorders>
            <w:noWrap w:val="0"/>
            <w:tcMar>
              <w:top w:w="10" w:type="dxa"/>
              <w:left w:w="10" w:type="dxa"/>
              <w:right w:w="10" w:type="dxa"/>
            </w:tcMar>
            <w:vAlign w:val="center"/>
          </w:tcPr>
          <w:p w14:paraId="683220D5">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140D3208">
        <w:tblPrEx>
          <w:tblCellMar>
            <w:top w:w="0" w:type="dxa"/>
            <w:left w:w="0" w:type="dxa"/>
            <w:bottom w:w="0" w:type="dxa"/>
            <w:right w:w="0" w:type="dxa"/>
          </w:tblCellMar>
        </w:tblPrEx>
        <w:trPr>
          <w:trHeight w:val="60" w:hRule="atLeast"/>
          <w:jc w:val="center"/>
        </w:trPr>
        <w:tc>
          <w:tcPr>
            <w:tcW w:w="1281" w:type="dxa"/>
            <w:vMerge w:val="continue"/>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05044E34">
            <w:pPr>
              <w:widowControl/>
              <w:jc w:val="left"/>
              <w:textAlignment w:val="center"/>
              <w:rPr>
                <w:rFonts w:hint="eastAsia" w:ascii="宋体" w:hAnsi="宋体" w:eastAsia="宋体" w:cs="宋体"/>
                <w:b/>
                <w:bCs/>
                <w:color w:val="auto"/>
                <w:sz w:val="24"/>
                <w:szCs w:val="24"/>
                <w:highlight w:val="none"/>
              </w:rPr>
            </w:pPr>
          </w:p>
        </w:tc>
        <w:tc>
          <w:tcPr>
            <w:tcW w:w="4646"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top"/>
          </w:tcPr>
          <w:p w14:paraId="1C5C1AC8">
            <w:pPr>
              <w:jc w:val="left"/>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rPr>
              <w:t>8</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游客投诉建议处理表</w:t>
            </w:r>
          </w:p>
        </w:tc>
        <w:tc>
          <w:tcPr>
            <w:tcW w:w="2720" w:type="dxa"/>
            <w:tcBorders>
              <w:top w:val="single" w:color="000000" w:sz="4" w:space="0"/>
              <w:left w:val="single" w:color="auto" w:sz="4" w:space="0"/>
              <w:bottom w:val="single" w:color="000000" w:sz="4" w:space="0"/>
              <w:right w:val="single" w:color="000000" w:sz="4" w:space="0"/>
            </w:tcBorders>
            <w:noWrap w:val="0"/>
            <w:tcMar>
              <w:top w:w="10" w:type="dxa"/>
              <w:left w:w="10" w:type="dxa"/>
              <w:right w:w="10" w:type="dxa"/>
            </w:tcMar>
            <w:vAlign w:val="center"/>
          </w:tcPr>
          <w:p w14:paraId="46B264A9">
            <w:pPr>
              <w:ind w:firstLine="240" w:firstLineChars="100"/>
              <w:jc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rPr>
              <w:t>/</w:t>
            </w:r>
          </w:p>
        </w:tc>
      </w:tr>
      <w:tr w14:paraId="1F6CB93B">
        <w:tblPrEx>
          <w:tblCellMar>
            <w:top w:w="0" w:type="dxa"/>
            <w:left w:w="0" w:type="dxa"/>
            <w:bottom w:w="0" w:type="dxa"/>
            <w:right w:w="0" w:type="dxa"/>
          </w:tblCellMar>
        </w:tblPrEx>
        <w:trPr>
          <w:trHeight w:val="60" w:hRule="atLeast"/>
          <w:jc w:val="center"/>
        </w:trPr>
        <w:tc>
          <w:tcPr>
            <w:tcW w:w="1281" w:type="dxa"/>
            <w:vMerge w:val="continue"/>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0900F2D3">
            <w:pPr>
              <w:widowControl/>
              <w:jc w:val="left"/>
              <w:textAlignment w:val="center"/>
              <w:rPr>
                <w:rFonts w:hint="eastAsia" w:ascii="宋体" w:hAnsi="宋体" w:eastAsia="宋体" w:cs="宋体"/>
                <w:b/>
                <w:bCs/>
                <w:color w:val="auto"/>
                <w:sz w:val="24"/>
                <w:szCs w:val="24"/>
                <w:highlight w:val="none"/>
              </w:rPr>
            </w:pPr>
          </w:p>
        </w:tc>
        <w:tc>
          <w:tcPr>
            <w:tcW w:w="4646"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top"/>
          </w:tcPr>
          <w:p w14:paraId="09B11E3D">
            <w:pPr>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8</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游客服务中心拾物登记表</w:t>
            </w:r>
          </w:p>
        </w:tc>
        <w:tc>
          <w:tcPr>
            <w:tcW w:w="2720" w:type="dxa"/>
            <w:tcBorders>
              <w:top w:val="single" w:color="000000" w:sz="4" w:space="0"/>
              <w:left w:val="single" w:color="auto" w:sz="4" w:space="0"/>
              <w:bottom w:val="single" w:color="000000" w:sz="4" w:space="0"/>
              <w:right w:val="single" w:color="000000" w:sz="4" w:space="0"/>
            </w:tcBorders>
            <w:noWrap w:val="0"/>
            <w:tcMar>
              <w:top w:w="10" w:type="dxa"/>
              <w:left w:w="10" w:type="dxa"/>
              <w:right w:w="10" w:type="dxa"/>
            </w:tcMar>
            <w:vAlign w:val="center"/>
          </w:tcPr>
          <w:p w14:paraId="216AB037">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5B730D19">
        <w:tblPrEx>
          <w:tblCellMar>
            <w:top w:w="0" w:type="dxa"/>
            <w:left w:w="0" w:type="dxa"/>
            <w:bottom w:w="0" w:type="dxa"/>
            <w:right w:w="0" w:type="dxa"/>
          </w:tblCellMar>
        </w:tblPrEx>
        <w:trPr>
          <w:trHeight w:val="60" w:hRule="atLeast"/>
          <w:jc w:val="center"/>
        </w:trPr>
        <w:tc>
          <w:tcPr>
            <w:tcW w:w="1281" w:type="dxa"/>
            <w:vMerge w:val="continue"/>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492D95EA">
            <w:pPr>
              <w:widowControl/>
              <w:jc w:val="left"/>
              <w:textAlignment w:val="center"/>
              <w:rPr>
                <w:rFonts w:hint="eastAsia" w:ascii="宋体" w:hAnsi="宋体" w:eastAsia="宋体" w:cs="宋体"/>
                <w:b/>
                <w:bCs/>
                <w:color w:val="auto"/>
                <w:sz w:val="24"/>
                <w:szCs w:val="24"/>
                <w:highlight w:val="none"/>
              </w:rPr>
            </w:pPr>
          </w:p>
        </w:tc>
        <w:tc>
          <w:tcPr>
            <w:tcW w:w="4646"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top"/>
          </w:tcPr>
          <w:p w14:paraId="6FBAF9B4">
            <w:pPr>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8</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游客服务中心工作记录月报表</w:t>
            </w:r>
          </w:p>
        </w:tc>
        <w:tc>
          <w:tcPr>
            <w:tcW w:w="2720" w:type="dxa"/>
            <w:tcBorders>
              <w:top w:val="single" w:color="000000" w:sz="4" w:space="0"/>
              <w:left w:val="single" w:color="auto" w:sz="4" w:space="0"/>
              <w:bottom w:val="single" w:color="000000" w:sz="4" w:space="0"/>
              <w:right w:val="single" w:color="000000" w:sz="4" w:space="0"/>
            </w:tcBorders>
            <w:noWrap w:val="0"/>
            <w:tcMar>
              <w:top w:w="10" w:type="dxa"/>
              <w:left w:w="10" w:type="dxa"/>
              <w:right w:w="10" w:type="dxa"/>
            </w:tcMar>
            <w:vAlign w:val="center"/>
          </w:tcPr>
          <w:p w14:paraId="4E82E707">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16AA7739">
        <w:tblPrEx>
          <w:tblCellMar>
            <w:top w:w="0" w:type="dxa"/>
            <w:left w:w="0" w:type="dxa"/>
            <w:bottom w:w="0" w:type="dxa"/>
            <w:right w:w="0" w:type="dxa"/>
          </w:tblCellMar>
        </w:tblPrEx>
        <w:trPr>
          <w:trHeight w:val="60" w:hRule="atLeast"/>
          <w:jc w:val="center"/>
        </w:trPr>
        <w:tc>
          <w:tcPr>
            <w:tcW w:w="1281" w:type="dxa"/>
            <w:vMerge w:val="continue"/>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36F11AA3">
            <w:pPr>
              <w:widowControl/>
              <w:jc w:val="left"/>
              <w:textAlignment w:val="center"/>
              <w:rPr>
                <w:rFonts w:hint="eastAsia" w:ascii="宋体" w:hAnsi="宋体" w:eastAsia="宋体" w:cs="宋体"/>
                <w:b/>
                <w:bCs/>
                <w:color w:val="auto"/>
                <w:sz w:val="24"/>
                <w:szCs w:val="24"/>
                <w:highlight w:val="none"/>
              </w:rPr>
            </w:pPr>
          </w:p>
        </w:tc>
        <w:tc>
          <w:tcPr>
            <w:tcW w:w="4646"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top"/>
          </w:tcPr>
          <w:p w14:paraId="621C1A32">
            <w:pPr>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8</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rPr>
              <w:t>游客投诉处理流程</w:t>
            </w:r>
          </w:p>
        </w:tc>
        <w:tc>
          <w:tcPr>
            <w:tcW w:w="2720" w:type="dxa"/>
            <w:tcBorders>
              <w:top w:val="single" w:color="000000" w:sz="4" w:space="0"/>
              <w:left w:val="single" w:color="auto" w:sz="4" w:space="0"/>
              <w:bottom w:val="single" w:color="000000" w:sz="4" w:space="0"/>
              <w:right w:val="single" w:color="000000" w:sz="4" w:space="0"/>
            </w:tcBorders>
            <w:noWrap w:val="0"/>
            <w:tcMar>
              <w:top w:w="10" w:type="dxa"/>
              <w:left w:w="10" w:type="dxa"/>
              <w:right w:w="10" w:type="dxa"/>
            </w:tcMar>
            <w:vAlign w:val="center"/>
          </w:tcPr>
          <w:p w14:paraId="6946B5D4">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707B8D04">
        <w:tblPrEx>
          <w:tblCellMar>
            <w:top w:w="0" w:type="dxa"/>
            <w:left w:w="0" w:type="dxa"/>
            <w:bottom w:w="0" w:type="dxa"/>
            <w:right w:w="0" w:type="dxa"/>
          </w:tblCellMar>
        </w:tblPrEx>
        <w:trPr>
          <w:trHeight w:val="60" w:hRule="atLeast"/>
          <w:jc w:val="center"/>
        </w:trPr>
        <w:tc>
          <w:tcPr>
            <w:tcW w:w="1281" w:type="dxa"/>
            <w:vMerge w:val="restart"/>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03FC0092">
            <w:pPr>
              <w:widowControl/>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9</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eastAsia="zh-CN"/>
              </w:rPr>
              <w:t>设施</w:t>
            </w:r>
            <w:r>
              <w:rPr>
                <w:rFonts w:hint="eastAsia" w:ascii="宋体" w:hAnsi="宋体" w:eastAsia="宋体" w:cs="宋体"/>
                <w:b/>
                <w:bCs/>
                <w:color w:val="auto"/>
                <w:sz w:val="24"/>
                <w:szCs w:val="24"/>
                <w:highlight w:val="none"/>
              </w:rPr>
              <w:t>维护</w:t>
            </w:r>
          </w:p>
        </w:tc>
        <w:tc>
          <w:tcPr>
            <w:tcW w:w="4646"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top"/>
          </w:tcPr>
          <w:p w14:paraId="1B30E96C">
            <w:pPr>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9</w:t>
            </w: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eastAsia="zh-CN"/>
              </w:rPr>
              <w:t>各类设施检查记录，并按要求填写设施巡检记录表。</w:t>
            </w:r>
          </w:p>
        </w:tc>
        <w:tc>
          <w:tcPr>
            <w:tcW w:w="2720" w:type="dxa"/>
            <w:tcBorders>
              <w:top w:val="single" w:color="000000" w:sz="4" w:space="0"/>
              <w:left w:val="single" w:color="auto" w:sz="4" w:space="0"/>
              <w:bottom w:val="single" w:color="000000" w:sz="4" w:space="0"/>
              <w:right w:val="single" w:color="000000" w:sz="4" w:space="0"/>
            </w:tcBorders>
            <w:noWrap w:val="0"/>
            <w:tcMar>
              <w:top w:w="10" w:type="dxa"/>
              <w:left w:w="10" w:type="dxa"/>
              <w:right w:w="10" w:type="dxa"/>
            </w:tcMar>
            <w:vAlign w:val="center"/>
          </w:tcPr>
          <w:p w14:paraId="78E04C63">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1941C978">
        <w:tblPrEx>
          <w:tblCellMar>
            <w:top w:w="0" w:type="dxa"/>
            <w:left w:w="0" w:type="dxa"/>
            <w:bottom w:w="0" w:type="dxa"/>
            <w:right w:w="0" w:type="dxa"/>
          </w:tblCellMar>
        </w:tblPrEx>
        <w:trPr>
          <w:trHeight w:val="274" w:hRule="atLeast"/>
          <w:jc w:val="center"/>
        </w:trPr>
        <w:tc>
          <w:tcPr>
            <w:tcW w:w="1281" w:type="dxa"/>
            <w:vMerge w:val="continue"/>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4566C17E">
            <w:pPr>
              <w:widowControl/>
              <w:jc w:val="left"/>
              <w:textAlignment w:val="center"/>
              <w:rPr>
                <w:rFonts w:hint="eastAsia" w:ascii="宋体" w:hAnsi="宋体" w:eastAsia="宋体" w:cs="宋体"/>
                <w:b/>
                <w:bCs/>
                <w:color w:val="auto"/>
                <w:sz w:val="24"/>
                <w:szCs w:val="24"/>
                <w:highlight w:val="none"/>
              </w:rPr>
            </w:pPr>
          </w:p>
        </w:tc>
        <w:tc>
          <w:tcPr>
            <w:tcW w:w="4646"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top"/>
          </w:tcPr>
          <w:p w14:paraId="611AD7A2">
            <w:pPr>
              <w:jc w:val="left"/>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rPr>
              <w:t>9</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lang w:eastAsia="zh-CN"/>
              </w:rPr>
              <w:t>设施维护</w:t>
            </w:r>
            <w:r>
              <w:rPr>
                <w:rFonts w:hint="eastAsia" w:ascii="宋体" w:hAnsi="宋体" w:eastAsia="宋体" w:cs="宋体"/>
                <w:bCs/>
                <w:color w:val="auto"/>
                <w:sz w:val="24"/>
                <w:szCs w:val="24"/>
                <w:highlight w:val="none"/>
              </w:rPr>
              <w:t>处理</w:t>
            </w:r>
            <w:r>
              <w:rPr>
                <w:rFonts w:hint="eastAsia" w:ascii="宋体" w:hAnsi="宋体" w:eastAsia="宋体" w:cs="宋体"/>
                <w:bCs/>
                <w:color w:val="auto"/>
                <w:sz w:val="24"/>
                <w:szCs w:val="24"/>
                <w:highlight w:val="none"/>
                <w:lang w:eastAsia="zh-CN"/>
              </w:rPr>
              <w:t>记录</w:t>
            </w:r>
            <w:r>
              <w:rPr>
                <w:rFonts w:hint="eastAsia" w:ascii="宋体" w:hAnsi="宋体" w:eastAsia="宋体" w:cs="宋体"/>
                <w:bCs/>
                <w:color w:val="auto"/>
                <w:sz w:val="24"/>
                <w:szCs w:val="24"/>
                <w:highlight w:val="none"/>
              </w:rPr>
              <w:t>（维护前、中、后对比照片，照片需留时间水印）</w:t>
            </w:r>
          </w:p>
        </w:tc>
        <w:tc>
          <w:tcPr>
            <w:tcW w:w="2720" w:type="dxa"/>
            <w:tcBorders>
              <w:top w:val="single" w:color="000000" w:sz="4" w:space="0"/>
              <w:left w:val="single" w:color="auto" w:sz="4" w:space="0"/>
              <w:bottom w:val="single" w:color="000000" w:sz="4" w:space="0"/>
              <w:right w:val="single" w:color="000000" w:sz="4" w:space="0"/>
            </w:tcBorders>
            <w:noWrap w:val="0"/>
            <w:tcMar>
              <w:top w:w="10" w:type="dxa"/>
              <w:left w:w="10" w:type="dxa"/>
              <w:right w:w="10" w:type="dxa"/>
            </w:tcMar>
            <w:vAlign w:val="center"/>
          </w:tcPr>
          <w:p w14:paraId="6F2A7348">
            <w:pPr>
              <w:ind w:firstLine="240" w:firstLineChars="100"/>
              <w:jc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rPr>
              <w:t>/</w:t>
            </w:r>
          </w:p>
        </w:tc>
      </w:tr>
      <w:tr w14:paraId="2FF12BEF">
        <w:tblPrEx>
          <w:tblCellMar>
            <w:top w:w="0" w:type="dxa"/>
            <w:left w:w="0" w:type="dxa"/>
            <w:bottom w:w="0" w:type="dxa"/>
            <w:right w:w="0" w:type="dxa"/>
          </w:tblCellMar>
        </w:tblPrEx>
        <w:trPr>
          <w:trHeight w:val="315" w:hRule="atLeast"/>
          <w:jc w:val="center"/>
        </w:trPr>
        <w:tc>
          <w:tcPr>
            <w:tcW w:w="1281" w:type="dxa"/>
            <w:vMerge w:val="restart"/>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58C4FAB6">
            <w:pPr>
              <w:widowControl/>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10</w:t>
            </w:r>
            <w:r>
              <w:rPr>
                <w:rFonts w:hint="eastAsia" w:ascii="宋体" w:hAnsi="宋体" w:eastAsia="宋体" w:cs="宋体"/>
                <w:b/>
                <w:bCs/>
                <w:color w:val="auto"/>
                <w:sz w:val="24"/>
                <w:szCs w:val="24"/>
                <w:highlight w:val="none"/>
              </w:rPr>
              <w:t>.节日氛围营造</w:t>
            </w:r>
          </w:p>
        </w:tc>
        <w:tc>
          <w:tcPr>
            <w:tcW w:w="4646"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top"/>
          </w:tcPr>
          <w:p w14:paraId="7358EAA5">
            <w:pPr>
              <w:jc w:val="left"/>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rPr>
              <w:t>10</w:t>
            </w: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eastAsia="zh-CN"/>
              </w:rPr>
              <w:t>节日氛围布置</w:t>
            </w:r>
            <w:r>
              <w:rPr>
                <w:rFonts w:hint="eastAsia" w:ascii="宋体" w:hAnsi="宋体" w:eastAsia="宋体" w:cs="宋体"/>
                <w:bCs/>
                <w:color w:val="auto"/>
                <w:sz w:val="24"/>
                <w:szCs w:val="24"/>
                <w:highlight w:val="none"/>
              </w:rPr>
              <w:t>方案的相关资料</w:t>
            </w:r>
          </w:p>
        </w:tc>
        <w:tc>
          <w:tcPr>
            <w:tcW w:w="2720" w:type="dxa"/>
            <w:tcBorders>
              <w:top w:val="single" w:color="000000" w:sz="4" w:space="0"/>
              <w:left w:val="single" w:color="auto" w:sz="4" w:space="0"/>
              <w:bottom w:val="single" w:color="000000" w:sz="4" w:space="0"/>
              <w:right w:val="single" w:color="000000" w:sz="4" w:space="0"/>
            </w:tcBorders>
            <w:noWrap w:val="0"/>
            <w:tcMar>
              <w:top w:w="10" w:type="dxa"/>
              <w:left w:w="10" w:type="dxa"/>
              <w:right w:w="10" w:type="dxa"/>
            </w:tcMar>
            <w:vAlign w:val="center"/>
          </w:tcPr>
          <w:p w14:paraId="238EEE5B">
            <w:pPr>
              <w:ind w:firstLine="240" w:firstLineChars="100"/>
              <w:jc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rPr>
              <w:t>/</w:t>
            </w:r>
          </w:p>
        </w:tc>
      </w:tr>
      <w:tr w14:paraId="2883984D">
        <w:tblPrEx>
          <w:tblCellMar>
            <w:top w:w="0" w:type="dxa"/>
            <w:left w:w="0" w:type="dxa"/>
            <w:bottom w:w="0" w:type="dxa"/>
            <w:right w:w="0" w:type="dxa"/>
          </w:tblCellMar>
        </w:tblPrEx>
        <w:trPr>
          <w:trHeight w:val="315" w:hRule="atLeast"/>
          <w:jc w:val="center"/>
        </w:trPr>
        <w:tc>
          <w:tcPr>
            <w:tcW w:w="1281" w:type="dxa"/>
            <w:vMerge w:val="continue"/>
            <w:tcBorders>
              <w:top w:val="single" w:color="auto" w:sz="4" w:space="0"/>
              <w:left w:val="single" w:color="auto" w:sz="4" w:space="0"/>
              <w:bottom w:val="single" w:color="000000" w:sz="4" w:space="0"/>
              <w:right w:val="single" w:color="000000" w:sz="4" w:space="0"/>
            </w:tcBorders>
            <w:noWrap w:val="0"/>
            <w:tcMar>
              <w:top w:w="10" w:type="dxa"/>
              <w:left w:w="10" w:type="dxa"/>
              <w:right w:w="10" w:type="dxa"/>
            </w:tcMar>
            <w:vAlign w:val="center"/>
          </w:tcPr>
          <w:p w14:paraId="162EA089">
            <w:pPr>
              <w:widowControl/>
              <w:jc w:val="left"/>
              <w:textAlignment w:val="center"/>
              <w:rPr>
                <w:rFonts w:hint="eastAsia" w:ascii="宋体" w:hAnsi="宋体" w:eastAsia="宋体" w:cs="宋体"/>
                <w:b/>
                <w:bCs/>
                <w:color w:val="auto"/>
                <w:sz w:val="24"/>
                <w:szCs w:val="24"/>
                <w:highlight w:val="none"/>
              </w:rPr>
            </w:pPr>
          </w:p>
        </w:tc>
        <w:tc>
          <w:tcPr>
            <w:tcW w:w="4646" w:type="dxa"/>
            <w:tcBorders>
              <w:top w:val="single" w:color="auto" w:sz="4" w:space="0"/>
              <w:left w:val="single" w:color="000000" w:sz="4" w:space="0"/>
              <w:bottom w:val="single" w:color="000000" w:sz="4" w:space="0"/>
              <w:right w:val="single" w:color="000000" w:sz="4" w:space="0"/>
            </w:tcBorders>
            <w:noWrap w:val="0"/>
            <w:tcMar>
              <w:top w:w="10" w:type="dxa"/>
              <w:left w:w="10" w:type="dxa"/>
              <w:right w:w="10" w:type="dxa"/>
            </w:tcMar>
            <w:vAlign w:val="top"/>
          </w:tcPr>
          <w:p w14:paraId="3C76DCA7">
            <w:pPr>
              <w:jc w:val="left"/>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rPr>
              <w:t>10</w:t>
            </w:r>
            <w:r>
              <w:rPr>
                <w:rFonts w:hint="eastAsia" w:ascii="宋体" w:hAnsi="宋体" w:eastAsia="宋体" w:cs="宋体"/>
                <w:bCs/>
                <w:color w:val="auto"/>
                <w:sz w:val="24"/>
                <w:szCs w:val="24"/>
                <w:highlight w:val="none"/>
              </w:rPr>
              <w:t>.2开展</w:t>
            </w:r>
            <w:r>
              <w:rPr>
                <w:rFonts w:hint="eastAsia" w:ascii="宋体" w:hAnsi="宋体" w:eastAsia="宋体" w:cs="宋体"/>
                <w:bCs/>
                <w:color w:val="auto"/>
                <w:sz w:val="24"/>
                <w:szCs w:val="24"/>
                <w:highlight w:val="none"/>
                <w:lang w:eastAsia="zh-CN"/>
              </w:rPr>
              <w:t>节日</w:t>
            </w:r>
            <w:r>
              <w:rPr>
                <w:rFonts w:hint="eastAsia" w:ascii="宋体" w:hAnsi="宋体" w:eastAsia="宋体" w:cs="宋体"/>
                <w:bCs/>
                <w:color w:val="auto"/>
                <w:sz w:val="24"/>
                <w:szCs w:val="24"/>
                <w:highlight w:val="none"/>
              </w:rPr>
              <w:t>氛围布置的影像资料</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0850D3C">
            <w:pPr>
              <w:ind w:firstLine="240" w:firstLineChars="100"/>
              <w:jc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rPr>
              <w:t>/</w:t>
            </w:r>
          </w:p>
        </w:tc>
      </w:tr>
      <w:tr w14:paraId="6E0BC8E7">
        <w:tblPrEx>
          <w:tblCellMar>
            <w:top w:w="0" w:type="dxa"/>
            <w:left w:w="0" w:type="dxa"/>
            <w:bottom w:w="0" w:type="dxa"/>
            <w:right w:w="0" w:type="dxa"/>
          </w:tblCellMar>
        </w:tblPrEx>
        <w:trPr>
          <w:trHeight w:val="60" w:hRule="atLeast"/>
          <w:jc w:val="center"/>
        </w:trPr>
        <w:tc>
          <w:tcPr>
            <w:tcW w:w="1281" w:type="dxa"/>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14:paraId="7C332DC1">
            <w:pPr>
              <w:widowControl/>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11</w:t>
            </w:r>
            <w:r>
              <w:rPr>
                <w:rFonts w:hint="eastAsia" w:ascii="宋体" w:hAnsi="宋体" w:eastAsia="宋体" w:cs="宋体"/>
                <w:b/>
                <w:bCs/>
                <w:color w:val="auto"/>
                <w:sz w:val="24"/>
                <w:szCs w:val="24"/>
                <w:highlight w:val="none"/>
              </w:rPr>
              <w:t>.应急预案体系</w:t>
            </w: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4701A30">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.1公园综合应急预案</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D22E877">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58914A59">
        <w:tblPrEx>
          <w:tblCellMar>
            <w:top w:w="0" w:type="dxa"/>
            <w:left w:w="0" w:type="dxa"/>
            <w:bottom w:w="0" w:type="dxa"/>
            <w:right w:w="0" w:type="dxa"/>
          </w:tblCellMar>
        </w:tblPrEx>
        <w:trPr>
          <w:trHeight w:val="60" w:hRule="atLeast"/>
          <w:jc w:val="center"/>
        </w:trPr>
        <w:tc>
          <w:tcPr>
            <w:tcW w:w="1281" w:type="dxa"/>
            <w:vMerge w:val="continue"/>
            <w:tcBorders>
              <w:left w:val="single" w:color="000000" w:sz="4" w:space="0"/>
              <w:right w:val="single" w:color="000000" w:sz="4" w:space="0"/>
            </w:tcBorders>
            <w:noWrap w:val="0"/>
            <w:tcMar>
              <w:top w:w="10" w:type="dxa"/>
              <w:left w:w="10" w:type="dxa"/>
              <w:right w:w="10" w:type="dxa"/>
            </w:tcMar>
            <w:vAlign w:val="center"/>
          </w:tcPr>
          <w:p w14:paraId="78498C01">
            <w:pPr>
              <w:jc w:val="center"/>
              <w:rPr>
                <w:rFonts w:hint="eastAsia" w:ascii="宋体" w:hAnsi="宋体" w:eastAsia="宋体" w:cs="宋体"/>
                <w:b/>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A2ABB35">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eastAsia="zh-CN"/>
              </w:rPr>
              <w:t>防台防汛</w:t>
            </w:r>
            <w:r>
              <w:rPr>
                <w:rFonts w:hint="eastAsia" w:ascii="宋体" w:hAnsi="宋体" w:eastAsia="宋体" w:cs="宋体"/>
                <w:bCs/>
                <w:color w:val="auto"/>
                <w:sz w:val="24"/>
                <w:szCs w:val="24"/>
                <w:highlight w:val="none"/>
              </w:rPr>
              <w:t>专项预案</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6B9FBCB">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7173A30F">
        <w:tblPrEx>
          <w:tblCellMar>
            <w:top w:w="0" w:type="dxa"/>
            <w:left w:w="0" w:type="dxa"/>
            <w:bottom w:w="0" w:type="dxa"/>
            <w:right w:w="0" w:type="dxa"/>
          </w:tblCellMar>
        </w:tblPrEx>
        <w:trPr>
          <w:trHeight w:val="324" w:hRule="atLeast"/>
          <w:jc w:val="center"/>
        </w:trPr>
        <w:tc>
          <w:tcPr>
            <w:tcW w:w="1281" w:type="dxa"/>
            <w:vMerge w:val="continue"/>
            <w:tcBorders>
              <w:left w:val="single" w:color="000000" w:sz="4" w:space="0"/>
              <w:right w:val="single" w:color="000000" w:sz="4" w:space="0"/>
            </w:tcBorders>
            <w:noWrap w:val="0"/>
            <w:tcMar>
              <w:top w:w="10" w:type="dxa"/>
              <w:left w:w="10" w:type="dxa"/>
              <w:right w:w="10" w:type="dxa"/>
            </w:tcMar>
            <w:vAlign w:val="center"/>
          </w:tcPr>
          <w:p w14:paraId="29C679AB">
            <w:pPr>
              <w:jc w:val="center"/>
              <w:rPr>
                <w:rFonts w:hint="eastAsia" w:ascii="宋体" w:hAnsi="宋体" w:eastAsia="宋体" w:cs="宋体"/>
                <w:b/>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6362F51">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eastAsia="zh-CN"/>
              </w:rPr>
              <w:t>雨雪冰冻</w:t>
            </w:r>
            <w:r>
              <w:rPr>
                <w:rFonts w:hint="eastAsia" w:ascii="宋体" w:hAnsi="宋体" w:eastAsia="宋体" w:cs="宋体"/>
                <w:bCs/>
                <w:color w:val="auto"/>
                <w:sz w:val="24"/>
                <w:szCs w:val="24"/>
                <w:highlight w:val="none"/>
              </w:rPr>
              <w:t>专项预案</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1A8C76B">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6B68D856">
        <w:tblPrEx>
          <w:tblCellMar>
            <w:top w:w="0" w:type="dxa"/>
            <w:left w:w="0" w:type="dxa"/>
            <w:bottom w:w="0" w:type="dxa"/>
            <w:right w:w="0" w:type="dxa"/>
          </w:tblCellMar>
        </w:tblPrEx>
        <w:trPr>
          <w:trHeight w:val="60" w:hRule="atLeast"/>
          <w:jc w:val="center"/>
        </w:trPr>
        <w:tc>
          <w:tcPr>
            <w:tcW w:w="1281" w:type="dxa"/>
            <w:vMerge w:val="continue"/>
            <w:tcBorders>
              <w:left w:val="single" w:color="000000" w:sz="4" w:space="0"/>
              <w:right w:val="single" w:color="000000" w:sz="4" w:space="0"/>
            </w:tcBorders>
            <w:noWrap w:val="0"/>
            <w:tcMar>
              <w:top w:w="10" w:type="dxa"/>
              <w:left w:w="10" w:type="dxa"/>
              <w:right w:w="10" w:type="dxa"/>
            </w:tcMar>
            <w:vAlign w:val="center"/>
          </w:tcPr>
          <w:p w14:paraId="0CEE2F99">
            <w:pPr>
              <w:jc w:val="center"/>
              <w:rPr>
                <w:rFonts w:hint="eastAsia" w:ascii="宋体" w:hAnsi="宋体" w:eastAsia="宋体" w:cs="宋体"/>
                <w:b/>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1ACA996">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.4公共卫生专项预案</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3A0ADB7">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3FD513F3">
        <w:tblPrEx>
          <w:tblCellMar>
            <w:top w:w="0" w:type="dxa"/>
            <w:left w:w="0" w:type="dxa"/>
            <w:bottom w:w="0" w:type="dxa"/>
            <w:right w:w="0" w:type="dxa"/>
          </w:tblCellMar>
        </w:tblPrEx>
        <w:trPr>
          <w:trHeight w:val="60" w:hRule="atLeast"/>
          <w:jc w:val="center"/>
        </w:trPr>
        <w:tc>
          <w:tcPr>
            <w:tcW w:w="1281" w:type="dxa"/>
            <w:vMerge w:val="continue"/>
            <w:tcBorders>
              <w:left w:val="single" w:color="000000" w:sz="4" w:space="0"/>
              <w:right w:val="single" w:color="000000" w:sz="4" w:space="0"/>
            </w:tcBorders>
            <w:noWrap w:val="0"/>
            <w:tcMar>
              <w:top w:w="10" w:type="dxa"/>
              <w:left w:w="10" w:type="dxa"/>
              <w:right w:w="10" w:type="dxa"/>
            </w:tcMar>
            <w:vAlign w:val="center"/>
          </w:tcPr>
          <w:p w14:paraId="180F5D2C">
            <w:pPr>
              <w:jc w:val="center"/>
              <w:rPr>
                <w:rFonts w:hint="eastAsia" w:ascii="宋体" w:hAnsi="宋体" w:eastAsia="宋体" w:cs="宋体"/>
                <w:b/>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92A5F59">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.5社会安全专项预案</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DB83118">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13DFBB12">
        <w:tblPrEx>
          <w:tblCellMar>
            <w:top w:w="0" w:type="dxa"/>
            <w:left w:w="0" w:type="dxa"/>
            <w:bottom w:w="0" w:type="dxa"/>
            <w:right w:w="0" w:type="dxa"/>
          </w:tblCellMar>
        </w:tblPrEx>
        <w:trPr>
          <w:trHeight w:val="60" w:hRule="atLeast"/>
          <w:jc w:val="center"/>
        </w:trPr>
        <w:tc>
          <w:tcPr>
            <w:tcW w:w="1281" w:type="dxa"/>
            <w:vMerge w:val="continue"/>
            <w:tcBorders>
              <w:left w:val="single" w:color="000000" w:sz="4" w:space="0"/>
              <w:bottom w:val="single" w:color="auto" w:sz="4" w:space="0"/>
              <w:right w:val="single" w:color="000000" w:sz="4" w:space="0"/>
            </w:tcBorders>
            <w:noWrap w:val="0"/>
            <w:tcMar>
              <w:top w:w="10" w:type="dxa"/>
              <w:left w:w="10" w:type="dxa"/>
              <w:right w:w="10" w:type="dxa"/>
            </w:tcMar>
            <w:vAlign w:val="center"/>
          </w:tcPr>
          <w:p w14:paraId="6264E855">
            <w:pPr>
              <w:jc w:val="center"/>
              <w:rPr>
                <w:rFonts w:hint="eastAsia" w:ascii="宋体" w:hAnsi="宋体" w:eastAsia="宋体" w:cs="宋体"/>
                <w:b/>
                <w:color w:val="auto"/>
                <w:sz w:val="24"/>
                <w:szCs w:val="24"/>
                <w:highlight w:val="none"/>
              </w:rPr>
            </w:pPr>
          </w:p>
        </w:tc>
        <w:tc>
          <w:tcPr>
            <w:tcW w:w="4646"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37239569">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.6游乐设施专项预案</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42FBF68">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6BD0B5B5">
        <w:tblPrEx>
          <w:tblCellMar>
            <w:top w:w="0" w:type="dxa"/>
            <w:left w:w="0" w:type="dxa"/>
            <w:bottom w:w="0" w:type="dxa"/>
            <w:right w:w="0" w:type="dxa"/>
          </w:tblCellMar>
        </w:tblPrEx>
        <w:trPr>
          <w:trHeight w:val="60" w:hRule="atLeast"/>
          <w:jc w:val="center"/>
        </w:trPr>
        <w:tc>
          <w:tcPr>
            <w:tcW w:w="1281" w:type="dxa"/>
            <w:vMerge w:val="restart"/>
            <w:tcBorders>
              <w:top w:val="single" w:color="auto" w:sz="4" w:space="0"/>
              <w:left w:val="single" w:color="auto" w:sz="4" w:space="0"/>
              <w:right w:val="single" w:color="000000" w:sz="4" w:space="0"/>
            </w:tcBorders>
            <w:noWrap w:val="0"/>
            <w:tcMar>
              <w:top w:w="10" w:type="dxa"/>
              <w:left w:w="10" w:type="dxa"/>
              <w:right w:w="10" w:type="dxa"/>
            </w:tcMar>
            <w:vAlign w:val="center"/>
          </w:tcPr>
          <w:p w14:paraId="307A9950">
            <w:pPr>
              <w:widowControl/>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12</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eastAsia="zh-CN"/>
              </w:rPr>
              <w:t>游乐设施</w:t>
            </w:r>
            <w:r>
              <w:rPr>
                <w:rFonts w:hint="eastAsia" w:ascii="宋体" w:hAnsi="宋体" w:eastAsia="宋体" w:cs="宋体"/>
                <w:b/>
                <w:bCs/>
                <w:color w:val="auto"/>
                <w:sz w:val="24"/>
                <w:szCs w:val="24"/>
                <w:highlight w:val="none"/>
              </w:rPr>
              <w:t>管理台账</w:t>
            </w:r>
          </w:p>
        </w:tc>
        <w:tc>
          <w:tcPr>
            <w:tcW w:w="4646" w:type="dxa"/>
            <w:tcBorders>
              <w:top w:val="single" w:color="auto" w:sz="4" w:space="0"/>
              <w:left w:val="single" w:color="000000" w:sz="4" w:space="0"/>
              <w:bottom w:val="single" w:color="000000" w:sz="4" w:space="0"/>
              <w:right w:val="single" w:color="auto" w:sz="4" w:space="0"/>
            </w:tcBorders>
            <w:noWrap w:val="0"/>
            <w:tcMar>
              <w:top w:w="10" w:type="dxa"/>
              <w:left w:w="10" w:type="dxa"/>
              <w:right w:w="10" w:type="dxa"/>
            </w:tcMar>
            <w:vAlign w:val="center"/>
          </w:tcPr>
          <w:p w14:paraId="345B108B">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eastAsia="zh-CN"/>
              </w:rPr>
              <w:t>游乐设施设备</w:t>
            </w:r>
            <w:r>
              <w:rPr>
                <w:rFonts w:hint="eastAsia" w:ascii="宋体" w:hAnsi="宋体" w:eastAsia="宋体" w:cs="宋体"/>
                <w:bCs/>
                <w:color w:val="auto"/>
                <w:sz w:val="24"/>
                <w:szCs w:val="24"/>
                <w:highlight w:val="none"/>
              </w:rPr>
              <w:t>管理安全体系文件</w:t>
            </w:r>
          </w:p>
        </w:tc>
        <w:tc>
          <w:tcPr>
            <w:tcW w:w="2720" w:type="dxa"/>
            <w:tcBorders>
              <w:top w:val="single" w:color="000000" w:sz="4" w:space="0"/>
              <w:left w:val="single" w:color="auto" w:sz="4" w:space="0"/>
              <w:bottom w:val="single" w:color="000000" w:sz="4" w:space="0"/>
              <w:right w:val="single" w:color="000000" w:sz="4" w:space="0"/>
            </w:tcBorders>
            <w:noWrap w:val="0"/>
            <w:tcMar>
              <w:top w:w="10" w:type="dxa"/>
              <w:left w:w="10" w:type="dxa"/>
              <w:right w:w="10" w:type="dxa"/>
            </w:tcMar>
            <w:vAlign w:val="center"/>
          </w:tcPr>
          <w:p w14:paraId="14A11037">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60A9ABF2">
        <w:tblPrEx>
          <w:tblCellMar>
            <w:top w:w="0" w:type="dxa"/>
            <w:left w:w="0" w:type="dxa"/>
            <w:bottom w:w="0" w:type="dxa"/>
            <w:right w:w="0" w:type="dxa"/>
          </w:tblCellMar>
        </w:tblPrEx>
        <w:trPr>
          <w:trHeight w:val="60" w:hRule="atLeast"/>
          <w:jc w:val="center"/>
        </w:trPr>
        <w:tc>
          <w:tcPr>
            <w:tcW w:w="1281" w:type="dxa"/>
            <w:vMerge w:val="continue"/>
            <w:tcBorders>
              <w:left w:val="single" w:color="auto" w:sz="4" w:space="0"/>
              <w:right w:val="single" w:color="000000" w:sz="4" w:space="0"/>
            </w:tcBorders>
            <w:noWrap w:val="0"/>
            <w:tcMar>
              <w:top w:w="10" w:type="dxa"/>
              <w:left w:w="10" w:type="dxa"/>
              <w:right w:w="10" w:type="dxa"/>
            </w:tcMar>
            <w:vAlign w:val="center"/>
          </w:tcPr>
          <w:p w14:paraId="1FEEB5AB">
            <w:pPr>
              <w:widowControl/>
              <w:jc w:val="left"/>
              <w:textAlignment w:val="center"/>
              <w:rPr>
                <w:rFonts w:hint="eastAsia" w:ascii="宋体" w:hAnsi="宋体" w:eastAsia="宋体" w:cs="宋体"/>
                <w:b/>
                <w:bCs/>
                <w:color w:val="auto"/>
                <w:sz w:val="24"/>
                <w:szCs w:val="24"/>
                <w:highlight w:val="none"/>
              </w:rPr>
            </w:pPr>
          </w:p>
        </w:tc>
        <w:tc>
          <w:tcPr>
            <w:tcW w:w="4646" w:type="dxa"/>
            <w:tcBorders>
              <w:top w:val="single" w:color="000000" w:sz="4" w:space="0"/>
              <w:left w:val="single" w:color="000000" w:sz="4" w:space="0"/>
              <w:bottom w:val="single" w:color="000000" w:sz="4" w:space="0"/>
              <w:right w:val="single" w:color="auto" w:sz="4" w:space="0"/>
            </w:tcBorders>
            <w:noWrap w:val="0"/>
            <w:tcMar>
              <w:top w:w="10" w:type="dxa"/>
              <w:left w:w="10" w:type="dxa"/>
              <w:right w:w="10" w:type="dxa"/>
            </w:tcMar>
            <w:vAlign w:val="center"/>
          </w:tcPr>
          <w:p w14:paraId="19966FB9">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.2大型游乐设施技术档案</w:t>
            </w:r>
          </w:p>
        </w:tc>
        <w:tc>
          <w:tcPr>
            <w:tcW w:w="2720" w:type="dxa"/>
            <w:tcBorders>
              <w:top w:val="single" w:color="000000" w:sz="4" w:space="0"/>
              <w:left w:val="single" w:color="auto" w:sz="4" w:space="0"/>
              <w:bottom w:val="single" w:color="000000" w:sz="4" w:space="0"/>
              <w:right w:val="single" w:color="000000" w:sz="4" w:space="0"/>
            </w:tcBorders>
            <w:noWrap w:val="0"/>
            <w:tcMar>
              <w:top w:w="10" w:type="dxa"/>
              <w:left w:w="10" w:type="dxa"/>
              <w:right w:w="10" w:type="dxa"/>
            </w:tcMar>
            <w:vAlign w:val="center"/>
          </w:tcPr>
          <w:p w14:paraId="4B0D1489">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43C92172">
        <w:tblPrEx>
          <w:tblCellMar>
            <w:top w:w="0" w:type="dxa"/>
            <w:left w:w="0" w:type="dxa"/>
            <w:bottom w:w="0" w:type="dxa"/>
            <w:right w:w="0" w:type="dxa"/>
          </w:tblCellMar>
        </w:tblPrEx>
        <w:trPr>
          <w:trHeight w:val="60" w:hRule="atLeast"/>
          <w:jc w:val="center"/>
        </w:trPr>
        <w:tc>
          <w:tcPr>
            <w:tcW w:w="1281" w:type="dxa"/>
            <w:vMerge w:val="continue"/>
            <w:tcBorders>
              <w:left w:val="single" w:color="auto" w:sz="4" w:space="0"/>
              <w:right w:val="single" w:color="000000" w:sz="4" w:space="0"/>
            </w:tcBorders>
            <w:noWrap w:val="0"/>
            <w:tcMar>
              <w:top w:w="10" w:type="dxa"/>
              <w:left w:w="10" w:type="dxa"/>
              <w:right w:w="10" w:type="dxa"/>
            </w:tcMar>
            <w:vAlign w:val="center"/>
          </w:tcPr>
          <w:p w14:paraId="3D4D82D9">
            <w:pPr>
              <w:widowControl/>
              <w:jc w:val="left"/>
              <w:textAlignment w:val="center"/>
              <w:rPr>
                <w:rFonts w:hint="eastAsia" w:ascii="宋体" w:hAnsi="宋体" w:eastAsia="宋体" w:cs="宋体"/>
                <w:b/>
                <w:bCs/>
                <w:color w:val="auto"/>
                <w:sz w:val="24"/>
                <w:szCs w:val="24"/>
                <w:highlight w:val="none"/>
              </w:rPr>
            </w:pPr>
          </w:p>
        </w:tc>
        <w:tc>
          <w:tcPr>
            <w:tcW w:w="4646" w:type="dxa"/>
            <w:tcBorders>
              <w:top w:val="single" w:color="000000" w:sz="4" w:space="0"/>
              <w:left w:val="single" w:color="000000" w:sz="4" w:space="0"/>
              <w:bottom w:val="single" w:color="000000" w:sz="4" w:space="0"/>
              <w:right w:val="single" w:color="auto" w:sz="4" w:space="0"/>
            </w:tcBorders>
            <w:noWrap w:val="0"/>
            <w:tcMar>
              <w:top w:w="10" w:type="dxa"/>
              <w:left w:w="10" w:type="dxa"/>
              <w:right w:w="10" w:type="dxa"/>
            </w:tcMar>
            <w:vAlign w:val="center"/>
          </w:tcPr>
          <w:p w14:paraId="70CC5644">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.3周检、月检记录</w:t>
            </w:r>
          </w:p>
        </w:tc>
        <w:tc>
          <w:tcPr>
            <w:tcW w:w="2720" w:type="dxa"/>
            <w:tcBorders>
              <w:top w:val="single" w:color="000000" w:sz="4" w:space="0"/>
              <w:left w:val="single" w:color="auto" w:sz="4" w:space="0"/>
              <w:bottom w:val="single" w:color="000000" w:sz="4" w:space="0"/>
              <w:right w:val="single" w:color="000000" w:sz="4" w:space="0"/>
            </w:tcBorders>
            <w:noWrap w:val="0"/>
            <w:tcMar>
              <w:top w:w="10" w:type="dxa"/>
              <w:left w:w="10" w:type="dxa"/>
              <w:right w:w="10" w:type="dxa"/>
            </w:tcMar>
            <w:vAlign w:val="center"/>
          </w:tcPr>
          <w:p w14:paraId="4B94CD3D">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39E98476">
        <w:tblPrEx>
          <w:tblCellMar>
            <w:top w:w="0" w:type="dxa"/>
            <w:left w:w="0" w:type="dxa"/>
            <w:bottom w:w="0" w:type="dxa"/>
            <w:right w:w="0" w:type="dxa"/>
          </w:tblCellMar>
        </w:tblPrEx>
        <w:trPr>
          <w:trHeight w:val="60" w:hRule="atLeast"/>
          <w:jc w:val="center"/>
        </w:trPr>
        <w:tc>
          <w:tcPr>
            <w:tcW w:w="1281" w:type="dxa"/>
            <w:vMerge w:val="continue"/>
            <w:tcBorders>
              <w:left w:val="single" w:color="auto" w:sz="4" w:space="0"/>
              <w:right w:val="single" w:color="000000" w:sz="4" w:space="0"/>
            </w:tcBorders>
            <w:noWrap w:val="0"/>
            <w:tcMar>
              <w:top w:w="10" w:type="dxa"/>
              <w:left w:w="10" w:type="dxa"/>
              <w:right w:w="10" w:type="dxa"/>
            </w:tcMar>
            <w:vAlign w:val="center"/>
          </w:tcPr>
          <w:p w14:paraId="45C498FF">
            <w:pPr>
              <w:widowControl/>
              <w:jc w:val="left"/>
              <w:textAlignment w:val="center"/>
              <w:rPr>
                <w:rFonts w:hint="eastAsia" w:ascii="宋体" w:hAnsi="宋体" w:eastAsia="宋体" w:cs="宋体"/>
                <w:b/>
                <w:bCs/>
                <w:color w:val="auto"/>
                <w:sz w:val="24"/>
                <w:szCs w:val="24"/>
                <w:highlight w:val="none"/>
              </w:rPr>
            </w:pPr>
          </w:p>
        </w:tc>
        <w:tc>
          <w:tcPr>
            <w:tcW w:w="4646" w:type="dxa"/>
            <w:tcBorders>
              <w:top w:val="single" w:color="000000" w:sz="4" w:space="0"/>
              <w:left w:val="single" w:color="000000" w:sz="4" w:space="0"/>
              <w:bottom w:val="single" w:color="000000" w:sz="4" w:space="0"/>
              <w:right w:val="single" w:color="auto" w:sz="4" w:space="0"/>
            </w:tcBorders>
            <w:noWrap w:val="0"/>
            <w:tcMar>
              <w:top w:w="10" w:type="dxa"/>
              <w:left w:w="10" w:type="dxa"/>
              <w:right w:w="10" w:type="dxa"/>
            </w:tcMar>
            <w:vAlign w:val="center"/>
          </w:tcPr>
          <w:p w14:paraId="2545D723">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.4隐患排查治理记录</w:t>
            </w:r>
          </w:p>
        </w:tc>
        <w:tc>
          <w:tcPr>
            <w:tcW w:w="2720" w:type="dxa"/>
            <w:tcBorders>
              <w:top w:val="single" w:color="000000" w:sz="4" w:space="0"/>
              <w:left w:val="single" w:color="auto" w:sz="4" w:space="0"/>
              <w:bottom w:val="single" w:color="000000" w:sz="4" w:space="0"/>
              <w:right w:val="single" w:color="000000" w:sz="4" w:space="0"/>
            </w:tcBorders>
            <w:noWrap w:val="0"/>
            <w:tcMar>
              <w:top w:w="10" w:type="dxa"/>
              <w:left w:w="10" w:type="dxa"/>
              <w:right w:w="10" w:type="dxa"/>
            </w:tcMar>
            <w:vAlign w:val="center"/>
          </w:tcPr>
          <w:p w14:paraId="213D08F7">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40EEB6CC">
        <w:tblPrEx>
          <w:tblCellMar>
            <w:top w:w="0" w:type="dxa"/>
            <w:left w:w="0" w:type="dxa"/>
            <w:bottom w:w="0" w:type="dxa"/>
            <w:right w:w="0" w:type="dxa"/>
          </w:tblCellMar>
        </w:tblPrEx>
        <w:trPr>
          <w:trHeight w:val="60" w:hRule="atLeast"/>
          <w:jc w:val="center"/>
        </w:trPr>
        <w:tc>
          <w:tcPr>
            <w:tcW w:w="1281" w:type="dxa"/>
            <w:vMerge w:val="continue"/>
            <w:tcBorders>
              <w:left w:val="single" w:color="auto" w:sz="4" w:space="0"/>
              <w:right w:val="single" w:color="000000" w:sz="4" w:space="0"/>
            </w:tcBorders>
            <w:noWrap w:val="0"/>
            <w:tcMar>
              <w:top w:w="10" w:type="dxa"/>
              <w:left w:w="10" w:type="dxa"/>
              <w:right w:w="10" w:type="dxa"/>
            </w:tcMar>
            <w:vAlign w:val="center"/>
          </w:tcPr>
          <w:p w14:paraId="773890BE">
            <w:pPr>
              <w:widowControl/>
              <w:jc w:val="left"/>
              <w:textAlignment w:val="center"/>
              <w:rPr>
                <w:rFonts w:hint="eastAsia" w:ascii="宋体" w:hAnsi="宋体" w:eastAsia="宋体" w:cs="宋体"/>
                <w:b/>
                <w:bCs/>
                <w:color w:val="auto"/>
                <w:sz w:val="24"/>
                <w:szCs w:val="24"/>
                <w:highlight w:val="none"/>
              </w:rPr>
            </w:pPr>
          </w:p>
        </w:tc>
        <w:tc>
          <w:tcPr>
            <w:tcW w:w="4646" w:type="dxa"/>
            <w:tcBorders>
              <w:top w:val="single" w:color="000000" w:sz="4" w:space="0"/>
              <w:left w:val="single" w:color="000000" w:sz="4" w:space="0"/>
              <w:bottom w:val="single" w:color="000000" w:sz="4" w:space="0"/>
              <w:right w:val="single" w:color="auto" w:sz="4" w:space="0"/>
            </w:tcBorders>
            <w:noWrap w:val="0"/>
            <w:tcMar>
              <w:top w:w="10" w:type="dxa"/>
              <w:left w:w="10" w:type="dxa"/>
              <w:right w:w="10" w:type="dxa"/>
            </w:tcMar>
            <w:vAlign w:val="center"/>
          </w:tcPr>
          <w:p w14:paraId="6F34EACA">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rPr>
              <w:t>游乐设施日常运行状况记录</w:t>
            </w:r>
          </w:p>
        </w:tc>
        <w:tc>
          <w:tcPr>
            <w:tcW w:w="2720" w:type="dxa"/>
            <w:tcBorders>
              <w:top w:val="single" w:color="000000" w:sz="4" w:space="0"/>
              <w:left w:val="single" w:color="auto" w:sz="4" w:space="0"/>
              <w:bottom w:val="single" w:color="000000" w:sz="4" w:space="0"/>
              <w:right w:val="single" w:color="000000" w:sz="4" w:space="0"/>
            </w:tcBorders>
            <w:noWrap w:val="0"/>
            <w:tcMar>
              <w:top w:w="10" w:type="dxa"/>
              <w:left w:w="10" w:type="dxa"/>
              <w:right w:w="10" w:type="dxa"/>
            </w:tcMar>
            <w:vAlign w:val="center"/>
          </w:tcPr>
          <w:p w14:paraId="3EBABBE4">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7CE37522">
        <w:tblPrEx>
          <w:tblCellMar>
            <w:top w:w="0" w:type="dxa"/>
            <w:left w:w="0" w:type="dxa"/>
            <w:bottom w:w="0" w:type="dxa"/>
            <w:right w:w="0" w:type="dxa"/>
          </w:tblCellMar>
        </w:tblPrEx>
        <w:trPr>
          <w:trHeight w:val="60" w:hRule="atLeast"/>
          <w:jc w:val="center"/>
        </w:trPr>
        <w:tc>
          <w:tcPr>
            <w:tcW w:w="1281" w:type="dxa"/>
            <w:vMerge w:val="continue"/>
            <w:tcBorders>
              <w:left w:val="single" w:color="auto" w:sz="4" w:space="0"/>
              <w:bottom w:val="single" w:color="000000" w:sz="4" w:space="0"/>
              <w:right w:val="single" w:color="000000" w:sz="4" w:space="0"/>
            </w:tcBorders>
            <w:noWrap w:val="0"/>
            <w:tcMar>
              <w:top w:w="10" w:type="dxa"/>
              <w:left w:w="10" w:type="dxa"/>
              <w:right w:w="10" w:type="dxa"/>
            </w:tcMar>
            <w:vAlign w:val="center"/>
          </w:tcPr>
          <w:p w14:paraId="1F4AFD22">
            <w:pPr>
              <w:widowControl/>
              <w:jc w:val="left"/>
              <w:textAlignment w:val="center"/>
              <w:rPr>
                <w:rFonts w:hint="eastAsia" w:ascii="宋体" w:hAnsi="宋体" w:eastAsia="宋体" w:cs="宋体"/>
                <w:b/>
                <w:bCs/>
                <w:color w:val="auto"/>
                <w:sz w:val="24"/>
                <w:szCs w:val="24"/>
                <w:highlight w:val="none"/>
              </w:rPr>
            </w:pPr>
          </w:p>
        </w:tc>
        <w:tc>
          <w:tcPr>
            <w:tcW w:w="4646" w:type="dxa"/>
            <w:tcBorders>
              <w:top w:val="single" w:color="000000" w:sz="4" w:space="0"/>
              <w:left w:val="single" w:color="000000" w:sz="4" w:space="0"/>
              <w:bottom w:val="single" w:color="000000" w:sz="4" w:space="0"/>
              <w:right w:val="single" w:color="auto" w:sz="4" w:space="0"/>
            </w:tcBorders>
            <w:noWrap w:val="0"/>
            <w:tcMar>
              <w:top w:w="10" w:type="dxa"/>
              <w:left w:w="10" w:type="dxa"/>
              <w:right w:w="10" w:type="dxa"/>
            </w:tcMar>
            <w:vAlign w:val="center"/>
          </w:tcPr>
          <w:p w14:paraId="622D16CA">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6</w:t>
            </w:r>
            <w:r>
              <w:rPr>
                <w:rFonts w:hint="eastAsia" w:ascii="宋体" w:hAnsi="宋体" w:eastAsia="宋体" w:cs="宋体"/>
                <w:bCs/>
                <w:color w:val="auto"/>
                <w:sz w:val="24"/>
                <w:szCs w:val="24"/>
                <w:highlight w:val="none"/>
              </w:rPr>
              <w:t>其他</w:t>
            </w:r>
          </w:p>
        </w:tc>
        <w:tc>
          <w:tcPr>
            <w:tcW w:w="2720" w:type="dxa"/>
            <w:tcBorders>
              <w:top w:val="single" w:color="000000" w:sz="4" w:space="0"/>
              <w:left w:val="single" w:color="auto" w:sz="4" w:space="0"/>
              <w:bottom w:val="single" w:color="000000" w:sz="4" w:space="0"/>
              <w:right w:val="single" w:color="000000" w:sz="4" w:space="0"/>
            </w:tcBorders>
            <w:noWrap w:val="0"/>
            <w:tcMar>
              <w:top w:w="10" w:type="dxa"/>
              <w:left w:w="10" w:type="dxa"/>
              <w:right w:w="10" w:type="dxa"/>
            </w:tcMar>
            <w:vAlign w:val="center"/>
          </w:tcPr>
          <w:p w14:paraId="5D50B39B">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7F5EA560">
        <w:tblPrEx>
          <w:tblCellMar>
            <w:top w:w="0" w:type="dxa"/>
            <w:left w:w="0" w:type="dxa"/>
            <w:bottom w:w="0" w:type="dxa"/>
            <w:right w:w="0" w:type="dxa"/>
          </w:tblCellMar>
        </w:tblPrEx>
        <w:trPr>
          <w:trHeight w:val="60" w:hRule="atLeast"/>
          <w:jc w:val="center"/>
        </w:trPr>
        <w:tc>
          <w:tcPr>
            <w:tcW w:w="1281" w:type="dxa"/>
            <w:vMerge w:val="restart"/>
            <w:tcBorders>
              <w:top w:val="single" w:color="000000" w:sz="4" w:space="0"/>
              <w:left w:val="single" w:color="auto" w:sz="4" w:space="0"/>
              <w:bottom w:val="single" w:color="auto" w:sz="4" w:space="0"/>
              <w:right w:val="single" w:color="000000" w:sz="4" w:space="0"/>
            </w:tcBorders>
            <w:noWrap w:val="0"/>
            <w:tcMar>
              <w:top w:w="10" w:type="dxa"/>
              <w:left w:w="10" w:type="dxa"/>
              <w:right w:w="10" w:type="dxa"/>
            </w:tcMar>
            <w:vAlign w:val="center"/>
          </w:tcPr>
          <w:p w14:paraId="46626DA8">
            <w:pPr>
              <w:widowControl/>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.培训及演练台账</w:t>
            </w:r>
          </w:p>
        </w:tc>
        <w:tc>
          <w:tcPr>
            <w:tcW w:w="4646" w:type="dxa"/>
            <w:tcBorders>
              <w:top w:val="single" w:color="000000" w:sz="4" w:space="0"/>
              <w:left w:val="single" w:color="000000" w:sz="4" w:space="0"/>
              <w:bottom w:val="single" w:color="auto" w:sz="4" w:space="0"/>
              <w:right w:val="single" w:color="auto" w:sz="4" w:space="0"/>
            </w:tcBorders>
            <w:noWrap w:val="0"/>
            <w:tcMar>
              <w:top w:w="10" w:type="dxa"/>
              <w:left w:w="10" w:type="dxa"/>
              <w:right w:w="10" w:type="dxa"/>
            </w:tcMar>
            <w:vAlign w:val="center"/>
          </w:tcPr>
          <w:p w14:paraId="335091BC">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.1员工安全教育培训考核记录</w:t>
            </w:r>
          </w:p>
        </w:tc>
        <w:tc>
          <w:tcPr>
            <w:tcW w:w="2720" w:type="dxa"/>
            <w:tcBorders>
              <w:top w:val="single" w:color="000000" w:sz="4" w:space="0"/>
              <w:left w:val="single" w:color="auto" w:sz="4" w:space="0"/>
              <w:bottom w:val="single" w:color="000000" w:sz="4" w:space="0"/>
              <w:right w:val="single" w:color="000000" w:sz="4" w:space="0"/>
            </w:tcBorders>
            <w:noWrap w:val="0"/>
            <w:tcMar>
              <w:top w:w="10" w:type="dxa"/>
              <w:left w:w="10" w:type="dxa"/>
              <w:right w:w="10" w:type="dxa"/>
            </w:tcMar>
            <w:vAlign w:val="center"/>
          </w:tcPr>
          <w:p w14:paraId="760B5831">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1AADBD65">
        <w:tblPrEx>
          <w:tblCellMar>
            <w:top w:w="0" w:type="dxa"/>
            <w:left w:w="0" w:type="dxa"/>
            <w:bottom w:w="0" w:type="dxa"/>
            <w:right w:w="0" w:type="dxa"/>
          </w:tblCellMar>
        </w:tblPrEx>
        <w:trPr>
          <w:trHeight w:val="60" w:hRule="atLeast"/>
          <w:jc w:val="center"/>
        </w:trPr>
        <w:tc>
          <w:tcPr>
            <w:tcW w:w="1281" w:type="dxa"/>
            <w:vMerge w:val="continue"/>
            <w:tcBorders>
              <w:top w:val="single" w:color="auto" w:sz="4" w:space="0"/>
              <w:left w:val="single" w:color="auto" w:sz="4" w:space="0"/>
              <w:right w:val="single" w:color="000000" w:sz="4" w:space="0"/>
            </w:tcBorders>
            <w:noWrap w:val="0"/>
            <w:tcMar>
              <w:top w:w="10" w:type="dxa"/>
              <w:left w:w="10" w:type="dxa"/>
              <w:right w:w="10" w:type="dxa"/>
            </w:tcMar>
            <w:vAlign w:val="center"/>
          </w:tcPr>
          <w:p w14:paraId="36AB87E2">
            <w:pPr>
              <w:widowControl/>
              <w:jc w:val="left"/>
              <w:textAlignment w:val="center"/>
              <w:rPr>
                <w:rFonts w:hint="eastAsia" w:ascii="宋体" w:hAnsi="宋体" w:eastAsia="宋体" w:cs="宋体"/>
                <w:b/>
                <w:bCs/>
                <w:color w:val="auto"/>
                <w:sz w:val="24"/>
                <w:szCs w:val="24"/>
                <w:highlight w:val="none"/>
              </w:rPr>
            </w:pPr>
          </w:p>
        </w:tc>
        <w:tc>
          <w:tcPr>
            <w:tcW w:w="4646" w:type="dxa"/>
            <w:tcBorders>
              <w:top w:val="single" w:color="auto"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FBB8EAC">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.2应急演练台账</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79992F3">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18251AF4">
        <w:tblPrEx>
          <w:tblCellMar>
            <w:top w:w="0" w:type="dxa"/>
            <w:left w:w="0" w:type="dxa"/>
            <w:bottom w:w="0" w:type="dxa"/>
            <w:right w:w="0" w:type="dxa"/>
          </w:tblCellMar>
        </w:tblPrEx>
        <w:trPr>
          <w:trHeight w:val="60" w:hRule="atLeast"/>
          <w:jc w:val="center"/>
        </w:trPr>
        <w:tc>
          <w:tcPr>
            <w:tcW w:w="1281" w:type="dxa"/>
            <w:vMerge w:val="continue"/>
            <w:tcBorders>
              <w:left w:val="single" w:color="auto" w:sz="4" w:space="0"/>
              <w:bottom w:val="single" w:color="000000" w:sz="4" w:space="0"/>
              <w:right w:val="single" w:color="000000" w:sz="4" w:space="0"/>
            </w:tcBorders>
            <w:noWrap w:val="0"/>
            <w:tcMar>
              <w:top w:w="10" w:type="dxa"/>
              <w:left w:w="10" w:type="dxa"/>
              <w:right w:w="10" w:type="dxa"/>
            </w:tcMar>
            <w:vAlign w:val="center"/>
          </w:tcPr>
          <w:p w14:paraId="45B6E2F7">
            <w:pPr>
              <w:widowControl/>
              <w:jc w:val="left"/>
              <w:textAlignment w:val="center"/>
              <w:rPr>
                <w:rFonts w:hint="eastAsia" w:ascii="宋体" w:hAnsi="宋体" w:eastAsia="宋体" w:cs="宋体"/>
                <w:b/>
                <w:bCs/>
                <w:color w:val="auto"/>
                <w:sz w:val="24"/>
                <w:szCs w:val="24"/>
                <w:highlight w:val="none"/>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C6BFC41">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.3宣贯上级文件培训记录</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EBC56BD">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5CD5D43E">
        <w:tblPrEx>
          <w:tblCellMar>
            <w:top w:w="0" w:type="dxa"/>
            <w:left w:w="0" w:type="dxa"/>
            <w:bottom w:w="0" w:type="dxa"/>
            <w:right w:w="0" w:type="dxa"/>
          </w:tblCellMar>
        </w:tblPrEx>
        <w:trPr>
          <w:trHeight w:val="60" w:hRule="atLeast"/>
          <w:jc w:val="center"/>
        </w:trPr>
        <w:tc>
          <w:tcPr>
            <w:tcW w:w="128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4A5216D">
            <w:pPr>
              <w:widowControl/>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rPr>
              <w:t>.安全生产考核资料台账</w:t>
            </w: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950B3D9">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.1年度安全生产考核资料台账</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E27EDA3">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r w14:paraId="34D2984A">
        <w:tblPrEx>
          <w:tblCellMar>
            <w:top w:w="0" w:type="dxa"/>
            <w:left w:w="0" w:type="dxa"/>
            <w:bottom w:w="0" w:type="dxa"/>
            <w:right w:w="0" w:type="dxa"/>
          </w:tblCellMar>
        </w:tblPrEx>
        <w:trPr>
          <w:trHeight w:val="563" w:hRule="atLeast"/>
          <w:jc w:val="center"/>
        </w:trPr>
        <w:tc>
          <w:tcPr>
            <w:tcW w:w="1281" w:type="dxa"/>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14:paraId="4777EFF5">
            <w:pPr>
              <w:widowControl/>
              <w:jc w:val="left"/>
              <w:textAlignment w:val="center"/>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15.绿化垃圾资源化利用台账</w:t>
            </w: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0158882">
            <w:pPr>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15.1接收单位登记表</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679106C">
            <w:pPr>
              <w:ind w:firstLine="240" w:firstLineChars="100"/>
              <w:jc w:val="center"/>
              <w:rPr>
                <w:rFonts w:hint="eastAsia" w:ascii="宋体" w:hAnsi="宋体" w:eastAsia="宋体" w:cs="宋体"/>
                <w:bCs/>
                <w:color w:val="auto"/>
                <w:sz w:val="24"/>
                <w:szCs w:val="24"/>
                <w:highlight w:val="none"/>
              </w:rPr>
            </w:pPr>
          </w:p>
        </w:tc>
      </w:tr>
      <w:tr w14:paraId="097DE4C4">
        <w:tblPrEx>
          <w:tblCellMar>
            <w:top w:w="0" w:type="dxa"/>
            <w:left w:w="0" w:type="dxa"/>
            <w:bottom w:w="0" w:type="dxa"/>
            <w:right w:w="0" w:type="dxa"/>
          </w:tblCellMar>
        </w:tblPrEx>
        <w:trPr>
          <w:trHeight w:val="60" w:hRule="atLeast"/>
          <w:jc w:val="center"/>
        </w:trPr>
        <w:tc>
          <w:tcPr>
            <w:tcW w:w="1281" w:type="dxa"/>
            <w:vMerge w:val="continue"/>
            <w:tcBorders>
              <w:left w:val="single" w:color="000000" w:sz="4" w:space="0"/>
              <w:bottom w:val="single" w:color="000000" w:sz="4" w:space="0"/>
              <w:right w:val="single" w:color="000000" w:sz="4" w:space="0"/>
            </w:tcBorders>
            <w:noWrap w:val="0"/>
            <w:tcMar>
              <w:top w:w="10" w:type="dxa"/>
              <w:left w:w="10" w:type="dxa"/>
              <w:right w:w="10" w:type="dxa"/>
            </w:tcMar>
            <w:vAlign w:val="center"/>
          </w:tcPr>
          <w:p w14:paraId="595CAC0C">
            <w:pPr>
              <w:widowControl/>
              <w:jc w:val="left"/>
              <w:textAlignment w:val="center"/>
              <w:rPr>
                <w:rFonts w:hint="eastAsia" w:ascii="宋体" w:hAnsi="宋体" w:eastAsia="宋体" w:cs="宋体"/>
                <w:b/>
                <w:bCs/>
                <w:color w:val="auto"/>
                <w:sz w:val="24"/>
                <w:szCs w:val="24"/>
                <w:highlight w:val="none"/>
                <w:lang w:val="en-US" w:eastAsia="zh-CN"/>
              </w:rPr>
            </w:pP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93C686F">
            <w:pP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15.2绿化垃圾数量登记表</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5449FB5">
            <w:pPr>
              <w:ind w:firstLine="240" w:firstLineChars="100"/>
              <w:jc w:val="center"/>
              <w:rPr>
                <w:rFonts w:hint="eastAsia" w:ascii="宋体" w:hAnsi="宋体" w:eastAsia="宋体" w:cs="宋体"/>
                <w:bCs/>
                <w:color w:val="auto"/>
                <w:sz w:val="24"/>
                <w:szCs w:val="24"/>
                <w:highlight w:val="none"/>
              </w:rPr>
            </w:pPr>
          </w:p>
        </w:tc>
      </w:tr>
      <w:tr w14:paraId="13BFB24A">
        <w:tblPrEx>
          <w:tblCellMar>
            <w:top w:w="0" w:type="dxa"/>
            <w:left w:w="0" w:type="dxa"/>
            <w:bottom w:w="0" w:type="dxa"/>
            <w:right w:w="0" w:type="dxa"/>
          </w:tblCellMar>
        </w:tblPrEx>
        <w:trPr>
          <w:trHeight w:val="60" w:hRule="atLeast"/>
          <w:jc w:val="center"/>
        </w:trPr>
        <w:tc>
          <w:tcPr>
            <w:tcW w:w="128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048B1A7">
            <w:pPr>
              <w:widowControl/>
              <w:jc w:val="left"/>
              <w:textAlignment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16.其他资料</w:t>
            </w:r>
          </w:p>
        </w:tc>
        <w:tc>
          <w:tcPr>
            <w:tcW w:w="46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B4FEB2D">
            <w:pP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16.1其他采购人所需要的各类台账资料</w:t>
            </w:r>
          </w:p>
        </w:tc>
        <w:tc>
          <w:tcPr>
            <w:tcW w:w="27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F981DCF">
            <w:pPr>
              <w:ind w:firstLine="240" w:firstLineChars="1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bl>
    <w:p w14:paraId="23090FDD">
      <w:pPr>
        <w:widowControl/>
        <w:tabs>
          <w:tab w:val="left" w:pos="851"/>
        </w:tabs>
        <w:adjustRightInd/>
        <w:spacing w:line="360" w:lineRule="auto"/>
        <w:ind w:firstLine="482" w:firstLineChars="200"/>
        <w:rPr>
          <w:rFonts w:hint="eastAsia"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说明：包括但不限于以上范围，具体按实际要求执行，智慧公园平台功能完善后，根据主管部门或者采购人要求进行台账上传</w:t>
      </w:r>
      <w:r>
        <w:rPr>
          <w:rFonts w:hint="eastAsia" w:ascii="宋体" w:hAnsi="宋体" w:cs="宋体"/>
          <w:b/>
          <w:bCs w:val="0"/>
          <w:color w:val="auto"/>
          <w:kern w:val="0"/>
          <w:sz w:val="24"/>
          <w:highlight w:val="none"/>
          <w:lang w:val="en-US" w:eastAsia="zh-CN"/>
        </w:rPr>
        <w:t>。</w:t>
      </w:r>
    </w:p>
    <w:p w14:paraId="73102680">
      <w:pPr>
        <w:widowControl/>
        <w:tabs>
          <w:tab w:val="left" w:pos="851"/>
        </w:tabs>
        <w:adjustRightInd/>
        <w:spacing w:line="360" w:lineRule="auto"/>
        <w:outlineLvl w:val="1"/>
        <w:rPr>
          <w:rFonts w:ascii="宋体" w:hAnsi="宋体" w:eastAsia="宋体" w:cs="宋体"/>
          <w:b/>
          <w:color w:val="auto"/>
          <w:kern w:val="0"/>
          <w:sz w:val="24"/>
          <w:highlight w:val="none"/>
        </w:rPr>
      </w:pPr>
      <w:r>
        <w:rPr>
          <w:rFonts w:hint="eastAsia" w:ascii="宋体" w:hAnsi="宋体" w:eastAsia="宋体" w:cs="宋体"/>
          <w:b/>
          <w:color w:val="auto"/>
          <w:kern w:val="0"/>
          <w:sz w:val="24"/>
          <w:highlight w:val="none"/>
          <w:lang w:val="en-US" w:eastAsia="zh-CN"/>
        </w:rPr>
        <w:t>八</w:t>
      </w:r>
      <w:r>
        <w:rPr>
          <w:rFonts w:hint="eastAsia" w:ascii="宋体" w:hAnsi="宋体" w:eastAsia="宋体" w:cs="宋体"/>
          <w:b/>
          <w:color w:val="auto"/>
          <w:kern w:val="0"/>
          <w:sz w:val="24"/>
          <w:highlight w:val="none"/>
        </w:rPr>
        <w:t>、</w:t>
      </w:r>
      <w:r>
        <w:rPr>
          <w:rFonts w:hint="eastAsia" w:ascii="宋体" w:hAnsi="宋体" w:eastAsia="宋体" w:cs="宋体"/>
          <w:b/>
          <w:color w:val="auto"/>
          <w:kern w:val="0"/>
          <w:sz w:val="24"/>
          <w:highlight w:val="none"/>
          <w:lang w:val="en-US" w:eastAsia="zh-CN"/>
        </w:rPr>
        <w:t>考核</w:t>
      </w:r>
      <w:r>
        <w:rPr>
          <w:rFonts w:hint="eastAsia" w:ascii="宋体" w:hAnsi="宋体" w:eastAsia="宋体" w:cs="宋体"/>
          <w:b/>
          <w:color w:val="auto"/>
          <w:kern w:val="0"/>
          <w:sz w:val="24"/>
          <w:highlight w:val="none"/>
        </w:rPr>
        <w:t>要求</w:t>
      </w:r>
    </w:p>
    <w:p w14:paraId="4496457C">
      <w:pPr>
        <w:widowControl/>
        <w:tabs>
          <w:tab w:val="left" w:pos="851"/>
        </w:tabs>
        <w:adjustRightInd/>
        <w:spacing w:line="360" w:lineRule="auto"/>
        <w:outlineLvl w:val="1"/>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（一）质量考核验收标准</w:t>
      </w:r>
    </w:p>
    <w:p w14:paraId="57651DD4">
      <w:pPr>
        <w:widowControl/>
        <w:tabs>
          <w:tab w:val="left" w:pos="851"/>
        </w:tabs>
        <w:adjustRightInd/>
        <w:spacing w:line="360" w:lineRule="auto"/>
        <w:ind w:firstLine="482" w:firstLineChars="200"/>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①检查考核</w:t>
      </w:r>
    </w:p>
    <w:p w14:paraId="1C5FA7A5">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执行“中标人自检（周检）、采购人考核（随机检、月度考核）”两级检查考评制度。中标人实行自检，每周向采购人报送检查结果，采购人组织随机检并且每月对各公园进行考核。</w:t>
      </w:r>
    </w:p>
    <w:p w14:paraId="79848FBE">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除上述的两级检查外，还包括其他的专项行动检查及考核。若相关考核办法和扣罚标准有所调整变化，按最新出台的办法或标准执行。</w:t>
      </w:r>
    </w:p>
    <w:p w14:paraId="0618FE3F">
      <w:pPr>
        <w:widowControl/>
        <w:tabs>
          <w:tab w:val="left" w:pos="851"/>
        </w:tabs>
        <w:adjustRightInd/>
        <w:spacing w:line="360" w:lineRule="auto"/>
        <w:ind w:firstLine="482" w:firstLineChars="200"/>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②直接扣罚标准</w:t>
      </w:r>
    </w:p>
    <w:tbl>
      <w:tblPr>
        <w:tblStyle w:val="62"/>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66"/>
        <w:gridCol w:w="3257"/>
        <w:gridCol w:w="3313"/>
        <w:gridCol w:w="1091"/>
      </w:tblGrid>
      <w:tr w14:paraId="3D50B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866" w:type="dxa"/>
            <w:noWrap w:val="0"/>
            <w:tcMar>
              <w:top w:w="10" w:type="dxa"/>
              <w:left w:w="10" w:type="dxa"/>
              <w:right w:w="10" w:type="dxa"/>
            </w:tcMar>
            <w:vAlign w:val="center"/>
          </w:tcPr>
          <w:p w14:paraId="59B95C59">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w:t>
            </w:r>
          </w:p>
        </w:tc>
        <w:tc>
          <w:tcPr>
            <w:tcW w:w="3257" w:type="dxa"/>
            <w:noWrap w:val="0"/>
            <w:tcMar>
              <w:top w:w="10" w:type="dxa"/>
              <w:left w:w="10" w:type="dxa"/>
              <w:right w:w="10" w:type="dxa"/>
            </w:tcMar>
            <w:vAlign w:val="center"/>
          </w:tcPr>
          <w:p w14:paraId="2044F65D">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内容</w:t>
            </w:r>
          </w:p>
        </w:tc>
        <w:tc>
          <w:tcPr>
            <w:tcW w:w="3313" w:type="dxa"/>
            <w:noWrap w:val="0"/>
            <w:tcMar>
              <w:top w:w="10" w:type="dxa"/>
              <w:left w:w="10" w:type="dxa"/>
              <w:right w:w="10" w:type="dxa"/>
            </w:tcMar>
            <w:vAlign w:val="center"/>
          </w:tcPr>
          <w:p w14:paraId="0355C502">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扣罚标准</w:t>
            </w:r>
          </w:p>
        </w:tc>
        <w:tc>
          <w:tcPr>
            <w:tcW w:w="1091" w:type="dxa"/>
            <w:noWrap w:val="0"/>
            <w:vAlign w:val="top"/>
          </w:tcPr>
          <w:p w14:paraId="7AC73C0D">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23F89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9" w:hRule="atLeast"/>
        </w:trPr>
        <w:tc>
          <w:tcPr>
            <w:tcW w:w="866" w:type="dxa"/>
            <w:vMerge w:val="restart"/>
            <w:noWrap w:val="0"/>
            <w:tcMar>
              <w:top w:w="10" w:type="dxa"/>
              <w:left w:w="10" w:type="dxa"/>
              <w:right w:w="10" w:type="dxa"/>
            </w:tcMar>
            <w:vAlign w:val="center"/>
          </w:tcPr>
          <w:p w14:paraId="411088A8">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人员管理</w:t>
            </w:r>
          </w:p>
        </w:tc>
        <w:tc>
          <w:tcPr>
            <w:tcW w:w="3257" w:type="dxa"/>
            <w:noWrap w:val="0"/>
            <w:tcMar>
              <w:top w:w="10" w:type="dxa"/>
              <w:left w:w="10" w:type="dxa"/>
              <w:right w:w="10" w:type="dxa"/>
            </w:tcMar>
            <w:vAlign w:val="center"/>
          </w:tcPr>
          <w:p w14:paraId="005D3A2F">
            <w:pPr>
              <w:widowControl/>
              <w:adjustRightInd/>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工作人员</w:t>
            </w:r>
            <w:r>
              <w:rPr>
                <w:rFonts w:hint="eastAsia" w:ascii="宋体" w:hAnsi="宋体" w:eastAsia="宋体" w:cs="宋体"/>
                <w:color w:val="auto"/>
                <w:sz w:val="24"/>
                <w:szCs w:val="24"/>
                <w:highlight w:val="none"/>
                <w:lang w:eastAsia="zh-CN"/>
              </w:rPr>
              <w:t>发生纠纷，争吵斗殴，影响工作，造成不良影响。</w:t>
            </w:r>
          </w:p>
        </w:tc>
        <w:tc>
          <w:tcPr>
            <w:tcW w:w="3313" w:type="dxa"/>
            <w:noWrap w:val="0"/>
            <w:tcMar>
              <w:top w:w="10" w:type="dxa"/>
              <w:left w:w="10" w:type="dxa"/>
              <w:right w:w="10" w:type="dxa"/>
            </w:tcMar>
            <w:vAlign w:val="center"/>
          </w:tcPr>
          <w:p w14:paraId="3600D70F">
            <w:pPr>
              <w:widowControl/>
              <w:adjustRightInd/>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每人每次扣减</w:t>
            </w:r>
            <w:r>
              <w:rPr>
                <w:rFonts w:hint="eastAsia" w:ascii="宋体" w:hAnsi="宋体" w:eastAsia="宋体" w:cs="宋体"/>
                <w:color w:val="auto"/>
                <w:sz w:val="24"/>
                <w:szCs w:val="24"/>
                <w:highlight w:val="none"/>
                <w:lang w:val="en-US" w:eastAsia="zh-CN"/>
              </w:rPr>
              <w:t>500元。</w:t>
            </w:r>
          </w:p>
        </w:tc>
        <w:tc>
          <w:tcPr>
            <w:tcW w:w="1091" w:type="dxa"/>
            <w:noWrap w:val="0"/>
            <w:vAlign w:val="center"/>
          </w:tcPr>
          <w:p w14:paraId="08863B35">
            <w:pPr>
              <w:widowControl/>
              <w:adjustRightInd/>
              <w:rPr>
                <w:rFonts w:hint="eastAsia" w:ascii="宋体" w:hAnsi="宋体" w:eastAsia="宋体" w:cs="宋体"/>
                <w:color w:val="auto"/>
                <w:sz w:val="24"/>
                <w:szCs w:val="24"/>
                <w:highlight w:val="none"/>
                <w:lang w:val="en-US" w:eastAsia="zh-CN"/>
              </w:rPr>
            </w:pPr>
          </w:p>
        </w:tc>
      </w:tr>
      <w:tr w14:paraId="4582C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66" w:type="dxa"/>
            <w:vMerge w:val="continue"/>
            <w:noWrap w:val="0"/>
            <w:tcMar>
              <w:top w:w="10" w:type="dxa"/>
              <w:left w:w="10" w:type="dxa"/>
              <w:right w:w="10" w:type="dxa"/>
            </w:tcMar>
            <w:vAlign w:val="center"/>
          </w:tcPr>
          <w:p w14:paraId="0FE945E4">
            <w:pPr>
              <w:widowControl/>
              <w:adjustRightInd/>
              <w:jc w:val="center"/>
              <w:rPr>
                <w:rFonts w:hint="eastAsia" w:ascii="宋体" w:hAnsi="宋体" w:eastAsia="宋体" w:cs="宋体"/>
                <w:color w:val="auto"/>
                <w:sz w:val="24"/>
                <w:szCs w:val="24"/>
                <w:highlight w:val="none"/>
              </w:rPr>
            </w:pPr>
          </w:p>
        </w:tc>
        <w:tc>
          <w:tcPr>
            <w:tcW w:w="3257" w:type="dxa"/>
            <w:noWrap w:val="0"/>
            <w:tcMar>
              <w:top w:w="10" w:type="dxa"/>
              <w:left w:w="10" w:type="dxa"/>
              <w:right w:w="10" w:type="dxa"/>
            </w:tcMar>
            <w:vAlign w:val="center"/>
          </w:tcPr>
          <w:p w14:paraId="0181F8E2">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项目负责人</w:t>
            </w:r>
            <w:r>
              <w:rPr>
                <w:rFonts w:hint="eastAsia" w:ascii="宋体" w:hAnsi="宋体" w:eastAsia="宋体" w:cs="宋体"/>
                <w:color w:val="auto"/>
                <w:sz w:val="24"/>
                <w:szCs w:val="24"/>
                <w:highlight w:val="none"/>
              </w:rPr>
              <w:t>变更。</w:t>
            </w:r>
          </w:p>
        </w:tc>
        <w:tc>
          <w:tcPr>
            <w:tcW w:w="3313" w:type="dxa"/>
            <w:noWrap w:val="0"/>
            <w:tcMar>
              <w:top w:w="10" w:type="dxa"/>
              <w:left w:w="10" w:type="dxa"/>
              <w:right w:w="10" w:type="dxa"/>
            </w:tcMar>
            <w:vAlign w:val="center"/>
          </w:tcPr>
          <w:p w14:paraId="122FDE6F">
            <w:pPr>
              <w:widowControl/>
              <w:adjustRightInd/>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1.未经采购人同意擅自变更的每次扣减10万元；</w:t>
            </w:r>
          </w:p>
          <w:p w14:paraId="5295B010">
            <w:pPr>
              <w:rPr>
                <w:rFonts w:eastAsia="宋体"/>
                <w:color w:val="auto"/>
                <w:highlight w:val="none"/>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szCs w:val="24"/>
                <w:highlight w:val="none"/>
                <w:lang w:val="en-US" w:eastAsia="zh-CN"/>
              </w:rPr>
              <w:t>经采购人同意，且满足更换条件要求（满足招标文件要求，有类似项目管理经验，职称等于或高于被更换人员）的每次扣减2</w:t>
            </w:r>
            <w:r>
              <w:rPr>
                <w:rFonts w:hint="eastAsia" w:ascii="宋体" w:hAnsi="宋体" w:cs="宋体"/>
                <w:color w:val="auto"/>
                <w:sz w:val="24"/>
                <w:szCs w:val="24"/>
                <w:highlight w:val="none"/>
                <w:lang w:val="en-US" w:eastAsia="zh-CN"/>
              </w:rPr>
              <w:t>万</w:t>
            </w:r>
            <w:r>
              <w:rPr>
                <w:rFonts w:hint="eastAsia" w:ascii="宋体" w:hAnsi="宋体" w:eastAsia="宋体" w:cs="宋体"/>
                <w:color w:val="auto"/>
                <w:sz w:val="24"/>
                <w:szCs w:val="24"/>
                <w:highlight w:val="none"/>
                <w:lang w:val="en-US" w:eastAsia="zh-CN"/>
              </w:rPr>
              <w:t>元。</w:t>
            </w:r>
          </w:p>
          <w:p w14:paraId="181FCDD6">
            <w:pPr>
              <w:widowControl/>
              <w:adjustRightInd/>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（因不可抗力因素，如重大疾病、死亡等原因变更的除外。）</w:t>
            </w:r>
          </w:p>
        </w:tc>
        <w:tc>
          <w:tcPr>
            <w:tcW w:w="1091" w:type="dxa"/>
            <w:noWrap w:val="0"/>
            <w:vAlign w:val="center"/>
          </w:tcPr>
          <w:p w14:paraId="31E382B1">
            <w:pPr>
              <w:widowControl/>
              <w:adjustRightInd/>
              <w:rPr>
                <w:rFonts w:hint="eastAsia" w:ascii="宋体" w:hAnsi="宋体" w:eastAsia="宋体" w:cs="宋体"/>
                <w:color w:val="auto"/>
                <w:sz w:val="24"/>
                <w:szCs w:val="24"/>
                <w:highlight w:val="none"/>
                <w:lang w:val="en-US" w:eastAsia="zh-CN"/>
              </w:rPr>
            </w:pPr>
          </w:p>
        </w:tc>
      </w:tr>
      <w:tr w14:paraId="17D3C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9" w:hRule="atLeast"/>
        </w:trPr>
        <w:tc>
          <w:tcPr>
            <w:tcW w:w="866" w:type="dxa"/>
            <w:vMerge w:val="continue"/>
            <w:noWrap w:val="0"/>
            <w:tcMar>
              <w:top w:w="10" w:type="dxa"/>
              <w:left w:w="10" w:type="dxa"/>
              <w:right w:w="10" w:type="dxa"/>
            </w:tcMar>
            <w:vAlign w:val="center"/>
          </w:tcPr>
          <w:p w14:paraId="12017719">
            <w:pPr>
              <w:widowControl/>
              <w:adjustRightInd/>
              <w:jc w:val="center"/>
              <w:rPr>
                <w:rFonts w:hint="eastAsia" w:ascii="宋体" w:hAnsi="宋体" w:eastAsia="宋体" w:cs="宋体"/>
                <w:color w:val="auto"/>
                <w:sz w:val="24"/>
                <w:szCs w:val="24"/>
                <w:highlight w:val="none"/>
              </w:rPr>
            </w:pPr>
          </w:p>
        </w:tc>
        <w:tc>
          <w:tcPr>
            <w:tcW w:w="3257" w:type="dxa"/>
            <w:noWrap w:val="0"/>
            <w:tcMar>
              <w:top w:w="10" w:type="dxa"/>
              <w:left w:w="10" w:type="dxa"/>
              <w:right w:w="10" w:type="dxa"/>
            </w:tcMar>
            <w:vAlign w:val="center"/>
          </w:tcPr>
          <w:p w14:paraId="007536C5">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管理</w:t>
            </w:r>
            <w:r>
              <w:rPr>
                <w:rFonts w:hint="eastAsia" w:ascii="宋体" w:hAnsi="宋体" w:eastAsia="宋体" w:cs="宋体"/>
                <w:color w:val="auto"/>
                <w:sz w:val="24"/>
                <w:szCs w:val="24"/>
                <w:highlight w:val="none"/>
                <w:lang w:eastAsia="zh-CN"/>
              </w:rPr>
              <w:t>团队</w:t>
            </w:r>
            <w:r>
              <w:rPr>
                <w:rFonts w:hint="eastAsia" w:ascii="宋体" w:hAnsi="宋体" w:eastAsia="宋体" w:cs="宋体"/>
                <w:color w:val="auto"/>
                <w:sz w:val="24"/>
                <w:szCs w:val="24"/>
                <w:highlight w:val="none"/>
              </w:rPr>
              <w:t>人员变更。</w:t>
            </w:r>
          </w:p>
        </w:tc>
        <w:tc>
          <w:tcPr>
            <w:tcW w:w="3313" w:type="dxa"/>
            <w:noWrap w:val="0"/>
            <w:tcMar>
              <w:top w:w="10" w:type="dxa"/>
              <w:left w:w="10" w:type="dxa"/>
              <w:right w:w="10" w:type="dxa"/>
            </w:tcMar>
            <w:vAlign w:val="center"/>
          </w:tcPr>
          <w:p w14:paraId="15BC616F">
            <w:pPr>
              <w:widowControl/>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未经采购人同意擅自变更的每次扣减</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万元；</w:t>
            </w:r>
          </w:p>
          <w:p w14:paraId="490CFFA0">
            <w:pPr>
              <w:rPr>
                <w:rFonts w:eastAsia="宋体"/>
                <w:color w:val="auto"/>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经采购人同意</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且满足更换条件要求（满足招标文件要求，</w:t>
            </w:r>
            <w:r>
              <w:rPr>
                <w:rFonts w:hint="eastAsia" w:ascii="宋体" w:hAnsi="宋体" w:eastAsia="宋体" w:cs="宋体"/>
                <w:color w:val="auto"/>
                <w:sz w:val="24"/>
                <w:szCs w:val="24"/>
                <w:highlight w:val="none"/>
              </w:rPr>
              <w:t>有</w:t>
            </w:r>
            <w:r>
              <w:rPr>
                <w:rFonts w:hint="eastAsia" w:ascii="宋体" w:hAnsi="宋体" w:eastAsia="宋体" w:cs="宋体"/>
                <w:color w:val="auto"/>
                <w:sz w:val="24"/>
                <w:szCs w:val="24"/>
                <w:highlight w:val="none"/>
                <w:lang w:eastAsia="zh-CN"/>
              </w:rPr>
              <w:t>类似项目</w:t>
            </w:r>
            <w:r>
              <w:rPr>
                <w:rFonts w:hint="eastAsia" w:ascii="宋体" w:hAnsi="宋体" w:eastAsia="宋体" w:cs="宋体"/>
                <w:color w:val="auto"/>
                <w:sz w:val="24"/>
                <w:szCs w:val="24"/>
                <w:highlight w:val="none"/>
              </w:rPr>
              <w:t>工作经验，职称等于或高于被更换人员）的每次扣减</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000元。</w:t>
            </w:r>
            <w:r>
              <w:rPr>
                <w:rFonts w:hint="eastAsia" w:ascii="宋体" w:hAnsi="宋体" w:eastAsia="宋体" w:cs="宋体"/>
                <w:color w:val="auto"/>
                <w:sz w:val="24"/>
                <w:szCs w:val="24"/>
                <w:highlight w:val="none"/>
                <w:lang w:val="en-US" w:eastAsia="zh-CN"/>
              </w:rPr>
              <w:t>（因不可抗力因素，如重大疾病、死亡等原因变更的除外。）</w:t>
            </w:r>
          </w:p>
          <w:p w14:paraId="2FACFB8D">
            <w:pPr>
              <w:widowControl/>
              <w:adjustRightInd/>
              <w:rPr>
                <w:rFonts w:hint="eastAsia" w:ascii="宋体" w:hAnsi="宋体" w:eastAsia="宋体" w:cs="宋体"/>
                <w:color w:val="auto"/>
                <w:sz w:val="24"/>
                <w:szCs w:val="24"/>
                <w:highlight w:val="none"/>
                <w:lang w:val="en-US" w:eastAsia="zh-CN"/>
              </w:rPr>
            </w:pPr>
          </w:p>
        </w:tc>
        <w:tc>
          <w:tcPr>
            <w:tcW w:w="1091" w:type="dxa"/>
            <w:noWrap w:val="0"/>
            <w:vAlign w:val="center"/>
          </w:tcPr>
          <w:p w14:paraId="6BAE5380">
            <w:pPr>
              <w:widowControl/>
              <w:adjustRightInd/>
              <w:rPr>
                <w:rFonts w:hint="eastAsia" w:ascii="宋体" w:hAnsi="宋体" w:eastAsia="宋体" w:cs="宋体"/>
                <w:color w:val="auto"/>
                <w:sz w:val="24"/>
                <w:szCs w:val="24"/>
                <w:highlight w:val="none"/>
                <w:lang w:val="en-US" w:eastAsia="zh-CN"/>
              </w:rPr>
            </w:pPr>
          </w:p>
        </w:tc>
      </w:tr>
      <w:tr w14:paraId="4F565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4" w:hRule="atLeast"/>
        </w:trPr>
        <w:tc>
          <w:tcPr>
            <w:tcW w:w="866" w:type="dxa"/>
            <w:vMerge w:val="continue"/>
            <w:noWrap w:val="0"/>
            <w:tcMar>
              <w:top w:w="10" w:type="dxa"/>
              <w:left w:w="10" w:type="dxa"/>
              <w:right w:w="10" w:type="dxa"/>
            </w:tcMar>
            <w:vAlign w:val="center"/>
          </w:tcPr>
          <w:p w14:paraId="6EEF5179">
            <w:pPr>
              <w:widowControl/>
              <w:adjustRightInd/>
              <w:jc w:val="center"/>
              <w:rPr>
                <w:rFonts w:hint="eastAsia" w:ascii="宋体" w:hAnsi="宋体" w:eastAsia="宋体" w:cs="宋体"/>
                <w:color w:val="auto"/>
                <w:sz w:val="24"/>
                <w:szCs w:val="24"/>
                <w:highlight w:val="none"/>
              </w:rPr>
            </w:pPr>
          </w:p>
        </w:tc>
        <w:tc>
          <w:tcPr>
            <w:tcW w:w="3257" w:type="dxa"/>
            <w:noWrap w:val="0"/>
            <w:tcMar>
              <w:top w:w="10" w:type="dxa"/>
              <w:left w:w="10" w:type="dxa"/>
              <w:right w:w="10" w:type="dxa"/>
            </w:tcMar>
            <w:vAlign w:val="center"/>
          </w:tcPr>
          <w:p w14:paraId="152BF59E">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未按要求定期开展培训或应急演练的。</w:t>
            </w:r>
          </w:p>
        </w:tc>
        <w:tc>
          <w:tcPr>
            <w:tcW w:w="3313" w:type="dxa"/>
            <w:noWrap w:val="0"/>
            <w:tcMar>
              <w:top w:w="10" w:type="dxa"/>
              <w:left w:w="10" w:type="dxa"/>
              <w:right w:w="10" w:type="dxa"/>
            </w:tcMar>
            <w:vAlign w:val="center"/>
          </w:tcPr>
          <w:p w14:paraId="3D4198A5">
            <w:pPr>
              <w:widowControl/>
              <w:adjustRightInd/>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每次扣减5000元。</w:t>
            </w:r>
          </w:p>
        </w:tc>
        <w:tc>
          <w:tcPr>
            <w:tcW w:w="1091" w:type="dxa"/>
            <w:noWrap w:val="0"/>
            <w:vAlign w:val="center"/>
          </w:tcPr>
          <w:p w14:paraId="39D617A7">
            <w:pPr>
              <w:widowControl/>
              <w:adjustRightInd/>
              <w:rPr>
                <w:rFonts w:hint="eastAsia" w:ascii="宋体" w:hAnsi="宋体" w:eastAsia="宋体" w:cs="宋体"/>
                <w:color w:val="auto"/>
                <w:sz w:val="24"/>
                <w:szCs w:val="24"/>
                <w:highlight w:val="none"/>
              </w:rPr>
            </w:pPr>
          </w:p>
        </w:tc>
      </w:tr>
      <w:tr w14:paraId="6996D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atLeast"/>
        </w:trPr>
        <w:tc>
          <w:tcPr>
            <w:tcW w:w="866" w:type="dxa"/>
            <w:vMerge w:val="continue"/>
            <w:noWrap w:val="0"/>
            <w:tcMar>
              <w:top w:w="10" w:type="dxa"/>
              <w:left w:w="10" w:type="dxa"/>
              <w:right w:w="10" w:type="dxa"/>
            </w:tcMar>
            <w:vAlign w:val="center"/>
          </w:tcPr>
          <w:p w14:paraId="53147259">
            <w:pPr>
              <w:widowControl/>
              <w:adjustRightInd/>
              <w:jc w:val="center"/>
              <w:rPr>
                <w:rFonts w:hint="eastAsia" w:ascii="宋体" w:hAnsi="宋体" w:eastAsia="宋体" w:cs="宋体"/>
                <w:color w:val="auto"/>
                <w:sz w:val="24"/>
                <w:szCs w:val="24"/>
                <w:highlight w:val="none"/>
              </w:rPr>
            </w:pPr>
          </w:p>
        </w:tc>
        <w:tc>
          <w:tcPr>
            <w:tcW w:w="3257" w:type="dxa"/>
            <w:noWrap w:val="0"/>
            <w:tcMar>
              <w:top w:w="10" w:type="dxa"/>
              <w:left w:w="10" w:type="dxa"/>
              <w:right w:w="10" w:type="dxa"/>
            </w:tcMar>
            <w:vAlign w:val="center"/>
          </w:tcPr>
          <w:p w14:paraId="0CBA3761">
            <w:pPr>
              <w:widowControl/>
              <w:adjustRightInd/>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相关人员有违法违纪行为且造成恶劣影响的</w:t>
            </w:r>
            <w:r>
              <w:rPr>
                <w:rFonts w:hint="eastAsia" w:ascii="宋体" w:hAnsi="宋体" w:eastAsia="宋体" w:cs="宋体"/>
                <w:color w:val="auto"/>
                <w:sz w:val="24"/>
                <w:szCs w:val="24"/>
                <w:highlight w:val="none"/>
                <w:lang w:eastAsia="zh-CN"/>
              </w:rPr>
              <w:t>。</w:t>
            </w:r>
          </w:p>
        </w:tc>
        <w:tc>
          <w:tcPr>
            <w:tcW w:w="3313" w:type="dxa"/>
            <w:noWrap w:val="0"/>
            <w:tcMar>
              <w:top w:w="10" w:type="dxa"/>
              <w:left w:w="10" w:type="dxa"/>
              <w:right w:w="10" w:type="dxa"/>
            </w:tcMar>
            <w:vAlign w:val="center"/>
          </w:tcPr>
          <w:p w14:paraId="5786C025">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每次</w:t>
            </w:r>
            <w:r>
              <w:rPr>
                <w:rFonts w:hint="eastAsia" w:ascii="宋体" w:hAnsi="宋体" w:eastAsia="宋体" w:cs="宋体"/>
                <w:color w:val="auto"/>
                <w:sz w:val="24"/>
                <w:szCs w:val="24"/>
                <w:highlight w:val="none"/>
              </w:rPr>
              <w:t>视情节轻重扣除经费</w:t>
            </w:r>
            <w:r>
              <w:rPr>
                <w:rFonts w:hint="eastAsia" w:ascii="宋体" w:hAnsi="宋体" w:eastAsia="宋体" w:cs="宋体"/>
                <w:color w:val="auto"/>
                <w:sz w:val="24"/>
                <w:szCs w:val="24"/>
                <w:highlight w:val="none"/>
                <w:lang w:val="en-US" w:eastAsia="zh-CN"/>
              </w:rPr>
              <w:t>5000-30000</w:t>
            </w:r>
            <w:r>
              <w:rPr>
                <w:rFonts w:hint="eastAsia" w:ascii="宋体" w:hAnsi="宋体" w:eastAsia="宋体" w:cs="宋体"/>
                <w:color w:val="auto"/>
                <w:sz w:val="24"/>
                <w:szCs w:val="24"/>
                <w:highlight w:val="none"/>
              </w:rPr>
              <w:t>元</w:t>
            </w:r>
          </w:p>
        </w:tc>
        <w:tc>
          <w:tcPr>
            <w:tcW w:w="1091" w:type="dxa"/>
            <w:noWrap w:val="0"/>
            <w:vAlign w:val="center"/>
          </w:tcPr>
          <w:p w14:paraId="6AF2374F">
            <w:pPr>
              <w:widowControl/>
              <w:adjustRightInd/>
              <w:rPr>
                <w:rFonts w:hint="eastAsia" w:ascii="宋体" w:hAnsi="宋体" w:eastAsia="宋体" w:cs="宋体"/>
                <w:color w:val="auto"/>
                <w:sz w:val="24"/>
                <w:szCs w:val="24"/>
                <w:highlight w:val="none"/>
              </w:rPr>
            </w:pPr>
          </w:p>
        </w:tc>
      </w:tr>
      <w:tr w14:paraId="160D4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3" w:hRule="atLeast"/>
        </w:trPr>
        <w:tc>
          <w:tcPr>
            <w:tcW w:w="866" w:type="dxa"/>
            <w:noWrap w:val="0"/>
            <w:tcMar>
              <w:top w:w="10" w:type="dxa"/>
              <w:left w:w="10" w:type="dxa"/>
              <w:right w:w="10" w:type="dxa"/>
            </w:tcMar>
            <w:vAlign w:val="center"/>
          </w:tcPr>
          <w:p w14:paraId="3D12C118">
            <w:pPr>
              <w:widowControl/>
              <w:adjustRightInd/>
              <w:spacing w:beforeLines="0" w:afterLines="0"/>
              <w:jc w:val="center"/>
              <w:rPr>
                <w:rFonts w:hint="eastAsia" w:ascii="宋体" w:hAnsi="宋体" w:eastAsia="宋体" w:cs="宋体"/>
                <w:color w:val="auto"/>
                <w:sz w:val="24"/>
                <w:szCs w:val="24"/>
                <w:highlight w:val="none"/>
              </w:rPr>
            </w:pPr>
            <w:r>
              <w:rPr>
                <w:rFonts w:hint="default" w:ascii="宋体" w:hAnsi="宋体" w:eastAsia="宋体" w:cs="宋体"/>
                <w:color w:val="auto"/>
                <w:sz w:val="24"/>
                <w:szCs w:val="24"/>
                <w:highlight w:val="none"/>
              </w:rPr>
              <w:t>绿化养护人员执业证书</w:t>
            </w:r>
          </w:p>
        </w:tc>
        <w:tc>
          <w:tcPr>
            <w:tcW w:w="3257" w:type="dxa"/>
            <w:noWrap w:val="0"/>
            <w:vAlign w:val="center"/>
          </w:tcPr>
          <w:p w14:paraId="2D80746A">
            <w:pPr>
              <w:widowControl/>
              <w:adjustRightInd/>
              <w:spacing w:beforeLines="0" w:afterLines="0"/>
              <w:jc w:val="left"/>
              <w:rPr>
                <w:rFonts w:hint="eastAsia" w:ascii="宋体" w:hAnsi="宋体" w:eastAsia="宋体" w:cs="宋体"/>
                <w:color w:val="auto"/>
                <w:sz w:val="24"/>
                <w:szCs w:val="24"/>
                <w:highlight w:val="none"/>
                <w:lang w:eastAsia="zh-CN"/>
              </w:rPr>
            </w:pPr>
            <w:r>
              <w:rPr>
                <w:rFonts w:hint="default" w:ascii="宋体" w:hAnsi="宋体" w:eastAsia="宋体" w:cs="宋体"/>
                <w:color w:val="auto"/>
                <w:sz w:val="24"/>
                <w:szCs w:val="24"/>
                <w:highlight w:val="none"/>
              </w:rPr>
              <w:t>要求中标人配备的绿化养护人员都具有绿化工或草坪工证书，允许中标人在合同签订后6个月内配足。</w:t>
            </w:r>
          </w:p>
        </w:tc>
        <w:tc>
          <w:tcPr>
            <w:tcW w:w="3313" w:type="dxa"/>
            <w:noWrap w:val="0"/>
            <w:tcMar>
              <w:top w:w="10" w:type="dxa"/>
              <w:left w:w="10" w:type="dxa"/>
              <w:right w:w="10" w:type="dxa"/>
            </w:tcMar>
            <w:vAlign w:val="center"/>
          </w:tcPr>
          <w:p w14:paraId="3A13AB17">
            <w:pPr>
              <w:widowControl/>
              <w:adjustRightInd/>
              <w:spacing w:beforeLines="0" w:afterLines="0"/>
              <w:jc w:val="left"/>
              <w:rPr>
                <w:rFonts w:hint="eastAsia" w:ascii="宋体" w:hAnsi="宋体" w:eastAsia="宋体" w:cs="宋体"/>
                <w:color w:val="auto"/>
                <w:sz w:val="24"/>
                <w:szCs w:val="24"/>
                <w:highlight w:val="none"/>
              </w:rPr>
            </w:pPr>
            <w:r>
              <w:rPr>
                <w:rFonts w:hint="default" w:ascii="宋体" w:hAnsi="宋体" w:eastAsia="宋体" w:cs="宋体"/>
                <w:color w:val="auto"/>
                <w:sz w:val="24"/>
                <w:szCs w:val="24"/>
                <w:highlight w:val="none"/>
              </w:rPr>
              <w:t>6个月后，有未配足的，扣除经费2000/人/月。</w:t>
            </w:r>
          </w:p>
        </w:tc>
        <w:tc>
          <w:tcPr>
            <w:tcW w:w="1091" w:type="dxa"/>
            <w:noWrap w:val="0"/>
            <w:vAlign w:val="center"/>
          </w:tcPr>
          <w:p w14:paraId="0736F7C0">
            <w:pPr>
              <w:widowControl/>
              <w:adjustRightInd/>
              <w:rPr>
                <w:rFonts w:hint="eastAsia" w:ascii="宋体" w:hAnsi="宋体" w:eastAsia="宋体" w:cs="宋体"/>
                <w:color w:val="auto"/>
                <w:sz w:val="24"/>
                <w:szCs w:val="24"/>
                <w:highlight w:val="none"/>
              </w:rPr>
            </w:pPr>
          </w:p>
        </w:tc>
      </w:tr>
      <w:tr w14:paraId="73922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3" w:hRule="atLeast"/>
        </w:trPr>
        <w:tc>
          <w:tcPr>
            <w:tcW w:w="866" w:type="dxa"/>
            <w:vMerge w:val="restart"/>
            <w:noWrap w:val="0"/>
            <w:tcMar>
              <w:top w:w="10" w:type="dxa"/>
              <w:left w:w="10" w:type="dxa"/>
              <w:right w:w="10" w:type="dxa"/>
            </w:tcMar>
            <w:vAlign w:val="center"/>
          </w:tcPr>
          <w:p w14:paraId="39BFA1CA">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到岗率</w:t>
            </w:r>
          </w:p>
        </w:tc>
        <w:tc>
          <w:tcPr>
            <w:tcW w:w="3257" w:type="dxa"/>
            <w:noWrap w:val="0"/>
            <w:vAlign w:val="center"/>
          </w:tcPr>
          <w:p w14:paraId="09A57125">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作业</w:t>
            </w:r>
            <w:r>
              <w:rPr>
                <w:rFonts w:hint="eastAsia" w:ascii="宋体" w:hAnsi="宋体" w:eastAsia="宋体" w:cs="宋体"/>
                <w:color w:val="auto"/>
                <w:sz w:val="24"/>
                <w:szCs w:val="24"/>
                <w:highlight w:val="none"/>
              </w:rPr>
              <w:t>队伍</w:t>
            </w:r>
            <w:r>
              <w:rPr>
                <w:rFonts w:hint="eastAsia" w:ascii="宋体" w:hAnsi="宋体" w:eastAsia="宋体" w:cs="宋体"/>
                <w:color w:val="auto"/>
                <w:sz w:val="24"/>
                <w:szCs w:val="24"/>
                <w:highlight w:val="none"/>
                <w:lang w:eastAsia="zh-CN"/>
              </w:rPr>
              <w:t>人员</w:t>
            </w:r>
            <w:r>
              <w:rPr>
                <w:rFonts w:hint="eastAsia" w:ascii="宋体" w:hAnsi="宋体" w:eastAsia="宋体" w:cs="宋体"/>
                <w:color w:val="auto"/>
                <w:sz w:val="24"/>
                <w:szCs w:val="24"/>
                <w:highlight w:val="none"/>
              </w:rPr>
              <w:t>随机抽查，未在岗。</w:t>
            </w:r>
          </w:p>
        </w:tc>
        <w:tc>
          <w:tcPr>
            <w:tcW w:w="3313" w:type="dxa"/>
            <w:noWrap w:val="0"/>
            <w:tcMar>
              <w:top w:w="10" w:type="dxa"/>
              <w:left w:w="10" w:type="dxa"/>
              <w:right w:w="10" w:type="dxa"/>
            </w:tcMar>
            <w:vAlign w:val="center"/>
          </w:tcPr>
          <w:p w14:paraId="185ED95D">
            <w:pPr>
              <w:widowControl/>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每个岗位每次缺</w:t>
            </w:r>
            <w:r>
              <w:rPr>
                <w:rFonts w:hint="eastAsia" w:ascii="宋体" w:hAnsi="宋体" w:eastAsia="宋体" w:cs="宋体"/>
                <w:color w:val="auto"/>
                <w:sz w:val="24"/>
                <w:szCs w:val="24"/>
                <w:highlight w:val="none"/>
                <w:lang w:eastAsia="zh-CN"/>
              </w:rPr>
              <w:t>岗</w:t>
            </w:r>
            <w:r>
              <w:rPr>
                <w:rFonts w:hint="eastAsia" w:ascii="宋体" w:hAnsi="宋体" w:eastAsia="宋体" w:cs="宋体"/>
                <w:color w:val="auto"/>
                <w:sz w:val="24"/>
                <w:szCs w:val="24"/>
                <w:highlight w:val="none"/>
              </w:rPr>
              <w:t>扣</w:t>
            </w:r>
            <w:r>
              <w:rPr>
                <w:rFonts w:hint="eastAsia" w:ascii="宋体" w:hAnsi="宋体" w:eastAsia="宋体" w:cs="宋体"/>
                <w:color w:val="auto"/>
                <w:sz w:val="24"/>
                <w:szCs w:val="24"/>
                <w:highlight w:val="none"/>
                <w:lang w:eastAsia="zh-CN"/>
              </w:rPr>
              <w:t>减</w:t>
            </w:r>
            <w:r>
              <w:rPr>
                <w:rFonts w:hint="eastAsia" w:ascii="宋体" w:hAnsi="宋体" w:eastAsia="宋体" w:cs="宋体"/>
                <w:color w:val="auto"/>
                <w:sz w:val="24"/>
                <w:szCs w:val="24"/>
                <w:highlight w:val="none"/>
              </w:rPr>
              <w:t>500元。</w:t>
            </w:r>
          </w:p>
        </w:tc>
        <w:tc>
          <w:tcPr>
            <w:tcW w:w="1091" w:type="dxa"/>
            <w:noWrap w:val="0"/>
            <w:vAlign w:val="center"/>
          </w:tcPr>
          <w:p w14:paraId="3694795B">
            <w:pPr>
              <w:widowControl/>
              <w:adjustRightInd/>
              <w:rPr>
                <w:rFonts w:hint="eastAsia" w:ascii="宋体" w:hAnsi="宋体" w:eastAsia="宋体" w:cs="宋体"/>
                <w:color w:val="auto"/>
                <w:sz w:val="24"/>
                <w:szCs w:val="24"/>
                <w:highlight w:val="none"/>
              </w:rPr>
            </w:pPr>
          </w:p>
        </w:tc>
      </w:tr>
      <w:tr w14:paraId="79291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8" w:hRule="atLeast"/>
        </w:trPr>
        <w:tc>
          <w:tcPr>
            <w:tcW w:w="866" w:type="dxa"/>
            <w:vMerge w:val="continue"/>
            <w:noWrap w:val="0"/>
            <w:tcMar>
              <w:top w:w="10" w:type="dxa"/>
              <w:left w:w="10" w:type="dxa"/>
              <w:right w:w="10" w:type="dxa"/>
            </w:tcMar>
            <w:vAlign w:val="center"/>
          </w:tcPr>
          <w:p w14:paraId="2543C03F">
            <w:pPr>
              <w:widowControl/>
              <w:adjustRightInd/>
              <w:jc w:val="center"/>
              <w:rPr>
                <w:rFonts w:hint="eastAsia" w:ascii="宋体" w:hAnsi="宋体" w:eastAsia="宋体" w:cs="宋体"/>
                <w:color w:val="auto"/>
                <w:sz w:val="24"/>
                <w:szCs w:val="24"/>
                <w:highlight w:val="none"/>
              </w:rPr>
            </w:pPr>
          </w:p>
        </w:tc>
        <w:tc>
          <w:tcPr>
            <w:tcW w:w="3257" w:type="dxa"/>
            <w:noWrap w:val="0"/>
            <w:tcMar>
              <w:top w:w="10" w:type="dxa"/>
              <w:left w:w="10" w:type="dxa"/>
              <w:right w:w="10" w:type="dxa"/>
            </w:tcMar>
            <w:vAlign w:val="center"/>
          </w:tcPr>
          <w:p w14:paraId="0DF99D57">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项目负责人缺岗。</w:t>
            </w:r>
          </w:p>
        </w:tc>
        <w:tc>
          <w:tcPr>
            <w:tcW w:w="3313" w:type="dxa"/>
            <w:noWrap w:val="0"/>
            <w:tcMar>
              <w:top w:w="10" w:type="dxa"/>
              <w:left w:w="10" w:type="dxa"/>
              <w:right w:w="10" w:type="dxa"/>
            </w:tcMar>
            <w:vAlign w:val="center"/>
          </w:tcPr>
          <w:p w14:paraId="41C02EEE">
            <w:pPr>
              <w:widowControl w:val="0"/>
              <w:ind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每次扣减2000元。</w:t>
            </w:r>
          </w:p>
        </w:tc>
        <w:tc>
          <w:tcPr>
            <w:tcW w:w="1091" w:type="dxa"/>
            <w:noWrap w:val="0"/>
            <w:vAlign w:val="center"/>
          </w:tcPr>
          <w:p w14:paraId="2E149770">
            <w:pPr>
              <w:widowControl w:val="0"/>
              <w:ind w:firstLine="0" w:firstLineChars="0"/>
              <w:jc w:val="both"/>
              <w:rPr>
                <w:rFonts w:hint="eastAsia" w:ascii="宋体" w:hAnsi="宋体" w:eastAsia="宋体" w:cs="宋体"/>
                <w:color w:val="auto"/>
                <w:kern w:val="2"/>
                <w:sz w:val="24"/>
                <w:szCs w:val="24"/>
                <w:highlight w:val="none"/>
                <w:lang w:val="en-US" w:eastAsia="zh-CN" w:bidi="ar-SA"/>
              </w:rPr>
            </w:pPr>
          </w:p>
        </w:tc>
      </w:tr>
      <w:tr w14:paraId="40E02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3" w:hRule="atLeast"/>
        </w:trPr>
        <w:tc>
          <w:tcPr>
            <w:tcW w:w="866" w:type="dxa"/>
            <w:vMerge w:val="continue"/>
            <w:noWrap w:val="0"/>
            <w:tcMar>
              <w:top w:w="10" w:type="dxa"/>
              <w:left w:w="10" w:type="dxa"/>
              <w:right w:w="10" w:type="dxa"/>
            </w:tcMar>
            <w:vAlign w:val="center"/>
          </w:tcPr>
          <w:p w14:paraId="07878B32">
            <w:pPr>
              <w:widowControl/>
              <w:adjustRightInd/>
              <w:jc w:val="center"/>
              <w:rPr>
                <w:rFonts w:hint="eastAsia" w:ascii="宋体" w:hAnsi="宋体" w:eastAsia="宋体" w:cs="宋体"/>
                <w:color w:val="auto"/>
                <w:sz w:val="24"/>
                <w:szCs w:val="24"/>
                <w:highlight w:val="none"/>
              </w:rPr>
            </w:pPr>
          </w:p>
        </w:tc>
        <w:tc>
          <w:tcPr>
            <w:tcW w:w="3257" w:type="dxa"/>
            <w:noWrap w:val="0"/>
            <w:tcMar>
              <w:top w:w="10" w:type="dxa"/>
              <w:left w:w="10" w:type="dxa"/>
              <w:right w:w="10" w:type="dxa"/>
            </w:tcMar>
            <w:vAlign w:val="center"/>
          </w:tcPr>
          <w:p w14:paraId="03C45C7B">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管理团队其他人员缺岗。</w:t>
            </w:r>
          </w:p>
        </w:tc>
        <w:tc>
          <w:tcPr>
            <w:tcW w:w="3313" w:type="dxa"/>
            <w:noWrap w:val="0"/>
            <w:tcMar>
              <w:top w:w="10" w:type="dxa"/>
              <w:left w:w="10" w:type="dxa"/>
              <w:right w:w="10" w:type="dxa"/>
            </w:tcMar>
            <w:vAlign w:val="center"/>
          </w:tcPr>
          <w:p w14:paraId="61B14056">
            <w:pPr>
              <w:widowControl w:val="0"/>
              <w:ind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每人每次扣减1000元。</w:t>
            </w:r>
          </w:p>
        </w:tc>
        <w:tc>
          <w:tcPr>
            <w:tcW w:w="1091" w:type="dxa"/>
            <w:noWrap w:val="0"/>
            <w:vAlign w:val="center"/>
          </w:tcPr>
          <w:p w14:paraId="62F1933C">
            <w:pPr>
              <w:widowControl w:val="0"/>
              <w:ind w:firstLine="0" w:firstLineChars="0"/>
              <w:jc w:val="both"/>
              <w:rPr>
                <w:rFonts w:hint="eastAsia" w:ascii="宋体" w:hAnsi="宋体" w:eastAsia="宋体" w:cs="宋体"/>
                <w:color w:val="auto"/>
                <w:kern w:val="2"/>
                <w:sz w:val="24"/>
                <w:szCs w:val="24"/>
                <w:highlight w:val="none"/>
                <w:lang w:val="en-US" w:eastAsia="zh-CN" w:bidi="ar-SA"/>
              </w:rPr>
            </w:pPr>
          </w:p>
        </w:tc>
      </w:tr>
      <w:tr w14:paraId="1343B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5" w:hRule="atLeast"/>
        </w:trPr>
        <w:tc>
          <w:tcPr>
            <w:tcW w:w="866" w:type="dxa"/>
            <w:noWrap w:val="0"/>
            <w:tcMar>
              <w:top w:w="10" w:type="dxa"/>
              <w:left w:w="10" w:type="dxa"/>
              <w:right w:w="10" w:type="dxa"/>
            </w:tcMar>
            <w:vAlign w:val="center"/>
          </w:tcPr>
          <w:p w14:paraId="2C1CEB2F">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机械设备配置情况</w:t>
            </w:r>
          </w:p>
        </w:tc>
        <w:tc>
          <w:tcPr>
            <w:tcW w:w="3257" w:type="dxa"/>
            <w:noWrap w:val="0"/>
            <w:tcMar>
              <w:top w:w="10" w:type="dxa"/>
              <w:left w:w="10" w:type="dxa"/>
              <w:right w:w="10" w:type="dxa"/>
            </w:tcMar>
            <w:vAlign w:val="center"/>
          </w:tcPr>
          <w:p w14:paraId="5957807D">
            <w:pPr>
              <w:widowControl w:val="0"/>
              <w:ind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检查发现各类机械等专用设备未按合同约定配备。</w:t>
            </w:r>
          </w:p>
        </w:tc>
        <w:tc>
          <w:tcPr>
            <w:tcW w:w="3313" w:type="dxa"/>
            <w:noWrap w:val="0"/>
            <w:tcMar>
              <w:top w:w="10" w:type="dxa"/>
              <w:left w:w="10" w:type="dxa"/>
              <w:right w:w="10" w:type="dxa"/>
            </w:tcMar>
            <w:vAlign w:val="center"/>
          </w:tcPr>
          <w:p w14:paraId="1FE08ADC">
            <w:pPr>
              <w:widowControl w:val="0"/>
              <w:ind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每台每次扣减1000元。</w:t>
            </w:r>
          </w:p>
        </w:tc>
        <w:tc>
          <w:tcPr>
            <w:tcW w:w="1091" w:type="dxa"/>
            <w:noWrap w:val="0"/>
            <w:vAlign w:val="center"/>
          </w:tcPr>
          <w:p w14:paraId="5A5F2009">
            <w:pPr>
              <w:widowControl w:val="0"/>
              <w:ind w:firstLine="0" w:firstLineChars="0"/>
              <w:jc w:val="both"/>
              <w:rPr>
                <w:rFonts w:hint="eastAsia" w:ascii="宋体" w:hAnsi="宋体" w:eastAsia="宋体" w:cs="宋体"/>
                <w:color w:val="auto"/>
                <w:kern w:val="2"/>
                <w:sz w:val="24"/>
                <w:szCs w:val="24"/>
                <w:highlight w:val="none"/>
                <w:lang w:val="en-US" w:eastAsia="zh-CN" w:bidi="ar-SA"/>
              </w:rPr>
            </w:pPr>
          </w:p>
        </w:tc>
      </w:tr>
      <w:tr w14:paraId="16A08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5" w:hRule="atLeast"/>
        </w:trPr>
        <w:tc>
          <w:tcPr>
            <w:tcW w:w="866" w:type="dxa"/>
            <w:noWrap w:val="0"/>
            <w:tcMar>
              <w:top w:w="10" w:type="dxa"/>
              <w:left w:w="10" w:type="dxa"/>
              <w:right w:w="10" w:type="dxa"/>
            </w:tcMar>
            <w:vAlign w:val="center"/>
          </w:tcPr>
          <w:p w14:paraId="18483370">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专项</w:t>
            </w:r>
            <w:r>
              <w:rPr>
                <w:rFonts w:hint="eastAsia" w:ascii="宋体" w:hAnsi="宋体" w:eastAsia="宋体" w:cs="宋体"/>
                <w:color w:val="auto"/>
                <w:sz w:val="24"/>
                <w:szCs w:val="24"/>
                <w:highlight w:val="none"/>
              </w:rPr>
              <w:t>检查</w:t>
            </w:r>
          </w:p>
        </w:tc>
        <w:tc>
          <w:tcPr>
            <w:tcW w:w="3257" w:type="dxa"/>
            <w:noWrap w:val="0"/>
            <w:tcMar>
              <w:top w:w="10" w:type="dxa"/>
              <w:left w:w="10" w:type="dxa"/>
              <w:right w:w="10" w:type="dxa"/>
            </w:tcMar>
            <w:vAlign w:val="center"/>
          </w:tcPr>
          <w:p w14:paraId="7C97F552">
            <w:pPr>
              <w:widowControl/>
              <w:adjustRightInd/>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根据</w:t>
            </w:r>
            <w:r>
              <w:rPr>
                <w:rFonts w:hint="eastAsia" w:ascii="宋体" w:hAnsi="宋体" w:eastAsia="宋体" w:cs="宋体"/>
                <w:color w:val="auto"/>
                <w:sz w:val="24"/>
                <w:szCs w:val="24"/>
                <w:highlight w:val="none"/>
                <w:lang w:eastAsia="zh-CN"/>
              </w:rPr>
              <w:t>市级及以上其他部门各类专项检查，如各级文明城市检查中扣分被通报的。</w:t>
            </w:r>
          </w:p>
        </w:tc>
        <w:tc>
          <w:tcPr>
            <w:tcW w:w="3313" w:type="dxa"/>
            <w:noWrap w:val="0"/>
            <w:tcMar>
              <w:top w:w="10" w:type="dxa"/>
              <w:left w:w="10" w:type="dxa"/>
              <w:right w:w="10" w:type="dxa"/>
            </w:tcMar>
            <w:vAlign w:val="center"/>
          </w:tcPr>
          <w:p w14:paraId="5152F6C3">
            <w:pPr>
              <w:widowControl/>
              <w:adjustRightInd/>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每次扣</w:t>
            </w:r>
            <w:r>
              <w:rPr>
                <w:rFonts w:hint="eastAsia" w:ascii="宋体" w:hAnsi="宋体" w:eastAsia="宋体" w:cs="宋体"/>
                <w:color w:val="auto"/>
                <w:sz w:val="24"/>
                <w:szCs w:val="24"/>
                <w:highlight w:val="none"/>
                <w:lang w:val="en-US" w:eastAsia="zh-CN"/>
              </w:rPr>
              <w:t>5000元。</w:t>
            </w:r>
          </w:p>
        </w:tc>
        <w:tc>
          <w:tcPr>
            <w:tcW w:w="1091" w:type="dxa"/>
            <w:noWrap w:val="0"/>
            <w:vAlign w:val="center"/>
          </w:tcPr>
          <w:p w14:paraId="0D7742F4">
            <w:pPr>
              <w:widowControl/>
              <w:adjustRightInd/>
              <w:rPr>
                <w:rFonts w:hint="eastAsia" w:ascii="宋体" w:hAnsi="宋体" w:eastAsia="宋体" w:cs="宋体"/>
                <w:color w:val="auto"/>
                <w:sz w:val="24"/>
                <w:szCs w:val="24"/>
                <w:highlight w:val="none"/>
              </w:rPr>
            </w:pPr>
          </w:p>
        </w:tc>
      </w:tr>
      <w:tr w14:paraId="18EA1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trPr>
        <w:tc>
          <w:tcPr>
            <w:tcW w:w="866" w:type="dxa"/>
            <w:vMerge w:val="restart"/>
            <w:noWrap w:val="0"/>
            <w:vAlign w:val="center"/>
          </w:tcPr>
          <w:p w14:paraId="2A4DB36B">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安全管理</w:t>
            </w:r>
          </w:p>
        </w:tc>
        <w:tc>
          <w:tcPr>
            <w:tcW w:w="3257" w:type="dxa"/>
            <w:noWrap w:val="0"/>
            <w:vAlign w:val="center"/>
          </w:tcPr>
          <w:p w14:paraId="6DB9427C">
            <w:pPr>
              <w:widowControl/>
              <w:adjustRightInd/>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园内设施维修时，围护措施不到位，影响游客游园安全。</w:t>
            </w:r>
          </w:p>
        </w:tc>
        <w:tc>
          <w:tcPr>
            <w:tcW w:w="3313" w:type="dxa"/>
            <w:noWrap w:val="0"/>
            <w:vAlign w:val="center"/>
          </w:tcPr>
          <w:p w14:paraId="28E553E9">
            <w:pPr>
              <w:widowControl/>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每次扣</w:t>
            </w:r>
            <w:r>
              <w:rPr>
                <w:rFonts w:hint="eastAsia" w:ascii="宋体" w:hAnsi="宋体" w:eastAsia="宋体" w:cs="宋体"/>
                <w:color w:val="auto"/>
                <w:sz w:val="24"/>
                <w:szCs w:val="24"/>
                <w:highlight w:val="none"/>
                <w:lang w:val="en-US" w:eastAsia="zh-CN"/>
              </w:rPr>
              <w:t>1000元。</w:t>
            </w:r>
          </w:p>
        </w:tc>
        <w:tc>
          <w:tcPr>
            <w:tcW w:w="1091" w:type="dxa"/>
            <w:noWrap w:val="0"/>
            <w:vAlign w:val="center"/>
          </w:tcPr>
          <w:p w14:paraId="576C9CEC">
            <w:pPr>
              <w:widowControl/>
              <w:adjustRightInd/>
              <w:rPr>
                <w:rFonts w:hint="eastAsia" w:ascii="宋体" w:hAnsi="宋体" w:eastAsia="宋体" w:cs="宋体"/>
                <w:color w:val="auto"/>
                <w:sz w:val="24"/>
                <w:szCs w:val="24"/>
                <w:highlight w:val="none"/>
              </w:rPr>
            </w:pPr>
          </w:p>
        </w:tc>
      </w:tr>
      <w:tr w14:paraId="0D775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trPr>
        <w:tc>
          <w:tcPr>
            <w:tcW w:w="866" w:type="dxa"/>
            <w:vMerge w:val="continue"/>
            <w:noWrap w:val="0"/>
            <w:vAlign w:val="center"/>
          </w:tcPr>
          <w:p w14:paraId="460FEBC2">
            <w:pPr>
              <w:widowControl/>
              <w:adjustRightInd/>
              <w:jc w:val="center"/>
              <w:rPr>
                <w:rFonts w:hint="eastAsia" w:ascii="宋体" w:hAnsi="宋体" w:eastAsia="宋体" w:cs="宋体"/>
                <w:color w:val="auto"/>
                <w:sz w:val="24"/>
                <w:szCs w:val="24"/>
                <w:highlight w:val="none"/>
              </w:rPr>
            </w:pPr>
          </w:p>
        </w:tc>
        <w:tc>
          <w:tcPr>
            <w:tcW w:w="3257" w:type="dxa"/>
            <w:noWrap w:val="0"/>
            <w:vAlign w:val="center"/>
          </w:tcPr>
          <w:p w14:paraId="549740FB">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园内发生火灾</w:t>
            </w:r>
            <w:r>
              <w:rPr>
                <w:rFonts w:hint="eastAsia" w:ascii="宋体" w:hAnsi="宋体" w:eastAsia="宋体" w:cs="宋体"/>
                <w:color w:val="auto"/>
                <w:sz w:val="24"/>
                <w:szCs w:val="24"/>
                <w:highlight w:val="none"/>
              </w:rPr>
              <w:t>未及时处理。</w:t>
            </w:r>
          </w:p>
        </w:tc>
        <w:tc>
          <w:tcPr>
            <w:tcW w:w="3313" w:type="dxa"/>
            <w:noWrap w:val="0"/>
            <w:vAlign w:val="center"/>
          </w:tcPr>
          <w:p w14:paraId="639EE6C9">
            <w:pPr>
              <w:widowControl/>
              <w:adjustRightInd/>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过火面积每平方扣减</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00元</w:t>
            </w:r>
            <w:r>
              <w:rPr>
                <w:rFonts w:hint="eastAsia" w:ascii="宋体" w:hAnsi="宋体" w:eastAsia="宋体" w:cs="宋体"/>
                <w:color w:val="auto"/>
                <w:sz w:val="24"/>
                <w:szCs w:val="24"/>
                <w:highlight w:val="none"/>
                <w:lang w:eastAsia="zh-CN"/>
              </w:rPr>
              <w:t>。</w:t>
            </w:r>
          </w:p>
        </w:tc>
        <w:tc>
          <w:tcPr>
            <w:tcW w:w="1091" w:type="dxa"/>
            <w:noWrap w:val="0"/>
            <w:vAlign w:val="center"/>
          </w:tcPr>
          <w:p w14:paraId="238BB39C">
            <w:pPr>
              <w:widowControl/>
              <w:adjustRightInd/>
              <w:rPr>
                <w:rFonts w:hint="eastAsia" w:ascii="宋体" w:hAnsi="宋体" w:eastAsia="宋体" w:cs="宋体"/>
                <w:color w:val="auto"/>
                <w:sz w:val="24"/>
                <w:szCs w:val="24"/>
                <w:highlight w:val="none"/>
              </w:rPr>
            </w:pPr>
          </w:p>
        </w:tc>
      </w:tr>
      <w:tr w14:paraId="1AF9B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trPr>
        <w:tc>
          <w:tcPr>
            <w:tcW w:w="866" w:type="dxa"/>
            <w:vMerge w:val="continue"/>
            <w:noWrap w:val="0"/>
            <w:vAlign w:val="center"/>
          </w:tcPr>
          <w:p w14:paraId="2C4CA2C6">
            <w:pPr>
              <w:widowControl/>
              <w:adjustRightInd/>
              <w:jc w:val="center"/>
              <w:rPr>
                <w:rFonts w:hint="eastAsia" w:ascii="宋体" w:hAnsi="宋体" w:eastAsia="宋体" w:cs="宋体"/>
                <w:color w:val="auto"/>
                <w:sz w:val="24"/>
                <w:szCs w:val="24"/>
                <w:highlight w:val="none"/>
              </w:rPr>
            </w:pPr>
          </w:p>
        </w:tc>
        <w:tc>
          <w:tcPr>
            <w:tcW w:w="3257" w:type="dxa"/>
            <w:noWrap w:val="0"/>
            <w:vAlign w:val="center"/>
          </w:tcPr>
          <w:p w14:paraId="1664C992">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出现宣传法轮功、污蔑党和国家等政治事件，未及时制止的。</w:t>
            </w:r>
          </w:p>
        </w:tc>
        <w:tc>
          <w:tcPr>
            <w:tcW w:w="3313" w:type="dxa"/>
            <w:noWrap w:val="0"/>
            <w:vAlign w:val="center"/>
          </w:tcPr>
          <w:p w14:paraId="677C1474">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每1起政治事件的扣减10000元。</w:t>
            </w:r>
          </w:p>
        </w:tc>
        <w:tc>
          <w:tcPr>
            <w:tcW w:w="1091" w:type="dxa"/>
            <w:noWrap w:val="0"/>
            <w:vAlign w:val="center"/>
          </w:tcPr>
          <w:p w14:paraId="1D917114">
            <w:pPr>
              <w:widowControl/>
              <w:adjustRightInd/>
              <w:rPr>
                <w:rFonts w:hint="eastAsia" w:ascii="宋体" w:hAnsi="宋体" w:eastAsia="宋体" w:cs="宋体"/>
                <w:color w:val="auto"/>
                <w:sz w:val="24"/>
                <w:szCs w:val="24"/>
                <w:highlight w:val="none"/>
              </w:rPr>
            </w:pPr>
          </w:p>
        </w:tc>
      </w:tr>
      <w:tr w14:paraId="33D55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6" w:hRule="atLeast"/>
        </w:trPr>
        <w:tc>
          <w:tcPr>
            <w:tcW w:w="866" w:type="dxa"/>
            <w:vMerge w:val="continue"/>
            <w:noWrap w:val="0"/>
            <w:vAlign w:val="center"/>
          </w:tcPr>
          <w:p w14:paraId="425FAFB7">
            <w:pPr>
              <w:widowControl/>
              <w:adjustRightInd/>
              <w:jc w:val="center"/>
              <w:rPr>
                <w:rFonts w:hint="eastAsia" w:ascii="宋体" w:hAnsi="宋体" w:eastAsia="宋体" w:cs="宋体"/>
                <w:color w:val="auto"/>
                <w:sz w:val="24"/>
                <w:szCs w:val="24"/>
                <w:highlight w:val="none"/>
              </w:rPr>
            </w:pPr>
          </w:p>
        </w:tc>
        <w:tc>
          <w:tcPr>
            <w:tcW w:w="3257" w:type="dxa"/>
            <w:noWrap w:val="0"/>
            <w:vAlign w:val="center"/>
          </w:tcPr>
          <w:p w14:paraId="4E6A741C">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出现违法乱搭建、违法用地、非法养殖、非法盗伐等破坏公园生态环境的事件，未及时制止的。</w:t>
            </w:r>
          </w:p>
        </w:tc>
        <w:tc>
          <w:tcPr>
            <w:tcW w:w="3313" w:type="dxa"/>
            <w:noWrap w:val="0"/>
            <w:vAlign w:val="center"/>
          </w:tcPr>
          <w:p w14:paraId="2C36777E">
            <w:pPr>
              <w:widowControl/>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每1起破坏公园生态环境事件的扣减5000元。</w:t>
            </w:r>
          </w:p>
        </w:tc>
        <w:tc>
          <w:tcPr>
            <w:tcW w:w="1091" w:type="dxa"/>
            <w:noWrap w:val="0"/>
            <w:vAlign w:val="center"/>
          </w:tcPr>
          <w:p w14:paraId="5A2C830D">
            <w:pPr>
              <w:widowControl/>
              <w:adjustRightInd/>
              <w:rPr>
                <w:rFonts w:hint="eastAsia" w:ascii="宋体" w:hAnsi="宋体" w:eastAsia="宋体" w:cs="宋体"/>
                <w:color w:val="auto"/>
                <w:sz w:val="24"/>
                <w:szCs w:val="24"/>
                <w:highlight w:val="none"/>
              </w:rPr>
            </w:pPr>
          </w:p>
        </w:tc>
      </w:tr>
      <w:tr w14:paraId="779B6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trPr>
        <w:tc>
          <w:tcPr>
            <w:tcW w:w="866" w:type="dxa"/>
            <w:vMerge w:val="restart"/>
            <w:noWrap w:val="0"/>
            <w:vAlign w:val="center"/>
          </w:tcPr>
          <w:p w14:paraId="2A5941F7">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响应情况</w:t>
            </w:r>
          </w:p>
        </w:tc>
        <w:tc>
          <w:tcPr>
            <w:tcW w:w="3257" w:type="dxa"/>
            <w:noWrap w:val="0"/>
            <w:vAlign w:val="center"/>
          </w:tcPr>
          <w:p w14:paraId="31F94405">
            <w:pPr>
              <w:widowControl w:val="0"/>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园内设施设备发生故障，未在规定时间内完成修复的。</w:t>
            </w:r>
          </w:p>
        </w:tc>
        <w:tc>
          <w:tcPr>
            <w:tcW w:w="3313" w:type="dxa"/>
            <w:noWrap w:val="0"/>
            <w:vAlign w:val="center"/>
          </w:tcPr>
          <w:p w14:paraId="2039D21C">
            <w:pPr>
              <w:widowControl w:val="0"/>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每项每次扣减1000元。</w:t>
            </w:r>
          </w:p>
        </w:tc>
        <w:tc>
          <w:tcPr>
            <w:tcW w:w="1091" w:type="dxa"/>
            <w:noWrap w:val="0"/>
            <w:vAlign w:val="center"/>
          </w:tcPr>
          <w:p w14:paraId="736E7052">
            <w:pPr>
              <w:widowControl/>
              <w:adjustRightInd/>
              <w:rPr>
                <w:rFonts w:hint="eastAsia" w:ascii="宋体" w:hAnsi="宋体" w:eastAsia="宋体" w:cs="宋体"/>
                <w:color w:val="auto"/>
                <w:sz w:val="24"/>
                <w:szCs w:val="24"/>
                <w:highlight w:val="none"/>
              </w:rPr>
            </w:pPr>
          </w:p>
        </w:tc>
      </w:tr>
      <w:tr w14:paraId="2D3AA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trPr>
        <w:tc>
          <w:tcPr>
            <w:tcW w:w="866" w:type="dxa"/>
            <w:vMerge w:val="continue"/>
            <w:noWrap w:val="0"/>
            <w:vAlign w:val="center"/>
          </w:tcPr>
          <w:p w14:paraId="6FCBEB06">
            <w:pPr>
              <w:widowControl/>
              <w:adjustRightInd/>
              <w:jc w:val="center"/>
              <w:rPr>
                <w:rFonts w:hint="eastAsia" w:ascii="宋体" w:hAnsi="宋体" w:eastAsia="宋体" w:cs="宋体"/>
                <w:color w:val="auto"/>
                <w:sz w:val="24"/>
                <w:szCs w:val="24"/>
                <w:highlight w:val="none"/>
              </w:rPr>
            </w:pPr>
          </w:p>
        </w:tc>
        <w:tc>
          <w:tcPr>
            <w:tcW w:w="3257" w:type="dxa"/>
            <w:noWrap w:val="0"/>
            <w:vAlign w:val="center"/>
          </w:tcPr>
          <w:p w14:paraId="7A60EC9B">
            <w:pPr>
              <w:widowControl w:val="0"/>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园区内发生其他问题未及时采取有效措施。</w:t>
            </w:r>
          </w:p>
        </w:tc>
        <w:tc>
          <w:tcPr>
            <w:tcW w:w="3313" w:type="dxa"/>
            <w:noWrap w:val="0"/>
            <w:vAlign w:val="center"/>
          </w:tcPr>
          <w:p w14:paraId="467E4BA3">
            <w:pPr>
              <w:widowControl w:val="0"/>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每次扣减2000元。</w:t>
            </w:r>
          </w:p>
        </w:tc>
        <w:tc>
          <w:tcPr>
            <w:tcW w:w="1091" w:type="dxa"/>
            <w:noWrap w:val="0"/>
            <w:vAlign w:val="center"/>
          </w:tcPr>
          <w:p w14:paraId="42E7C6DA">
            <w:pPr>
              <w:widowControl/>
              <w:adjustRightInd/>
              <w:rPr>
                <w:rFonts w:hint="eastAsia" w:ascii="宋体" w:hAnsi="宋体" w:eastAsia="宋体" w:cs="宋体"/>
                <w:color w:val="auto"/>
                <w:sz w:val="24"/>
                <w:szCs w:val="24"/>
                <w:highlight w:val="none"/>
              </w:rPr>
            </w:pPr>
          </w:p>
        </w:tc>
      </w:tr>
      <w:tr w14:paraId="53141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trPr>
        <w:tc>
          <w:tcPr>
            <w:tcW w:w="866" w:type="dxa"/>
            <w:vMerge w:val="continue"/>
            <w:noWrap w:val="0"/>
            <w:vAlign w:val="center"/>
          </w:tcPr>
          <w:p w14:paraId="45C8D7DB">
            <w:pPr>
              <w:widowControl/>
              <w:adjustRightInd/>
              <w:jc w:val="center"/>
              <w:rPr>
                <w:rFonts w:hint="eastAsia" w:ascii="宋体" w:hAnsi="宋体" w:eastAsia="宋体" w:cs="宋体"/>
                <w:color w:val="auto"/>
                <w:sz w:val="24"/>
                <w:szCs w:val="24"/>
                <w:highlight w:val="none"/>
              </w:rPr>
            </w:pPr>
          </w:p>
        </w:tc>
        <w:tc>
          <w:tcPr>
            <w:tcW w:w="3257" w:type="dxa"/>
            <w:noWrap w:val="0"/>
            <w:vAlign w:val="center"/>
          </w:tcPr>
          <w:p w14:paraId="17B6CE1E">
            <w:pPr>
              <w:widowControl/>
              <w:adjustRightInd/>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应急任务或重大活动保障不力、上级部门、相关部门督查督办</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rPr>
              <w:t>群众举报情况严重并经查证属实</w:t>
            </w:r>
            <w:r>
              <w:rPr>
                <w:rFonts w:hint="eastAsia" w:ascii="宋体" w:hAnsi="宋体" w:eastAsia="宋体" w:cs="宋体"/>
                <w:color w:val="auto"/>
                <w:sz w:val="24"/>
                <w:szCs w:val="24"/>
                <w:highlight w:val="none"/>
                <w:lang w:eastAsia="zh-CN"/>
              </w:rPr>
              <w:t>。</w:t>
            </w:r>
          </w:p>
        </w:tc>
        <w:tc>
          <w:tcPr>
            <w:tcW w:w="3313" w:type="dxa"/>
            <w:noWrap w:val="0"/>
            <w:vAlign w:val="center"/>
          </w:tcPr>
          <w:p w14:paraId="0E345DEE">
            <w:pPr>
              <w:widowControl/>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每次</w:t>
            </w:r>
            <w:r>
              <w:rPr>
                <w:rFonts w:hint="eastAsia" w:ascii="宋体" w:hAnsi="宋体" w:eastAsia="宋体" w:cs="宋体"/>
                <w:color w:val="auto"/>
                <w:sz w:val="24"/>
                <w:szCs w:val="24"/>
                <w:highlight w:val="none"/>
                <w:lang w:eastAsia="zh-CN"/>
              </w:rPr>
              <w:t>视情节轻重</w:t>
            </w:r>
            <w:r>
              <w:rPr>
                <w:rFonts w:hint="eastAsia" w:ascii="宋体" w:hAnsi="宋体" w:eastAsia="宋体" w:cs="宋体"/>
                <w:color w:val="auto"/>
                <w:sz w:val="24"/>
                <w:szCs w:val="24"/>
                <w:highlight w:val="none"/>
              </w:rPr>
              <w:t>扣减</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000</w:t>
            </w:r>
            <w:r>
              <w:rPr>
                <w:rFonts w:hint="eastAsia" w:ascii="宋体" w:hAnsi="宋体" w:eastAsia="宋体" w:cs="宋体"/>
                <w:color w:val="auto"/>
                <w:sz w:val="24"/>
                <w:szCs w:val="24"/>
                <w:highlight w:val="none"/>
                <w:lang w:val="en-US" w:eastAsia="zh-CN"/>
              </w:rPr>
              <w:t>-10000元</w:t>
            </w:r>
            <w:r>
              <w:rPr>
                <w:rFonts w:hint="eastAsia" w:ascii="宋体" w:hAnsi="宋体" w:eastAsia="宋体" w:cs="宋体"/>
                <w:color w:val="auto"/>
                <w:sz w:val="24"/>
                <w:szCs w:val="24"/>
                <w:highlight w:val="none"/>
              </w:rPr>
              <w:t>。</w:t>
            </w:r>
          </w:p>
        </w:tc>
        <w:tc>
          <w:tcPr>
            <w:tcW w:w="1091" w:type="dxa"/>
            <w:noWrap w:val="0"/>
            <w:vAlign w:val="center"/>
          </w:tcPr>
          <w:p w14:paraId="7DF11CBE">
            <w:pPr>
              <w:widowControl/>
              <w:adjustRightInd/>
              <w:rPr>
                <w:rFonts w:hint="eastAsia" w:ascii="宋体" w:hAnsi="宋体" w:eastAsia="宋体" w:cs="宋体"/>
                <w:color w:val="auto"/>
                <w:sz w:val="24"/>
                <w:szCs w:val="24"/>
                <w:highlight w:val="none"/>
              </w:rPr>
            </w:pPr>
          </w:p>
        </w:tc>
      </w:tr>
      <w:tr w14:paraId="282D0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1" w:hRule="atLeast"/>
        </w:trPr>
        <w:tc>
          <w:tcPr>
            <w:tcW w:w="866" w:type="dxa"/>
            <w:vMerge w:val="continue"/>
            <w:noWrap w:val="0"/>
            <w:vAlign w:val="center"/>
          </w:tcPr>
          <w:p w14:paraId="6EBEE847">
            <w:pPr>
              <w:widowControl/>
              <w:adjustRightInd/>
              <w:jc w:val="center"/>
              <w:rPr>
                <w:rFonts w:hint="eastAsia" w:ascii="宋体" w:hAnsi="宋体" w:eastAsia="宋体" w:cs="宋体"/>
                <w:color w:val="auto"/>
                <w:sz w:val="24"/>
                <w:szCs w:val="24"/>
                <w:highlight w:val="none"/>
              </w:rPr>
            </w:pPr>
          </w:p>
        </w:tc>
        <w:tc>
          <w:tcPr>
            <w:tcW w:w="3257" w:type="dxa"/>
            <w:noWrap w:val="0"/>
            <w:vAlign w:val="center"/>
          </w:tcPr>
          <w:p w14:paraId="2D390526">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各类检查、社会投诉信访、媒体曝光等问题未处理或处理不及时，或整改</w:t>
            </w:r>
            <w:r>
              <w:rPr>
                <w:rFonts w:hint="eastAsia" w:ascii="宋体" w:hAnsi="宋体" w:eastAsia="宋体" w:cs="宋体"/>
                <w:color w:val="auto"/>
                <w:sz w:val="24"/>
                <w:szCs w:val="24"/>
                <w:highlight w:val="none"/>
                <w:lang w:eastAsia="zh-CN"/>
              </w:rPr>
              <w:t>不合格</w:t>
            </w:r>
            <w:r>
              <w:rPr>
                <w:rFonts w:hint="eastAsia" w:ascii="宋体" w:hAnsi="宋体" w:eastAsia="宋体" w:cs="宋体"/>
                <w:color w:val="auto"/>
                <w:sz w:val="24"/>
                <w:szCs w:val="24"/>
                <w:highlight w:val="none"/>
              </w:rPr>
              <w:t>等情况。</w:t>
            </w:r>
          </w:p>
        </w:tc>
        <w:tc>
          <w:tcPr>
            <w:tcW w:w="3313" w:type="dxa"/>
            <w:noWrap w:val="0"/>
            <w:vAlign w:val="center"/>
          </w:tcPr>
          <w:p w14:paraId="0143A6B4">
            <w:pPr>
              <w:widowControl/>
              <w:adjustRightInd/>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经核实属</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责任的，每项扣2000元。未在规定时间内整改或整改不合格的，加扣1000元。同一问题重复出现，每次扣减3000元。</w:t>
            </w:r>
          </w:p>
        </w:tc>
        <w:tc>
          <w:tcPr>
            <w:tcW w:w="1091" w:type="dxa"/>
            <w:noWrap w:val="0"/>
            <w:vAlign w:val="center"/>
          </w:tcPr>
          <w:p w14:paraId="0D029CED">
            <w:pPr>
              <w:widowControl/>
              <w:adjustRightInd/>
              <w:rPr>
                <w:rFonts w:hint="eastAsia" w:ascii="宋体" w:hAnsi="宋体" w:eastAsia="宋体" w:cs="宋体"/>
                <w:color w:val="auto"/>
                <w:sz w:val="24"/>
                <w:szCs w:val="24"/>
                <w:highlight w:val="none"/>
              </w:rPr>
            </w:pPr>
          </w:p>
        </w:tc>
      </w:tr>
    </w:tbl>
    <w:p w14:paraId="26DD3AE9">
      <w:pPr>
        <w:widowControl/>
        <w:tabs>
          <w:tab w:val="left" w:pos="851"/>
        </w:tabs>
        <w:adjustRightInd/>
        <w:spacing w:line="360" w:lineRule="auto"/>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注：若相关考核办法和扣罚标准有所调整变化，按最新出台的办法或标准执行。</w:t>
      </w:r>
    </w:p>
    <w:p w14:paraId="367B9E64">
      <w:pPr>
        <w:widowControl/>
        <w:tabs>
          <w:tab w:val="left" w:pos="851"/>
        </w:tabs>
        <w:adjustRightInd/>
        <w:spacing w:line="360" w:lineRule="auto"/>
        <w:ind w:firstLine="482"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③关于项目验收</w:t>
      </w:r>
      <w:r>
        <w:rPr>
          <w:rFonts w:hint="eastAsia" w:ascii="宋体" w:hAnsi="宋体" w:eastAsia="宋体" w:cs="宋体"/>
          <w:bCs/>
          <w:color w:val="auto"/>
          <w:kern w:val="0"/>
          <w:sz w:val="24"/>
          <w:highlight w:val="none"/>
          <w:lang w:val="en-US" w:eastAsia="zh-CN"/>
        </w:rPr>
        <w:t>：合同期满后，采购人对中标人的履约情况进行综合验收评价，中标人应积极配合采购人按政府采购相关规定做好验收工作，及时提供验收相关资料。</w:t>
      </w:r>
    </w:p>
    <w:p w14:paraId="4F4B15B2">
      <w:pPr>
        <w:widowControl/>
        <w:tabs>
          <w:tab w:val="left" w:pos="851"/>
        </w:tabs>
        <w:adjustRightInd/>
        <w:spacing w:line="360" w:lineRule="auto"/>
        <w:outlineLvl w:val="1"/>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（二）考核标准</w:t>
      </w:r>
    </w:p>
    <w:p w14:paraId="712EA38C">
      <w:pPr>
        <w:widowControl/>
        <w:tabs>
          <w:tab w:val="left" w:pos="851"/>
        </w:tabs>
        <w:adjustRightInd/>
        <w:spacing w:line="360" w:lineRule="auto"/>
        <w:jc w:val="center"/>
        <w:rPr>
          <w:rFonts w:hint="eastAsia" w:ascii="宋体" w:hAnsi="宋体" w:eastAsia="宋体" w:cs="宋体"/>
          <w:b/>
          <w:color w:val="auto"/>
          <w:kern w:val="0"/>
          <w:sz w:val="24"/>
          <w:szCs w:val="24"/>
          <w:highlight w:val="none"/>
          <w:lang w:val="en-US" w:eastAsia="zh-CN"/>
        </w:rPr>
      </w:pPr>
      <w:r>
        <w:rPr>
          <w:rFonts w:hint="eastAsia" w:ascii="宋体" w:hAnsi="宋体" w:eastAsia="宋体" w:cs="宋体"/>
          <w:b/>
          <w:bCs w:val="0"/>
          <w:color w:val="auto"/>
          <w:sz w:val="24"/>
          <w:szCs w:val="24"/>
          <w:highlight w:val="none"/>
          <w:lang w:val="en-US" w:eastAsia="zh-CN"/>
        </w:rPr>
        <w:t>综合公园月度考核标准（固定支付部分）</w:t>
      </w:r>
    </w:p>
    <w:tbl>
      <w:tblPr>
        <w:tblStyle w:val="62"/>
        <w:tblW w:w="90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1"/>
        <w:gridCol w:w="4477"/>
        <w:gridCol w:w="1962"/>
        <w:gridCol w:w="1125"/>
      </w:tblGrid>
      <w:tr w14:paraId="2DE7F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1" w:type="dxa"/>
            <w:tcBorders>
              <w:top w:val="single" w:color="auto" w:sz="4" w:space="0"/>
              <w:left w:val="single" w:color="auto" w:sz="4" w:space="0"/>
              <w:bottom w:val="single" w:color="auto" w:sz="4" w:space="0"/>
              <w:right w:val="single" w:color="auto" w:sz="4" w:space="0"/>
            </w:tcBorders>
            <w:noWrap w:val="0"/>
            <w:vAlign w:val="center"/>
          </w:tcPr>
          <w:p w14:paraId="3F48CC1B">
            <w:pPr>
              <w:widowControl/>
              <w:adjustRightInd/>
              <w:ind w:left="-420" w:leftChars="-200" w:firstLine="0" w:firstLineChars="0"/>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项目</w:t>
            </w:r>
          </w:p>
        </w:tc>
        <w:tc>
          <w:tcPr>
            <w:tcW w:w="4477" w:type="dxa"/>
            <w:tcBorders>
              <w:top w:val="single" w:color="auto" w:sz="4" w:space="0"/>
              <w:left w:val="single" w:color="auto" w:sz="4" w:space="0"/>
              <w:bottom w:val="single" w:color="auto" w:sz="4" w:space="0"/>
              <w:right w:val="single" w:color="auto" w:sz="4" w:space="0"/>
            </w:tcBorders>
            <w:noWrap w:val="0"/>
            <w:vAlign w:val="center"/>
          </w:tcPr>
          <w:p w14:paraId="34AE7D12">
            <w:pPr>
              <w:widowControl/>
              <w:adjustRightInd/>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问题项</w:t>
            </w:r>
          </w:p>
        </w:tc>
        <w:tc>
          <w:tcPr>
            <w:tcW w:w="1962" w:type="dxa"/>
            <w:tcBorders>
              <w:top w:val="single" w:color="auto" w:sz="4" w:space="0"/>
              <w:left w:val="single" w:color="auto" w:sz="4" w:space="0"/>
              <w:bottom w:val="single" w:color="auto" w:sz="4" w:space="0"/>
              <w:right w:val="single" w:color="auto" w:sz="4" w:space="0"/>
            </w:tcBorders>
            <w:noWrap w:val="0"/>
            <w:vAlign w:val="center"/>
          </w:tcPr>
          <w:p w14:paraId="7CD41791">
            <w:pPr>
              <w:widowControl/>
              <w:adjustRightInd/>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扣罚标准</w:t>
            </w:r>
          </w:p>
        </w:tc>
        <w:tc>
          <w:tcPr>
            <w:tcW w:w="1125" w:type="dxa"/>
            <w:tcBorders>
              <w:top w:val="single" w:color="auto" w:sz="4" w:space="0"/>
              <w:left w:val="single" w:color="auto" w:sz="4" w:space="0"/>
              <w:bottom w:val="single" w:color="auto" w:sz="4" w:space="0"/>
              <w:right w:val="single" w:color="auto" w:sz="4" w:space="0"/>
            </w:tcBorders>
            <w:noWrap w:val="0"/>
            <w:vAlign w:val="center"/>
          </w:tcPr>
          <w:p w14:paraId="5740520D">
            <w:pPr>
              <w:widowControl/>
              <w:adjustRightInd/>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分值</w:t>
            </w:r>
          </w:p>
        </w:tc>
      </w:tr>
      <w:tr w14:paraId="7CA87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085" w:type="dxa"/>
            <w:gridSpan w:val="4"/>
            <w:tcBorders>
              <w:top w:val="single" w:color="auto" w:sz="4" w:space="0"/>
              <w:left w:val="single" w:color="auto" w:sz="4" w:space="0"/>
              <w:bottom w:val="single" w:color="auto" w:sz="4" w:space="0"/>
              <w:right w:val="single" w:color="auto" w:sz="4" w:space="0"/>
            </w:tcBorders>
            <w:shd w:val="clear" w:color="auto" w:fill="D7D7D7"/>
            <w:noWrap w:val="0"/>
            <w:vAlign w:val="center"/>
          </w:tcPr>
          <w:p w14:paraId="7BC55C3F">
            <w:pPr>
              <w:widowControl/>
              <w:adjustRightInd/>
              <w:jc w:val="left"/>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（一）园容园貌（</w:t>
            </w:r>
            <w:r>
              <w:rPr>
                <w:rFonts w:hint="eastAsia" w:ascii="宋体" w:hAnsi="宋体" w:eastAsia="宋体" w:cs="宋体"/>
                <w:b/>
                <w:color w:val="auto"/>
                <w:sz w:val="24"/>
                <w:szCs w:val="24"/>
                <w:highlight w:val="none"/>
                <w:lang w:val="en-US" w:eastAsia="zh-CN"/>
              </w:rPr>
              <w:t>40分</w:t>
            </w:r>
            <w:r>
              <w:rPr>
                <w:rFonts w:hint="eastAsia" w:ascii="宋体" w:hAnsi="宋体" w:eastAsia="宋体" w:cs="宋体"/>
                <w:b/>
                <w:color w:val="auto"/>
                <w:sz w:val="24"/>
                <w:szCs w:val="24"/>
                <w:highlight w:val="none"/>
                <w:lang w:eastAsia="zh-CN"/>
              </w:rPr>
              <w:t>）</w:t>
            </w:r>
          </w:p>
        </w:tc>
      </w:tr>
      <w:tr w14:paraId="7980A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521" w:type="dxa"/>
            <w:vMerge w:val="restart"/>
            <w:tcBorders>
              <w:top w:val="single" w:color="auto" w:sz="4" w:space="0"/>
              <w:left w:val="single" w:color="auto" w:sz="4" w:space="0"/>
              <w:right w:val="single" w:color="auto" w:sz="4" w:space="0"/>
            </w:tcBorders>
            <w:noWrap w:val="0"/>
            <w:vAlign w:val="center"/>
          </w:tcPr>
          <w:p w14:paraId="7539CBA7">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绿化养护</w:t>
            </w:r>
          </w:p>
        </w:tc>
        <w:tc>
          <w:tcPr>
            <w:tcW w:w="4477" w:type="dxa"/>
            <w:tcBorders>
              <w:top w:val="single" w:color="auto" w:sz="4" w:space="0"/>
              <w:left w:val="single" w:color="auto" w:sz="4" w:space="0"/>
              <w:bottom w:val="single" w:color="auto" w:sz="4" w:space="0"/>
              <w:right w:val="single" w:color="auto" w:sz="4" w:space="0"/>
            </w:tcBorders>
            <w:noWrap w:val="0"/>
            <w:vAlign w:val="center"/>
          </w:tcPr>
          <w:p w14:paraId="7C650012">
            <w:pPr>
              <w:widowControl/>
              <w:adjustRightInd/>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.1植株长势不良，水肥不及时，树冠不完整或偏冠</w:t>
            </w:r>
            <w:r>
              <w:rPr>
                <w:rFonts w:hint="eastAsia" w:ascii="宋体" w:hAnsi="宋体" w:eastAsia="宋体" w:cs="宋体"/>
                <w:color w:val="auto"/>
                <w:sz w:val="24"/>
                <w:szCs w:val="24"/>
                <w:highlight w:val="none"/>
                <w:lang w:eastAsia="zh-CN"/>
              </w:rPr>
              <w:t>。</w:t>
            </w:r>
          </w:p>
          <w:p w14:paraId="7F902449">
            <w:pPr>
              <w:widowControl/>
              <w:adjustRightInd/>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修剪不及时、不规范，影响植株生长及景观效果</w:t>
            </w:r>
            <w:r>
              <w:rPr>
                <w:rFonts w:hint="eastAsia" w:ascii="宋体" w:hAnsi="宋体" w:eastAsia="宋体" w:cs="宋体"/>
                <w:color w:val="auto"/>
                <w:sz w:val="24"/>
                <w:szCs w:val="24"/>
                <w:highlight w:val="none"/>
                <w:lang w:eastAsia="zh-CN"/>
              </w:rPr>
              <w:t>。</w:t>
            </w:r>
          </w:p>
          <w:p w14:paraId="36E259F5">
            <w:pPr>
              <w:widowControl/>
              <w:adjustRightInd/>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1.3</w:t>
            </w:r>
            <w:r>
              <w:rPr>
                <w:rFonts w:hint="eastAsia" w:ascii="宋体" w:hAnsi="宋体" w:eastAsia="宋体" w:cs="宋体"/>
                <w:color w:val="auto"/>
                <w:sz w:val="24"/>
                <w:szCs w:val="24"/>
                <w:highlight w:val="none"/>
              </w:rPr>
              <w:t>植株支撑不合理、不规范，铁丝裸露、内嵌、草绳腐烂等影响植株正常生长</w:t>
            </w:r>
            <w:r>
              <w:rPr>
                <w:rFonts w:hint="eastAsia" w:ascii="宋体" w:hAnsi="宋体" w:eastAsia="宋体" w:cs="宋体"/>
                <w:color w:val="auto"/>
                <w:sz w:val="24"/>
                <w:szCs w:val="24"/>
                <w:highlight w:val="none"/>
                <w:lang w:eastAsia="zh-CN"/>
              </w:rPr>
              <w:t>。</w:t>
            </w:r>
          </w:p>
          <w:p w14:paraId="75922E33">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1.4</w:t>
            </w:r>
            <w:r>
              <w:rPr>
                <w:rFonts w:hint="eastAsia" w:ascii="宋体" w:hAnsi="宋体" w:eastAsia="宋体" w:cs="宋体"/>
                <w:color w:val="auto"/>
                <w:sz w:val="24"/>
                <w:szCs w:val="24"/>
                <w:highlight w:val="none"/>
              </w:rPr>
              <w:t>植株倾斜倒伏，影响景观效果。</w:t>
            </w:r>
          </w:p>
          <w:p w14:paraId="2A1F348E">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缺株、死树、残桩未及时处理。</w:t>
            </w:r>
          </w:p>
        </w:tc>
        <w:tc>
          <w:tcPr>
            <w:tcW w:w="1962" w:type="dxa"/>
            <w:vMerge w:val="restart"/>
            <w:tcBorders>
              <w:top w:val="single" w:color="auto" w:sz="4" w:space="0"/>
              <w:left w:val="single" w:color="auto" w:sz="4" w:space="0"/>
              <w:right w:val="single" w:color="auto" w:sz="4" w:space="0"/>
            </w:tcBorders>
            <w:noWrap w:val="0"/>
            <w:vAlign w:val="center"/>
          </w:tcPr>
          <w:p w14:paraId="573DE67C">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每发现1株或1㎡扣0.2分（当月累计扣分）。</w:t>
            </w:r>
          </w:p>
        </w:tc>
        <w:tc>
          <w:tcPr>
            <w:tcW w:w="1125" w:type="dxa"/>
            <w:vMerge w:val="restart"/>
            <w:tcBorders>
              <w:top w:val="single" w:color="auto" w:sz="4" w:space="0"/>
              <w:left w:val="single" w:color="auto" w:sz="4" w:space="0"/>
              <w:right w:val="single" w:color="auto" w:sz="4" w:space="0"/>
            </w:tcBorders>
            <w:noWrap w:val="0"/>
            <w:vAlign w:val="center"/>
          </w:tcPr>
          <w:p w14:paraId="25A38CFC">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p>
        </w:tc>
      </w:tr>
      <w:tr w14:paraId="11F56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521" w:type="dxa"/>
            <w:vMerge w:val="continue"/>
            <w:tcBorders>
              <w:left w:val="single" w:color="auto" w:sz="4" w:space="0"/>
              <w:right w:val="single" w:color="auto" w:sz="4" w:space="0"/>
            </w:tcBorders>
            <w:noWrap w:val="0"/>
            <w:vAlign w:val="center"/>
          </w:tcPr>
          <w:p w14:paraId="5ED49CE3">
            <w:pPr>
              <w:widowControl/>
              <w:adjustRightInd/>
              <w:jc w:val="center"/>
              <w:rPr>
                <w:rFonts w:hint="eastAsia" w:ascii="宋体" w:hAnsi="宋体" w:eastAsia="宋体" w:cs="宋体"/>
                <w:color w:val="auto"/>
                <w:sz w:val="24"/>
                <w:szCs w:val="24"/>
                <w:highlight w:val="none"/>
                <w:lang w:val="en-US" w:eastAsia="zh-CN"/>
              </w:rPr>
            </w:pPr>
          </w:p>
        </w:tc>
        <w:tc>
          <w:tcPr>
            <w:tcW w:w="4477" w:type="dxa"/>
            <w:tcBorders>
              <w:top w:val="single" w:color="auto" w:sz="4" w:space="0"/>
              <w:left w:val="single" w:color="auto" w:sz="4" w:space="0"/>
              <w:bottom w:val="single" w:color="auto" w:sz="4" w:space="0"/>
              <w:right w:val="single" w:color="auto" w:sz="4" w:space="0"/>
            </w:tcBorders>
            <w:noWrap w:val="0"/>
            <w:vAlign w:val="center"/>
          </w:tcPr>
          <w:p w14:paraId="5EF7AE68">
            <w:pPr>
              <w:widowControl/>
              <w:adjustRightInd/>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修剪不合理、不及时、不规范，有明显窜枝、高度过高等现象</w:t>
            </w:r>
            <w:r>
              <w:rPr>
                <w:rFonts w:hint="eastAsia" w:ascii="宋体" w:hAnsi="宋体" w:eastAsia="宋体" w:cs="宋体"/>
                <w:color w:val="auto"/>
                <w:sz w:val="24"/>
                <w:szCs w:val="24"/>
                <w:highlight w:val="none"/>
                <w:lang w:eastAsia="zh-CN"/>
              </w:rPr>
              <w:t>。</w:t>
            </w:r>
          </w:p>
          <w:p w14:paraId="353B9BE6">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有杂草、藤蔓覆盖、野株等。</w:t>
            </w:r>
          </w:p>
          <w:p w14:paraId="68C75367">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死缺株、种植品种不统一、杂乱、密度不够。</w:t>
            </w:r>
          </w:p>
          <w:p w14:paraId="3DDE6064">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生长不良、水肥不及时、老化严重。</w:t>
            </w:r>
          </w:p>
        </w:tc>
        <w:tc>
          <w:tcPr>
            <w:tcW w:w="1962" w:type="dxa"/>
            <w:vMerge w:val="continue"/>
            <w:tcBorders>
              <w:left w:val="single" w:color="auto" w:sz="4" w:space="0"/>
              <w:right w:val="single" w:color="auto" w:sz="4" w:space="0"/>
            </w:tcBorders>
            <w:noWrap w:val="0"/>
            <w:vAlign w:val="center"/>
          </w:tcPr>
          <w:p w14:paraId="6B43314F">
            <w:pPr>
              <w:widowControl/>
              <w:adjustRightInd/>
              <w:jc w:val="left"/>
              <w:rPr>
                <w:rFonts w:hint="eastAsia" w:ascii="宋体" w:hAnsi="宋体" w:eastAsia="宋体" w:cs="宋体"/>
                <w:color w:val="auto"/>
                <w:sz w:val="24"/>
                <w:szCs w:val="24"/>
                <w:highlight w:val="none"/>
                <w:lang w:val="en-US" w:eastAsia="zh-CN"/>
              </w:rPr>
            </w:pPr>
          </w:p>
        </w:tc>
        <w:tc>
          <w:tcPr>
            <w:tcW w:w="1125" w:type="dxa"/>
            <w:vMerge w:val="continue"/>
            <w:tcBorders>
              <w:left w:val="single" w:color="auto" w:sz="4" w:space="0"/>
              <w:right w:val="single" w:color="auto" w:sz="4" w:space="0"/>
            </w:tcBorders>
            <w:noWrap w:val="0"/>
            <w:vAlign w:val="center"/>
          </w:tcPr>
          <w:p w14:paraId="2F7A2699">
            <w:pPr>
              <w:widowControl/>
              <w:adjustRightInd/>
              <w:jc w:val="center"/>
              <w:rPr>
                <w:rFonts w:hint="eastAsia" w:ascii="宋体" w:hAnsi="宋体" w:eastAsia="宋体" w:cs="宋体"/>
                <w:color w:val="auto"/>
                <w:sz w:val="24"/>
                <w:szCs w:val="24"/>
                <w:highlight w:val="none"/>
                <w:lang w:val="en-US" w:eastAsia="zh-CN"/>
              </w:rPr>
            </w:pPr>
          </w:p>
        </w:tc>
      </w:tr>
      <w:tr w14:paraId="32236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521" w:type="dxa"/>
            <w:vMerge w:val="continue"/>
            <w:tcBorders>
              <w:left w:val="single" w:color="auto" w:sz="4" w:space="0"/>
              <w:right w:val="single" w:color="auto" w:sz="4" w:space="0"/>
            </w:tcBorders>
            <w:noWrap w:val="0"/>
            <w:vAlign w:val="center"/>
          </w:tcPr>
          <w:p w14:paraId="2868D897">
            <w:pPr>
              <w:widowControl/>
              <w:adjustRightInd/>
              <w:jc w:val="center"/>
              <w:rPr>
                <w:rFonts w:hint="eastAsia" w:ascii="宋体" w:hAnsi="宋体" w:eastAsia="宋体" w:cs="宋体"/>
                <w:color w:val="auto"/>
                <w:sz w:val="24"/>
                <w:szCs w:val="24"/>
                <w:highlight w:val="none"/>
                <w:lang w:val="en-US" w:eastAsia="zh-CN"/>
              </w:rPr>
            </w:pPr>
          </w:p>
        </w:tc>
        <w:tc>
          <w:tcPr>
            <w:tcW w:w="4477" w:type="dxa"/>
            <w:tcBorders>
              <w:top w:val="single" w:color="auto" w:sz="4" w:space="0"/>
              <w:left w:val="single" w:color="auto" w:sz="4" w:space="0"/>
              <w:bottom w:val="single" w:color="auto" w:sz="4" w:space="0"/>
              <w:right w:val="single" w:color="auto" w:sz="4" w:space="0"/>
            </w:tcBorders>
            <w:noWrap w:val="0"/>
            <w:vAlign w:val="center"/>
          </w:tcPr>
          <w:p w14:paraId="3AE3023F">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草坪未及时修剪或修剪不规范。</w:t>
            </w:r>
          </w:p>
          <w:p w14:paraId="1EEF1401">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草坪、地被生长不良，反季节枯黄，大面积死亡。</w:t>
            </w:r>
          </w:p>
          <w:p w14:paraId="18063091">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裸地、杂草、积水。</w:t>
            </w:r>
          </w:p>
          <w:p w14:paraId="1E1152AF">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13</w:t>
            </w:r>
            <w:r>
              <w:rPr>
                <w:rFonts w:hint="eastAsia" w:ascii="宋体" w:hAnsi="宋体" w:eastAsia="宋体" w:cs="宋体"/>
                <w:color w:val="auto"/>
                <w:sz w:val="24"/>
                <w:szCs w:val="24"/>
                <w:highlight w:val="none"/>
              </w:rPr>
              <w:t>草花更换不及时、密度不够、黄土裸露、残花败叶、整体景观效果不佳。</w:t>
            </w:r>
          </w:p>
        </w:tc>
        <w:tc>
          <w:tcPr>
            <w:tcW w:w="1962" w:type="dxa"/>
            <w:vMerge w:val="continue"/>
            <w:tcBorders>
              <w:left w:val="single" w:color="auto" w:sz="4" w:space="0"/>
              <w:right w:val="single" w:color="auto" w:sz="4" w:space="0"/>
            </w:tcBorders>
            <w:noWrap w:val="0"/>
            <w:vAlign w:val="center"/>
          </w:tcPr>
          <w:p w14:paraId="07F15769">
            <w:pPr>
              <w:widowControl/>
              <w:adjustRightInd/>
              <w:jc w:val="left"/>
              <w:rPr>
                <w:rFonts w:hint="eastAsia" w:ascii="宋体" w:hAnsi="宋体" w:eastAsia="宋体" w:cs="宋体"/>
                <w:color w:val="auto"/>
                <w:sz w:val="24"/>
                <w:szCs w:val="24"/>
                <w:highlight w:val="none"/>
                <w:lang w:val="en-US" w:eastAsia="zh-CN"/>
              </w:rPr>
            </w:pPr>
          </w:p>
        </w:tc>
        <w:tc>
          <w:tcPr>
            <w:tcW w:w="1125" w:type="dxa"/>
            <w:vMerge w:val="continue"/>
            <w:tcBorders>
              <w:left w:val="single" w:color="auto" w:sz="4" w:space="0"/>
              <w:right w:val="single" w:color="auto" w:sz="4" w:space="0"/>
            </w:tcBorders>
            <w:noWrap w:val="0"/>
            <w:vAlign w:val="center"/>
          </w:tcPr>
          <w:p w14:paraId="6E05570E">
            <w:pPr>
              <w:widowControl/>
              <w:adjustRightInd/>
              <w:jc w:val="center"/>
              <w:rPr>
                <w:rFonts w:hint="eastAsia" w:ascii="宋体" w:hAnsi="宋体" w:eastAsia="宋体" w:cs="宋体"/>
                <w:color w:val="auto"/>
                <w:sz w:val="24"/>
                <w:szCs w:val="24"/>
                <w:highlight w:val="none"/>
                <w:lang w:val="en-US" w:eastAsia="zh-CN"/>
              </w:rPr>
            </w:pPr>
          </w:p>
        </w:tc>
      </w:tr>
      <w:tr w14:paraId="30B93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521" w:type="dxa"/>
            <w:vMerge w:val="continue"/>
            <w:tcBorders>
              <w:left w:val="single" w:color="auto" w:sz="4" w:space="0"/>
              <w:right w:val="single" w:color="auto" w:sz="4" w:space="0"/>
            </w:tcBorders>
            <w:noWrap w:val="0"/>
            <w:vAlign w:val="center"/>
          </w:tcPr>
          <w:p w14:paraId="60EDD605">
            <w:pPr>
              <w:widowControl/>
              <w:adjustRightInd/>
              <w:jc w:val="center"/>
              <w:rPr>
                <w:rFonts w:hint="eastAsia" w:ascii="宋体" w:hAnsi="宋体" w:eastAsia="宋体" w:cs="宋体"/>
                <w:color w:val="auto"/>
                <w:sz w:val="24"/>
                <w:szCs w:val="24"/>
                <w:highlight w:val="none"/>
                <w:lang w:val="en-US" w:eastAsia="zh-CN"/>
              </w:rPr>
            </w:pPr>
          </w:p>
        </w:tc>
        <w:tc>
          <w:tcPr>
            <w:tcW w:w="4477" w:type="dxa"/>
            <w:tcBorders>
              <w:top w:val="single" w:color="auto" w:sz="4" w:space="0"/>
              <w:left w:val="single" w:color="auto" w:sz="4" w:space="0"/>
              <w:bottom w:val="single" w:color="auto" w:sz="4" w:space="0"/>
              <w:right w:val="single" w:color="auto" w:sz="4" w:space="0"/>
            </w:tcBorders>
            <w:noWrap w:val="0"/>
            <w:vAlign w:val="center"/>
          </w:tcPr>
          <w:p w14:paraId="2880156D">
            <w:pPr>
              <w:widowControl/>
              <w:adjustRightInd/>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14</w:t>
            </w:r>
            <w:r>
              <w:rPr>
                <w:rFonts w:hint="eastAsia" w:ascii="宋体" w:hAnsi="宋体" w:eastAsia="宋体" w:cs="宋体"/>
                <w:color w:val="auto"/>
                <w:sz w:val="24"/>
                <w:szCs w:val="24"/>
                <w:highlight w:val="none"/>
              </w:rPr>
              <w:t>有严重病虫害为害的，叶上有大面积虫粪虫网灰尘的</w:t>
            </w:r>
            <w:r>
              <w:rPr>
                <w:rFonts w:hint="eastAsia" w:ascii="宋体" w:hAnsi="宋体" w:eastAsia="宋体" w:cs="宋体"/>
                <w:color w:val="auto"/>
                <w:sz w:val="24"/>
                <w:szCs w:val="24"/>
                <w:highlight w:val="none"/>
                <w:lang w:eastAsia="zh-CN"/>
              </w:rPr>
              <w:t>。</w:t>
            </w:r>
          </w:p>
          <w:p w14:paraId="724C11F0">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季节性防护措施不到位，不规范，影响植物正常生长，如防冻防晒措施、涂白等。</w:t>
            </w:r>
          </w:p>
        </w:tc>
        <w:tc>
          <w:tcPr>
            <w:tcW w:w="1962" w:type="dxa"/>
            <w:vMerge w:val="continue"/>
            <w:tcBorders>
              <w:left w:val="single" w:color="auto" w:sz="4" w:space="0"/>
              <w:right w:val="single" w:color="auto" w:sz="4" w:space="0"/>
            </w:tcBorders>
            <w:noWrap w:val="0"/>
            <w:vAlign w:val="center"/>
          </w:tcPr>
          <w:p w14:paraId="2438051E">
            <w:pPr>
              <w:widowControl/>
              <w:adjustRightInd/>
              <w:jc w:val="left"/>
              <w:rPr>
                <w:rFonts w:hint="eastAsia" w:ascii="宋体" w:hAnsi="宋体" w:eastAsia="宋体" w:cs="宋体"/>
                <w:color w:val="auto"/>
                <w:kern w:val="2"/>
                <w:sz w:val="24"/>
                <w:szCs w:val="24"/>
                <w:highlight w:val="none"/>
                <w:lang w:val="en-US" w:eastAsia="zh-CN" w:bidi="ar-SA"/>
              </w:rPr>
            </w:pPr>
          </w:p>
        </w:tc>
        <w:tc>
          <w:tcPr>
            <w:tcW w:w="1125" w:type="dxa"/>
            <w:vMerge w:val="continue"/>
            <w:tcBorders>
              <w:left w:val="single" w:color="auto" w:sz="4" w:space="0"/>
              <w:right w:val="single" w:color="auto" w:sz="4" w:space="0"/>
            </w:tcBorders>
            <w:noWrap w:val="0"/>
            <w:vAlign w:val="center"/>
          </w:tcPr>
          <w:p w14:paraId="24FC4E90">
            <w:pPr>
              <w:widowControl/>
              <w:adjustRightInd/>
              <w:jc w:val="center"/>
              <w:rPr>
                <w:rFonts w:hint="eastAsia" w:ascii="宋体" w:hAnsi="宋体" w:eastAsia="宋体" w:cs="宋体"/>
                <w:color w:val="auto"/>
                <w:sz w:val="24"/>
                <w:szCs w:val="24"/>
                <w:highlight w:val="none"/>
                <w:lang w:val="en-US" w:eastAsia="zh-CN"/>
              </w:rPr>
            </w:pPr>
          </w:p>
        </w:tc>
      </w:tr>
      <w:tr w14:paraId="5602E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521" w:type="dxa"/>
            <w:vMerge w:val="restart"/>
            <w:tcBorders>
              <w:top w:val="single" w:color="auto" w:sz="4" w:space="0"/>
              <w:left w:val="single" w:color="auto" w:sz="4" w:space="0"/>
              <w:right w:val="single" w:color="auto" w:sz="4" w:space="0"/>
            </w:tcBorders>
            <w:noWrap w:val="0"/>
            <w:vAlign w:val="center"/>
          </w:tcPr>
          <w:p w14:paraId="48A2714E">
            <w:pPr>
              <w:widowControl/>
              <w:adjustRightInd/>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园容</w:t>
            </w:r>
            <w:r>
              <w:rPr>
                <w:rFonts w:hint="eastAsia" w:ascii="宋体" w:hAnsi="宋体" w:eastAsia="宋体" w:cs="宋体"/>
                <w:color w:val="auto"/>
                <w:sz w:val="24"/>
                <w:szCs w:val="24"/>
                <w:highlight w:val="none"/>
              </w:rPr>
              <w:t>保洁</w:t>
            </w:r>
          </w:p>
        </w:tc>
        <w:tc>
          <w:tcPr>
            <w:tcW w:w="4477" w:type="dxa"/>
            <w:tcBorders>
              <w:top w:val="single" w:color="auto" w:sz="4" w:space="0"/>
              <w:left w:val="single" w:color="auto" w:sz="4" w:space="0"/>
              <w:bottom w:val="single" w:color="auto" w:sz="4" w:space="0"/>
              <w:right w:val="single" w:color="auto" w:sz="4" w:space="0"/>
            </w:tcBorders>
            <w:noWrap w:val="0"/>
            <w:vAlign w:val="center"/>
          </w:tcPr>
          <w:p w14:paraId="019E5A17">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1.16园内各类</w:t>
            </w:r>
            <w:r>
              <w:rPr>
                <w:rFonts w:hint="eastAsia" w:ascii="宋体" w:hAnsi="宋体" w:eastAsia="宋体" w:cs="宋体"/>
                <w:color w:val="auto"/>
                <w:sz w:val="24"/>
                <w:szCs w:val="24"/>
                <w:highlight w:val="none"/>
              </w:rPr>
              <w:t>园椅</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园凳、果壳箱、标识牌、灯杆、雕塑、栏杆、景观灯、游乐设施等存在</w:t>
            </w:r>
            <w:r>
              <w:rPr>
                <w:rFonts w:hint="eastAsia" w:ascii="宋体" w:hAnsi="宋体" w:eastAsia="宋体" w:cs="宋体"/>
                <w:color w:val="auto"/>
                <w:sz w:val="24"/>
                <w:szCs w:val="24"/>
                <w:highlight w:val="none"/>
              </w:rPr>
              <w:t>明显灰尘</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蜘蛛网、</w:t>
            </w:r>
            <w:r>
              <w:rPr>
                <w:rFonts w:hint="eastAsia" w:ascii="宋体" w:hAnsi="宋体" w:eastAsia="宋体" w:cs="宋体"/>
                <w:color w:val="auto"/>
                <w:sz w:val="24"/>
                <w:szCs w:val="24"/>
                <w:highlight w:val="none"/>
              </w:rPr>
              <w:t>污渍</w:t>
            </w:r>
            <w:r>
              <w:rPr>
                <w:rFonts w:hint="eastAsia" w:ascii="宋体" w:hAnsi="宋体" w:eastAsia="宋体" w:cs="宋体"/>
                <w:color w:val="auto"/>
                <w:sz w:val="24"/>
                <w:szCs w:val="24"/>
                <w:highlight w:val="none"/>
                <w:lang w:val="en-US" w:eastAsia="zh-CN"/>
              </w:rPr>
              <w:t>或垃圾</w:t>
            </w:r>
            <w:r>
              <w:rPr>
                <w:rFonts w:hint="eastAsia" w:ascii="宋体" w:hAnsi="宋体" w:eastAsia="宋体" w:cs="宋体"/>
                <w:color w:val="auto"/>
                <w:sz w:val="24"/>
                <w:szCs w:val="24"/>
                <w:highlight w:val="none"/>
                <w:lang w:eastAsia="zh-CN"/>
              </w:rPr>
              <w:t>。</w:t>
            </w:r>
          </w:p>
        </w:tc>
        <w:tc>
          <w:tcPr>
            <w:tcW w:w="1962" w:type="dxa"/>
            <w:vMerge w:val="restart"/>
            <w:tcBorders>
              <w:top w:val="single" w:color="auto" w:sz="4" w:space="0"/>
              <w:left w:val="single" w:color="auto" w:sz="4" w:space="0"/>
              <w:right w:val="single" w:color="auto" w:sz="4" w:space="0"/>
            </w:tcBorders>
            <w:noWrap w:val="0"/>
            <w:vAlign w:val="center"/>
          </w:tcPr>
          <w:p w14:paraId="527D2AAD">
            <w:pPr>
              <w:widowControl/>
              <w:adjustRightInd/>
              <w:jc w:val="left"/>
              <w:rPr>
                <w:rFonts w:hint="eastAsia" w:ascii="宋体" w:hAnsi="宋体" w:eastAsia="宋体" w:cs="宋体"/>
                <w:color w:val="auto"/>
                <w:kern w:val="2"/>
                <w:sz w:val="24"/>
                <w:szCs w:val="24"/>
                <w:highlight w:val="none"/>
                <w:lang w:val="en-US" w:eastAsia="zh-CN" w:bidi="ar-SA"/>
              </w:rPr>
            </w:pPr>
          </w:p>
          <w:p w14:paraId="0158EFD3">
            <w:pPr>
              <w:widowControl/>
              <w:adjustRightInd/>
              <w:jc w:val="left"/>
              <w:rPr>
                <w:rFonts w:hint="eastAsia" w:ascii="宋体" w:hAnsi="宋体" w:eastAsia="宋体" w:cs="宋体"/>
                <w:color w:val="auto"/>
                <w:sz w:val="24"/>
                <w:szCs w:val="24"/>
                <w:highlight w:val="none"/>
                <w:lang w:val="en-US" w:eastAsia="zh-CN"/>
              </w:rPr>
            </w:pPr>
          </w:p>
          <w:p w14:paraId="47BD4B2E">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每发现一次扣0.5分（当月累计扣分）。</w:t>
            </w:r>
          </w:p>
        </w:tc>
        <w:tc>
          <w:tcPr>
            <w:tcW w:w="1125" w:type="dxa"/>
            <w:vMerge w:val="restart"/>
            <w:tcBorders>
              <w:top w:val="single" w:color="auto" w:sz="4" w:space="0"/>
              <w:left w:val="single" w:color="auto" w:sz="4" w:space="0"/>
              <w:right w:val="single" w:color="auto" w:sz="4" w:space="0"/>
            </w:tcBorders>
            <w:noWrap w:val="0"/>
            <w:vAlign w:val="center"/>
          </w:tcPr>
          <w:p w14:paraId="606388EC">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r>
      <w:tr w14:paraId="69ADF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521" w:type="dxa"/>
            <w:vMerge w:val="continue"/>
            <w:tcBorders>
              <w:left w:val="single" w:color="auto" w:sz="4" w:space="0"/>
              <w:right w:val="single" w:color="auto" w:sz="4" w:space="0"/>
            </w:tcBorders>
            <w:noWrap w:val="0"/>
            <w:vAlign w:val="center"/>
          </w:tcPr>
          <w:p w14:paraId="4CC04F94">
            <w:pPr>
              <w:widowControl/>
              <w:adjustRightInd/>
              <w:jc w:val="center"/>
              <w:rPr>
                <w:rFonts w:hint="eastAsia" w:ascii="宋体" w:hAnsi="宋体" w:eastAsia="宋体" w:cs="宋体"/>
                <w:color w:val="auto"/>
                <w:sz w:val="24"/>
                <w:szCs w:val="24"/>
                <w:highlight w:val="none"/>
                <w:lang w:val="en-US" w:eastAsia="zh-CN"/>
              </w:rPr>
            </w:pPr>
          </w:p>
        </w:tc>
        <w:tc>
          <w:tcPr>
            <w:tcW w:w="4477" w:type="dxa"/>
            <w:tcBorders>
              <w:top w:val="single" w:color="auto" w:sz="4" w:space="0"/>
              <w:left w:val="single" w:color="auto" w:sz="4" w:space="0"/>
              <w:bottom w:val="single" w:color="auto" w:sz="4" w:space="0"/>
              <w:right w:val="single" w:color="auto" w:sz="4" w:space="0"/>
            </w:tcBorders>
            <w:noWrap w:val="0"/>
            <w:vAlign w:val="center"/>
          </w:tcPr>
          <w:p w14:paraId="2EC0AA12">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1.17园内园路、硬质铺装等存在明显积水、</w:t>
            </w:r>
            <w:r>
              <w:rPr>
                <w:rFonts w:hint="eastAsia" w:ascii="宋体" w:hAnsi="宋体" w:eastAsia="宋体" w:cs="宋体"/>
                <w:color w:val="auto"/>
                <w:sz w:val="24"/>
                <w:szCs w:val="24"/>
                <w:highlight w:val="none"/>
              </w:rPr>
              <w:t>污渍、垃圾、积泥、青苔，接缝杂草</w:t>
            </w:r>
            <w:r>
              <w:rPr>
                <w:rFonts w:hint="eastAsia" w:ascii="宋体" w:hAnsi="宋体" w:eastAsia="宋体" w:cs="宋体"/>
                <w:color w:val="auto"/>
                <w:sz w:val="24"/>
                <w:szCs w:val="24"/>
                <w:highlight w:val="none"/>
                <w:lang w:val="en-US" w:eastAsia="zh-CN"/>
              </w:rPr>
              <w:t>等。</w:t>
            </w:r>
          </w:p>
        </w:tc>
        <w:tc>
          <w:tcPr>
            <w:tcW w:w="1962" w:type="dxa"/>
            <w:vMerge w:val="continue"/>
            <w:tcBorders>
              <w:left w:val="single" w:color="auto" w:sz="4" w:space="0"/>
              <w:right w:val="single" w:color="auto" w:sz="4" w:space="0"/>
            </w:tcBorders>
            <w:noWrap w:val="0"/>
            <w:vAlign w:val="center"/>
          </w:tcPr>
          <w:p w14:paraId="2196B50C">
            <w:pPr>
              <w:widowControl/>
              <w:adjustRightInd/>
              <w:jc w:val="left"/>
              <w:rPr>
                <w:rFonts w:hint="eastAsia" w:ascii="宋体" w:hAnsi="宋体" w:eastAsia="宋体" w:cs="宋体"/>
                <w:color w:val="auto"/>
                <w:kern w:val="2"/>
                <w:sz w:val="24"/>
                <w:szCs w:val="24"/>
                <w:highlight w:val="none"/>
                <w:lang w:val="en-US" w:eastAsia="zh-CN" w:bidi="ar-SA"/>
              </w:rPr>
            </w:pPr>
          </w:p>
        </w:tc>
        <w:tc>
          <w:tcPr>
            <w:tcW w:w="1125" w:type="dxa"/>
            <w:vMerge w:val="continue"/>
            <w:tcBorders>
              <w:left w:val="single" w:color="auto" w:sz="4" w:space="0"/>
              <w:right w:val="single" w:color="auto" w:sz="4" w:space="0"/>
            </w:tcBorders>
            <w:noWrap w:val="0"/>
            <w:vAlign w:val="center"/>
          </w:tcPr>
          <w:p w14:paraId="42D48695">
            <w:pPr>
              <w:widowControl/>
              <w:adjustRightInd/>
              <w:jc w:val="center"/>
              <w:rPr>
                <w:rFonts w:hint="eastAsia" w:ascii="宋体" w:hAnsi="宋体" w:eastAsia="宋体" w:cs="宋体"/>
                <w:color w:val="auto"/>
                <w:sz w:val="24"/>
                <w:szCs w:val="24"/>
                <w:highlight w:val="none"/>
                <w:lang w:val="en-US" w:eastAsia="zh-CN"/>
              </w:rPr>
            </w:pPr>
          </w:p>
        </w:tc>
      </w:tr>
      <w:tr w14:paraId="7B6E0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521" w:type="dxa"/>
            <w:vMerge w:val="continue"/>
            <w:tcBorders>
              <w:left w:val="single" w:color="auto" w:sz="4" w:space="0"/>
              <w:right w:val="single" w:color="auto" w:sz="4" w:space="0"/>
            </w:tcBorders>
            <w:noWrap w:val="0"/>
            <w:vAlign w:val="center"/>
          </w:tcPr>
          <w:p w14:paraId="661FD5F0">
            <w:pPr>
              <w:widowControl/>
              <w:adjustRightInd/>
              <w:jc w:val="center"/>
              <w:rPr>
                <w:rFonts w:hint="eastAsia" w:ascii="宋体" w:hAnsi="宋体" w:eastAsia="宋体" w:cs="宋体"/>
                <w:color w:val="auto"/>
                <w:sz w:val="24"/>
                <w:szCs w:val="24"/>
                <w:highlight w:val="none"/>
                <w:lang w:val="en-US" w:eastAsia="zh-CN"/>
              </w:rPr>
            </w:pPr>
          </w:p>
        </w:tc>
        <w:tc>
          <w:tcPr>
            <w:tcW w:w="4477" w:type="dxa"/>
            <w:tcBorders>
              <w:top w:val="single" w:color="auto" w:sz="4" w:space="0"/>
              <w:left w:val="single" w:color="auto" w:sz="4" w:space="0"/>
              <w:bottom w:val="single" w:color="auto" w:sz="4" w:space="0"/>
              <w:right w:val="single" w:color="auto" w:sz="4" w:space="0"/>
            </w:tcBorders>
            <w:noWrap w:val="0"/>
            <w:vAlign w:val="center"/>
          </w:tcPr>
          <w:p w14:paraId="009A6AF4">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1.18园内绿地存在</w:t>
            </w:r>
            <w:r>
              <w:rPr>
                <w:rFonts w:hint="eastAsia" w:ascii="宋体" w:hAnsi="宋体" w:eastAsia="宋体" w:cs="宋体"/>
                <w:color w:val="auto"/>
                <w:sz w:val="24"/>
                <w:szCs w:val="24"/>
                <w:highlight w:val="none"/>
              </w:rPr>
              <w:t>白色垃圾、烟蒂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明显</w:t>
            </w:r>
            <w:r>
              <w:rPr>
                <w:rFonts w:hint="eastAsia" w:ascii="宋体" w:hAnsi="宋体" w:eastAsia="宋体" w:cs="宋体"/>
                <w:color w:val="auto"/>
                <w:sz w:val="24"/>
                <w:szCs w:val="24"/>
                <w:highlight w:val="none"/>
              </w:rPr>
              <w:t>枯枝</w:t>
            </w:r>
            <w:r>
              <w:rPr>
                <w:rFonts w:hint="eastAsia" w:ascii="宋体" w:hAnsi="宋体" w:eastAsia="宋体" w:cs="宋体"/>
                <w:color w:val="auto"/>
                <w:sz w:val="24"/>
                <w:szCs w:val="24"/>
                <w:highlight w:val="none"/>
                <w:lang w:eastAsia="zh-CN"/>
              </w:rPr>
              <w:t>等，</w:t>
            </w:r>
            <w:r>
              <w:rPr>
                <w:rFonts w:hint="eastAsia" w:ascii="宋体" w:hAnsi="宋体" w:eastAsia="宋体" w:cs="宋体"/>
                <w:color w:val="auto"/>
                <w:sz w:val="24"/>
                <w:szCs w:val="24"/>
                <w:highlight w:val="none"/>
              </w:rPr>
              <w:t>雨水沟、窨井</w:t>
            </w:r>
            <w:r>
              <w:rPr>
                <w:rFonts w:hint="eastAsia" w:ascii="宋体" w:hAnsi="宋体" w:eastAsia="宋体" w:cs="宋体"/>
                <w:color w:val="auto"/>
                <w:sz w:val="24"/>
                <w:szCs w:val="24"/>
                <w:highlight w:val="none"/>
                <w:lang w:val="en-US" w:eastAsia="zh-CN"/>
              </w:rPr>
              <w:t>存在大量落叶堵塞情况。</w:t>
            </w:r>
          </w:p>
        </w:tc>
        <w:tc>
          <w:tcPr>
            <w:tcW w:w="1962" w:type="dxa"/>
            <w:vMerge w:val="continue"/>
            <w:tcBorders>
              <w:left w:val="single" w:color="auto" w:sz="4" w:space="0"/>
              <w:right w:val="single" w:color="auto" w:sz="4" w:space="0"/>
            </w:tcBorders>
            <w:noWrap w:val="0"/>
            <w:vAlign w:val="center"/>
          </w:tcPr>
          <w:p w14:paraId="4987DDFA">
            <w:pPr>
              <w:widowControl/>
              <w:adjustRightInd/>
              <w:jc w:val="left"/>
              <w:rPr>
                <w:rFonts w:hint="eastAsia" w:ascii="宋体" w:hAnsi="宋体" w:eastAsia="宋体" w:cs="宋体"/>
                <w:color w:val="auto"/>
                <w:sz w:val="24"/>
                <w:szCs w:val="24"/>
                <w:highlight w:val="none"/>
                <w:lang w:val="en-US" w:eastAsia="zh-CN"/>
              </w:rPr>
            </w:pPr>
          </w:p>
        </w:tc>
        <w:tc>
          <w:tcPr>
            <w:tcW w:w="1125" w:type="dxa"/>
            <w:vMerge w:val="continue"/>
            <w:tcBorders>
              <w:left w:val="single" w:color="auto" w:sz="4" w:space="0"/>
              <w:right w:val="single" w:color="auto" w:sz="4" w:space="0"/>
            </w:tcBorders>
            <w:noWrap w:val="0"/>
            <w:vAlign w:val="center"/>
          </w:tcPr>
          <w:p w14:paraId="20B15915">
            <w:pPr>
              <w:widowControl/>
              <w:adjustRightInd/>
              <w:jc w:val="center"/>
              <w:rPr>
                <w:rFonts w:hint="eastAsia" w:ascii="宋体" w:hAnsi="宋体" w:eastAsia="宋体" w:cs="宋体"/>
                <w:color w:val="auto"/>
                <w:sz w:val="24"/>
                <w:szCs w:val="24"/>
                <w:highlight w:val="none"/>
                <w:lang w:val="en-US" w:eastAsia="zh-CN"/>
              </w:rPr>
            </w:pPr>
          </w:p>
        </w:tc>
      </w:tr>
      <w:tr w14:paraId="5B04E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521" w:type="dxa"/>
            <w:vMerge w:val="continue"/>
            <w:tcBorders>
              <w:left w:val="single" w:color="auto" w:sz="4" w:space="0"/>
              <w:right w:val="single" w:color="auto" w:sz="4" w:space="0"/>
            </w:tcBorders>
            <w:noWrap w:val="0"/>
            <w:vAlign w:val="center"/>
          </w:tcPr>
          <w:p w14:paraId="6E85EA8A">
            <w:pPr>
              <w:widowControl/>
              <w:adjustRightInd/>
              <w:jc w:val="center"/>
              <w:rPr>
                <w:rFonts w:hint="eastAsia" w:ascii="宋体" w:hAnsi="宋体" w:eastAsia="宋体" w:cs="宋体"/>
                <w:color w:val="auto"/>
                <w:sz w:val="24"/>
                <w:szCs w:val="24"/>
                <w:highlight w:val="none"/>
                <w:lang w:val="en-US" w:eastAsia="zh-CN"/>
              </w:rPr>
            </w:pPr>
          </w:p>
        </w:tc>
        <w:tc>
          <w:tcPr>
            <w:tcW w:w="4477" w:type="dxa"/>
            <w:tcBorders>
              <w:top w:val="single" w:color="auto" w:sz="4" w:space="0"/>
              <w:left w:val="single" w:color="auto" w:sz="4" w:space="0"/>
              <w:bottom w:val="single" w:color="auto" w:sz="4" w:space="0"/>
              <w:right w:val="single" w:color="auto" w:sz="4" w:space="0"/>
            </w:tcBorders>
            <w:noWrap w:val="0"/>
            <w:vAlign w:val="center"/>
          </w:tcPr>
          <w:p w14:paraId="48E0CB4D">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1.19园内垃圾未日产日清，存在</w:t>
            </w:r>
            <w:r>
              <w:rPr>
                <w:rFonts w:hint="eastAsia" w:ascii="宋体" w:hAnsi="宋体" w:eastAsia="宋体" w:cs="宋体"/>
                <w:color w:val="auto"/>
                <w:sz w:val="24"/>
                <w:szCs w:val="24"/>
                <w:highlight w:val="none"/>
              </w:rPr>
              <w:t>绿地及路旁遗留垃圾</w:t>
            </w:r>
            <w:r>
              <w:rPr>
                <w:rFonts w:hint="eastAsia" w:ascii="宋体" w:hAnsi="宋体" w:eastAsia="宋体" w:cs="宋体"/>
                <w:color w:val="auto"/>
                <w:sz w:val="24"/>
                <w:szCs w:val="24"/>
                <w:highlight w:val="none"/>
                <w:lang w:val="en-US" w:eastAsia="zh-CN"/>
              </w:rPr>
              <w:t>情况，垃圾分类不到位，存在混投等情况。</w:t>
            </w:r>
          </w:p>
        </w:tc>
        <w:tc>
          <w:tcPr>
            <w:tcW w:w="1962" w:type="dxa"/>
            <w:vMerge w:val="continue"/>
            <w:tcBorders>
              <w:left w:val="single" w:color="auto" w:sz="4" w:space="0"/>
              <w:right w:val="single" w:color="auto" w:sz="4" w:space="0"/>
            </w:tcBorders>
            <w:noWrap w:val="0"/>
            <w:vAlign w:val="center"/>
          </w:tcPr>
          <w:p w14:paraId="040AF24A">
            <w:pPr>
              <w:widowControl/>
              <w:adjustRightInd/>
              <w:jc w:val="left"/>
              <w:rPr>
                <w:rFonts w:hint="eastAsia" w:ascii="宋体" w:hAnsi="宋体" w:eastAsia="宋体" w:cs="宋体"/>
                <w:color w:val="auto"/>
                <w:sz w:val="24"/>
                <w:szCs w:val="24"/>
                <w:highlight w:val="none"/>
                <w:lang w:val="en-US" w:eastAsia="zh-CN"/>
              </w:rPr>
            </w:pPr>
          </w:p>
        </w:tc>
        <w:tc>
          <w:tcPr>
            <w:tcW w:w="1125" w:type="dxa"/>
            <w:vMerge w:val="continue"/>
            <w:tcBorders>
              <w:left w:val="single" w:color="auto" w:sz="4" w:space="0"/>
              <w:right w:val="single" w:color="auto" w:sz="4" w:space="0"/>
            </w:tcBorders>
            <w:noWrap w:val="0"/>
            <w:vAlign w:val="center"/>
          </w:tcPr>
          <w:p w14:paraId="3D4EAC07">
            <w:pPr>
              <w:widowControl/>
              <w:adjustRightInd/>
              <w:jc w:val="center"/>
              <w:rPr>
                <w:rFonts w:hint="eastAsia" w:ascii="宋体" w:hAnsi="宋体" w:eastAsia="宋体" w:cs="宋体"/>
                <w:color w:val="auto"/>
                <w:sz w:val="24"/>
                <w:szCs w:val="24"/>
                <w:highlight w:val="none"/>
                <w:lang w:val="en-US" w:eastAsia="zh-CN"/>
              </w:rPr>
            </w:pPr>
          </w:p>
        </w:tc>
      </w:tr>
      <w:tr w14:paraId="1F039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521" w:type="dxa"/>
            <w:vMerge w:val="continue"/>
            <w:tcBorders>
              <w:left w:val="single" w:color="auto" w:sz="4" w:space="0"/>
              <w:right w:val="single" w:color="auto" w:sz="4" w:space="0"/>
            </w:tcBorders>
            <w:noWrap w:val="0"/>
            <w:vAlign w:val="center"/>
          </w:tcPr>
          <w:p w14:paraId="69370C36">
            <w:pPr>
              <w:widowControl/>
              <w:adjustRightInd/>
              <w:jc w:val="center"/>
              <w:rPr>
                <w:rFonts w:hint="eastAsia" w:ascii="宋体" w:hAnsi="宋体" w:eastAsia="宋体" w:cs="宋体"/>
                <w:color w:val="auto"/>
                <w:sz w:val="24"/>
                <w:szCs w:val="24"/>
                <w:highlight w:val="none"/>
                <w:lang w:val="en-US" w:eastAsia="zh-CN"/>
              </w:rPr>
            </w:pPr>
          </w:p>
        </w:tc>
        <w:tc>
          <w:tcPr>
            <w:tcW w:w="4477" w:type="dxa"/>
            <w:tcBorders>
              <w:top w:val="single" w:color="auto" w:sz="4" w:space="0"/>
              <w:left w:val="single" w:color="auto" w:sz="4" w:space="0"/>
              <w:bottom w:val="single" w:color="auto" w:sz="4" w:space="0"/>
              <w:right w:val="single" w:color="auto" w:sz="4" w:space="0"/>
            </w:tcBorders>
            <w:noWrap w:val="0"/>
            <w:vAlign w:val="center"/>
          </w:tcPr>
          <w:p w14:paraId="73D92C9F">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1.20保洁作业车、</w:t>
            </w:r>
            <w:r>
              <w:rPr>
                <w:rFonts w:hint="eastAsia" w:ascii="宋体" w:hAnsi="宋体" w:eastAsia="宋体" w:cs="宋体"/>
                <w:color w:val="auto"/>
                <w:sz w:val="24"/>
                <w:szCs w:val="24"/>
                <w:highlight w:val="none"/>
              </w:rPr>
              <w:t>垃圾</w:t>
            </w:r>
            <w:r>
              <w:rPr>
                <w:rFonts w:hint="eastAsia" w:ascii="宋体" w:hAnsi="宋体" w:eastAsia="宋体" w:cs="宋体"/>
                <w:color w:val="auto"/>
                <w:sz w:val="24"/>
                <w:szCs w:val="24"/>
                <w:highlight w:val="none"/>
                <w:lang w:val="en-US" w:eastAsia="zh-CN"/>
              </w:rPr>
              <w:t>运输</w:t>
            </w:r>
            <w:r>
              <w:rPr>
                <w:rFonts w:hint="eastAsia" w:ascii="宋体" w:hAnsi="宋体" w:eastAsia="宋体" w:cs="宋体"/>
                <w:color w:val="auto"/>
                <w:sz w:val="24"/>
                <w:szCs w:val="24"/>
                <w:highlight w:val="none"/>
              </w:rPr>
              <w:t>车</w:t>
            </w:r>
            <w:r>
              <w:rPr>
                <w:rFonts w:hint="eastAsia" w:ascii="宋体" w:hAnsi="宋体" w:eastAsia="宋体" w:cs="宋体"/>
                <w:color w:val="auto"/>
                <w:sz w:val="24"/>
                <w:szCs w:val="24"/>
                <w:highlight w:val="none"/>
                <w:lang w:val="en-US" w:eastAsia="zh-CN"/>
              </w:rPr>
              <w:t>不整洁</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作业</w:t>
            </w:r>
            <w:r>
              <w:rPr>
                <w:rFonts w:hint="eastAsia" w:ascii="宋体" w:hAnsi="宋体" w:eastAsia="宋体" w:cs="宋体"/>
                <w:color w:val="auto"/>
                <w:sz w:val="24"/>
                <w:szCs w:val="24"/>
                <w:highlight w:val="none"/>
                <w:lang w:eastAsia="zh-CN"/>
              </w:rPr>
              <w:t>车</w:t>
            </w:r>
            <w:r>
              <w:rPr>
                <w:rFonts w:hint="eastAsia" w:ascii="宋体" w:hAnsi="宋体" w:eastAsia="宋体" w:cs="宋体"/>
                <w:color w:val="auto"/>
                <w:sz w:val="24"/>
                <w:szCs w:val="24"/>
                <w:highlight w:val="none"/>
                <w:lang w:val="en-US" w:eastAsia="zh-CN"/>
              </w:rPr>
              <w:t>未定点停放，</w:t>
            </w:r>
            <w:r>
              <w:rPr>
                <w:rFonts w:hint="eastAsia" w:ascii="宋体" w:hAnsi="宋体" w:eastAsia="宋体" w:cs="宋体"/>
                <w:color w:val="auto"/>
                <w:sz w:val="24"/>
                <w:szCs w:val="24"/>
                <w:highlight w:val="none"/>
              </w:rPr>
              <w:t>停放在草坪、地被植物上。</w:t>
            </w:r>
          </w:p>
        </w:tc>
        <w:tc>
          <w:tcPr>
            <w:tcW w:w="1962" w:type="dxa"/>
            <w:vMerge w:val="continue"/>
            <w:tcBorders>
              <w:left w:val="single" w:color="auto" w:sz="4" w:space="0"/>
              <w:bottom w:val="single" w:color="auto" w:sz="4" w:space="0"/>
              <w:right w:val="single" w:color="auto" w:sz="4" w:space="0"/>
            </w:tcBorders>
            <w:noWrap w:val="0"/>
            <w:vAlign w:val="center"/>
          </w:tcPr>
          <w:p w14:paraId="4AFC00AA">
            <w:pPr>
              <w:widowControl/>
              <w:adjustRightInd/>
              <w:jc w:val="left"/>
              <w:rPr>
                <w:rFonts w:hint="eastAsia" w:ascii="宋体" w:hAnsi="宋体" w:eastAsia="宋体" w:cs="宋体"/>
                <w:color w:val="auto"/>
                <w:sz w:val="24"/>
                <w:szCs w:val="24"/>
                <w:highlight w:val="none"/>
                <w:lang w:val="en-US" w:eastAsia="zh-CN"/>
              </w:rPr>
            </w:pPr>
          </w:p>
        </w:tc>
        <w:tc>
          <w:tcPr>
            <w:tcW w:w="1125" w:type="dxa"/>
            <w:vMerge w:val="continue"/>
            <w:tcBorders>
              <w:left w:val="single" w:color="auto" w:sz="4" w:space="0"/>
              <w:right w:val="single" w:color="auto" w:sz="4" w:space="0"/>
            </w:tcBorders>
            <w:noWrap w:val="0"/>
            <w:vAlign w:val="center"/>
          </w:tcPr>
          <w:p w14:paraId="1E2FA9B9">
            <w:pPr>
              <w:widowControl/>
              <w:adjustRightInd/>
              <w:jc w:val="center"/>
              <w:rPr>
                <w:rFonts w:hint="eastAsia" w:ascii="宋体" w:hAnsi="宋体" w:eastAsia="宋体" w:cs="宋体"/>
                <w:color w:val="auto"/>
                <w:sz w:val="24"/>
                <w:szCs w:val="24"/>
                <w:highlight w:val="none"/>
                <w:lang w:val="en-US" w:eastAsia="zh-CN"/>
              </w:rPr>
            </w:pPr>
          </w:p>
        </w:tc>
      </w:tr>
      <w:tr w14:paraId="256F0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521" w:type="dxa"/>
            <w:vMerge w:val="restart"/>
            <w:tcBorders>
              <w:left w:val="single" w:color="auto" w:sz="4" w:space="0"/>
              <w:right w:val="single" w:color="auto" w:sz="4" w:space="0"/>
            </w:tcBorders>
            <w:noWrap w:val="0"/>
            <w:vAlign w:val="center"/>
          </w:tcPr>
          <w:p w14:paraId="74E33D74">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公厕管理</w:t>
            </w:r>
          </w:p>
        </w:tc>
        <w:tc>
          <w:tcPr>
            <w:tcW w:w="4477" w:type="dxa"/>
            <w:tcBorders>
              <w:top w:val="single" w:color="auto" w:sz="4" w:space="0"/>
              <w:left w:val="single" w:color="auto" w:sz="4" w:space="0"/>
              <w:bottom w:val="single" w:color="auto" w:sz="4" w:space="0"/>
              <w:right w:val="single" w:color="auto" w:sz="4" w:space="0"/>
            </w:tcBorders>
            <w:noWrap w:val="0"/>
            <w:vAlign w:val="center"/>
          </w:tcPr>
          <w:p w14:paraId="11D11B52">
            <w:pPr>
              <w:widowControl/>
              <w:adjustRightInd/>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1.21</w:t>
            </w:r>
            <w:r>
              <w:rPr>
                <w:rFonts w:hint="eastAsia" w:ascii="宋体" w:hAnsi="宋体" w:eastAsia="宋体" w:cs="宋体"/>
                <w:color w:val="auto"/>
                <w:sz w:val="24"/>
                <w:szCs w:val="24"/>
                <w:highlight w:val="none"/>
              </w:rPr>
              <w:t>标识标牌</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设施设备</w:t>
            </w:r>
            <w:r>
              <w:rPr>
                <w:rFonts w:hint="eastAsia" w:ascii="宋体" w:hAnsi="宋体" w:eastAsia="宋体" w:cs="宋体"/>
                <w:color w:val="auto"/>
                <w:sz w:val="24"/>
                <w:szCs w:val="24"/>
                <w:highlight w:val="none"/>
                <w:lang w:val="en-US" w:eastAsia="zh-CN"/>
              </w:rPr>
              <w:t>等发现</w:t>
            </w:r>
            <w:r>
              <w:rPr>
                <w:rFonts w:hint="eastAsia" w:ascii="宋体" w:hAnsi="宋体" w:eastAsia="宋体" w:cs="宋体"/>
                <w:color w:val="auto"/>
                <w:sz w:val="24"/>
                <w:szCs w:val="24"/>
                <w:highlight w:val="none"/>
              </w:rPr>
              <w:t>破损、残缺，影响正常使用。</w:t>
            </w:r>
          </w:p>
        </w:tc>
        <w:tc>
          <w:tcPr>
            <w:tcW w:w="1962" w:type="dxa"/>
            <w:vMerge w:val="restart"/>
            <w:tcBorders>
              <w:left w:val="single" w:color="auto" w:sz="4" w:space="0"/>
              <w:right w:val="single" w:color="auto" w:sz="4" w:space="0"/>
            </w:tcBorders>
            <w:noWrap w:val="0"/>
            <w:vAlign w:val="center"/>
          </w:tcPr>
          <w:p w14:paraId="3F3E5B53">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每发现一处扣0.5分。</w:t>
            </w:r>
          </w:p>
        </w:tc>
        <w:tc>
          <w:tcPr>
            <w:tcW w:w="1125" w:type="dxa"/>
            <w:vMerge w:val="restart"/>
            <w:tcBorders>
              <w:left w:val="single" w:color="auto" w:sz="4" w:space="0"/>
              <w:right w:val="single" w:color="auto" w:sz="4" w:space="0"/>
            </w:tcBorders>
            <w:noWrap w:val="0"/>
            <w:vAlign w:val="center"/>
          </w:tcPr>
          <w:p w14:paraId="6AB553A5">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r>
      <w:tr w14:paraId="07C13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521" w:type="dxa"/>
            <w:vMerge w:val="continue"/>
            <w:tcBorders>
              <w:left w:val="single" w:color="auto" w:sz="4" w:space="0"/>
              <w:right w:val="single" w:color="auto" w:sz="4" w:space="0"/>
            </w:tcBorders>
            <w:noWrap w:val="0"/>
            <w:vAlign w:val="center"/>
          </w:tcPr>
          <w:p w14:paraId="41C3459D">
            <w:pPr>
              <w:widowControl/>
              <w:adjustRightInd/>
              <w:jc w:val="center"/>
              <w:rPr>
                <w:rFonts w:hint="eastAsia" w:ascii="宋体" w:hAnsi="宋体" w:eastAsia="宋体" w:cs="宋体"/>
                <w:color w:val="auto"/>
                <w:sz w:val="24"/>
                <w:szCs w:val="24"/>
                <w:highlight w:val="none"/>
                <w:lang w:val="en-US" w:eastAsia="zh-CN"/>
              </w:rPr>
            </w:pPr>
          </w:p>
        </w:tc>
        <w:tc>
          <w:tcPr>
            <w:tcW w:w="4477" w:type="dxa"/>
            <w:tcBorders>
              <w:top w:val="single" w:color="auto" w:sz="4" w:space="0"/>
              <w:left w:val="single" w:color="auto" w:sz="4" w:space="0"/>
              <w:bottom w:val="single" w:color="auto" w:sz="4" w:space="0"/>
              <w:right w:val="single" w:color="auto" w:sz="4" w:space="0"/>
            </w:tcBorders>
            <w:noWrap w:val="0"/>
            <w:vAlign w:val="center"/>
          </w:tcPr>
          <w:p w14:paraId="2EB50F65">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1.22</w:t>
            </w:r>
            <w:r>
              <w:rPr>
                <w:rFonts w:hint="eastAsia" w:ascii="宋体" w:hAnsi="宋体" w:eastAsia="宋体" w:cs="宋体"/>
                <w:color w:val="auto"/>
                <w:sz w:val="24"/>
                <w:szCs w:val="24"/>
                <w:highlight w:val="none"/>
              </w:rPr>
              <w:t>厕内环境</w:t>
            </w:r>
            <w:r>
              <w:rPr>
                <w:rFonts w:hint="eastAsia" w:ascii="宋体" w:hAnsi="宋体" w:eastAsia="宋体" w:cs="宋体"/>
                <w:color w:val="auto"/>
                <w:sz w:val="24"/>
                <w:szCs w:val="24"/>
                <w:highlight w:val="none"/>
                <w:lang w:val="en-US" w:eastAsia="zh-CN"/>
              </w:rPr>
              <w:t>不</w:t>
            </w:r>
            <w:r>
              <w:rPr>
                <w:rFonts w:hint="eastAsia" w:ascii="宋体" w:hAnsi="宋体" w:eastAsia="宋体" w:cs="宋体"/>
                <w:color w:val="auto"/>
                <w:sz w:val="24"/>
                <w:szCs w:val="24"/>
                <w:highlight w:val="none"/>
              </w:rPr>
              <w:t>整洁（</w:t>
            </w:r>
            <w:r>
              <w:rPr>
                <w:rFonts w:hint="eastAsia" w:ascii="宋体" w:hAnsi="宋体" w:eastAsia="宋体" w:cs="宋体"/>
                <w:color w:val="auto"/>
                <w:sz w:val="24"/>
                <w:szCs w:val="24"/>
                <w:highlight w:val="none"/>
                <w:lang w:val="en-US" w:eastAsia="zh-CN"/>
              </w:rPr>
              <w:t>存在</w:t>
            </w:r>
            <w:r>
              <w:rPr>
                <w:rFonts w:hint="eastAsia" w:ascii="宋体" w:hAnsi="宋体" w:eastAsia="宋体" w:cs="宋体"/>
                <w:color w:val="auto"/>
                <w:sz w:val="24"/>
                <w:szCs w:val="24"/>
                <w:highlight w:val="none"/>
              </w:rPr>
              <w:t>便渍、可见垃圾、积灰蛛网、乱涂写乱张贴等</w:t>
            </w:r>
            <w:r>
              <w:rPr>
                <w:rFonts w:hint="eastAsia" w:ascii="宋体" w:hAnsi="宋体" w:eastAsia="宋体" w:cs="宋体"/>
                <w:color w:val="auto"/>
                <w:sz w:val="24"/>
                <w:szCs w:val="24"/>
                <w:highlight w:val="none"/>
                <w:lang w:val="en-US" w:eastAsia="zh-CN"/>
              </w:rPr>
              <w:t>现象</w:t>
            </w:r>
            <w:r>
              <w:rPr>
                <w:rFonts w:hint="eastAsia" w:ascii="宋体" w:hAnsi="宋体" w:eastAsia="宋体" w:cs="宋体"/>
                <w:color w:val="auto"/>
                <w:sz w:val="24"/>
                <w:szCs w:val="24"/>
                <w:highlight w:val="none"/>
              </w:rPr>
              <w:t>）。</w:t>
            </w:r>
          </w:p>
        </w:tc>
        <w:tc>
          <w:tcPr>
            <w:tcW w:w="1962" w:type="dxa"/>
            <w:vMerge w:val="continue"/>
            <w:tcBorders>
              <w:left w:val="single" w:color="auto" w:sz="4" w:space="0"/>
              <w:right w:val="single" w:color="auto" w:sz="4" w:space="0"/>
            </w:tcBorders>
            <w:noWrap w:val="0"/>
            <w:vAlign w:val="center"/>
          </w:tcPr>
          <w:p w14:paraId="63D8D9C3">
            <w:pPr>
              <w:widowControl/>
              <w:adjustRightInd/>
              <w:jc w:val="left"/>
              <w:rPr>
                <w:rFonts w:hint="eastAsia" w:ascii="宋体" w:hAnsi="宋体" w:eastAsia="宋体" w:cs="宋体"/>
                <w:color w:val="auto"/>
                <w:sz w:val="24"/>
                <w:szCs w:val="24"/>
                <w:highlight w:val="none"/>
                <w:lang w:val="en-US" w:eastAsia="zh-CN"/>
              </w:rPr>
            </w:pPr>
          </w:p>
        </w:tc>
        <w:tc>
          <w:tcPr>
            <w:tcW w:w="1125" w:type="dxa"/>
            <w:vMerge w:val="continue"/>
            <w:tcBorders>
              <w:left w:val="single" w:color="auto" w:sz="4" w:space="0"/>
              <w:right w:val="single" w:color="auto" w:sz="4" w:space="0"/>
            </w:tcBorders>
            <w:noWrap w:val="0"/>
            <w:vAlign w:val="center"/>
          </w:tcPr>
          <w:p w14:paraId="74653E18">
            <w:pPr>
              <w:widowControl/>
              <w:adjustRightInd/>
              <w:jc w:val="center"/>
              <w:rPr>
                <w:rFonts w:hint="eastAsia" w:ascii="宋体" w:hAnsi="宋体" w:eastAsia="宋体" w:cs="宋体"/>
                <w:color w:val="auto"/>
                <w:sz w:val="24"/>
                <w:szCs w:val="24"/>
                <w:highlight w:val="none"/>
                <w:lang w:val="en-US" w:eastAsia="zh-CN"/>
              </w:rPr>
            </w:pPr>
          </w:p>
        </w:tc>
      </w:tr>
      <w:tr w14:paraId="09E18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521" w:type="dxa"/>
            <w:vMerge w:val="continue"/>
            <w:tcBorders>
              <w:left w:val="single" w:color="auto" w:sz="4" w:space="0"/>
              <w:right w:val="single" w:color="auto" w:sz="4" w:space="0"/>
            </w:tcBorders>
            <w:noWrap w:val="0"/>
            <w:vAlign w:val="center"/>
          </w:tcPr>
          <w:p w14:paraId="09E2C7C4">
            <w:pPr>
              <w:widowControl/>
              <w:adjustRightInd/>
              <w:jc w:val="center"/>
              <w:rPr>
                <w:rFonts w:hint="eastAsia" w:ascii="宋体" w:hAnsi="宋体" w:eastAsia="宋体" w:cs="宋体"/>
                <w:color w:val="auto"/>
                <w:sz w:val="24"/>
                <w:szCs w:val="24"/>
                <w:highlight w:val="none"/>
              </w:rPr>
            </w:pPr>
          </w:p>
        </w:tc>
        <w:tc>
          <w:tcPr>
            <w:tcW w:w="4477" w:type="dxa"/>
            <w:tcBorders>
              <w:top w:val="single" w:color="auto" w:sz="4" w:space="0"/>
              <w:left w:val="single" w:color="auto" w:sz="4" w:space="0"/>
              <w:bottom w:val="single" w:color="auto" w:sz="4" w:space="0"/>
              <w:right w:val="single" w:color="auto" w:sz="4" w:space="0"/>
            </w:tcBorders>
            <w:noWrap w:val="0"/>
            <w:vAlign w:val="center"/>
          </w:tcPr>
          <w:p w14:paraId="33A0885F">
            <w:pPr>
              <w:widowControl/>
              <w:adjustRightInd/>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1.23</w:t>
            </w:r>
            <w:r>
              <w:rPr>
                <w:rFonts w:hint="eastAsia" w:ascii="宋体" w:hAnsi="宋体" w:eastAsia="宋体" w:cs="宋体"/>
                <w:color w:val="auto"/>
                <w:sz w:val="24"/>
                <w:szCs w:val="24"/>
                <w:highlight w:val="none"/>
              </w:rPr>
              <w:t>垃圾桶满溢的或厕间废纸篓超过三分之一的。</w:t>
            </w:r>
          </w:p>
        </w:tc>
        <w:tc>
          <w:tcPr>
            <w:tcW w:w="1962" w:type="dxa"/>
            <w:vMerge w:val="continue"/>
            <w:tcBorders>
              <w:left w:val="single" w:color="auto" w:sz="4" w:space="0"/>
              <w:right w:val="single" w:color="auto" w:sz="4" w:space="0"/>
            </w:tcBorders>
            <w:noWrap w:val="0"/>
            <w:vAlign w:val="center"/>
          </w:tcPr>
          <w:p w14:paraId="490AAD99">
            <w:pPr>
              <w:widowControl/>
              <w:adjustRightInd/>
              <w:jc w:val="left"/>
              <w:rPr>
                <w:rFonts w:hint="eastAsia" w:ascii="宋体" w:hAnsi="宋体" w:eastAsia="宋体" w:cs="宋体"/>
                <w:color w:val="auto"/>
                <w:sz w:val="24"/>
                <w:szCs w:val="24"/>
                <w:highlight w:val="none"/>
                <w:lang w:val="en-US" w:eastAsia="zh-CN"/>
              </w:rPr>
            </w:pPr>
          </w:p>
        </w:tc>
        <w:tc>
          <w:tcPr>
            <w:tcW w:w="1125" w:type="dxa"/>
            <w:vMerge w:val="continue"/>
            <w:tcBorders>
              <w:left w:val="single" w:color="auto" w:sz="4" w:space="0"/>
              <w:right w:val="single" w:color="auto" w:sz="4" w:space="0"/>
            </w:tcBorders>
            <w:noWrap w:val="0"/>
            <w:vAlign w:val="center"/>
          </w:tcPr>
          <w:p w14:paraId="3B6485D3">
            <w:pPr>
              <w:widowControl/>
              <w:adjustRightInd/>
              <w:jc w:val="center"/>
              <w:rPr>
                <w:rFonts w:hint="eastAsia" w:ascii="宋体" w:hAnsi="宋体" w:eastAsia="宋体" w:cs="宋体"/>
                <w:color w:val="auto"/>
                <w:sz w:val="24"/>
                <w:szCs w:val="24"/>
                <w:highlight w:val="none"/>
                <w:lang w:val="en-US" w:eastAsia="zh-CN"/>
              </w:rPr>
            </w:pPr>
          </w:p>
        </w:tc>
      </w:tr>
      <w:tr w14:paraId="7C867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521" w:type="dxa"/>
            <w:vMerge w:val="continue"/>
            <w:tcBorders>
              <w:left w:val="single" w:color="auto" w:sz="4" w:space="0"/>
              <w:right w:val="single" w:color="auto" w:sz="4" w:space="0"/>
            </w:tcBorders>
            <w:noWrap w:val="0"/>
            <w:vAlign w:val="center"/>
          </w:tcPr>
          <w:p w14:paraId="19A01657">
            <w:pPr>
              <w:widowControl/>
              <w:adjustRightInd/>
              <w:jc w:val="center"/>
              <w:rPr>
                <w:rFonts w:hint="eastAsia" w:ascii="宋体" w:hAnsi="宋体" w:eastAsia="宋体" w:cs="宋体"/>
                <w:color w:val="auto"/>
                <w:sz w:val="24"/>
                <w:szCs w:val="24"/>
                <w:highlight w:val="none"/>
              </w:rPr>
            </w:pPr>
          </w:p>
        </w:tc>
        <w:tc>
          <w:tcPr>
            <w:tcW w:w="4477" w:type="dxa"/>
            <w:tcBorders>
              <w:top w:val="single" w:color="auto" w:sz="4" w:space="0"/>
              <w:left w:val="single" w:color="auto" w:sz="4" w:space="0"/>
              <w:bottom w:val="single" w:color="auto" w:sz="4" w:space="0"/>
              <w:right w:val="single" w:color="auto" w:sz="4" w:space="0"/>
            </w:tcBorders>
            <w:noWrap w:val="0"/>
            <w:vAlign w:val="center"/>
          </w:tcPr>
          <w:p w14:paraId="39AFD684">
            <w:pPr>
              <w:widowControl/>
              <w:adjustRightInd/>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1.24未按规定</w:t>
            </w:r>
            <w:r>
              <w:rPr>
                <w:rFonts w:hint="eastAsia" w:ascii="宋体" w:hAnsi="宋体" w:eastAsia="宋体" w:cs="宋体"/>
                <w:color w:val="auto"/>
                <w:sz w:val="24"/>
                <w:szCs w:val="24"/>
                <w:highlight w:val="none"/>
              </w:rPr>
              <w:t>提供免费厕纸和洗手液</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或补充不及时。</w:t>
            </w:r>
          </w:p>
        </w:tc>
        <w:tc>
          <w:tcPr>
            <w:tcW w:w="1962" w:type="dxa"/>
            <w:vMerge w:val="restart"/>
            <w:tcBorders>
              <w:left w:val="single" w:color="auto" w:sz="4" w:space="0"/>
              <w:right w:val="single" w:color="auto" w:sz="4" w:space="0"/>
            </w:tcBorders>
            <w:noWrap w:val="0"/>
            <w:vAlign w:val="center"/>
          </w:tcPr>
          <w:p w14:paraId="325D763D">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每发现一次扣0.5分（当月累计扣分）。</w:t>
            </w:r>
          </w:p>
        </w:tc>
        <w:tc>
          <w:tcPr>
            <w:tcW w:w="1125" w:type="dxa"/>
            <w:vMerge w:val="continue"/>
            <w:tcBorders>
              <w:left w:val="single" w:color="auto" w:sz="4" w:space="0"/>
              <w:right w:val="single" w:color="auto" w:sz="4" w:space="0"/>
            </w:tcBorders>
            <w:noWrap w:val="0"/>
            <w:vAlign w:val="center"/>
          </w:tcPr>
          <w:p w14:paraId="447D34FB">
            <w:pPr>
              <w:widowControl/>
              <w:adjustRightInd/>
              <w:jc w:val="center"/>
              <w:rPr>
                <w:rFonts w:hint="eastAsia" w:ascii="宋体" w:hAnsi="宋体" w:eastAsia="宋体" w:cs="宋体"/>
                <w:color w:val="auto"/>
                <w:sz w:val="24"/>
                <w:szCs w:val="24"/>
                <w:highlight w:val="none"/>
                <w:lang w:val="en-US" w:eastAsia="zh-CN"/>
              </w:rPr>
            </w:pPr>
          </w:p>
        </w:tc>
      </w:tr>
      <w:tr w14:paraId="70910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521" w:type="dxa"/>
            <w:vMerge w:val="continue"/>
            <w:tcBorders>
              <w:left w:val="single" w:color="auto" w:sz="4" w:space="0"/>
              <w:right w:val="single" w:color="auto" w:sz="4" w:space="0"/>
            </w:tcBorders>
            <w:noWrap w:val="0"/>
            <w:vAlign w:val="center"/>
          </w:tcPr>
          <w:p w14:paraId="2C7EB2DC">
            <w:pPr>
              <w:widowControl/>
              <w:adjustRightInd/>
              <w:jc w:val="center"/>
              <w:rPr>
                <w:rFonts w:hint="eastAsia" w:ascii="宋体" w:hAnsi="宋体" w:eastAsia="宋体" w:cs="宋体"/>
                <w:color w:val="auto"/>
                <w:sz w:val="24"/>
                <w:szCs w:val="24"/>
                <w:highlight w:val="none"/>
              </w:rPr>
            </w:pPr>
          </w:p>
        </w:tc>
        <w:tc>
          <w:tcPr>
            <w:tcW w:w="4477" w:type="dxa"/>
            <w:tcBorders>
              <w:top w:val="single" w:color="auto" w:sz="4" w:space="0"/>
              <w:left w:val="single" w:color="auto" w:sz="4" w:space="0"/>
              <w:bottom w:val="single" w:color="auto" w:sz="4" w:space="0"/>
              <w:right w:val="single" w:color="auto" w:sz="4" w:space="0"/>
            </w:tcBorders>
            <w:noWrap w:val="0"/>
            <w:vAlign w:val="center"/>
          </w:tcPr>
          <w:p w14:paraId="1898F90D">
            <w:pPr>
              <w:widowControl/>
              <w:adjustRightInd/>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1.25</w:t>
            </w:r>
            <w:r>
              <w:rPr>
                <w:rFonts w:hint="eastAsia" w:ascii="宋体" w:hAnsi="宋体" w:eastAsia="宋体" w:cs="宋体"/>
                <w:color w:val="auto"/>
                <w:sz w:val="24"/>
                <w:szCs w:val="24"/>
                <w:highlight w:val="none"/>
              </w:rPr>
              <w:t>保洁员作业期间</w:t>
            </w:r>
            <w:r>
              <w:rPr>
                <w:rFonts w:hint="eastAsia" w:ascii="宋体" w:hAnsi="宋体" w:eastAsia="宋体" w:cs="宋体"/>
                <w:color w:val="auto"/>
                <w:sz w:val="24"/>
                <w:szCs w:val="24"/>
                <w:highlight w:val="none"/>
                <w:lang w:val="en-US" w:eastAsia="zh-CN"/>
              </w:rPr>
              <w:t>未</w:t>
            </w:r>
            <w:r>
              <w:rPr>
                <w:rFonts w:hint="eastAsia" w:ascii="宋体" w:hAnsi="宋体" w:eastAsia="宋体" w:cs="宋体"/>
                <w:color w:val="auto"/>
                <w:sz w:val="24"/>
                <w:szCs w:val="24"/>
                <w:highlight w:val="none"/>
              </w:rPr>
              <w:t>正确佩戴口罩和手套，拖把</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抹布等保洁工具</w:t>
            </w:r>
            <w:r>
              <w:rPr>
                <w:rFonts w:hint="eastAsia" w:ascii="宋体" w:hAnsi="宋体" w:eastAsia="宋体" w:cs="宋体"/>
                <w:color w:val="auto"/>
                <w:sz w:val="24"/>
                <w:szCs w:val="24"/>
                <w:highlight w:val="none"/>
                <w:lang w:val="en-US" w:eastAsia="zh-CN"/>
              </w:rPr>
              <w:t>未</w:t>
            </w:r>
            <w:r>
              <w:rPr>
                <w:rFonts w:hint="eastAsia" w:ascii="宋体" w:hAnsi="宋体" w:eastAsia="宋体" w:cs="宋体"/>
                <w:color w:val="auto"/>
                <w:sz w:val="24"/>
                <w:szCs w:val="24"/>
                <w:highlight w:val="none"/>
              </w:rPr>
              <w:t>隐蔽收纳</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摆放</w:t>
            </w:r>
            <w:r>
              <w:rPr>
                <w:rFonts w:hint="eastAsia" w:ascii="宋体" w:hAnsi="宋体" w:eastAsia="宋体" w:cs="宋体"/>
                <w:color w:val="auto"/>
                <w:sz w:val="24"/>
                <w:szCs w:val="24"/>
                <w:highlight w:val="none"/>
                <w:lang w:val="en-US" w:eastAsia="zh-CN"/>
              </w:rPr>
              <w:t>不</w:t>
            </w:r>
            <w:r>
              <w:rPr>
                <w:rFonts w:hint="eastAsia" w:ascii="宋体" w:hAnsi="宋体" w:eastAsia="宋体" w:cs="宋体"/>
                <w:color w:val="auto"/>
                <w:sz w:val="24"/>
                <w:szCs w:val="24"/>
                <w:highlight w:val="none"/>
              </w:rPr>
              <w:t>整齐。</w:t>
            </w:r>
          </w:p>
        </w:tc>
        <w:tc>
          <w:tcPr>
            <w:tcW w:w="1962" w:type="dxa"/>
            <w:vMerge w:val="continue"/>
            <w:tcBorders>
              <w:left w:val="single" w:color="auto" w:sz="4" w:space="0"/>
              <w:right w:val="single" w:color="auto" w:sz="4" w:space="0"/>
            </w:tcBorders>
            <w:noWrap w:val="0"/>
            <w:vAlign w:val="center"/>
          </w:tcPr>
          <w:p w14:paraId="7D04D706">
            <w:pPr>
              <w:widowControl/>
              <w:adjustRightInd/>
              <w:jc w:val="left"/>
              <w:rPr>
                <w:rFonts w:hint="eastAsia" w:ascii="宋体" w:hAnsi="宋体" w:eastAsia="宋体" w:cs="宋体"/>
                <w:color w:val="auto"/>
                <w:sz w:val="24"/>
                <w:szCs w:val="24"/>
                <w:highlight w:val="none"/>
                <w:lang w:val="en-US" w:eastAsia="zh-CN"/>
              </w:rPr>
            </w:pPr>
          </w:p>
        </w:tc>
        <w:tc>
          <w:tcPr>
            <w:tcW w:w="1125" w:type="dxa"/>
            <w:vMerge w:val="continue"/>
            <w:tcBorders>
              <w:left w:val="single" w:color="auto" w:sz="4" w:space="0"/>
              <w:right w:val="single" w:color="auto" w:sz="4" w:space="0"/>
            </w:tcBorders>
            <w:noWrap w:val="0"/>
            <w:vAlign w:val="center"/>
          </w:tcPr>
          <w:p w14:paraId="574A849B">
            <w:pPr>
              <w:widowControl/>
              <w:adjustRightInd/>
              <w:jc w:val="center"/>
              <w:rPr>
                <w:rFonts w:hint="eastAsia" w:ascii="宋体" w:hAnsi="宋体" w:eastAsia="宋体" w:cs="宋体"/>
                <w:color w:val="auto"/>
                <w:sz w:val="24"/>
                <w:szCs w:val="24"/>
                <w:highlight w:val="none"/>
                <w:lang w:val="en-US" w:eastAsia="zh-CN"/>
              </w:rPr>
            </w:pPr>
          </w:p>
        </w:tc>
      </w:tr>
      <w:tr w14:paraId="53AE9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521" w:type="dxa"/>
            <w:vMerge w:val="continue"/>
            <w:tcBorders>
              <w:left w:val="single" w:color="auto" w:sz="4" w:space="0"/>
              <w:right w:val="single" w:color="auto" w:sz="4" w:space="0"/>
            </w:tcBorders>
            <w:noWrap w:val="0"/>
            <w:vAlign w:val="center"/>
          </w:tcPr>
          <w:p w14:paraId="15C5A19F">
            <w:pPr>
              <w:widowControl/>
              <w:adjustRightInd/>
              <w:jc w:val="center"/>
              <w:rPr>
                <w:rFonts w:hint="eastAsia" w:ascii="宋体" w:hAnsi="宋体" w:eastAsia="宋体" w:cs="宋体"/>
                <w:color w:val="auto"/>
                <w:sz w:val="24"/>
                <w:szCs w:val="24"/>
                <w:highlight w:val="none"/>
              </w:rPr>
            </w:pPr>
          </w:p>
        </w:tc>
        <w:tc>
          <w:tcPr>
            <w:tcW w:w="4477" w:type="dxa"/>
            <w:tcBorders>
              <w:top w:val="single" w:color="auto" w:sz="4" w:space="0"/>
              <w:left w:val="single" w:color="auto" w:sz="4" w:space="0"/>
              <w:bottom w:val="single" w:color="auto" w:sz="4" w:space="0"/>
              <w:right w:val="single" w:color="auto" w:sz="4" w:space="0"/>
            </w:tcBorders>
            <w:noWrap w:val="0"/>
            <w:vAlign w:val="center"/>
          </w:tcPr>
          <w:p w14:paraId="6081F25F">
            <w:pPr>
              <w:widowControl/>
              <w:adjustRightInd/>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1.26</w:t>
            </w:r>
            <w:r>
              <w:rPr>
                <w:rFonts w:hint="eastAsia" w:ascii="宋体" w:hAnsi="宋体" w:eastAsia="宋体" w:cs="宋体"/>
                <w:color w:val="auto"/>
                <w:sz w:val="24"/>
                <w:szCs w:val="24"/>
                <w:highlight w:val="none"/>
              </w:rPr>
              <w:t>厕内异味明显</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有蚊蝇的</w:t>
            </w:r>
            <w:r>
              <w:rPr>
                <w:rFonts w:hint="eastAsia" w:ascii="宋体" w:hAnsi="宋体" w:eastAsia="宋体" w:cs="宋体"/>
                <w:color w:val="auto"/>
                <w:sz w:val="24"/>
                <w:szCs w:val="24"/>
                <w:highlight w:val="none"/>
                <w:lang w:eastAsia="zh-CN"/>
              </w:rPr>
              <w:t>。</w:t>
            </w:r>
          </w:p>
        </w:tc>
        <w:tc>
          <w:tcPr>
            <w:tcW w:w="1962" w:type="dxa"/>
            <w:vMerge w:val="continue"/>
            <w:tcBorders>
              <w:left w:val="single" w:color="auto" w:sz="4" w:space="0"/>
              <w:right w:val="single" w:color="auto" w:sz="4" w:space="0"/>
            </w:tcBorders>
            <w:noWrap w:val="0"/>
            <w:vAlign w:val="center"/>
          </w:tcPr>
          <w:p w14:paraId="2BDF95B2">
            <w:pPr>
              <w:widowControl/>
              <w:adjustRightInd/>
              <w:jc w:val="left"/>
              <w:rPr>
                <w:rFonts w:hint="eastAsia" w:ascii="宋体" w:hAnsi="宋体" w:eastAsia="宋体" w:cs="宋体"/>
                <w:color w:val="auto"/>
                <w:sz w:val="24"/>
                <w:szCs w:val="24"/>
                <w:highlight w:val="none"/>
                <w:lang w:val="en-US" w:eastAsia="zh-CN"/>
              </w:rPr>
            </w:pPr>
          </w:p>
        </w:tc>
        <w:tc>
          <w:tcPr>
            <w:tcW w:w="1125" w:type="dxa"/>
            <w:vMerge w:val="continue"/>
            <w:tcBorders>
              <w:left w:val="single" w:color="auto" w:sz="4" w:space="0"/>
              <w:right w:val="single" w:color="auto" w:sz="4" w:space="0"/>
            </w:tcBorders>
            <w:noWrap w:val="0"/>
            <w:vAlign w:val="center"/>
          </w:tcPr>
          <w:p w14:paraId="19ED30EC">
            <w:pPr>
              <w:widowControl/>
              <w:adjustRightInd/>
              <w:jc w:val="center"/>
              <w:rPr>
                <w:rFonts w:hint="eastAsia" w:ascii="宋体" w:hAnsi="宋体" w:eastAsia="宋体" w:cs="宋体"/>
                <w:color w:val="auto"/>
                <w:sz w:val="24"/>
                <w:szCs w:val="24"/>
                <w:highlight w:val="none"/>
                <w:lang w:val="en-US" w:eastAsia="zh-CN"/>
              </w:rPr>
            </w:pPr>
          </w:p>
        </w:tc>
      </w:tr>
      <w:tr w14:paraId="03FCE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521" w:type="dxa"/>
            <w:vMerge w:val="continue"/>
            <w:tcBorders>
              <w:left w:val="single" w:color="auto" w:sz="4" w:space="0"/>
              <w:right w:val="single" w:color="auto" w:sz="4" w:space="0"/>
            </w:tcBorders>
            <w:noWrap w:val="0"/>
            <w:vAlign w:val="center"/>
          </w:tcPr>
          <w:p w14:paraId="34B18494">
            <w:pPr>
              <w:widowControl/>
              <w:adjustRightInd/>
              <w:jc w:val="center"/>
              <w:rPr>
                <w:rFonts w:hint="eastAsia" w:ascii="宋体" w:hAnsi="宋体" w:eastAsia="宋体" w:cs="宋体"/>
                <w:color w:val="auto"/>
                <w:sz w:val="24"/>
                <w:szCs w:val="24"/>
                <w:highlight w:val="none"/>
              </w:rPr>
            </w:pPr>
          </w:p>
        </w:tc>
        <w:tc>
          <w:tcPr>
            <w:tcW w:w="4477" w:type="dxa"/>
            <w:tcBorders>
              <w:top w:val="single" w:color="auto" w:sz="4" w:space="0"/>
              <w:left w:val="single" w:color="auto" w:sz="4" w:space="0"/>
              <w:bottom w:val="single" w:color="auto" w:sz="4" w:space="0"/>
              <w:right w:val="single" w:color="auto" w:sz="4" w:space="0"/>
            </w:tcBorders>
            <w:noWrap w:val="0"/>
            <w:vAlign w:val="center"/>
          </w:tcPr>
          <w:p w14:paraId="04E94161">
            <w:pPr>
              <w:widowControl/>
              <w:adjustRightInd/>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1.27未按规范</w:t>
            </w:r>
            <w:r>
              <w:rPr>
                <w:rFonts w:hint="eastAsia" w:ascii="宋体" w:hAnsi="宋体" w:eastAsia="宋体" w:cs="宋体"/>
                <w:color w:val="auto"/>
                <w:sz w:val="24"/>
                <w:szCs w:val="24"/>
                <w:highlight w:val="none"/>
              </w:rPr>
              <w:t>进行消毒</w:t>
            </w:r>
            <w:r>
              <w:rPr>
                <w:rFonts w:hint="eastAsia" w:ascii="宋体" w:hAnsi="宋体" w:eastAsia="宋体" w:cs="宋体"/>
                <w:color w:val="auto"/>
                <w:sz w:val="24"/>
                <w:szCs w:val="24"/>
                <w:highlight w:val="none"/>
                <w:lang w:eastAsia="zh-CN"/>
              </w:rPr>
              <w:t>作业。</w:t>
            </w:r>
          </w:p>
        </w:tc>
        <w:tc>
          <w:tcPr>
            <w:tcW w:w="1962" w:type="dxa"/>
            <w:vMerge w:val="continue"/>
            <w:tcBorders>
              <w:left w:val="single" w:color="auto" w:sz="4" w:space="0"/>
              <w:right w:val="single" w:color="auto" w:sz="4" w:space="0"/>
            </w:tcBorders>
            <w:noWrap w:val="0"/>
            <w:vAlign w:val="center"/>
          </w:tcPr>
          <w:p w14:paraId="72727C01">
            <w:pPr>
              <w:widowControl/>
              <w:adjustRightInd/>
              <w:jc w:val="left"/>
              <w:rPr>
                <w:rFonts w:hint="eastAsia" w:ascii="宋体" w:hAnsi="宋体" w:eastAsia="宋体" w:cs="宋体"/>
                <w:color w:val="auto"/>
                <w:sz w:val="24"/>
                <w:szCs w:val="24"/>
                <w:highlight w:val="none"/>
                <w:lang w:val="en-US" w:eastAsia="zh-CN"/>
              </w:rPr>
            </w:pPr>
          </w:p>
        </w:tc>
        <w:tc>
          <w:tcPr>
            <w:tcW w:w="1125" w:type="dxa"/>
            <w:vMerge w:val="continue"/>
            <w:tcBorders>
              <w:left w:val="single" w:color="auto" w:sz="4" w:space="0"/>
              <w:right w:val="single" w:color="auto" w:sz="4" w:space="0"/>
            </w:tcBorders>
            <w:noWrap w:val="0"/>
            <w:vAlign w:val="center"/>
          </w:tcPr>
          <w:p w14:paraId="164BE1B2">
            <w:pPr>
              <w:widowControl/>
              <w:adjustRightInd/>
              <w:jc w:val="center"/>
              <w:rPr>
                <w:rFonts w:hint="eastAsia" w:ascii="宋体" w:hAnsi="宋体" w:eastAsia="宋体" w:cs="宋体"/>
                <w:color w:val="auto"/>
                <w:sz w:val="24"/>
                <w:szCs w:val="24"/>
                <w:highlight w:val="none"/>
                <w:lang w:val="en-US" w:eastAsia="zh-CN"/>
              </w:rPr>
            </w:pPr>
          </w:p>
        </w:tc>
      </w:tr>
      <w:tr w14:paraId="434C7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521" w:type="dxa"/>
            <w:vMerge w:val="restart"/>
            <w:tcBorders>
              <w:left w:val="single" w:color="auto" w:sz="4" w:space="0"/>
              <w:right w:val="single" w:color="auto" w:sz="4" w:space="0"/>
            </w:tcBorders>
            <w:noWrap w:val="0"/>
            <w:vAlign w:val="center"/>
          </w:tcPr>
          <w:p w14:paraId="6F298D90">
            <w:pPr>
              <w:widowControl/>
              <w:adjustRightInd/>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四害消杀及外来入侵物种</w:t>
            </w:r>
          </w:p>
        </w:tc>
        <w:tc>
          <w:tcPr>
            <w:tcW w:w="4477" w:type="dxa"/>
            <w:tcBorders>
              <w:top w:val="single" w:color="auto" w:sz="4" w:space="0"/>
              <w:left w:val="single" w:color="auto" w:sz="4" w:space="0"/>
              <w:bottom w:val="single" w:color="auto" w:sz="4" w:space="0"/>
              <w:right w:val="single" w:color="auto" w:sz="4" w:space="0"/>
            </w:tcBorders>
            <w:noWrap w:val="0"/>
            <w:vAlign w:val="center"/>
          </w:tcPr>
          <w:p w14:paraId="1E8CA6CF">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1.28园内四害消杀不及时，蚊蝇较多。</w:t>
            </w:r>
          </w:p>
        </w:tc>
        <w:tc>
          <w:tcPr>
            <w:tcW w:w="1962" w:type="dxa"/>
            <w:tcBorders>
              <w:left w:val="single" w:color="auto" w:sz="4" w:space="0"/>
              <w:bottom w:val="single" w:color="auto" w:sz="4" w:space="0"/>
              <w:right w:val="single" w:color="auto" w:sz="4" w:space="0"/>
            </w:tcBorders>
            <w:noWrap w:val="0"/>
            <w:vAlign w:val="center"/>
          </w:tcPr>
          <w:p w14:paraId="3B171693">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每发现一处扣0.5分。</w:t>
            </w:r>
          </w:p>
        </w:tc>
        <w:tc>
          <w:tcPr>
            <w:tcW w:w="1125" w:type="dxa"/>
            <w:vMerge w:val="restart"/>
            <w:tcBorders>
              <w:left w:val="single" w:color="auto" w:sz="4" w:space="0"/>
              <w:right w:val="single" w:color="auto" w:sz="4" w:space="0"/>
            </w:tcBorders>
            <w:noWrap w:val="0"/>
            <w:vAlign w:val="center"/>
          </w:tcPr>
          <w:p w14:paraId="0B266E00">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r>
      <w:tr w14:paraId="33167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521" w:type="dxa"/>
            <w:vMerge w:val="continue"/>
            <w:tcBorders>
              <w:left w:val="single" w:color="auto" w:sz="4" w:space="0"/>
              <w:right w:val="single" w:color="auto" w:sz="4" w:space="0"/>
            </w:tcBorders>
            <w:noWrap w:val="0"/>
            <w:vAlign w:val="center"/>
          </w:tcPr>
          <w:p w14:paraId="108606C4">
            <w:pPr>
              <w:widowControl/>
              <w:adjustRightInd/>
              <w:jc w:val="center"/>
              <w:rPr>
                <w:rFonts w:hint="eastAsia" w:ascii="宋体" w:hAnsi="宋体" w:eastAsia="宋体" w:cs="宋体"/>
                <w:color w:val="auto"/>
                <w:sz w:val="24"/>
                <w:szCs w:val="24"/>
                <w:highlight w:val="none"/>
                <w:lang w:eastAsia="zh-CN"/>
              </w:rPr>
            </w:pPr>
          </w:p>
        </w:tc>
        <w:tc>
          <w:tcPr>
            <w:tcW w:w="4477" w:type="dxa"/>
            <w:tcBorders>
              <w:top w:val="single" w:color="auto" w:sz="4" w:space="0"/>
              <w:left w:val="single" w:color="auto" w:sz="4" w:space="0"/>
              <w:bottom w:val="single" w:color="auto" w:sz="4" w:space="0"/>
              <w:right w:val="single" w:color="auto" w:sz="4" w:space="0"/>
            </w:tcBorders>
            <w:noWrap w:val="0"/>
            <w:vAlign w:val="center"/>
          </w:tcPr>
          <w:p w14:paraId="2E0CB8EF">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1.29园内未及时发现外来入侵物种，或发现后未及时上报和处理。</w:t>
            </w:r>
          </w:p>
        </w:tc>
        <w:tc>
          <w:tcPr>
            <w:tcW w:w="1962" w:type="dxa"/>
            <w:tcBorders>
              <w:left w:val="single" w:color="auto" w:sz="4" w:space="0"/>
              <w:bottom w:val="single" w:color="auto" w:sz="4" w:space="0"/>
              <w:right w:val="single" w:color="auto" w:sz="4" w:space="0"/>
            </w:tcBorders>
            <w:noWrap w:val="0"/>
            <w:vAlign w:val="center"/>
          </w:tcPr>
          <w:p w14:paraId="77A8E0E8">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每发现1次扣1分。</w:t>
            </w:r>
          </w:p>
        </w:tc>
        <w:tc>
          <w:tcPr>
            <w:tcW w:w="1125" w:type="dxa"/>
            <w:vMerge w:val="continue"/>
            <w:tcBorders>
              <w:left w:val="single" w:color="auto" w:sz="4" w:space="0"/>
              <w:right w:val="single" w:color="auto" w:sz="4" w:space="0"/>
            </w:tcBorders>
            <w:noWrap w:val="0"/>
            <w:vAlign w:val="center"/>
          </w:tcPr>
          <w:p w14:paraId="4044C469">
            <w:pPr>
              <w:widowControl/>
              <w:adjustRightInd/>
              <w:jc w:val="center"/>
              <w:rPr>
                <w:rFonts w:hint="eastAsia" w:ascii="宋体" w:hAnsi="宋体" w:eastAsia="宋体" w:cs="宋体"/>
                <w:color w:val="auto"/>
                <w:sz w:val="24"/>
                <w:szCs w:val="24"/>
                <w:highlight w:val="none"/>
                <w:lang w:val="en-US" w:eastAsia="zh-CN"/>
              </w:rPr>
            </w:pPr>
          </w:p>
        </w:tc>
      </w:tr>
      <w:tr w14:paraId="2E5A6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521" w:type="dxa"/>
            <w:vMerge w:val="restart"/>
            <w:tcBorders>
              <w:left w:val="single" w:color="auto" w:sz="4" w:space="0"/>
              <w:right w:val="single" w:color="auto" w:sz="4" w:space="0"/>
            </w:tcBorders>
            <w:noWrap w:val="0"/>
            <w:vAlign w:val="center"/>
          </w:tcPr>
          <w:p w14:paraId="10470B30">
            <w:pPr>
              <w:widowControl/>
              <w:adjustRightInd/>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水体维护</w:t>
            </w:r>
          </w:p>
        </w:tc>
        <w:tc>
          <w:tcPr>
            <w:tcW w:w="4477" w:type="dxa"/>
            <w:tcBorders>
              <w:top w:val="single" w:color="auto" w:sz="4" w:space="0"/>
              <w:left w:val="single" w:color="auto" w:sz="4" w:space="0"/>
              <w:bottom w:val="single" w:color="auto" w:sz="4" w:space="0"/>
              <w:right w:val="single" w:color="auto" w:sz="4" w:space="0"/>
            </w:tcBorders>
            <w:noWrap w:val="0"/>
            <w:vAlign w:val="center"/>
          </w:tcPr>
          <w:p w14:paraId="7DA8902E">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1.30水面存在明显漂浮垃圾或漂浮污渍。</w:t>
            </w:r>
          </w:p>
        </w:tc>
        <w:tc>
          <w:tcPr>
            <w:tcW w:w="1962" w:type="dxa"/>
            <w:tcBorders>
              <w:left w:val="single" w:color="auto" w:sz="4" w:space="0"/>
              <w:bottom w:val="single" w:color="auto" w:sz="4" w:space="0"/>
              <w:right w:val="single" w:color="auto" w:sz="4" w:space="0"/>
            </w:tcBorders>
            <w:noWrap w:val="0"/>
            <w:vAlign w:val="center"/>
          </w:tcPr>
          <w:p w14:paraId="12E3B5AE">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每发现一次扣0.5分（当月累计扣分）。</w:t>
            </w:r>
          </w:p>
        </w:tc>
        <w:tc>
          <w:tcPr>
            <w:tcW w:w="1125" w:type="dxa"/>
            <w:vMerge w:val="restart"/>
            <w:tcBorders>
              <w:left w:val="single" w:color="auto" w:sz="4" w:space="0"/>
              <w:right w:val="single" w:color="auto" w:sz="4" w:space="0"/>
            </w:tcBorders>
            <w:noWrap w:val="0"/>
            <w:vAlign w:val="center"/>
          </w:tcPr>
          <w:p w14:paraId="026EA70F">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r>
      <w:tr w14:paraId="10193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521" w:type="dxa"/>
            <w:vMerge w:val="continue"/>
            <w:tcBorders>
              <w:left w:val="single" w:color="auto" w:sz="4" w:space="0"/>
              <w:bottom w:val="single" w:color="auto" w:sz="4" w:space="0"/>
              <w:right w:val="single" w:color="auto" w:sz="4" w:space="0"/>
            </w:tcBorders>
            <w:noWrap w:val="0"/>
            <w:vAlign w:val="center"/>
          </w:tcPr>
          <w:p w14:paraId="3203AE06">
            <w:pPr>
              <w:widowControl/>
              <w:adjustRightInd/>
              <w:jc w:val="center"/>
              <w:rPr>
                <w:rFonts w:hint="eastAsia" w:ascii="宋体" w:hAnsi="宋体" w:eastAsia="宋体" w:cs="宋体"/>
                <w:color w:val="auto"/>
                <w:sz w:val="24"/>
                <w:szCs w:val="24"/>
                <w:highlight w:val="none"/>
                <w:lang w:eastAsia="zh-CN"/>
              </w:rPr>
            </w:pPr>
          </w:p>
        </w:tc>
        <w:tc>
          <w:tcPr>
            <w:tcW w:w="4477" w:type="dxa"/>
            <w:tcBorders>
              <w:top w:val="single" w:color="auto" w:sz="4" w:space="0"/>
              <w:left w:val="single" w:color="auto" w:sz="4" w:space="0"/>
              <w:bottom w:val="single" w:color="auto" w:sz="4" w:space="0"/>
              <w:right w:val="single" w:color="auto" w:sz="4" w:space="0"/>
            </w:tcBorders>
            <w:noWrap w:val="0"/>
            <w:vAlign w:val="center"/>
          </w:tcPr>
          <w:p w14:paraId="7709288F">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1.31 </w:t>
            </w:r>
            <w:r>
              <w:rPr>
                <w:rFonts w:hint="eastAsia" w:ascii="宋体" w:hAnsi="宋体" w:eastAsia="宋体" w:cs="宋体"/>
                <w:b w:val="0"/>
                <w:bCs w:val="0"/>
                <w:color w:val="auto"/>
                <w:sz w:val="24"/>
                <w:szCs w:val="24"/>
                <w:highlight w:val="none"/>
                <w:shd w:val="clear" w:color="auto" w:fill="FFFFFF"/>
                <w:lang w:val="zh-TW" w:eastAsia="zh-CN" w:bidi="zh-TW"/>
              </w:rPr>
              <w:t>水体出现黑臭或大面积蓝绿藻爆发</w:t>
            </w:r>
            <w:r>
              <w:rPr>
                <w:rFonts w:hint="eastAsia" w:ascii="宋体" w:hAnsi="宋体" w:eastAsia="宋体" w:cs="宋体"/>
                <w:b w:val="0"/>
                <w:bCs w:val="0"/>
                <w:color w:val="auto"/>
                <w:sz w:val="24"/>
                <w:szCs w:val="24"/>
                <w:highlight w:val="none"/>
                <w:shd w:val="clear" w:color="auto" w:fill="FFFFFF"/>
                <w:lang w:val="en-US" w:eastAsia="zh-CN" w:bidi="zh-TW"/>
              </w:rPr>
              <w:t>情况。</w:t>
            </w:r>
          </w:p>
        </w:tc>
        <w:tc>
          <w:tcPr>
            <w:tcW w:w="1962" w:type="dxa"/>
            <w:tcBorders>
              <w:left w:val="single" w:color="auto" w:sz="4" w:space="0"/>
              <w:bottom w:val="single" w:color="auto" w:sz="4" w:space="0"/>
              <w:right w:val="single" w:color="auto" w:sz="4" w:space="0"/>
            </w:tcBorders>
            <w:noWrap w:val="0"/>
            <w:vAlign w:val="center"/>
          </w:tcPr>
          <w:p w14:paraId="17D4E883">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每次扣2分。</w:t>
            </w:r>
          </w:p>
        </w:tc>
        <w:tc>
          <w:tcPr>
            <w:tcW w:w="1125" w:type="dxa"/>
            <w:vMerge w:val="continue"/>
            <w:tcBorders>
              <w:left w:val="single" w:color="auto" w:sz="4" w:space="0"/>
              <w:bottom w:val="single" w:color="auto" w:sz="4" w:space="0"/>
              <w:right w:val="single" w:color="auto" w:sz="4" w:space="0"/>
            </w:tcBorders>
            <w:noWrap w:val="0"/>
            <w:vAlign w:val="center"/>
          </w:tcPr>
          <w:p w14:paraId="4A064CF5">
            <w:pPr>
              <w:widowControl/>
              <w:adjustRightInd/>
              <w:jc w:val="center"/>
              <w:rPr>
                <w:rFonts w:hint="eastAsia" w:ascii="宋体" w:hAnsi="宋体" w:eastAsia="宋体" w:cs="宋体"/>
                <w:color w:val="auto"/>
                <w:sz w:val="24"/>
                <w:szCs w:val="24"/>
                <w:highlight w:val="none"/>
                <w:lang w:val="en-US" w:eastAsia="zh-CN"/>
              </w:rPr>
            </w:pPr>
          </w:p>
        </w:tc>
      </w:tr>
      <w:tr w14:paraId="28578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9085" w:type="dxa"/>
            <w:gridSpan w:val="4"/>
            <w:tcBorders>
              <w:top w:val="single" w:color="auto" w:sz="4" w:space="0"/>
              <w:left w:val="single" w:color="auto" w:sz="4" w:space="0"/>
              <w:bottom w:val="single" w:color="auto" w:sz="4" w:space="0"/>
              <w:right w:val="single" w:color="auto" w:sz="4" w:space="0"/>
            </w:tcBorders>
            <w:shd w:val="clear" w:color="auto" w:fill="D7D7D7"/>
            <w:noWrap w:val="0"/>
            <w:vAlign w:val="center"/>
          </w:tcPr>
          <w:p w14:paraId="795FB7D2">
            <w:pPr>
              <w:widowControl/>
              <w:adjustRightInd/>
              <w:jc w:val="left"/>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（二）</w:t>
            </w:r>
            <w:r>
              <w:rPr>
                <w:rFonts w:hint="eastAsia" w:ascii="宋体" w:hAnsi="宋体" w:eastAsia="宋体" w:cs="宋体"/>
                <w:b/>
                <w:color w:val="auto"/>
                <w:sz w:val="24"/>
                <w:szCs w:val="24"/>
                <w:highlight w:val="none"/>
                <w:lang w:val="en-US" w:eastAsia="zh-CN"/>
              </w:rPr>
              <w:t>安全管理</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20分</w:t>
            </w:r>
            <w:r>
              <w:rPr>
                <w:rFonts w:hint="eastAsia" w:ascii="宋体" w:hAnsi="宋体" w:eastAsia="宋体" w:cs="宋体"/>
                <w:b/>
                <w:color w:val="auto"/>
                <w:sz w:val="24"/>
                <w:szCs w:val="24"/>
                <w:highlight w:val="none"/>
                <w:lang w:eastAsia="zh-CN"/>
              </w:rPr>
              <w:t>）</w:t>
            </w:r>
          </w:p>
        </w:tc>
      </w:tr>
      <w:tr w14:paraId="69E04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521" w:type="dxa"/>
            <w:vMerge w:val="restart"/>
            <w:tcBorders>
              <w:top w:val="single" w:color="auto" w:sz="4" w:space="0"/>
              <w:left w:val="single" w:color="auto" w:sz="4" w:space="0"/>
              <w:right w:val="single" w:color="auto" w:sz="4" w:space="0"/>
            </w:tcBorders>
            <w:noWrap w:val="0"/>
            <w:vAlign w:val="center"/>
          </w:tcPr>
          <w:p w14:paraId="7A3A8BF9">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安全秩序</w:t>
            </w:r>
          </w:p>
        </w:tc>
        <w:tc>
          <w:tcPr>
            <w:tcW w:w="4477" w:type="dxa"/>
            <w:tcBorders>
              <w:top w:val="single" w:color="auto" w:sz="4" w:space="0"/>
              <w:left w:val="single" w:color="auto" w:sz="4" w:space="0"/>
              <w:bottom w:val="single" w:color="auto" w:sz="4" w:space="0"/>
              <w:right w:val="single" w:color="auto" w:sz="4" w:space="0"/>
            </w:tcBorders>
            <w:noWrap w:val="0"/>
            <w:vAlign w:val="top"/>
          </w:tcPr>
          <w:p w14:paraId="5DEAE4F6">
            <w:pPr>
              <w:widowControl/>
              <w:adjustRightInd/>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2.1</w:t>
            </w:r>
            <w:r>
              <w:rPr>
                <w:rFonts w:hint="eastAsia" w:ascii="宋体" w:hAnsi="宋体" w:eastAsia="宋体" w:cs="宋体"/>
                <w:color w:val="auto"/>
                <w:sz w:val="24"/>
                <w:szCs w:val="24"/>
                <w:highlight w:val="none"/>
              </w:rPr>
              <w:t>园</w:t>
            </w:r>
            <w:r>
              <w:rPr>
                <w:rFonts w:hint="eastAsia" w:ascii="宋体" w:hAnsi="宋体" w:eastAsia="宋体" w:cs="宋体"/>
                <w:color w:val="auto"/>
                <w:sz w:val="24"/>
                <w:szCs w:val="24"/>
                <w:highlight w:val="none"/>
                <w:lang w:eastAsia="zh-CN"/>
              </w:rPr>
              <w:t>内</w:t>
            </w:r>
            <w:r>
              <w:rPr>
                <w:rFonts w:hint="eastAsia" w:ascii="宋体" w:hAnsi="宋体" w:eastAsia="宋体" w:cs="宋体"/>
                <w:color w:val="auto"/>
                <w:sz w:val="24"/>
                <w:szCs w:val="24"/>
                <w:highlight w:val="none"/>
              </w:rPr>
              <w:t>存在赌博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传播封建迷信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流动设摊</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乱涂乱画、攀折花枝</w:t>
            </w:r>
            <w:r>
              <w:rPr>
                <w:rFonts w:hint="eastAsia" w:ascii="宋体" w:hAnsi="宋体" w:eastAsia="宋体" w:cs="宋体"/>
                <w:color w:val="auto"/>
                <w:sz w:val="24"/>
                <w:szCs w:val="24"/>
                <w:highlight w:val="none"/>
                <w:lang w:eastAsia="zh-CN"/>
              </w:rPr>
              <w:t>和</w:t>
            </w:r>
            <w:r>
              <w:rPr>
                <w:rFonts w:hint="eastAsia" w:ascii="宋体" w:hAnsi="宋体" w:eastAsia="宋体" w:cs="宋体"/>
                <w:color w:val="auto"/>
                <w:sz w:val="24"/>
                <w:szCs w:val="24"/>
                <w:highlight w:val="none"/>
              </w:rPr>
              <w:t>攀爬雕塑</w:t>
            </w:r>
            <w:r>
              <w:rPr>
                <w:rFonts w:hint="eastAsia" w:ascii="宋体" w:hAnsi="宋体" w:eastAsia="宋体" w:cs="宋体"/>
                <w:color w:val="auto"/>
                <w:sz w:val="24"/>
                <w:szCs w:val="24"/>
                <w:highlight w:val="none"/>
                <w:lang w:eastAsia="zh-CN"/>
              </w:rPr>
              <w:t>、吊挂晾晒等</w:t>
            </w:r>
            <w:r>
              <w:rPr>
                <w:rFonts w:hint="eastAsia" w:ascii="宋体" w:hAnsi="宋体" w:eastAsia="宋体" w:cs="宋体"/>
                <w:color w:val="auto"/>
                <w:sz w:val="24"/>
                <w:szCs w:val="24"/>
                <w:highlight w:val="none"/>
              </w:rPr>
              <w:t>影响正常游园</w:t>
            </w:r>
            <w:r>
              <w:rPr>
                <w:rFonts w:hint="eastAsia" w:ascii="宋体" w:hAnsi="宋体" w:eastAsia="宋体" w:cs="宋体"/>
                <w:color w:val="auto"/>
                <w:sz w:val="24"/>
                <w:szCs w:val="24"/>
                <w:highlight w:val="none"/>
                <w:lang w:eastAsia="zh-CN"/>
              </w:rPr>
              <w:t>和公园景观</w:t>
            </w:r>
            <w:r>
              <w:rPr>
                <w:rFonts w:hint="eastAsia" w:ascii="宋体" w:hAnsi="宋体" w:eastAsia="宋体" w:cs="宋体"/>
                <w:color w:val="auto"/>
                <w:sz w:val="24"/>
                <w:szCs w:val="24"/>
                <w:highlight w:val="none"/>
              </w:rPr>
              <w:t>的不文明行为</w:t>
            </w:r>
            <w:r>
              <w:rPr>
                <w:rFonts w:hint="eastAsia" w:ascii="宋体" w:hAnsi="宋体" w:eastAsia="宋体" w:cs="宋体"/>
                <w:color w:val="auto"/>
                <w:sz w:val="24"/>
                <w:szCs w:val="24"/>
                <w:highlight w:val="none"/>
                <w:lang w:eastAsia="zh-CN"/>
              </w:rPr>
              <w:t>未</w:t>
            </w:r>
            <w:r>
              <w:rPr>
                <w:rFonts w:hint="eastAsia" w:ascii="宋体" w:hAnsi="宋体" w:eastAsia="宋体" w:cs="宋体"/>
                <w:color w:val="auto"/>
                <w:sz w:val="24"/>
                <w:szCs w:val="24"/>
                <w:highlight w:val="none"/>
              </w:rPr>
              <w:t>及时劝阻</w:t>
            </w:r>
            <w:r>
              <w:rPr>
                <w:rFonts w:hint="eastAsia" w:ascii="宋体" w:hAnsi="宋体" w:eastAsia="宋体" w:cs="宋体"/>
                <w:color w:val="auto"/>
                <w:sz w:val="24"/>
                <w:szCs w:val="24"/>
                <w:highlight w:val="none"/>
                <w:lang w:eastAsia="zh-CN"/>
              </w:rPr>
              <w:t>。</w:t>
            </w:r>
          </w:p>
        </w:tc>
        <w:tc>
          <w:tcPr>
            <w:tcW w:w="1962" w:type="dxa"/>
            <w:vMerge w:val="restart"/>
            <w:tcBorders>
              <w:top w:val="single" w:color="auto" w:sz="4" w:space="0"/>
              <w:left w:val="single" w:color="auto" w:sz="4" w:space="0"/>
              <w:right w:val="single" w:color="auto" w:sz="4" w:space="0"/>
            </w:tcBorders>
            <w:noWrap w:val="0"/>
            <w:vAlign w:val="center"/>
          </w:tcPr>
          <w:p w14:paraId="39E576AD">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每发现一次，根据情节轻重扣1—2分（当月累计扣分）。</w:t>
            </w:r>
          </w:p>
        </w:tc>
        <w:tc>
          <w:tcPr>
            <w:tcW w:w="1125" w:type="dxa"/>
            <w:vMerge w:val="restart"/>
            <w:tcBorders>
              <w:top w:val="single" w:color="auto" w:sz="4" w:space="0"/>
              <w:left w:val="single" w:color="auto" w:sz="4" w:space="0"/>
              <w:right w:val="single" w:color="auto" w:sz="4" w:space="0"/>
            </w:tcBorders>
            <w:noWrap w:val="0"/>
            <w:vAlign w:val="center"/>
          </w:tcPr>
          <w:p w14:paraId="0EC6F0C5">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w:t>
            </w:r>
          </w:p>
        </w:tc>
      </w:tr>
      <w:tr w14:paraId="7CDB0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21" w:type="dxa"/>
            <w:vMerge w:val="continue"/>
            <w:tcBorders>
              <w:left w:val="single" w:color="auto" w:sz="4" w:space="0"/>
              <w:right w:val="single" w:color="auto" w:sz="4" w:space="0"/>
            </w:tcBorders>
            <w:noWrap w:val="0"/>
            <w:vAlign w:val="center"/>
          </w:tcPr>
          <w:p w14:paraId="7D2539D4">
            <w:pPr>
              <w:widowControl/>
              <w:adjustRightInd/>
              <w:jc w:val="center"/>
              <w:rPr>
                <w:rFonts w:hint="eastAsia" w:ascii="宋体" w:hAnsi="宋体" w:eastAsia="宋体" w:cs="宋体"/>
                <w:color w:val="auto"/>
                <w:sz w:val="24"/>
                <w:szCs w:val="24"/>
                <w:highlight w:val="none"/>
                <w:lang w:val="en-US" w:eastAsia="zh-CN"/>
              </w:rPr>
            </w:pPr>
          </w:p>
        </w:tc>
        <w:tc>
          <w:tcPr>
            <w:tcW w:w="4477" w:type="dxa"/>
            <w:tcBorders>
              <w:top w:val="single" w:color="auto" w:sz="4" w:space="0"/>
              <w:left w:val="single" w:color="auto" w:sz="4" w:space="0"/>
              <w:bottom w:val="single" w:color="auto" w:sz="4" w:space="0"/>
              <w:right w:val="single" w:color="auto" w:sz="4" w:space="0"/>
            </w:tcBorders>
            <w:noWrap w:val="0"/>
            <w:vAlign w:val="top"/>
          </w:tcPr>
          <w:p w14:paraId="1C922BDE">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园</w:t>
            </w:r>
            <w:r>
              <w:rPr>
                <w:rFonts w:hint="eastAsia" w:ascii="宋体" w:hAnsi="宋体" w:eastAsia="宋体" w:cs="宋体"/>
                <w:color w:val="auto"/>
                <w:sz w:val="24"/>
                <w:szCs w:val="24"/>
                <w:highlight w:val="none"/>
                <w:lang w:eastAsia="zh-CN"/>
              </w:rPr>
              <w:t>内</w:t>
            </w:r>
            <w:r>
              <w:rPr>
                <w:rFonts w:hint="eastAsia" w:ascii="宋体" w:hAnsi="宋体" w:eastAsia="宋体" w:cs="宋体"/>
                <w:color w:val="auto"/>
                <w:sz w:val="24"/>
                <w:szCs w:val="24"/>
                <w:highlight w:val="none"/>
              </w:rPr>
              <w:t>噪音</w:t>
            </w:r>
            <w:r>
              <w:rPr>
                <w:rFonts w:hint="eastAsia" w:ascii="宋体" w:hAnsi="宋体" w:eastAsia="宋体" w:cs="宋体"/>
                <w:color w:val="auto"/>
                <w:sz w:val="24"/>
                <w:szCs w:val="24"/>
                <w:highlight w:val="none"/>
                <w:lang w:eastAsia="zh-CN"/>
              </w:rPr>
              <w:t>超标</w:t>
            </w:r>
            <w:r>
              <w:rPr>
                <w:rFonts w:hint="eastAsia" w:ascii="宋体" w:hAnsi="宋体" w:eastAsia="宋体" w:cs="宋体"/>
                <w:color w:val="auto"/>
                <w:sz w:val="24"/>
                <w:szCs w:val="24"/>
                <w:highlight w:val="none"/>
              </w:rPr>
              <w:t>严重</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未见落实措施和及时劝阻</w:t>
            </w:r>
            <w:r>
              <w:rPr>
                <w:rFonts w:hint="eastAsia" w:ascii="宋体" w:hAnsi="宋体" w:eastAsia="宋体" w:cs="宋体"/>
                <w:color w:val="auto"/>
                <w:sz w:val="24"/>
                <w:szCs w:val="24"/>
                <w:highlight w:val="none"/>
                <w:lang w:eastAsia="zh-CN"/>
              </w:rPr>
              <w:t>。</w:t>
            </w:r>
          </w:p>
        </w:tc>
        <w:tc>
          <w:tcPr>
            <w:tcW w:w="1962" w:type="dxa"/>
            <w:vMerge w:val="continue"/>
            <w:tcBorders>
              <w:left w:val="single" w:color="auto" w:sz="4" w:space="0"/>
              <w:right w:val="single" w:color="auto" w:sz="4" w:space="0"/>
            </w:tcBorders>
            <w:noWrap w:val="0"/>
            <w:vAlign w:val="center"/>
          </w:tcPr>
          <w:p w14:paraId="01D71202">
            <w:pPr>
              <w:widowControl/>
              <w:adjustRightInd/>
              <w:jc w:val="left"/>
              <w:rPr>
                <w:rFonts w:hint="eastAsia" w:ascii="宋体" w:hAnsi="宋体" w:eastAsia="宋体" w:cs="宋体"/>
                <w:color w:val="auto"/>
                <w:sz w:val="24"/>
                <w:szCs w:val="24"/>
                <w:highlight w:val="none"/>
                <w:lang w:val="en-US" w:eastAsia="zh-CN"/>
              </w:rPr>
            </w:pPr>
          </w:p>
        </w:tc>
        <w:tc>
          <w:tcPr>
            <w:tcW w:w="1125" w:type="dxa"/>
            <w:vMerge w:val="continue"/>
            <w:tcBorders>
              <w:left w:val="single" w:color="auto" w:sz="4" w:space="0"/>
              <w:right w:val="single" w:color="auto" w:sz="4" w:space="0"/>
            </w:tcBorders>
            <w:noWrap w:val="0"/>
            <w:vAlign w:val="center"/>
          </w:tcPr>
          <w:p w14:paraId="687BDD8B">
            <w:pPr>
              <w:widowControl/>
              <w:adjustRightInd/>
              <w:jc w:val="center"/>
              <w:rPr>
                <w:rFonts w:hint="eastAsia" w:ascii="宋体" w:hAnsi="宋体" w:eastAsia="宋体" w:cs="宋体"/>
                <w:color w:val="auto"/>
                <w:sz w:val="24"/>
                <w:szCs w:val="24"/>
                <w:highlight w:val="none"/>
                <w:lang w:val="en-US" w:eastAsia="zh-CN"/>
              </w:rPr>
            </w:pPr>
          </w:p>
        </w:tc>
      </w:tr>
      <w:tr w14:paraId="3B6EE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21" w:type="dxa"/>
            <w:vMerge w:val="continue"/>
            <w:tcBorders>
              <w:left w:val="single" w:color="auto" w:sz="4" w:space="0"/>
              <w:right w:val="single" w:color="auto" w:sz="4" w:space="0"/>
            </w:tcBorders>
            <w:noWrap w:val="0"/>
            <w:vAlign w:val="center"/>
          </w:tcPr>
          <w:p w14:paraId="071C7D11">
            <w:pPr>
              <w:widowControl/>
              <w:adjustRightInd/>
              <w:jc w:val="center"/>
              <w:rPr>
                <w:rFonts w:hint="eastAsia" w:ascii="宋体" w:hAnsi="宋体" w:eastAsia="宋体" w:cs="宋体"/>
                <w:color w:val="auto"/>
                <w:sz w:val="24"/>
                <w:szCs w:val="24"/>
                <w:highlight w:val="none"/>
                <w:lang w:val="en-US" w:eastAsia="zh-CN"/>
              </w:rPr>
            </w:pPr>
          </w:p>
        </w:tc>
        <w:tc>
          <w:tcPr>
            <w:tcW w:w="4477" w:type="dxa"/>
            <w:tcBorders>
              <w:top w:val="single" w:color="auto" w:sz="4" w:space="0"/>
              <w:left w:val="single" w:color="auto" w:sz="4" w:space="0"/>
              <w:bottom w:val="single" w:color="auto" w:sz="4" w:space="0"/>
              <w:right w:val="single" w:color="auto" w:sz="4" w:space="0"/>
            </w:tcBorders>
            <w:noWrap w:val="0"/>
            <w:vAlign w:val="top"/>
          </w:tcPr>
          <w:p w14:paraId="796151F2">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2.3园内水域存在网鱼、</w:t>
            </w:r>
            <w:r>
              <w:rPr>
                <w:rFonts w:hint="eastAsia" w:ascii="宋体" w:hAnsi="宋体" w:eastAsia="宋体" w:cs="宋体"/>
                <w:color w:val="auto"/>
                <w:sz w:val="24"/>
                <w:szCs w:val="24"/>
                <w:highlight w:val="none"/>
              </w:rPr>
              <w:t>钓鱼、游泳、洗衣物</w:t>
            </w:r>
            <w:r>
              <w:rPr>
                <w:rFonts w:hint="eastAsia" w:ascii="宋体" w:hAnsi="宋体" w:eastAsia="宋体" w:cs="宋体"/>
                <w:color w:val="auto"/>
                <w:sz w:val="24"/>
                <w:szCs w:val="24"/>
                <w:highlight w:val="none"/>
                <w:lang w:eastAsia="zh-CN"/>
              </w:rPr>
              <w:t>等不文明行为未及时劝阻。</w:t>
            </w:r>
          </w:p>
        </w:tc>
        <w:tc>
          <w:tcPr>
            <w:tcW w:w="1962" w:type="dxa"/>
            <w:vMerge w:val="continue"/>
            <w:tcBorders>
              <w:left w:val="single" w:color="auto" w:sz="4" w:space="0"/>
              <w:right w:val="single" w:color="auto" w:sz="4" w:space="0"/>
            </w:tcBorders>
            <w:noWrap w:val="0"/>
            <w:vAlign w:val="center"/>
          </w:tcPr>
          <w:p w14:paraId="44DBBF02">
            <w:pPr>
              <w:widowControl/>
              <w:adjustRightInd/>
              <w:jc w:val="left"/>
              <w:rPr>
                <w:rFonts w:hint="eastAsia" w:ascii="宋体" w:hAnsi="宋体" w:eastAsia="宋体" w:cs="宋体"/>
                <w:color w:val="auto"/>
                <w:sz w:val="24"/>
                <w:szCs w:val="24"/>
                <w:highlight w:val="none"/>
                <w:lang w:val="en-US" w:eastAsia="zh-CN"/>
              </w:rPr>
            </w:pPr>
          </w:p>
        </w:tc>
        <w:tc>
          <w:tcPr>
            <w:tcW w:w="1125" w:type="dxa"/>
            <w:vMerge w:val="continue"/>
            <w:tcBorders>
              <w:left w:val="single" w:color="auto" w:sz="4" w:space="0"/>
              <w:right w:val="single" w:color="auto" w:sz="4" w:space="0"/>
            </w:tcBorders>
            <w:noWrap w:val="0"/>
            <w:vAlign w:val="center"/>
          </w:tcPr>
          <w:p w14:paraId="3D0D539F">
            <w:pPr>
              <w:widowControl/>
              <w:adjustRightInd/>
              <w:jc w:val="center"/>
              <w:rPr>
                <w:rFonts w:hint="eastAsia" w:ascii="宋体" w:hAnsi="宋体" w:eastAsia="宋体" w:cs="宋体"/>
                <w:color w:val="auto"/>
                <w:sz w:val="24"/>
                <w:szCs w:val="24"/>
                <w:highlight w:val="none"/>
                <w:lang w:val="en-US" w:eastAsia="zh-CN"/>
              </w:rPr>
            </w:pPr>
          </w:p>
        </w:tc>
      </w:tr>
      <w:tr w14:paraId="55E63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21" w:type="dxa"/>
            <w:vMerge w:val="continue"/>
            <w:tcBorders>
              <w:left w:val="single" w:color="auto" w:sz="4" w:space="0"/>
              <w:right w:val="single" w:color="auto" w:sz="4" w:space="0"/>
            </w:tcBorders>
            <w:noWrap w:val="0"/>
            <w:vAlign w:val="center"/>
          </w:tcPr>
          <w:p w14:paraId="05F5B635">
            <w:pPr>
              <w:widowControl/>
              <w:adjustRightInd/>
              <w:jc w:val="center"/>
              <w:rPr>
                <w:rFonts w:hint="eastAsia" w:ascii="宋体" w:hAnsi="宋体" w:eastAsia="宋体" w:cs="宋体"/>
                <w:color w:val="auto"/>
                <w:sz w:val="24"/>
                <w:szCs w:val="24"/>
                <w:highlight w:val="none"/>
                <w:lang w:val="en-US" w:eastAsia="zh-CN"/>
              </w:rPr>
            </w:pPr>
          </w:p>
        </w:tc>
        <w:tc>
          <w:tcPr>
            <w:tcW w:w="4477" w:type="dxa"/>
            <w:tcBorders>
              <w:top w:val="single" w:color="auto" w:sz="4" w:space="0"/>
              <w:left w:val="single" w:color="auto" w:sz="4" w:space="0"/>
              <w:bottom w:val="single" w:color="auto" w:sz="4" w:space="0"/>
              <w:right w:val="single" w:color="auto" w:sz="4" w:space="0"/>
            </w:tcBorders>
            <w:noWrap w:val="0"/>
            <w:vAlign w:val="center"/>
          </w:tcPr>
          <w:p w14:paraId="231BB93A">
            <w:pPr>
              <w:widowControl/>
              <w:adjustRightInd/>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2.4</w:t>
            </w:r>
            <w:r>
              <w:rPr>
                <w:rFonts w:hint="eastAsia" w:ascii="宋体" w:hAnsi="宋体" w:eastAsia="宋体" w:cs="宋体"/>
                <w:color w:val="auto"/>
                <w:sz w:val="24"/>
                <w:szCs w:val="24"/>
                <w:highlight w:val="none"/>
              </w:rPr>
              <w:t>园</w:t>
            </w:r>
            <w:r>
              <w:rPr>
                <w:rFonts w:hint="eastAsia" w:ascii="宋体" w:hAnsi="宋体" w:eastAsia="宋体" w:cs="宋体"/>
                <w:color w:val="auto"/>
                <w:sz w:val="24"/>
                <w:szCs w:val="24"/>
                <w:highlight w:val="none"/>
                <w:lang w:eastAsia="zh-CN"/>
              </w:rPr>
              <w:t>内</w:t>
            </w:r>
            <w:r>
              <w:rPr>
                <w:rFonts w:hint="eastAsia" w:ascii="宋体" w:hAnsi="宋体" w:eastAsia="宋体" w:cs="宋体"/>
                <w:color w:val="auto"/>
                <w:sz w:val="24"/>
                <w:szCs w:val="24"/>
                <w:highlight w:val="none"/>
              </w:rPr>
              <w:t>存在</w:t>
            </w:r>
            <w:r>
              <w:rPr>
                <w:rFonts w:hint="eastAsia" w:ascii="宋体" w:hAnsi="宋体" w:eastAsia="宋体" w:cs="宋体"/>
                <w:color w:val="auto"/>
                <w:sz w:val="24"/>
                <w:szCs w:val="24"/>
                <w:highlight w:val="none"/>
                <w:lang w:eastAsia="zh-CN"/>
              </w:rPr>
              <w:t>非机动车入园未及时劝阻或停放混乱</w:t>
            </w:r>
            <w:r>
              <w:rPr>
                <w:rFonts w:hint="eastAsia" w:ascii="宋体" w:hAnsi="宋体" w:eastAsia="宋体" w:cs="宋体"/>
                <w:color w:val="auto"/>
                <w:sz w:val="24"/>
                <w:szCs w:val="24"/>
                <w:highlight w:val="none"/>
              </w:rPr>
              <w:t>未见落实措施</w:t>
            </w:r>
            <w:r>
              <w:rPr>
                <w:rFonts w:hint="eastAsia" w:ascii="宋体" w:hAnsi="宋体" w:eastAsia="宋体" w:cs="宋体"/>
                <w:color w:val="auto"/>
                <w:sz w:val="24"/>
                <w:szCs w:val="24"/>
                <w:highlight w:val="none"/>
                <w:lang w:eastAsia="zh-CN"/>
              </w:rPr>
              <w:t>。</w:t>
            </w:r>
          </w:p>
        </w:tc>
        <w:tc>
          <w:tcPr>
            <w:tcW w:w="1962" w:type="dxa"/>
            <w:vMerge w:val="continue"/>
            <w:tcBorders>
              <w:left w:val="single" w:color="auto" w:sz="4" w:space="0"/>
              <w:right w:val="single" w:color="auto" w:sz="4" w:space="0"/>
            </w:tcBorders>
            <w:noWrap w:val="0"/>
            <w:vAlign w:val="center"/>
          </w:tcPr>
          <w:p w14:paraId="5D814E88">
            <w:pPr>
              <w:widowControl/>
              <w:adjustRightInd/>
              <w:jc w:val="left"/>
              <w:rPr>
                <w:rFonts w:hint="eastAsia" w:ascii="宋体" w:hAnsi="宋体" w:eastAsia="宋体" w:cs="宋体"/>
                <w:color w:val="auto"/>
                <w:sz w:val="24"/>
                <w:szCs w:val="24"/>
                <w:highlight w:val="none"/>
                <w:lang w:val="en-US" w:eastAsia="zh-CN"/>
              </w:rPr>
            </w:pPr>
          </w:p>
        </w:tc>
        <w:tc>
          <w:tcPr>
            <w:tcW w:w="1125" w:type="dxa"/>
            <w:vMerge w:val="continue"/>
            <w:tcBorders>
              <w:left w:val="single" w:color="auto" w:sz="4" w:space="0"/>
              <w:right w:val="single" w:color="auto" w:sz="4" w:space="0"/>
            </w:tcBorders>
            <w:noWrap w:val="0"/>
            <w:vAlign w:val="center"/>
          </w:tcPr>
          <w:p w14:paraId="4E7AB69A">
            <w:pPr>
              <w:widowControl/>
              <w:adjustRightInd/>
              <w:jc w:val="center"/>
              <w:rPr>
                <w:rFonts w:hint="eastAsia" w:ascii="宋体" w:hAnsi="宋体" w:eastAsia="宋体" w:cs="宋体"/>
                <w:color w:val="auto"/>
                <w:sz w:val="24"/>
                <w:szCs w:val="24"/>
                <w:highlight w:val="none"/>
                <w:lang w:val="en-US" w:eastAsia="zh-CN"/>
              </w:rPr>
            </w:pPr>
          </w:p>
        </w:tc>
      </w:tr>
      <w:tr w14:paraId="4B4BD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21" w:type="dxa"/>
            <w:vMerge w:val="continue"/>
            <w:tcBorders>
              <w:left w:val="single" w:color="auto" w:sz="4" w:space="0"/>
              <w:right w:val="single" w:color="auto" w:sz="4" w:space="0"/>
            </w:tcBorders>
            <w:noWrap w:val="0"/>
            <w:vAlign w:val="center"/>
          </w:tcPr>
          <w:p w14:paraId="2B6C1F33">
            <w:pPr>
              <w:widowControl/>
              <w:adjustRightInd/>
              <w:jc w:val="center"/>
              <w:rPr>
                <w:rFonts w:hint="eastAsia" w:ascii="宋体" w:hAnsi="宋体" w:eastAsia="宋体" w:cs="宋体"/>
                <w:color w:val="auto"/>
                <w:sz w:val="24"/>
                <w:szCs w:val="24"/>
                <w:highlight w:val="none"/>
                <w:lang w:val="en-US" w:eastAsia="zh-CN"/>
              </w:rPr>
            </w:pPr>
          </w:p>
        </w:tc>
        <w:tc>
          <w:tcPr>
            <w:tcW w:w="4477" w:type="dxa"/>
            <w:tcBorders>
              <w:top w:val="single" w:color="auto" w:sz="4" w:space="0"/>
              <w:left w:val="single" w:color="auto" w:sz="4" w:space="0"/>
              <w:bottom w:val="single" w:color="auto" w:sz="4" w:space="0"/>
              <w:right w:val="single" w:color="auto" w:sz="4" w:space="0"/>
            </w:tcBorders>
            <w:noWrap w:val="0"/>
            <w:vAlign w:val="top"/>
          </w:tcPr>
          <w:p w14:paraId="2CC1A15D">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2.5园内存在</w:t>
            </w:r>
            <w:r>
              <w:rPr>
                <w:rFonts w:hint="eastAsia" w:ascii="宋体" w:hAnsi="宋体" w:eastAsia="宋体" w:cs="宋体"/>
                <w:color w:val="auto"/>
                <w:sz w:val="24"/>
                <w:szCs w:val="24"/>
                <w:highlight w:val="none"/>
                <w:lang w:eastAsia="zh-CN"/>
              </w:rPr>
              <w:t>遛犬现象未及时劝阻，存在流浪犬猫未见落实措施。</w:t>
            </w:r>
          </w:p>
        </w:tc>
        <w:tc>
          <w:tcPr>
            <w:tcW w:w="1962" w:type="dxa"/>
            <w:vMerge w:val="continue"/>
            <w:tcBorders>
              <w:left w:val="single" w:color="auto" w:sz="4" w:space="0"/>
              <w:right w:val="single" w:color="auto" w:sz="4" w:space="0"/>
            </w:tcBorders>
            <w:noWrap w:val="0"/>
            <w:vAlign w:val="center"/>
          </w:tcPr>
          <w:p w14:paraId="3AF584FA">
            <w:pPr>
              <w:widowControl/>
              <w:adjustRightInd/>
              <w:jc w:val="left"/>
              <w:rPr>
                <w:rFonts w:hint="eastAsia" w:ascii="宋体" w:hAnsi="宋体" w:eastAsia="宋体" w:cs="宋体"/>
                <w:color w:val="auto"/>
                <w:sz w:val="24"/>
                <w:szCs w:val="24"/>
                <w:highlight w:val="none"/>
                <w:lang w:val="en-US" w:eastAsia="zh-CN"/>
              </w:rPr>
            </w:pPr>
          </w:p>
        </w:tc>
        <w:tc>
          <w:tcPr>
            <w:tcW w:w="1125" w:type="dxa"/>
            <w:vMerge w:val="continue"/>
            <w:tcBorders>
              <w:left w:val="single" w:color="auto" w:sz="4" w:space="0"/>
              <w:right w:val="single" w:color="auto" w:sz="4" w:space="0"/>
            </w:tcBorders>
            <w:noWrap w:val="0"/>
            <w:vAlign w:val="center"/>
          </w:tcPr>
          <w:p w14:paraId="6EA643ED">
            <w:pPr>
              <w:widowControl/>
              <w:adjustRightInd/>
              <w:jc w:val="center"/>
              <w:rPr>
                <w:rFonts w:hint="eastAsia" w:ascii="宋体" w:hAnsi="宋体" w:eastAsia="宋体" w:cs="宋体"/>
                <w:color w:val="auto"/>
                <w:sz w:val="24"/>
                <w:szCs w:val="24"/>
                <w:highlight w:val="none"/>
                <w:lang w:val="en-US" w:eastAsia="zh-CN"/>
              </w:rPr>
            </w:pPr>
          </w:p>
        </w:tc>
      </w:tr>
      <w:tr w14:paraId="0273A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21" w:type="dxa"/>
            <w:vMerge w:val="continue"/>
            <w:tcBorders>
              <w:left w:val="single" w:color="auto" w:sz="4" w:space="0"/>
              <w:right w:val="single" w:color="auto" w:sz="4" w:space="0"/>
            </w:tcBorders>
            <w:noWrap w:val="0"/>
            <w:vAlign w:val="center"/>
          </w:tcPr>
          <w:p w14:paraId="2B4BF0E1">
            <w:pPr>
              <w:widowControl/>
              <w:adjustRightInd/>
              <w:jc w:val="center"/>
              <w:rPr>
                <w:rFonts w:hint="eastAsia" w:ascii="宋体" w:hAnsi="宋体" w:eastAsia="宋体" w:cs="宋体"/>
                <w:color w:val="auto"/>
                <w:sz w:val="24"/>
                <w:szCs w:val="24"/>
                <w:highlight w:val="none"/>
                <w:lang w:val="en-US" w:eastAsia="zh-CN"/>
              </w:rPr>
            </w:pPr>
          </w:p>
        </w:tc>
        <w:tc>
          <w:tcPr>
            <w:tcW w:w="4477" w:type="dxa"/>
            <w:tcBorders>
              <w:top w:val="single" w:color="auto" w:sz="4" w:space="0"/>
              <w:left w:val="single" w:color="auto" w:sz="4" w:space="0"/>
              <w:bottom w:val="single" w:color="auto" w:sz="4" w:space="0"/>
              <w:right w:val="single" w:color="auto" w:sz="4" w:space="0"/>
            </w:tcBorders>
            <w:noWrap w:val="0"/>
            <w:vAlign w:val="top"/>
          </w:tcPr>
          <w:p w14:paraId="1A991262">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2.6园内游乐区域秩序混乱，</w:t>
            </w:r>
            <w:r>
              <w:rPr>
                <w:rFonts w:hint="eastAsia" w:ascii="宋体" w:hAnsi="宋体" w:eastAsia="宋体" w:cs="宋体"/>
                <w:color w:val="auto"/>
                <w:sz w:val="24"/>
                <w:szCs w:val="24"/>
                <w:highlight w:val="none"/>
              </w:rPr>
              <w:t>未见落实措施和及时劝阻</w:t>
            </w:r>
            <w:r>
              <w:rPr>
                <w:rFonts w:hint="eastAsia" w:ascii="宋体" w:hAnsi="宋体" w:eastAsia="宋体" w:cs="宋体"/>
                <w:color w:val="auto"/>
                <w:sz w:val="24"/>
                <w:szCs w:val="24"/>
                <w:highlight w:val="none"/>
                <w:lang w:eastAsia="zh-CN"/>
              </w:rPr>
              <w:t>。</w:t>
            </w:r>
          </w:p>
        </w:tc>
        <w:tc>
          <w:tcPr>
            <w:tcW w:w="1962" w:type="dxa"/>
            <w:vMerge w:val="continue"/>
            <w:tcBorders>
              <w:left w:val="single" w:color="auto" w:sz="4" w:space="0"/>
              <w:bottom w:val="single" w:color="auto" w:sz="4" w:space="0"/>
              <w:right w:val="single" w:color="auto" w:sz="4" w:space="0"/>
            </w:tcBorders>
            <w:noWrap w:val="0"/>
            <w:vAlign w:val="center"/>
          </w:tcPr>
          <w:p w14:paraId="3FBB40C0">
            <w:pPr>
              <w:widowControl/>
              <w:adjustRightInd/>
              <w:jc w:val="left"/>
              <w:rPr>
                <w:rFonts w:hint="eastAsia" w:ascii="宋体" w:hAnsi="宋体" w:eastAsia="宋体" w:cs="宋体"/>
                <w:color w:val="auto"/>
                <w:sz w:val="24"/>
                <w:szCs w:val="24"/>
                <w:highlight w:val="none"/>
                <w:lang w:val="en-US" w:eastAsia="zh-CN"/>
              </w:rPr>
            </w:pPr>
          </w:p>
        </w:tc>
        <w:tc>
          <w:tcPr>
            <w:tcW w:w="1125" w:type="dxa"/>
            <w:vMerge w:val="continue"/>
            <w:tcBorders>
              <w:left w:val="single" w:color="auto" w:sz="4" w:space="0"/>
              <w:right w:val="single" w:color="auto" w:sz="4" w:space="0"/>
            </w:tcBorders>
            <w:noWrap w:val="0"/>
            <w:vAlign w:val="center"/>
          </w:tcPr>
          <w:p w14:paraId="45B23868">
            <w:pPr>
              <w:widowControl/>
              <w:adjustRightInd/>
              <w:jc w:val="center"/>
              <w:rPr>
                <w:rFonts w:hint="eastAsia" w:ascii="宋体" w:hAnsi="宋体" w:eastAsia="宋体" w:cs="宋体"/>
                <w:color w:val="auto"/>
                <w:sz w:val="24"/>
                <w:szCs w:val="24"/>
                <w:highlight w:val="none"/>
                <w:lang w:val="en-US" w:eastAsia="zh-CN"/>
              </w:rPr>
            </w:pPr>
          </w:p>
        </w:tc>
      </w:tr>
      <w:tr w14:paraId="41050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1" w:type="dxa"/>
            <w:vMerge w:val="restart"/>
            <w:tcBorders>
              <w:left w:val="single" w:color="auto" w:sz="4" w:space="0"/>
              <w:right w:val="single" w:color="auto" w:sz="4" w:space="0"/>
            </w:tcBorders>
            <w:noWrap w:val="0"/>
            <w:vAlign w:val="center"/>
          </w:tcPr>
          <w:p w14:paraId="7B0BEDC1">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应急处置</w:t>
            </w:r>
          </w:p>
        </w:tc>
        <w:tc>
          <w:tcPr>
            <w:tcW w:w="4477" w:type="dxa"/>
            <w:tcBorders>
              <w:top w:val="single" w:color="auto" w:sz="4" w:space="0"/>
              <w:left w:val="single" w:color="auto" w:sz="4" w:space="0"/>
              <w:bottom w:val="single" w:color="auto" w:sz="4" w:space="0"/>
              <w:right w:val="single" w:color="auto" w:sz="4" w:space="0"/>
            </w:tcBorders>
            <w:noWrap w:val="0"/>
            <w:vAlign w:val="top"/>
          </w:tcPr>
          <w:p w14:paraId="10642766">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2.7未及时发现安全隐患风险，致使公园产生一定影响。</w:t>
            </w:r>
          </w:p>
        </w:tc>
        <w:tc>
          <w:tcPr>
            <w:tcW w:w="1962" w:type="dxa"/>
            <w:vMerge w:val="restart"/>
            <w:tcBorders>
              <w:left w:val="single" w:color="auto" w:sz="4" w:space="0"/>
              <w:right w:val="single" w:color="auto" w:sz="4" w:space="0"/>
            </w:tcBorders>
            <w:noWrap w:val="0"/>
            <w:vAlign w:val="center"/>
          </w:tcPr>
          <w:p w14:paraId="614D6D33">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每发生一次，根据情节轻重扣3—5分</w:t>
            </w:r>
          </w:p>
        </w:tc>
        <w:tc>
          <w:tcPr>
            <w:tcW w:w="1125" w:type="dxa"/>
            <w:vMerge w:val="restart"/>
            <w:tcBorders>
              <w:left w:val="single" w:color="auto" w:sz="4" w:space="0"/>
              <w:right w:val="single" w:color="auto" w:sz="4" w:space="0"/>
            </w:tcBorders>
            <w:noWrap w:val="0"/>
            <w:vAlign w:val="center"/>
          </w:tcPr>
          <w:p w14:paraId="445F90A6">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r>
      <w:tr w14:paraId="05580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1" w:type="dxa"/>
            <w:vMerge w:val="continue"/>
            <w:tcBorders>
              <w:left w:val="single" w:color="auto" w:sz="4" w:space="0"/>
              <w:right w:val="single" w:color="auto" w:sz="4" w:space="0"/>
            </w:tcBorders>
            <w:noWrap w:val="0"/>
            <w:vAlign w:val="center"/>
          </w:tcPr>
          <w:p w14:paraId="0BE4E36F">
            <w:pPr>
              <w:widowControl/>
              <w:adjustRightInd/>
              <w:jc w:val="center"/>
              <w:rPr>
                <w:rFonts w:hint="eastAsia" w:ascii="宋体" w:hAnsi="宋体" w:eastAsia="宋体" w:cs="宋体"/>
                <w:color w:val="auto"/>
                <w:sz w:val="24"/>
                <w:szCs w:val="24"/>
                <w:highlight w:val="none"/>
                <w:lang w:val="en-US" w:eastAsia="zh-CN"/>
              </w:rPr>
            </w:pPr>
          </w:p>
        </w:tc>
        <w:tc>
          <w:tcPr>
            <w:tcW w:w="4477" w:type="dxa"/>
            <w:tcBorders>
              <w:top w:val="single" w:color="auto" w:sz="4" w:space="0"/>
              <w:left w:val="single" w:color="auto" w:sz="4" w:space="0"/>
              <w:bottom w:val="single" w:color="auto" w:sz="4" w:space="0"/>
              <w:right w:val="single" w:color="auto" w:sz="4" w:space="0"/>
            </w:tcBorders>
            <w:noWrap w:val="0"/>
            <w:vAlign w:val="top"/>
          </w:tcPr>
          <w:p w14:paraId="27E971E5">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2.8在极端气候发生时，园内应急措施不到位，致使公园发生一定损失。</w:t>
            </w:r>
          </w:p>
        </w:tc>
        <w:tc>
          <w:tcPr>
            <w:tcW w:w="1962" w:type="dxa"/>
            <w:vMerge w:val="continue"/>
            <w:tcBorders>
              <w:left w:val="single" w:color="auto" w:sz="4" w:space="0"/>
              <w:right w:val="single" w:color="auto" w:sz="4" w:space="0"/>
            </w:tcBorders>
            <w:noWrap w:val="0"/>
            <w:vAlign w:val="center"/>
          </w:tcPr>
          <w:p w14:paraId="0A74F93C">
            <w:pPr>
              <w:widowControl/>
              <w:adjustRightInd/>
              <w:jc w:val="left"/>
              <w:rPr>
                <w:rFonts w:hint="eastAsia" w:ascii="宋体" w:hAnsi="宋体" w:eastAsia="宋体" w:cs="宋体"/>
                <w:color w:val="auto"/>
                <w:sz w:val="24"/>
                <w:szCs w:val="24"/>
                <w:highlight w:val="none"/>
                <w:lang w:val="en-US" w:eastAsia="zh-CN"/>
              </w:rPr>
            </w:pPr>
          </w:p>
        </w:tc>
        <w:tc>
          <w:tcPr>
            <w:tcW w:w="1125" w:type="dxa"/>
            <w:vMerge w:val="continue"/>
            <w:tcBorders>
              <w:left w:val="single" w:color="auto" w:sz="4" w:space="0"/>
              <w:right w:val="single" w:color="auto" w:sz="4" w:space="0"/>
            </w:tcBorders>
            <w:noWrap w:val="0"/>
            <w:vAlign w:val="center"/>
          </w:tcPr>
          <w:p w14:paraId="32F91AEA">
            <w:pPr>
              <w:widowControl/>
              <w:adjustRightInd/>
              <w:jc w:val="center"/>
              <w:rPr>
                <w:rFonts w:hint="eastAsia" w:ascii="宋体" w:hAnsi="宋体" w:eastAsia="宋体" w:cs="宋体"/>
                <w:color w:val="auto"/>
                <w:sz w:val="24"/>
                <w:szCs w:val="24"/>
                <w:highlight w:val="none"/>
                <w:lang w:val="en-US" w:eastAsia="zh-CN"/>
              </w:rPr>
            </w:pPr>
          </w:p>
        </w:tc>
      </w:tr>
      <w:tr w14:paraId="6F630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21" w:type="dxa"/>
            <w:vMerge w:val="continue"/>
            <w:tcBorders>
              <w:left w:val="single" w:color="auto" w:sz="4" w:space="0"/>
              <w:right w:val="single" w:color="auto" w:sz="4" w:space="0"/>
            </w:tcBorders>
            <w:noWrap w:val="0"/>
            <w:vAlign w:val="center"/>
          </w:tcPr>
          <w:p w14:paraId="10C1FFA9">
            <w:pPr>
              <w:widowControl/>
              <w:adjustRightInd/>
              <w:jc w:val="center"/>
              <w:rPr>
                <w:rFonts w:hint="eastAsia" w:ascii="宋体" w:hAnsi="宋体" w:eastAsia="宋体" w:cs="宋体"/>
                <w:color w:val="auto"/>
                <w:sz w:val="24"/>
                <w:szCs w:val="24"/>
                <w:highlight w:val="none"/>
                <w:lang w:val="en-US" w:eastAsia="zh-CN"/>
              </w:rPr>
            </w:pPr>
          </w:p>
        </w:tc>
        <w:tc>
          <w:tcPr>
            <w:tcW w:w="4477" w:type="dxa"/>
            <w:tcBorders>
              <w:top w:val="single" w:color="auto" w:sz="4" w:space="0"/>
              <w:left w:val="single" w:color="auto" w:sz="4" w:space="0"/>
              <w:bottom w:val="single" w:color="auto" w:sz="4" w:space="0"/>
              <w:right w:val="single" w:color="auto" w:sz="4" w:space="0"/>
            </w:tcBorders>
            <w:noWrap w:val="0"/>
            <w:vAlign w:val="top"/>
          </w:tcPr>
          <w:p w14:paraId="61533308">
            <w:pPr>
              <w:widowControl/>
              <w:adjustRightInd/>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2.9园内发生突发事件或意外事故后未及时采取有效措施，未将相关情况及时上报采购人。</w:t>
            </w:r>
          </w:p>
        </w:tc>
        <w:tc>
          <w:tcPr>
            <w:tcW w:w="1962" w:type="dxa"/>
            <w:vMerge w:val="continue"/>
            <w:tcBorders>
              <w:left w:val="single" w:color="auto" w:sz="4" w:space="0"/>
              <w:right w:val="single" w:color="auto" w:sz="4" w:space="0"/>
            </w:tcBorders>
            <w:noWrap w:val="0"/>
            <w:vAlign w:val="center"/>
          </w:tcPr>
          <w:p w14:paraId="1B46A449">
            <w:pPr>
              <w:widowControl/>
              <w:adjustRightInd/>
              <w:jc w:val="left"/>
              <w:rPr>
                <w:rFonts w:hint="eastAsia" w:ascii="宋体" w:hAnsi="宋体" w:eastAsia="宋体" w:cs="宋体"/>
                <w:color w:val="auto"/>
                <w:sz w:val="24"/>
                <w:szCs w:val="24"/>
                <w:highlight w:val="none"/>
                <w:lang w:val="en-US" w:eastAsia="zh-CN"/>
              </w:rPr>
            </w:pPr>
          </w:p>
        </w:tc>
        <w:tc>
          <w:tcPr>
            <w:tcW w:w="1125" w:type="dxa"/>
            <w:vMerge w:val="continue"/>
            <w:tcBorders>
              <w:left w:val="single" w:color="auto" w:sz="4" w:space="0"/>
              <w:right w:val="single" w:color="auto" w:sz="4" w:space="0"/>
            </w:tcBorders>
            <w:noWrap w:val="0"/>
            <w:vAlign w:val="center"/>
          </w:tcPr>
          <w:p w14:paraId="367CE95E">
            <w:pPr>
              <w:widowControl/>
              <w:adjustRightInd/>
              <w:jc w:val="center"/>
              <w:rPr>
                <w:rFonts w:hint="eastAsia" w:ascii="宋体" w:hAnsi="宋体" w:eastAsia="宋体" w:cs="宋体"/>
                <w:color w:val="auto"/>
                <w:sz w:val="24"/>
                <w:szCs w:val="24"/>
                <w:highlight w:val="none"/>
                <w:lang w:val="en-US" w:eastAsia="zh-CN"/>
              </w:rPr>
            </w:pPr>
          </w:p>
        </w:tc>
      </w:tr>
      <w:tr w14:paraId="1AFAF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521" w:type="dxa"/>
            <w:vMerge w:val="continue"/>
            <w:tcBorders>
              <w:left w:val="single" w:color="auto" w:sz="4" w:space="0"/>
              <w:right w:val="single" w:color="auto" w:sz="4" w:space="0"/>
            </w:tcBorders>
            <w:noWrap w:val="0"/>
            <w:vAlign w:val="center"/>
          </w:tcPr>
          <w:p w14:paraId="5C2C6223">
            <w:pPr>
              <w:widowControl/>
              <w:adjustRightInd/>
              <w:jc w:val="center"/>
              <w:rPr>
                <w:rFonts w:hint="eastAsia" w:ascii="宋体" w:hAnsi="宋体" w:eastAsia="宋体" w:cs="宋体"/>
                <w:color w:val="auto"/>
                <w:sz w:val="24"/>
                <w:szCs w:val="24"/>
                <w:highlight w:val="none"/>
                <w:lang w:val="en-US" w:eastAsia="zh-CN"/>
              </w:rPr>
            </w:pPr>
          </w:p>
        </w:tc>
        <w:tc>
          <w:tcPr>
            <w:tcW w:w="4477" w:type="dxa"/>
            <w:tcBorders>
              <w:top w:val="single" w:color="auto" w:sz="4" w:space="0"/>
              <w:left w:val="single" w:color="auto" w:sz="4" w:space="0"/>
              <w:bottom w:val="single" w:color="auto" w:sz="4" w:space="0"/>
              <w:right w:val="single" w:color="auto" w:sz="4" w:space="0"/>
            </w:tcBorders>
            <w:noWrap w:val="0"/>
            <w:vAlign w:val="top"/>
          </w:tcPr>
          <w:p w14:paraId="0CEDF4BD">
            <w:pPr>
              <w:widowControl/>
              <w:adjustRightInd/>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3.0园内发生偷盗、打架斗殴等治安事件，未及时发现、未及时与派出所联系处理，导致公园设施破损、游客发生伤亡、财产损失的。</w:t>
            </w:r>
          </w:p>
        </w:tc>
        <w:tc>
          <w:tcPr>
            <w:tcW w:w="1962" w:type="dxa"/>
            <w:vMerge w:val="continue"/>
            <w:tcBorders>
              <w:left w:val="single" w:color="auto" w:sz="4" w:space="0"/>
              <w:bottom w:val="single" w:color="auto" w:sz="4" w:space="0"/>
              <w:right w:val="single" w:color="auto" w:sz="4" w:space="0"/>
            </w:tcBorders>
            <w:noWrap w:val="0"/>
            <w:vAlign w:val="center"/>
          </w:tcPr>
          <w:p w14:paraId="5200E92C">
            <w:pPr>
              <w:widowControl/>
              <w:adjustRightInd/>
              <w:jc w:val="left"/>
              <w:rPr>
                <w:rFonts w:hint="eastAsia" w:ascii="宋体" w:hAnsi="宋体" w:eastAsia="宋体" w:cs="宋体"/>
                <w:color w:val="auto"/>
                <w:sz w:val="24"/>
                <w:szCs w:val="24"/>
                <w:highlight w:val="none"/>
                <w:lang w:val="en-US" w:eastAsia="zh-CN"/>
              </w:rPr>
            </w:pPr>
          </w:p>
        </w:tc>
        <w:tc>
          <w:tcPr>
            <w:tcW w:w="1125" w:type="dxa"/>
            <w:vMerge w:val="continue"/>
            <w:tcBorders>
              <w:left w:val="single" w:color="auto" w:sz="4" w:space="0"/>
              <w:right w:val="single" w:color="auto" w:sz="4" w:space="0"/>
            </w:tcBorders>
            <w:noWrap w:val="0"/>
            <w:vAlign w:val="center"/>
          </w:tcPr>
          <w:p w14:paraId="3E80B2E7">
            <w:pPr>
              <w:widowControl/>
              <w:adjustRightInd/>
              <w:jc w:val="center"/>
              <w:rPr>
                <w:rFonts w:hint="eastAsia" w:ascii="宋体" w:hAnsi="宋体" w:eastAsia="宋体" w:cs="宋体"/>
                <w:color w:val="auto"/>
                <w:sz w:val="24"/>
                <w:szCs w:val="24"/>
                <w:highlight w:val="none"/>
                <w:lang w:val="en-US" w:eastAsia="zh-CN"/>
              </w:rPr>
            </w:pPr>
          </w:p>
        </w:tc>
      </w:tr>
      <w:tr w14:paraId="5180A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9085" w:type="dxa"/>
            <w:gridSpan w:val="4"/>
            <w:tcBorders>
              <w:left w:val="single" w:color="auto" w:sz="4" w:space="0"/>
              <w:right w:val="single" w:color="auto" w:sz="4" w:space="0"/>
            </w:tcBorders>
            <w:shd w:val="clear" w:color="auto" w:fill="D7D7D7"/>
            <w:noWrap w:val="0"/>
            <w:vAlign w:val="center"/>
          </w:tcPr>
          <w:p w14:paraId="15259919">
            <w:pPr>
              <w:widowControl/>
              <w:tabs>
                <w:tab w:val="left" w:pos="3039"/>
              </w:tabs>
              <w:adjustRightInd/>
              <w:jc w:val="lef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（三）游乐设施管理</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25分</w:t>
            </w:r>
            <w:r>
              <w:rPr>
                <w:rFonts w:hint="eastAsia" w:ascii="宋体" w:hAnsi="宋体" w:eastAsia="宋体" w:cs="宋体"/>
                <w:b/>
                <w:color w:val="auto"/>
                <w:sz w:val="24"/>
                <w:szCs w:val="24"/>
                <w:highlight w:val="none"/>
                <w:lang w:eastAsia="zh-CN"/>
              </w:rPr>
              <w:t>）</w:t>
            </w:r>
          </w:p>
        </w:tc>
      </w:tr>
      <w:tr w14:paraId="2FEE9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21" w:type="dxa"/>
            <w:vMerge w:val="restart"/>
            <w:tcBorders>
              <w:left w:val="single" w:color="auto" w:sz="4" w:space="0"/>
              <w:right w:val="single" w:color="auto" w:sz="4" w:space="0"/>
            </w:tcBorders>
            <w:noWrap w:val="0"/>
            <w:vAlign w:val="center"/>
          </w:tcPr>
          <w:p w14:paraId="796271E1">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游乐设施</w:t>
            </w:r>
          </w:p>
          <w:p w14:paraId="228FBDE2">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维护</w:t>
            </w:r>
          </w:p>
        </w:tc>
        <w:tc>
          <w:tcPr>
            <w:tcW w:w="4477" w:type="dxa"/>
            <w:tcBorders>
              <w:top w:val="single" w:color="auto" w:sz="4" w:space="0"/>
              <w:left w:val="single" w:color="auto" w:sz="4" w:space="0"/>
              <w:bottom w:val="single" w:color="auto" w:sz="4" w:space="0"/>
              <w:right w:val="single" w:color="auto" w:sz="4" w:space="0"/>
            </w:tcBorders>
            <w:noWrap w:val="0"/>
            <w:vAlign w:val="center"/>
          </w:tcPr>
          <w:p w14:paraId="35083B8F">
            <w:pPr>
              <w:widowControl/>
              <w:adjustRightInd/>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3.1日常巡查不到位，未及时发现游乐设施破损或发现后未及时维修或通知维保厂家进行处理。</w:t>
            </w:r>
          </w:p>
        </w:tc>
        <w:tc>
          <w:tcPr>
            <w:tcW w:w="1962" w:type="dxa"/>
            <w:vMerge w:val="restart"/>
            <w:tcBorders>
              <w:left w:val="single" w:color="auto" w:sz="4" w:space="0"/>
              <w:right w:val="single" w:color="auto" w:sz="4" w:space="0"/>
            </w:tcBorders>
            <w:noWrap w:val="0"/>
            <w:vAlign w:val="center"/>
          </w:tcPr>
          <w:p w14:paraId="097B48B7">
            <w:pPr>
              <w:widowControl/>
              <w:adjustRightInd/>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每发现一次扣2分（当月累计扣分）。</w:t>
            </w:r>
          </w:p>
        </w:tc>
        <w:tc>
          <w:tcPr>
            <w:tcW w:w="1125" w:type="dxa"/>
            <w:vMerge w:val="restart"/>
            <w:tcBorders>
              <w:left w:val="single" w:color="auto" w:sz="4" w:space="0"/>
              <w:right w:val="single" w:color="auto" w:sz="4" w:space="0"/>
            </w:tcBorders>
            <w:noWrap w:val="0"/>
            <w:vAlign w:val="center"/>
          </w:tcPr>
          <w:p w14:paraId="37770A80">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r>
      <w:tr w14:paraId="28D5C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21" w:type="dxa"/>
            <w:vMerge w:val="continue"/>
            <w:tcBorders>
              <w:left w:val="single" w:color="auto" w:sz="4" w:space="0"/>
              <w:right w:val="single" w:color="auto" w:sz="4" w:space="0"/>
            </w:tcBorders>
            <w:noWrap w:val="0"/>
            <w:vAlign w:val="center"/>
          </w:tcPr>
          <w:p w14:paraId="0E919DB1">
            <w:pPr>
              <w:widowControl/>
              <w:adjustRightInd/>
              <w:jc w:val="center"/>
              <w:rPr>
                <w:rFonts w:hint="eastAsia" w:ascii="宋体" w:hAnsi="宋体" w:eastAsia="宋体" w:cs="宋体"/>
                <w:color w:val="auto"/>
                <w:sz w:val="24"/>
                <w:szCs w:val="24"/>
                <w:highlight w:val="none"/>
                <w:lang w:val="en-US" w:eastAsia="zh-CN"/>
              </w:rPr>
            </w:pPr>
          </w:p>
        </w:tc>
        <w:tc>
          <w:tcPr>
            <w:tcW w:w="4477" w:type="dxa"/>
            <w:tcBorders>
              <w:top w:val="single" w:color="auto" w:sz="4" w:space="0"/>
              <w:left w:val="single" w:color="auto" w:sz="4" w:space="0"/>
              <w:bottom w:val="single" w:color="auto" w:sz="4" w:space="0"/>
              <w:right w:val="single" w:color="auto" w:sz="4" w:space="0"/>
            </w:tcBorders>
            <w:noWrap w:val="0"/>
            <w:vAlign w:val="top"/>
          </w:tcPr>
          <w:p w14:paraId="04F0287E">
            <w:pPr>
              <w:widowControl/>
              <w:adjustRightInd/>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3.2当游乐设施发生破损无法正常使用时，围护及告示不到位。</w:t>
            </w:r>
          </w:p>
        </w:tc>
        <w:tc>
          <w:tcPr>
            <w:tcW w:w="1962" w:type="dxa"/>
            <w:vMerge w:val="continue"/>
            <w:tcBorders>
              <w:left w:val="single" w:color="auto" w:sz="4" w:space="0"/>
              <w:right w:val="single" w:color="auto" w:sz="4" w:space="0"/>
            </w:tcBorders>
            <w:noWrap w:val="0"/>
            <w:vAlign w:val="top"/>
          </w:tcPr>
          <w:p w14:paraId="563AC6C5">
            <w:pPr>
              <w:widowControl/>
              <w:adjustRightInd/>
              <w:jc w:val="left"/>
              <w:rPr>
                <w:rFonts w:hint="eastAsia" w:ascii="宋体" w:hAnsi="宋体" w:eastAsia="宋体" w:cs="宋体"/>
                <w:color w:val="auto"/>
                <w:kern w:val="2"/>
                <w:sz w:val="24"/>
                <w:szCs w:val="24"/>
                <w:highlight w:val="none"/>
                <w:lang w:val="en-US" w:eastAsia="zh-CN" w:bidi="ar-SA"/>
              </w:rPr>
            </w:pPr>
          </w:p>
        </w:tc>
        <w:tc>
          <w:tcPr>
            <w:tcW w:w="1125" w:type="dxa"/>
            <w:vMerge w:val="continue"/>
            <w:tcBorders>
              <w:left w:val="single" w:color="auto" w:sz="4" w:space="0"/>
              <w:right w:val="single" w:color="auto" w:sz="4" w:space="0"/>
            </w:tcBorders>
            <w:noWrap w:val="0"/>
            <w:vAlign w:val="center"/>
          </w:tcPr>
          <w:p w14:paraId="017E13F4">
            <w:pPr>
              <w:widowControl/>
              <w:adjustRightInd/>
              <w:jc w:val="center"/>
              <w:rPr>
                <w:rFonts w:hint="eastAsia" w:ascii="宋体" w:hAnsi="宋体" w:eastAsia="宋体" w:cs="宋体"/>
                <w:color w:val="auto"/>
                <w:sz w:val="24"/>
                <w:szCs w:val="24"/>
                <w:highlight w:val="none"/>
                <w:lang w:val="en-US" w:eastAsia="zh-CN"/>
              </w:rPr>
            </w:pPr>
          </w:p>
        </w:tc>
      </w:tr>
      <w:tr w14:paraId="07F3C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21" w:type="dxa"/>
            <w:vMerge w:val="restart"/>
            <w:tcBorders>
              <w:left w:val="single" w:color="auto" w:sz="4" w:space="0"/>
              <w:right w:val="single" w:color="auto" w:sz="4" w:space="0"/>
            </w:tcBorders>
            <w:noWrap w:val="0"/>
            <w:vAlign w:val="center"/>
          </w:tcPr>
          <w:p w14:paraId="5320917C">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游玩秩序</w:t>
            </w:r>
          </w:p>
          <w:p w14:paraId="1D7D1B70">
            <w:pPr>
              <w:widowControl/>
              <w:adjustRightInd/>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管理</w:t>
            </w:r>
          </w:p>
        </w:tc>
        <w:tc>
          <w:tcPr>
            <w:tcW w:w="4477" w:type="dxa"/>
            <w:tcBorders>
              <w:top w:val="single" w:color="auto" w:sz="4" w:space="0"/>
              <w:left w:val="single" w:color="auto" w:sz="4" w:space="0"/>
              <w:bottom w:val="single" w:color="auto" w:sz="4" w:space="0"/>
              <w:right w:val="single" w:color="auto" w:sz="4" w:space="0"/>
            </w:tcBorders>
            <w:noWrap w:val="0"/>
            <w:vAlign w:val="top"/>
          </w:tcPr>
          <w:p w14:paraId="7029D77D">
            <w:pPr>
              <w:widowControl/>
              <w:adjustRightInd/>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3.3因管理不善，导致游客进入公园内环区域时秩序不佳。</w:t>
            </w:r>
          </w:p>
        </w:tc>
        <w:tc>
          <w:tcPr>
            <w:tcW w:w="1962" w:type="dxa"/>
            <w:vMerge w:val="restart"/>
            <w:tcBorders>
              <w:left w:val="single" w:color="auto" w:sz="4" w:space="0"/>
              <w:right w:val="single" w:color="auto" w:sz="4" w:space="0"/>
            </w:tcBorders>
            <w:noWrap w:val="0"/>
            <w:vAlign w:val="center"/>
          </w:tcPr>
          <w:p w14:paraId="65FB8B61">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每发现一次扣1分（当月累计扣分）。</w:t>
            </w:r>
          </w:p>
        </w:tc>
        <w:tc>
          <w:tcPr>
            <w:tcW w:w="1125" w:type="dxa"/>
            <w:vMerge w:val="restart"/>
            <w:tcBorders>
              <w:left w:val="single" w:color="auto" w:sz="4" w:space="0"/>
              <w:right w:val="single" w:color="auto" w:sz="4" w:space="0"/>
            </w:tcBorders>
            <w:noWrap w:val="0"/>
            <w:vAlign w:val="center"/>
          </w:tcPr>
          <w:p w14:paraId="6F268B5A">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r>
      <w:tr w14:paraId="11542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21" w:type="dxa"/>
            <w:vMerge w:val="continue"/>
            <w:tcBorders>
              <w:left w:val="single" w:color="auto" w:sz="4" w:space="0"/>
              <w:right w:val="single" w:color="auto" w:sz="4" w:space="0"/>
            </w:tcBorders>
            <w:noWrap w:val="0"/>
            <w:vAlign w:val="center"/>
          </w:tcPr>
          <w:p w14:paraId="0A7568C3">
            <w:pPr>
              <w:widowControl/>
              <w:adjustRightInd/>
              <w:jc w:val="center"/>
              <w:rPr>
                <w:rFonts w:hint="eastAsia" w:ascii="宋体" w:hAnsi="宋体" w:eastAsia="宋体" w:cs="宋体"/>
                <w:color w:val="auto"/>
                <w:sz w:val="24"/>
                <w:szCs w:val="24"/>
                <w:highlight w:val="none"/>
                <w:lang w:val="en-US" w:eastAsia="zh-CN"/>
              </w:rPr>
            </w:pPr>
          </w:p>
        </w:tc>
        <w:tc>
          <w:tcPr>
            <w:tcW w:w="4477" w:type="dxa"/>
            <w:tcBorders>
              <w:top w:val="single" w:color="auto" w:sz="4" w:space="0"/>
              <w:left w:val="single" w:color="auto" w:sz="4" w:space="0"/>
              <w:bottom w:val="single" w:color="auto" w:sz="4" w:space="0"/>
              <w:right w:val="single" w:color="auto" w:sz="4" w:space="0"/>
            </w:tcBorders>
            <w:noWrap w:val="0"/>
            <w:vAlign w:val="top"/>
          </w:tcPr>
          <w:p w14:paraId="0BAD2BB2">
            <w:pPr>
              <w:widowControl/>
              <w:adjustRightInd/>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3.4因管理不善，导致游客游乐设施游玩时秩序不佳</w:t>
            </w:r>
          </w:p>
        </w:tc>
        <w:tc>
          <w:tcPr>
            <w:tcW w:w="1962" w:type="dxa"/>
            <w:vMerge w:val="continue"/>
            <w:tcBorders>
              <w:left w:val="single" w:color="auto" w:sz="4" w:space="0"/>
              <w:bottom w:val="single" w:color="auto" w:sz="4" w:space="0"/>
              <w:right w:val="single" w:color="auto" w:sz="4" w:space="0"/>
            </w:tcBorders>
            <w:noWrap w:val="0"/>
            <w:vAlign w:val="center"/>
          </w:tcPr>
          <w:p w14:paraId="6070D794">
            <w:pPr>
              <w:widowControl/>
              <w:adjustRightInd/>
              <w:jc w:val="center"/>
              <w:rPr>
                <w:rFonts w:hint="eastAsia" w:ascii="宋体" w:hAnsi="宋体" w:eastAsia="宋体" w:cs="宋体"/>
                <w:color w:val="auto"/>
                <w:sz w:val="24"/>
                <w:szCs w:val="24"/>
                <w:highlight w:val="none"/>
                <w:lang w:val="en-US" w:eastAsia="zh-CN"/>
              </w:rPr>
            </w:pPr>
          </w:p>
        </w:tc>
        <w:tc>
          <w:tcPr>
            <w:tcW w:w="1125" w:type="dxa"/>
            <w:vMerge w:val="continue"/>
            <w:tcBorders>
              <w:left w:val="single" w:color="auto" w:sz="4" w:space="0"/>
              <w:right w:val="single" w:color="auto" w:sz="4" w:space="0"/>
            </w:tcBorders>
            <w:noWrap w:val="0"/>
            <w:vAlign w:val="center"/>
          </w:tcPr>
          <w:p w14:paraId="3067CE7F">
            <w:pPr>
              <w:widowControl/>
              <w:adjustRightInd/>
              <w:jc w:val="center"/>
              <w:rPr>
                <w:rFonts w:hint="eastAsia" w:ascii="宋体" w:hAnsi="宋体" w:eastAsia="宋体" w:cs="宋体"/>
                <w:color w:val="auto"/>
                <w:sz w:val="24"/>
                <w:szCs w:val="24"/>
                <w:highlight w:val="none"/>
                <w:lang w:val="en-US" w:eastAsia="zh-CN"/>
              </w:rPr>
            </w:pPr>
          </w:p>
        </w:tc>
      </w:tr>
      <w:tr w14:paraId="2C6EC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21" w:type="dxa"/>
            <w:tcBorders>
              <w:left w:val="single" w:color="auto" w:sz="4" w:space="0"/>
              <w:right w:val="single" w:color="auto" w:sz="4" w:space="0"/>
            </w:tcBorders>
            <w:noWrap w:val="0"/>
            <w:vAlign w:val="center"/>
          </w:tcPr>
          <w:p w14:paraId="542712EA">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游客服务</w:t>
            </w:r>
          </w:p>
        </w:tc>
        <w:tc>
          <w:tcPr>
            <w:tcW w:w="4477" w:type="dxa"/>
            <w:tcBorders>
              <w:top w:val="single" w:color="auto" w:sz="4" w:space="0"/>
              <w:left w:val="single" w:color="auto" w:sz="4" w:space="0"/>
              <w:bottom w:val="single" w:color="auto" w:sz="4" w:space="0"/>
              <w:right w:val="single" w:color="auto" w:sz="4" w:space="0"/>
            </w:tcBorders>
            <w:noWrap w:val="0"/>
            <w:vAlign w:val="top"/>
          </w:tcPr>
          <w:p w14:paraId="765B3FCC">
            <w:pPr>
              <w:widowControl/>
              <w:adjustRightInd/>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3.5公园咨询、投诉、接待等服务不到位，未按时记录并回复，或回复后游客仍不满意。</w:t>
            </w:r>
          </w:p>
        </w:tc>
        <w:tc>
          <w:tcPr>
            <w:tcW w:w="1962" w:type="dxa"/>
            <w:tcBorders>
              <w:left w:val="single" w:color="auto" w:sz="4" w:space="0"/>
              <w:bottom w:val="single" w:color="auto" w:sz="4" w:space="0"/>
              <w:right w:val="single" w:color="auto" w:sz="4" w:space="0"/>
            </w:tcBorders>
            <w:noWrap w:val="0"/>
            <w:vAlign w:val="center"/>
          </w:tcPr>
          <w:p w14:paraId="20C0FBA5">
            <w:pPr>
              <w:widowControl/>
              <w:adjustRightInd/>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每发现一次扣1分（当月累计扣分）。</w:t>
            </w:r>
          </w:p>
        </w:tc>
        <w:tc>
          <w:tcPr>
            <w:tcW w:w="1125" w:type="dxa"/>
            <w:tcBorders>
              <w:left w:val="single" w:color="auto" w:sz="4" w:space="0"/>
              <w:right w:val="single" w:color="auto" w:sz="4" w:space="0"/>
            </w:tcBorders>
            <w:noWrap w:val="0"/>
            <w:vAlign w:val="center"/>
          </w:tcPr>
          <w:p w14:paraId="59AE39C9">
            <w:pPr>
              <w:widowControl/>
              <w:adjustRightInd/>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5</w:t>
            </w:r>
          </w:p>
        </w:tc>
      </w:tr>
      <w:tr w14:paraId="423FC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9085" w:type="dxa"/>
            <w:gridSpan w:val="4"/>
            <w:tcBorders>
              <w:left w:val="single" w:color="auto" w:sz="4" w:space="0"/>
              <w:right w:val="single" w:color="auto" w:sz="4" w:space="0"/>
            </w:tcBorders>
            <w:shd w:val="clear" w:color="auto" w:fill="D7D7D7"/>
            <w:noWrap w:val="0"/>
            <w:vAlign w:val="center"/>
          </w:tcPr>
          <w:p w14:paraId="45AAD7ED">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（四）人员管理</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10分</w:t>
            </w:r>
            <w:r>
              <w:rPr>
                <w:rFonts w:hint="eastAsia" w:ascii="宋体" w:hAnsi="宋体" w:eastAsia="宋体" w:cs="宋体"/>
                <w:b/>
                <w:color w:val="auto"/>
                <w:sz w:val="24"/>
                <w:szCs w:val="24"/>
                <w:highlight w:val="none"/>
                <w:lang w:eastAsia="zh-CN"/>
              </w:rPr>
              <w:t>）</w:t>
            </w:r>
          </w:p>
        </w:tc>
      </w:tr>
      <w:tr w14:paraId="36B6A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21" w:type="dxa"/>
            <w:vMerge w:val="restart"/>
            <w:tcBorders>
              <w:left w:val="single" w:color="auto" w:sz="4" w:space="0"/>
              <w:right w:val="single" w:color="auto" w:sz="4" w:space="0"/>
            </w:tcBorders>
            <w:noWrap w:val="0"/>
            <w:vAlign w:val="center"/>
          </w:tcPr>
          <w:p w14:paraId="7F79A47A">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工作纪律</w:t>
            </w:r>
          </w:p>
        </w:tc>
        <w:tc>
          <w:tcPr>
            <w:tcW w:w="4477" w:type="dxa"/>
            <w:tcBorders>
              <w:top w:val="single" w:color="auto" w:sz="4" w:space="0"/>
              <w:left w:val="single" w:color="auto" w:sz="4" w:space="0"/>
              <w:bottom w:val="single" w:color="auto" w:sz="4" w:space="0"/>
              <w:right w:val="single" w:color="auto" w:sz="4" w:space="0"/>
            </w:tcBorders>
            <w:noWrap w:val="0"/>
            <w:vAlign w:val="center"/>
          </w:tcPr>
          <w:p w14:paraId="27472094">
            <w:pPr>
              <w:widowControl/>
              <w:adjustRightInd/>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4.1当班期间发生缺岗、脱岗、擅自离岗等现象。</w:t>
            </w:r>
          </w:p>
        </w:tc>
        <w:tc>
          <w:tcPr>
            <w:tcW w:w="1962" w:type="dxa"/>
            <w:vMerge w:val="restart"/>
            <w:tcBorders>
              <w:top w:val="single" w:color="auto" w:sz="4" w:space="0"/>
              <w:left w:val="single" w:color="auto" w:sz="4" w:space="0"/>
              <w:right w:val="single" w:color="auto" w:sz="4" w:space="0"/>
            </w:tcBorders>
            <w:noWrap w:val="0"/>
            <w:vAlign w:val="center"/>
          </w:tcPr>
          <w:p w14:paraId="1EFF7ECE">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每发现一次扣1分（当月累计扣分）。</w:t>
            </w:r>
          </w:p>
        </w:tc>
        <w:tc>
          <w:tcPr>
            <w:tcW w:w="1125" w:type="dxa"/>
            <w:vMerge w:val="restart"/>
            <w:tcBorders>
              <w:top w:val="single" w:color="auto" w:sz="4" w:space="0"/>
              <w:left w:val="single" w:color="auto" w:sz="4" w:space="0"/>
              <w:right w:val="single" w:color="auto" w:sz="4" w:space="0"/>
            </w:tcBorders>
            <w:noWrap w:val="0"/>
            <w:vAlign w:val="center"/>
          </w:tcPr>
          <w:p w14:paraId="3BBF2C39">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r>
      <w:tr w14:paraId="57E06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1521" w:type="dxa"/>
            <w:vMerge w:val="continue"/>
            <w:tcBorders>
              <w:left w:val="single" w:color="auto" w:sz="4" w:space="0"/>
              <w:right w:val="single" w:color="auto" w:sz="4" w:space="0"/>
            </w:tcBorders>
            <w:noWrap w:val="0"/>
            <w:vAlign w:val="center"/>
          </w:tcPr>
          <w:p w14:paraId="6676B064">
            <w:pPr>
              <w:widowControl/>
              <w:adjustRightInd/>
              <w:jc w:val="center"/>
              <w:rPr>
                <w:rFonts w:hint="eastAsia" w:ascii="宋体" w:hAnsi="宋体" w:eastAsia="宋体" w:cs="宋体"/>
                <w:color w:val="auto"/>
                <w:sz w:val="24"/>
                <w:szCs w:val="24"/>
                <w:highlight w:val="none"/>
                <w:lang w:val="en-US" w:eastAsia="zh-CN"/>
              </w:rPr>
            </w:pPr>
          </w:p>
        </w:tc>
        <w:tc>
          <w:tcPr>
            <w:tcW w:w="4477" w:type="dxa"/>
            <w:tcBorders>
              <w:top w:val="single" w:color="auto" w:sz="4" w:space="0"/>
              <w:left w:val="single" w:color="auto" w:sz="4" w:space="0"/>
              <w:bottom w:val="single" w:color="auto" w:sz="4" w:space="0"/>
              <w:right w:val="single" w:color="auto" w:sz="4" w:space="0"/>
            </w:tcBorders>
            <w:noWrap w:val="0"/>
            <w:vAlign w:val="center"/>
          </w:tcPr>
          <w:p w14:paraId="57223304">
            <w:pPr>
              <w:widowControl/>
              <w:adjustRightInd/>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4.2当班期间未为市民游客提供力所能及的便利，存在服务态度差现象。</w:t>
            </w:r>
          </w:p>
        </w:tc>
        <w:tc>
          <w:tcPr>
            <w:tcW w:w="1962" w:type="dxa"/>
            <w:vMerge w:val="continue"/>
            <w:tcBorders>
              <w:left w:val="single" w:color="auto" w:sz="4" w:space="0"/>
              <w:bottom w:val="single" w:color="auto" w:sz="4" w:space="0"/>
              <w:right w:val="single" w:color="auto" w:sz="4" w:space="0"/>
            </w:tcBorders>
            <w:noWrap w:val="0"/>
            <w:vAlign w:val="center"/>
          </w:tcPr>
          <w:p w14:paraId="51B05B05">
            <w:pPr>
              <w:widowControl/>
              <w:adjustRightInd/>
              <w:jc w:val="left"/>
              <w:rPr>
                <w:rFonts w:hint="eastAsia" w:ascii="宋体" w:hAnsi="宋体" w:eastAsia="宋体" w:cs="宋体"/>
                <w:color w:val="auto"/>
                <w:kern w:val="2"/>
                <w:sz w:val="24"/>
                <w:szCs w:val="24"/>
                <w:highlight w:val="none"/>
                <w:lang w:val="en-US" w:eastAsia="zh-CN" w:bidi="ar-SA"/>
              </w:rPr>
            </w:pPr>
          </w:p>
        </w:tc>
        <w:tc>
          <w:tcPr>
            <w:tcW w:w="1125" w:type="dxa"/>
            <w:vMerge w:val="continue"/>
            <w:tcBorders>
              <w:left w:val="single" w:color="auto" w:sz="4" w:space="0"/>
              <w:right w:val="single" w:color="auto" w:sz="4" w:space="0"/>
            </w:tcBorders>
            <w:noWrap w:val="0"/>
            <w:vAlign w:val="center"/>
          </w:tcPr>
          <w:p w14:paraId="19793244">
            <w:pPr>
              <w:widowControl/>
              <w:adjustRightInd/>
              <w:jc w:val="center"/>
              <w:rPr>
                <w:rFonts w:hint="eastAsia" w:ascii="宋体" w:hAnsi="宋体" w:eastAsia="宋体" w:cs="宋体"/>
                <w:color w:val="auto"/>
                <w:sz w:val="24"/>
                <w:szCs w:val="24"/>
                <w:highlight w:val="none"/>
                <w:lang w:val="en-US" w:eastAsia="zh-CN"/>
              </w:rPr>
            </w:pPr>
          </w:p>
        </w:tc>
      </w:tr>
      <w:tr w14:paraId="7A437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21" w:type="dxa"/>
            <w:vMerge w:val="continue"/>
            <w:tcBorders>
              <w:left w:val="single" w:color="auto" w:sz="4" w:space="0"/>
              <w:right w:val="single" w:color="auto" w:sz="4" w:space="0"/>
            </w:tcBorders>
            <w:noWrap w:val="0"/>
            <w:vAlign w:val="center"/>
          </w:tcPr>
          <w:p w14:paraId="37B4DE64">
            <w:pPr>
              <w:widowControl/>
              <w:adjustRightInd/>
              <w:jc w:val="center"/>
              <w:rPr>
                <w:rFonts w:hint="eastAsia" w:ascii="宋体" w:hAnsi="宋体" w:eastAsia="宋体" w:cs="宋体"/>
                <w:color w:val="auto"/>
                <w:sz w:val="24"/>
                <w:szCs w:val="24"/>
                <w:highlight w:val="none"/>
                <w:lang w:val="en-US" w:eastAsia="zh-CN"/>
              </w:rPr>
            </w:pPr>
          </w:p>
        </w:tc>
        <w:tc>
          <w:tcPr>
            <w:tcW w:w="4477" w:type="dxa"/>
            <w:tcBorders>
              <w:top w:val="single" w:color="auto" w:sz="4" w:space="0"/>
              <w:left w:val="single" w:color="auto" w:sz="4" w:space="0"/>
              <w:bottom w:val="single" w:color="auto" w:sz="4" w:space="0"/>
              <w:right w:val="single" w:color="auto" w:sz="4" w:space="0"/>
            </w:tcBorders>
            <w:noWrap w:val="0"/>
            <w:vAlign w:val="center"/>
          </w:tcPr>
          <w:p w14:paraId="49D0C39B">
            <w:pPr>
              <w:widowControl/>
              <w:adjustRightInd/>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4.3当班期间未着统一工作服，当班期间存在打瞌睡、玩手机等与工作内容无关的现象。</w:t>
            </w:r>
          </w:p>
        </w:tc>
        <w:tc>
          <w:tcPr>
            <w:tcW w:w="1962" w:type="dxa"/>
            <w:tcBorders>
              <w:top w:val="single" w:color="auto" w:sz="4" w:space="0"/>
              <w:left w:val="single" w:color="auto" w:sz="4" w:space="0"/>
              <w:bottom w:val="single" w:color="auto" w:sz="4" w:space="0"/>
              <w:right w:val="single" w:color="auto" w:sz="4" w:space="0"/>
            </w:tcBorders>
            <w:noWrap w:val="0"/>
            <w:vAlign w:val="center"/>
          </w:tcPr>
          <w:p w14:paraId="67192A09">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每发现一次扣0.5分（当月累计扣分）。</w:t>
            </w:r>
          </w:p>
        </w:tc>
        <w:tc>
          <w:tcPr>
            <w:tcW w:w="1125" w:type="dxa"/>
            <w:vMerge w:val="continue"/>
            <w:tcBorders>
              <w:left w:val="single" w:color="auto" w:sz="4" w:space="0"/>
              <w:right w:val="single" w:color="auto" w:sz="4" w:space="0"/>
            </w:tcBorders>
            <w:noWrap w:val="0"/>
            <w:vAlign w:val="center"/>
          </w:tcPr>
          <w:p w14:paraId="30BBC09A">
            <w:pPr>
              <w:widowControl/>
              <w:adjustRightInd/>
              <w:jc w:val="center"/>
              <w:rPr>
                <w:rFonts w:hint="eastAsia" w:ascii="宋体" w:hAnsi="宋体" w:eastAsia="宋体" w:cs="宋体"/>
                <w:color w:val="auto"/>
                <w:sz w:val="24"/>
                <w:szCs w:val="24"/>
                <w:highlight w:val="none"/>
                <w:lang w:val="en-US" w:eastAsia="zh-CN"/>
              </w:rPr>
            </w:pPr>
          </w:p>
        </w:tc>
      </w:tr>
      <w:tr w14:paraId="62779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21" w:type="dxa"/>
            <w:tcBorders>
              <w:left w:val="single" w:color="auto" w:sz="4" w:space="0"/>
              <w:right w:val="single" w:color="auto" w:sz="4" w:space="0"/>
            </w:tcBorders>
            <w:noWrap w:val="0"/>
            <w:vAlign w:val="center"/>
          </w:tcPr>
          <w:p w14:paraId="4EFE30F7">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服从管理</w:t>
            </w:r>
          </w:p>
        </w:tc>
        <w:tc>
          <w:tcPr>
            <w:tcW w:w="4477" w:type="dxa"/>
            <w:tcBorders>
              <w:top w:val="single" w:color="auto" w:sz="4" w:space="0"/>
              <w:left w:val="single" w:color="auto" w:sz="4" w:space="0"/>
              <w:bottom w:val="single" w:color="auto" w:sz="4" w:space="0"/>
              <w:right w:val="single" w:color="auto" w:sz="4" w:space="0"/>
            </w:tcBorders>
            <w:noWrap w:val="0"/>
            <w:vAlign w:val="center"/>
          </w:tcPr>
          <w:p w14:paraId="71ACB058">
            <w:pPr>
              <w:widowControl/>
              <w:adjustRightInd/>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4.4未能服从采购人调度或未能完成临时指派任务。</w:t>
            </w:r>
          </w:p>
        </w:tc>
        <w:tc>
          <w:tcPr>
            <w:tcW w:w="1962" w:type="dxa"/>
            <w:tcBorders>
              <w:top w:val="single" w:color="auto" w:sz="4" w:space="0"/>
              <w:left w:val="single" w:color="auto" w:sz="4" w:space="0"/>
              <w:bottom w:val="single" w:color="auto" w:sz="4" w:space="0"/>
              <w:right w:val="single" w:color="auto" w:sz="4" w:space="0"/>
            </w:tcBorders>
            <w:noWrap w:val="0"/>
            <w:vAlign w:val="center"/>
          </w:tcPr>
          <w:p w14:paraId="54795EC8">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每发现一次，根据情节轻重扣1—3分。</w:t>
            </w:r>
          </w:p>
        </w:tc>
        <w:tc>
          <w:tcPr>
            <w:tcW w:w="1125" w:type="dxa"/>
            <w:vMerge w:val="continue"/>
            <w:tcBorders>
              <w:left w:val="single" w:color="auto" w:sz="4" w:space="0"/>
              <w:bottom w:val="single" w:color="auto" w:sz="4" w:space="0"/>
              <w:right w:val="single" w:color="auto" w:sz="4" w:space="0"/>
            </w:tcBorders>
            <w:noWrap w:val="0"/>
            <w:vAlign w:val="center"/>
          </w:tcPr>
          <w:p w14:paraId="5C45DB60">
            <w:pPr>
              <w:widowControl/>
              <w:adjustRightInd/>
              <w:jc w:val="center"/>
              <w:rPr>
                <w:rFonts w:hint="eastAsia" w:ascii="宋体" w:hAnsi="宋体" w:eastAsia="宋体" w:cs="宋体"/>
                <w:color w:val="auto"/>
                <w:sz w:val="24"/>
                <w:szCs w:val="24"/>
                <w:highlight w:val="none"/>
                <w:lang w:val="en-US" w:eastAsia="zh-CN"/>
              </w:rPr>
            </w:pPr>
          </w:p>
        </w:tc>
      </w:tr>
      <w:tr w14:paraId="2ED80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9085" w:type="dxa"/>
            <w:gridSpan w:val="4"/>
            <w:tcBorders>
              <w:left w:val="single" w:color="auto" w:sz="4" w:space="0"/>
              <w:right w:val="single" w:color="auto" w:sz="4" w:space="0"/>
            </w:tcBorders>
            <w:shd w:val="clear" w:color="auto" w:fill="D7D7D7"/>
            <w:noWrap w:val="0"/>
            <w:vAlign w:val="center"/>
          </w:tcPr>
          <w:p w14:paraId="1006AF7F">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（五）台账管理</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5分</w:t>
            </w:r>
            <w:r>
              <w:rPr>
                <w:rFonts w:hint="eastAsia" w:ascii="宋体" w:hAnsi="宋体" w:eastAsia="宋体" w:cs="宋体"/>
                <w:b/>
                <w:color w:val="auto"/>
                <w:sz w:val="24"/>
                <w:szCs w:val="24"/>
                <w:highlight w:val="none"/>
                <w:lang w:eastAsia="zh-CN"/>
              </w:rPr>
              <w:t>）</w:t>
            </w:r>
          </w:p>
        </w:tc>
      </w:tr>
      <w:tr w14:paraId="67666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21" w:type="dxa"/>
            <w:tcBorders>
              <w:left w:val="single" w:color="auto" w:sz="4" w:space="0"/>
              <w:right w:val="single" w:color="auto" w:sz="4" w:space="0"/>
            </w:tcBorders>
            <w:noWrap w:val="0"/>
            <w:vAlign w:val="center"/>
          </w:tcPr>
          <w:p w14:paraId="59A1DBC5">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台账信息</w:t>
            </w:r>
          </w:p>
        </w:tc>
        <w:tc>
          <w:tcPr>
            <w:tcW w:w="4477" w:type="dxa"/>
            <w:tcBorders>
              <w:top w:val="single" w:color="auto" w:sz="4" w:space="0"/>
              <w:left w:val="single" w:color="auto" w:sz="4" w:space="0"/>
              <w:bottom w:val="single" w:color="auto" w:sz="4" w:space="0"/>
              <w:right w:val="single" w:color="auto" w:sz="4" w:space="0"/>
            </w:tcBorders>
            <w:noWrap w:val="0"/>
            <w:vAlign w:val="top"/>
          </w:tcPr>
          <w:p w14:paraId="4FF6C438">
            <w:pPr>
              <w:widowControl/>
              <w:adjustRightInd/>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5.1未按时提供采购人所需台账资料或提供台账资料不全、不准确、不完整。</w:t>
            </w:r>
          </w:p>
        </w:tc>
        <w:tc>
          <w:tcPr>
            <w:tcW w:w="1962" w:type="dxa"/>
            <w:tcBorders>
              <w:top w:val="single" w:color="auto" w:sz="4" w:space="0"/>
              <w:left w:val="single" w:color="auto" w:sz="4" w:space="0"/>
              <w:bottom w:val="single" w:color="auto" w:sz="4" w:space="0"/>
              <w:right w:val="single" w:color="auto" w:sz="4" w:space="0"/>
            </w:tcBorders>
            <w:noWrap w:val="0"/>
            <w:vAlign w:val="center"/>
          </w:tcPr>
          <w:p w14:paraId="61A5BD89">
            <w:pPr>
              <w:widowControl/>
              <w:adjustRightInd/>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每缺1项扣1分。</w:t>
            </w:r>
          </w:p>
        </w:tc>
        <w:tc>
          <w:tcPr>
            <w:tcW w:w="1125" w:type="dxa"/>
            <w:tcBorders>
              <w:top w:val="single" w:color="auto" w:sz="4" w:space="0"/>
              <w:left w:val="single" w:color="auto" w:sz="4" w:space="0"/>
              <w:bottom w:val="single" w:color="auto" w:sz="4" w:space="0"/>
              <w:right w:val="single" w:color="auto" w:sz="4" w:space="0"/>
            </w:tcBorders>
            <w:noWrap w:val="0"/>
            <w:vAlign w:val="center"/>
          </w:tcPr>
          <w:p w14:paraId="7BC2DE10">
            <w:pPr>
              <w:widowControl/>
              <w:adjustRightInd/>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r>
      <w:tr w14:paraId="04A23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9085" w:type="dxa"/>
            <w:gridSpan w:val="4"/>
            <w:tcBorders>
              <w:left w:val="single" w:color="auto" w:sz="4" w:space="0"/>
              <w:right w:val="single" w:color="auto" w:sz="4" w:space="0"/>
            </w:tcBorders>
            <w:shd w:val="clear" w:color="auto" w:fill="D7D7D7"/>
            <w:noWrap w:val="0"/>
            <w:vAlign w:val="top"/>
          </w:tcPr>
          <w:p w14:paraId="06934DBC">
            <w:pPr>
              <w:widowControl/>
              <w:adjustRightInd/>
              <w:jc w:val="both"/>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备注：</w:t>
            </w:r>
            <w:r>
              <w:rPr>
                <w:rFonts w:hint="eastAsia" w:ascii="宋体" w:hAnsi="宋体" w:eastAsia="宋体" w:cs="宋体"/>
                <w:color w:val="auto"/>
                <w:sz w:val="24"/>
                <w:szCs w:val="24"/>
                <w:highlight w:val="none"/>
                <w:lang w:val="en-US" w:eastAsia="zh-CN"/>
              </w:rPr>
              <w:t>1.由采购单位每月对公园（固定支付部分）进行综合考核，90分及以上为优秀，60分及以上为合格。低于90分，每下降0.1分扣除当月固定支付部分的0.1%；低于80分，每下降0.1分扣除当月固定支付部分的0.2%，如当月考核成绩为79分，本月考核扣除固定部分22%养护经费，计算公式：[（90-79）/0.1]</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0.2%=22%；低于60分，不支付当月固定支付部分。</w:t>
            </w:r>
          </w:p>
        </w:tc>
      </w:tr>
    </w:tbl>
    <w:p w14:paraId="6FA6E9A9">
      <w:pPr>
        <w:widowControl/>
        <w:tabs>
          <w:tab w:val="left" w:pos="851"/>
        </w:tabs>
        <w:adjustRightInd/>
        <w:spacing w:line="360" w:lineRule="auto"/>
        <w:outlineLvl w:val="1"/>
        <w:rPr>
          <w:rFonts w:hint="eastAsia" w:ascii="宋体" w:hAnsi="宋体" w:cs="宋体"/>
          <w:b/>
          <w:color w:val="auto"/>
          <w:kern w:val="0"/>
          <w:sz w:val="24"/>
          <w:highlight w:val="none"/>
          <w:lang w:val="en-US" w:eastAsia="zh-CN"/>
        </w:rPr>
        <w:sectPr>
          <w:footerReference r:id="rId1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69412AF">
      <w:pPr>
        <w:widowControl/>
        <w:tabs>
          <w:tab w:val="left" w:pos="851"/>
        </w:tabs>
        <w:adjustRightInd/>
        <w:spacing w:line="360" w:lineRule="auto"/>
        <w:outlineLvl w:val="1"/>
        <w:rPr>
          <w:rFonts w:hint="default"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九、费用构成及相关要求</w:t>
      </w:r>
    </w:p>
    <w:p w14:paraId="5F564564">
      <w:pPr>
        <w:widowControl/>
        <w:tabs>
          <w:tab w:val="left" w:pos="851"/>
        </w:tabs>
        <w:adjustRightInd/>
        <w:spacing w:line="360" w:lineRule="auto"/>
        <w:outlineLvl w:val="1"/>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（一）主要费用构成</w:t>
      </w:r>
    </w:p>
    <w:p w14:paraId="4690F10D">
      <w:pPr>
        <w:widowControl/>
        <w:tabs>
          <w:tab w:val="left" w:pos="851"/>
        </w:tabs>
        <w:adjustRightInd/>
        <w:spacing w:line="360" w:lineRule="auto"/>
        <w:outlineLvl w:val="1"/>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详见附件</w:t>
      </w:r>
      <w:r>
        <w:rPr>
          <w:rFonts w:hint="eastAsia" w:ascii="宋体" w:hAnsi="宋体" w:cs="宋体"/>
          <w:b/>
          <w:color w:val="auto"/>
          <w:kern w:val="0"/>
          <w:sz w:val="24"/>
          <w:highlight w:val="none"/>
          <w:lang w:val="en-US" w:eastAsia="zh-CN"/>
        </w:rPr>
        <w:t xml:space="preserve"> </w:t>
      </w:r>
      <w:r>
        <w:rPr>
          <w:rFonts w:hint="eastAsia" w:ascii="宋体" w:hAnsi="宋体" w:eastAsia="宋体" w:cs="宋体"/>
          <w:b/>
          <w:color w:val="auto"/>
          <w:kern w:val="0"/>
          <w:sz w:val="24"/>
          <w:highlight w:val="none"/>
          <w:lang w:val="en-US" w:eastAsia="zh-CN"/>
        </w:rPr>
        <w:t>设施量清单及编制说明</w:t>
      </w:r>
    </w:p>
    <w:p w14:paraId="3F659D48">
      <w:pPr>
        <w:widowControl/>
        <w:tabs>
          <w:tab w:val="left" w:pos="851"/>
        </w:tabs>
        <w:adjustRightInd/>
        <w:spacing w:line="360" w:lineRule="auto"/>
        <w:outlineLvl w:val="1"/>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（二）主要材料及相关技术要求</w:t>
      </w:r>
    </w:p>
    <w:p w14:paraId="69E66411">
      <w:pPr>
        <w:widowControl/>
        <w:tabs>
          <w:tab w:val="left" w:pos="851"/>
        </w:tabs>
        <w:adjustRightInd/>
        <w:spacing w:line="360" w:lineRule="auto"/>
        <w:ind w:firstLine="480" w:firstLineChars="200"/>
        <w:rPr>
          <w:rFonts w:hint="default"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①游客服务消耗用品</w:t>
      </w:r>
    </w:p>
    <w:tbl>
      <w:tblPr>
        <w:tblStyle w:val="62"/>
        <w:tblW w:w="89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492"/>
        <w:gridCol w:w="1198"/>
        <w:gridCol w:w="3948"/>
        <w:gridCol w:w="2627"/>
      </w:tblGrid>
      <w:tr w14:paraId="265B1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39" w:type="dxa"/>
            <w:vAlign w:val="center"/>
          </w:tcPr>
          <w:p w14:paraId="6596EB75">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类别</w:t>
            </w:r>
          </w:p>
        </w:tc>
        <w:tc>
          <w:tcPr>
            <w:tcW w:w="492" w:type="dxa"/>
            <w:vAlign w:val="center"/>
          </w:tcPr>
          <w:p w14:paraId="60508C64">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序号</w:t>
            </w:r>
          </w:p>
        </w:tc>
        <w:tc>
          <w:tcPr>
            <w:tcW w:w="1198" w:type="dxa"/>
            <w:vAlign w:val="center"/>
          </w:tcPr>
          <w:p w14:paraId="02EFC516">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名称</w:t>
            </w:r>
          </w:p>
        </w:tc>
        <w:tc>
          <w:tcPr>
            <w:tcW w:w="3948" w:type="dxa"/>
            <w:vAlign w:val="center"/>
          </w:tcPr>
          <w:p w14:paraId="24436AAE">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主要技术参数</w:t>
            </w:r>
          </w:p>
        </w:tc>
        <w:tc>
          <w:tcPr>
            <w:tcW w:w="2627" w:type="dxa"/>
            <w:vAlign w:val="center"/>
          </w:tcPr>
          <w:p w14:paraId="388FE943">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备注</w:t>
            </w:r>
          </w:p>
        </w:tc>
      </w:tr>
      <w:tr w14:paraId="0E4BB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39" w:type="dxa"/>
            <w:vMerge w:val="restart"/>
            <w:vAlign w:val="center"/>
          </w:tcPr>
          <w:p w14:paraId="73A726AC">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游客服务消耗用品</w:t>
            </w:r>
          </w:p>
        </w:tc>
        <w:tc>
          <w:tcPr>
            <w:tcW w:w="492" w:type="dxa"/>
            <w:vAlign w:val="center"/>
          </w:tcPr>
          <w:p w14:paraId="4AE6AE43">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1198" w:type="dxa"/>
            <w:vAlign w:val="center"/>
          </w:tcPr>
          <w:p w14:paraId="42092BD1">
            <w:pPr>
              <w:widowControl w:val="0"/>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厕所用大卷纸</w:t>
            </w:r>
          </w:p>
        </w:tc>
        <w:tc>
          <w:tcPr>
            <w:tcW w:w="3948" w:type="dxa"/>
            <w:vAlign w:val="center"/>
          </w:tcPr>
          <w:p w14:paraId="6BE860CB">
            <w:pPr>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中心抽卫生纸；纸张尺寸180mm</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134mm</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层；铜芯直径58mm；原生木浆；</w:t>
            </w:r>
          </w:p>
        </w:tc>
        <w:tc>
          <w:tcPr>
            <w:tcW w:w="2627" w:type="dxa"/>
            <w:vMerge w:val="restart"/>
            <w:vAlign w:val="center"/>
          </w:tcPr>
          <w:p w14:paraId="4217B4EA">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用于洗手间、母婴室等游客服务设施所提供的洗手液、纸巾、檀香、喷香液等</w:t>
            </w:r>
          </w:p>
        </w:tc>
      </w:tr>
      <w:tr w14:paraId="16DB8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39" w:type="dxa"/>
            <w:vMerge w:val="continue"/>
            <w:vAlign w:val="center"/>
          </w:tcPr>
          <w:p w14:paraId="1599B778">
            <w:pPr>
              <w:jc w:val="left"/>
              <w:rPr>
                <w:rFonts w:hint="eastAsia" w:ascii="宋体" w:hAnsi="宋体" w:eastAsia="宋体" w:cs="宋体"/>
                <w:color w:val="auto"/>
                <w:kern w:val="0"/>
                <w:sz w:val="24"/>
                <w:szCs w:val="24"/>
                <w:highlight w:val="none"/>
              </w:rPr>
            </w:pPr>
          </w:p>
        </w:tc>
        <w:tc>
          <w:tcPr>
            <w:tcW w:w="492" w:type="dxa"/>
            <w:vAlign w:val="center"/>
          </w:tcPr>
          <w:p w14:paraId="7BBFE897">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1198" w:type="dxa"/>
            <w:vAlign w:val="center"/>
          </w:tcPr>
          <w:p w14:paraId="1C25EE8F">
            <w:pPr>
              <w:widowControl w:val="0"/>
              <w:snapToGrid w:val="0"/>
              <w:spacing w:line="30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公用擦手纸</w:t>
            </w:r>
          </w:p>
        </w:tc>
        <w:tc>
          <w:tcPr>
            <w:tcW w:w="3948" w:type="dxa"/>
            <w:vAlign w:val="center"/>
          </w:tcPr>
          <w:p w14:paraId="33B714D4">
            <w:pPr>
              <w:widowControl w:val="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原生木浆；222</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226mm；</w:t>
            </w:r>
          </w:p>
        </w:tc>
        <w:tc>
          <w:tcPr>
            <w:tcW w:w="2627" w:type="dxa"/>
            <w:vMerge w:val="continue"/>
            <w:vAlign w:val="center"/>
          </w:tcPr>
          <w:p w14:paraId="588EB34F">
            <w:pPr>
              <w:jc w:val="left"/>
              <w:rPr>
                <w:rFonts w:hint="eastAsia" w:ascii="宋体" w:hAnsi="宋体" w:eastAsia="宋体" w:cs="宋体"/>
                <w:color w:val="auto"/>
                <w:kern w:val="0"/>
                <w:sz w:val="24"/>
                <w:szCs w:val="24"/>
                <w:highlight w:val="none"/>
              </w:rPr>
            </w:pPr>
          </w:p>
        </w:tc>
      </w:tr>
      <w:tr w14:paraId="279AD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39" w:type="dxa"/>
            <w:vMerge w:val="continue"/>
            <w:vAlign w:val="center"/>
          </w:tcPr>
          <w:p w14:paraId="14D2F878">
            <w:pPr>
              <w:jc w:val="left"/>
              <w:rPr>
                <w:rFonts w:hint="eastAsia" w:ascii="宋体" w:hAnsi="宋体" w:eastAsia="宋体" w:cs="宋体"/>
                <w:color w:val="auto"/>
                <w:kern w:val="0"/>
                <w:sz w:val="24"/>
                <w:szCs w:val="24"/>
                <w:highlight w:val="none"/>
              </w:rPr>
            </w:pPr>
          </w:p>
        </w:tc>
        <w:tc>
          <w:tcPr>
            <w:tcW w:w="492" w:type="dxa"/>
            <w:vAlign w:val="center"/>
          </w:tcPr>
          <w:p w14:paraId="1365AB70">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1198" w:type="dxa"/>
            <w:vAlign w:val="center"/>
          </w:tcPr>
          <w:p w14:paraId="498897A4">
            <w:pPr>
              <w:widowControl w:val="0"/>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洗手液</w:t>
            </w:r>
          </w:p>
        </w:tc>
        <w:tc>
          <w:tcPr>
            <w:tcW w:w="3948" w:type="dxa"/>
            <w:vAlign w:val="center"/>
          </w:tcPr>
          <w:p w14:paraId="600292DE">
            <w:pPr>
              <w:widowControl w:val="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温和型泡沫洗手液（自然清新）；1000ml/支</w:t>
            </w:r>
          </w:p>
        </w:tc>
        <w:tc>
          <w:tcPr>
            <w:tcW w:w="2627" w:type="dxa"/>
            <w:vMerge w:val="continue"/>
            <w:vAlign w:val="center"/>
          </w:tcPr>
          <w:p w14:paraId="172D8CA3">
            <w:pPr>
              <w:jc w:val="left"/>
              <w:rPr>
                <w:rFonts w:hint="eastAsia" w:ascii="宋体" w:hAnsi="宋体" w:eastAsia="宋体" w:cs="宋体"/>
                <w:color w:val="auto"/>
                <w:kern w:val="0"/>
                <w:sz w:val="24"/>
                <w:szCs w:val="24"/>
                <w:highlight w:val="none"/>
              </w:rPr>
            </w:pPr>
          </w:p>
        </w:tc>
      </w:tr>
      <w:tr w14:paraId="4AAD5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39" w:type="dxa"/>
            <w:vMerge w:val="continue"/>
            <w:vAlign w:val="center"/>
          </w:tcPr>
          <w:p w14:paraId="2CBFAA2C">
            <w:pPr>
              <w:jc w:val="left"/>
              <w:rPr>
                <w:rFonts w:hint="eastAsia" w:ascii="宋体" w:hAnsi="宋体" w:eastAsia="宋体" w:cs="宋体"/>
                <w:color w:val="auto"/>
                <w:kern w:val="0"/>
                <w:sz w:val="24"/>
                <w:szCs w:val="24"/>
                <w:highlight w:val="none"/>
              </w:rPr>
            </w:pPr>
          </w:p>
        </w:tc>
        <w:tc>
          <w:tcPr>
            <w:tcW w:w="492" w:type="dxa"/>
            <w:vAlign w:val="center"/>
          </w:tcPr>
          <w:p w14:paraId="398C33DD">
            <w:pPr>
              <w:widowControl w:val="0"/>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4</w:t>
            </w:r>
          </w:p>
        </w:tc>
        <w:tc>
          <w:tcPr>
            <w:tcW w:w="1198" w:type="dxa"/>
            <w:vAlign w:val="center"/>
          </w:tcPr>
          <w:p w14:paraId="5E327F68">
            <w:pPr>
              <w:widowControl w:val="0"/>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室内自动喷香机补充液</w:t>
            </w:r>
          </w:p>
        </w:tc>
        <w:tc>
          <w:tcPr>
            <w:tcW w:w="3948" w:type="dxa"/>
            <w:vAlign w:val="center"/>
          </w:tcPr>
          <w:p w14:paraId="598E92BF">
            <w:pPr>
              <w:widowContro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安全环保；对人体无害；气味温和</w:t>
            </w:r>
          </w:p>
        </w:tc>
        <w:tc>
          <w:tcPr>
            <w:tcW w:w="2627" w:type="dxa"/>
            <w:vMerge w:val="continue"/>
            <w:vAlign w:val="center"/>
          </w:tcPr>
          <w:p w14:paraId="707F156C">
            <w:pPr>
              <w:jc w:val="left"/>
              <w:rPr>
                <w:rFonts w:hint="eastAsia" w:ascii="宋体" w:hAnsi="宋体" w:eastAsia="宋体" w:cs="宋体"/>
                <w:color w:val="auto"/>
                <w:kern w:val="0"/>
                <w:sz w:val="24"/>
                <w:szCs w:val="24"/>
                <w:highlight w:val="none"/>
              </w:rPr>
            </w:pPr>
          </w:p>
        </w:tc>
      </w:tr>
      <w:tr w14:paraId="057D7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9" w:type="dxa"/>
            <w:vMerge w:val="continue"/>
            <w:vAlign w:val="center"/>
          </w:tcPr>
          <w:p w14:paraId="6A97185D">
            <w:pPr>
              <w:jc w:val="left"/>
              <w:rPr>
                <w:rFonts w:hint="eastAsia" w:ascii="宋体" w:hAnsi="宋体" w:eastAsia="宋体" w:cs="宋体"/>
                <w:color w:val="auto"/>
                <w:kern w:val="0"/>
                <w:sz w:val="24"/>
                <w:szCs w:val="24"/>
                <w:highlight w:val="none"/>
              </w:rPr>
            </w:pPr>
          </w:p>
        </w:tc>
        <w:tc>
          <w:tcPr>
            <w:tcW w:w="492" w:type="dxa"/>
            <w:vAlign w:val="center"/>
          </w:tcPr>
          <w:p w14:paraId="3DE5A65B">
            <w:pPr>
              <w:widowControl w:val="0"/>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5</w:t>
            </w:r>
          </w:p>
        </w:tc>
        <w:tc>
          <w:tcPr>
            <w:tcW w:w="1198" w:type="dxa"/>
            <w:vAlign w:val="center"/>
          </w:tcPr>
          <w:p w14:paraId="02AAA6C4">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檀香</w:t>
            </w:r>
          </w:p>
        </w:tc>
        <w:tc>
          <w:tcPr>
            <w:tcW w:w="3948" w:type="dxa"/>
            <w:vAlign w:val="center"/>
          </w:tcPr>
          <w:p w14:paraId="09B0B88F">
            <w:pPr>
              <w:widowControl w:val="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安全环保；对人体无害；气味温和</w:t>
            </w:r>
          </w:p>
        </w:tc>
        <w:tc>
          <w:tcPr>
            <w:tcW w:w="2627" w:type="dxa"/>
            <w:vMerge w:val="continue"/>
            <w:vAlign w:val="center"/>
          </w:tcPr>
          <w:p w14:paraId="2C8E8809">
            <w:pPr>
              <w:jc w:val="left"/>
              <w:rPr>
                <w:rFonts w:hint="eastAsia" w:ascii="宋体" w:hAnsi="宋体" w:eastAsia="宋体" w:cs="宋体"/>
                <w:color w:val="auto"/>
                <w:kern w:val="0"/>
                <w:sz w:val="24"/>
                <w:szCs w:val="24"/>
                <w:highlight w:val="none"/>
              </w:rPr>
            </w:pPr>
          </w:p>
        </w:tc>
      </w:tr>
      <w:tr w14:paraId="41F0A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9" w:type="dxa"/>
            <w:vMerge w:val="continue"/>
            <w:vAlign w:val="center"/>
          </w:tcPr>
          <w:p w14:paraId="06669FCD">
            <w:pPr>
              <w:jc w:val="left"/>
              <w:rPr>
                <w:rFonts w:hint="eastAsia" w:ascii="宋体" w:hAnsi="宋体" w:eastAsia="宋体" w:cs="宋体"/>
                <w:color w:val="auto"/>
                <w:kern w:val="0"/>
                <w:sz w:val="24"/>
                <w:szCs w:val="24"/>
                <w:highlight w:val="none"/>
              </w:rPr>
            </w:pPr>
          </w:p>
        </w:tc>
        <w:tc>
          <w:tcPr>
            <w:tcW w:w="492" w:type="dxa"/>
            <w:vAlign w:val="center"/>
          </w:tcPr>
          <w:p w14:paraId="3914FD96">
            <w:pPr>
              <w:widowControl w:val="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6</w:t>
            </w:r>
          </w:p>
        </w:tc>
        <w:tc>
          <w:tcPr>
            <w:tcW w:w="1198" w:type="dxa"/>
            <w:vAlign w:val="center"/>
          </w:tcPr>
          <w:p w14:paraId="4C79D462">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饮水机滤芯</w:t>
            </w:r>
          </w:p>
        </w:tc>
        <w:tc>
          <w:tcPr>
            <w:tcW w:w="3948" w:type="dxa"/>
            <w:vAlign w:val="center"/>
          </w:tcPr>
          <w:p w14:paraId="7EF16B6C">
            <w:pPr>
              <w:widowControl w:val="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安全环保；对人体无害；气味温和</w:t>
            </w:r>
          </w:p>
        </w:tc>
        <w:tc>
          <w:tcPr>
            <w:tcW w:w="2627" w:type="dxa"/>
            <w:vMerge w:val="restart"/>
            <w:vAlign w:val="center"/>
          </w:tcPr>
          <w:p w14:paraId="2D95E8B3">
            <w:pPr>
              <w:jc w:val="left"/>
              <w:rPr>
                <w:rFonts w:hint="eastAsia" w:ascii="宋体" w:hAnsi="宋体" w:eastAsia="宋体" w:cs="宋体"/>
                <w:color w:val="auto"/>
                <w:kern w:val="0"/>
                <w:sz w:val="24"/>
                <w:szCs w:val="24"/>
                <w:highlight w:val="none"/>
              </w:rPr>
            </w:pPr>
          </w:p>
        </w:tc>
      </w:tr>
      <w:tr w14:paraId="1C03A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9" w:type="dxa"/>
            <w:vMerge w:val="continue"/>
            <w:vAlign w:val="center"/>
          </w:tcPr>
          <w:p w14:paraId="32557A90">
            <w:pPr>
              <w:jc w:val="left"/>
              <w:rPr>
                <w:rFonts w:hint="eastAsia" w:ascii="宋体" w:hAnsi="宋体" w:eastAsia="宋体" w:cs="宋体"/>
                <w:color w:val="auto"/>
                <w:kern w:val="0"/>
                <w:sz w:val="24"/>
                <w:szCs w:val="24"/>
                <w:highlight w:val="none"/>
              </w:rPr>
            </w:pPr>
          </w:p>
        </w:tc>
        <w:tc>
          <w:tcPr>
            <w:tcW w:w="492" w:type="dxa"/>
            <w:vAlign w:val="center"/>
          </w:tcPr>
          <w:p w14:paraId="79A41D56">
            <w:pPr>
              <w:widowControl w:val="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7</w:t>
            </w:r>
          </w:p>
        </w:tc>
        <w:tc>
          <w:tcPr>
            <w:tcW w:w="1198" w:type="dxa"/>
            <w:vAlign w:val="center"/>
          </w:tcPr>
          <w:p w14:paraId="7383F13E">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泡泡水</w:t>
            </w:r>
          </w:p>
        </w:tc>
        <w:tc>
          <w:tcPr>
            <w:tcW w:w="3948" w:type="dxa"/>
            <w:vAlign w:val="center"/>
          </w:tcPr>
          <w:p w14:paraId="6D99967E">
            <w:pPr>
              <w:widowControl w:val="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安全环保；对人体无害；气味温和</w:t>
            </w:r>
          </w:p>
        </w:tc>
        <w:tc>
          <w:tcPr>
            <w:tcW w:w="2627" w:type="dxa"/>
            <w:vMerge w:val="continue"/>
            <w:vAlign w:val="center"/>
          </w:tcPr>
          <w:p w14:paraId="43C52C4F">
            <w:pPr>
              <w:jc w:val="left"/>
              <w:rPr>
                <w:rFonts w:hint="eastAsia" w:ascii="宋体" w:hAnsi="宋体" w:eastAsia="宋体" w:cs="宋体"/>
                <w:color w:val="auto"/>
                <w:kern w:val="0"/>
                <w:sz w:val="24"/>
                <w:szCs w:val="24"/>
                <w:highlight w:val="none"/>
              </w:rPr>
            </w:pPr>
          </w:p>
        </w:tc>
      </w:tr>
      <w:tr w14:paraId="42F16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9" w:type="dxa"/>
            <w:vMerge w:val="continue"/>
            <w:vAlign w:val="center"/>
          </w:tcPr>
          <w:p w14:paraId="33EA3EF8">
            <w:pPr>
              <w:jc w:val="left"/>
              <w:rPr>
                <w:rFonts w:hint="eastAsia" w:ascii="宋体" w:hAnsi="宋体" w:eastAsia="宋体" w:cs="宋体"/>
                <w:color w:val="auto"/>
                <w:kern w:val="0"/>
                <w:sz w:val="24"/>
                <w:szCs w:val="24"/>
                <w:highlight w:val="none"/>
              </w:rPr>
            </w:pPr>
          </w:p>
        </w:tc>
        <w:tc>
          <w:tcPr>
            <w:tcW w:w="492" w:type="dxa"/>
            <w:vAlign w:val="center"/>
          </w:tcPr>
          <w:p w14:paraId="2EF4CD55">
            <w:pPr>
              <w:widowControl w:val="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8</w:t>
            </w:r>
          </w:p>
        </w:tc>
        <w:tc>
          <w:tcPr>
            <w:tcW w:w="1198" w:type="dxa"/>
            <w:vAlign w:val="center"/>
          </w:tcPr>
          <w:p w14:paraId="0CDC3F9F">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砂</w:t>
            </w:r>
          </w:p>
        </w:tc>
        <w:tc>
          <w:tcPr>
            <w:tcW w:w="3948" w:type="dxa"/>
            <w:vAlign w:val="center"/>
          </w:tcPr>
          <w:p w14:paraId="2AB055FF">
            <w:pPr>
              <w:widowControl w:val="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小白沙</w:t>
            </w:r>
          </w:p>
        </w:tc>
        <w:tc>
          <w:tcPr>
            <w:tcW w:w="2627" w:type="dxa"/>
            <w:vAlign w:val="center"/>
          </w:tcPr>
          <w:p w14:paraId="50C2FF36">
            <w:pPr>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eastAsia="zh-CN"/>
              </w:rPr>
              <w:t>一年增补量</w:t>
            </w:r>
          </w:p>
        </w:tc>
      </w:tr>
      <w:tr w14:paraId="154F4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9" w:type="dxa"/>
            <w:vMerge w:val="continue"/>
            <w:vAlign w:val="center"/>
          </w:tcPr>
          <w:p w14:paraId="580ED042">
            <w:pPr>
              <w:jc w:val="left"/>
              <w:rPr>
                <w:rFonts w:hint="eastAsia" w:ascii="宋体" w:hAnsi="宋体" w:eastAsia="宋体" w:cs="宋体"/>
                <w:color w:val="auto"/>
                <w:kern w:val="0"/>
                <w:sz w:val="24"/>
                <w:szCs w:val="24"/>
                <w:highlight w:val="none"/>
              </w:rPr>
            </w:pPr>
          </w:p>
        </w:tc>
        <w:tc>
          <w:tcPr>
            <w:tcW w:w="492" w:type="dxa"/>
            <w:vAlign w:val="center"/>
          </w:tcPr>
          <w:p w14:paraId="317CBA2A">
            <w:pPr>
              <w:widowControl w:val="0"/>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9</w:t>
            </w:r>
          </w:p>
        </w:tc>
        <w:tc>
          <w:tcPr>
            <w:tcW w:w="1198" w:type="dxa"/>
            <w:vAlign w:val="center"/>
          </w:tcPr>
          <w:p w14:paraId="28042C18">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便民服务药品</w:t>
            </w:r>
          </w:p>
        </w:tc>
        <w:tc>
          <w:tcPr>
            <w:tcW w:w="3948" w:type="dxa"/>
            <w:vAlign w:val="center"/>
          </w:tcPr>
          <w:p w14:paraId="4D0449E6">
            <w:pPr>
              <w:widowControl w:val="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防暑降温药品及应急药品等</w:t>
            </w:r>
          </w:p>
        </w:tc>
        <w:tc>
          <w:tcPr>
            <w:tcW w:w="2627" w:type="dxa"/>
            <w:vAlign w:val="center"/>
          </w:tcPr>
          <w:p w14:paraId="4AC052D5">
            <w:pPr>
              <w:jc w:val="left"/>
              <w:rPr>
                <w:rFonts w:hint="eastAsia" w:ascii="宋体" w:hAnsi="宋体" w:eastAsia="宋体" w:cs="宋体"/>
                <w:color w:val="auto"/>
                <w:kern w:val="0"/>
                <w:sz w:val="24"/>
                <w:szCs w:val="24"/>
                <w:highlight w:val="none"/>
                <w:lang w:eastAsia="zh-CN"/>
              </w:rPr>
            </w:pPr>
          </w:p>
        </w:tc>
      </w:tr>
      <w:tr w14:paraId="4845E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9" w:type="dxa"/>
            <w:vMerge w:val="continue"/>
            <w:vAlign w:val="center"/>
          </w:tcPr>
          <w:p w14:paraId="4B056E3F">
            <w:pPr>
              <w:jc w:val="left"/>
              <w:rPr>
                <w:rFonts w:hint="eastAsia" w:ascii="宋体" w:hAnsi="宋体" w:eastAsia="宋体" w:cs="宋体"/>
                <w:color w:val="auto"/>
                <w:kern w:val="0"/>
                <w:sz w:val="24"/>
                <w:szCs w:val="24"/>
                <w:highlight w:val="none"/>
              </w:rPr>
            </w:pPr>
          </w:p>
        </w:tc>
        <w:tc>
          <w:tcPr>
            <w:tcW w:w="492" w:type="dxa"/>
            <w:vAlign w:val="center"/>
          </w:tcPr>
          <w:p w14:paraId="5F775F9A">
            <w:pPr>
              <w:widowControl w:val="0"/>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9</w:t>
            </w:r>
          </w:p>
        </w:tc>
        <w:tc>
          <w:tcPr>
            <w:tcW w:w="1198" w:type="dxa"/>
            <w:vAlign w:val="center"/>
          </w:tcPr>
          <w:p w14:paraId="2DCB7089">
            <w:pPr>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便民服务药品</w:t>
            </w:r>
          </w:p>
        </w:tc>
        <w:tc>
          <w:tcPr>
            <w:tcW w:w="3948" w:type="dxa"/>
            <w:vAlign w:val="center"/>
          </w:tcPr>
          <w:p w14:paraId="3D432A15">
            <w:pPr>
              <w:widowControl w:val="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防暑降温药品等</w:t>
            </w:r>
          </w:p>
        </w:tc>
        <w:tc>
          <w:tcPr>
            <w:tcW w:w="2627" w:type="dxa"/>
            <w:vAlign w:val="center"/>
          </w:tcPr>
          <w:p w14:paraId="5A12C451">
            <w:pPr>
              <w:rPr>
                <w:rFonts w:eastAsia="宋体"/>
                <w:color w:val="auto"/>
                <w:highlight w:val="none"/>
              </w:rPr>
            </w:pPr>
          </w:p>
        </w:tc>
      </w:tr>
      <w:tr w14:paraId="68944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131" w:type="dxa"/>
            <w:gridSpan w:val="2"/>
            <w:vAlign w:val="center"/>
          </w:tcPr>
          <w:p w14:paraId="5A09AAC7">
            <w:pPr>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管理要求</w:t>
            </w:r>
          </w:p>
        </w:tc>
        <w:tc>
          <w:tcPr>
            <w:tcW w:w="7773" w:type="dxa"/>
            <w:gridSpan w:val="3"/>
            <w:vAlign w:val="center"/>
          </w:tcPr>
          <w:p w14:paraId="074B2063">
            <w:pPr>
              <w:widowControl w:val="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1.主要为公园</w:t>
            </w:r>
            <w:r>
              <w:rPr>
                <w:rFonts w:hint="eastAsia" w:ascii="宋体" w:hAnsi="宋体" w:eastAsia="宋体" w:cs="宋体"/>
                <w:color w:val="auto"/>
                <w:kern w:val="0"/>
                <w:sz w:val="24"/>
                <w:szCs w:val="24"/>
                <w:highlight w:val="none"/>
                <w:lang w:val="en-US" w:eastAsia="zh-CN"/>
              </w:rPr>
              <w:t>公厕</w:t>
            </w:r>
            <w:r>
              <w:rPr>
                <w:rFonts w:hint="eastAsia" w:ascii="宋体" w:hAnsi="宋体" w:eastAsia="宋体" w:cs="宋体"/>
                <w:color w:val="auto"/>
                <w:kern w:val="0"/>
                <w:sz w:val="24"/>
                <w:szCs w:val="24"/>
                <w:highlight w:val="none"/>
              </w:rPr>
              <w:t>、母婴室采购纸巾、洗手液、空气清新剂等消耗用品供给及更换。所有产品应选择当前主流品牌，</w:t>
            </w:r>
            <w:r>
              <w:rPr>
                <w:rFonts w:hint="eastAsia" w:ascii="宋体" w:hAnsi="宋体" w:eastAsia="宋体" w:cs="宋体"/>
                <w:color w:val="auto"/>
                <w:sz w:val="24"/>
                <w:szCs w:val="24"/>
                <w:highlight w:val="none"/>
              </w:rPr>
              <w:t>具体种类及数量需经</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确认，需要提供样品，合格进入采购配送流程，不合格淘汰重新提供，</w:t>
            </w:r>
            <w:r>
              <w:rPr>
                <w:rFonts w:hint="eastAsia" w:ascii="宋体" w:hAnsi="宋体" w:eastAsia="宋体" w:cs="宋体"/>
                <w:color w:val="auto"/>
                <w:kern w:val="0"/>
                <w:sz w:val="24"/>
                <w:szCs w:val="24"/>
                <w:highlight w:val="none"/>
              </w:rPr>
              <w:t>确保质量。</w:t>
            </w:r>
          </w:p>
          <w:p w14:paraId="79D1B7F7">
            <w:pPr>
              <w:widowControl w:val="0"/>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bCs/>
                <w:color w:val="auto"/>
                <w:sz w:val="24"/>
                <w:szCs w:val="24"/>
                <w:highlight w:val="none"/>
              </w:rPr>
              <w:t>投标报价中已包含</w:t>
            </w:r>
            <w:r>
              <w:rPr>
                <w:rFonts w:hint="eastAsia" w:ascii="宋体" w:hAnsi="宋体" w:eastAsia="宋体" w:cs="宋体"/>
                <w:bCs/>
                <w:color w:val="auto"/>
                <w:sz w:val="24"/>
                <w:szCs w:val="24"/>
                <w:highlight w:val="none"/>
                <w:lang w:eastAsia="zh-CN"/>
              </w:rPr>
              <w:t>中标人</w:t>
            </w:r>
            <w:r>
              <w:rPr>
                <w:rFonts w:hint="eastAsia" w:ascii="宋体" w:hAnsi="宋体" w:eastAsia="宋体" w:cs="宋体"/>
                <w:bCs/>
                <w:color w:val="auto"/>
                <w:sz w:val="24"/>
                <w:szCs w:val="24"/>
                <w:highlight w:val="none"/>
              </w:rPr>
              <w:t>提供全年所有费用，包干管理，若有不足，由</w:t>
            </w:r>
            <w:r>
              <w:rPr>
                <w:rFonts w:hint="eastAsia" w:ascii="宋体" w:hAnsi="宋体" w:eastAsia="宋体" w:cs="宋体"/>
                <w:bCs/>
                <w:color w:val="auto"/>
                <w:sz w:val="24"/>
                <w:szCs w:val="24"/>
                <w:highlight w:val="none"/>
                <w:lang w:eastAsia="zh-CN"/>
              </w:rPr>
              <w:t>中标人</w:t>
            </w:r>
            <w:r>
              <w:rPr>
                <w:rFonts w:hint="eastAsia" w:ascii="宋体" w:hAnsi="宋体" w:eastAsia="宋体" w:cs="宋体"/>
                <w:bCs/>
                <w:color w:val="auto"/>
                <w:sz w:val="24"/>
                <w:szCs w:val="24"/>
                <w:highlight w:val="none"/>
              </w:rPr>
              <w:t>无条件自行保质保量提供。</w:t>
            </w:r>
          </w:p>
          <w:p w14:paraId="27913220">
            <w:pPr>
              <w:widowContro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kern w:val="0"/>
                <w:sz w:val="24"/>
                <w:szCs w:val="24"/>
                <w:highlight w:val="none"/>
              </w:rPr>
              <w:t>若</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对</w:t>
            </w:r>
            <w:r>
              <w:rPr>
                <w:rFonts w:hint="eastAsia" w:ascii="宋体" w:hAnsi="宋体" w:eastAsia="宋体" w:cs="宋体"/>
                <w:color w:val="auto"/>
                <w:kern w:val="0"/>
                <w:sz w:val="24"/>
                <w:szCs w:val="24"/>
                <w:highlight w:val="none"/>
                <w:lang w:eastAsia="zh-CN"/>
              </w:rPr>
              <w:t>中标人</w:t>
            </w:r>
            <w:r>
              <w:rPr>
                <w:rFonts w:hint="eastAsia" w:ascii="宋体" w:hAnsi="宋体" w:eastAsia="宋体" w:cs="宋体"/>
                <w:color w:val="auto"/>
                <w:kern w:val="0"/>
                <w:sz w:val="24"/>
                <w:szCs w:val="24"/>
                <w:highlight w:val="none"/>
              </w:rPr>
              <w:t>所提供产品不满意，有权要求</w:t>
            </w:r>
            <w:r>
              <w:rPr>
                <w:rFonts w:hint="eastAsia" w:ascii="宋体" w:hAnsi="宋体" w:eastAsia="宋体" w:cs="宋体"/>
                <w:color w:val="auto"/>
                <w:kern w:val="0"/>
                <w:sz w:val="24"/>
                <w:szCs w:val="24"/>
                <w:highlight w:val="none"/>
                <w:lang w:eastAsia="zh-CN"/>
              </w:rPr>
              <w:t>中标人</w:t>
            </w:r>
            <w:r>
              <w:rPr>
                <w:rFonts w:hint="eastAsia" w:ascii="宋体" w:hAnsi="宋体" w:eastAsia="宋体" w:cs="宋体"/>
                <w:color w:val="auto"/>
                <w:kern w:val="0"/>
                <w:sz w:val="24"/>
                <w:szCs w:val="24"/>
                <w:highlight w:val="none"/>
              </w:rPr>
              <w:t>更换其它主流品牌产品，确保耗材质量。</w:t>
            </w:r>
          </w:p>
        </w:tc>
      </w:tr>
    </w:tbl>
    <w:p w14:paraId="25A275F7">
      <w:pPr>
        <w:widowControl/>
        <w:tabs>
          <w:tab w:val="left" w:pos="851"/>
        </w:tabs>
        <w:adjustRightInd/>
        <w:spacing w:line="360" w:lineRule="auto"/>
        <w:ind w:firstLine="480" w:firstLineChars="200"/>
        <w:rPr>
          <w:rFonts w:hint="eastAsia"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②肥料及药剂</w:t>
      </w:r>
    </w:p>
    <w:tbl>
      <w:tblPr>
        <w:tblStyle w:val="62"/>
        <w:tblW w:w="88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612"/>
        <w:gridCol w:w="1743"/>
        <w:gridCol w:w="5402"/>
      </w:tblGrid>
      <w:tr w14:paraId="34FF6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37" w:type="dxa"/>
            <w:vAlign w:val="center"/>
          </w:tcPr>
          <w:p w14:paraId="679910BB">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类别</w:t>
            </w:r>
          </w:p>
        </w:tc>
        <w:tc>
          <w:tcPr>
            <w:tcW w:w="612" w:type="dxa"/>
            <w:vAlign w:val="center"/>
          </w:tcPr>
          <w:p w14:paraId="45E922FB">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序号</w:t>
            </w:r>
          </w:p>
        </w:tc>
        <w:tc>
          <w:tcPr>
            <w:tcW w:w="1743" w:type="dxa"/>
            <w:vAlign w:val="center"/>
          </w:tcPr>
          <w:p w14:paraId="76B348FA">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名称</w:t>
            </w:r>
          </w:p>
        </w:tc>
        <w:tc>
          <w:tcPr>
            <w:tcW w:w="5402" w:type="dxa"/>
            <w:vAlign w:val="center"/>
          </w:tcPr>
          <w:p w14:paraId="5A845B39">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备注</w:t>
            </w:r>
          </w:p>
        </w:tc>
      </w:tr>
      <w:tr w14:paraId="513BB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137" w:type="dxa"/>
            <w:vMerge w:val="restart"/>
            <w:vAlign w:val="center"/>
          </w:tcPr>
          <w:p w14:paraId="56F895AB">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肥料及药剂类</w:t>
            </w:r>
          </w:p>
        </w:tc>
        <w:tc>
          <w:tcPr>
            <w:tcW w:w="612" w:type="dxa"/>
            <w:vMerge w:val="restart"/>
            <w:vAlign w:val="center"/>
          </w:tcPr>
          <w:p w14:paraId="2687F4FD">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除草剂类</w:t>
            </w:r>
          </w:p>
        </w:tc>
        <w:tc>
          <w:tcPr>
            <w:tcW w:w="1743" w:type="dxa"/>
            <w:vAlign w:val="center"/>
          </w:tcPr>
          <w:p w14:paraId="6C2C3BB1">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拔绿</w:t>
            </w:r>
          </w:p>
        </w:tc>
        <w:tc>
          <w:tcPr>
            <w:tcW w:w="5402" w:type="dxa"/>
            <w:vAlign w:val="center"/>
          </w:tcPr>
          <w:p w14:paraId="4A8E8809">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草坪杂草封闭剂</w:t>
            </w:r>
          </w:p>
        </w:tc>
      </w:tr>
      <w:tr w14:paraId="20566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37" w:type="dxa"/>
            <w:vMerge w:val="continue"/>
            <w:vAlign w:val="center"/>
          </w:tcPr>
          <w:p w14:paraId="6614DC7C">
            <w:pPr>
              <w:jc w:val="center"/>
              <w:rPr>
                <w:rFonts w:hint="eastAsia" w:ascii="宋体" w:hAnsi="宋体" w:eastAsia="宋体" w:cs="宋体"/>
                <w:color w:val="auto"/>
                <w:kern w:val="0"/>
                <w:sz w:val="24"/>
                <w:szCs w:val="24"/>
                <w:highlight w:val="none"/>
              </w:rPr>
            </w:pPr>
          </w:p>
        </w:tc>
        <w:tc>
          <w:tcPr>
            <w:tcW w:w="612" w:type="dxa"/>
            <w:vMerge w:val="continue"/>
            <w:vAlign w:val="center"/>
          </w:tcPr>
          <w:p w14:paraId="471E2F0C">
            <w:pPr>
              <w:jc w:val="center"/>
              <w:rPr>
                <w:rFonts w:hint="eastAsia" w:ascii="宋体" w:hAnsi="宋体" w:eastAsia="宋体" w:cs="宋体"/>
                <w:color w:val="auto"/>
                <w:kern w:val="2"/>
                <w:sz w:val="24"/>
                <w:szCs w:val="24"/>
                <w:highlight w:val="none"/>
                <w:lang w:val="en-US" w:eastAsia="zh-CN" w:bidi="ar-SA"/>
              </w:rPr>
            </w:pPr>
          </w:p>
        </w:tc>
        <w:tc>
          <w:tcPr>
            <w:tcW w:w="1743" w:type="dxa"/>
            <w:vAlign w:val="center"/>
          </w:tcPr>
          <w:p w14:paraId="7DA4E07D">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抹绿</w:t>
            </w:r>
          </w:p>
        </w:tc>
        <w:tc>
          <w:tcPr>
            <w:tcW w:w="5402" w:type="dxa"/>
            <w:vAlign w:val="center"/>
          </w:tcPr>
          <w:p w14:paraId="1E4B2B04">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草坪除草剂（莎草科）</w:t>
            </w:r>
          </w:p>
        </w:tc>
      </w:tr>
      <w:tr w14:paraId="64AFF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137" w:type="dxa"/>
            <w:vMerge w:val="continue"/>
            <w:vAlign w:val="center"/>
          </w:tcPr>
          <w:p w14:paraId="568B2253">
            <w:pPr>
              <w:jc w:val="center"/>
              <w:rPr>
                <w:rFonts w:hint="eastAsia" w:ascii="宋体" w:hAnsi="宋体" w:eastAsia="宋体" w:cs="宋体"/>
                <w:color w:val="auto"/>
                <w:kern w:val="0"/>
                <w:sz w:val="24"/>
                <w:szCs w:val="24"/>
                <w:highlight w:val="none"/>
              </w:rPr>
            </w:pPr>
          </w:p>
        </w:tc>
        <w:tc>
          <w:tcPr>
            <w:tcW w:w="612" w:type="dxa"/>
            <w:vMerge w:val="continue"/>
            <w:vAlign w:val="center"/>
          </w:tcPr>
          <w:p w14:paraId="62B6C435">
            <w:pPr>
              <w:jc w:val="center"/>
              <w:rPr>
                <w:rFonts w:hint="eastAsia" w:ascii="宋体" w:hAnsi="宋体" w:eastAsia="宋体" w:cs="宋体"/>
                <w:color w:val="auto"/>
                <w:kern w:val="2"/>
                <w:sz w:val="24"/>
                <w:szCs w:val="24"/>
                <w:highlight w:val="none"/>
                <w:lang w:val="en-US" w:eastAsia="zh-CN" w:bidi="ar-SA"/>
              </w:rPr>
            </w:pPr>
          </w:p>
        </w:tc>
        <w:tc>
          <w:tcPr>
            <w:tcW w:w="1743" w:type="dxa"/>
            <w:vAlign w:val="center"/>
          </w:tcPr>
          <w:p w14:paraId="25B50F0F">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卉锦清</w:t>
            </w:r>
          </w:p>
        </w:tc>
        <w:tc>
          <w:tcPr>
            <w:tcW w:w="5402" w:type="dxa"/>
            <w:vAlign w:val="center"/>
          </w:tcPr>
          <w:p w14:paraId="7C0E77E8">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草坪除草剂（阔叶杂草科）</w:t>
            </w:r>
          </w:p>
        </w:tc>
      </w:tr>
      <w:tr w14:paraId="72976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137" w:type="dxa"/>
            <w:vMerge w:val="continue"/>
            <w:vAlign w:val="center"/>
          </w:tcPr>
          <w:p w14:paraId="43112816">
            <w:pPr>
              <w:jc w:val="center"/>
              <w:rPr>
                <w:rFonts w:hint="eastAsia" w:ascii="宋体" w:hAnsi="宋体" w:eastAsia="宋体" w:cs="宋体"/>
                <w:color w:val="auto"/>
                <w:kern w:val="0"/>
                <w:sz w:val="24"/>
                <w:szCs w:val="24"/>
                <w:highlight w:val="none"/>
              </w:rPr>
            </w:pPr>
          </w:p>
        </w:tc>
        <w:tc>
          <w:tcPr>
            <w:tcW w:w="612" w:type="dxa"/>
            <w:vMerge w:val="continue"/>
            <w:vAlign w:val="center"/>
          </w:tcPr>
          <w:p w14:paraId="307A0F5E">
            <w:pPr>
              <w:jc w:val="center"/>
              <w:rPr>
                <w:rFonts w:hint="eastAsia" w:ascii="宋体" w:hAnsi="宋体" w:eastAsia="宋体" w:cs="宋体"/>
                <w:color w:val="auto"/>
                <w:kern w:val="2"/>
                <w:sz w:val="24"/>
                <w:szCs w:val="24"/>
                <w:highlight w:val="none"/>
                <w:lang w:val="en-US" w:eastAsia="zh-CN" w:bidi="ar-SA"/>
              </w:rPr>
            </w:pPr>
          </w:p>
        </w:tc>
        <w:tc>
          <w:tcPr>
            <w:tcW w:w="1743" w:type="dxa"/>
            <w:vAlign w:val="center"/>
          </w:tcPr>
          <w:p w14:paraId="7D6F31F6">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麦草霸</w:t>
            </w:r>
          </w:p>
        </w:tc>
        <w:tc>
          <w:tcPr>
            <w:tcW w:w="5402" w:type="dxa"/>
            <w:vAlign w:val="center"/>
          </w:tcPr>
          <w:p w14:paraId="31BF9461">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麦冬草坪除草剂</w:t>
            </w:r>
          </w:p>
        </w:tc>
      </w:tr>
      <w:tr w14:paraId="2ACE8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137" w:type="dxa"/>
            <w:vMerge w:val="continue"/>
            <w:vAlign w:val="center"/>
          </w:tcPr>
          <w:p w14:paraId="601D353C">
            <w:pPr>
              <w:jc w:val="center"/>
              <w:rPr>
                <w:rFonts w:hint="eastAsia" w:ascii="宋体" w:hAnsi="宋体" w:eastAsia="宋体" w:cs="宋体"/>
                <w:color w:val="auto"/>
                <w:kern w:val="0"/>
                <w:sz w:val="24"/>
                <w:szCs w:val="24"/>
                <w:highlight w:val="none"/>
              </w:rPr>
            </w:pPr>
          </w:p>
        </w:tc>
        <w:tc>
          <w:tcPr>
            <w:tcW w:w="612" w:type="dxa"/>
            <w:vMerge w:val="continue"/>
            <w:vAlign w:val="center"/>
          </w:tcPr>
          <w:p w14:paraId="62D65CB2">
            <w:pPr>
              <w:jc w:val="center"/>
              <w:rPr>
                <w:rFonts w:hint="eastAsia" w:ascii="宋体" w:hAnsi="宋体" w:eastAsia="宋体" w:cs="宋体"/>
                <w:color w:val="auto"/>
                <w:kern w:val="2"/>
                <w:sz w:val="24"/>
                <w:szCs w:val="24"/>
                <w:highlight w:val="none"/>
                <w:lang w:val="en-US" w:eastAsia="zh-CN" w:bidi="ar-SA"/>
              </w:rPr>
            </w:pPr>
          </w:p>
        </w:tc>
        <w:tc>
          <w:tcPr>
            <w:tcW w:w="1743" w:type="dxa"/>
            <w:vAlign w:val="center"/>
          </w:tcPr>
          <w:p w14:paraId="54E487C6">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冠牛（草铵膦）</w:t>
            </w:r>
          </w:p>
        </w:tc>
        <w:tc>
          <w:tcPr>
            <w:tcW w:w="5402" w:type="dxa"/>
            <w:vAlign w:val="center"/>
          </w:tcPr>
          <w:p w14:paraId="12B32ECB">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荒地除草剂</w:t>
            </w:r>
          </w:p>
        </w:tc>
      </w:tr>
      <w:tr w14:paraId="673E6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137" w:type="dxa"/>
            <w:vMerge w:val="continue"/>
            <w:vAlign w:val="center"/>
          </w:tcPr>
          <w:p w14:paraId="46CA4851">
            <w:pPr>
              <w:jc w:val="center"/>
              <w:rPr>
                <w:rFonts w:hint="eastAsia" w:ascii="宋体" w:hAnsi="宋体" w:eastAsia="宋体" w:cs="宋体"/>
                <w:color w:val="auto"/>
                <w:kern w:val="0"/>
                <w:sz w:val="24"/>
                <w:szCs w:val="24"/>
                <w:highlight w:val="none"/>
              </w:rPr>
            </w:pPr>
          </w:p>
        </w:tc>
        <w:tc>
          <w:tcPr>
            <w:tcW w:w="612" w:type="dxa"/>
            <w:vMerge w:val="continue"/>
            <w:vAlign w:val="center"/>
          </w:tcPr>
          <w:p w14:paraId="0B2A2DB8">
            <w:pPr>
              <w:jc w:val="center"/>
              <w:rPr>
                <w:rFonts w:hint="eastAsia" w:ascii="宋体" w:hAnsi="宋体" w:eastAsia="宋体" w:cs="宋体"/>
                <w:color w:val="auto"/>
                <w:kern w:val="2"/>
                <w:sz w:val="24"/>
                <w:szCs w:val="24"/>
                <w:highlight w:val="none"/>
                <w:lang w:val="en-US" w:eastAsia="zh-CN" w:bidi="ar-SA"/>
              </w:rPr>
            </w:pPr>
          </w:p>
        </w:tc>
        <w:tc>
          <w:tcPr>
            <w:tcW w:w="1743" w:type="dxa"/>
            <w:vAlign w:val="center"/>
          </w:tcPr>
          <w:p w14:paraId="3B7FE861">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火矛（草甘膦）</w:t>
            </w:r>
          </w:p>
        </w:tc>
        <w:tc>
          <w:tcPr>
            <w:tcW w:w="5402" w:type="dxa"/>
            <w:vAlign w:val="center"/>
          </w:tcPr>
          <w:p w14:paraId="66DE3C90">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荒地除草剂</w:t>
            </w:r>
          </w:p>
        </w:tc>
      </w:tr>
      <w:tr w14:paraId="1C563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137" w:type="dxa"/>
            <w:vMerge w:val="continue"/>
            <w:vAlign w:val="center"/>
          </w:tcPr>
          <w:p w14:paraId="07E4198D">
            <w:pPr>
              <w:jc w:val="center"/>
              <w:rPr>
                <w:rFonts w:hint="eastAsia" w:ascii="宋体" w:hAnsi="宋体" w:eastAsia="宋体" w:cs="宋体"/>
                <w:color w:val="auto"/>
                <w:kern w:val="0"/>
                <w:sz w:val="24"/>
                <w:szCs w:val="24"/>
                <w:highlight w:val="none"/>
              </w:rPr>
            </w:pPr>
          </w:p>
        </w:tc>
        <w:tc>
          <w:tcPr>
            <w:tcW w:w="612" w:type="dxa"/>
            <w:vMerge w:val="continue"/>
            <w:vAlign w:val="center"/>
          </w:tcPr>
          <w:p w14:paraId="084103BA">
            <w:pPr>
              <w:jc w:val="center"/>
              <w:rPr>
                <w:rFonts w:hint="eastAsia" w:ascii="宋体" w:hAnsi="宋体" w:eastAsia="宋体" w:cs="宋体"/>
                <w:color w:val="auto"/>
                <w:kern w:val="2"/>
                <w:sz w:val="24"/>
                <w:szCs w:val="24"/>
                <w:highlight w:val="none"/>
                <w:lang w:val="en-US" w:eastAsia="zh-CN" w:bidi="ar-SA"/>
              </w:rPr>
            </w:pPr>
          </w:p>
        </w:tc>
        <w:tc>
          <w:tcPr>
            <w:tcW w:w="1743" w:type="dxa"/>
            <w:vAlign w:val="center"/>
          </w:tcPr>
          <w:p w14:paraId="7DA0BE4B">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晒金</w:t>
            </w:r>
          </w:p>
        </w:tc>
        <w:tc>
          <w:tcPr>
            <w:tcW w:w="5402" w:type="dxa"/>
            <w:vAlign w:val="center"/>
          </w:tcPr>
          <w:p w14:paraId="5AF4A9B8">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草坪除草剂（禾本科杂草）</w:t>
            </w:r>
          </w:p>
        </w:tc>
      </w:tr>
      <w:tr w14:paraId="0B82A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137" w:type="dxa"/>
            <w:vMerge w:val="continue"/>
            <w:vAlign w:val="center"/>
          </w:tcPr>
          <w:p w14:paraId="5D7D26F8">
            <w:pPr>
              <w:jc w:val="center"/>
              <w:rPr>
                <w:rFonts w:hint="eastAsia" w:ascii="宋体" w:hAnsi="宋体" w:eastAsia="宋体" w:cs="宋体"/>
                <w:color w:val="auto"/>
                <w:kern w:val="0"/>
                <w:sz w:val="24"/>
                <w:szCs w:val="24"/>
                <w:highlight w:val="none"/>
              </w:rPr>
            </w:pPr>
          </w:p>
        </w:tc>
        <w:tc>
          <w:tcPr>
            <w:tcW w:w="612" w:type="dxa"/>
            <w:vMerge w:val="restart"/>
            <w:vAlign w:val="center"/>
          </w:tcPr>
          <w:p w14:paraId="66DE6BA8">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防虫害类</w:t>
            </w:r>
          </w:p>
        </w:tc>
        <w:tc>
          <w:tcPr>
            <w:tcW w:w="1743" w:type="dxa"/>
            <w:vAlign w:val="center"/>
          </w:tcPr>
          <w:p w14:paraId="7A95AA21">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森康</w:t>
            </w:r>
          </w:p>
        </w:tc>
        <w:tc>
          <w:tcPr>
            <w:tcW w:w="5402" w:type="dxa"/>
            <w:vAlign w:val="center"/>
          </w:tcPr>
          <w:p w14:paraId="11B549B1">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防治食叶害虫及天牛成虫</w:t>
            </w:r>
          </w:p>
        </w:tc>
      </w:tr>
      <w:tr w14:paraId="6CFB2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137" w:type="dxa"/>
            <w:vMerge w:val="continue"/>
            <w:vAlign w:val="center"/>
          </w:tcPr>
          <w:p w14:paraId="2958DA70">
            <w:pPr>
              <w:jc w:val="center"/>
              <w:rPr>
                <w:rFonts w:hint="eastAsia" w:ascii="宋体" w:hAnsi="宋体" w:eastAsia="宋体" w:cs="宋体"/>
                <w:color w:val="auto"/>
                <w:kern w:val="0"/>
                <w:sz w:val="24"/>
                <w:szCs w:val="24"/>
                <w:highlight w:val="none"/>
              </w:rPr>
            </w:pPr>
          </w:p>
        </w:tc>
        <w:tc>
          <w:tcPr>
            <w:tcW w:w="612" w:type="dxa"/>
            <w:vMerge w:val="continue"/>
            <w:vAlign w:val="center"/>
          </w:tcPr>
          <w:p w14:paraId="5192B4AA">
            <w:pPr>
              <w:jc w:val="center"/>
              <w:rPr>
                <w:rFonts w:hint="eastAsia" w:ascii="宋体" w:hAnsi="宋体" w:eastAsia="宋体" w:cs="宋体"/>
                <w:color w:val="auto"/>
                <w:kern w:val="2"/>
                <w:sz w:val="24"/>
                <w:szCs w:val="24"/>
                <w:highlight w:val="none"/>
                <w:lang w:val="en-US" w:eastAsia="zh-CN" w:bidi="ar-SA"/>
              </w:rPr>
            </w:pPr>
          </w:p>
        </w:tc>
        <w:tc>
          <w:tcPr>
            <w:tcW w:w="1743" w:type="dxa"/>
            <w:vAlign w:val="center"/>
          </w:tcPr>
          <w:p w14:paraId="4FBE3902">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卉健</w:t>
            </w:r>
          </w:p>
        </w:tc>
        <w:tc>
          <w:tcPr>
            <w:tcW w:w="5402" w:type="dxa"/>
            <w:vAlign w:val="center"/>
          </w:tcPr>
          <w:p w14:paraId="3C7C4B06">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防治刺吸式害虫及地下害虫，天牛幼虫</w:t>
            </w:r>
          </w:p>
        </w:tc>
      </w:tr>
      <w:tr w14:paraId="77E38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137" w:type="dxa"/>
            <w:vMerge w:val="continue"/>
            <w:vAlign w:val="center"/>
          </w:tcPr>
          <w:p w14:paraId="1A890D3D">
            <w:pPr>
              <w:jc w:val="center"/>
              <w:rPr>
                <w:rFonts w:hint="eastAsia" w:ascii="宋体" w:hAnsi="宋体" w:eastAsia="宋体" w:cs="宋体"/>
                <w:color w:val="auto"/>
                <w:kern w:val="0"/>
                <w:sz w:val="24"/>
                <w:szCs w:val="24"/>
                <w:highlight w:val="none"/>
              </w:rPr>
            </w:pPr>
          </w:p>
        </w:tc>
        <w:tc>
          <w:tcPr>
            <w:tcW w:w="612" w:type="dxa"/>
            <w:vMerge w:val="continue"/>
            <w:vAlign w:val="center"/>
          </w:tcPr>
          <w:p w14:paraId="1D67C433">
            <w:pPr>
              <w:jc w:val="center"/>
              <w:rPr>
                <w:rFonts w:hint="eastAsia" w:ascii="宋体" w:hAnsi="宋体" w:eastAsia="宋体" w:cs="宋体"/>
                <w:color w:val="auto"/>
                <w:kern w:val="2"/>
                <w:sz w:val="24"/>
                <w:szCs w:val="24"/>
                <w:highlight w:val="none"/>
                <w:lang w:val="en-US" w:eastAsia="zh-CN" w:bidi="ar-SA"/>
              </w:rPr>
            </w:pPr>
          </w:p>
        </w:tc>
        <w:tc>
          <w:tcPr>
            <w:tcW w:w="1743" w:type="dxa"/>
            <w:vAlign w:val="center"/>
          </w:tcPr>
          <w:p w14:paraId="61FEDAB7">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易茂7号</w:t>
            </w:r>
          </w:p>
        </w:tc>
        <w:tc>
          <w:tcPr>
            <w:tcW w:w="5402" w:type="dxa"/>
            <w:vAlign w:val="center"/>
          </w:tcPr>
          <w:p w14:paraId="47A7F48D">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防治蚧壳虫</w:t>
            </w:r>
          </w:p>
        </w:tc>
      </w:tr>
      <w:tr w14:paraId="3A936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137" w:type="dxa"/>
            <w:vMerge w:val="continue"/>
            <w:vAlign w:val="center"/>
          </w:tcPr>
          <w:p w14:paraId="30FFFF73">
            <w:pPr>
              <w:jc w:val="center"/>
              <w:rPr>
                <w:rFonts w:hint="eastAsia" w:ascii="宋体" w:hAnsi="宋体" w:eastAsia="宋体" w:cs="宋体"/>
                <w:color w:val="auto"/>
                <w:kern w:val="0"/>
                <w:sz w:val="24"/>
                <w:szCs w:val="24"/>
                <w:highlight w:val="none"/>
              </w:rPr>
            </w:pPr>
          </w:p>
        </w:tc>
        <w:tc>
          <w:tcPr>
            <w:tcW w:w="612" w:type="dxa"/>
            <w:vMerge w:val="continue"/>
            <w:vAlign w:val="center"/>
          </w:tcPr>
          <w:p w14:paraId="754CC8CC">
            <w:pPr>
              <w:jc w:val="center"/>
              <w:rPr>
                <w:rFonts w:hint="eastAsia" w:ascii="宋体" w:hAnsi="宋体" w:eastAsia="宋体" w:cs="宋体"/>
                <w:color w:val="auto"/>
                <w:kern w:val="2"/>
                <w:sz w:val="24"/>
                <w:szCs w:val="24"/>
                <w:highlight w:val="none"/>
                <w:lang w:val="en-US" w:eastAsia="zh-CN" w:bidi="ar-SA"/>
              </w:rPr>
            </w:pPr>
          </w:p>
        </w:tc>
        <w:tc>
          <w:tcPr>
            <w:tcW w:w="1743" w:type="dxa"/>
            <w:vAlign w:val="center"/>
          </w:tcPr>
          <w:p w14:paraId="1C1A36E6">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易茂4号</w:t>
            </w:r>
          </w:p>
        </w:tc>
        <w:tc>
          <w:tcPr>
            <w:tcW w:w="5402" w:type="dxa"/>
            <w:vAlign w:val="center"/>
          </w:tcPr>
          <w:p w14:paraId="12E3537B">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防治刺吸式害虫</w:t>
            </w:r>
          </w:p>
        </w:tc>
      </w:tr>
      <w:tr w14:paraId="5E2DF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137" w:type="dxa"/>
            <w:vMerge w:val="continue"/>
            <w:vAlign w:val="center"/>
          </w:tcPr>
          <w:p w14:paraId="3A6E7C42">
            <w:pPr>
              <w:jc w:val="center"/>
              <w:rPr>
                <w:rFonts w:hint="eastAsia" w:ascii="宋体" w:hAnsi="宋体" w:eastAsia="宋体" w:cs="宋体"/>
                <w:color w:val="auto"/>
                <w:kern w:val="0"/>
                <w:sz w:val="24"/>
                <w:szCs w:val="24"/>
                <w:highlight w:val="none"/>
              </w:rPr>
            </w:pPr>
          </w:p>
        </w:tc>
        <w:tc>
          <w:tcPr>
            <w:tcW w:w="612" w:type="dxa"/>
            <w:vMerge w:val="continue"/>
            <w:vAlign w:val="center"/>
          </w:tcPr>
          <w:p w14:paraId="50E6EC44">
            <w:pPr>
              <w:jc w:val="center"/>
              <w:rPr>
                <w:rFonts w:hint="eastAsia" w:ascii="宋体" w:hAnsi="宋体" w:eastAsia="宋体" w:cs="宋体"/>
                <w:color w:val="auto"/>
                <w:kern w:val="2"/>
                <w:sz w:val="24"/>
                <w:szCs w:val="24"/>
                <w:highlight w:val="none"/>
                <w:lang w:val="en-US" w:eastAsia="zh-CN" w:bidi="ar-SA"/>
              </w:rPr>
            </w:pPr>
          </w:p>
        </w:tc>
        <w:tc>
          <w:tcPr>
            <w:tcW w:w="1743" w:type="dxa"/>
            <w:vAlign w:val="center"/>
          </w:tcPr>
          <w:p w14:paraId="7790981E">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易茂5号</w:t>
            </w:r>
          </w:p>
        </w:tc>
        <w:tc>
          <w:tcPr>
            <w:tcW w:w="5402" w:type="dxa"/>
            <w:vAlign w:val="center"/>
          </w:tcPr>
          <w:p w14:paraId="1935123A">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防治红蜘蛛</w:t>
            </w:r>
          </w:p>
        </w:tc>
      </w:tr>
      <w:tr w14:paraId="5FB67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137" w:type="dxa"/>
            <w:vMerge w:val="continue"/>
            <w:vAlign w:val="center"/>
          </w:tcPr>
          <w:p w14:paraId="3B3845F8">
            <w:pPr>
              <w:jc w:val="center"/>
              <w:rPr>
                <w:rFonts w:hint="eastAsia" w:ascii="宋体" w:hAnsi="宋体" w:eastAsia="宋体" w:cs="宋体"/>
                <w:color w:val="auto"/>
                <w:kern w:val="0"/>
                <w:sz w:val="24"/>
                <w:szCs w:val="24"/>
                <w:highlight w:val="none"/>
              </w:rPr>
            </w:pPr>
          </w:p>
        </w:tc>
        <w:tc>
          <w:tcPr>
            <w:tcW w:w="612" w:type="dxa"/>
            <w:vMerge w:val="continue"/>
            <w:vAlign w:val="center"/>
          </w:tcPr>
          <w:p w14:paraId="6AD38014">
            <w:pPr>
              <w:jc w:val="center"/>
              <w:rPr>
                <w:rFonts w:hint="eastAsia" w:ascii="宋体" w:hAnsi="宋体" w:eastAsia="宋体" w:cs="宋体"/>
                <w:color w:val="auto"/>
                <w:kern w:val="2"/>
                <w:sz w:val="24"/>
                <w:szCs w:val="24"/>
                <w:highlight w:val="none"/>
                <w:lang w:val="en-US" w:eastAsia="zh-CN" w:bidi="ar-SA"/>
              </w:rPr>
            </w:pPr>
          </w:p>
        </w:tc>
        <w:tc>
          <w:tcPr>
            <w:tcW w:w="1743" w:type="dxa"/>
            <w:vAlign w:val="center"/>
          </w:tcPr>
          <w:p w14:paraId="10A128A4">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宽哥（药肥一体）</w:t>
            </w:r>
          </w:p>
        </w:tc>
        <w:tc>
          <w:tcPr>
            <w:tcW w:w="5402" w:type="dxa"/>
            <w:vAlign w:val="center"/>
          </w:tcPr>
          <w:p w14:paraId="41FCE72B">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防治刺吸式害虫及地下害虫</w:t>
            </w:r>
          </w:p>
        </w:tc>
      </w:tr>
      <w:tr w14:paraId="59344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137" w:type="dxa"/>
            <w:vMerge w:val="continue"/>
            <w:vAlign w:val="center"/>
          </w:tcPr>
          <w:p w14:paraId="40F86249">
            <w:pPr>
              <w:jc w:val="center"/>
              <w:rPr>
                <w:rFonts w:hint="eastAsia" w:ascii="宋体" w:hAnsi="宋体" w:eastAsia="宋体" w:cs="宋体"/>
                <w:color w:val="auto"/>
                <w:kern w:val="0"/>
                <w:sz w:val="24"/>
                <w:szCs w:val="24"/>
                <w:highlight w:val="none"/>
              </w:rPr>
            </w:pPr>
          </w:p>
        </w:tc>
        <w:tc>
          <w:tcPr>
            <w:tcW w:w="612" w:type="dxa"/>
            <w:vMerge w:val="restart"/>
            <w:vAlign w:val="center"/>
          </w:tcPr>
          <w:p w14:paraId="594E43EA">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生物防治</w:t>
            </w:r>
          </w:p>
        </w:tc>
        <w:tc>
          <w:tcPr>
            <w:tcW w:w="1743" w:type="dxa"/>
            <w:vAlign w:val="center"/>
          </w:tcPr>
          <w:p w14:paraId="74459CD9">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花绒寄甲</w:t>
            </w:r>
          </w:p>
        </w:tc>
        <w:tc>
          <w:tcPr>
            <w:tcW w:w="5402" w:type="dxa"/>
            <w:vAlign w:val="center"/>
          </w:tcPr>
          <w:p w14:paraId="629F3D10">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易遭受天牛危害树木</w:t>
            </w:r>
          </w:p>
        </w:tc>
      </w:tr>
      <w:tr w14:paraId="5CAAA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137" w:type="dxa"/>
            <w:vMerge w:val="continue"/>
            <w:vAlign w:val="center"/>
          </w:tcPr>
          <w:p w14:paraId="2515384D">
            <w:pPr>
              <w:jc w:val="center"/>
              <w:rPr>
                <w:rFonts w:hint="eastAsia" w:ascii="宋体" w:hAnsi="宋体" w:eastAsia="宋体" w:cs="宋体"/>
                <w:color w:val="auto"/>
                <w:kern w:val="0"/>
                <w:sz w:val="24"/>
                <w:szCs w:val="24"/>
                <w:highlight w:val="none"/>
              </w:rPr>
            </w:pPr>
          </w:p>
        </w:tc>
        <w:tc>
          <w:tcPr>
            <w:tcW w:w="612" w:type="dxa"/>
            <w:vMerge w:val="continue"/>
            <w:vAlign w:val="center"/>
          </w:tcPr>
          <w:p w14:paraId="2E2FA724">
            <w:pPr>
              <w:jc w:val="center"/>
              <w:rPr>
                <w:rFonts w:hint="eastAsia" w:ascii="宋体" w:hAnsi="宋体" w:eastAsia="宋体" w:cs="宋体"/>
                <w:color w:val="auto"/>
                <w:kern w:val="2"/>
                <w:sz w:val="24"/>
                <w:szCs w:val="24"/>
                <w:highlight w:val="none"/>
                <w:lang w:val="en-US" w:eastAsia="zh-CN" w:bidi="ar-SA"/>
              </w:rPr>
            </w:pPr>
          </w:p>
        </w:tc>
        <w:tc>
          <w:tcPr>
            <w:tcW w:w="1743" w:type="dxa"/>
            <w:vAlign w:val="center"/>
          </w:tcPr>
          <w:p w14:paraId="2876A670">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瓢虫</w:t>
            </w:r>
          </w:p>
        </w:tc>
        <w:tc>
          <w:tcPr>
            <w:tcW w:w="5402" w:type="dxa"/>
            <w:vAlign w:val="center"/>
          </w:tcPr>
          <w:p w14:paraId="79E1C0FB">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易遭受红蜘蛛危害乔灌木</w:t>
            </w:r>
          </w:p>
        </w:tc>
      </w:tr>
      <w:tr w14:paraId="3C8D5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137" w:type="dxa"/>
            <w:vMerge w:val="continue"/>
            <w:vAlign w:val="center"/>
          </w:tcPr>
          <w:p w14:paraId="12315932">
            <w:pPr>
              <w:jc w:val="center"/>
              <w:rPr>
                <w:rFonts w:hint="eastAsia" w:ascii="宋体" w:hAnsi="宋体" w:eastAsia="宋体" w:cs="宋体"/>
                <w:color w:val="auto"/>
                <w:kern w:val="0"/>
                <w:sz w:val="24"/>
                <w:szCs w:val="24"/>
                <w:highlight w:val="none"/>
              </w:rPr>
            </w:pPr>
          </w:p>
        </w:tc>
        <w:tc>
          <w:tcPr>
            <w:tcW w:w="612" w:type="dxa"/>
            <w:vMerge w:val="continue"/>
            <w:vAlign w:val="center"/>
          </w:tcPr>
          <w:p w14:paraId="67249BF3">
            <w:pPr>
              <w:jc w:val="center"/>
              <w:rPr>
                <w:rFonts w:hint="eastAsia" w:ascii="宋体" w:hAnsi="宋体" w:eastAsia="宋体" w:cs="宋体"/>
                <w:color w:val="auto"/>
                <w:kern w:val="2"/>
                <w:sz w:val="24"/>
                <w:szCs w:val="24"/>
                <w:highlight w:val="none"/>
                <w:lang w:val="en-US" w:eastAsia="zh-CN" w:bidi="ar-SA"/>
              </w:rPr>
            </w:pPr>
          </w:p>
        </w:tc>
        <w:tc>
          <w:tcPr>
            <w:tcW w:w="1743" w:type="dxa"/>
            <w:vAlign w:val="center"/>
          </w:tcPr>
          <w:p w14:paraId="497E859E">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捕食螨</w:t>
            </w:r>
          </w:p>
        </w:tc>
        <w:tc>
          <w:tcPr>
            <w:tcW w:w="5402" w:type="dxa"/>
            <w:vAlign w:val="center"/>
          </w:tcPr>
          <w:p w14:paraId="336CBBF6">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易遭受蚜虫危害树木</w:t>
            </w:r>
          </w:p>
        </w:tc>
      </w:tr>
      <w:tr w14:paraId="5294F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137" w:type="dxa"/>
            <w:vMerge w:val="continue"/>
            <w:vAlign w:val="center"/>
          </w:tcPr>
          <w:p w14:paraId="72189D7E">
            <w:pPr>
              <w:jc w:val="center"/>
              <w:rPr>
                <w:rFonts w:hint="eastAsia" w:ascii="宋体" w:hAnsi="宋体" w:eastAsia="宋体" w:cs="宋体"/>
                <w:color w:val="auto"/>
                <w:kern w:val="0"/>
                <w:sz w:val="24"/>
                <w:szCs w:val="24"/>
                <w:highlight w:val="none"/>
              </w:rPr>
            </w:pPr>
          </w:p>
        </w:tc>
        <w:tc>
          <w:tcPr>
            <w:tcW w:w="612" w:type="dxa"/>
            <w:vMerge w:val="restart"/>
            <w:vAlign w:val="center"/>
          </w:tcPr>
          <w:p w14:paraId="5DF1FC6D">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防病害类</w:t>
            </w:r>
          </w:p>
        </w:tc>
        <w:tc>
          <w:tcPr>
            <w:tcW w:w="1743" w:type="dxa"/>
            <w:vAlign w:val="center"/>
          </w:tcPr>
          <w:p w14:paraId="64F46E18">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易植9号</w:t>
            </w:r>
          </w:p>
        </w:tc>
        <w:tc>
          <w:tcPr>
            <w:tcW w:w="5402" w:type="dxa"/>
            <w:vAlign w:val="center"/>
          </w:tcPr>
          <w:p w14:paraId="4BCDF021">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强力增效剂</w:t>
            </w:r>
          </w:p>
        </w:tc>
      </w:tr>
      <w:tr w14:paraId="2E21F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137" w:type="dxa"/>
            <w:vMerge w:val="continue"/>
            <w:vAlign w:val="center"/>
          </w:tcPr>
          <w:p w14:paraId="69A65D1D">
            <w:pPr>
              <w:jc w:val="center"/>
              <w:rPr>
                <w:rFonts w:hint="eastAsia" w:ascii="宋体" w:hAnsi="宋体" w:eastAsia="宋体" w:cs="宋体"/>
                <w:color w:val="auto"/>
                <w:kern w:val="0"/>
                <w:sz w:val="24"/>
                <w:szCs w:val="24"/>
                <w:highlight w:val="none"/>
              </w:rPr>
            </w:pPr>
          </w:p>
        </w:tc>
        <w:tc>
          <w:tcPr>
            <w:tcW w:w="612" w:type="dxa"/>
            <w:vMerge w:val="continue"/>
            <w:vAlign w:val="center"/>
          </w:tcPr>
          <w:p w14:paraId="589B616A">
            <w:pPr>
              <w:jc w:val="center"/>
              <w:rPr>
                <w:rFonts w:hint="eastAsia" w:ascii="宋体" w:hAnsi="宋体" w:eastAsia="宋体" w:cs="宋体"/>
                <w:color w:val="auto"/>
                <w:kern w:val="2"/>
                <w:sz w:val="24"/>
                <w:szCs w:val="24"/>
                <w:highlight w:val="none"/>
                <w:lang w:val="en-US" w:eastAsia="zh-CN" w:bidi="ar-SA"/>
              </w:rPr>
            </w:pPr>
          </w:p>
        </w:tc>
        <w:tc>
          <w:tcPr>
            <w:tcW w:w="1743" w:type="dxa"/>
            <w:vAlign w:val="center"/>
          </w:tcPr>
          <w:p w14:paraId="0524FECC">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易景5号</w:t>
            </w:r>
          </w:p>
        </w:tc>
        <w:tc>
          <w:tcPr>
            <w:tcW w:w="5402" w:type="dxa"/>
            <w:vAlign w:val="center"/>
          </w:tcPr>
          <w:p w14:paraId="36F30F0E">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防治黑斑，白粉，炭疽病</w:t>
            </w:r>
          </w:p>
        </w:tc>
      </w:tr>
      <w:tr w14:paraId="378BF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137" w:type="dxa"/>
            <w:vMerge w:val="continue"/>
            <w:vAlign w:val="center"/>
          </w:tcPr>
          <w:p w14:paraId="3AE2FF8E">
            <w:pPr>
              <w:jc w:val="center"/>
              <w:rPr>
                <w:rFonts w:hint="eastAsia" w:ascii="宋体" w:hAnsi="宋体" w:eastAsia="宋体" w:cs="宋体"/>
                <w:color w:val="auto"/>
                <w:kern w:val="0"/>
                <w:sz w:val="24"/>
                <w:szCs w:val="24"/>
                <w:highlight w:val="none"/>
              </w:rPr>
            </w:pPr>
          </w:p>
        </w:tc>
        <w:tc>
          <w:tcPr>
            <w:tcW w:w="612" w:type="dxa"/>
            <w:vMerge w:val="continue"/>
            <w:vAlign w:val="center"/>
          </w:tcPr>
          <w:p w14:paraId="51B49016">
            <w:pPr>
              <w:jc w:val="center"/>
              <w:rPr>
                <w:rFonts w:hint="eastAsia" w:ascii="宋体" w:hAnsi="宋体" w:eastAsia="宋体" w:cs="宋体"/>
                <w:color w:val="auto"/>
                <w:kern w:val="2"/>
                <w:sz w:val="24"/>
                <w:szCs w:val="24"/>
                <w:highlight w:val="none"/>
                <w:lang w:val="en-US" w:eastAsia="zh-CN" w:bidi="ar-SA"/>
              </w:rPr>
            </w:pPr>
          </w:p>
        </w:tc>
        <w:tc>
          <w:tcPr>
            <w:tcW w:w="1743" w:type="dxa"/>
            <w:vAlign w:val="center"/>
          </w:tcPr>
          <w:p w14:paraId="217C4DB2">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百菌清</w:t>
            </w:r>
          </w:p>
        </w:tc>
        <w:tc>
          <w:tcPr>
            <w:tcW w:w="5402" w:type="dxa"/>
            <w:vAlign w:val="center"/>
          </w:tcPr>
          <w:p w14:paraId="30BA70C2">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防治黑斑，白粉，炭疽病</w:t>
            </w:r>
          </w:p>
        </w:tc>
      </w:tr>
      <w:tr w14:paraId="7C2B8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137" w:type="dxa"/>
            <w:vMerge w:val="continue"/>
            <w:vAlign w:val="center"/>
          </w:tcPr>
          <w:p w14:paraId="10FA1902">
            <w:pPr>
              <w:jc w:val="center"/>
              <w:rPr>
                <w:rFonts w:hint="eastAsia" w:ascii="宋体" w:hAnsi="宋体" w:eastAsia="宋体" w:cs="宋体"/>
                <w:color w:val="auto"/>
                <w:kern w:val="0"/>
                <w:sz w:val="24"/>
                <w:szCs w:val="24"/>
                <w:highlight w:val="none"/>
              </w:rPr>
            </w:pPr>
          </w:p>
        </w:tc>
        <w:tc>
          <w:tcPr>
            <w:tcW w:w="612" w:type="dxa"/>
            <w:vMerge w:val="continue"/>
            <w:vAlign w:val="center"/>
          </w:tcPr>
          <w:p w14:paraId="01D2564F">
            <w:pPr>
              <w:jc w:val="center"/>
              <w:rPr>
                <w:rFonts w:hint="eastAsia" w:ascii="宋体" w:hAnsi="宋体" w:eastAsia="宋体" w:cs="宋体"/>
                <w:color w:val="auto"/>
                <w:kern w:val="2"/>
                <w:sz w:val="24"/>
                <w:szCs w:val="24"/>
                <w:highlight w:val="none"/>
                <w:lang w:val="en-US" w:eastAsia="zh-CN" w:bidi="ar-SA"/>
              </w:rPr>
            </w:pPr>
          </w:p>
        </w:tc>
        <w:tc>
          <w:tcPr>
            <w:tcW w:w="1743" w:type="dxa"/>
            <w:vAlign w:val="center"/>
          </w:tcPr>
          <w:p w14:paraId="587E21AF">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领托</w:t>
            </w:r>
          </w:p>
        </w:tc>
        <w:tc>
          <w:tcPr>
            <w:tcW w:w="5402" w:type="dxa"/>
            <w:vAlign w:val="center"/>
          </w:tcPr>
          <w:p w14:paraId="5C8A2A06">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预防性杀菌剂</w:t>
            </w:r>
          </w:p>
        </w:tc>
      </w:tr>
      <w:tr w14:paraId="6FE3A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7" w:type="dxa"/>
            <w:vMerge w:val="continue"/>
            <w:vAlign w:val="center"/>
          </w:tcPr>
          <w:p w14:paraId="0468C6FE">
            <w:pPr>
              <w:jc w:val="center"/>
              <w:rPr>
                <w:rFonts w:hint="eastAsia" w:ascii="宋体" w:hAnsi="宋体" w:eastAsia="宋体" w:cs="宋体"/>
                <w:color w:val="auto"/>
                <w:kern w:val="0"/>
                <w:sz w:val="24"/>
                <w:szCs w:val="24"/>
                <w:highlight w:val="none"/>
              </w:rPr>
            </w:pPr>
          </w:p>
        </w:tc>
        <w:tc>
          <w:tcPr>
            <w:tcW w:w="612" w:type="dxa"/>
            <w:vMerge w:val="restart"/>
            <w:vAlign w:val="center"/>
          </w:tcPr>
          <w:p w14:paraId="35DA9198">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肥料类</w:t>
            </w:r>
          </w:p>
        </w:tc>
        <w:tc>
          <w:tcPr>
            <w:tcW w:w="1743" w:type="dxa"/>
            <w:vAlign w:val="center"/>
          </w:tcPr>
          <w:p w14:paraId="468050F2">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启耘</w:t>
            </w:r>
          </w:p>
        </w:tc>
        <w:tc>
          <w:tcPr>
            <w:tcW w:w="5402" w:type="dxa"/>
            <w:vAlign w:val="center"/>
          </w:tcPr>
          <w:p w14:paraId="2615A6DF">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大量元素水溶肥</w:t>
            </w:r>
          </w:p>
        </w:tc>
      </w:tr>
      <w:tr w14:paraId="2C470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137" w:type="dxa"/>
            <w:vMerge w:val="continue"/>
            <w:vAlign w:val="center"/>
          </w:tcPr>
          <w:p w14:paraId="5E6E63C4">
            <w:pPr>
              <w:jc w:val="center"/>
              <w:rPr>
                <w:rFonts w:hint="eastAsia" w:ascii="宋体" w:hAnsi="宋体" w:eastAsia="宋体" w:cs="宋体"/>
                <w:color w:val="auto"/>
                <w:kern w:val="0"/>
                <w:sz w:val="24"/>
                <w:szCs w:val="24"/>
                <w:highlight w:val="none"/>
              </w:rPr>
            </w:pPr>
          </w:p>
        </w:tc>
        <w:tc>
          <w:tcPr>
            <w:tcW w:w="612" w:type="dxa"/>
            <w:vMerge w:val="continue"/>
            <w:vAlign w:val="center"/>
          </w:tcPr>
          <w:p w14:paraId="1E5A8C11">
            <w:pPr>
              <w:jc w:val="center"/>
              <w:rPr>
                <w:rFonts w:hint="eastAsia" w:ascii="宋体" w:hAnsi="宋体" w:eastAsia="宋体" w:cs="宋体"/>
                <w:color w:val="auto"/>
                <w:kern w:val="2"/>
                <w:sz w:val="24"/>
                <w:szCs w:val="24"/>
                <w:highlight w:val="none"/>
                <w:lang w:val="en-US" w:eastAsia="zh-CN" w:bidi="ar-SA"/>
              </w:rPr>
            </w:pPr>
          </w:p>
        </w:tc>
        <w:tc>
          <w:tcPr>
            <w:tcW w:w="1743" w:type="dxa"/>
            <w:vAlign w:val="center"/>
          </w:tcPr>
          <w:p w14:paraId="5A2B9B91">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有机肥</w:t>
            </w:r>
          </w:p>
        </w:tc>
        <w:tc>
          <w:tcPr>
            <w:tcW w:w="5402" w:type="dxa"/>
            <w:vAlign w:val="center"/>
          </w:tcPr>
          <w:p w14:paraId="5E24AD89">
            <w:pPr>
              <w:jc w:val="center"/>
              <w:rPr>
                <w:rFonts w:hint="eastAsia" w:ascii="宋体" w:hAnsi="宋体" w:eastAsia="宋体" w:cs="宋体"/>
                <w:color w:val="auto"/>
                <w:kern w:val="2"/>
                <w:sz w:val="24"/>
                <w:szCs w:val="24"/>
                <w:highlight w:val="none"/>
                <w:lang w:val="en-US" w:eastAsia="zh-CN" w:bidi="ar-SA"/>
              </w:rPr>
            </w:pPr>
          </w:p>
        </w:tc>
      </w:tr>
      <w:tr w14:paraId="277D3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137" w:type="dxa"/>
            <w:vMerge w:val="continue"/>
            <w:vAlign w:val="center"/>
          </w:tcPr>
          <w:p w14:paraId="259DC1B5">
            <w:pPr>
              <w:jc w:val="center"/>
              <w:rPr>
                <w:rFonts w:hint="eastAsia" w:ascii="宋体" w:hAnsi="宋体" w:eastAsia="宋体" w:cs="宋体"/>
                <w:color w:val="auto"/>
                <w:kern w:val="0"/>
                <w:sz w:val="24"/>
                <w:szCs w:val="24"/>
                <w:highlight w:val="none"/>
              </w:rPr>
            </w:pPr>
          </w:p>
        </w:tc>
        <w:tc>
          <w:tcPr>
            <w:tcW w:w="612" w:type="dxa"/>
            <w:vMerge w:val="continue"/>
            <w:vAlign w:val="center"/>
          </w:tcPr>
          <w:p w14:paraId="202AF25C">
            <w:pPr>
              <w:jc w:val="center"/>
              <w:rPr>
                <w:rFonts w:hint="eastAsia" w:ascii="宋体" w:hAnsi="宋体" w:eastAsia="宋体" w:cs="宋体"/>
                <w:color w:val="auto"/>
                <w:kern w:val="2"/>
                <w:sz w:val="24"/>
                <w:szCs w:val="24"/>
                <w:highlight w:val="none"/>
                <w:lang w:val="en-US" w:eastAsia="zh-CN" w:bidi="ar-SA"/>
              </w:rPr>
            </w:pPr>
          </w:p>
        </w:tc>
        <w:tc>
          <w:tcPr>
            <w:tcW w:w="1743" w:type="dxa"/>
            <w:vAlign w:val="center"/>
          </w:tcPr>
          <w:p w14:paraId="06C05FF5">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无机复合肥</w:t>
            </w:r>
          </w:p>
        </w:tc>
        <w:tc>
          <w:tcPr>
            <w:tcW w:w="5402" w:type="dxa"/>
            <w:vAlign w:val="center"/>
          </w:tcPr>
          <w:p w14:paraId="323A0431">
            <w:pPr>
              <w:jc w:val="center"/>
              <w:rPr>
                <w:rFonts w:hint="eastAsia" w:ascii="宋体" w:hAnsi="宋体" w:eastAsia="宋体" w:cs="宋体"/>
                <w:color w:val="auto"/>
                <w:kern w:val="2"/>
                <w:sz w:val="24"/>
                <w:szCs w:val="24"/>
                <w:highlight w:val="none"/>
                <w:lang w:val="en-US" w:eastAsia="zh-CN" w:bidi="ar-SA"/>
              </w:rPr>
            </w:pPr>
          </w:p>
        </w:tc>
      </w:tr>
      <w:tr w14:paraId="2F69B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749" w:type="dxa"/>
            <w:gridSpan w:val="2"/>
            <w:vAlign w:val="center"/>
          </w:tcPr>
          <w:p w14:paraId="21B81308">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管理要求</w:t>
            </w:r>
          </w:p>
        </w:tc>
        <w:tc>
          <w:tcPr>
            <w:tcW w:w="7145" w:type="dxa"/>
            <w:gridSpan w:val="2"/>
            <w:vAlign w:val="center"/>
          </w:tcPr>
          <w:p w14:paraId="5A98FDBF">
            <w:pPr>
              <w:widowContro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1.投标报价中已包含</w:t>
            </w:r>
            <w:r>
              <w:rPr>
                <w:rFonts w:hint="eastAsia" w:ascii="宋体" w:hAnsi="宋体" w:eastAsia="宋体" w:cs="宋体"/>
                <w:color w:val="auto"/>
                <w:sz w:val="24"/>
                <w:szCs w:val="24"/>
                <w:highlight w:val="none"/>
                <w:lang w:eastAsia="zh-CN"/>
              </w:rPr>
              <w:t>中标人</w:t>
            </w:r>
            <w:r>
              <w:rPr>
                <w:rFonts w:hint="eastAsia" w:ascii="宋体" w:hAnsi="宋体" w:eastAsia="宋体" w:cs="宋体"/>
                <w:color w:val="auto"/>
                <w:sz w:val="24"/>
                <w:szCs w:val="24"/>
                <w:highlight w:val="none"/>
              </w:rPr>
              <w:t>提供全年所有费用，包干管理，若有不足，由</w:t>
            </w:r>
            <w:r>
              <w:rPr>
                <w:rFonts w:hint="eastAsia" w:ascii="宋体" w:hAnsi="宋体" w:eastAsia="宋体" w:cs="宋体"/>
                <w:color w:val="auto"/>
                <w:sz w:val="24"/>
                <w:szCs w:val="24"/>
                <w:highlight w:val="none"/>
                <w:lang w:eastAsia="zh-CN"/>
              </w:rPr>
              <w:t>中标人</w:t>
            </w:r>
            <w:r>
              <w:rPr>
                <w:rFonts w:hint="eastAsia" w:ascii="宋体" w:hAnsi="宋体" w:eastAsia="宋体" w:cs="宋体"/>
                <w:color w:val="auto"/>
                <w:sz w:val="24"/>
                <w:szCs w:val="24"/>
                <w:highlight w:val="none"/>
              </w:rPr>
              <w:t>无条件自行保质保量提供。</w:t>
            </w:r>
          </w:p>
          <w:p w14:paraId="2EF4878D">
            <w:pPr>
              <w:widowContro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2.各材料具体种类及数量需经</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确认，并根据需要提供样品，样品送检，合格者进入采购流程，不合格淘汰重新提供。</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有权根据需要进行种类和数量的调整。</w:t>
            </w:r>
          </w:p>
          <w:p w14:paraId="1000E383">
            <w:pPr>
              <w:widowContro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3.若采用生物防治取得一定效果，化学虫害药剂要求可适当降低。</w:t>
            </w:r>
          </w:p>
          <w:p w14:paraId="166EB64A">
            <w:pPr>
              <w:widowContro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.复合肥必须由正规厂家生产，包装标明品牌及厂家名称，符合GB15063-2009《复混肥料（复合肥料）》国家标准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有机肥必须由正规厂家生产，包装标明品牌及厂家名称，各项指标符合国家制定的有机肥标准，有肥料登记证的产品。</w:t>
            </w:r>
          </w:p>
        </w:tc>
      </w:tr>
    </w:tbl>
    <w:p w14:paraId="5DA2F9F5">
      <w:pPr>
        <w:widowControl/>
        <w:tabs>
          <w:tab w:val="left" w:pos="851"/>
        </w:tabs>
        <w:adjustRightInd/>
        <w:spacing w:line="360" w:lineRule="auto"/>
        <w:ind w:firstLine="480" w:firstLineChars="200"/>
        <w:rPr>
          <w:rFonts w:hint="eastAsia"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③花卉布置及节日氛围营造</w:t>
      </w:r>
    </w:p>
    <w:tbl>
      <w:tblPr>
        <w:tblStyle w:val="62"/>
        <w:tblW w:w="98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2"/>
        <w:gridCol w:w="1937"/>
        <w:gridCol w:w="3736"/>
        <w:gridCol w:w="2279"/>
      </w:tblGrid>
      <w:tr w14:paraId="457C5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4" w:hRule="atLeast"/>
          <w:jc w:val="center"/>
        </w:trPr>
        <w:tc>
          <w:tcPr>
            <w:tcW w:w="1862" w:type="dxa"/>
            <w:vMerge w:val="restart"/>
            <w:vAlign w:val="center"/>
          </w:tcPr>
          <w:p w14:paraId="24044C59">
            <w:pPr>
              <w:jc w:val="center"/>
              <w:rPr>
                <w:rFonts w:asci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节日氛围营造数量要求</w:t>
            </w:r>
          </w:p>
        </w:tc>
        <w:tc>
          <w:tcPr>
            <w:tcW w:w="1937" w:type="dxa"/>
            <w:vAlign w:val="center"/>
            <mc:AlternateContent>
              <mc:Choice Requires="wpsCustomData">
                <wpsCustomData:diagonals>
                  <wpsCustomData:diagonal from="30000" to="10000">
                    <wpsCustomData:border w:val="single" w:color="auto" w:sz="4" w:space="0"/>
                  </wpsCustomData:diagonal>
                </wpsCustomData:diagonals>
              </mc:Choice>
            </mc:AlternateContent>
          </w:tcPr>
          <w:p w14:paraId="2A3ECC23">
            <w:pPr>
              <w:ind w:firstLine="480" w:firstLineChars="200"/>
              <w:rPr>
                <w:rFonts w:ascii="宋体" w:eastAsia="宋体" w:cs="宋体"/>
                <w:color w:val="auto"/>
                <w:kern w:val="0"/>
                <w:sz w:val="24"/>
                <w:szCs w:val="24"/>
                <w:highlight w:val="none"/>
              </w:rPr>
            </w:pPr>
          </w:p>
          <w:p w14:paraId="7F4B587E">
            <w:pPr>
              <w:snapToGrid w:val="0"/>
              <w:spacing w:line="240" w:lineRule="auto"/>
              <w:jc w:val="left"/>
              <mc:AlternateContent>
                <mc:Choice Requires="wpsCustomData">
                  <wpsCustomData:diagonalParaType/>
                </mc:Choice>
              </mc:AlternateContent>
              <w:rPr>
                <w:rFonts w:ascii="宋体" w:eastAsia="宋体" w:cs="宋体"/>
                <w:color w:val="auto"/>
                <w:kern w:val="0"/>
                <w:sz w:val="24"/>
                <w:szCs w:val="24"/>
                <w:highlight w:val="none"/>
              </w:rPr>
            </w:pPr>
            <w:r>
              <w:rPr>
                <w:rFonts w:hint="eastAsia" w:ascii="宋体" w:hAnsi="宋体" w:eastAsia="宋体" w:cs="宋体"/>
                <w:color w:val="auto"/>
                <w:kern w:val="0"/>
                <w:sz w:val="24"/>
                <w:szCs w:val="24"/>
                <w:highlight w:val="none"/>
              </w:rPr>
              <w:t>项目内容</w:t>
            </w:r>
          </w:p>
          <w:p w14:paraId="62F92979">
            <w:pPr>
              <w:jc w:val="left"/>
              <w:rPr>
                <w:rFonts w:ascii="宋体" w:eastAsia="宋体" w:cs="宋体"/>
                <w:color w:val="auto"/>
                <w:kern w:val="0"/>
                <w:sz w:val="24"/>
                <w:szCs w:val="24"/>
                <w:highlight w:val="none"/>
              </w:rPr>
            </w:pPr>
            <w:r>
              <w:rPr>
                <w:rFonts w:hint="eastAsia" w:ascii="宋体" w:hAnsi="宋体" w:eastAsia="宋体" w:cs="宋体"/>
                <w:color w:val="auto"/>
                <w:kern w:val="0"/>
                <w:sz w:val="24"/>
                <w:szCs w:val="24"/>
                <w:highlight w:val="none"/>
              </w:rPr>
              <w:t>节日名称</w:t>
            </w:r>
          </w:p>
        </w:tc>
        <w:tc>
          <w:tcPr>
            <w:tcW w:w="3736" w:type="dxa"/>
            <w:vAlign w:val="center"/>
          </w:tcPr>
          <w:p w14:paraId="4AA9F86F">
            <w:pPr>
              <w:ind w:firstLine="480" w:firstLineChars="200"/>
              <w:rPr>
                <w:rFonts w:hint="eastAsia" w:asci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规格</w:t>
            </w:r>
          </w:p>
        </w:tc>
        <w:tc>
          <w:tcPr>
            <w:tcW w:w="2279" w:type="dxa"/>
            <w:vAlign w:val="center"/>
          </w:tcPr>
          <w:p w14:paraId="20BCFBAF">
            <w:pPr>
              <w:ind w:firstLine="480" w:firstLineChars="200"/>
              <w:rPr>
                <w:rFonts w:ascii="宋体" w:eastAsia="宋体" w:cs="宋体"/>
                <w:color w:val="auto"/>
                <w:kern w:val="0"/>
                <w:sz w:val="24"/>
                <w:szCs w:val="24"/>
                <w:highlight w:val="none"/>
              </w:rPr>
            </w:pPr>
            <w:r>
              <w:rPr>
                <w:rFonts w:hint="eastAsia" w:ascii="宋体" w:hAnsi="宋体" w:eastAsia="宋体" w:cs="宋体"/>
                <w:color w:val="auto"/>
                <w:kern w:val="0"/>
                <w:sz w:val="24"/>
                <w:szCs w:val="24"/>
                <w:highlight w:val="none"/>
              </w:rPr>
              <w:t>备注</w:t>
            </w:r>
          </w:p>
        </w:tc>
      </w:tr>
      <w:tr w14:paraId="36243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1862" w:type="dxa"/>
            <w:vMerge w:val="continue"/>
            <w:vAlign w:val="center"/>
          </w:tcPr>
          <w:p w14:paraId="4E3B62FF">
            <w:pPr>
              <w:ind w:firstLine="480" w:firstLineChars="200"/>
              <w:jc w:val="center"/>
              <w:rPr>
                <w:rFonts w:ascii="宋体" w:eastAsia="宋体" w:cs="宋体"/>
                <w:color w:val="auto"/>
                <w:kern w:val="0"/>
                <w:sz w:val="24"/>
                <w:szCs w:val="24"/>
                <w:highlight w:val="none"/>
              </w:rPr>
            </w:pPr>
          </w:p>
        </w:tc>
        <w:tc>
          <w:tcPr>
            <w:tcW w:w="1937" w:type="dxa"/>
            <w:vAlign w:val="center"/>
          </w:tcPr>
          <w:p w14:paraId="77E28196">
            <w:pPr>
              <w:jc w:val="left"/>
              <w:rPr>
                <w:rFonts w:hint="default" w:asci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日常时令花卉</w:t>
            </w:r>
          </w:p>
        </w:tc>
        <w:tc>
          <w:tcPr>
            <w:tcW w:w="3736" w:type="dxa"/>
            <w:vAlign w:val="center"/>
          </w:tcPr>
          <w:p w14:paraId="7D0B5EA9">
            <w:pPr>
              <w:rPr>
                <w:rFonts w:hint="default" w:asci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200平方，全年摆种</w:t>
            </w:r>
          </w:p>
        </w:tc>
        <w:tc>
          <w:tcPr>
            <w:tcW w:w="2279" w:type="dxa"/>
            <w:vAlign w:val="center"/>
          </w:tcPr>
          <w:p w14:paraId="322D2E86">
            <w:pPr>
              <w:rPr>
                <w:rFonts w:hint="default" w:ascii="宋体" w:eastAsia="宋体" w:cs="宋体"/>
                <w:color w:val="auto"/>
                <w:kern w:val="0"/>
                <w:sz w:val="24"/>
                <w:szCs w:val="24"/>
                <w:highlight w:val="none"/>
                <w:lang w:val="en-US" w:eastAsia="zh-CN"/>
              </w:rPr>
            </w:pPr>
            <w:r>
              <w:rPr>
                <w:rFonts w:hint="eastAsia" w:ascii="宋体" w:eastAsia="宋体" w:cs="宋体"/>
                <w:color w:val="auto"/>
                <w:kern w:val="0"/>
                <w:sz w:val="24"/>
                <w:szCs w:val="24"/>
                <w:highlight w:val="none"/>
                <w:lang w:val="en-US" w:eastAsia="zh-CN"/>
              </w:rPr>
              <w:t>一年更换不少于6次，要求精品容器苗花卉（详见备选花材目录）。每次更换方案报采购单位审核。</w:t>
            </w:r>
          </w:p>
        </w:tc>
      </w:tr>
      <w:tr w14:paraId="60854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1862" w:type="dxa"/>
            <w:vMerge w:val="continue"/>
            <w:vAlign w:val="center"/>
          </w:tcPr>
          <w:p w14:paraId="5FF79F13">
            <w:pPr>
              <w:ind w:firstLine="480" w:firstLineChars="200"/>
              <w:jc w:val="center"/>
              <w:rPr>
                <w:rFonts w:ascii="宋体" w:eastAsia="宋体" w:cs="宋体"/>
                <w:color w:val="auto"/>
                <w:kern w:val="0"/>
                <w:sz w:val="24"/>
                <w:szCs w:val="24"/>
                <w:highlight w:val="none"/>
              </w:rPr>
            </w:pPr>
          </w:p>
        </w:tc>
        <w:tc>
          <w:tcPr>
            <w:tcW w:w="1937" w:type="dxa"/>
            <w:vAlign w:val="center"/>
          </w:tcPr>
          <w:p w14:paraId="4FD6C6B1">
            <w:pPr>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节日时令花卉</w:t>
            </w:r>
          </w:p>
        </w:tc>
        <w:tc>
          <w:tcPr>
            <w:tcW w:w="3736" w:type="dxa"/>
            <w:vAlign w:val="center"/>
          </w:tcPr>
          <w:p w14:paraId="4528381C">
            <w:pP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新增100平方，按实结算</w:t>
            </w:r>
          </w:p>
        </w:tc>
        <w:tc>
          <w:tcPr>
            <w:tcW w:w="2279" w:type="dxa"/>
            <w:vAlign w:val="center"/>
          </w:tcPr>
          <w:p w14:paraId="7E584C91">
            <w:pPr>
              <w:rPr>
                <w:rFonts w:hint="default" w:ascii="宋体" w:eastAsia="宋体" w:cs="宋体"/>
                <w:color w:val="auto"/>
                <w:kern w:val="0"/>
                <w:sz w:val="24"/>
                <w:szCs w:val="24"/>
                <w:highlight w:val="none"/>
                <w:lang w:val="en-US" w:eastAsia="zh-CN"/>
              </w:rPr>
            </w:pPr>
            <w:r>
              <w:rPr>
                <w:rFonts w:hint="eastAsia" w:ascii="宋体" w:eastAsia="宋体" w:cs="宋体"/>
                <w:color w:val="auto"/>
                <w:kern w:val="0"/>
                <w:sz w:val="24"/>
                <w:szCs w:val="24"/>
                <w:highlight w:val="none"/>
                <w:lang w:val="en-US" w:eastAsia="zh-CN"/>
              </w:rPr>
              <w:t>春节、国庆期间布置</w:t>
            </w:r>
          </w:p>
        </w:tc>
      </w:tr>
      <w:tr w14:paraId="45409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862" w:type="dxa"/>
            <w:vMerge w:val="continue"/>
            <w:vAlign w:val="center"/>
          </w:tcPr>
          <w:p w14:paraId="1616C414">
            <w:pPr>
              <w:ind w:firstLine="480" w:firstLineChars="200"/>
              <w:jc w:val="center"/>
              <w:rPr>
                <w:rFonts w:ascii="宋体" w:eastAsia="宋体" w:cs="宋体"/>
                <w:color w:val="auto"/>
                <w:kern w:val="0"/>
                <w:sz w:val="24"/>
                <w:szCs w:val="24"/>
                <w:highlight w:val="none"/>
              </w:rPr>
            </w:pPr>
          </w:p>
        </w:tc>
        <w:tc>
          <w:tcPr>
            <w:tcW w:w="1937" w:type="dxa"/>
            <w:vAlign w:val="center"/>
          </w:tcPr>
          <w:p w14:paraId="49399AAA">
            <w:pPr>
              <w:ind w:firstLine="480" w:firstLineChars="200"/>
              <w:rPr>
                <w:rFonts w:ascii="宋体" w:eastAsia="宋体" w:cs="宋体"/>
                <w:color w:val="auto"/>
                <w:kern w:val="0"/>
                <w:sz w:val="24"/>
                <w:szCs w:val="24"/>
                <w:highlight w:val="none"/>
              </w:rPr>
            </w:pPr>
            <w:r>
              <w:rPr>
                <w:rFonts w:hint="eastAsia" w:ascii="宋体" w:hAnsi="宋体" w:eastAsia="宋体" w:cs="宋体"/>
                <w:color w:val="auto"/>
                <w:kern w:val="0"/>
                <w:sz w:val="24"/>
                <w:szCs w:val="24"/>
                <w:highlight w:val="none"/>
              </w:rPr>
              <w:t>小品</w:t>
            </w:r>
          </w:p>
        </w:tc>
        <w:tc>
          <w:tcPr>
            <w:tcW w:w="3736" w:type="dxa"/>
            <w:vAlign w:val="center"/>
          </w:tcPr>
          <w:p w14:paraId="25DC95A8">
            <w:pPr>
              <w:rPr>
                <w:rFonts w:hint="default" w:asci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春节期间或其他特定节庆期间摆放，按实结算</w:t>
            </w:r>
          </w:p>
        </w:tc>
        <w:tc>
          <w:tcPr>
            <w:tcW w:w="2279" w:type="dxa"/>
            <w:vAlign w:val="center"/>
          </w:tcPr>
          <w:p w14:paraId="6A7AF261">
            <w:pPr>
              <w:rPr>
                <w:rFonts w:ascii="宋体" w:eastAsia="宋体" w:cs="宋体"/>
                <w:color w:val="auto"/>
                <w:kern w:val="0"/>
                <w:sz w:val="24"/>
                <w:szCs w:val="24"/>
                <w:highlight w:val="none"/>
              </w:rPr>
            </w:pPr>
            <w:r>
              <w:rPr>
                <w:rFonts w:hint="eastAsia" w:ascii="宋体" w:hAnsi="宋体" w:eastAsia="宋体" w:cs="宋体"/>
                <w:color w:val="auto"/>
                <w:kern w:val="0"/>
                <w:sz w:val="24"/>
                <w:szCs w:val="24"/>
                <w:highlight w:val="none"/>
              </w:rPr>
              <w:t>材质可为金属烤漆、玻璃钢、亚克力等，以实际效果确定</w:t>
            </w:r>
            <w:r>
              <w:rPr>
                <w:rFonts w:hint="eastAsia" w:ascii="宋体" w:hAnsi="宋体" w:eastAsia="宋体" w:cs="宋体"/>
                <w:color w:val="auto"/>
                <w:kern w:val="0"/>
                <w:sz w:val="24"/>
                <w:szCs w:val="24"/>
                <w:highlight w:val="none"/>
                <w:lang w:eastAsia="zh-CN"/>
              </w:rPr>
              <w:t>，</w:t>
            </w:r>
            <w:r>
              <w:rPr>
                <w:rFonts w:hint="eastAsia" w:ascii="宋体" w:eastAsia="宋体" w:cs="宋体"/>
                <w:color w:val="auto"/>
                <w:kern w:val="0"/>
                <w:sz w:val="24"/>
                <w:szCs w:val="24"/>
                <w:highlight w:val="none"/>
                <w:lang w:val="en-US" w:eastAsia="zh-CN"/>
              </w:rPr>
              <w:t>方案报采购人审核</w:t>
            </w:r>
            <w:r>
              <w:rPr>
                <w:rFonts w:hint="eastAsia" w:ascii="宋体" w:hAnsi="宋体" w:eastAsia="宋体" w:cs="宋体"/>
                <w:color w:val="auto"/>
                <w:kern w:val="0"/>
                <w:sz w:val="24"/>
                <w:szCs w:val="24"/>
                <w:highlight w:val="none"/>
              </w:rPr>
              <w:t>。</w:t>
            </w:r>
          </w:p>
        </w:tc>
      </w:tr>
      <w:tr w14:paraId="01E64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862" w:type="dxa"/>
            <w:vMerge w:val="continue"/>
            <w:vAlign w:val="center"/>
          </w:tcPr>
          <w:p w14:paraId="6BF22FE7">
            <w:pPr>
              <w:ind w:firstLine="480" w:firstLineChars="200"/>
              <w:jc w:val="center"/>
              <w:rPr>
                <w:rFonts w:ascii="宋体" w:eastAsia="宋体" w:cs="宋体"/>
                <w:color w:val="auto"/>
                <w:kern w:val="0"/>
                <w:sz w:val="24"/>
                <w:szCs w:val="24"/>
                <w:highlight w:val="none"/>
              </w:rPr>
            </w:pPr>
          </w:p>
        </w:tc>
        <w:tc>
          <w:tcPr>
            <w:tcW w:w="1937" w:type="dxa"/>
            <w:vAlign w:val="center"/>
          </w:tcPr>
          <w:p w14:paraId="7594AA8C">
            <w:pPr>
              <w:ind w:firstLine="480" w:firstLineChars="200"/>
              <w:rPr>
                <w:rFonts w:ascii="宋体" w:eastAsia="宋体" w:cs="宋体"/>
                <w:color w:val="auto"/>
                <w:kern w:val="0"/>
                <w:sz w:val="24"/>
                <w:szCs w:val="24"/>
                <w:highlight w:val="none"/>
              </w:rPr>
            </w:pPr>
            <w:r>
              <w:rPr>
                <w:rFonts w:hint="eastAsia" w:ascii="宋体" w:hAnsi="宋体" w:eastAsia="宋体" w:cs="宋体"/>
                <w:color w:val="auto"/>
                <w:kern w:val="0"/>
                <w:sz w:val="24"/>
                <w:szCs w:val="24"/>
                <w:highlight w:val="none"/>
              </w:rPr>
              <w:t>国旗</w:t>
            </w:r>
          </w:p>
        </w:tc>
        <w:tc>
          <w:tcPr>
            <w:tcW w:w="3736" w:type="dxa"/>
            <w:vAlign w:val="center"/>
          </w:tcPr>
          <w:p w14:paraId="1A041216">
            <w:pPr>
              <w:rPr>
                <w:rFonts w:ascii="宋体" w:eastAsia="宋体" w:cs="宋体"/>
                <w:color w:val="auto"/>
                <w:kern w:val="0"/>
                <w:sz w:val="24"/>
                <w:szCs w:val="24"/>
                <w:highlight w:val="none"/>
              </w:rPr>
            </w:pPr>
            <w:r>
              <w:rPr>
                <w:rFonts w:hint="eastAsia" w:ascii="宋体" w:eastAsia="宋体" w:cs="宋体"/>
                <w:color w:val="auto"/>
                <w:kern w:val="0"/>
                <w:sz w:val="24"/>
                <w:szCs w:val="24"/>
                <w:highlight w:val="none"/>
                <w:lang w:val="en-US" w:eastAsia="zh-CN"/>
              </w:rPr>
              <w:t>国庆期间，</w:t>
            </w: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号国旗</w:t>
            </w:r>
            <w:r>
              <w:rPr>
                <w:rFonts w:hint="eastAsia" w:ascii="宋体" w:hAnsi="宋体" w:eastAsia="宋体" w:cs="宋体"/>
                <w:color w:val="auto"/>
                <w:kern w:val="0"/>
                <w:sz w:val="24"/>
                <w:szCs w:val="24"/>
                <w:highlight w:val="none"/>
                <w:lang w:val="en-US" w:eastAsia="zh-CN"/>
              </w:rPr>
              <w:t>60</w:t>
            </w:r>
            <w:r>
              <w:rPr>
                <w:rFonts w:hint="eastAsia" w:ascii="宋体" w:hAnsi="宋体" w:eastAsia="宋体" w:cs="宋体"/>
                <w:color w:val="auto"/>
                <w:kern w:val="0"/>
                <w:sz w:val="24"/>
                <w:szCs w:val="24"/>
                <w:highlight w:val="none"/>
              </w:rPr>
              <w:t>面，按实结算</w:t>
            </w:r>
          </w:p>
        </w:tc>
        <w:tc>
          <w:tcPr>
            <w:tcW w:w="2279" w:type="dxa"/>
            <w:vAlign w:val="center"/>
          </w:tcPr>
          <w:p w14:paraId="60F2A6C7">
            <w:pPr>
              <w:rPr>
                <w:rFonts w:ascii="宋体" w:eastAsia="宋体" w:cs="宋体"/>
                <w:color w:val="auto"/>
                <w:kern w:val="0"/>
                <w:sz w:val="24"/>
                <w:szCs w:val="24"/>
                <w:highlight w:val="none"/>
              </w:rPr>
            </w:pPr>
            <w:r>
              <w:rPr>
                <w:rFonts w:hint="eastAsia" w:ascii="宋体" w:hAnsi="宋体" w:eastAsia="宋体" w:cs="宋体"/>
                <w:color w:val="auto"/>
                <w:kern w:val="0"/>
                <w:sz w:val="24"/>
                <w:szCs w:val="24"/>
                <w:highlight w:val="none"/>
              </w:rPr>
              <w:t>包括国旗不锈钢支架和固定模具</w:t>
            </w:r>
          </w:p>
        </w:tc>
      </w:tr>
      <w:tr w14:paraId="43E80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862" w:type="dxa"/>
            <w:vMerge w:val="continue"/>
            <w:vAlign w:val="center"/>
          </w:tcPr>
          <w:p w14:paraId="4736992B">
            <w:pPr>
              <w:ind w:firstLine="480" w:firstLineChars="200"/>
              <w:jc w:val="center"/>
              <w:rPr>
                <w:rFonts w:ascii="宋体" w:eastAsia="宋体" w:cs="宋体"/>
                <w:color w:val="auto"/>
                <w:kern w:val="0"/>
                <w:sz w:val="24"/>
                <w:szCs w:val="24"/>
                <w:highlight w:val="none"/>
              </w:rPr>
            </w:pPr>
          </w:p>
        </w:tc>
        <w:tc>
          <w:tcPr>
            <w:tcW w:w="1937" w:type="dxa"/>
            <w:vAlign w:val="center"/>
          </w:tcPr>
          <w:p w14:paraId="4FFD0350">
            <w:pPr>
              <w:ind w:firstLine="480" w:firstLineChars="200"/>
              <w:rPr>
                <w:rFonts w:ascii="宋体" w:eastAsia="宋体" w:cs="宋体"/>
                <w:color w:val="auto"/>
                <w:kern w:val="0"/>
                <w:sz w:val="24"/>
                <w:szCs w:val="24"/>
                <w:highlight w:val="none"/>
              </w:rPr>
            </w:pPr>
            <w:r>
              <w:rPr>
                <w:rFonts w:hint="eastAsia" w:ascii="宋体" w:hAnsi="宋体" w:eastAsia="宋体" w:cs="宋体"/>
                <w:color w:val="auto"/>
                <w:kern w:val="0"/>
                <w:sz w:val="24"/>
                <w:szCs w:val="24"/>
                <w:highlight w:val="none"/>
              </w:rPr>
              <w:t>灯笼</w:t>
            </w:r>
          </w:p>
        </w:tc>
        <w:tc>
          <w:tcPr>
            <w:tcW w:w="3736" w:type="dxa"/>
            <w:vAlign w:val="center"/>
          </w:tcPr>
          <w:p w14:paraId="02B7FCF4">
            <w:pPr>
              <w:rPr>
                <w:rFonts w:hint="default" w:ascii="宋体" w:eastAsia="宋体" w:cs="宋体"/>
                <w:color w:val="auto"/>
                <w:kern w:val="0"/>
                <w:sz w:val="24"/>
                <w:szCs w:val="24"/>
                <w:highlight w:val="none"/>
                <w:lang w:val="en-US" w:eastAsia="zh-CN"/>
              </w:rPr>
            </w:pPr>
            <w:r>
              <w:rPr>
                <w:rFonts w:hint="eastAsia" w:ascii="宋体" w:hAnsi="宋体" w:eastAsia="宋体" w:cs="宋体"/>
                <w:color w:val="auto"/>
                <w:sz w:val="24"/>
                <w:szCs w:val="24"/>
                <w:highlight w:val="none"/>
              </w:rPr>
              <w:t>不少于</w:t>
            </w:r>
            <w:r>
              <w:rPr>
                <w:rFonts w:hint="eastAsia" w:ascii="宋体" w:hAnsi="宋体" w:eastAsia="宋体" w:cs="宋体"/>
                <w:color w:val="auto"/>
                <w:sz w:val="24"/>
                <w:szCs w:val="24"/>
                <w:highlight w:val="none"/>
                <w:lang w:val="en-US" w:eastAsia="zh-CN"/>
              </w:rPr>
              <w:t>210</w:t>
            </w:r>
            <w:r>
              <w:rPr>
                <w:rFonts w:hint="eastAsia" w:ascii="宋体" w:hAnsi="宋体" w:eastAsia="宋体" w:cs="宋体"/>
                <w:color w:val="auto"/>
                <w:sz w:val="24"/>
                <w:szCs w:val="24"/>
                <w:highlight w:val="none"/>
              </w:rPr>
              <w:t>个</w:t>
            </w:r>
            <w:r>
              <w:rPr>
                <w:rFonts w:hint="eastAsia" w:ascii="宋体" w:hAnsi="宋体" w:eastAsia="宋体" w:cs="宋体"/>
                <w:color w:val="auto"/>
                <w:sz w:val="24"/>
                <w:szCs w:val="24"/>
                <w:highlight w:val="none"/>
                <w:lang w:eastAsia="zh-CN"/>
              </w:rPr>
              <w:t>直径</w:t>
            </w:r>
            <w:r>
              <w:rPr>
                <w:rFonts w:hint="eastAsia" w:ascii="宋体" w:hAnsi="宋体" w:eastAsia="宋体" w:cs="宋体"/>
                <w:color w:val="auto"/>
                <w:sz w:val="24"/>
                <w:szCs w:val="24"/>
                <w:highlight w:val="none"/>
                <w:lang w:val="en-US" w:eastAsia="zh-CN"/>
              </w:rPr>
              <w:t>60cm以上的</w:t>
            </w:r>
            <w:r>
              <w:rPr>
                <w:rFonts w:hint="eastAsia" w:ascii="宋体" w:hAnsi="宋体" w:eastAsia="宋体" w:cs="宋体"/>
                <w:color w:val="auto"/>
                <w:sz w:val="24"/>
                <w:szCs w:val="24"/>
                <w:highlight w:val="none"/>
              </w:rPr>
              <w:t>灯笼，</w:t>
            </w:r>
            <w:r>
              <w:rPr>
                <w:rFonts w:hint="eastAsia" w:ascii="宋体" w:hAnsi="宋体" w:eastAsia="宋体" w:cs="宋体"/>
                <w:color w:val="auto"/>
                <w:sz w:val="24"/>
                <w:szCs w:val="24"/>
                <w:highlight w:val="none"/>
                <w:lang w:eastAsia="zh-CN"/>
              </w:rPr>
              <w:t>中国结</w:t>
            </w:r>
            <w:r>
              <w:rPr>
                <w:rFonts w:hint="eastAsia" w:ascii="宋体" w:hAnsi="宋体" w:eastAsia="宋体" w:cs="宋体"/>
                <w:color w:val="auto"/>
                <w:sz w:val="24"/>
                <w:szCs w:val="24"/>
                <w:highlight w:val="none"/>
                <w:lang w:val="en-US" w:eastAsia="zh-CN"/>
              </w:rPr>
              <w:t>60个，</w:t>
            </w:r>
            <w:r>
              <w:rPr>
                <w:rFonts w:hint="eastAsia" w:ascii="宋体" w:hAnsi="宋体" w:eastAsia="宋体" w:cs="宋体"/>
                <w:color w:val="auto"/>
                <w:sz w:val="24"/>
                <w:szCs w:val="24"/>
                <w:highlight w:val="none"/>
                <w:lang w:eastAsia="zh-CN"/>
              </w:rPr>
              <w:t>地插</w:t>
            </w: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lang w:eastAsia="zh-CN"/>
              </w:rPr>
              <w:t>块，旗幔</w:t>
            </w: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eastAsia="zh-CN"/>
              </w:rPr>
              <w:t>副，按实结算</w:t>
            </w:r>
          </w:p>
        </w:tc>
        <w:tc>
          <w:tcPr>
            <w:tcW w:w="2279" w:type="dxa"/>
            <w:vAlign w:val="center"/>
          </w:tcPr>
          <w:p w14:paraId="766EBBF7">
            <w:pPr>
              <w:jc w:val="left"/>
              <w:rPr>
                <w:rFonts w:ascii="宋体" w:eastAsia="宋体" w:cs="宋体"/>
                <w:color w:val="auto"/>
                <w:kern w:val="0"/>
                <w:sz w:val="24"/>
                <w:szCs w:val="24"/>
                <w:highlight w:val="none"/>
              </w:rPr>
            </w:pPr>
            <w:r>
              <w:rPr>
                <w:rFonts w:hint="eastAsia" w:ascii="宋体" w:hAnsi="宋体" w:eastAsia="宋体" w:cs="宋体"/>
                <w:color w:val="auto"/>
                <w:kern w:val="0"/>
                <w:sz w:val="24"/>
                <w:szCs w:val="24"/>
                <w:highlight w:val="none"/>
              </w:rPr>
              <w:t>包含支架、接电线路、灯泡等</w:t>
            </w:r>
          </w:p>
        </w:tc>
      </w:tr>
      <w:tr w14:paraId="6BD74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1862" w:type="dxa"/>
            <w:vAlign w:val="center"/>
          </w:tcPr>
          <w:p w14:paraId="05C6AF97">
            <w:pPr>
              <w:jc w:val="center"/>
              <w:rPr>
                <w:rFonts w:asci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涉及主要材料要求</w:t>
            </w:r>
          </w:p>
        </w:tc>
        <w:tc>
          <w:tcPr>
            <w:tcW w:w="7952" w:type="dxa"/>
            <w:gridSpan w:val="3"/>
            <w:vAlign w:val="center"/>
          </w:tcPr>
          <w:p w14:paraId="2994180E">
            <w:pPr>
              <w:rPr>
                <w:rFonts w:ascii="宋体" w:eastAsia="宋体" w:cs="宋体"/>
                <w:color w:val="auto"/>
                <w:kern w:val="0"/>
                <w:sz w:val="24"/>
                <w:szCs w:val="24"/>
                <w:highlight w:val="none"/>
              </w:rPr>
            </w:pPr>
            <w:r>
              <w:rPr>
                <w:rFonts w:ascii="宋体" w:hAnsi="宋体" w:eastAsia="宋体" w:cs="宋体"/>
                <w:color w:val="auto"/>
                <w:kern w:val="0"/>
                <w:sz w:val="24"/>
                <w:szCs w:val="24"/>
                <w:highlight w:val="none"/>
              </w:rPr>
              <w:t>1.</w:t>
            </w:r>
            <w:r>
              <w:rPr>
                <w:rFonts w:hint="eastAsia" w:eastAsia="宋体"/>
                <w:bCs/>
                <w:color w:val="auto"/>
                <w:sz w:val="24"/>
                <w:szCs w:val="24"/>
                <w:highlight w:val="none"/>
              </w:rPr>
              <w:t>主要包括园</w:t>
            </w:r>
            <w:r>
              <w:rPr>
                <w:rFonts w:hint="eastAsia" w:ascii="Times New Roman" w:eastAsia="宋体"/>
                <w:bCs/>
                <w:color w:val="auto"/>
                <w:sz w:val="24"/>
                <w:szCs w:val="24"/>
                <w:highlight w:val="none"/>
                <w:lang w:val="en-US" w:eastAsia="zh-CN"/>
              </w:rPr>
              <w:t>内</w:t>
            </w:r>
            <w:r>
              <w:rPr>
                <w:rFonts w:hint="eastAsia" w:eastAsia="宋体"/>
                <w:bCs/>
                <w:color w:val="auto"/>
                <w:sz w:val="24"/>
                <w:szCs w:val="24"/>
                <w:highlight w:val="none"/>
              </w:rPr>
              <w:t>开展节日氛围营造的花卉布置以及国旗、灯笼等用品。</w:t>
            </w:r>
          </w:p>
          <w:p w14:paraId="5FA08195">
            <w:pPr>
              <w:widowControl w:val="0"/>
              <w:rPr>
                <w:rFonts w:ascii="宋体" w:eastAsia="宋体"/>
                <w:color w:val="auto"/>
                <w:sz w:val="24"/>
                <w:szCs w:val="24"/>
                <w:highlight w:val="none"/>
              </w:rPr>
            </w:pPr>
            <w:r>
              <w:rPr>
                <w:rFonts w:ascii="宋体" w:hAnsi="宋体" w:eastAsia="宋体"/>
                <w:color w:val="auto"/>
                <w:sz w:val="24"/>
                <w:szCs w:val="24"/>
                <w:highlight w:val="none"/>
              </w:rPr>
              <w:t>2.</w:t>
            </w:r>
            <w:r>
              <w:rPr>
                <w:rFonts w:hint="eastAsia" w:ascii="宋体" w:hAnsi="宋体" w:eastAsia="宋体"/>
                <w:color w:val="auto"/>
                <w:sz w:val="24"/>
                <w:szCs w:val="24"/>
                <w:highlight w:val="none"/>
                <w:lang w:eastAsia="zh-CN"/>
              </w:rPr>
              <w:t>节日</w:t>
            </w:r>
            <w:r>
              <w:rPr>
                <w:rFonts w:hint="eastAsia" w:ascii="宋体" w:hAnsi="宋体" w:eastAsia="宋体"/>
                <w:color w:val="auto"/>
                <w:sz w:val="24"/>
                <w:szCs w:val="24"/>
                <w:highlight w:val="none"/>
              </w:rPr>
              <w:t>花卉等苗木具有良好的品质，色泽鲜艳、植株生长健壮、冠幅满盆、无徒长现象、无病虫害，摆设到现场时盛花率在</w:t>
            </w:r>
            <w:r>
              <w:rPr>
                <w:rFonts w:ascii="宋体" w:hAnsi="宋体" w:eastAsia="宋体"/>
                <w:color w:val="auto"/>
                <w:sz w:val="24"/>
                <w:szCs w:val="24"/>
                <w:highlight w:val="none"/>
              </w:rPr>
              <w:t>60%</w:t>
            </w:r>
            <w:r>
              <w:rPr>
                <w:rFonts w:hint="eastAsia" w:ascii="宋体" w:hAnsi="宋体" w:eastAsia="宋体"/>
                <w:color w:val="auto"/>
                <w:sz w:val="24"/>
                <w:szCs w:val="24"/>
                <w:highlight w:val="none"/>
              </w:rPr>
              <w:t>以上，并提供花卉品种资料及照片，花卉持续开花时间不少于</w:t>
            </w:r>
            <w:r>
              <w:rPr>
                <w:rFonts w:ascii="宋体" w:hAnsi="宋体" w:eastAsia="宋体"/>
                <w:color w:val="auto"/>
                <w:sz w:val="24"/>
                <w:szCs w:val="24"/>
                <w:highlight w:val="none"/>
              </w:rPr>
              <w:t>1</w:t>
            </w:r>
            <w:r>
              <w:rPr>
                <w:rFonts w:hint="eastAsia" w:ascii="宋体" w:hAnsi="宋体" w:eastAsia="宋体"/>
                <w:color w:val="auto"/>
                <w:sz w:val="24"/>
                <w:szCs w:val="24"/>
                <w:highlight w:val="none"/>
              </w:rPr>
              <w:t>个月。</w:t>
            </w:r>
          </w:p>
          <w:p w14:paraId="7E6E8E88">
            <w:pPr>
              <w:widowControl w:val="0"/>
              <w:rPr>
                <w:rFonts w:ascii="宋体" w:eastAsia="宋体"/>
                <w:color w:val="auto"/>
                <w:sz w:val="24"/>
                <w:szCs w:val="24"/>
                <w:highlight w:val="none"/>
              </w:rPr>
            </w:pPr>
            <w:r>
              <w:rPr>
                <w:rFonts w:ascii="宋体" w:hAnsi="宋体" w:eastAsia="宋体"/>
                <w:color w:val="auto"/>
                <w:sz w:val="24"/>
                <w:szCs w:val="24"/>
                <w:highlight w:val="none"/>
              </w:rPr>
              <w:t>3.</w:t>
            </w:r>
            <w:r>
              <w:rPr>
                <w:rFonts w:hint="eastAsia" w:ascii="宋体" w:hAnsi="宋体" w:eastAsia="宋体"/>
                <w:color w:val="auto"/>
                <w:sz w:val="24"/>
                <w:szCs w:val="24"/>
                <w:highlight w:val="none"/>
              </w:rPr>
              <w:t>现场管理养护及时到位，保证整个种（摆）花期花卉的健康生长。</w:t>
            </w:r>
          </w:p>
          <w:p w14:paraId="7621BED9">
            <w:pPr>
              <w:widowControl w:val="0"/>
              <w:rPr>
                <w:rFonts w:ascii="宋体" w:eastAsia="宋体"/>
                <w:color w:val="auto"/>
                <w:sz w:val="24"/>
                <w:szCs w:val="24"/>
                <w:highlight w:val="none"/>
              </w:rPr>
            </w:pPr>
            <w:r>
              <w:rPr>
                <w:rFonts w:ascii="宋体" w:hAnsi="宋体" w:eastAsia="宋体"/>
                <w:color w:val="auto"/>
                <w:sz w:val="24"/>
                <w:szCs w:val="24"/>
                <w:highlight w:val="none"/>
              </w:rPr>
              <w:t>4.</w:t>
            </w:r>
            <w:r>
              <w:rPr>
                <w:rFonts w:hint="eastAsia" w:ascii="宋体" w:hAnsi="宋体" w:eastAsia="宋体"/>
                <w:color w:val="auto"/>
                <w:sz w:val="24"/>
                <w:szCs w:val="24"/>
                <w:highlight w:val="none"/>
              </w:rPr>
              <w:t>所用花卉、材料的规格、技术参数、技术要求、质量要求等必须符合相关规定，肥料、药物等必须经专业检测并符合规范要求。</w:t>
            </w:r>
          </w:p>
          <w:p w14:paraId="4AA6B9BE">
            <w:pPr>
              <w:widowControl w:val="0"/>
              <w:rPr>
                <w:rFonts w:ascii="宋体" w:eastAsia="宋体"/>
                <w:color w:val="auto"/>
                <w:sz w:val="24"/>
                <w:szCs w:val="24"/>
                <w:highlight w:val="none"/>
              </w:rPr>
            </w:pPr>
            <w:r>
              <w:rPr>
                <w:rFonts w:ascii="宋体" w:hAnsi="宋体" w:eastAsia="宋体"/>
                <w:color w:val="auto"/>
                <w:sz w:val="24"/>
                <w:szCs w:val="24"/>
                <w:highlight w:val="none"/>
              </w:rPr>
              <w:t>5.</w:t>
            </w:r>
            <w:r>
              <w:rPr>
                <w:rFonts w:hint="eastAsia" w:ascii="宋体" w:hAnsi="宋体" w:eastAsia="宋体"/>
                <w:color w:val="auto"/>
                <w:sz w:val="24"/>
                <w:szCs w:val="24"/>
                <w:highlight w:val="none"/>
              </w:rPr>
              <w:t>用于广场等硬质铺装摆花的花盆须统一规格、颜色，并采用适当围挡收边。</w:t>
            </w:r>
          </w:p>
          <w:p w14:paraId="27548B34">
            <w:pPr>
              <w:widowControl w:val="0"/>
              <w:jc w:val="left"/>
              <w:rPr>
                <w:rFonts w:ascii="宋体" w:eastAsia="宋体" w:cs="宋体"/>
                <w:color w:val="auto"/>
                <w:kern w:val="0"/>
                <w:sz w:val="24"/>
                <w:szCs w:val="24"/>
                <w:highlight w:val="none"/>
              </w:rPr>
            </w:pPr>
            <w:r>
              <w:rPr>
                <w:rFonts w:ascii="宋体" w:hAnsi="宋体" w:eastAsia="宋体" w:cs="宋体"/>
                <w:color w:val="auto"/>
                <w:kern w:val="0"/>
                <w:sz w:val="24"/>
                <w:szCs w:val="24"/>
                <w:highlight w:val="none"/>
              </w:rPr>
              <w:t>6.</w:t>
            </w:r>
            <w:r>
              <w:rPr>
                <w:rFonts w:hint="eastAsia" w:ascii="宋体" w:hAnsi="宋体" w:eastAsia="宋体" w:cs="宋体"/>
                <w:color w:val="auto"/>
                <w:kern w:val="0"/>
                <w:sz w:val="24"/>
                <w:szCs w:val="24"/>
                <w:highlight w:val="none"/>
              </w:rPr>
              <w:t>国旗制作、悬挂严格遵照《国旗法》执行。</w:t>
            </w:r>
          </w:p>
          <w:p w14:paraId="20632274">
            <w:pPr>
              <w:widowControl w:val="0"/>
              <w:jc w:val="left"/>
              <w:rPr>
                <w:rFonts w:ascii="宋体" w:eastAsia="宋体" w:cs="宋体"/>
                <w:color w:val="auto"/>
                <w:kern w:val="0"/>
                <w:sz w:val="24"/>
                <w:szCs w:val="24"/>
                <w:highlight w:val="none"/>
              </w:rPr>
            </w:pPr>
            <w:r>
              <w:rPr>
                <w:rFonts w:ascii="宋体" w:hAnsi="宋体" w:eastAsia="宋体" w:cs="宋体"/>
                <w:color w:val="auto"/>
                <w:kern w:val="0"/>
                <w:sz w:val="24"/>
                <w:szCs w:val="24"/>
                <w:highlight w:val="none"/>
              </w:rPr>
              <w:t>7.</w:t>
            </w:r>
            <w:r>
              <w:rPr>
                <w:rFonts w:hint="eastAsia" w:ascii="宋体" w:hAnsi="宋体" w:eastAsia="宋体" w:cs="宋体"/>
                <w:color w:val="auto"/>
                <w:kern w:val="0"/>
                <w:sz w:val="24"/>
                <w:szCs w:val="24"/>
                <w:highlight w:val="none"/>
              </w:rPr>
              <w:t>备选花材目录详见附件</w:t>
            </w:r>
            <w:r>
              <w:rPr>
                <w:rFonts w:hint="eastAsia" w:ascii="宋体" w:hAnsi="宋体" w:eastAsia="宋体" w:cs="宋体"/>
                <w:color w:val="auto"/>
                <w:kern w:val="0"/>
                <w:sz w:val="24"/>
                <w:szCs w:val="24"/>
                <w:highlight w:val="none"/>
                <w:lang w:eastAsia="zh-CN"/>
              </w:rPr>
              <w:t>一</w:t>
            </w:r>
            <w:r>
              <w:rPr>
                <w:rFonts w:hint="eastAsia" w:ascii="宋体" w:hAnsi="宋体" w:eastAsia="宋体" w:cs="宋体"/>
                <w:color w:val="auto"/>
                <w:kern w:val="0"/>
                <w:sz w:val="24"/>
                <w:szCs w:val="24"/>
                <w:highlight w:val="none"/>
              </w:rPr>
              <w:t>。</w:t>
            </w:r>
          </w:p>
          <w:p w14:paraId="4690270A">
            <w:pPr>
              <w:widowControl w:val="0"/>
              <w:jc w:val="left"/>
              <w:rPr>
                <w:rFonts w:ascii="宋体" w:eastAsia="宋体" w:cs="宋体"/>
                <w:color w:val="auto"/>
                <w:kern w:val="0"/>
                <w:sz w:val="24"/>
                <w:szCs w:val="24"/>
                <w:highlight w:val="none"/>
              </w:rPr>
            </w:pPr>
            <w:r>
              <w:rPr>
                <w:rFonts w:ascii="宋体" w:hAnsi="宋体" w:eastAsia="宋体" w:cs="宋体"/>
                <w:color w:val="auto"/>
                <w:kern w:val="0"/>
                <w:sz w:val="24"/>
                <w:szCs w:val="24"/>
                <w:highlight w:val="none"/>
              </w:rPr>
              <w:t>8.</w:t>
            </w:r>
            <w:r>
              <w:rPr>
                <w:rFonts w:hint="eastAsia" w:ascii="宋体" w:hAnsi="宋体" w:eastAsia="宋体" w:cs="宋体"/>
                <w:color w:val="auto"/>
                <w:kern w:val="0"/>
                <w:sz w:val="24"/>
                <w:szCs w:val="24"/>
                <w:highlight w:val="none"/>
              </w:rPr>
              <w:t>布置花境的苗木清单中，新优品种苗木数量所占比例不少于</w:t>
            </w:r>
            <w:r>
              <w:rPr>
                <w:rFonts w:ascii="宋体" w:hAnsi="宋体" w:eastAsia="宋体" w:cs="宋体"/>
                <w:color w:val="auto"/>
                <w:kern w:val="0"/>
                <w:sz w:val="24"/>
                <w:szCs w:val="24"/>
                <w:highlight w:val="none"/>
              </w:rPr>
              <w:t>20%</w:t>
            </w:r>
            <w:r>
              <w:rPr>
                <w:rFonts w:hint="eastAsia" w:ascii="宋体" w:hAnsi="宋体" w:eastAsia="宋体" w:cs="宋体"/>
                <w:color w:val="auto"/>
                <w:kern w:val="0"/>
                <w:sz w:val="24"/>
                <w:szCs w:val="24"/>
                <w:highlight w:val="none"/>
              </w:rPr>
              <w:t>。</w:t>
            </w:r>
          </w:p>
        </w:tc>
      </w:tr>
      <w:tr w14:paraId="1611A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862" w:type="dxa"/>
            <w:vAlign w:val="center"/>
          </w:tcPr>
          <w:p w14:paraId="7F648590">
            <w:pPr>
              <w:jc w:val="center"/>
              <w:rPr>
                <w:rFonts w:asci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管理要求</w:t>
            </w:r>
          </w:p>
        </w:tc>
        <w:tc>
          <w:tcPr>
            <w:tcW w:w="7952" w:type="dxa"/>
            <w:gridSpan w:val="3"/>
            <w:vAlign w:val="center"/>
          </w:tcPr>
          <w:p w14:paraId="7CF48589">
            <w:pPr>
              <w:widowControl w:val="0"/>
              <w:rPr>
                <w:rFonts w:ascii="宋体" w:eastAsia="宋体"/>
                <w:bCs/>
                <w:color w:val="auto"/>
                <w:sz w:val="24"/>
                <w:szCs w:val="24"/>
                <w:highlight w:val="none"/>
              </w:rPr>
            </w:pPr>
            <w:r>
              <w:rPr>
                <w:rFonts w:ascii="宋体" w:hAnsi="宋体" w:eastAsia="宋体"/>
                <w:bCs/>
                <w:color w:val="auto"/>
                <w:sz w:val="24"/>
                <w:szCs w:val="24"/>
                <w:highlight w:val="none"/>
              </w:rPr>
              <w:t>1.</w:t>
            </w:r>
            <w:r>
              <w:rPr>
                <w:rFonts w:hint="eastAsia" w:ascii="宋体" w:hAnsi="宋体" w:eastAsia="宋体"/>
                <w:bCs/>
                <w:color w:val="auto"/>
                <w:sz w:val="24"/>
                <w:szCs w:val="24"/>
                <w:highlight w:val="none"/>
              </w:rPr>
              <w:t>投标报价中已包含</w:t>
            </w:r>
            <w:r>
              <w:rPr>
                <w:rFonts w:hint="eastAsia" w:ascii="宋体" w:hAnsi="宋体" w:eastAsia="宋体"/>
                <w:bCs/>
                <w:color w:val="auto"/>
                <w:sz w:val="24"/>
                <w:szCs w:val="24"/>
                <w:highlight w:val="none"/>
                <w:lang w:eastAsia="zh-CN"/>
              </w:rPr>
              <w:t>中标人</w:t>
            </w:r>
            <w:r>
              <w:rPr>
                <w:rFonts w:hint="eastAsia" w:ascii="宋体" w:hAnsi="宋体" w:eastAsia="宋体"/>
                <w:bCs/>
                <w:color w:val="auto"/>
                <w:sz w:val="24"/>
                <w:szCs w:val="24"/>
                <w:highlight w:val="none"/>
              </w:rPr>
              <w:t>提供全年所有费用，若有不足，由</w:t>
            </w:r>
            <w:r>
              <w:rPr>
                <w:rFonts w:hint="eastAsia" w:ascii="宋体" w:hAnsi="宋体" w:eastAsia="宋体"/>
                <w:bCs/>
                <w:color w:val="auto"/>
                <w:sz w:val="24"/>
                <w:szCs w:val="24"/>
                <w:highlight w:val="none"/>
                <w:lang w:eastAsia="zh-CN"/>
              </w:rPr>
              <w:t>中标人</w:t>
            </w:r>
            <w:r>
              <w:rPr>
                <w:rFonts w:hint="eastAsia" w:ascii="宋体" w:hAnsi="宋体" w:eastAsia="宋体"/>
                <w:bCs/>
                <w:color w:val="auto"/>
                <w:sz w:val="24"/>
                <w:szCs w:val="24"/>
                <w:highlight w:val="none"/>
              </w:rPr>
              <w:t>无条件自行保质保量提供。</w:t>
            </w:r>
          </w:p>
          <w:p w14:paraId="18FE6645">
            <w:pPr>
              <w:widowControl w:val="0"/>
              <w:rPr>
                <w:rFonts w:ascii="宋体" w:eastAsia="宋体" w:cs="宋体"/>
                <w:color w:val="auto"/>
                <w:sz w:val="24"/>
                <w:szCs w:val="24"/>
                <w:highlight w:val="none"/>
              </w:rPr>
            </w:pPr>
            <w:r>
              <w:rPr>
                <w:rFonts w:ascii="宋体" w:hAnsi="宋体" w:eastAsia="宋体"/>
                <w:bCs/>
                <w:color w:val="auto"/>
                <w:sz w:val="24"/>
                <w:szCs w:val="24"/>
                <w:highlight w:val="none"/>
              </w:rPr>
              <w:t>2.</w:t>
            </w:r>
            <w:r>
              <w:rPr>
                <w:rFonts w:hint="eastAsia" w:ascii="宋体" w:hAnsi="宋体" w:eastAsia="宋体"/>
                <w:color w:val="auto"/>
                <w:sz w:val="24"/>
                <w:szCs w:val="24"/>
                <w:highlight w:val="none"/>
              </w:rPr>
              <w:t>各材料具体种类及数量需经</w:t>
            </w:r>
            <w:r>
              <w:rPr>
                <w:rFonts w:hint="eastAsia" w:ascii="宋体" w:hAnsi="宋体" w:eastAsia="宋体"/>
                <w:color w:val="auto"/>
                <w:sz w:val="24"/>
                <w:szCs w:val="24"/>
                <w:highlight w:val="none"/>
                <w:lang w:eastAsia="zh-CN"/>
              </w:rPr>
              <w:t>采购人</w:t>
            </w:r>
            <w:r>
              <w:rPr>
                <w:rFonts w:hint="eastAsia" w:ascii="宋体" w:hAnsi="宋体" w:eastAsia="宋体"/>
                <w:color w:val="auto"/>
                <w:sz w:val="24"/>
                <w:szCs w:val="24"/>
                <w:highlight w:val="none"/>
              </w:rPr>
              <w:t>确认，并根据需要提供样品，</w:t>
            </w:r>
            <w:r>
              <w:rPr>
                <w:rFonts w:hint="eastAsia" w:ascii="宋体" w:hAnsi="宋体" w:eastAsia="宋体" w:cs="宋体"/>
                <w:color w:val="auto"/>
                <w:sz w:val="24"/>
                <w:szCs w:val="24"/>
                <w:highlight w:val="none"/>
              </w:rPr>
              <w:t>合格者进入采购流程，不合格淘汰重新提供。</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有权根据需要进行种类和数量的调整。</w:t>
            </w:r>
          </w:p>
          <w:p w14:paraId="4FC2B66F">
            <w:pPr>
              <w:widowControl w:val="0"/>
              <w:rPr>
                <w:rFonts w:ascii="宋体" w:eastAsia="宋体" w:cs="宋体"/>
                <w:color w:val="auto"/>
                <w:sz w:val="24"/>
                <w:szCs w:val="24"/>
                <w:highlight w:val="none"/>
              </w:rPr>
            </w:pPr>
            <w:r>
              <w:rPr>
                <w:rFonts w:ascii="宋体" w:hAnsi="宋体" w:eastAsia="宋体" w:cs="宋体"/>
                <w:color w:val="auto"/>
                <w:sz w:val="24"/>
                <w:szCs w:val="24"/>
                <w:highlight w:val="none"/>
              </w:rPr>
              <w:t>3.</w:t>
            </w:r>
            <w:r>
              <w:rPr>
                <w:rFonts w:hint="eastAsia" w:ascii="宋体" w:hAnsi="宋体" w:eastAsia="宋体" w:cs="宋体"/>
                <w:color w:val="auto"/>
                <w:sz w:val="24"/>
                <w:szCs w:val="24"/>
                <w:highlight w:val="none"/>
              </w:rPr>
              <w:t>节日氛围营造及</w:t>
            </w:r>
            <w:r>
              <w:rPr>
                <w:rFonts w:hint="eastAsia" w:ascii="宋体" w:hAnsi="宋体" w:eastAsia="宋体" w:cs="宋体"/>
                <w:color w:val="auto"/>
                <w:sz w:val="24"/>
                <w:szCs w:val="24"/>
                <w:highlight w:val="none"/>
                <w:lang w:eastAsia="zh-CN"/>
              </w:rPr>
              <w:t>日常</w:t>
            </w:r>
            <w:r>
              <w:rPr>
                <w:rFonts w:hint="eastAsia" w:ascii="宋体" w:hAnsi="宋体" w:eastAsia="宋体" w:cs="宋体"/>
                <w:color w:val="auto"/>
                <w:sz w:val="24"/>
                <w:szCs w:val="24"/>
                <w:highlight w:val="none"/>
              </w:rPr>
              <w:t>摆花设计方案需经</w:t>
            </w:r>
            <w:r>
              <w:rPr>
                <w:rFonts w:hint="eastAsia" w:ascii="宋体" w:hAnsi="宋体" w:eastAsia="宋体" w:cs="宋体"/>
                <w:color w:val="auto"/>
                <w:sz w:val="24"/>
                <w:szCs w:val="24"/>
                <w:highlight w:val="none"/>
                <w:lang w:val="en-US" w:eastAsia="zh-CN"/>
              </w:rPr>
              <w:t>采购人</w:t>
            </w:r>
            <w:r>
              <w:rPr>
                <w:rFonts w:hint="eastAsia" w:ascii="宋体" w:hAnsi="宋体" w:eastAsia="宋体" w:cs="宋体"/>
                <w:color w:val="auto"/>
                <w:sz w:val="24"/>
                <w:szCs w:val="24"/>
                <w:highlight w:val="none"/>
              </w:rPr>
              <w:t>确认后方可执行。</w:t>
            </w:r>
          </w:p>
        </w:tc>
      </w:tr>
    </w:tbl>
    <w:p w14:paraId="7CEFE540">
      <w:pPr>
        <w:widowControl/>
        <w:tabs>
          <w:tab w:val="left" w:pos="851"/>
        </w:tabs>
        <w:adjustRightInd/>
        <w:spacing w:line="360" w:lineRule="auto"/>
        <w:ind w:firstLine="480" w:firstLineChars="200"/>
        <w:rPr>
          <w:rFonts w:hint="default"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⑤安全生产物资</w:t>
      </w:r>
    </w:p>
    <w:tbl>
      <w:tblPr>
        <w:tblStyle w:val="62"/>
        <w:tblW w:w="95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719"/>
        <w:gridCol w:w="1419"/>
        <w:gridCol w:w="2271"/>
        <w:gridCol w:w="982"/>
        <w:gridCol w:w="1132"/>
        <w:gridCol w:w="477"/>
        <w:gridCol w:w="1696"/>
      </w:tblGrid>
      <w:tr w14:paraId="0C8A0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840" w:type="dxa"/>
            <w:vAlign w:val="center"/>
          </w:tcPr>
          <w:p w14:paraId="40599AED">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类别</w:t>
            </w:r>
          </w:p>
        </w:tc>
        <w:tc>
          <w:tcPr>
            <w:tcW w:w="719" w:type="dxa"/>
            <w:vAlign w:val="center"/>
          </w:tcPr>
          <w:p w14:paraId="181F7D89">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序号</w:t>
            </w:r>
          </w:p>
        </w:tc>
        <w:tc>
          <w:tcPr>
            <w:tcW w:w="1419" w:type="dxa"/>
            <w:vAlign w:val="center"/>
          </w:tcPr>
          <w:p w14:paraId="5F3D1F00">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名称</w:t>
            </w:r>
          </w:p>
        </w:tc>
        <w:tc>
          <w:tcPr>
            <w:tcW w:w="2271" w:type="dxa"/>
            <w:vAlign w:val="center"/>
          </w:tcPr>
          <w:p w14:paraId="3036324E">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主要技术参数</w:t>
            </w:r>
          </w:p>
        </w:tc>
        <w:tc>
          <w:tcPr>
            <w:tcW w:w="982" w:type="dxa"/>
            <w:vAlign w:val="center"/>
          </w:tcPr>
          <w:p w14:paraId="27D51DC4">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最低数量要求</w:t>
            </w:r>
          </w:p>
        </w:tc>
        <w:tc>
          <w:tcPr>
            <w:tcW w:w="1132" w:type="dxa"/>
            <w:vAlign w:val="center"/>
          </w:tcPr>
          <w:p w14:paraId="55E02ECA">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仓库现存数量</w:t>
            </w:r>
          </w:p>
        </w:tc>
        <w:tc>
          <w:tcPr>
            <w:tcW w:w="477" w:type="dxa"/>
            <w:vAlign w:val="center"/>
          </w:tcPr>
          <w:p w14:paraId="4FC8A873">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单位</w:t>
            </w:r>
          </w:p>
        </w:tc>
        <w:tc>
          <w:tcPr>
            <w:tcW w:w="1696" w:type="dxa"/>
            <w:vAlign w:val="center"/>
          </w:tcPr>
          <w:p w14:paraId="7E3C29D2">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备注</w:t>
            </w:r>
          </w:p>
        </w:tc>
      </w:tr>
      <w:tr w14:paraId="7ED01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40" w:type="dxa"/>
            <w:vMerge w:val="restart"/>
            <w:vAlign w:val="center"/>
          </w:tcPr>
          <w:p w14:paraId="75010926">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安全生产物资</w:t>
            </w:r>
          </w:p>
        </w:tc>
        <w:tc>
          <w:tcPr>
            <w:tcW w:w="719" w:type="dxa"/>
            <w:vAlign w:val="center"/>
          </w:tcPr>
          <w:p w14:paraId="64013AB7">
            <w:pPr>
              <w:numPr>
                <w:ilvl w:val="0"/>
                <w:numId w:val="8"/>
              </w:numPr>
              <w:ind w:left="454" w:hanging="454"/>
              <w:jc w:val="center"/>
              <w:rPr>
                <w:rFonts w:hint="eastAsia" w:ascii="宋体" w:hAnsi="宋体" w:eastAsia="宋体" w:cs="宋体"/>
                <w:color w:val="auto"/>
                <w:kern w:val="0"/>
                <w:sz w:val="24"/>
                <w:szCs w:val="24"/>
                <w:highlight w:val="none"/>
              </w:rPr>
            </w:pPr>
          </w:p>
        </w:tc>
        <w:tc>
          <w:tcPr>
            <w:tcW w:w="1419" w:type="dxa"/>
            <w:vAlign w:val="center"/>
          </w:tcPr>
          <w:p w14:paraId="2B966CED">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简易不锈钢移动栏杆</w:t>
            </w:r>
          </w:p>
        </w:tc>
        <w:tc>
          <w:tcPr>
            <w:tcW w:w="2271" w:type="dxa"/>
            <w:vAlign w:val="center"/>
          </w:tcPr>
          <w:p w14:paraId="3B6773E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符合国家、行业标准</w:t>
            </w:r>
          </w:p>
        </w:tc>
        <w:tc>
          <w:tcPr>
            <w:tcW w:w="982" w:type="dxa"/>
            <w:vAlign w:val="center"/>
          </w:tcPr>
          <w:p w14:paraId="28D985E7">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100</w:t>
            </w:r>
          </w:p>
        </w:tc>
        <w:tc>
          <w:tcPr>
            <w:tcW w:w="1132" w:type="dxa"/>
            <w:vAlign w:val="center"/>
          </w:tcPr>
          <w:p w14:paraId="5AAC41C0">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7D97F68E">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米</w:t>
            </w:r>
          </w:p>
        </w:tc>
        <w:tc>
          <w:tcPr>
            <w:tcW w:w="1696" w:type="dxa"/>
            <w:vAlign w:val="center"/>
          </w:tcPr>
          <w:p w14:paraId="79A76353">
            <w:pPr>
              <w:jc w:val="center"/>
              <w:rPr>
                <w:rFonts w:hint="eastAsia" w:ascii="宋体" w:hAnsi="宋体" w:eastAsia="宋体" w:cs="宋体"/>
                <w:color w:val="auto"/>
                <w:kern w:val="0"/>
                <w:sz w:val="24"/>
                <w:szCs w:val="24"/>
                <w:highlight w:val="none"/>
              </w:rPr>
            </w:pPr>
          </w:p>
        </w:tc>
      </w:tr>
      <w:tr w14:paraId="6C5FD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40" w:type="dxa"/>
            <w:vMerge w:val="continue"/>
            <w:vAlign w:val="center"/>
          </w:tcPr>
          <w:p w14:paraId="30CE0398">
            <w:pPr>
              <w:jc w:val="left"/>
              <w:rPr>
                <w:rFonts w:hint="eastAsia" w:ascii="宋体" w:hAnsi="宋体" w:eastAsia="宋体" w:cs="宋体"/>
                <w:b/>
                <w:bCs/>
                <w:color w:val="auto"/>
                <w:kern w:val="0"/>
                <w:sz w:val="24"/>
                <w:szCs w:val="24"/>
                <w:highlight w:val="none"/>
              </w:rPr>
            </w:pPr>
          </w:p>
        </w:tc>
        <w:tc>
          <w:tcPr>
            <w:tcW w:w="719" w:type="dxa"/>
            <w:vAlign w:val="center"/>
          </w:tcPr>
          <w:p w14:paraId="59DDB094">
            <w:pPr>
              <w:numPr>
                <w:ilvl w:val="0"/>
                <w:numId w:val="8"/>
              </w:numPr>
              <w:ind w:left="454" w:hanging="454"/>
              <w:jc w:val="center"/>
              <w:rPr>
                <w:rFonts w:hint="eastAsia" w:ascii="宋体" w:hAnsi="宋体" w:eastAsia="宋体" w:cs="宋体"/>
                <w:color w:val="auto"/>
                <w:kern w:val="0"/>
                <w:sz w:val="24"/>
                <w:szCs w:val="24"/>
                <w:highlight w:val="none"/>
              </w:rPr>
            </w:pPr>
          </w:p>
        </w:tc>
        <w:tc>
          <w:tcPr>
            <w:tcW w:w="1419" w:type="dxa"/>
            <w:vAlign w:val="center"/>
          </w:tcPr>
          <w:p w14:paraId="76A882CC">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强光手电</w:t>
            </w:r>
          </w:p>
        </w:tc>
        <w:tc>
          <w:tcPr>
            <w:tcW w:w="2271" w:type="dxa"/>
            <w:vAlign w:val="center"/>
          </w:tcPr>
          <w:p w14:paraId="38A8F65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无级调光、爆闪、强弱档，LED，续航8小时以上</w:t>
            </w:r>
          </w:p>
        </w:tc>
        <w:tc>
          <w:tcPr>
            <w:tcW w:w="982" w:type="dxa"/>
            <w:vAlign w:val="center"/>
          </w:tcPr>
          <w:p w14:paraId="77603D20">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20</w:t>
            </w:r>
          </w:p>
        </w:tc>
        <w:tc>
          <w:tcPr>
            <w:tcW w:w="1132" w:type="dxa"/>
            <w:vAlign w:val="center"/>
          </w:tcPr>
          <w:p w14:paraId="24248ACC">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0ACA2195">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把</w:t>
            </w:r>
          </w:p>
        </w:tc>
        <w:tc>
          <w:tcPr>
            <w:tcW w:w="1696" w:type="dxa"/>
            <w:vAlign w:val="center"/>
          </w:tcPr>
          <w:p w14:paraId="033B08B9">
            <w:pPr>
              <w:jc w:val="center"/>
              <w:rPr>
                <w:rFonts w:hint="eastAsia" w:ascii="宋体" w:hAnsi="宋体" w:eastAsia="宋体" w:cs="宋体"/>
                <w:color w:val="auto"/>
                <w:kern w:val="0"/>
                <w:sz w:val="24"/>
                <w:szCs w:val="24"/>
                <w:highlight w:val="none"/>
                <w:lang w:eastAsia="zh-CN"/>
              </w:rPr>
            </w:pPr>
          </w:p>
        </w:tc>
      </w:tr>
      <w:tr w14:paraId="46329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40" w:type="dxa"/>
            <w:vMerge w:val="continue"/>
            <w:vAlign w:val="center"/>
          </w:tcPr>
          <w:p w14:paraId="77F0C2AE">
            <w:pPr>
              <w:jc w:val="left"/>
              <w:rPr>
                <w:rFonts w:hint="eastAsia" w:ascii="宋体" w:hAnsi="宋体" w:eastAsia="宋体" w:cs="宋体"/>
                <w:b/>
                <w:bCs/>
                <w:color w:val="auto"/>
                <w:kern w:val="0"/>
                <w:sz w:val="24"/>
                <w:szCs w:val="24"/>
                <w:highlight w:val="none"/>
              </w:rPr>
            </w:pPr>
          </w:p>
        </w:tc>
        <w:tc>
          <w:tcPr>
            <w:tcW w:w="719" w:type="dxa"/>
            <w:vAlign w:val="center"/>
          </w:tcPr>
          <w:p w14:paraId="018E4C40">
            <w:pPr>
              <w:numPr>
                <w:ilvl w:val="0"/>
                <w:numId w:val="8"/>
              </w:numPr>
              <w:ind w:left="454" w:hanging="454"/>
              <w:jc w:val="center"/>
              <w:rPr>
                <w:rFonts w:hint="eastAsia" w:ascii="宋体" w:hAnsi="宋体" w:eastAsia="宋体" w:cs="宋体"/>
                <w:color w:val="auto"/>
                <w:kern w:val="0"/>
                <w:sz w:val="24"/>
                <w:szCs w:val="24"/>
                <w:highlight w:val="none"/>
                <w:lang w:val="en-US" w:eastAsia="zh-CN"/>
              </w:rPr>
            </w:pPr>
          </w:p>
        </w:tc>
        <w:tc>
          <w:tcPr>
            <w:tcW w:w="1419" w:type="dxa"/>
            <w:vAlign w:val="center"/>
          </w:tcPr>
          <w:p w14:paraId="52CF030F">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灭火毯</w:t>
            </w:r>
          </w:p>
        </w:tc>
        <w:tc>
          <w:tcPr>
            <w:tcW w:w="2271" w:type="dxa"/>
            <w:vAlign w:val="center"/>
          </w:tcPr>
          <w:p w14:paraId="3C79E91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符合国家、行业标准</w:t>
            </w:r>
          </w:p>
        </w:tc>
        <w:tc>
          <w:tcPr>
            <w:tcW w:w="982" w:type="dxa"/>
            <w:vAlign w:val="center"/>
          </w:tcPr>
          <w:p w14:paraId="6D30B01B">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w:t>
            </w:r>
          </w:p>
        </w:tc>
        <w:tc>
          <w:tcPr>
            <w:tcW w:w="1132" w:type="dxa"/>
            <w:vAlign w:val="center"/>
          </w:tcPr>
          <w:p w14:paraId="60A7D8CE">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0</w:t>
            </w:r>
          </w:p>
        </w:tc>
        <w:tc>
          <w:tcPr>
            <w:tcW w:w="477" w:type="dxa"/>
            <w:vAlign w:val="center"/>
          </w:tcPr>
          <w:p w14:paraId="687EAFDE">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个</w:t>
            </w:r>
          </w:p>
        </w:tc>
        <w:tc>
          <w:tcPr>
            <w:tcW w:w="1696" w:type="dxa"/>
            <w:vAlign w:val="center"/>
          </w:tcPr>
          <w:p w14:paraId="0FA38919">
            <w:pPr>
              <w:jc w:val="center"/>
              <w:rPr>
                <w:rFonts w:hint="eastAsia" w:ascii="宋体" w:hAnsi="宋体" w:eastAsia="宋体" w:cs="宋体"/>
                <w:color w:val="auto"/>
                <w:kern w:val="0"/>
                <w:sz w:val="24"/>
                <w:szCs w:val="24"/>
                <w:highlight w:val="none"/>
              </w:rPr>
            </w:pPr>
          </w:p>
        </w:tc>
      </w:tr>
      <w:tr w14:paraId="205B1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840" w:type="dxa"/>
            <w:vMerge w:val="continue"/>
            <w:vAlign w:val="center"/>
          </w:tcPr>
          <w:p w14:paraId="63126416">
            <w:pPr>
              <w:jc w:val="left"/>
              <w:rPr>
                <w:rFonts w:hint="eastAsia" w:ascii="宋体" w:hAnsi="宋体" w:eastAsia="宋体" w:cs="宋体"/>
                <w:b/>
                <w:bCs/>
                <w:color w:val="auto"/>
                <w:kern w:val="0"/>
                <w:sz w:val="24"/>
                <w:szCs w:val="24"/>
                <w:highlight w:val="none"/>
              </w:rPr>
            </w:pPr>
          </w:p>
        </w:tc>
        <w:tc>
          <w:tcPr>
            <w:tcW w:w="719" w:type="dxa"/>
            <w:vAlign w:val="center"/>
          </w:tcPr>
          <w:p w14:paraId="382AE40E">
            <w:pPr>
              <w:numPr>
                <w:ilvl w:val="0"/>
                <w:numId w:val="8"/>
              </w:numPr>
              <w:ind w:left="454" w:hanging="454"/>
              <w:jc w:val="center"/>
              <w:rPr>
                <w:rFonts w:hint="eastAsia" w:ascii="宋体" w:hAnsi="宋体" w:eastAsia="宋体" w:cs="宋体"/>
                <w:color w:val="auto"/>
                <w:kern w:val="0"/>
                <w:sz w:val="24"/>
                <w:szCs w:val="24"/>
                <w:highlight w:val="none"/>
                <w:lang w:eastAsia="zh-CN"/>
              </w:rPr>
            </w:pPr>
          </w:p>
        </w:tc>
        <w:tc>
          <w:tcPr>
            <w:tcW w:w="1419" w:type="dxa"/>
            <w:vAlign w:val="center"/>
          </w:tcPr>
          <w:p w14:paraId="0EFD1C69">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灭火器</w:t>
            </w:r>
          </w:p>
        </w:tc>
        <w:tc>
          <w:tcPr>
            <w:tcW w:w="2271" w:type="dxa"/>
            <w:vAlign w:val="center"/>
          </w:tcPr>
          <w:p w14:paraId="547F93F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4KG装，符合国家、行业标准，提供合格证，要求生产日期为提供产品时的当年年度</w:t>
            </w:r>
          </w:p>
        </w:tc>
        <w:tc>
          <w:tcPr>
            <w:tcW w:w="982" w:type="dxa"/>
            <w:vAlign w:val="center"/>
          </w:tcPr>
          <w:p w14:paraId="0B02905A">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30</w:t>
            </w:r>
          </w:p>
        </w:tc>
        <w:tc>
          <w:tcPr>
            <w:tcW w:w="1132" w:type="dxa"/>
            <w:vAlign w:val="center"/>
          </w:tcPr>
          <w:p w14:paraId="45626ED5">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014CF181">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696" w:type="dxa"/>
            <w:vAlign w:val="center"/>
          </w:tcPr>
          <w:p w14:paraId="631E6980">
            <w:pPr>
              <w:jc w:val="center"/>
              <w:rPr>
                <w:rFonts w:hint="eastAsia" w:ascii="宋体" w:hAnsi="宋体" w:eastAsia="宋体" w:cs="宋体"/>
                <w:color w:val="auto"/>
                <w:kern w:val="0"/>
                <w:sz w:val="24"/>
                <w:szCs w:val="24"/>
                <w:highlight w:val="none"/>
              </w:rPr>
            </w:pPr>
          </w:p>
        </w:tc>
      </w:tr>
      <w:tr w14:paraId="31D54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40" w:type="dxa"/>
            <w:vMerge w:val="continue"/>
            <w:vAlign w:val="center"/>
          </w:tcPr>
          <w:p w14:paraId="462DB0AF">
            <w:pPr>
              <w:jc w:val="left"/>
              <w:rPr>
                <w:rFonts w:hint="eastAsia" w:ascii="宋体" w:hAnsi="宋体" w:eastAsia="宋体" w:cs="宋体"/>
                <w:b/>
                <w:bCs/>
                <w:color w:val="auto"/>
                <w:kern w:val="0"/>
                <w:sz w:val="24"/>
                <w:szCs w:val="24"/>
                <w:highlight w:val="none"/>
              </w:rPr>
            </w:pPr>
          </w:p>
        </w:tc>
        <w:tc>
          <w:tcPr>
            <w:tcW w:w="719" w:type="dxa"/>
            <w:vAlign w:val="center"/>
          </w:tcPr>
          <w:p w14:paraId="7BB2DE49">
            <w:pPr>
              <w:numPr>
                <w:ilvl w:val="0"/>
                <w:numId w:val="8"/>
              </w:numPr>
              <w:ind w:left="454" w:hanging="454"/>
              <w:jc w:val="center"/>
              <w:rPr>
                <w:rFonts w:hint="eastAsia" w:ascii="宋体" w:hAnsi="宋体" w:eastAsia="宋体" w:cs="宋体"/>
                <w:color w:val="auto"/>
                <w:kern w:val="0"/>
                <w:sz w:val="24"/>
                <w:szCs w:val="24"/>
                <w:highlight w:val="none"/>
                <w:lang w:val="en-US"/>
              </w:rPr>
            </w:pPr>
          </w:p>
        </w:tc>
        <w:tc>
          <w:tcPr>
            <w:tcW w:w="1419" w:type="dxa"/>
            <w:vAlign w:val="center"/>
          </w:tcPr>
          <w:p w14:paraId="7F060358">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手持</w:t>
            </w:r>
            <w:r>
              <w:rPr>
                <w:rFonts w:hint="eastAsia" w:ascii="宋体" w:hAnsi="宋体" w:eastAsia="宋体" w:cs="宋体"/>
                <w:color w:val="auto"/>
                <w:kern w:val="0"/>
                <w:sz w:val="24"/>
                <w:szCs w:val="24"/>
                <w:highlight w:val="none"/>
              </w:rPr>
              <w:t>扩音喇叭</w:t>
            </w:r>
          </w:p>
        </w:tc>
        <w:tc>
          <w:tcPr>
            <w:tcW w:w="2271" w:type="dxa"/>
            <w:vAlign w:val="center"/>
          </w:tcPr>
          <w:p w14:paraId="4E0F6D15">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要有录音放音功能，配存储卡</w:t>
            </w:r>
          </w:p>
        </w:tc>
        <w:tc>
          <w:tcPr>
            <w:tcW w:w="982" w:type="dxa"/>
            <w:vAlign w:val="center"/>
          </w:tcPr>
          <w:p w14:paraId="69FE365C">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15</w:t>
            </w:r>
          </w:p>
        </w:tc>
        <w:tc>
          <w:tcPr>
            <w:tcW w:w="1132" w:type="dxa"/>
            <w:vAlign w:val="center"/>
          </w:tcPr>
          <w:p w14:paraId="47F03E02">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4210E68E">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696" w:type="dxa"/>
            <w:vAlign w:val="center"/>
          </w:tcPr>
          <w:p w14:paraId="2F9F2600">
            <w:pPr>
              <w:jc w:val="center"/>
              <w:rPr>
                <w:rFonts w:hint="eastAsia" w:ascii="宋体" w:hAnsi="宋体" w:eastAsia="宋体" w:cs="宋体"/>
                <w:color w:val="auto"/>
                <w:kern w:val="0"/>
                <w:sz w:val="24"/>
                <w:szCs w:val="24"/>
                <w:highlight w:val="none"/>
              </w:rPr>
            </w:pPr>
          </w:p>
        </w:tc>
      </w:tr>
      <w:tr w14:paraId="56F2E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40" w:type="dxa"/>
            <w:vMerge w:val="continue"/>
            <w:vAlign w:val="center"/>
          </w:tcPr>
          <w:p w14:paraId="1781EDC8">
            <w:pPr>
              <w:jc w:val="left"/>
              <w:rPr>
                <w:rFonts w:hint="eastAsia" w:ascii="宋体" w:hAnsi="宋体" w:eastAsia="宋体" w:cs="宋体"/>
                <w:b/>
                <w:bCs/>
                <w:color w:val="auto"/>
                <w:kern w:val="0"/>
                <w:sz w:val="24"/>
                <w:szCs w:val="24"/>
                <w:highlight w:val="none"/>
              </w:rPr>
            </w:pPr>
          </w:p>
        </w:tc>
        <w:tc>
          <w:tcPr>
            <w:tcW w:w="719" w:type="dxa"/>
            <w:vAlign w:val="center"/>
          </w:tcPr>
          <w:p w14:paraId="0282B864">
            <w:pPr>
              <w:numPr>
                <w:ilvl w:val="0"/>
                <w:numId w:val="8"/>
              </w:numPr>
              <w:ind w:left="454" w:hanging="454"/>
              <w:jc w:val="center"/>
              <w:rPr>
                <w:rFonts w:hint="eastAsia" w:ascii="宋体" w:hAnsi="宋体" w:eastAsia="宋体" w:cs="宋体"/>
                <w:color w:val="auto"/>
                <w:kern w:val="0"/>
                <w:sz w:val="24"/>
                <w:szCs w:val="24"/>
                <w:highlight w:val="none"/>
                <w:lang w:val="en-US" w:eastAsia="zh-CN"/>
              </w:rPr>
            </w:pPr>
          </w:p>
        </w:tc>
        <w:tc>
          <w:tcPr>
            <w:tcW w:w="1419" w:type="dxa"/>
            <w:vAlign w:val="center"/>
          </w:tcPr>
          <w:p w14:paraId="56B155F7">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对讲机</w:t>
            </w:r>
          </w:p>
        </w:tc>
        <w:tc>
          <w:tcPr>
            <w:tcW w:w="2271" w:type="dxa"/>
            <w:vAlign w:val="center"/>
          </w:tcPr>
          <w:p w14:paraId="6FFC425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符合国家、行业标准</w:t>
            </w:r>
          </w:p>
        </w:tc>
        <w:tc>
          <w:tcPr>
            <w:tcW w:w="982" w:type="dxa"/>
            <w:vAlign w:val="center"/>
          </w:tcPr>
          <w:p w14:paraId="05BC9E72">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16</w:t>
            </w:r>
          </w:p>
        </w:tc>
        <w:tc>
          <w:tcPr>
            <w:tcW w:w="1132" w:type="dxa"/>
            <w:vAlign w:val="center"/>
          </w:tcPr>
          <w:p w14:paraId="6BB12F3E">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426C53CB">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个</w:t>
            </w:r>
          </w:p>
        </w:tc>
        <w:tc>
          <w:tcPr>
            <w:tcW w:w="1696" w:type="dxa"/>
            <w:vAlign w:val="center"/>
          </w:tcPr>
          <w:p w14:paraId="192A6DCF">
            <w:pPr>
              <w:jc w:val="center"/>
              <w:rPr>
                <w:rFonts w:hint="eastAsia" w:ascii="宋体" w:hAnsi="宋体" w:eastAsia="宋体" w:cs="宋体"/>
                <w:color w:val="auto"/>
                <w:kern w:val="0"/>
                <w:sz w:val="24"/>
                <w:szCs w:val="24"/>
                <w:highlight w:val="none"/>
              </w:rPr>
            </w:pPr>
          </w:p>
        </w:tc>
      </w:tr>
      <w:tr w14:paraId="39F3D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40" w:type="dxa"/>
            <w:vMerge w:val="continue"/>
            <w:vAlign w:val="center"/>
          </w:tcPr>
          <w:p w14:paraId="43D3CBE2">
            <w:pPr>
              <w:jc w:val="left"/>
              <w:rPr>
                <w:rFonts w:hint="eastAsia" w:ascii="宋体" w:hAnsi="宋体" w:eastAsia="宋体" w:cs="宋体"/>
                <w:b/>
                <w:bCs/>
                <w:color w:val="auto"/>
                <w:kern w:val="0"/>
                <w:sz w:val="24"/>
                <w:szCs w:val="24"/>
                <w:highlight w:val="none"/>
              </w:rPr>
            </w:pPr>
          </w:p>
        </w:tc>
        <w:tc>
          <w:tcPr>
            <w:tcW w:w="719" w:type="dxa"/>
            <w:vAlign w:val="center"/>
          </w:tcPr>
          <w:p w14:paraId="4596A853">
            <w:pPr>
              <w:numPr>
                <w:ilvl w:val="0"/>
                <w:numId w:val="8"/>
              </w:numPr>
              <w:ind w:left="454" w:hanging="454"/>
              <w:jc w:val="center"/>
              <w:rPr>
                <w:rFonts w:hint="eastAsia" w:ascii="宋体" w:hAnsi="宋体" w:eastAsia="宋体" w:cs="宋体"/>
                <w:color w:val="auto"/>
                <w:kern w:val="0"/>
                <w:sz w:val="24"/>
                <w:szCs w:val="24"/>
                <w:highlight w:val="none"/>
                <w:lang w:eastAsia="zh-CN"/>
              </w:rPr>
            </w:pPr>
          </w:p>
        </w:tc>
        <w:tc>
          <w:tcPr>
            <w:tcW w:w="1419" w:type="dxa"/>
            <w:vAlign w:val="center"/>
          </w:tcPr>
          <w:p w14:paraId="02F0A767">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雪糕桶</w:t>
            </w:r>
          </w:p>
        </w:tc>
        <w:tc>
          <w:tcPr>
            <w:tcW w:w="2271" w:type="dxa"/>
            <w:vAlign w:val="center"/>
          </w:tcPr>
          <w:p w14:paraId="32138979">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印制公园中心统一LOG0</w:t>
            </w:r>
          </w:p>
        </w:tc>
        <w:tc>
          <w:tcPr>
            <w:tcW w:w="982" w:type="dxa"/>
            <w:vAlign w:val="center"/>
          </w:tcPr>
          <w:p w14:paraId="33005ECA">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20</w:t>
            </w:r>
          </w:p>
        </w:tc>
        <w:tc>
          <w:tcPr>
            <w:tcW w:w="1132" w:type="dxa"/>
            <w:vAlign w:val="center"/>
          </w:tcPr>
          <w:p w14:paraId="2582EF5E">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158B9EB8">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696" w:type="dxa"/>
            <w:vAlign w:val="center"/>
          </w:tcPr>
          <w:p w14:paraId="1A7A3055">
            <w:pPr>
              <w:jc w:val="center"/>
              <w:rPr>
                <w:rFonts w:hint="eastAsia" w:ascii="宋体" w:hAnsi="宋体" w:eastAsia="宋体" w:cs="宋体"/>
                <w:color w:val="auto"/>
                <w:kern w:val="0"/>
                <w:sz w:val="24"/>
                <w:szCs w:val="24"/>
                <w:highlight w:val="none"/>
              </w:rPr>
            </w:pPr>
          </w:p>
        </w:tc>
      </w:tr>
      <w:tr w14:paraId="53715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40" w:type="dxa"/>
            <w:vMerge w:val="continue"/>
            <w:vAlign w:val="center"/>
          </w:tcPr>
          <w:p w14:paraId="0ECAA3E9">
            <w:pPr>
              <w:jc w:val="left"/>
              <w:rPr>
                <w:rFonts w:hint="eastAsia" w:ascii="宋体" w:hAnsi="宋体" w:eastAsia="宋体" w:cs="宋体"/>
                <w:b/>
                <w:bCs/>
                <w:color w:val="auto"/>
                <w:kern w:val="0"/>
                <w:sz w:val="24"/>
                <w:szCs w:val="24"/>
                <w:highlight w:val="none"/>
              </w:rPr>
            </w:pPr>
          </w:p>
        </w:tc>
        <w:tc>
          <w:tcPr>
            <w:tcW w:w="719" w:type="dxa"/>
            <w:vAlign w:val="center"/>
          </w:tcPr>
          <w:p w14:paraId="631EF7D5">
            <w:pPr>
              <w:numPr>
                <w:ilvl w:val="0"/>
                <w:numId w:val="8"/>
              </w:numPr>
              <w:ind w:left="454" w:hanging="454"/>
              <w:jc w:val="center"/>
              <w:rPr>
                <w:rFonts w:hint="eastAsia" w:ascii="宋体" w:hAnsi="宋体" w:eastAsia="宋体" w:cs="宋体"/>
                <w:color w:val="auto"/>
                <w:kern w:val="0"/>
                <w:sz w:val="24"/>
                <w:szCs w:val="24"/>
                <w:highlight w:val="none"/>
                <w:lang w:eastAsia="zh-CN"/>
              </w:rPr>
            </w:pPr>
          </w:p>
        </w:tc>
        <w:tc>
          <w:tcPr>
            <w:tcW w:w="1419" w:type="dxa"/>
            <w:vAlign w:val="center"/>
          </w:tcPr>
          <w:p w14:paraId="42A963C4">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警戒带</w:t>
            </w:r>
          </w:p>
        </w:tc>
        <w:tc>
          <w:tcPr>
            <w:tcW w:w="2271" w:type="dxa"/>
            <w:vAlign w:val="center"/>
          </w:tcPr>
          <w:p w14:paraId="5D3CA87B">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rPr>
              <w:t>符合国家、行业标准</w:t>
            </w:r>
          </w:p>
        </w:tc>
        <w:tc>
          <w:tcPr>
            <w:tcW w:w="982" w:type="dxa"/>
            <w:vAlign w:val="center"/>
          </w:tcPr>
          <w:p w14:paraId="66D1F6B2">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20</w:t>
            </w:r>
          </w:p>
        </w:tc>
        <w:tc>
          <w:tcPr>
            <w:tcW w:w="1132" w:type="dxa"/>
            <w:vAlign w:val="center"/>
          </w:tcPr>
          <w:p w14:paraId="24295FAC">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72719048">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卷</w:t>
            </w:r>
          </w:p>
        </w:tc>
        <w:tc>
          <w:tcPr>
            <w:tcW w:w="1696" w:type="dxa"/>
            <w:vAlign w:val="center"/>
          </w:tcPr>
          <w:p w14:paraId="198E4C49">
            <w:pPr>
              <w:jc w:val="center"/>
              <w:rPr>
                <w:rFonts w:hint="eastAsia" w:ascii="宋体" w:hAnsi="宋体" w:eastAsia="宋体" w:cs="宋体"/>
                <w:color w:val="auto"/>
                <w:kern w:val="0"/>
                <w:sz w:val="24"/>
                <w:szCs w:val="24"/>
                <w:highlight w:val="none"/>
              </w:rPr>
            </w:pPr>
          </w:p>
        </w:tc>
      </w:tr>
      <w:tr w14:paraId="21961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40" w:type="dxa"/>
            <w:vMerge w:val="continue"/>
            <w:vAlign w:val="center"/>
          </w:tcPr>
          <w:p w14:paraId="5C5C4C84">
            <w:pPr>
              <w:jc w:val="left"/>
              <w:rPr>
                <w:rFonts w:hint="eastAsia" w:ascii="宋体" w:hAnsi="宋体" w:eastAsia="宋体" w:cs="宋体"/>
                <w:b/>
                <w:bCs/>
                <w:color w:val="auto"/>
                <w:kern w:val="0"/>
                <w:sz w:val="24"/>
                <w:szCs w:val="24"/>
                <w:highlight w:val="none"/>
              </w:rPr>
            </w:pPr>
          </w:p>
        </w:tc>
        <w:tc>
          <w:tcPr>
            <w:tcW w:w="719" w:type="dxa"/>
            <w:vAlign w:val="center"/>
          </w:tcPr>
          <w:p w14:paraId="168B8E14">
            <w:pPr>
              <w:numPr>
                <w:ilvl w:val="0"/>
                <w:numId w:val="8"/>
              </w:numPr>
              <w:ind w:left="454" w:hanging="454"/>
              <w:jc w:val="center"/>
              <w:rPr>
                <w:rFonts w:hint="eastAsia" w:ascii="宋体" w:hAnsi="宋体" w:eastAsia="宋体" w:cs="宋体"/>
                <w:color w:val="auto"/>
                <w:kern w:val="0"/>
                <w:sz w:val="24"/>
                <w:szCs w:val="24"/>
                <w:highlight w:val="none"/>
                <w:lang w:val="en-US" w:eastAsia="zh-CN"/>
              </w:rPr>
            </w:pPr>
          </w:p>
        </w:tc>
        <w:tc>
          <w:tcPr>
            <w:tcW w:w="1419" w:type="dxa"/>
            <w:vAlign w:val="center"/>
          </w:tcPr>
          <w:p w14:paraId="74BABCE1">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救生绳</w:t>
            </w:r>
          </w:p>
        </w:tc>
        <w:tc>
          <w:tcPr>
            <w:tcW w:w="2271" w:type="dxa"/>
            <w:vAlign w:val="center"/>
          </w:tcPr>
          <w:p w14:paraId="544FFAC8">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rPr>
              <w:t>符合国家、行业标准</w:t>
            </w:r>
          </w:p>
        </w:tc>
        <w:tc>
          <w:tcPr>
            <w:tcW w:w="982" w:type="dxa"/>
            <w:vAlign w:val="center"/>
          </w:tcPr>
          <w:p w14:paraId="1ACE2FDD">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200</w:t>
            </w:r>
          </w:p>
        </w:tc>
        <w:tc>
          <w:tcPr>
            <w:tcW w:w="1132" w:type="dxa"/>
            <w:vAlign w:val="center"/>
          </w:tcPr>
          <w:p w14:paraId="075F16DE">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746B566C">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米</w:t>
            </w:r>
          </w:p>
        </w:tc>
        <w:tc>
          <w:tcPr>
            <w:tcW w:w="1696" w:type="dxa"/>
            <w:vAlign w:val="center"/>
          </w:tcPr>
          <w:p w14:paraId="3E3855C2">
            <w:pPr>
              <w:jc w:val="center"/>
              <w:rPr>
                <w:rFonts w:hint="eastAsia" w:ascii="宋体" w:hAnsi="宋体" w:eastAsia="宋体" w:cs="宋体"/>
                <w:color w:val="auto"/>
                <w:kern w:val="0"/>
                <w:sz w:val="24"/>
                <w:szCs w:val="24"/>
                <w:highlight w:val="none"/>
              </w:rPr>
            </w:pPr>
          </w:p>
        </w:tc>
      </w:tr>
      <w:tr w14:paraId="2DC28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40" w:type="dxa"/>
            <w:vMerge w:val="continue"/>
            <w:vAlign w:val="center"/>
          </w:tcPr>
          <w:p w14:paraId="408237F0">
            <w:pPr>
              <w:jc w:val="left"/>
              <w:rPr>
                <w:rFonts w:hint="eastAsia" w:ascii="宋体" w:hAnsi="宋体" w:eastAsia="宋体" w:cs="宋体"/>
                <w:b/>
                <w:bCs/>
                <w:color w:val="auto"/>
                <w:kern w:val="0"/>
                <w:sz w:val="24"/>
                <w:szCs w:val="24"/>
                <w:highlight w:val="none"/>
              </w:rPr>
            </w:pPr>
          </w:p>
        </w:tc>
        <w:tc>
          <w:tcPr>
            <w:tcW w:w="719" w:type="dxa"/>
            <w:vAlign w:val="center"/>
          </w:tcPr>
          <w:p w14:paraId="1ADF2E7D">
            <w:pPr>
              <w:numPr>
                <w:ilvl w:val="0"/>
                <w:numId w:val="8"/>
              </w:numPr>
              <w:ind w:left="454" w:hanging="454"/>
              <w:jc w:val="center"/>
              <w:rPr>
                <w:rFonts w:hint="eastAsia" w:ascii="宋体" w:hAnsi="宋体" w:eastAsia="宋体" w:cs="宋体"/>
                <w:color w:val="auto"/>
                <w:kern w:val="0"/>
                <w:sz w:val="24"/>
                <w:szCs w:val="24"/>
                <w:highlight w:val="none"/>
                <w:lang w:val="en-US" w:eastAsia="zh-CN"/>
              </w:rPr>
            </w:pPr>
          </w:p>
        </w:tc>
        <w:tc>
          <w:tcPr>
            <w:tcW w:w="1419" w:type="dxa"/>
            <w:vAlign w:val="center"/>
          </w:tcPr>
          <w:p w14:paraId="110EAAE3">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救生衣</w:t>
            </w:r>
          </w:p>
        </w:tc>
        <w:tc>
          <w:tcPr>
            <w:tcW w:w="2271" w:type="dxa"/>
            <w:vAlign w:val="center"/>
          </w:tcPr>
          <w:p w14:paraId="590952C6">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rPr>
              <w:t>符合国家、行业标准</w:t>
            </w:r>
          </w:p>
        </w:tc>
        <w:tc>
          <w:tcPr>
            <w:tcW w:w="982" w:type="dxa"/>
            <w:vAlign w:val="center"/>
          </w:tcPr>
          <w:p w14:paraId="690322CD">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w:t>
            </w:r>
          </w:p>
        </w:tc>
        <w:tc>
          <w:tcPr>
            <w:tcW w:w="1132" w:type="dxa"/>
            <w:vAlign w:val="center"/>
          </w:tcPr>
          <w:p w14:paraId="4D430370">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740D2701">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件</w:t>
            </w:r>
          </w:p>
        </w:tc>
        <w:tc>
          <w:tcPr>
            <w:tcW w:w="1696" w:type="dxa"/>
            <w:vAlign w:val="center"/>
          </w:tcPr>
          <w:p w14:paraId="513091D9">
            <w:pPr>
              <w:jc w:val="center"/>
              <w:rPr>
                <w:rFonts w:hint="eastAsia" w:ascii="宋体" w:hAnsi="宋体" w:eastAsia="宋体" w:cs="宋体"/>
                <w:color w:val="auto"/>
                <w:kern w:val="0"/>
                <w:sz w:val="24"/>
                <w:szCs w:val="24"/>
                <w:highlight w:val="none"/>
              </w:rPr>
            </w:pPr>
          </w:p>
        </w:tc>
      </w:tr>
      <w:tr w14:paraId="5E7AD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40" w:type="dxa"/>
            <w:vMerge w:val="continue"/>
            <w:vAlign w:val="center"/>
          </w:tcPr>
          <w:p w14:paraId="22BDA92E">
            <w:pPr>
              <w:jc w:val="left"/>
              <w:rPr>
                <w:rFonts w:hint="eastAsia" w:ascii="宋体" w:hAnsi="宋体" w:eastAsia="宋体" w:cs="宋体"/>
                <w:b/>
                <w:bCs/>
                <w:color w:val="auto"/>
                <w:kern w:val="0"/>
                <w:sz w:val="24"/>
                <w:szCs w:val="24"/>
                <w:highlight w:val="none"/>
              </w:rPr>
            </w:pPr>
          </w:p>
        </w:tc>
        <w:tc>
          <w:tcPr>
            <w:tcW w:w="719" w:type="dxa"/>
            <w:vAlign w:val="center"/>
          </w:tcPr>
          <w:p w14:paraId="6EDDF8C2">
            <w:pPr>
              <w:numPr>
                <w:ilvl w:val="0"/>
                <w:numId w:val="8"/>
              </w:numPr>
              <w:ind w:left="454" w:hanging="454"/>
              <w:jc w:val="center"/>
              <w:rPr>
                <w:rFonts w:hint="eastAsia" w:ascii="宋体" w:hAnsi="宋体" w:eastAsia="宋体" w:cs="宋体"/>
                <w:color w:val="auto"/>
                <w:kern w:val="0"/>
                <w:sz w:val="24"/>
                <w:szCs w:val="24"/>
                <w:highlight w:val="none"/>
              </w:rPr>
            </w:pPr>
          </w:p>
        </w:tc>
        <w:tc>
          <w:tcPr>
            <w:tcW w:w="1419" w:type="dxa"/>
            <w:vAlign w:val="center"/>
          </w:tcPr>
          <w:p w14:paraId="49AAA68D">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救生圈</w:t>
            </w:r>
          </w:p>
        </w:tc>
        <w:tc>
          <w:tcPr>
            <w:tcW w:w="2271" w:type="dxa"/>
            <w:vAlign w:val="center"/>
          </w:tcPr>
          <w:p w14:paraId="6F7BBCE3">
            <w:pPr>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rPr>
              <w:t>符合国家、行业标准</w:t>
            </w:r>
          </w:p>
        </w:tc>
        <w:tc>
          <w:tcPr>
            <w:tcW w:w="982" w:type="dxa"/>
            <w:vAlign w:val="center"/>
          </w:tcPr>
          <w:p w14:paraId="3DB290D7">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8</w:t>
            </w:r>
          </w:p>
        </w:tc>
        <w:tc>
          <w:tcPr>
            <w:tcW w:w="1132" w:type="dxa"/>
            <w:vAlign w:val="center"/>
          </w:tcPr>
          <w:p w14:paraId="6E901A1A">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7A62FC61">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c>
          <w:tcPr>
            <w:tcW w:w="1696" w:type="dxa"/>
            <w:vAlign w:val="center"/>
          </w:tcPr>
          <w:p w14:paraId="06A0C3F8">
            <w:pPr>
              <w:jc w:val="center"/>
              <w:rPr>
                <w:rFonts w:hint="eastAsia" w:ascii="宋体" w:hAnsi="宋体" w:eastAsia="宋体" w:cs="宋体"/>
                <w:color w:val="auto"/>
                <w:kern w:val="0"/>
                <w:sz w:val="24"/>
                <w:szCs w:val="24"/>
                <w:highlight w:val="none"/>
              </w:rPr>
            </w:pPr>
          </w:p>
        </w:tc>
      </w:tr>
      <w:tr w14:paraId="07C02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40" w:type="dxa"/>
            <w:vMerge w:val="continue"/>
            <w:vAlign w:val="center"/>
          </w:tcPr>
          <w:p w14:paraId="61F8617C">
            <w:pPr>
              <w:jc w:val="left"/>
              <w:rPr>
                <w:rFonts w:hint="eastAsia" w:ascii="宋体" w:hAnsi="宋体" w:eastAsia="宋体" w:cs="宋体"/>
                <w:b/>
                <w:bCs/>
                <w:color w:val="auto"/>
                <w:kern w:val="0"/>
                <w:sz w:val="24"/>
                <w:szCs w:val="24"/>
                <w:highlight w:val="none"/>
              </w:rPr>
            </w:pPr>
          </w:p>
        </w:tc>
        <w:tc>
          <w:tcPr>
            <w:tcW w:w="719" w:type="dxa"/>
            <w:vAlign w:val="center"/>
          </w:tcPr>
          <w:p w14:paraId="523A0DB8">
            <w:pPr>
              <w:numPr>
                <w:ilvl w:val="0"/>
                <w:numId w:val="8"/>
              </w:numPr>
              <w:ind w:left="454" w:hanging="454"/>
              <w:jc w:val="center"/>
              <w:rPr>
                <w:rFonts w:hint="eastAsia" w:ascii="宋体" w:hAnsi="宋体" w:eastAsia="宋体" w:cs="宋体"/>
                <w:color w:val="auto"/>
                <w:kern w:val="0"/>
                <w:sz w:val="24"/>
                <w:szCs w:val="24"/>
                <w:highlight w:val="none"/>
              </w:rPr>
            </w:pPr>
          </w:p>
        </w:tc>
        <w:tc>
          <w:tcPr>
            <w:tcW w:w="1419" w:type="dxa"/>
            <w:vAlign w:val="center"/>
          </w:tcPr>
          <w:p w14:paraId="6947B9C5">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防汛沙袋</w:t>
            </w:r>
          </w:p>
        </w:tc>
        <w:tc>
          <w:tcPr>
            <w:tcW w:w="2271" w:type="dxa"/>
            <w:vAlign w:val="center"/>
          </w:tcPr>
          <w:p w14:paraId="7C1D8C8C">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印制公园中心统一LOG0</w:t>
            </w:r>
          </w:p>
        </w:tc>
        <w:tc>
          <w:tcPr>
            <w:tcW w:w="982" w:type="dxa"/>
            <w:vAlign w:val="center"/>
          </w:tcPr>
          <w:p w14:paraId="1A4B2222">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100</w:t>
            </w:r>
          </w:p>
        </w:tc>
        <w:tc>
          <w:tcPr>
            <w:tcW w:w="1132" w:type="dxa"/>
            <w:vAlign w:val="center"/>
          </w:tcPr>
          <w:p w14:paraId="41A9825D">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0639B175">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个</w:t>
            </w:r>
          </w:p>
        </w:tc>
        <w:tc>
          <w:tcPr>
            <w:tcW w:w="1696" w:type="dxa"/>
            <w:vAlign w:val="center"/>
          </w:tcPr>
          <w:p w14:paraId="494DC6AA">
            <w:pPr>
              <w:jc w:val="center"/>
              <w:rPr>
                <w:rFonts w:hint="eastAsia" w:ascii="宋体" w:hAnsi="宋体" w:eastAsia="宋体" w:cs="宋体"/>
                <w:color w:val="auto"/>
                <w:kern w:val="0"/>
                <w:sz w:val="24"/>
                <w:szCs w:val="24"/>
                <w:highlight w:val="none"/>
                <w:lang w:eastAsia="zh-CN"/>
              </w:rPr>
            </w:pPr>
          </w:p>
        </w:tc>
      </w:tr>
      <w:tr w14:paraId="4ECFD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840" w:type="dxa"/>
            <w:vMerge w:val="continue"/>
            <w:vAlign w:val="center"/>
          </w:tcPr>
          <w:p w14:paraId="7319F1EB">
            <w:pPr>
              <w:jc w:val="left"/>
              <w:rPr>
                <w:rFonts w:hint="eastAsia" w:ascii="宋体" w:hAnsi="宋体" w:eastAsia="宋体" w:cs="宋体"/>
                <w:b/>
                <w:bCs/>
                <w:color w:val="auto"/>
                <w:kern w:val="0"/>
                <w:sz w:val="24"/>
                <w:szCs w:val="24"/>
                <w:highlight w:val="none"/>
              </w:rPr>
            </w:pPr>
          </w:p>
        </w:tc>
        <w:tc>
          <w:tcPr>
            <w:tcW w:w="719" w:type="dxa"/>
            <w:vAlign w:val="center"/>
          </w:tcPr>
          <w:p w14:paraId="5D84FFDA">
            <w:pPr>
              <w:numPr>
                <w:ilvl w:val="0"/>
                <w:numId w:val="8"/>
              </w:numPr>
              <w:ind w:left="454" w:hanging="454"/>
              <w:jc w:val="center"/>
              <w:rPr>
                <w:rFonts w:hint="eastAsia" w:ascii="宋体" w:hAnsi="宋体" w:eastAsia="宋体" w:cs="宋体"/>
                <w:color w:val="auto"/>
                <w:kern w:val="0"/>
                <w:sz w:val="24"/>
                <w:szCs w:val="24"/>
                <w:highlight w:val="none"/>
              </w:rPr>
            </w:pPr>
          </w:p>
        </w:tc>
        <w:tc>
          <w:tcPr>
            <w:tcW w:w="1419" w:type="dxa"/>
            <w:vAlign w:val="center"/>
          </w:tcPr>
          <w:p w14:paraId="36567DDE">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消防水带</w:t>
            </w:r>
          </w:p>
        </w:tc>
        <w:tc>
          <w:tcPr>
            <w:tcW w:w="2271" w:type="dxa"/>
            <w:vAlign w:val="center"/>
          </w:tcPr>
          <w:p w14:paraId="548B9252">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规格为20-65-20，符合国家、行业标准，提供合格证，要求生产日期为提供产品时的当年年度</w:t>
            </w:r>
          </w:p>
        </w:tc>
        <w:tc>
          <w:tcPr>
            <w:tcW w:w="982" w:type="dxa"/>
            <w:vAlign w:val="center"/>
          </w:tcPr>
          <w:p w14:paraId="6DB4AEC2">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20</w:t>
            </w:r>
          </w:p>
        </w:tc>
        <w:tc>
          <w:tcPr>
            <w:tcW w:w="1132" w:type="dxa"/>
            <w:vAlign w:val="center"/>
          </w:tcPr>
          <w:p w14:paraId="67EDA67A">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0BB757D6">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条</w:t>
            </w:r>
          </w:p>
        </w:tc>
        <w:tc>
          <w:tcPr>
            <w:tcW w:w="1696" w:type="dxa"/>
            <w:vAlign w:val="center"/>
          </w:tcPr>
          <w:p w14:paraId="5A628786">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防汛、防台</w:t>
            </w:r>
          </w:p>
        </w:tc>
      </w:tr>
      <w:tr w14:paraId="3C3E9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40" w:type="dxa"/>
            <w:vMerge w:val="continue"/>
            <w:vAlign w:val="center"/>
          </w:tcPr>
          <w:p w14:paraId="3A328D77">
            <w:pPr>
              <w:jc w:val="left"/>
              <w:rPr>
                <w:rFonts w:hint="eastAsia" w:ascii="宋体" w:hAnsi="宋体" w:eastAsia="宋体" w:cs="宋体"/>
                <w:b/>
                <w:bCs/>
                <w:color w:val="auto"/>
                <w:kern w:val="0"/>
                <w:sz w:val="24"/>
                <w:szCs w:val="24"/>
                <w:highlight w:val="none"/>
              </w:rPr>
            </w:pPr>
          </w:p>
        </w:tc>
        <w:tc>
          <w:tcPr>
            <w:tcW w:w="719" w:type="dxa"/>
            <w:vAlign w:val="center"/>
          </w:tcPr>
          <w:p w14:paraId="736A9899">
            <w:pPr>
              <w:numPr>
                <w:ilvl w:val="0"/>
                <w:numId w:val="8"/>
              </w:numPr>
              <w:ind w:left="454" w:hanging="454"/>
              <w:jc w:val="center"/>
              <w:rPr>
                <w:rFonts w:hint="eastAsia" w:ascii="宋体" w:hAnsi="宋体" w:eastAsia="宋体" w:cs="宋体"/>
                <w:color w:val="auto"/>
                <w:kern w:val="0"/>
                <w:sz w:val="24"/>
                <w:szCs w:val="24"/>
                <w:highlight w:val="none"/>
              </w:rPr>
            </w:pPr>
          </w:p>
        </w:tc>
        <w:tc>
          <w:tcPr>
            <w:tcW w:w="1419" w:type="dxa"/>
            <w:vAlign w:val="center"/>
          </w:tcPr>
          <w:p w14:paraId="7AAC5FB2">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分体式雨衣</w:t>
            </w:r>
          </w:p>
        </w:tc>
        <w:tc>
          <w:tcPr>
            <w:tcW w:w="2271" w:type="dxa"/>
            <w:vAlign w:val="center"/>
          </w:tcPr>
          <w:p w14:paraId="56FCBC72">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印制公园中心统一LOG0</w:t>
            </w:r>
          </w:p>
        </w:tc>
        <w:tc>
          <w:tcPr>
            <w:tcW w:w="982" w:type="dxa"/>
            <w:vAlign w:val="center"/>
          </w:tcPr>
          <w:p w14:paraId="5392A41D">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w:t>
            </w:r>
          </w:p>
        </w:tc>
        <w:tc>
          <w:tcPr>
            <w:tcW w:w="1132" w:type="dxa"/>
            <w:vAlign w:val="center"/>
          </w:tcPr>
          <w:p w14:paraId="2E87DA0C">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0C4AC024">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套</w:t>
            </w:r>
          </w:p>
        </w:tc>
        <w:tc>
          <w:tcPr>
            <w:tcW w:w="1696" w:type="dxa"/>
            <w:vAlign w:val="center"/>
          </w:tcPr>
          <w:p w14:paraId="5D1C8FD3">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按应急队伍实际人数配备</w:t>
            </w:r>
          </w:p>
        </w:tc>
      </w:tr>
      <w:tr w14:paraId="74496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40" w:type="dxa"/>
            <w:vMerge w:val="continue"/>
            <w:vAlign w:val="center"/>
          </w:tcPr>
          <w:p w14:paraId="0B736420">
            <w:pPr>
              <w:jc w:val="left"/>
              <w:rPr>
                <w:rFonts w:hint="eastAsia" w:ascii="宋体" w:hAnsi="宋体" w:eastAsia="宋体" w:cs="宋体"/>
                <w:b/>
                <w:bCs/>
                <w:color w:val="auto"/>
                <w:kern w:val="0"/>
                <w:sz w:val="24"/>
                <w:szCs w:val="24"/>
                <w:highlight w:val="none"/>
              </w:rPr>
            </w:pPr>
          </w:p>
        </w:tc>
        <w:tc>
          <w:tcPr>
            <w:tcW w:w="719" w:type="dxa"/>
            <w:vAlign w:val="center"/>
          </w:tcPr>
          <w:p w14:paraId="3E071D4C">
            <w:pPr>
              <w:numPr>
                <w:ilvl w:val="0"/>
                <w:numId w:val="8"/>
              </w:numPr>
              <w:ind w:left="454" w:hanging="454"/>
              <w:jc w:val="center"/>
              <w:rPr>
                <w:rFonts w:hint="eastAsia" w:ascii="宋体" w:hAnsi="宋体" w:eastAsia="宋体" w:cs="宋体"/>
                <w:color w:val="auto"/>
                <w:kern w:val="0"/>
                <w:sz w:val="24"/>
                <w:szCs w:val="24"/>
                <w:highlight w:val="none"/>
                <w:lang w:val="en-US" w:eastAsia="zh-CN"/>
              </w:rPr>
            </w:pPr>
          </w:p>
        </w:tc>
        <w:tc>
          <w:tcPr>
            <w:tcW w:w="1419" w:type="dxa"/>
            <w:vAlign w:val="center"/>
          </w:tcPr>
          <w:p w14:paraId="4E3A8462">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雨鞋</w:t>
            </w:r>
          </w:p>
        </w:tc>
        <w:tc>
          <w:tcPr>
            <w:tcW w:w="2271" w:type="dxa"/>
            <w:vAlign w:val="center"/>
          </w:tcPr>
          <w:p w14:paraId="185FA6A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印制公园中心统一LOG0</w:t>
            </w:r>
          </w:p>
        </w:tc>
        <w:tc>
          <w:tcPr>
            <w:tcW w:w="982" w:type="dxa"/>
            <w:vAlign w:val="center"/>
          </w:tcPr>
          <w:p w14:paraId="4769E73E">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w:t>
            </w:r>
          </w:p>
        </w:tc>
        <w:tc>
          <w:tcPr>
            <w:tcW w:w="1132" w:type="dxa"/>
            <w:vAlign w:val="center"/>
          </w:tcPr>
          <w:p w14:paraId="3E59D777">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48F0DEC0">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双</w:t>
            </w:r>
          </w:p>
        </w:tc>
        <w:tc>
          <w:tcPr>
            <w:tcW w:w="1696" w:type="dxa"/>
            <w:vAlign w:val="center"/>
          </w:tcPr>
          <w:p w14:paraId="593B2AD6">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按应急队伍实际人数配备</w:t>
            </w:r>
          </w:p>
        </w:tc>
      </w:tr>
      <w:tr w14:paraId="2492F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40" w:type="dxa"/>
            <w:vMerge w:val="continue"/>
            <w:vAlign w:val="center"/>
          </w:tcPr>
          <w:p w14:paraId="1A79AA64">
            <w:pPr>
              <w:jc w:val="left"/>
              <w:rPr>
                <w:rFonts w:hint="eastAsia" w:ascii="宋体" w:hAnsi="宋体" w:eastAsia="宋体" w:cs="宋体"/>
                <w:b/>
                <w:bCs/>
                <w:color w:val="auto"/>
                <w:kern w:val="0"/>
                <w:sz w:val="24"/>
                <w:szCs w:val="24"/>
                <w:highlight w:val="none"/>
              </w:rPr>
            </w:pPr>
          </w:p>
        </w:tc>
        <w:tc>
          <w:tcPr>
            <w:tcW w:w="719" w:type="dxa"/>
            <w:vAlign w:val="center"/>
          </w:tcPr>
          <w:p w14:paraId="756B2CCE">
            <w:pPr>
              <w:numPr>
                <w:ilvl w:val="0"/>
                <w:numId w:val="8"/>
              </w:numPr>
              <w:ind w:left="454" w:hanging="454"/>
              <w:jc w:val="center"/>
              <w:rPr>
                <w:rFonts w:hint="eastAsia" w:ascii="宋体" w:hAnsi="宋体" w:eastAsia="宋体" w:cs="宋体"/>
                <w:color w:val="auto"/>
                <w:kern w:val="0"/>
                <w:sz w:val="24"/>
                <w:szCs w:val="24"/>
                <w:highlight w:val="none"/>
                <w:lang w:val="en-US" w:eastAsia="zh-CN"/>
              </w:rPr>
            </w:pPr>
          </w:p>
        </w:tc>
        <w:tc>
          <w:tcPr>
            <w:tcW w:w="1419" w:type="dxa"/>
            <w:vAlign w:val="center"/>
          </w:tcPr>
          <w:p w14:paraId="23453B9F">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消防柜及配套物资</w:t>
            </w:r>
          </w:p>
        </w:tc>
        <w:tc>
          <w:tcPr>
            <w:tcW w:w="2271" w:type="dxa"/>
            <w:vAlign w:val="center"/>
          </w:tcPr>
          <w:p w14:paraId="6668157D">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highlight w:val="none"/>
              </w:rPr>
              <w:t>符合国家、行业标准</w:t>
            </w:r>
          </w:p>
        </w:tc>
        <w:tc>
          <w:tcPr>
            <w:tcW w:w="982" w:type="dxa"/>
            <w:vAlign w:val="center"/>
          </w:tcPr>
          <w:p w14:paraId="3B94E7A5">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2</w:t>
            </w:r>
          </w:p>
        </w:tc>
        <w:tc>
          <w:tcPr>
            <w:tcW w:w="1132" w:type="dxa"/>
            <w:vAlign w:val="center"/>
          </w:tcPr>
          <w:p w14:paraId="2A0F627D">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00161D0C">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个</w:t>
            </w:r>
          </w:p>
        </w:tc>
        <w:tc>
          <w:tcPr>
            <w:tcW w:w="1696" w:type="dxa"/>
            <w:vAlign w:val="center"/>
          </w:tcPr>
          <w:p w14:paraId="68E86783">
            <w:pPr>
              <w:jc w:val="center"/>
              <w:rPr>
                <w:rFonts w:hint="eastAsia" w:ascii="宋体" w:hAnsi="宋体" w:eastAsia="宋体" w:cs="宋体"/>
                <w:color w:val="auto"/>
                <w:kern w:val="0"/>
                <w:sz w:val="24"/>
                <w:szCs w:val="24"/>
                <w:highlight w:val="none"/>
                <w:lang w:eastAsia="zh-CN"/>
              </w:rPr>
            </w:pPr>
          </w:p>
        </w:tc>
      </w:tr>
      <w:tr w14:paraId="68DCA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40" w:type="dxa"/>
            <w:vMerge w:val="continue"/>
            <w:vAlign w:val="center"/>
          </w:tcPr>
          <w:p w14:paraId="7700A8F1">
            <w:pPr>
              <w:jc w:val="left"/>
              <w:rPr>
                <w:rFonts w:hint="eastAsia" w:ascii="宋体" w:hAnsi="宋体" w:eastAsia="宋体" w:cs="宋体"/>
                <w:b/>
                <w:bCs/>
                <w:color w:val="auto"/>
                <w:kern w:val="0"/>
                <w:sz w:val="24"/>
                <w:szCs w:val="24"/>
                <w:highlight w:val="none"/>
              </w:rPr>
            </w:pPr>
          </w:p>
        </w:tc>
        <w:tc>
          <w:tcPr>
            <w:tcW w:w="719" w:type="dxa"/>
            <w:vAlign w:val="center"/>
          </w:tcPr>
          <w:p w14:paraId="7D6FF3F3">
            <w:pPr>
              <w:numPr>
                <w:ilvl w:val="0"/>
                <w:numId w:val="8"/>
              </w:numPr>
              <w:ind w:left="454" w:hanging="454"/>
              <w:jc w:val="center"/>
              <w:rPr>
                <w:rFonts w:hint="eastAsia" w:ascii="宋体" w:hAnsi="宋体" w:eastAsia="宋体" w:cs="宋体"/>
                <w:color w:val="auto"/>
                <w:kern w:val="0"/>
                <w:sz w:val="24"/>
                <w:szCs w:val="24"/>
                <w:highlight w:val="none"/>
                <w:lang w:val="en-US" w:eastAsia="zh-CN"/>
              </w:rPr>
            </w:pPr>
          </w:p>
        </w:tc>
        <w:tc>
          <w:tcPr>
            <w:tcW w:w="1419" w:type="dxa"/>
            <w:vAlign w:val="center"/>
          </w:tcPr>
          <w:p w14:paraId="46D67AED">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防爆柜及配备物资</w:t>
            </w:r>
          </w:p>
        </w:tc>
        <w:tc>
          <w:tcPr>
            <w:tcW w:w="2271" w:type="dxa"/>
            <w:vAlign w:val="center"/>
          </w:tcPr>
          <w:p w14:paraId="3799B80C">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highlight w:val="none"/>
              </w:rPr>
              <w:t>符合国家、行业标准</w:t>
            </w:r>
          </w:p>
        </w:tc>
        <w:tc>
          <w:tcPr>
            <w:tcW w:w="982" w:type="dxa"/>
            <w:vAlign w:val="center"/>
          </w:tcPr>
          <w:p w14:paraId="696C118A">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2</w:t>
            </w:r>
          </w:p>
        </w:tc>
        <w:tc>
          <w:tcPr>
            <w:tcW w:w="1132" w:type="dxa"/>
            <w:vAlign w:val="center"/>
          </w:tcPr>
          <w:p w14:paraId="457DED1D">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26E82CD4">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个</w:t>
            </w:r>
          </w:p>
        </w:tc>
        <w:tc>
          <w:tcPr>
            <w:tcW w:w="1696" w:type="dxa"/>
            <w:vAlign w:val="center"/>
          </w:tcPr>
          <w:p w14:paraId="689D40C4">
            <w:pPr>
              <w:jc w:val="center"/>
              <w:rPr>
                <w:rFonts w:hint="eastAsia" w:ascii="宋体" w:hAnsi="宋体" w:eastAsia="宋体" w:cs="宋体"/>
                <w:color w:val="auto"/>
                <w:kern w:val="0"/>
                <w:sz w:val="24"/>
                <w:szCs w:val="24"/>
                <w:highlight w:val="none"/>
                <w:lang w:eastAsia="zh-CN"/>
              </w:rPr>
            </w:pPr>
          </w:p>
        </w:tc>
      </w:tr>
      <w:tr w14:paraId="7E76E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40" w:type="dxa"/>
            <w:vMerge w:val="continue"/>
            <w:vAlign w:val="center"/>
          </w:tcPr>
          <w:p w14:paraId="587F8EAC">
            <w:pPr>
              <w:jc w:val="left"/>
              <w:rPr>
                <w:rFonts w:hint="eastAsia" w:ascii="宋体" w:hAnsi="宋体" w:eastAsia="宋体" w:cs="宋体"/>
                <w:b/>
                <w:bCs/>
                <w:color w:val="auto"/>
                <w:kern w:val="0"/>
                <w:sz w:val="24"/>
                <w:szCs w:val="24"/>
                <w:highlight w:val="none"/>
              </w:rPr>
            </w:pPr>
          </w:p>
        </w:tc>
        <w:tc>
          <w:tcPr>
            <w:tcW w:w="719" w:type="dxa"/>
            <w:vAlign w:val="center"/>
          </w:tcPr>
          <w:p w14:paraId="621212D9">
            <w:pPr>
              <w:numPr>
                <w:ilvl w:val="0"/>
                <w:numId w:val="8"/>
              </w:numPr>
              <w:ind w:left="454" w:hanging="454"/>
              <w:jc w:val="center"/>
              <w:rPr>
                <w:rFonts w:hint="eastAsia" w:ascii="宋体" w:hAnsi="宋体" w:eastAsia="宋体" w:cs="宋体"/>
                <w:color w:val="auto"/>
                <w:kern w:val="0"/>
                <w:sz w:val="24"/>
                <w:szCs w:val="24"/>
                <w:highlight w:val="none"/>
                <w:lang w:val="en-US" w:eastAsia="zh-CN"/>
              </w:rPr>
            </w:pPr>
          </w:p>
        </w:tc>
        <w:tc>
          <w:tcPr>
            <w:tcW w:w="1419" w:type="dxa"/>
            <w:vAlign w:val="center"/>
          </w:tcPr>
          <w:p w14:paraId="2FB79238">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捕狗网</w:t>
            </w:r>
          </w:p>
        </w:tc>
        <w:tc>
          <w:tcPr>
            <w:tcW w:w="2271" w:type="dxa"/>
            <w:vAlign w:val="center"/>
          </w:tcPr>
          <w:p w14:paraId="26AA4B78">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highlight w:val="none"/>
              </w:rPr>
              <w:t>符合国家、行业标准</w:t>
            </w:r>
          </w:p>
        </w:tc>
        <w:tc>
          <w:tcPr>
            <w:tcW w:w="982" w:type="dxa"/>
            <w:vAlign w:val="center"/>
          </w:tcPr>
          <w:p w14:paraId="3C65B893">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1132" w:type="dxa"/>
            <w:vAlign w:val="center"/>
          </w:tcPr>
          <w:p w14:paraId="36A76079">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06C08F7F">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个</w:t>
            </w:r>
          </w:p>
        </w:tc>
        <w:tc>
          <w:tcPr>
            <w:tcW w:w="1696" w:type="dxa"/>
            <w:vAlign w:val="center"/>
          </w:tcPr>
          <w:p w14:paraId="75BB8022">
            <w:pPr>
              <w:jc w:val="center"/>
              <w:rPr>
                <w:rFonts w:hint="eastAsia" w:ascii="宋体" w:hAnsi="宋体" w:eastAsia="宋体" w:cs="宋体"/>
                <w:color w:val="auto"/>
                <w:kern w:val="0"/>
                <w:sz w:val="24"/>
                <w:szCs w:val="24"/>
                <w:highlight w:val="none"/>
                <w:lang w:eastAsia="zh-CN"/>
              </w:rPr>
            </w:pPr>
          </w:p>
        </w:tc>
      </w:tr>
      <w:tr w14:paraId="31D0F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40" w:type="dxa"/>
            <w:vMerge w:val="continue"/>
            <w:vAlign w:val="center"/>
          </w:tcPr>
          <w:p w14:paraId="182AA921">
            <w:pPr>
              <w:jc w:val="left"/>
              <w:rPr>
                <w:rFonts w:hint="eastAsia" w:ascii="宋体" w:hAnsi="宋体" w:eastAsia="宋体" w:cs="宋体"/>
                <w:b/>
                <w:bCs/>
                <w:color w:val="auto"/>
                <w:kern w:val="0"/>
                <w:sz w:val="24"/>
                <w:szCs w:val="24"/>
                <w:highlight w:val="none"/>
              </w:rPr>
            </w:pPr>
          </w:p>
        </w:tc>
        <w:tc>
          <w:tcPr>
            <w:tcW w:w="719" w:type="dxa"/>
            <w:vAlign w:val="center"/>
          </w:tcPr>
          <w:p w14:paraId="5913143D">
            <w:pPr>
              <w:numPr>
                <w:ilvl w:val="0"/>
                <w:numId w:val="8"/>
              </w:numPr>
              <w:ind w:left="454" w:hanging="454"/>
              <w:jc w:val="center"/>
              <w:rPr>
                <w:rFonts w:hint="eastAsia" w:ascii="宋体" w:hAnsi="宋体" w:eastAsia="宋体" w:cs="宋体"/>
                <w:color w:val="auto"/>
                <w:kern w:val="0"/>
                <w:sz w:val="24"/>
                <w:szCs w:val="24"/>
                <w:highlight w:val="none"/>
                <w:lang w:val="en-US" w:eastAsia="zh-CN"/>
              </w:rPr>
            </w:pPr>
          </w:p>
        </w:tc>
        <w:tc>
          <w:tcPr>
            <w:tcW w:w="1419" w:type="dxa"/>
            <w:vAlign w:val="center"/>
          </w:tcPr>
          <w:p w14:paraId="186787C7">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心肺复苏假人</w:t>
            </w:r>
          </w:p>
        </w:tc>
        <w:tc>
          <w:tcPr>
            <w:tcW w:w="2271" w:type="dxa"/>
            <w:vAlign w:val="center"/>
          </w:tcPr>
          <w:p w14:paraId="126465A1">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highlight w:val="none"/>
              </w:rPr>
              <w:t>符合国家、行业标准</w:t>
            </w:r>
          </w:p>
        </w:tc>
        <w:tc>
          <w:tcPr>
            <w:tcW w:w="982" w:type="dxa"/>
            <w:vAlign w:val="center"/>
          </w:tcPr>
          <w:p w14:paraId="316F6AD4">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1132" w:type="dxa"/>
            <w:vAlign w:val="center"/>
          </w:tcPr>
          <w:p w14:paraId="7123DA0A">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03A88EEC">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个</w:t>
            </w:r>
          </w:p>
        </w:tc>
        <w:tc>
          <w:tcPr>
            <w:tcW w:w="1696" w:type="dxa"/>
            <w:vAlign w:val="center"/>
          </w:tcPr>
          <w:p w14:paraId="3428F6D2">
            <w:pPr>
              <w:jc w:val="center"/>
              <w:rPr>
                <w:rFonts w:hint="eastAsia" w:ascii="宋体" w:hAnsi="宋体" w:eastAsia="宋体" w:cs="宋体"/>
                <w:color w:val="auto"/>
                <w:kern w:val="0"/>
                <w:sz w:val="24"/>
                <w:szCs w:val="24"/>
                <w:highlight w:val="none"/>
                <w:lang w:eastAsia="zh-CN"/>
              </w:rPr>
            </w:pPr>
          </w:p>
        </w:tc>
      </w:tr>
      <w:tr w14:paraId="72E7A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40" w:type="dxa"/>
            <w:vMerge w:val="continue"/>
            <w:vAlign w:val="center"/>
          </w:tcPr>
          <w:p w14:paraId="20091D95">
            <w:pPr>
              <w:jc w:val="left"/>
              <w:rPr>
                <w:rFonts w:hint="eastAsia" w:ascii="宋体" w:hAnsi="宋体" w:eastAsia="宋体" w:cs="宋体"/>
                <w:b/>
                <w:bCs/>
                <w:color w:val="auto"/>
                <w:kern w:val="0"/>
                <w:sz w:val="24"/>
                <w:szCs w:val="24"/>
                <w:highlight w:val="none"/>
              </w:rPr>
            </w:pPr>
          </w:p>
        </w:tc>
        <w:tc>
          <w:tcPr>
            <w:tcW w:w="719" w:type="dxa"/>
            <w:vAlign w:val="center"/>
          </w:tcPr>
          <w:p w14:paraId="6DA2895E">
            <w:pPr>
              <w:numPr>
                <w:ilvl w:val="0"/>
                <w:numId w:val="8"/>
              </w:numPr>
              <w:ind w:left="454" w:hanging="454"/>
              <w:jc w:val="center"/>
              <w:rPr>
                <w:rFonts w:hint="eastAsia" w:ascii="宋体" w:hAnsi="宋体" w:eastAsia="宋体" w:cs="宋体"/>
                <w:color w:val="auto"/>
                <w:kern w:val="0"/>
                <w:sz w:val="24"/>
                <w:szCs w:val="24"/>
                <w:highlight w:val="none"/>
                <w:lang w:val="en-US" w:eastAsia="zh-CN"/>
              </w:rPr>
            </w:pPr>
          </w:p>
        </w:tc>
        <w:tc>
          <w:tcPr>
            <w:tcW w:w="1419" w:type="dxa"/>
            <w:vAlign w:val="center"/>
          </w:tcPr>
          <w:p w14:paraId="280FC3A9">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应急药品</w:t>
            </w:r>
          </w:p>
        </w:tc>
        <w:tc>
          <w:tcPr>
            <w:tcW w:w="2271" w:type="dxa"/>
            <w:vAlign w:val="center"/>
          </w:tcPr>
          <w:p w14:paraId="39D6EA2F">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包含日常应急使用药品</w:t>
            </w:r>
          </w:p>
        </w:tc>
        <w:tc>
          <w:tcPr>
            <w:tcW w:w="982" w:type="dxa"/>
            <w:vAlign w:val="center"/>
          </w:tcPr>
          <w:p w14:paraId="257B3B13">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5</w:t>
            </w:r>
          </w:p>
        </w:tc>
        <w:tc>
          <w:tcPr>
            <w:tcW w:w="1132" w:type="dxa"/>
            <w:vAlign w:val="center"/>
          </w:tcPr>
          <w:p w14:paraId="7E1564BC">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16A00938">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套</w:t>
            </w:r>
          </w:p>
        </w:tc>
        <w:tc>
          <w:tcPr>
            <w:tcW w:w="1696" w:type="dxa"/>
            <w:vAlign w:val="center"/>
          </w:tcPr>
          <w:p w14:paraId="0344CBB7">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伤口简易包扎</w:t>
            </w:r>
          </w:p>
        </w:tc>
      </w:tr>
      <w:tr w14:paraId="05746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40" w:type="dxa"/>
            <w:vMerge w:val="continue"/>
            <w:vAlign w:val="center"/>
          </w:tcPr>
          <w:p w14:paraId="44C0A2F0">
            <w:pPr>
              <w:jc w:val="left"/>
              <w:rPr>
                <w:rFonts w:hint="eastAsia" w:ascii="宋体" w:hAnsi="宋体" w:eastAsia="宋体" w:cs="宋体"/>
                <w:b/>
                <w:bCs/>
                <w:color w:val="auto"/>
                <w:kern w:val="0"/>
                <w:sz w:val="24"/>
                <w:szCs w:val="24"/>
                <w:highlight w:val="none"/>
              </w:rPr>
            </w:pPr>
          </w:p>
        </w:tc>
        <w:tc>
          <w:tcPr>
            <w:tcW w:w="719" w:type="dxa"/>
            <w:vAlign w:val="center"/>
          </w:tcPr>
          <w:p w14:paraId="52A3FF64">
            <w:pPr>
              <w:numPr>
                <w:ilvl w:val="0"/>
                <w:numId w:val="8"/>
              </w:numPr>
              <w:ind w:left="454" w:hanging="454"/>
              <w:jc w:val="center"/>
              <w:rPr>
                <w:rFonts w:hint="eastAsia" w:ascii="宋体" w:hAnsi="宋体" w:eastAsia="宋体" w:cs="宋体"/>
                <w:color w:val="auto"/>
                <w:kern w:val="0"/>
                <w:sz w:val="24"/>
                <w:szCs w:val="24"/>
                <w:highlight w:val="none"/>
                <w:lang w:val="en-US" w:eastAsia="zh-CN"/>
              </w:rPr>
            </w:pPr>
          </w:p>
        </w:tc>
        <w:tc>
          <w:tcPr>
            <w:tcW w:w="1419" w:type="dxa"/>
            <w:vAlign w:val="center"/>
          </w:tcPr>
          <w:p w14:paraId="6A8932F5">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规章制度牌</w:t>
            </w:r>
          </w:p>
        </w:tc>
        <w:tc>
          <w:tcPr>
            <w:tcW w:w="2271" w:type="dxa"/>
            <w:vAlign w:val="center"/>
          </w:tcPr>
          <w:p w14:paraId="63C59059">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highlight w:val="none"/>
              </w:rPr>
              <w:t>符合国家、行业标准</w:t>
            </w:r>
          </w:p>
        </w:tc>
        <w:tc>
          <w:tcPr>
            <w:tcW w:w="982" w:type="dxa"/>
            <w:vAlign w:val="center"/>
          </w:tcPr>
          <w:p w14:paraId="25062CA9">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6</w:t>
            </w:r>
          </w:p>
        </w:tc>
        <w:tc>
          <w:tcPr>
            <w:tcW w:w="1132" w:type="dxa"/>
            <w:vAlign w:val="center"/>
          </w:tcPr>
          <w:p w14:paraId="11E76B00">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614C9A81">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块</w:t>
            </w:r>
          </w:p>
        </w:tc>
        <w:tc>
          <w:tcPr>
            <w:tcW w:w="1696" w:type="dxa"/>
            <w:vAlign w:val="center"/>
          </w:tcPr>
          <w:p w14:paraId="258DF50A">
            <w:pPr>
              <w:jc w:val="center"/>
              <w:rPr>
                <w:rFonts w:hint="eastAsia" w:ascii="宋体" w:hAnsi="宋体" w:eastAsia="宋体" w:cs="宋体"/>
                <w:color w:val="auto"/>
                <w:kern w:val="0"/>
                <w:sz w:val="24"/>
                <w:szCs w:val="24"/>
                <w:highlight w:val="none"/>
                <w:lang w:eastAsia="zh-CN"/>
              </w:rPr>
            </w:pPr>
          </w:p>
        </w:tc>
      </w:tr>
      <w:tr w14:paraId="5738B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40" w:type="dxa"/>
            <w:vMerge w:val="continue"/>
            <w:vAlign w:val="center"/>
          </w:tcPr>
          <w:p w14:paraId="2D9F1DCA">
            <w:pPr>
              <w:jc w:val="left"/>
              <w:rPr>
                <w:rFonts w:hint="eastAsia" w:ascii="宋体" w:hAnsi="宋体" w:eastAsia="宋体" w:cs="宋体"/>
                <w:b/>
                <w:bCs/>
                <w:color w:val="auto"/>
                <w:kern w:val="0"/>
                <w:sz w:val="24"/>
                <w:szCs w:val="24"/>
                <w:highlight w:val="none"/>
              </w:rPr>
            </w:pPr>
          </w:p>
        </w:tc>
        <w:tc>
          <w:tcPr>
            <w:tcW w:w="719" w:type="dxa"/>
            <w:vAlign w:val="center"/>
          </w:tcPr>
          <w:p w14:paraId="3DF3923B">
            <w:pPr>
              <w:numPr>
                <w:ilvl w:val="0"/>
                <w:numId w:val="8"/>
              </w:numPr>
              <w:ind w:left="454" w:hanging="454"/>
              <w:jc w:val="center"/>
              <w:rPr>
                <w:rFonts w:hint="eastAsia" w:ascii="宋体" w:hAnsi="宋体" w:eastAsia="宋体" w:cs="宋体"/>
                <w:color w:val="auto"/>
                <w:kern w:val="0"/>
                <w:sz w:val="24"/>
                <w:szCs w:val="24"/>
                <w:highlight w:val="none"/>
                <w:lang w:val="en-US" w:eastAsia="zh-CN"/>
              </w:rPr>
            </w:pPr>
          </w:p>
        </w:tc>
        <w:tc>
          <w:tcPr>
            <w:tcW w:w="1419" w:type="dxa"/>
            <w:vAlign w:val="center"/>
          </w:tcPr>
          <w:p w14:paraId="2AF8648F">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文件柜</w:t>
            </w:r>
          </w:p>
        </w:tc>
        <w:tc>
          <w:tcPr>
            <w:tcW w:w="2271" w:type="dxa"/>
            <w:vAlign w:val="center"/>
          </w:tcPr>
          <w:p w14:paraId="7FD506C6">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highlight w:val="none"/>
              </w:rPr>
              <w:t>符合国家、行业标准</w:t>
            </w:r>
          </w:p>
        </w:tc>
        <w:tc>
          <w:tcPr>
            <w:tcW w:w="982" w:type="dxa"/>
            <w:vAlign w:val="center"/>
          </w:tcPr>
          <w:p w14:paraId="5C0FCF28">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1132" w:type="dxa"/>
            <w:vAlign w:val="center"/>
          </w:tcPr>
          <w:p w14:paraId="3717B668">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40154F81">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个</w:t>
            </w:r>
          </w:p>
        </w:tc>
        <w:tc>
          <w:tcPr>
            <w:tcW w:w="1696" w:type="dxa"/>
            <w:vAlign w:val="center"/>
          </w:tcPr>
          <w:p w14:paraId="6AC2A32E">
            <w:pPr>
              <w:jc w:val="center"/>
              <w:rPr>
                <w:rFonts w:hint="eastAsia" w:ascii="宋体" w:hAnsi="宋体" w:eastAsia="宋体" w:cs="宋体"/>
                <w:color w:val="auto"/>
                <w:kern w:val="0"/>
                <w:sz w:val="24"/>
                <w:szCs w:val="24"/>
                <w:highlight w:val="none"/>
                <w:lang w:eastAsia="zh-CN"/>
              </w:rPr>
            </w:pPr>
          </w:p>
        </w:tc>
      </w:tr>
      <w:tr w14:paraId="3ECCF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40" w:type="dxa"/>
            <w:vMerge w:val="continue"/>
            <w:vAlign w:val="center"/>
          </w:tcPr>
          <w:p w14:paraId="0D431760">
            <w:pPr>
              <w:jc w:val="left"/>
              <w:rPr>
                <w:rFonts w:hint="eastAsia" w:ascii="宋体" w:hAnsi="宋体" w:eastAsia="宋体" w:cs="宋体"/>
                <w:b/>
                <w:bCs/>
                <w:color w:val="auto"/>
                <w:kern w:val="0"/>
                <w:sz w:val="24"/>
                <w:szCs w:val="24"/>
                <w:highlight w:val="none"/>
              </w:rPr>
            </w:pPr>
          </w:p>
        </w:tc>
        <w:tc>
          <w:tcPr>
            <w:tcW w:w="719" w:type="dxa"/>
            <w:vAlign w:val="center"/>
          </w:tcPr>
          <w:p w14:paraId="35CA8933">
            <w:pPr>
              <w:numPr>
                <w:ilvl w:val="0"/>
                <w:numId w:val="8"/>
              </w:numPr>
              <w:ind w:left="454" w:hanging="454"/>
              <w:jc w:val="center"/>
              <w:rPr>
                <w:rFonts w:hint="eastAsia" w:ascii="宋体" w:hAnsi="宋体" w:eastAsia="宋体" w:cs="宋体"/>
                <w:color w:val="auto"/>
                <w:kern w:val="0"/>
                <w:sz w:val="24"/>
                <w:szCs w:val="24"/>
                <w:highlight w:val="none"/>
                <w:lang w:val="en-US" w:eastAsia="zh-CN"/>
              </w:rPr>
            </w:pPr>
          </w:p>
        </w:tc>
        <w:tc>
          <w:tcPr>
            <w:tcW w:w="1419" w:type="dxa"/>
            <w:vAlign w:val="center"/>
          </w:tcPr>
          <w:p w14:paraId="794837E5">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应急灯</w:t>
            </w:r>
          </w:p>
        </w:tc>
        <w:tc>
          <w:tcPr>
            <w:tcW w:w="2271" w:type="dxa"/>
            <w:vAlign w:val="center"/>
          </w:tcPr>
          <w:p w14:paraId="2587CDF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符合国家、行业标准</w:t>
            </w:r>
          </w:p>
        </w:tc>
        <w:tc>
          <w:tcPr>
            <w:tcW w:w="982" w:type="dxa"/>
            <w:vAlign w:val="center"/>
          </w:tcPr>
          <w:p w14:paraId="55E1F601">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w:t>
            </w:r>
          </w:p>
        </w:tc>
        <w:tc>
          <w:tcPr>
            <w:tcW w:w="1132" w:type="dxa"/>
            <w:vAlign w:val="center"/>
          </w:tcPr>
          <w:p w14:paraId="5D761505">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4352E5EC">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盏</w:t>
            </w:r>
          </w:p>
        </w:tc>
        <w:tc>
          <w:tcPr>
            <w:tcW w:w="1696" w:type="dxa"/>
            <w:vAlign w:val="center"/>
          </w:tcPr>
          <w:p w14:paraId="031AB4E3">
            <w:pPr>
              <w:jc w:val="center"/>
              <w:rPr>
                <w:rFonts w:hint="eastAsia" w:ascii="宋体" w:hAnsi="宋体" w:eastAsia="宋体" w:cs="宋体"/>
                <w:color w:val="auto"/>
                <w:kern w:val="0"/>
                <w:sz w:val="24"/>
                <w:szCs w:val="24"/>
                <w:highlight w:val="none"/>
                <w:lang w:eastAsia="zh-CN"/>
              </w:rPr>
            </w:pPr>
          </w:p>
        </w:tc>
      </w:tr>
      <w:tr w14:paraId="3AA38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40" w:type="dxa"/>
            <w:vMerge w:val="continue"/>
            <w:vAlign w:val="center"/>
          </w:tcPr>
          <w:p w14:paraId="54FDF7E4">
            <w:pPr>
              <w:jc w:val="left"/>
              <w:rPr>
                <w:rFonts w:hint="eastAsia" w:ascii="宋体" w:hAnsi="宋体" w:eastAsia="宋体" w:cs="宋体"/>
                <w:b/>
                <w:bCs/>
                <w:color w:val="auto"/>
                <w:kern w:val="0"/>
                <w:sz w:val="24"/>
                <w:szCs w:val="24"/>
                <w:highlight w:val="none"/>
              </w:rPr>
            </w:pPr>
          </w:p>
        </w:tc>
        <w:tc>
          <w:tcPr>
            <w:tcW w:w="719" w:type="dxa"/>
            <w:vAlign w:val="center"/>
          </w:tcPr>
          <w:p w14:paraId="6A81010A">
            <w:pPr>
              <w:numPr>
                <w:ilvl w:val="0"/>
                <w:numId w:val="8"/>
              </w:numPr>
              <w:ind w:left="454" w:hanging="454"/>
              <w:jc w:val="center"/>
              <w:rPr>
                <w:rFonts w:hint="eastAsia" w:ascii="宋体" w:hAnsi="宋体" w:eastAsia="宋体" w:cs="宋体"/>
                <w:color w:val="auto"/>
                <w:kern w:val="0"/>
                <w:sz w:val="24"/>
                <w:szCs w:val="24"/>
                <w:highlight w:val="none"/>
                <w:lang w:val="en-US" w:eastAsia="zh-CN"/>
              </w:rPr>
            </w:pPr>
          </w:p>
        </w:tc>
        <w:tc>
          <w:tcPr>
            <w:tcW w:w="1419" w:type="dxa"/>
            <w:vAlign w:val="center"/>
          </w:tcPr>
          <w:p w14:paraId="095D8500">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草包</w:t>
            </w:r>
          </w:p>
        </w:tc>
        <w:tc>
          <w:tcPr>
            <w:tcW w:w="2271" w:type="dxa"/>
            <w:vAlign w:val="center"/>
          </w:tcPr>
          <w:p w14:paraId="2C2A9327">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符合国家、行业标准</w:t>
            </w:r>
          </w:p>
        </w:tc>
        <w:tc>
          <w:tcPr>
            <w:tcW w:w="982" w:type="dxa"/>
            <w:vAlign w:val="center"/>
          </w:tcPr>
          <w:p w14:paraId="25DCC7DF">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60</w:t>
            </w:r>
          </w:p>
        </w:tc>
        <w:tc>
          <w:tcPr>
            <w:tcW w:w="1132" w:type="dxa"/>
            <w:vAlign w:val="center"/>
          </w:tcPr>
          <w:p w14:paraId="38316B0A">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029B2F81">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只</w:t>
            </w:r>
          </w:p>
        </w:tc>
        <w:tc>
          <w:tcPr>
            <w:tcW w:w="1696" w:type="dxa"/>
            <w:vAlign w:val="center"/>
          </w:tcPr>
          <w:p w14:paraId="4917A00E">
            <w:pPr>
              <w:jc w:val="center"/>
              <w:rPr>
                <w:rFonts w:hint="eastAsia" w:ascii="宋体" w:hAnsi="宋体" w:eastAsia="宋体" w:cs="宋体"/>
                <w:color w:val="auto"/>
                <w:kern w:val="0"/>
                <w:sz w:val="24"/>
                <w:szCs w:val="24"/>
                <w:highlight w:val="none"/>
                <w:lang w:eastAsia="zh-CN"/>
              </w:rPr>
            </w:pPr>
          </w:p>
        </w:tc>
      </w:tr>
      <w:tr w14:paraId="55D2C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40" w:type="dxa"/>
            <w:vMerge w:val="continue"/>
            <w:vAlign w:val="center"/>
          </w:tcPr>
          <w:p w14:paraId="15665370">
            <w:pPr>
              <w:jc w:val="left"/>
              <w:rPr>
                <w:rFonts w:hint="eastAsia" w:ascii="宋体" w:hAnsi="宋体" w:eastAsia="宋体" w:cs="宋体"/>
                <w:b/>
                <w:bCs/>
                <w:color w:val="auto"/>
                <w:kern w:val="0"/>
                <w:sz w:val="24"/>
                <w:szCs w:val="24"/>
                <w:highlight w:val="none"/>
              </w:rPr>
            </w:pPr>
          </w:p>
        </w:tc>
        <w:tc>
          <w:tcPr>
            <w:tcW w:w="719" w:type="dxa"/>
            <w:vAlign w:val="center"/>
          </w:tcPr>
          <w:p w14:paraId="3471B735">
            <w:pPr>
              <w:numPr>
                <w:ilvl w:val="0"/>
                <w:numId w:val="8"/>
              </w:numPr>
              <w:ind w:left="454" w:hanging="454"/>
              <w:jc w:val="center"/>
              <w:rPr>
                <w:rFonts w:hint="eastAsia" w:ascii="宋体" w:hAnsi="宋体" w:eastAsia="宋体" w:cs="宋体"/>
                <w:color w:val="auto"/>
                <w:kern w:val="0"/>
                <w:sz w:val="24"/>
                <w:szCs w:val="24"/>
                <w:highlight w:val="none"/>
                <w:lang w:val="en-US" w:eastAsia="zh-CN"/>
              </w:rPr>
            </w:pPr>
          </w:p>
        </w:tc>
        <w:tc>
          <w:tcPr>
            <w:tcW w:w="1419" w:type="dxa"/>
            <w:vAlign w:val="center"/>
          </w:tcPr>
          <w:p w14:paraId="0C1CFD3A">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安全帽</w:t>
            </w:r>
          </w:p>
        </w:tc>
        <w:tc>
          <w:tcPr>
            <w:tcW w:w="2271" w:type="dxa"/>
            <w:vAlign w:val="center"/>
          </w:tcPr>
          <w:p w14:paraId="17F9D1A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符合国家、行业标准</w:t>
            </w:r>
          </w:p>
        </w:tc>
        <w:tc>
          <w:tcPr>
            <w:tcW w:w="982" w:type="dxa"/>
            <w:vAlign w:val="center"/>
          </w:tcPr>
          <w:p w14:paraId="62DD21FF">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w:t>
            </w:r>
          </w:p>
        </w:tc>
        <w:tc>
          <w:tcPr>
            <w:tcW w:w="1132" w:type="dxa"/>
            <w:vAlign w:val="center"/>
          </w:tcPr>
          <w:p w14:paraId="420B9517">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44C00A9C">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顶</w:t>
            </w:r>
          </w:p>
        </w:tc>
        <w:tc>
          <w:tcPr>
            <w:tcW w:w="1696" w:type="dxa"/>
            <w:vAlign w:val="center"/>
          </w:tcPr>
          <w:p w14:paraId="6775EEE0">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按应急队伍实际人数配备</w:t>
            </w:r>
          </w:p>
        </w:tc>
      </w:tr>
      <w:tr w14:paraId="13CAB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40" w:type="dxa"/>
            <w:vMerge w:val="continue"/>
            <w:vAlign w:val="center"/>
          </w:tcPr>
          <w:p w14:paraId="627DE98C">
            <w:pPr>
              <w:jc w:val="left"/>
              <w:rPr>
                <w:rFonts w:hint="eastAsia" w:ascii="宋体" w:hAnsi="宋体" w:eastAsia="宋体" w:cs="宋体"/>
                <w:b/>
                <w:bCs/>
                <w:color w:val="auto"/>
                <w:kern w:val="0"/>
                <w:sz w:val="24"/>
                <w:szCs w:val="24"/>
                <w:highlight w:val="none"/>
              </w:rPr>
            </w:pPr>
          </w:p>
        </w:tc>
        <w:tc>
          <w:tcPr>
            <w:tcW w:w="719" w:type="dxa"/>
            <w:vAlign w:val="center"/>
          </w:tcPr>
          <w:p w14:paraId="0803B229">
            <w:pPr>
              <w:numPr>
                <w:ilvl w:val="0"/>
                <w:numId w:val="8"/>
              </w:numPr>
              <w:ind w:left="454" w:hanging="454"/>
              <w:jc w:val="center"/>
              <w:rPr>
                <w:rFonts w:hint="eastAsia" w:ascii="宋体" w:hAnsi="宋体" w:eastAsia="宋体" w:cs="宋体"/>
                <w:color w:val="auto"/>
                <w:kern w:val="0"/>
                <w:sz w:val="24"/>
                <w:szCs w:val="24"/>
                <w:highlight w:val="none"/>
                <w:lang w:val="en-US" w:eastAsia="zh-CN"/>
              </w:rPr>
            </w:pPr>
          </w:p>
        </w:tc>
        <w:tc>
          <w:tcPr>
            <w:tcW w:w="1419" w:type="dxa"/>
            <w:vAlign w:val="center"/>
          </w:tcPr>
          <w:p w14:paraId="637247B9">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反光背心</w:t>
            </w:r>
          </w:p>
        </w:tc>
        <w:tc>
          <w:tcPr>
            <w:tcW w:w="2271" w:type="dxa"/>
            <w:vAlign w:val="center"/>
          </w:tcPr>
          <w:p w14:paraId="57B56A27">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符合国家、行业标准</w:t>
            </w:r>
          </w:p>
        </w:tc>
        <w:tc>
          <w:tcPr>
            <w:tcW w:w="982" w:type="dxa"/>
            <w:vAlign w:val="center"/>
          </w:tcPr>
          <w:p w14:paraId="75089249">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w:t>
            </w:r>
          </w:p>
        </w:tc>
        <w:tc>
          <w:tcPr>
            <w:tcW w:w="1132" w:type="dxa"/>
            <w:vAlign w:val="center"/>
          </w:tcPr>
          <w:p w14:paraId="6AC35F2F">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6A06302C">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件</w:t>
            </w:r>
          </w:p>
        </w:tc>
        <w:tc>
          <w:tcPr>
            <w:tcW w:w="1696" w:type="dxa"/>
            <w:vAlign w:val="center"/>
          </w:tcPr>
          <w:p w14:paraId="51F2F661">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按应急队伍实际人数配备</w:t>
            </w:r>
          </w:p>
        </w:tc>
      </w:tr>
      <w:tr w14:paraId="7941D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40" w:type="dxa"/>
            <w:vMerge w:val="continue"/>
            <w:vAlign w:val="center"/>
          </w:tcPr>
          <w:p w14:paraId="4C6649D6">
            <w:pPr>
              <w:jc w:val="left"/>
              <w:rPr>
                <w:rFonts w:hint="eastAsia" w:ascii="宋体" w:hAnsi="宋体" w:eastAsia="宋体" w:cs="宋体"/>
                <w:b/>
                <w:bCs/>
                <w:color w:val="auto"/>
                <w:kern w:val="0"/>
                <w:sz w:val="24"/>
                <w:szCs w:val="24"/>
                <w:highlight w:val="none"/>
              </w:rPr>
            </w:pPr>
          </w:p>
        </w:tc>
        <w:tc>
          <w:tcPr>
            <w:tcW w:w="719" w:type="dxa"/>
            <w:vAlign w:val="center"/>
          </w:tcPr>
          <w:p w14:paraId="725B6B95">
            <w:pPr>
              <w:numPr>
                <w:ilvl w:val="0"/>
                <w:numId w:val="8"/>
              </w:numPr>
              <w:ind w:left="454" w:hanging="454"/>
              <w:jc w:val="center"/>
              <w:rPr>
                <w:rFonts w:hint="eastAsia" w:ascii="宋体" w:hAnsi="宋体" w:eastAsia="宋体" w:cs="宋体"/>
                <w:color w:val="auto"/>
                <w:kern w:val="0"/>
                <w:sz w:val="24"/>
                <w:szCs w:val="24"/>
                <w:highlight w:val="none"/>
                <w:lang w:val="en-US" w:eastAsia="zh-CN"/>
              </w:rPr>
            </w:pPr>
          </w:p>
        </w:tc>
        <w:tc>
          <w:tcPr>
            <w:tcW w:w="1419" w:type="dxa"/>
            <w:vAlign w:val="center"/>
          </w:tcPr>
          <w:p w14:paraId="79FD365D">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爬梯</w:t>
            </w:r>
          </w:p>
        </w:tc>
        <w:tc>
          <w:tcPr>
            <w:tcW w:w="2271" w:type="dxa"/>
            <w:vAlign w:val="center"/>
          </w:tcPr>
          <w:p w14:paraId="6A07C2C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符合国家、行业标准</w:t>
            </w:r>
          </w:p>
        </w:tc>
        <w:tc>
          <w:tcPr>
            <w:tcW w:w="982" w:type="dxa"/>
            <w:vAlign w:val="center"/>
          </w:tcPr>
          <w:p w14:paraId="44E8E13F">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1132" w:type="dxa"/>
            <w:vAlign w:val="center"/>
          </w:tcPr>
          <w:p w14:paraId="06C6F44C">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75760BA4">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把</w:t>
            </w:r>
          </w:p>
        </w:tc>
        <w:tc>
          <w:tcPr>
            <w:tcW w:w="1696" w:type="dxa"/>
            <w:vAlign w:val="center"/>
          </w:tcPr>
          <w:p w14:paraId="607D34FF">
            <w:pPr>
              <w:jc w:val="center"/>
              <w:rPr>
                <w:rFonts w:hint="eastAsia" w:ascii="宋体" w:hAnsi="宋体" w:eastAsia="宋体" w:cs="宋体"/>
                <w:color w:val="auto"/>
                <w:kern w:val="0"/>
                <w:sz w:val="24"/>
                <w:szCs w:val="24"/>
                <w:highlight w:val="none"/>
                <w:lang w:eastAsia="zh-CN"/>
              </w:rPr>
            </w:pPr>
          </w:p>
        </w:tc>
      </w:tr>
      <w:tr w14:paraId="51102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40" w:type="dxa"/>
            <w:vMerge w:val="continue"/>
            <w:vAlign w:val="center"/>
          </w:tcPr>
          <w:p w14:paraId="074B83C2">
            <w:pPr>
              <w:jc w:val="left"/>
              <w:rPr>
                <w:rFonts w:hint="eastAsia" w:ascii="宋体" w:hAnsi="宋体" w:eastAsia="宋体" w:cs="宋体"/>
                <w:b/>
                <w:bCs/>
                <w:color w:val="auto"/>
                <w:kern w:val="0"/>
                <w:sz w:val="24"/>
                <w:szCs w:val="24"/>
                <w:highlight w:val="none"/>
              </w:rPr>
            </w:pPr>
          </w:p>
        </w:tc>
        <w:tc>
          <w:tcPr>
            <w:tcW w:w="719" w:type="dxa"/>
            <w:vAlign w:val="center"/>
          </w:tcPr>
          <w:p w14:paraId="69D88520">
            <w:pPr>
              <w:numPr>
                <w:ilvl w:val="0"/>
                <w:numId w:val="8"/>
              </w:numPr>
              <w:ind w:left="454" w:hanging="454"/>
              <w:jc w:val="center"/>
              <w:rPr>
                <w:rFonts w:hint="eastAsia" w:ascii="宋体" w:hAnsi="宋体" w:eastAsia="宋体" w:cs="宋体"/>
                <w:color w:val="auto"/>
                <w:kern w:val="0"/>
                <w:sz w:val="24"/>
                <w:szCs w:val="24"/>
                <w:highlight w:val="none"/>
                <w:lang w:val="en-US" w:eastAsia="zh-CN"/>
              </w:rPr>
            </w:pPr>
          </w:p>
        </w:tc>
        <w:tc>
          <w:tcPr>
            <w:tcW w:w="1419" w:type="dxa"/>
            <w:vAlign w:val="center"/>
          </w:tcPr>
          <w:p w14:paraId="6C41C910">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2.6米</w:t>
            </w:r>
            <w:r>
              <w:rPr>
                <w:rFonts w:hint="eastAsia" w:ascii="宋体" w:hAnsi="宋体" w:eastAsia="宋体" w:cs="宋体"/>
                <w:color w:val="auto"/>
                <w:kern w:val="0"/>
                <w:sz w:val="24"/>
                <w:szCs w:val="24"/>
                <w:highlight w:val="none"/>
                <w:lang w:eastAsia="zh-CN"/>
              </w:rPr>
              <w:t>橡胶船</w:t>
            </w:r>
          </w:p>
        </w:tc>
        <w:tc>
          <w:tcPr>
            <w:tcW w:w="2271" w:type="dxa"/>
            <w:vAlign w:val="center"/>
          </w:tcPr>
          <w:p w14:paraId="5EF68A1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符合国家、行业标准</w:t>
            </w:r>
          </w:p>
        </w:tc>
        <w:tc>
          <w:tcPr>
            <w:tcW w:w="982" w:type="dxa"/>
            <w:vAlign w:val="center"/>
          </w:tcPr>
          <w:p w14:paraId="2217569D">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1132" w:type="dxa"/>
            <w:vAlign w:val="center"/>
          </w:tcPr>
          <w:p w14:paraId="7E514F16">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361CD3C6">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艘</w:t>
            </w:r>
          </w:p>
        </w:tc>
        <w:tc>
          <w:tcPr>
            <w:tcW w:w="1696" w:type="dxa"/>
            <w:vAlign w:val="center"/>
          </w:tcPr>
          <w:p w14:paraId="7E7EBE35">
            <w:pPr>
              <w:jc w:val="center"/>
              <w:rPr>
                <w:rFonts w:hint="eastAsia" w:ascii="宋体" w:hAnsi="宋体" w:eastAsia="宋体" w:cs="宋体"/>
                <w:color w:val="auto"/>
                <w:kern w:val="0"/>
                <w:sz w:val="24"/>
                <w:szCs w:val="24"/>
                <w:highlight w:val="none"/>
                <w:lang w:eastAsia="zh-CN"/>
              </w:rPr>
            </w:pPr>
          </w:p>
        </w:tc>
      </w:tr>
      <w:tr w14:paraId="1629B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40" w:type="dxa"/>
            <w:vMerge w:val="continue"/>
            <w:vAlign w:val="center"/>
          </w:tcPr>
          <w:p w14:paraId="1791D1CF">
            <w:pPr>
              <w:jc w:val="left"/>
              <w:rPr>
                <w:rFonts w:hint="eastAsia" w:ascii="宋体" w:hAnsi="宋体" w:eastAsia="宋体" w:cs="宋体"/>
                <w:b/>
                <w:bCs/>
                <w:color w:val="auto"/>
                <w:kern w:val="0"/>
                <w:sz w:val="24"/>
                <w:szCs w:val="24"/>
                <w:highlight w:val="none"/>
              </w:rPr>
            </w:pPr>
          </w:p>
        </w:tc>
        <w:tc>
          <w:tcPr>
            <w:tcW w:w="719" w:type="dxa"/>
            <w:vAlign w:val="center"/>
          </w:tcPr>
          <w:p w14:paraId="6CB68AF3">
            <w:pPr>
              <w:numPr>
                <w:ilvl w:val="0"/>
                <w:numId w:val="8"/>
              </w:numPr>
              <w:ind w:left="454" w:hanging="454"/>
              <w:jc w:val="center"/>
              <w:rPr>
                <w:rFonts w:hint="eastAsia" w:ascii="宋体" w:hAnsi="宋体" w:eastAsia="宋体" w:cs="宋体"/>
                <w:color w:val="auto"/>
                <w:kern w:val="0"/>
                <w:sz w:val="24"/>
                <w:szCs w:val="24"/>
                <w:highlight w:val="none"/>
                <w:lang w:val="en-US" w:eastAsia="zh-CN"/>
              </w:rPr>
            </w:pPr>
          </w:p>
        </w:tc>
        <w:tc>
          <w:tcPr>
            <w:tcW w:w="1419" w:type="dxa"/>
            <w:vAlign w:val="center"/>
          </w:tcPr>
          <w:p w14:paraId="261AF5D3">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eastAsia="zh-CN"/>
              </w:rPr>
              <w:t>手推车</w:t>
            </w:r>
          </w:p>
        </w:tc>
        <w:tc>
          <w:tcPr>
            <w:tcW w:w="2271" w:type="dxa"/>
            <w:vAlign w:val="center"/>
          </w:tcPr>
          <w:p w14:paraId="05C3196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符合国家、行业标准</w:t>
            </w:r>
          </w:p>
        </w:tc>
        <w:tc>
          <w:tcPr>
            <w:tcW w:w="982" w:type="dxa"/>
            <w:vAlign w:val="center"/>
          </w:tcPr>
          <w:p w14:paraId="6F8D5496">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w:t>
            </w:r>
          </w:p>
        </w:tc>
        <w:tc>
          <w:tcPr>
            <w:tcW w:w="1132" w:type="dxa"/>
            <w:vAlign w:val="center"/>
          </w:tcPr>
          <w:p w14:paraId="1BB6CE84">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w:t>
            </w:r>
          </w:p>
        </w:tc>
        <w:tc>
          <w:tcPr>
            <w:tcW w:w="477" w:type="dxa"/>
            <w:vAlign w:val="center"/>
          </w:tcPr>
          <w:p w14:paraId="1EB0183D">
            <w:pPr>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辆</w:t>
            </w:r>
          </w:p>
        </w:tc>
        <w:tc>
          <w:tcPr>
            <w:tcW w:w="1696" w:type="dxa"/>
            <w:vAlign w:val="center"/>
          </w:tcPr>
          <w:p w14:paraId="1AA14A80">
            <w:pPr>
              <w:jc w:val="center"/>
              <w:rPr>
                <w:rFonts w:hint="eastAsia" w:ascii="宋体" w:hAnsi="宋体" w:eastAsia="宋体" w:cs="宋体"/>
                <w:color w:val="auto"/>
                <w:kern w:val="0"/>
                <w:sz w:val="24"/>
                <w:szCs w:val="24"/>
                <w:highlight w:val="none"/>
                <w:lang w:eastAsia="zh-CN"/>
              </w:rPr>
            </w:pPr>
          </w:p>
        </w:tc>
      </w:tr>
      <w:tr w14:paraId="05D25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559" w:type="dxa"/>
            <w:gridSpan w:val="2"/>
            <w:vAlign w:val="center"/>
          </w:tcPr>
          <w:p w14:paraId="39D63337">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管理要求</w:t>
            </w:r>
          </w:p>
        </w:tc>
        <w:tc>
          <w:tcPr>
            <w:tcW w:w="7977" w:type="dxa"/>
            <w:gridSpan w:val="6"/>
          </w:tcPr>
          <w:p w14:paraId="5C3CC8D8">
            <w:pPr>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1.产品必须“三证齐全”。</w:t>
            </w:r>
          </w:p>
          <w:p w14:paraId="580077BE">
            <w:pPr>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2.物资的数量、品种和质量须</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确认。</w:t>
            </w:r>
          </w:p>
          <w:p w14:paraId="2C9627E8">
            <w:pPr>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3.公园</w:t>
            </w:r>
            <w:r>
              <w:rPr>
                <w:rFonts w:hint="eastAsia" w:ascii="宋体" w:hAnsi="宋体" w:eastAsia="宋体" w:cs="宋体"/>
                <w:color w:val="auto"/>
                <w:kern w:val="0"/>
                <w:sz w:val="24"/>
                <w:szCs w:val="24"/>
                <w:highlight w:val="none"/>
                <w:lang w:eastAsia="zh-CN"/>
              </w:rPr>
              <w:t>无</w:t>
            </w:r>
            <w:r>
              <w:rPr>
                <w:rFonts w:hint="eastAsia" w:ascii="宋体" w:hAnsi="宋体" w:eastAsia="宋体" w:cs="宋体"/>
                <w:color w:val="auto"/>
                <w:kern w:val="0"/>
                <w:sz w:val="24"/>
                <w:szCs w:val="24"/>
                <w:highlight w:val="none"/>
              </w:rPr>
              <w:t>库</w:t>
            </w:r>
            <w:r>
              <w:rPr>
                <w:rFonts w:hint="eastAsia" w:ascii="宋体" w:hAnsi="宋体" w:eastAsia="宋体" w:cs="宋体"/>
                <w:color w:val="auto"/>
                <w:kern w:val="0"/>
                <w:sz w:val="24"/>
                <w:szCs w:val="24"/>
                <w:highlight w:val="none"/>
                <w:lang w:eastAsia="zh-CN"/>
              </w:rPr>
              <w:t>存</w:t>
            </w:r>
            <w:r>
              <w:rPr>
                <w:rFonts w:hint="eastAsia" w:ascii="宋体" w:hAnsi="宋体" w:eastAsia="宋体" w:cs="宋体"/>
                <w:color w:val="auto"/>
                <w:kern w:val="0"/>
                <w:sz w:val="24"/>
                <w:szCs w:val="24"/>
                <w:highlight w:val="none"/>
              </w:rPr>
              <w:t>，中标</w:t>
            </w:r>
            <w:r>
              <w:rPr>
                <w:rFonts w:hint="eastAsia" w:ascii="宋体" w:hAnsi="宋体" w:eastAsia="宋体" w:cs="宋体"/>
                <w:color w:val="auto"/>
                <w:kern w:val="0"/>
                <w:sz w:val="24"/>
                <w:szCs w:val="24"/>
                <w:highlight w:val="none"/>
                <w:lang w:eastAsia="zh-CN"/>
              </w:rPr>
              <w:t>人</w:t>
            </w:r>
            <w:r>
              <w:rPr>
                <w:rFonts w:hint="eastAsia" w:ascii="宋体" w:hAnsi="宋体" w:eastAsia="宋体" w:cs="宋体"/>
                <w:color w:val="auto"/>
                <w:kern w:val="0"/>
                <w:sz w:val="24"/>
                <w:szCs w:val="24"/>
                <w:highlight w:val="none"/>
              </w:rPr>
              <w:t>需定期检查、盘点，及时按公园要求补充消耗、过期或失效的物资。</w:t>
            </w:r>
          </w:p>
        </w:tc>
      </w:tr>
    </w:tbl>
    <w:p w14:paraId="7FCD8C97">
      <w:pPr>
        <w:widowControl/>
        <w:tabs>
          <w:tab w:val="left" w:pos="851"/>
        </w:tabs>
        <w:adjustRightInd/>
        <w:spacing w:line="360" w:lineRule="auto"/>
        <w:ind w:firstLine="480" w:firstLineChars="200"/>
        <w:rPr>
          <w:rFonts w:hint="default" w:ascii="宋体" w:hAnsi="宋体" w:eastAsia="宋体" w:cs="宋体"/>
          <w:b/>
          <w:bCs w:val="0"/>
          <w:color w:val="auto"/>
          <w:kern w:val="0"/>
          <w:sz w:val="24"/>
          <w:highlight w:val="none"/>
          <w:lang w:val="en-US" w:eastAsia="zh-CN"/>
        </w:rPr>
      </w:pPr>
      <w:r>
        <w:rPr>
          <w:rFonts w:hint="eastAsia" w:ascii="宋体" w:hAnsi="宋体" w:eastAsia="宋体" w:cs="宋体"/>
          <w:b/>
          <w:bCs w:val="0"/>
          <w:color w:val="auto"/>
          <w:kern w:val="0"/>
          <w:sz w:val="24"/>
          <w:highlight w:val="none"/>
          <w:lang w:val="en-US" w:eastAsia="zh-CN"/>
        </w:rPr>
        <w:t>⑥设施、设备维修维护类</w:t>
      </w:r>
    </w:p>
    <w:tbl>
      <w:tblPr>
        <w:tblStyle w:val="62"/>
        <w:tblW w:w="9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8236"/>
      </w:tblGrid>
      <w:tr w14:paraId="69EB3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20" w:hRule="atLeast"/>
          <w:jc w:val="center"/>
        </w:trPr>
        <w:tc>
          <w:tcPr>
            <w:tcW w:w="1277" w:type="dxa"/>
            <w:vAlign w:val="center"/>
          </w:tcPr>
          <w:p w14:paraId="7A9C99F3">
            <w:pPr>
              <w:jc w:val="center"/>
              <w:rPr>
                <w:rFonts w:hint="default" w:ascii="宋体" w:eastAsia="宋体" w:cs="宋体"/>
                <w:b/>
                <w:bCs/>
                <w:color w:val="auto"/>
                <w:kern w:val="0"/>
                <w:sz w:val="24"/>
                <w:szCs w:val="24"/>
                <w:highlight w:val="none"/>
                <w:lang w:val="en-US" w:eastAsia="zh-CN"/>
              </w:rPr>
            </w:pPr>
            <w:r>
              <w:rPr>
                <w:rFonts w:hint="eastAsia" w:ascii="宋体" w:hAnsi="宋体" w:cs="宋体"/>
                <w:b/>
                <w:bCs/>
                <w:color w:val="auto"/>
                <w:kern w:val="0"/>
                <w:sz w:val="24"/>
                <w:szCs w:val="24"/>
                <w:highlight w:val="none"/>
                <w:lang w:val="en-US" w:eastAsia="zh-CN"/>
              </w:rPr>
              <w:t>维护要求</w:t>
            </w:r>
          </w:p>
        </w:tc>
        <w:tc>
          <w:tcPr>
            <w:tcW w:w="8236" w:type="dxa"/>
            <w:vAlign w:val="center"/>
          </w:tcPr>
          <w:p w14:paraId="58FC7765">
            <w:pPr>
              <w:widowControl w:val="0"/>
              <w:rPr>
                <w:rFonts w:hint="default"/>
                <w:highlight w:val="none"/>
                <w:lang w:val="en-US" w:eastAsia="zh-CN"/>
              </w:rPr>
            </w:pPr>
            <w:r>
              <w:rPr>
                <w:rFonts w:hint="eastAsia" w:ascii="宋体" w:hAnsi="宋体" w:eastAsia="宋体" w:cs="宋体"/>
                <w:color w:val="auto"/>
                <w:sz w:val="24"/>
                <w:szCs w:val="24"/>
                <w:highlight w:val="none"/>
                <w:lang w:eastAsia="zh-CN"/>
              </w:rPr>
              <w:t>每年刷新维护内容及要求详见</w:t>
            </w:r>
            <w:r>
              <w:rPr>
                <w:rFonts w:hint="eastAsia" w:ascii="宋体" w:hAnsi="宋体" w:eastAsia="宋体" w:cs="宋体"/>
                <w:color w:val="auto"/>
                <w:sz w:val="24"/>
                <w:szCs w:val="24"/>
                <w:highlight w:val="none"/>
                <w:lang w:val="en-US" w:eastAsia="zh-CN"/>
              </w:rPr>
              <w:t>附件二</w:t>
            </w:r>
            <w:r>
              <w:rPr>
                <w:rFonts w:hint="eastAsia" w:ascii="宋体" w:hAnsi="宋体" w:eastAsia="宋体" w:cs="宋体"/>
                <w:color w:val="auto"/>
                <w:sz w:val="24"/>
                <w:szCs w:val="24"/>
                <w:highlight w:val="none"/>
                <w:lang w:eastAsia="zh-CN"/>
              </w:rPr>
              <w:t>，其中刷新维护</w:t>
            </w:r>
            <w:r>
              <w:rPr>
                <w:rFonts w:hint="eastAsia" w:ascii="宋体" w:hAnsi="宋体" w:eastAsia="宋体" w:cs="宋体"/>
                <w:color w:val="auto"/>
                <w:sz w:val="24"/>
                <w:szCs w:val="24"/>
                <w:highlight w:val="none"/>
              </w:rPr>
              <w:t>包含墙面刷漆、结构修补、防水修复和用电线路检修等</w:t>
            </w:r>
            <w:r>
              <w:rPr>
                <w:rFonts w:hint="eastAsia" w:ascii="宋体" w:hAnsi="宋体" w:eastAsia="宋体" w:cs="宋体"/>
                <w:color w:val="auto"/>
                <w:sz w:val="24"/>
                <w:szCs w:val="24"/>
                <w:highlight w:val="none"/>
                <w:lang w:eastAsia="zh-CN"/>
              </w:rPr>
              <w:t>，道路、广场等</w:t>
            </w:r>
            <w:r>
              <w:rPr>
                <w:rFonts w:hint="eastAsia" w:ascii="宋体" w:hAnsi="宋体" w:eastAsia="宋体" w:cs="宋体"/>
                <w:color w:val="auto"/>
                <w:sz w:val="24"/>
                <w:szCs w:val="24"/>
                <w:highlight w:val="none"/>
              </w:rPr>
              <w:t>硬质铺装维修根据公园实际情况安排修缮维护</w:t>
            </w:r>
            <w:r>
              <w:rPr>
                <w:rFonts w:hint="eastAsia" w:ascii="宋体" w:hAnsi="宋体" w:cs="宋体"/>
                <w:color w:val="auto"/>
                <w:sz w:val="24"/>
                <w:szCs w:val="24"/>
                <w:highlight w:val="none"/>
                <w:lang w:eastAsia="zh-CN"/>
              </w:rPr>
              <w:t>，</w:t>
            </w:r>
            <w:r>
              <w:rPr>
                <w:rFonts w:hint="eastAsia" w:ascii="宋体" w:hAnsi="宋体" w:eastAsia="宋体" w:cs="宋体"/>
                <w:color w:val="auto"/>
                <w:kern w:val="0"/>
                <w:sz w:val="24"/>
                <w:szCs w:val="24"/>
                <w:highlight w:val="none"/>
              </w:rPr>
              <w:t>应急抢修，主要包括供电及给排水等设施</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相关机械设备的维修保养、定期检修，清单附件二。不限于以上设施、设备维修，具体以</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实际需求情况为准</w:t>
            </w: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按实结算</w:t>
            </w:r>
            <w:r>
              <w:rPr>
                <w:rFonts w:hint="eastAsia" w:ascii="宋体" w:hAnsi="宋体" w:eastAsia="宋体" w:cs="宋体"/>
                <w:color w:val="auto"/>
                <w:kern w:val="0"/>
                <w:sz w:val="24"/>
                <w:szCs w:val="24"/>
                <w:highlight w:val="none"/>
              </w:rPr>
              <w:t>。</w:t>
            </w:r>
          </w:p>
        </w:tc>
      </w:tr>
      <w:tr w14:paraId="7B9C9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1277" w:type="dxa"/>
            <w:vAlign w:val="center"/>
          </w:tcPr>
          <w:p w14:paraId="666662FD">
            <w:pPr>
              <w:jc w:val="center"/>
              <w:rPr>
                <w:rFonts w:asci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涉及主要材料要求</w:t>
            </w:r>
          </w:p>
        </w:tc>
        <w:tc>
          <w:tcPr>
            <w:tcW w:w="8236" w:type="dxa"/>
            <w:vAlign w:val="center"/>
          </w:tcPr>
          <w:p w14:paraId="51D3E153">
            <w:pPr>
              <w:widowControl w:val="0"/>
              <w:numPr>
                <w:ilvl w:val="0"/>
                <w:numId w:val="3"/>
              </w:numPr>
              <w:rPr>
                <w:rFonts w:ascii="宋体" w:eastAsia="宋体" w:cs="宋体"/>
                <w:color w:val="auto"/>
                <w:sz w:val="24"/>
                <w:szCs w:val="24"/>
                <w:highlight w:val="none"/>
              </w:rPr>
            </w:pPr>
            <w:r>
              <w:rPr>
                <w:rFonts w:hint="eastAsia" w:eastAsia="宋体"/>
                <w:bCs/>
                <w:color w:val="auto"/>
                <w:sz w:val="24"/>
                <w:szCs w:val="24"/>
                <w:highlight w:val="none"/>
              </w:rPr>
              <w:t>主要用于</w:t>
            </w:r>
            <w:r>
              <w:rPr>
                <w:rFonts w:hint="eastAsia" w:ascii="宋体" w:hAnsi="宋体" w:eastAsia="宋体" w:cs="宋体"/>
                <w:color w:val="auto"/>
                <w:sz w:val="24"/>
                <w:szCs w:val="24"/>
                <w:highlight w:val="none"/>
              </w:rPr>
              <w:t>园内建筑物、地面、护栏、标识、健身器材、水电设施、垃圾分类点等较大型的设施、设备的常规刷新、维护维修所涉及的</w:t>
            </w:r>
            <w:r>
              <w:rPr>
                <w:rFonts w:hint="eastAsia" w:ascii="宋体" w:hAnsi="宋体" w:eastAsia="宋体" w:cs="宋体"/>
                <w:color w:val="auto"/>
                <w:kern w:val="0"/>
                <w:sz w:val="24"/>
                <w:szCs w:val="24"/>
                <w:highlight w:val="none"/>
              </w:rPr>
              <w:t>油漆、砂石、铺装材料、管线、五金等基本材料</w:t>
            </w:r>
            <w:r>
              <w:rPr>
                <w:rFonts w:hint="eastAsia" w:ascii="宋体" w:hAnsi="宋体" w:eastAsia="宋体" w:cs="宋体"/>
                <w:color w:val="auto"/>
                <w:sz w:val="24"/>
                <w:szCs w:val="24"/>
                <w:highlight w:val="none"/>
              </w:rPr>
              <w:t>，包括但不限于</w:t>
            </w:r>
            <w:r>
              <w:rPr>
                <w:rFonts w:ascii="宋体" w:hAnsi="宋体" w:eastAsia="宋体" w:cs="宋体"/>
                <w:color w:val="auto"/>
                <w:sz w:val="24"/>
                <w:szCs w:val="24"/>
                <w:highlight w:val="none"/>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监控</w:t>
            </w:r>
            <w:r>
              <w:rPr>
                <w:rFonts w:hint="eastAsia" w:ascii="宋体" w:hAnsi="宋体" w:eastAsia="宋体" w:cs="宋体"/>
                <w:color w:val="auto"/>
                <w:sz w:val="24"/>
                <w:szCs w:val="24"/>
                <w:highlight w:val="none"/>
              </w:rPr>
              <w:t>广播系统、</w:t>
            </w:r>
            <w:r>
              <w:rPr>
                <w:rFonts w:hint="eastAsia" w:ascii="宋体" w:hAnsi="宋体" w:eastAsia="宋体" w:cs="宋体"/>
                <w:color w:val="auto"/>
                <w:sz w:val="24"/>
                <w:szCs w:val="24"/>
                <w:highlight w:val="none"/>
                <w:lang w:eastAsia="zh-CN"/>
              </w:rPr>
              <w:t>喷灌系统、雾森系统、智慧灯杆、</w:t>
            </w:r>
            <w:r>
              <w:rPr>
                <w:rFonts w:hint="eastAsia" w:ascii="宋体" w:hAnsi="宋体" w:eastAsia="宋体" w:cs="宋体"/>
                <w:color w:val="auto"/>
                <w:sz w:val="24"/>
                <w:szCs w:val="24"/>
                <w:highlight w:val="none"/>
                <w:lang w:val="en-US" w:eastAsia="zh-CN"/>
              </w:rPr>
              <w:t>LED屏</w:t>
            </w:r>
            <w:r>
              <w:rPr>
                <w:rFonts w:hint="eastAsia" w:ascii="宋体" w:hAnsi="宋体" w:eastAsia="宋体" w:cs="宋体"/>
                <w:color w:val="auto"/>
                <w:sz w:val="24"/>
                <w:szCs w:val="24"/>
                <w:highlight w:val="none"/>
                <w:lang w:eastAsia="zh-CN"/>
              </w:rPr>
              <w:t>等相关设备维修、</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）加压泵、水池、消防设施及供水设施维修、</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）塑木栏杆维修、</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）石柱栏杆铁链维护、</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）亭廊等建筑物维护、</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）办公楼及设备维护、</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）供电设备维护、</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其他设施、设备维护。</w:t>
            </w:r>
          </w:p>
          <w:p w14:paraId="72229C47">
            <w:pPr>
              <w:widowControl w:val="0"/>
              <w:rPr>
                <w:rFonts w:ascii="宋体" w:eastAsia="宋体" w:cs="宋体"/>
                <w:color w:val="auto"/>
                <w:sz w:val="24"/>
                <w:szCs w:val="24"/>
                <w:highlight w:val="none"/>
              </w:rPr>
            </w:pPr>
            <w:r>
              <w:rPr>
                <w:rFonts w:ascii="宋体" w:hAnsi="宋体" w:eastAsia="宋体" w:cs="宋体"/>
                <w:color w:val="auto"/>
                <w:sz w:val="24"/>
                <w:szCs w:val="24"/>
                <w:highlight w:val="none"/>
              </w:rPr>
              <w:t>2.</w:t>
            </w:r>
            <w:r>
              <w:rPr>
                <w:rFonts w:hint="eastAsia" w:ascii="宋体" w:hAnsi="宋体" w:eastAsia="宋体" w:cs="宋体"/>
                <w:color w:val="auto"/>
                <w:sz w:val="24"/>
                <w:szCs w:val="24"/>
                <w:highlight w:val="none"/>
              </w:rPr>
              <w:t>维修维护所用材料配件要求与原本保持一致，若因停产或加工定制原因无法保持一致时，须经</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同意且不低于原本规格及质量标准。</w:t>
            </w:r>
          </w:p>
        </w:tc>
      </w:tr>
      <w:tr w14:paraId="1F869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277" w:type="dxa"/>
            <w:vAlign w:val="center"/>
          </w:tcPr>
          <w:p w14:paraId="58DBD21C">
            <w:pPr>
              <w:jc w:val="center"/>
              <w:rPr>
                <w:rFonts w:asci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管理要求</w:t>
            </w:r>
          </w:p>
        </w:tc>
        <w:tc>
          <w:tcPr>
            <w:tcW w:w="8236" w:type="dxa"/>
            <w:vAlign w:val="center"/>
          </w:tcPr>
          <w:p w14:paraId="7C10FDDD">
            <w:pPr>
              <w:widowControl w:val="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1.采购人根据近年设施修缮及维护情况，具体约定每年完成维护修缮的设施量、质量要求和扣罚标准，不达标予以扣罚。</w:t>
            </w:r>
          </w:p>
          <w:p w14:paraId="05DC5B46">
            <w:pPr>
              <w:widowControl w:val="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2.设施修缮改造费用由采购人委托相关结算审核部门审核后支付（结算时按本项目整体中标下浮率下浮）。</w:t>
            </w:r>
          </w:p>
          <w:p w14:paraId="7A6882E2">
            <w:pPr>
              <w:widowControl w:val="0"/>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lang w:val="en-US" w:eastAsia="zh-CN"/>
              </w:rPr>
              <w:t>.修缮范围不包括外包服务、经营单位使用的物业或设施。</w:t>
            </w:r>
          </w:p>
          <w:p w14:paraId="3B0A9A25">
            <w:pPr>
              <w:widowControl w:val="0"/>
              <w:rPr>
                <w:rFonts w:hint="default" w:eastAsia="宋体"/>
                <w:color w:val="auto"/>
                <w:sz w:val="24"/>
                <w:szCs w:val="24"/>
                <w:highlight w:val="none"/>
                <w:lang w:val="en-US"/>
              </w:rPr>
            </w:pPr>
            <w:r>
              <w:rPr>
                <w:rFonts w:hint="eastAsia" w:ascii="宋体" w:hAnsi="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lang w:val="en-US" w:eastAsia="zh-CN"/>
              </w:rPr>
              <w:t>.中标人需在采购人提出维修需求后24小时之内响应，维修计划以及完成时间需与采购人协商确</w:t>
            </w:r>
            <w:r>
              <w:rPr>
                <w:rFonts w:hint="eastAsia" w:ascii="宋体" w:hAnsi="宋体" w:cs="宋体"/>
                <w:color w:val="auto"/>
                <w:kern w:val="0"/>
                <w:sz w:val="24"/>
                <w:szCs w:val="24"/>
                <w:highlight w:val="none"/>
                <w:lang w:val="en-US" w:eastAsia="zh-CN"/>
              </w:rPr>
              <w:t>定。</w:t>
            </w:r>
          </w:p>
        </w:tc>
      </w:tr>
    </w:tbl>
    <w:p w14:paraId="524A58CD">
      <w:pPr>
        <w:widowControl/>
        <w:tabs>
          <w:tab w:val="left" w:pos="851"/>
        </w:tabs>
        <w:adjustRightInd/>
        <w:spacing w:line="360" w:lineRule="auto"/>
        <w:ind w:firstLine="480" w:firstLineChars="200"/>
        <w:rPr>
          <w:rFonts w:hint="default"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⑦自动售卖机投放要求</w:t>
      </w:r>
    </w:p>
    <w:p w14:paraId="5C011839">
      <w:pPr>
        <w:widowControl w:val="0"/>
        <w:adjustRightInd w:val="0"/>
        <w:spacing w:line="380" w:lineRule="exact"/>
        <w:ind w:firstLine="480"/>
        <w:jc w:val="both"/>
        <w:rPr>
          <w:rFonts w:hint="default" w:ascii="Times New Roman" w:hAnsi="Times New Roman" w:eastAsia="方正书宋简体" w:cs="Times New Roman"/>
          <w:color w:val="auto"/>
          <w:kern w:val="2"/>
          <w:sz w:val="24"/>
          <w:szCs w:val="24"/>
          <w:highlight w:val="none"/>
          <w:lang w:val="en-US" w:eastAsia="zh-CN" w:bidi="ar-SA"/>
        </w:rPr>
      </w:pPr>
      <w:r>
        <w:rPr>
          <w:rFonts w:hint="eastAsia" w:ascii="宋体" w:hAnsi="宋体" w:eastAsia="方正书宋简体" w:cs="宋体"/>
          <w:b/>
          <w:color w:val="auto"/>
          <w:kern w:val="0"/>
          <w:sz w:val="24"/>
          <w:szCs w:val="24"/>
          <w:highlight w:val="none"/>
          <w:lang w:val="en-US" w:eastAsia="zh-CN" w:bidi="ar-SA"/>
        </w:rPr>
        <w:t>a.投标区域及数量</w:t>
      </w:r>
    </w:p>
    <w:tbl>
      <w:tblPr>
        <w:tblStyle w:val="63"/>
        <w:tblW w:w="8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9"/>
        <w:gridCol w:w="3871"/>
        <w:gridCol w:w="1679"/>
        <w:gridCol w:w="2089"/>
      </w:tblGrid>
      <w:tr w14:paraId="36817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099" w:type="dxa"/>
            <w:noWrap w:val="0"/>
            <w:vAlign w:val="center"/>
          </w:tcPr>
          <w:p w14:paraId="59B16A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
                <w:bCs/>
                <w:color w:val="auto"/>
                <w:sz w:val="24"/>
                <w:szCs w:val="24"/>
                <w:highlight w:val="none"/>
                <w:u w:val="none"/>
                <w:vertAlign w:val="baseline"/>
                <w:lang w:val="en-US" w:eastAsia="zh-CN"/>
              </w:rPr>
            </w:pPr>
            <w:r>
              <w:rPr>
                <w:rFonts w:hint="eastAsia" w:ascii="宋体" w:hAnsi="宋体" w:eastAsia="宋体" w:cs="宋体"/>
                <w:b/>
                <w:bCs/>
                <w:color w:val="auto"/>
                <w:sz w:val="24"/>
                <w:szCs w:val="24"/>
                <w:highlight w:val="none"/>
                <w:u w:val="none"/>
                <w:vertAlign w:val="baseline"/>
                <w:lang w:val="en-US" w:eastAsia="zh-CN"/>
              </w:rPr>
              <w:t>序号</w:t>
            </w:r>
          </w:p>
        </w:tc>
        <w:tc>
          <w:tcPr>
            <w:tcW w:w="3871" w:type="dxa"/>
            <w:noWrap w:val="0"/>
            <w:vAlign w:val="center"/>
          </w:tcPr>
          <w:p w14:paraId="3CC121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auto"/>
                <w:sz w:val="24"/>
                <w:szCs w:val="24"/>
                <w:highlight w:val="none"/>
                <w:u w:val="none"/>
                <w:vertAlign w:val="baseline"/>
                <w:lang w:val="en-US" w:eastAsia="zh-CN"/>
              </w:rPr>
            </w:pPr>
            <w:r>
              <w:rPr>
                <w:rFonts w:hint="eastAsia" w:ascii="宋体" w:hAnsi="宋体" w:eastAsia="宋体" w:cs="宋体"/>
                <w:b/>
                <w:bCs/>
                <w:color w:val="auto"/>
                <w:sz w:val="24"/>
                <w:szCs w:val="24"/>
                <w:highlight w:val="none"/>
                <w:u w:val="none"/>
                <w:vertAlign w:val="baseline"/>
                <w:lang w:val="en-US" w:eastAsia="zh-CN"/>
              </w:rPr>
              <w:t>公园名称</w:t>
            </w:r>
          </w:p>
        </w:tc>
        <w:tc>
          <w:tcPr>
            <w:tcW w:w="1679" w:type="dxa"/>
            <w:noWrap w:val="0"/>
            <w:vAlign w:val="center"/>
          </w:tcPr>
          <w:p w14:paraId="29A7B7B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auto"/>
                <w:sz w:val="24"/>
                <w:szCs w:val="24"/>
                <w:highlight w:val="none"/>
                <w:u w:val="none"/>
                <w:vertAlign w:val="baseline"/>
                <w:lang w:val="en-US" w:eastAsia="zh-CN"/>
              </w:rPr>
            </w:pPr>
            <w:r>
              <w:rPr>
                <w:rFonts w:hint="eastAsia" w:ascii="宋体" w:hAnsi="宋体" w:eastAsia="宋体" w:cs="宋体"/>
                <w:b/>
                <w:bCs/>
                <w:color w:val="auto"/>
                <w:sz w:val="24"/>
                <w:szCs w:val="24"/>
                <w:highlight w:val="none"/>
                <w:u w:val="none"/>
                <w:vertAlign w:val="baseline"/>
                <w:lang w:val="en-US" w:eastAsia="zh-CN"/>
              </w:rPr>
              <w:t>数量</w:t>
            </w:r>
          </w:p>
        </w:tc>
        <w:tc>
          <w:tcPr>
            <w:tcW w:w="2089" w:type="dxa"/>
            <w:noWrap w:val="0"/>
            <w:vAlign w:val="center"/>
          </w:tcPr>
          <w:p w14:paraId="0FEE24C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
                <w:bCs/>
                <w:color w:val="auto"/>
                <w:sz w:val="24"/>
                <w:szCs w:val="24"/>
                <w:highlight w:val="none"/>
                <w:u w:val="none"/>
                <w:vertAlign w:val="baseline"/>
                <w:lang w:val="en-US" w:eastAsia="zh-CN"/>
              </w:rPr>
            </w:pPr>
            <w:r>
              <w:rPr>
                <w:rFonts w:hint="eastAsia" w:ascii="宋体" w:hAnsi="宋体" w:eastAsia="宋体" w:cs="宋体"/>
                <w:b/>
                <w:bCs/>
                <w:color w:val="auto"/>
                <w:sz w:val="24"/>
                <w:szCs w:val="24"/>
                <w:highlight w:val="none"/>
                <w:u w:val="none"/>
                <w:vertAlign w:val="baseline"/>
                <w:lang w:val="en-US" w:eastAsia="zh-CN"/>
              </w:rPr>
              <w:t>单位</w:t>
            </w:r>
          </w:p>
        </w:tc>
      </w:tr>
      <w:tr w14:paraId="42DDE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099" w:type="dxa"/>
            <w:noWrap w:val="0"/>
            <w:vAlign w:val="center"/>
          </w:tcPr>
          <w:p w14:paraId="3CF9A8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4"/>
                <w:szCs w:val="24"/>
                <w:highlight w:val="none"/>
                <w:u w:val="none"/>
                <w:vertAlign w:val="baseline"/>
                <w:lang w:val="en-US" w:eastAsia="zh-CN"/>
              </w:rPr>
            </w:pPr>
            <w:r>
              <w:rPr>
                <w:rFonts w:hint="eastAsia" w:ascii="宋体" w:hAnsi="宋体" w:eastAsia="宋体" w:cs="宋体"/>
                <w:color w:val="auto"/>
                <w:sz w:val="24"/>
                <w:szCs w:val="24"/>
                <w:highlight w:val="none"/>
                <w:u w:val="none"/>
                <w:vertAlign w:val="baseline"/>
                <w:lang w:val="en-US" w:eastAsia="zh-CN"/>
              </w:rPr>
              <w:t>1</w:t>
            </w:r>
          </w:p>
        </w:tc>
        <w:tc>
          <w:tcPr>
            <w:tcW w:w="3871" w:type="dxa"/>
            <w:noWrap w:val="0"/>
            <w:vAlign w:val="center"/>
          </w:tcPr>
          <w:p w14:paraId="3AC452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4"/>
                <w:szCs w:val="24"/>
                <w:highlight w:val="none"/>
                <w:u w:val="none"/>
                <w:vertAlign w:val="baseline"/>
                <w:lang w:val="en-US" w:eastAsia="zh-CN"/>
              </w:rPr>
            </w:pPr>
            <w:r>
              <w:rPr>
                <w:rFonts w:hint="eastAsia" w:ascii="宋体" w:hAnsi="宋体" w:eastAsia="宋体" w:cs="宋体"/>
                <w:color w:val="auto"/>
                <w:sz w:val="24"/>
                <w:szCs w:val="24"/>
                <w:highlight w:val="none"/>
                <w:u w:val="none"/>
                <w:vertAlign w:val="baseline"/>
                <w:lang w:val="en-US" w:eastAsia="zh-CN"/>
              </w:rPr>
              <w:t>儿童</w:t>
            </w:r>
            <w:r>
              <w:rPr>
                <w:rFonts w:hint="eastAsia" w:ascii="宋体" w:hAnsi="宋体" w:eastAsia="宋体" w:cs="宋体"/>
                <w:color w:val="auto"/>
                <w:sz w:val="24"/>
                <w:szCs w:val="24"/>
                <w:highlight w:val="none"/>
                <w:u w:val="none"/>
                <w:vertAlign w:val="baseline"/>
              </w:rPr>
              <w:t>公园</w:t>
            </w:r>
          </w:p>
        </w:tc>
        <w:tc>
          <w:tcPr>
            <w:tcW w:w="1679" w:type="dxa"/>
            <w:noWrap w:val="0"/>
            <w:vAlign w:val="center"/>
          </w:tcPr>
          <w:p w14:paraId="510967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4"/>
                <w:szCs w:val="24"/>
                <w:highlight w:val="none"/>
                <w:u w:val="none"/>
                <w:vertAlign w:val="baseline"/>
                <w:lang w:val="en-US" w:eastAsia="zh-CN"/>
              </w:rPr>
            </w:pPr>
            <w:r>
              <w:rPr>
                <w:rFonts w:hint="eastAsia" w:ascii="宋体" w:hAnsi="宋体" w:eastAsia="宋体" w:cs="宋体"/>
                <w:color w:val="auto"/>
                <w:sz w:val="24"/>
                <w:szCs w:val="24"/>
                <w:highlight w:val="none"/>
                <w:u w:val="none"/>
                <w:vertAlign w:val="baseline"/>
                <w:lang w:val="en-US" w:eastAsia="zh-CN"/>
              </w:rPr>
              <w:t>4</w:t>
            </w:r>
          </w:p>
        </w:tc>
        <w:tc>
          <w:tcPr>
            <w:tcW w:w="2089" w:type="dxa"/>
            <w:noWrap w:val="0"/>
            <w:vAlign w:val="center"/>
          </w:tcPr>
          <w:p w14:paraId="6F3720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4"/>
                <w:szCs w:val="24"/>
                <w:highlight w:val="none"/>
                <w:u w:val="none"/>
                <w:vertAlign w:val="baseline"/>
                <w:lang w:val="en-US" w:eastAsia="zh-CN"/>
              </w:rPr>
            </w:pPr>
            <w:r>
              <w:rPr>
                <w:rFonts w:hint="eastAsia" w:ascii="宋体" w:hAnsi="宋体" w:eastAsia="宋体" w:cs="宋体"/>
                <w:color w:val="auto"/>
                <w:sz w:val="24"/>
                <w:szCs w:val="24"/>
                <w:highlight w:val="none"/>
                <w:u w:val="none"/>
                <w:vertAlign w:val="baseline"/>
                <w:lang w:val="en-US" w:eastAsia="zh-CN"/>
              </w:rPr>
              <w:t>台</w:t>
            </w:r>
          </w:p>
        </w:tc>
      </w:tr>
      <w:tr w14:paraId="53327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4970" w:type="dxa"/>
            <w:gridSpan w:val="2"/>
            <w:noWrap w:val="0"/>
            <w:vAlign w:val="center"/>
          </w:tcPr>
          <w:p w14:paraId="62324C5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4"/>
                <w:szCs w:val="24"/>
                <w:highlight w:val="none"/>
                <w:u w:val="none"/>
                <w:vertAlign w:val="baseline"/>
                <w:lang w:val="en-US" w:eastAsia="zh-CN"/>
              </w:rPr>
            </w:pPr>
            <w:r>
              <w:rPr>
                <w:rFonts w:hint="eastAsia" w:ascii="宋体" w:hAnsi="宋体" w:eastAsia="宋体" w:cs="宋体"/>
                <w:color w:val="auto"/>
                <w:sz w:val="24"/>
                <w:szCs w:val="24"/>
                <w:highlight w:val="none"/>
                <w:u w:val="none"/>
                <w:vertAlign w:val="baseline"/>
                <w:lang w:val="en-US" w:eastAsia="zh-CN"/>
              </w:rPr>
              <w:t>合计</w:t>
            </w:r>
          </w:p>
        </w:tc>
        <w:tc>
          <w:tcPr>
            <w:tcW w:w="1679" w:type="dxa"/>
            <w:noWrap w:val="0"/>
            <w:vAlign w:val="center"/>
          </w:tcPr>
          <w:p w14:paraId="04143BD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4"/>
                <w:szCs w:val="24"/>
                <w:highlight w:val="none"/>
                <w:u w:val="none"/>
                <w:vertAlign w:val="baseline"/>
                <w:lang w:val="en-US" w:eastAsia="zh-CN"/>
              </w:rPr>
            </w:pPr>
            <w:r>
              <w:rPr>
                <w:rFonts w:hint="eastAsia" w:ascii="宋体" w:hAnsi="宋体" w:eastAsia="宋体" w:cs="宋体"/>
                <w:color w:val="auto"/>
                <w:sz w:val="24"/>
                <w:szCs w:val="24"/>
                <w:highlight w:val="none"/>
                <w:u w:val="none"/>
                <w:vertAlign w:val="baseline"/>
                <w:lang w:val="en-US" w:eastAsia="zh-CN"/>
              </w:rPr>
              <w:t>4</w:t>
            </w:r>
          </w:p>
        </w:tc>
        <w:tc>
          <w:tcPr>
            <w:tcW w:w="2089" w:type="dxa"/>
            <w:noWrap w:val="0"/>
            <w:vAlign w:val="center"/>
          </w:tcPr>
          <w:p w14:paraId="6D37814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auto"/>
                <w:sz w:val="24"/>
                <w:szCs w:val="24"/>
                <w:highlight w:val="none"/>
                <w:u w:val="none"/>
                <w:vertAlign w:val="baseline"/>
                <w:lang w:val="en-US" w:eastAsia="zh-CN"/>
              </w:rPr>
            </w:pPr>
            <w:r>
              <w:rPr>
                <w:rFonts w:hint="eastAsia" w:ascii="宋体" w:hAnsi="宋体" w:eastAsia="宋体" w:cs="宋体"/>
                <w:color w:val="auto"/>
                <w:sz w:val="24"/>
                <w:szCs w:val="24"/>
                <w:highlight w:val="none"/>
                <w:u w:val="none"/>
                <w:vertAlign w:val="baseline"/>
                <w:lang w:val="en-US" w:eastAsia="zh-CN"/>
              </w:rPr>
              <w:t>台</w:t>
            </w:r>
          </w:p>
        </w:tc>
      </w:tr>
    </w:tbl>
    <w:p w14:paraId="43076CA0">
      <w:pPr>
        <w:widowControl w:val="0"/>
        <w:adjustRightInd w:val="0"/>
        <w:spacing w:line="380" w:lineRule="exact"/>
        <w:ind w:firstLine="480"/>
        <w:jc w:val="both"/>
        <w:rPr>
          <w:rFonts w:hint="eastAsia" w:ascii="宋体" w:hAnsi="宋体" w:eastAsia="方正书宋简体" w:cs="宋体"/>
          <w:b/>
          <w:color w:val="auto"/>
          <w:kern w:val="0"/>
          <w:sz w:val="24"/>
          <w:szCs w:val="24"/>
          <w:highlight w:val="none"/>
          <w:lang w:val="en-US" w:eastAsia="zh-CN" w:bidi="ar-SA"/>
        </w:rPr>
      </w:pPr>
      <w:r>
        <w:rPr>
          <w:rFonts w:hint="eastAsia" w:ascii="宋体" w:hAnsi="宋体" w:eastAsia="方正书宋简体" w:cs="宋体"/>
          <w:b/>
          <w:color w:val="auto"/>
          <w:kern w:val="0"/>
          <w:sz w:val="24"/>
          <w:szCs w:val="24"/>
          <w:highlight w:val="none"/>
          <w:lang w:val="en-US" w:eastAsia="zh-CN" w:bidi="ar-SA"/>
        </w:rPr>
        <w:t>b.投标要求</w:t>
      </w:r>
    </w:p>
    <w:p w14:paraId="1D60DD3C">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1.自动售卖机</w:t>
      </w:r>
      <w:r>
        <w:rPr>
          <w:rFonts w:hint="eastAsia" w:ascii="宋体" w:hAnsi="宋体" w:eastAsia="宋体" w:cs="宋体"/>
          <w:bCs/>
          <w:color w:val="auto"/>
          <w:kern w:val="0"/>
          <w:sz w:val="24"/>
          <w:highlight w:val="none"/>
          <w:lang w:val="en-US"/>
        </w:rPr>
        <w:t>购置、供电线路敷设由</w:t>
      </w:r>
      <w:r>
        <w:rPr>
          <w:rFonts w:hint="eastAsia" w:ascii="宋体" w:hAnsi="宋体" w:eastAsia="宋体" w:cs="宋体"/>
          <w:bCs/>
          <w:color w:val="auto"/>
          <w:kern w:val="0"/>
          <w:sz w:val="24"/>
          <w:highlight w:val="none"/>
          <w:lang w:val="en-US" w:eastAsia="zh-CN"/>
        </w:rPr>
        <w:t>中标人</w:t>
      </w:r>
      <w:r>
        <w:rPr>
          <w:rFonts w:hint="eastAsia" w:ascii="宋体" w:hAnsi="宋体" w:eastAsia="宋体" w:cs="宋体"/>
          <w:bCs/>
          <w:color w:val="auto"/>
          <w:kern w:val="0"/>
          <w:sz w:val="24"/>
          <w:highlight w:val="none"/>
          <w:lang w:val="en-US"/>
        </w:rPr>
        <w:t>自行负责（包括电路改造、室外遮蔽设施等基建费用，其中放置点位、设备尺寸、涂装方案、供电线路、电表安装方案必须经</w:t>
      </w:r>
      <w:r>
        <w:rPr>
          <w:rFonts w:hint="eastAsia" w:ascii="宋体" w:hAnsi="宋体" w:eastAsia="宋体" w:cs="宋体"/>
          <w:bCs/>
          <w:color w:val="auto"/>
          <w:kern w:val="0"/>
          <w:sz w:val="24"/>
          <w:highlight w:val="none"/>
          <w:lang w:val="en-US" w:eastAsia="zh-CN"/>
        </w:rPr>
        <w:t>采购人</w:t>
      </w:r>
      <w:r>
        <w:rPr>
          <w:rFonts w:hint="eastAsia" w:ascii="宋体" w:hAnsi="宋体" w:eastAsia="宋体" w:cs="宋体"/>
          <w:bCs/>
          <w:color w:val="auto"/>
          <w:kern w:val="0"/>
          <w:sz w:val="24"/>
          <w:highlight w:val="none"/>
          <w:lang w:val="en-US"/>
        </w:rPr>
        <w:t>确认之后才能施工，费用由</w:t>
      </w:r>
      <w:r>
        <w:rPr>
          <w:rFonts w:hint="eastAsia" w:ascii="宋体" w:hAnsi="宋体" w:eastAsia="宋体" w:cs="宋体"/>
          <w:bCs/>
          <w:color w:val="auto"/>
          <w:kern w:val="0"/>
          <w:sz w:val="24"/>
          <w:highlight w:val="none"/>
          <w:lang w:val="en-US" w:eastAsia="zh-CN"/>
        </w:rPr>
        <w:t>中标人</w:t>
      </w:r>
      <w:r>
        <w:rPr>
          <w:rFonts w:hint="eastAsia" w:ascii="宋体" w:hAnsi="宋体" w:eastAsia="宋体" w:cs="宋体"/>
          <w:bCs/>
          <w:color w:val="auto"/>
          <w:kern w:val="0"/>
          <w:sz w:val="24"/>
          <w:highlight w:val="none"/>
          <w:lang w:val="en-US"/>
        </w:rPr>
        <w:t>承担），</w:t>
      </w:r>
      <w:r>
        <w:rPr>
          <w:rFonts w:hint="eastAsia" w:ascii="宋体" w:hAnsi="宋体" w:eastAsia="宋体" w:cs="宋体"/>
          <w:bCs/>
          <w:color w:val="auto"/>
          <w:kern w:val="0"/>
          <w:sz w:val="24"/>
          <w:highlight w:val="none"/>
          <w:lang w:val="en-US" w:eastAsia="zh-CN"/>
        </w:rPr>
        <w:t>采购人</w:t>
      </w:r>
      <w:r>
        <w:rPr>
          <w:rFonts w:hint="eastAsia" w:ascii="宋体" w:hAnsi="宋体" w:eastAsia="宋体" w:cs="宋体"/>
          <w:bCs/>
          <w:color w:val="auto"/>
          <w:kern w:val="0"/>
          <w:sz w:val="24"/>
          <w:highlight w:val="none"/>
          <w:lang w:val="en-US"/>
        </w:rPr>
        <w:t>不承担任何费用</w:t>
      </w:r>
      <w:r>
        <w:rPr>
          <w:rFonts w:hint="eastAsia" w:ascii="宋体" w:hAnsi="宋体" w:eastAsia="宋体" w:cs="宋体"/>
          <w:bCs/>
          <w:color w:val="auto"/>
          <w:kern w:val="0"/>
          <w:sz w:val="24"/>
          <w:highlight w:val="none"/>
          <w:lang w:val="en-US" w:eastAsia="zh-CN"/>
        </w:rPr>
        <w:t>。</w:t>
      </w:r>
    </w:p>
    <w:p w14:paraId="705CA82C">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2.自动售卖机</w:t>
      </w:r>
      <w:r>
        <w:rPr>
          <w:rFonts w:hint="eastAsia" w:ascii="宋体" w:hAnsi="宋体" w:eastAsia="宋体" w:cs="宋体"/>
          <w:bCs/>
          <w:color w:val="auto"/>
          <w:kern w:val="0"/>
          <w:sz w:val="24"/>
          <w:highlight w:val="none"/>
          <w:lang w:val="en-US"/>
        </w:rPr>
        <w:t>支付方式多</w:t>
      </w:r>
      <w:r>
        <w:rPr>
          <w:rFonts w:hint="eastAsia" w:ascii="宋体" w:hAnsi="宋体" w:eastAsia="宋体" w:cs="宋体"/>
          <w:bCs/>
          <w:color w:val="auto"/>
          <w:kern w:val="0"/>
          <w:sz w:val="24"/>
          <w:highlight w:val="none"/>
          <w:lang w:val="en-US" w:eastAsia="zh-CN"/>
        </w:rPr>
        <w:t>样</w:t>
      </w:r>
      <w:r>
        <w:rPr>
          <w:rFonts w:hint="eastAsia" w:ascii="宋体" w:hAnsi="宋体" w:eastAsia="宋体" w:cs="宋体"/>
          <w:bCs/>
          <w:color w:val="auto"/>
          <w:kern w:val="0"/>
          <w:sz w:val="24"/>
          <w:highlight w:val="none"/>
          <w:lang w:val="en-US"/>
        </w:rPr>
        <w:t>化，含现金、银行卡、支付宝、微信等支付形式；</w:t>
      </w:r>
      <w:r>
        <w:rPr>
          <w:rFonts w:hint="eastAsia" w:ascii="宋体" w:hAnsi="宋体" w:eastAsia="宋体" w:cs="宋体"/>
          <w:bCs/>
          <w:color w:val="auto"/>
          <w:kern w:val="0"/>
          <w:sz w:val="24"/>
          <w:highlight w:val="none"/>
          <w:lang w:val="en-US" w:eastAsia="zh-CN"/>
        </w:rPr>
        <w:t>商品</w:t>
      </w:r>
      <w:r>
        <w:rPr>
          <w:rFonts w:hint="eastAsia" w:ascii="宋体" w:hAnsi="宋体" w:eastAsia="宋体" w:cs="宋体"/>
          <w:bCs/>
          <w:color w:val="auto"/>
          <w:kern w:val="0"/>
          <w:sz w:val="24"/>
          <w:highlight w:val="none"/>
          <w:lang w:val="en-US"/>
        </w:rPr>
        <w:t>品牌、种类多样化，明码标价，售价不得高于市场价</w:t>
      </w:r>
      <w:r>
        <w:rPr>
          <w:rFonts w:hint="eastAsia" w:ascii="宋体" w:hAnsi="宋体" w:eastAsia="宋体" w:cs="宋体"/>
          <w:bCs/>
          <w:color w:val="auto"/>
          <w:kern w:val="0"/>
          <w:sz w:val="24"/>
          <w:highlight w:val="none"/>
          <w:lang w:val="en-US" w:eastAsia="zh-CN"/>
        </w:rPr>
        <w:t>。</w:t>
      </w:r>
    </w:p>
    <w:p w14:paraId="0C50DEDB">
      <w:pPr>
        <w:widowControl/>
        <w:tabs>
          <w:tab w:val="left" w:pos="851"/>
        </w:tabs>
        <w:adjustRightInd/>
        <w:spacing w:line="360" w:lineRule="auto"/>
        <w:ind w:firstLine="480" w:firstLineChars="200"/>
        <w:rPr>
          <w:rFonts w:hint="default"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3.</w:t>
      </w:r>
      <w:r>
        <w:rPr>
          <w:rFonts w:hint="eastAsia" w:ascii="宋体" w:hAnsi="宋体" w:eastAsia="宋体" w:cs="宋体"/>
          <w:bCs/>
          <w:color w:val="auto"/>
          <w:kern w:val="0"/>
          <w:sz w:val="24"/>
          <w:highlight w:val="none"/>
          <w:lang w:val="en-US"/>
        </w:rPr>
        <w:t>供应商提供的设备必须符合</w:t>
      </w:r>
      <w:r>
        <w:rPr>
          <w:rFonts w:hint="eastAsia" w:ascii="宋体" w:hAnsi="宋体" w:eastAsia="宋体" w:cs="宋体"/>
          <w:bCs/>
          <w:color w:val="auto"/>
          <w:kern w:val="0"/>
          <w:sz w:val="24"/>
          <w:highlight w:val="none"/>
          <w:lang w:val="en-US" w:eastAsia="zh-CN"/>
        </w:rPr>
        <w:t>自动售卖机</w:t>
      </w:r>
      <w:r>
        <w:rPr>
          <w:rFonts w:hint="eastAsia" w:ascii="宋体" w:hAnsi="宋体" w:eastAsia="宋体" w:cs="宋体"/>
          <w:bCs/>
          <w:color w:val="auto"/>
          <w:kern w:val="0"/>
          <w:sz w:val="24"/>
          <w:highlight w:val="none"/>
          <w:lang w:val="en-US"/>
        </w:rPr>
        <w:t>的相关行业规范和国家规定，并由</w:t>
      </w:r>
      <w:r>
        <w:rPr>
          <w:rFonts w:hint="eastAsia" w:ascii="宋体" w:hAnsi="宋体" w:eastAsia="宋体" w:cs="宋体"/>
          <w:bCs/>
          <w:color w:val="auto"/>
          <w:kern w:val="0"/>
          <w:sz w:val="24"/>
          <w:highlight w:val="none"/>
          <w:lang w:val="en-US" w:eastAsia="zh-CN"/>
        </w:rPr>
        <w:t>中标人</w:t>
      </w:r>
      <w:r>
        <w:rPr>
          <w:rFonts w:hint="eastAsia" w:ascii="宋体" w:hAnsi="宋体" w:eastAsia="宋体" w:cs="宋体"/>
          <w:bCs/>
          <w:color w:val="auto"/>
          <w:kern w:val="0"/>
          <w:sz w:val="24"/>
          <w:highlight w:val="none"/>
          <w:lang w:val="en-US"/>
        </w:rPr>
        <w:t>负责设备的日常运</w:t>
      </w:r>
      <w:r>
        <w:rPr>
          <w:rFonts w:hint="eastAsia" w:ascii="宋体" w:hAnsi="宋体" w:eastAsia="宋体" w:cs="宋体"/>
          <w:bCs/>
          <w:color w:val="auto"/>
          <w:kern w:val="0"/>
          <w:sz w:val="24"/>
          <w:highlight w:val="none"/>
          <w:lang w:val="en-US" w:eastAsia="zh-CN"/>
        </w:rPr>
        <w:t>营</w:t>
      </w:r>
      <w:r>
        <w:rPr>
          <w:rFonts w:hint="eastAsia" w:ascii="宋体" w:hAnsi="宋体" w:eastAsia="宋体" w:cs="宋体"/>
          <w:bCs/>
          <w:color w:val="auto"/>
          <w:kern w:val="0"/>
          <w:sz w:val="24"/>
          <w:highlight w:val="none"/>
          <w:lang w:val="en-US"/>
        </w:rPr>
        <w:t>维护</w:t>
      </w:r>
      <w:r>
        <w:rPr>
          <w:rFonts w:hint="eastAsia" w:ascii="宋体" w:hAnsi="宋体" w:eastAsia="宋体" w:cs="宋体"/>
          <w:bCs/>
          <w:color w:val="auto"/>
          <w:kern w:val="0"/>
          <w:sz w:val="24"/>
          <w:highlight w:val="none"/>
          <w:lang w:val="en-US" w:eastAsia="zh-CN"/>
        </w:rPr>
        <w:t>、及时补货，并设立服务热线，对自动售卖机服务提供技术维护支持。</w:t>
      </w:r>
    </w:p>
    <w:p w14:paraId="12F2D203">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4.中标人</w:t>
      </w:r>
      <w:r>
        <w:rPr>
          <w:rFonts w:hint="eastAsia" w:ascii="宋体" w:hAnsi="宋体" w:eastAsia="宋体" w:cs="宋体"/>
          <w:bCs/>
          <w:color w:val="auto"/>
          <w:kern w:val="0"/>
          <w:sz w:val="24"/>
          <w:highlight w:val="none"/>
          <w:lang w:val="en-US"/>
        </w:rPr>
        <w:t>有权派人员定期或不定期进入经营场地进行自动售卖机的更换、维护，但需向</w:t>
      </w:r>
      <w:r>
        <w:rPr>
          <w:rFonts w:hint="eastAsia" w:ascii="宋体" w:hAnsi="宋体" w:eastAsia="宋体" w:cs="宋体"/>
          <w:bCs/>
          <w:color w:val="auto"/>
          <w:kern w:val="0"/>
          <w:sz w:val="24"/>
          <w:highlight w:val="none"/>
          <w:lang w:val="en-US" w:eastAsia="zh-CN"/>
        </w:rPr>
        <w:t>采购人</w:t>
      </w:r>
      <w:r>
        <w:rPr>
          <w:rFonts w:hint="eastAsia" w:ascii="宋体" w:hAnsi="宋体" w:eastAsia="宋体" w:cs="宋体"/>
          <w:bCs/>
          <w:color w:val="auto"/>
          <w:kern w:val="0"/>
          <w:sz w:val="24"/>
          <w:highlight w:val="none"/>
          <w:lang w:val="en-US"/>
        </w:rPr>
        <w:t>表明身份，并说明目的，</w:t>
      </w:r>
      <w:r>
        <w:rPr>
          <w:rFonts w:hint="eastAsia" w:ascii="宋体" w:hAnsi="宋体" w:eastAsia="宋体" w:cs="宋体"/>
          <w:bCs/>
          <w:color w:val="auto"/>
          <w:kern w:val="0"/>
          <w:sz w:val="24"/>
          <w:highlight w:val="none"/>
          <w:lang w:val="en-US" w:eastAsia="zh-CN"/>
        </w:rPr>
        <w:t>采购人</w:t>
      </w:r>
      <w:r>
        <w:rPr>
          <w:rFonts w:hint="eastAsia" w:ascii="宋体" w:hAnsi="宋体" w:eastAsia="宋体" w:cs="宋体"/>
          <w:bCs/>
          <w:color w:val="auto"/>
          <w:kern w:val="0"/>
          <w:sz w:val="24"/>
          <w:highlight w:val="none"/>
          <w:lang w:val="en-US"/>
        </w:rPr>
        <w:t>可对前述人员的身份进行核实</w:t>
      </w:r>
      <w:r>
        <w:rPr>
          <w:rFonts w:hint="eastAsia" w:ascii="宋体" w:hAnsi="宋体" w:eastAsia="宋体" w:cs="宋体"/>
          <w:bCs/>
          <w:color w:val="auto"/>
          <w:kern w:val="0"/>
          <w:sz w:val="24"/>
          <w:highlight w:val="none"/>
          <w:lang w:val="en-US" w:eastAsia="zh-CN"/>
        </w:rPr>
        <w:t>。</w:t>
      </w:r>
    </w:p>
    <w:p w14:paraId="44FBB197">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5.</w:t>
      </w:r>
      <w:r>
        <w:rPr>
          <w:rFonts w:hint="eastAsia" w:ascii="宋体" w:hAnsi="宋体" w:eastAsia="宋体" w:cs="宋体"/>
          <w:bCs/>
          <w:color w:val="auto"/>
          <w:kern w:val="0"/>
          <w:sz w:val="24"/>
          <w:highlight w:val="none"/>
          <w:lang w:val="en-US"/>
        </w:rPr>
        <w:t>经营过程需办理的相关许可证书等申报手续由</w:t>
      </w:r>
      <w:r>
        <w:rPr>
          <w:rFonts w:hint="eastAsia" w:ascii="宋体" w:hAnsi="宋体" w:eastAsia="宋体" w:cs="宋体"/>
          <w:bCs/>
          <w:color w:val="auto"/>
          <w:kern w:val="0"/>
          <w:sz w:val="24"/>
          <w:highlight w:val="none"/>
          <w:lang w:val="en-US" w:eastAsia="zh-CN"/>
        </w:rPr>
        <w:t>中标人</w:t>
      </w:r>
      <w:r>
        <w:rPr>
          <w:rFonts w:hint="eastAsia" w:ascii="宋体" w:hAnsi="宋体" w:eastAsia="宋体" w:cs="宋体"/>
          <w:bCs/>
          <w:color w:val="auto"/>
          <w:kern w:val="0"/>
          <w:sz w:val="24"/>
          <w:highlight w:val="none"/>
          <w:lang w:val="en-US"/>
        </w:rPr>
        <w:t>自行办理，与</w:t>
      </w:r>
      <w:r>
        <w:rPr>
          <w:rFonts w:hint="eastAsia" w:ascii="宋体" w:hAnsi="宋体" w:eastAsia="宋体" w:cs="宋体"/>
          <w:bCs/>
          <w:color w:val="auto"/>
          <w:kern w:val="0"/>
          <w:sz w:val="24"/>
          <w:highlight w:val="none"/>
          <w:lang w:val="en-US" w:eastAsia="zh-CN"/>
        </w:rPr>
        <w:t>采购人</w:t>
      </w:r>
      <w:r>
        <w:rPr>
          <w:rFonts w:hint="eastAsia" w:ascii="宋体" w:hAnsi="宋体" w:eastAsia="宋体" w:cs="宋体"/>
          <w:bCs/>
          <w:color w:val="auto"/>
          <w:kern w:val="0"/>
          <w:sz w:val="24"/>
          <w:highlight w:val="none"/>
          <w:lang w:val="en-US"/>
        </w:rPr>
        <w:t>无关</w:t>
      </w:r>
      <w:r>
        <w:rPr>
          <w:rFonts w:hint="eastAsia" w:ascii="宋体" w:hAnsi="宋体" w:eastAsia="宋体" w:cs="宋体"/>
          <w:bCs/>
          <w:color w:val="auto"/>
          <w:kern w:val="0"/>
          <w:sz w:val="24"/>
          <w:highlight w:val="none"/>
          <w:lang w:val="en-US" w:eastAsia="zh-CN"/>
        </w:rPr>
        <w:t>。</w:t>
      </w:r>
    </w:p>
    <w:p w14:paraId="6041DA57">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6.中标人</w:t>
      </w:r>
      <w:r>
        <w:rPr>
          <w:rFonts w:hint="eastAsia" w:ascii="宋体" w:hAnsi="宋体" w:eastAsia="宋体" w:cs="宋体"/>
          <w:bCs/>
          <w:color w:val="auto"/>
          <w:kern w:val="0"/>
          <w:sz w:val="24"/>
          <w:highlight w:val="none"/>
          <w:lang w:val="en-US"/>
        </w:rPr>
        <w:t>所供</w:t>
      </w:r>
      <w:r>
        <w:rPr>
          <w:rFonts w:hint="eastAsia" w:ascii="宋体" w:hAnsi="宋体" w:eastAsia="宋体" w:cs="宋体"/>
          <w:bCs/>
          <w:color w:val="auto"/>
          <w:kern w:val="0"/>
          <w:sz w:val="24"/>
          <w:highlight w:val="none"/>
          <w:lang w:val="en-US" w:eastAsia="zh-CN"/>
        </w:rPr>
        <w:t>商品</w:t>
      </w:r>
      <w:r>
        <w:rPr>
          <w:rFonts w:hint="eastAsia" w:ascii="宋体" w:hAnsi="宋体" w:eastAsia="宋体" w:cs="宋体"/>
          <w:bCs/>
          <w:color w:val="auto"/>
          <w:kern w:val="0"/>
          <w:sz w:val="24"/>
          <w:highlight w:val="none"/>
          <w:lang w:val="en-US"/>
        </w:rPr>
        <w:t>必须是正规厂家生产的定型包装食品（密封包装），其产品质量符合食品卫生标准，经检查合格且在质保期内</w:t>
      </w:r>
      <w:r>
        <w:rPr>
          <w:rFonts w:hint="eastAsia" w:ascii="宋体" w:hAnsi="宋体" w:eastAsia="宋体" w:cs="宋体"/>
          <w:bCs/>
          <w:color w:val="auto"/>
          <w:kern w:val="0"/>
          <w:sz w:val="24"/>
          <w:highlight w:val="none"/>
          <w:lang w:val="en-US" w:eastAsia="zh-CN"/>
        </w:rPr>
        <w:t>。</w:t>
      </w:r>
    </w:p>
    <w:p w14:paraId="4A542A19">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7.自动售卖机的所有权、经营权归中标人所有。</w:t>
      </w:r>
    </w:p>
    <w:p w14:paraId="02786FDF">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8.</w:t>
      </w:r>
      <w:r>
        <w:rPr>
          <w:rFonts w:hint="eastAsia" w:ascii="宋体" w:hAnsi="宋体" w:eastAsia="宋体" w:cs="宋体"/>
          <w:bCs/>
          <w:color w:val="auto"/>
          <w:kern w:val="0"/>
          <w:sz w:val="24"/>
          <w:highlight w:val="none"/>
          <w:lang w:val="en-US"/>
        </w:rPr>
        <w:t>经营费用及产生的债权、债务由</w:t>
      </w:r>
      <w:r>
        <w:rPr>
          <w:rFonts w:hint="eastAsia" w:ascii="宋体" w:hAnsi="宋体" w:eastAsia="宋体" w:cs="宋体"/>
          <w:bCs/>
          <w:color w:val="auto"/>
          <w:kern w:val="0"/>
          <w:sz w:val="24"/>
          <w:highlight w:val="none"/>
          <w:lang w:val="en-US" w:eastAsia="zh-CN"/>
        </w:rPr>
        <w:t>中标人</w:t>
      </w:r>
      <w:r>
        <w:rPr>
          <w:rFonts w:hint="eastAsia" w:ascii="宋体" w:hAnsi="宋体" w:eastAsia="宋体" w:cs="宋体"/>
          <w:bCs/>
          <w:color w:val="auto"/>
          <w:kern w:val="0"/>
          <w:sz w:val="24"/>
          <w:highlight w:val="none"/>
          <w:lang w:val="en-US"/>
        </w:rPr>
        <w:t>承担。</w:t>
      </w:r>
      <w:r>
        <w:rPr>
          <w:rFonts w:hint="eastAsia" w:ascii="宋体" w:hAnsi="宋体" w:eastAsia="宋体" w:cs="宋体"/>
          <w:bCs/>
          <w:color w:val="auto"/>
          <w:kern w:val="0"/>
          <w:sz w:val="24"/>
          <w:highlight w:val="none"/>
          <w:lang w:val="en-US" w:eastAsia="zh-CN"/>
        </w:rPr>
        <w:t>中标人</w:t>
      </w:r>
      <w:r>
        <w:rPr>
          <w:rFonts w:hint="eastAsia" w:ascii="宋体" w:hAnsi="宋体" w:eastAsia="宋体" w:cs="宋体"/>
          <w:bCs/>
          <w:color w:val="auto"/>
          <w:kern w:val="0"/>
          <w:sz w:val="24"/>
          <w:highlight w:val="none"/>
          <w:lang w:val="en-US"/>
        </w:rPr>
        <w:t>不得擅自将该项目转租、出让给他人，如有违反，</w:t>
      </w:r>
      <w:r>
        <w:rPr>
          <w:rFonts w:hint="eastAsia" w:ascii="宋体" w:hAnsi="宋体" w:eastAsia="宋体" w:cs="宋体"/>
          <w:bCs/>
          <w:color w:val="auto"/>
          <w:kern w:val="0"/>
          <w:sz w:val="24"/>
          <w:highlight w:val="none"/>
          <w:lang w:val="en-US" w:eastAsia="zh-CN"/>
        </w:rPr>
        <w:t>采购人</w:t>
      </w:r>
      <w:r>
        <w:rPr>
          <w:rFonts w:hint="eastAsia" w:ascii="宋体" w:hAnsi="宋体" w:eastAsia="宋体" w:cs="宋体"/>
          <w:bCs/>
          <w:color w:val="auto"/>
          <w:kern w:val="0"/>
          <w:sz w:val="24"/>
          <w:highlight w:val="none"/>
          <w:lang w:val="en-US"/>
        </w:rPr>
        <w:t>有权终止合同</w:t>
      </w:r>
      <w:r>
        <w:rPr>
          <w:rFonts w:hint="eastAsia" w:ascii="宋体" w:hAnsi="宋体" w:eastAsia="宋体" w:cs="宋体"/>
          <w:bCs/>
          <w:color w:val="auto"/>
          <w:kern w:val="0"/>
          <w:sz w:val="24"/>
          <w:highlight w:val="none"/>
          <w:lang w:val="en-US" w:eastAsia="zh-CN"/>
        </w:rPr>
        <w:t>。</w:t>
      </w:r>
    </w:p>
    <w:p w14:paraId="2FB8ABA1">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rPr>
      </w:pPr>
      <w:r>
        <w:rPr>
          <w:rFonts w:hint="eastAsia" w:ascii="宋体" w:hAnsi="宋体" w:eastAsia="宋体" w:cs="宋体"/>
          <w:bCs/>
          <w:color w:val="auto"/>
          <w:kern w:val="0"/>
          <w:sz w:val="24"/>
          <w:highlight w:val="none"/>
          <w:lang w:val="en-US" w:eastAsia="zh-CN"/>
        </w:rPr>
        <w:t>9.中标人</w:t>
      </w:r>
      <w:r>
        <w:rPr>
          <w:rFonts w:hint="eastAsia" w:ascii="宋体" w:hAnsi="宋体" w:eastAsia="宋体" w:cs="宋体"/>
          <w:bCs/>
          <w:color w:val="auto"/>
          <w:kern w:val="0"/>
          <w:sz w:val="24"/>
          <w:highlight w:val="none"/>
          <w:lang w:val="en-US"/>
        </w:rPr>
        <w:t>不得进行上述以外的产品销售、机体广告投放等额外的经营内容。</w:t>
      </w:r>
    </w:p>
    <w:p w14:paraId="2B7F9165">
      <w:pPr>
        <w:widowControl/>
        <w:tabs>
          <w:tab w:val="left" w:pos="851"/>
        </w:tabs>
        <w:adjustRightInd/>
        <w:spacing w:line="360" w:lineRule="auto"/>
        <w:ind w:firstLine="480" w:firstLineChars="200"/>
        <w:rPr>
          <w:rFonts w:hint="default"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10.中标人须根据采购人要求，机体投放公益性广告。</w:t>
      </w:r>
    </w:p>
    <w:p w14:paraId="309F6C1E">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11.中标人在合作期间应承担自动售卖机的保洁责任，自动售卖机机身出现污渍时应及时进行清理。</w:t>
      </w:r>
    </w:p>
    <w:p w14:paraId="46B865EC">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12.中标人应无条件配合服从场馆工作人员的管理。</w:t>
      </w:r>
    </w:p>
    <w:p w14:paraId="110BDF23">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13.合同期内，如遇市政建设等原因需撤柜的，中标人须服从采购人的统一安排和规划进行搬运，由此产生的所有费用均由中标人承担。</w:t>
      </w:r>
    </w:p>
    <w:p w14:paraId="482600C4">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14.如因自动售卖机质量、性能或销售的商品等内在原因给顾客造成损害，责任由中标人承担。</w:t>
      </w:r>
    </w:p>
    <w:p w14:paraId="7F38F958">
      <w:pPr>
        <w:widowControl/>
        <w:tabs>
          <w:tab w:val="left" w:pos="851"/>
        </w:tabs>
        <w:adjustRightInd/>
        <w:spacing w:line="360" w:lineRule="auto"/>
        <w:ind w:firstLine="480" w:firstLineChars="200"/>
        <w:rPr>
          <w:rFonts w:hint="default"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15.如因自动售卖机质量等内在原因导致漏电等安全事故发生，由此产生的一切责任和后果由中标人承担，与招标人无关。</w:t>
      </w:r>
    </w:p>
    <w:p w14:paraId="0402E315">
      <w:pPr>
        <w:widowControl/>
        <w:tabs>
          <w:tab w:val="left" w:pos="851"/>
        </w:tabs>
        <w:adjustRightInd/>
        <w:spacing w:line="360" w:lineRule="auto"/>
        <w:ind w:firstLine="480" w:firstLineChars="200"/>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c.费用结算</w:t>
      </w:r>
    </w:p>
    <w:p w14:paraId="61A9FA94">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1.自动售卖机投放所产生的收益中标人所有（自负盈亏）。</w:t>
      </w:r>
    </w:p>
    <w:p w14:paraId="3EBE17B1">
      <w:pPr>
        <w:widowControl/>
        <w:tabs>
          <w:tab w:val="left" w:pos="851"/>
        </w:tabs>
        <w:adjustRightInd/>
        <w:spacing w:line="360" w:lineRule="auto"/>
        <w:ind w:firstLine="480" w:firstLineChars="200"/>
        <w:rPr>
          <w:rFonts w:hint="default"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2.自动售卖机费用不参与报价评审，不作下浮，采购人根据评估价（含场地租赁费和水单费）在应付养护费（固定支付部分）中直接扣除。</w:t>
      </w:r>
    </w:p>
    <w:p w14:paraId="3075AFE0">
      <w:pPr>
        <w:widowControl/>
        <w:tabs>
          <w:tab w:val="left" w:pos="851"/>
        </w:tabs>
        <w:adjustRightInd/>
        <w:spacing w:line="360" w:lineRule="auto"/>
        <w:outlineLvl w:val="1"/>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（三）水电费要求</w:t>
      </w:r>
    </w:p>
    <w:p w14:paraId="12F5B628">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rPr>
      </w:pPr>
      <w:r>
        <w:rPr>
          <w:rFonts w:hint="eastAsia" w:ascii="宋体" w:hAnsi="宋体" w:eastAsia="宋体" w:cs="宋体"/>
          <w:bCs/>
          <w:color w:val="auto"/>
          <w:kern w:val="0"/>
          <w:sz w:val="24"/>
          <w:highlight w:val="none"/>
          <w:lang w:val="en-US"/>
        </w:rPr>
        <w:t>（1）本标项涉及的所有水电费均已包含在投标报价中，投标人投标报价时应予以充分考虑。本标项近一年水费、电费情况如下表示：</w:t>
      </w:r>
    </w:p>
    <w:tbl>
      <w:tblPr>
        <w:tblStyle w:val="62"/>
        <w:tblW w:w="7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3"/>
        <w:gridCol w:w="2266"/>
        <w:gridCol w:w="3189"/>
      </w:tblGrid>
      <w:tr w14:paraId="7EABE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1923" w:type="dxa"/>
            <w:vAlign w:val="center"/>
          </w:tcPr>
          <w:p w14:paraId="3463E7C6">
            <w:pPr>
              <w:widowControl w:val="0"/>
              <w:adjustRightInd w:val="0"/>
              <w:snapToGrid w:val="0"/>
              <w:spacing w:line="240" w:lineRule="auto"/>
              <w:ind w:firstLine="0" w:firstLineChars="0"/>
              <w:jc w:val="center"/>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水费</w:t>
            </w:r>
          </w:p>
        </w:tc>
        <w:tc>
          <w:tcPr>
            <w:tcW w:w="2266" w:type="dxa"/>
            <w:vAlign w:val="center"/>
          </w:tcPr>
          <w:p w14:paraId="240E45ED">
            <w:pPr>
              <w:widowControl w:val="0"/>
              <w:adjustRightInd w:val="0"/>
              <w:snapToGrid w:val="0"/>
              <w:spacing w:line="240" w:lineRule="auto"/>
              <w:ind w:firstLine="0" w:firstLineChars="0"/>
              <w:jc w:val="center"/>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电费</w:t>
            </w:r>
          </w:p>
        </w:tc>
        <w:tc>
          <w:tcPr>
            <w:tcW w:w="3189" w:type="dxa"/>
            <w:vAlign w:val="center"/>
          </w:tcPr>
          <w:p w14:paraId="46DDF286">
            <w:pPr>
              <w:widowControl w:val="0"/>
              <w:adjustRightInd w:val="0"/>
              <w:snapToGrid w:val="0"/>
              <w:spacing w:line="240" w:lineRule="auto"/>
              <w:ind w:firstLine="0" w:firstLineChars="0"/>
              <w:jc w:val="center"/>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备注</w:t>
            </w:r>
          </w:p>
        </w:tc>
      </w:tr>
      <w:tr w14:paraId="5DDA5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923" w:type="dxa"/>
            <w:vAlign w:val="center"/>
          </w:tcPr>
          <w:p w14:paraId="3CDB4093">
            <w:pPr>
              <w:keepNext w:val="0"/>
              <w:keepLines w:val="0"/>
              <w:widowControl/>
              <w:suppressLineNumbers w:val="0"/>
              <w:jc w:val="center"/>
              <w:textAlignment w:val="center"/>
              <w:rPr>
                <w:rFonts w:hint="default" w:ascii="宋体" w:hAnsi="宋体" w:eastAsia="宋体" w:cs="宋体"/>
                <w:color w:val="auto"/>
                <w:sz w:val="24"/>
                <w:szCs w:val="24"/>
                <w:highlight w:val="none"/>
                <w:lang w:val="en-US"/>
              </w:rPr>
            </w:pPr>
            <w:r>
              <w:rPr>
                <w:rFonts w:hint="eastAsia" w:ascii="宋体" w:hAnsi="宋体" w:eastAsia="宋体" w:cs="宋体"/>
                <w:i w:val="0"/>
                <w:iCs w:val="0"/>
                <w:color w:val="auto"/>
                <w:kern w:val="0"/>
                <w:sz w:val="24"/>
                <w:szCs w:val="24"/>
                <w:highlight w:val="none"/>
                <w:u w:val="none"/>
                <w:lang w:val="en-US" w:eastAsia="zh-CN" w:bidi="ar"/>
              </w:rPr>
              <w:t>12.8万元</w:t>
            </w:r>
          </w:p>
        </w:tc>
        <w:tc>
          <w:tcPr>
            <w:tcW w:w="2266" w:type="dxa"/>
            <w:vAlign w:val="center"/>
          </w:tcPr>
          <w:p w14:paraId="4BA52F59">
            <w:pPr>
              <w:keepNext w:val="0"/>
              <w:keepLines w:val="0"/>
              <w:widowControl/>
              <w:suppressLineNumbers w:val="0"/>
              <w:jc w:val="center"/>
              <w:textAlignment w:val="center"/>
              <w:rPr>
                <w:rFonts w:hint="default" w:ascii="宋体" w:hAnsi="宋体" w:eastAsia="宋体" w:cs="宋体"/>
                <w:color w:val="auto"/>
                <w:sz w:val="24"/>
                <w:szCs w:val="24"/>
                <w:highlight w:val="none"/>
                <w:lang w:val="en-US"/>
              </w:rPr>
            </w:pPr>
            <w:r>
              <w:rPr>
                <w:rFonts w:hint="eastAsia" w:ascii="宋体" w:hAnsi="宋体" w:eastAsia="宋体" w:cs="宋体"/>
                <w:i w:val="0"/>
                <w:iCs w:val="0"/>
                <w:color w:val="auto"/>
                <w:kern w:val="0"/>
                <w:sz w:val="24"/>
                <w:szCs w:val="24"/>
                <w:highlight w:val="none"/>
                <w:u w:val="none"/>
                <w:lang w:val="en-US" w:eastAsia="zh-CN" w:bidi="ar"/>
              </w:rPr>
              <w:t>31万元</w:t>
            </w:r>
          </w:p>
        </w:tc>
        <w:tc>
          <w:tcPr>
            <w:tcW w:w="3189" w:type="dxa"/>
            <w:vAlign w:val="center"/>
          </w:tcPr>
          <w:p w14:paraId="03E4511C">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除办公用房外</w:t>
            </w:r>
          </w:p>
        </w:tc>
      </w:tr>
    </w:tbl>
    <w:p w14:paraId="16E0B5DA">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（2）公园用水、用电与当年气候条件、游客数量、公园建设等不确定因素存在极大关联，因此，以上数据仅是历史数据供投标人了解，并不作为本项目服务期内的实际水电使用情况预计使用。</w:t>
      </w:r>
    </w:p>
    <w:p w14:paraId="3AFEAD86">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3）由于水电费划扣单位为采购人（水电费由采购人代缴），因此，中标人与采购人签订合同后，应在规定时间提前预交三个月用作待扣款，每两个月向采购人按代缴水电费实际总额划至采购人指定账户，以确保水电费的成功划扣。</w:t>
      </w:r>
    </w:p>
    <w:p w14:paraId="74B6D100">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（4）实际发生水电费在43.8万元内，按实际发生金额结算；实际发生水电费超出43.8万元的，超额部分由中标人自行承担，采购人不再额外支付。</w:t>
      </w:r>
    </w:p>
    <w:p w14:paraId="66D7A213">
      <w:pPr>
        <w:widowControl/>
        <w:tabs>
          <w:tab w:val="left" w:pos="851"/>
        </w:tabs>
        <w:adjustRightInd/>
        <w:spacing w:line="360" w:lineRule="auto"/>
        <w:outlineLvl w:val="1"/>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eastAsia="zh-CN"/>
        </w:rPr>
        <w:t>（</w:t>
      </w:r>
      <w:r>
        <w:rPr>
          <w:rFonts w:hint="eastAsia" w:ascii="宋体" w:hAnsi="宋体" w:eastAsia="宋体" w:cs="宋体"/>
          <w:b/>
          <w:color w:val="auto"/>
          <w:kern w:val="0"/>
          <w:sz w:val="24"/>
          <w:highlight w:val="none"/>
          <w:lang w:val="en-US" w:eastAsia="zh-CN"/>
        </w:rPr>
        <w:t>四</w:t>
      </w:r>
      <w:r>
        <w:rPr>
          <w:rFonts w:hint="eastAsia" w:ascii="宋体" w:hAnsi="宋体" w:eastAsia="宋体" w:cs="宋体"/>
          <w:b/>
          <w:color w:val="auto"/>
          <w:kern w:val="0"/>
          <w:sz w:val="24"/>
          <w:highlight w:val="none"/>
          <w:lang w:eastAsia="zh-CN"/>
        </w:rPr>
        <w:t>）</w:t>
      </w:r>
      <w:r>
        <w:rPr>
          <w:rFonts w:hint="eastAsia" w:ascii="宋体" w:hAnsi="宋体" w:eastAsia="宋体" w:cs="宋体"/>
          <w:b/>
          <w:color w:val="auto"/>
          <w:kern w:val="0"/>
          <w:sz w:val="24"/>
          <w:highlight w:val="none"/>
        </w:rPr>
        <w:t>其他要求</w:t>
      </w:r>
    </w:p>
    <w:p w14:paraId="3799FAF5">
      <w:pPr>
        <w:widowControl/>
        <w:tabs>
          <w:tab w:val="left" w:pos="851"/>
        </w:tabs>
        <w:adjustRightInd/>
        <w:spacing w:line="360" w:lineRule="auto"/>
        <w:ind w:firstLine="480" w:firstLineChars="200"/>
        <w:rPr>
          <w:rFonts w:hint="default"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完成本项目服务及相关作业人员开展日常作业必须配备的基本材料由中标人无条件提供和配备，包括且不限于人员服装、鞋帽、手套；垃圾袋、清洁剂等保洁用品及相关耗材，费用含入投标总价中，不另行支付。</w:t>
      </w:r>
    </w:p>
    <w:p w14:paraId="16A9EA8A">
      <w:pPr>
        <w:widowControl/>
        <w:tabs>
          <w:tab w:val="left" w:pos="851"/>
        </w:tabs>
        <w:adjustRightInd/>
        <w:spacing w:line="360" w:lineRule="auto"/>
        <w:outlineLvl w:val="1"/>
        <w:rPr>
          <w:rFonts w:ascii="宋体" w:hAnsi="宋体" w:eastAsia="宋体" w:cs="宋体"/>
          <w:b/>
          <w:color w:val="auto"/>
          <w:kern w:val="0"/>
          <w:sz w:val="24"/>
          <w:highlight w:val="none"/>
        </w:rPr>
      </w:pPr>
      <w:r>
        <w:rPr>
          <w:rFonts w:hint="eastAsia" w:ascii="宋体" w:hAnsi="宋体" w:eastAsia="宋体" w:cs="宋体"/>
          <w:b/>
          <w:color w:val="auto"/>
          <w:kern w:val="0"/>
          <w:szCs w:val="21"/>
          <w:highlight w:val="none"/>
        </w:rPr>
        <w:t>▲</w:t>
      </w:r>
      <w:r>
        <w:rPr>
          <w:rFonts w:hint="eastAsia" w:ascii="宋体" w:hAnsi="宋体" w:eastAsia="宋体" w:cs="宋体"/>
          <w:b/>
          <w:color w:val="auto"/>
          <w:kern w:val="0"/>
          <w:sz w:val="24"/>
          <w:highlight w:val="none"/>
          <w:lang w:val="en-US" w:eastAsia="zh-CN"/>
        </w:rPr>
        <w:t>十</w:t>
      </w:r>
      <w:r>
        <w:rPr>
          <w:rFonts w:hint="eastAsia" w:ascii="宋体" w:hAnsi="宋体" w:eastAsia="宋体" w:cs="宋体"/>
          <w:b/>
          <w:color w:val="auto"/>
          <w:kern w:val="0"/>
          <w:sz w:val="24"/>
          <w:highlight w:val="none"/>
        </w:rPr>
        <w:t>、其他要求</w:t>
      </w:r>
    </w:p>
    <w:p w14:paraId="739FAB4B">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rPr>
        <w:t>1</w:t>
      </w:r>
      <w:r>
        <w:rPr>
          <w:rFonts w:hint="eastAsia" w:ascii="宋体" w:hAnsi="宋体" w:cs="宋体"/>
          <w:bCs/>
          <w:color w:val="auto"/>
          <w:kern w:val="0"/>
          <w:sz w:val="24"/>
          <w:highlight w:val="none"/>
          <w:lang w:eastAsia="zh-CN"/>
        </w:rPr>
        <w:t>.</w:t>
      </w:r>
      <w:r>
        <w:rPr>
          <w:rFonts w:hint="eastAsia" w:ascii="宋体" w:hAnsi="宋体" w:eastAsia="宋体" w:cs="宋体"/>
          <w:bCs/>
          <w:color w:val="auto"/>
          <w:kern w:val="0"/>
          <w:sz w:val="24"/>
          <w:highlight w:val="none"/>
          <w:lang w:eastAsia="zh-CN"/>
        </w:rPr>
        <w:t>投标人承诺，投标文件中所列的所有信息真实准确。若采购人需要，将在接到采购人通知之日起，一日内备齐采购人所需核查的所有证明材料以及设备机械供采购人查验。若无法按时或充分提供相关证明材料及设备机械，同意采购人将其视为投标文件不真实，还可视情况追究相关投标人责任。</w:t>
      </w:r>
    </w:p>
    <w:p w14:paraId="1AF2A16E">
      <w:pPr>
        <w:widowControl/>
        <w:tabs>
          <w:tab w:val="left" w:pos="851"/>
        </w:tabs>
        <w:adjustRightInd/>
        <w:spacing w:line="360" w:lineRule="auto"/>
        <w:ind w:firstLine="480" w:firstLineChars="200"/>
        <w:rPr>
          <w:rFonts w:hint="eastAsia" w:ascii="宋体" w:hAnsi="宋体" w:eastAsia="宋体" w:cs="宋体"/>
          <w:bCs/>
          <w:color w:val="auto"/>
          <w:kern w:val="0"/>
          <w:sz w:val="24"/>
          <w:highlight w:val="none"/>
          <w:lang w:eastAsia="zh-CN"/>
        </w:rPr>
      </w:pPr>
      <w:r>
        <w:rPr>
          <w:rFonts w:hint="eastAsia" w:ascii="宋体" w:hAnsi="宋体" w:eastAsia="宋体" w:cs="宋体"/>
          <w:bCs/>
          <w:color w:val="auto"/>
          <w:kern w:val="0"/>
          <w:sz w:val="24"/>
          <w:highlight w:val="none"/>
          <w:lang w:val="en-US" w:eastAsia="zh-CN"/>
        </w:rPr>
        <w:t>2</w:t>
      </w:r>
      <w:r>
        <w:rPr>
          <w:rFonts w:hint="eastAsia" w:ascii="宋体" w:hAnsi="宋体" w:cs="宋体"/>
          <w:bCs/>
          <w:color w:val="auto"/>
          <w:kern w:val="0"/>
          <w:sz w:val="24"/>
          <w:highlight w:val="none"/>
          <w:lang w:val="en-US" w:eastAsia="zh-CN"/>
        </w:rPr>
        <w:t>.</w:t>
      </w:r>
      <w:r>
        <w:rPr>
          <w:rFonts w:hint="eastAsia" w:ascii="宋体" w:hAnsi="宋体" w:eastAsia="宋体" w:cs="宋体"/>
          <w:bCs/>
          <w:color w:val="auto"/>
          <w:kern w:val="0"/>
          <w:sz w:val="24"/>
          <w:highlight w:val="none"/>
          <w:lang w:eastAsia="zh-CN"/>
        </w:rPr>
        <w:t>投标人派驻项目团队内设项目管理团队和项目作业队伍。其中项目管理团队对采购人直接负责，按采购人要求，全面落实好本服务项目。同时项目管理团队通过对项目作业队伍作业人员进行聘用、培训、检查、考评，确保作业队伍人员的工作状态和作业质量，实现各专业块状的融合、互动、协作管理。而项目作业队伍对项目管理团队直接负责，通过专业化运作，条状管理，确保一线作业质量达到公园管理考核标准。</w:t>
      </w:r>
    </w:p>
    <w:p w14:paraId="757E998E">
      <w:pPr>
        <w:widowControl/>
        <w:tabs>
          <w:tab w:val="left" w:pos="851"/>
        </w:tabs>
        <w:adjustRightInd/>
        <w:spacing w:line="360" w:lineRule="auto"/>
        <w:ind w:firstLine="480" w:firstLineChars="200"/>
        <w:rPr>
          <w:rFonts w:hint="default"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3</w:t>
      </w:r>
      <w:r>
        <w:rPr>
          <w:rFonts w:hint="eastAsia" w:ascii="宋体" w:hAnsi="宋体" w:cs="宋体"/>
          <w:bCs/>
          <w:color w:val="auto"/>
          <w:kern w:val="0"/>
          <w:sz w:val="24"/>
          <w:highlight w:val="none"/>
          <w:lang w:val="en-US" w:eastAsia="zh-CN"/>
        </w:rPr>
        <w:t>.</w:t>
      </w:r>
      <w:r>
        <w:rPr>
          <w:rFonts w:hint="eastAsia" w:ascii="宋体" w:hAnsi="宋体" w:eastAsia="宋体" w:cs="宋体"/>
          <w:bCs/>
          <w:color w:val="auto"/>
          <w:kern w:val="0"/>
          <w:sz w:val="24"/>
          <w:highlight w:val="none"/>
          <w:lang w:eastAsia="zh-CN"/>
        </w:rPr>
        <w:t>所有服务于本项目的人员，均应为投标人自有聘用人员，若有转包、擅自违法分包行为，将严肃处理。除最基层的一线普通作业工人岗位，可由投标人项目管理部直接做出调整后报采购人备案外，其他岗位人员的调整均需事先书面报请采购人审核，经采购人审核同意后，跟班至少一周，方可正式交接更换。否则将作违约处理，扣减相应违约金，并有权单方取消合同。</w:t>
      </w:r>
    </w:p>
    <w:p w14:paraId="3F46B96C">
      <w:pPr>
        <w:widowControl/>
        <w:tabs>
          <w:tab w:val="left" w:pos="851"/>
        </w:tabs>
        <w:adjustRightInd/>
        <w:spacing w:line="360" w:lineRule="auto"/>
        <w:ind w:firstLine="480" w:firstLineChars="200"/>
        <w:rPr>
          <w:rFonts w:eastAsia="宋体"/>
          <w:color w:val="auto"/>
          <w:highlight w:val="none"/>
        </w:rPr>
      </w:pPr>
      <w:r>
        <w:rPr>
          <w:rFonts w:hint="eastAsia" w:ascii="宋体" w:hAnsi="宋体" w:eastAsia="宋体" w:cs="宋体"/>
          <w:bCs/>
          <w:color w:val="auto"/>
          <w:kern w:val="0"/>
          <w:sz w:val="24"/>
          <w:highlight w:val="none"/>
          <w:lang w:val="en-US" w:eastAsia="zh-CN"/>
        </w:rPr>
        <w:t>4</w:t>
      </w:r>
      <w:r>
        <w:rPr>
          <w:rFonts w:hint="eastAsia" w:ascii="宋体" w:hAnsi="宋体" w:cs="宋体"/>
          <w:bCs/>
          <w:color w:val="auto"/>
          <w:kern w:val="0"/>
          <w:sz w:val="24"/>
          <w:highlight w:val="none"/>
          <w:lang w:val="en-US" w:eastAsia="zh-CN"/>
        </w:rPr>
        <w:t>.</w:t>
      </w:r>
      <w:r>
        <w:rPr>
          <w:rFonts w:hint="eastAsia" w:ascii="宋体" w:hAnsi="宋体" w:eastAsia="宋体" w:cs="宋体"/>
          <w:bCs/>
          <w:color w:val="auto"/>
          <w:kern w:val="0"/>
          <w:sz w:val="24"/>
          <w:highlight w:val="none"/>
          <w:lang w:val="en-US" w:eastAsia="zh-CN"/>
        </w:rPr>
        <w:t>因政府政策原因或市政建设需要、征用土地、公园重大建设等因素，采购人有权根据实际情况单方终止或减少投标内容中的部分或全部内容，对应核减相关费用，中标人需无条件服从。</w:t>
      </w:r>
    </w:p>
    <w:p w14:paraId="35E13E1A">
      <w:pPr>
        <w:rPr>
          <w:highlight w:val="none"/>
        </w:rPr>
      </w:pPr>
    </w:p>
    <w:p w14:paraId="6CE6B9F6">
      <w:pPr>
        <w:widowControl/>
        <w:adjustRightInd/>
        <w:spacing w:line="360" w:lineRule="auto"/>
        <w:jc w:val="left"/>
        <w:outlineLvl w:val="1"/>
        <w:rPr>
          <w:rFonts w:hint="eastAsia" w:ascii="宋体" w:hAnsi="宋体" w:cs="宋体"/>
          <w:b/>
          <w:color w:val="auto"/>
          <w:kern w:val="0"/>
          <w:szCs w:val="21"/>
          <w:highlight w:val="none"/>
        </w:rPr>
      </w:pPr>
    </w:p>
    <w:p w14:paraId="71C99760">
      <w:pPr>
        <w:pStyle w:val="2"/>
        <w:rPr>
          <w:highlight w:val="none"/>
        </w:rPr>
        <w:sectPr>
          <w:pgSz w:w="11906" w:h="16838"/>
          <w:pgMar w:top="1418" w:right="1287" w:bottom="1134" w:left="1621" w:header="851" w:footer="992" w:gutter="0"/>
          <w:pgBorders>
            <w:top w:val="none" w:sz="0" w:space="0"/>
            <w:left w:val="none" w:sz="0" w:space="0"/>
            <w:bottom w:val="none" w:sz="0" w:space="0"/>
            <w:right w:val="none" w:sz="0" w:space="0"/>
          </w:pgBorders>
          <w:pgNumType w:fmt="decimal"/>
          <w:cols w:space="720" w:num="1"/>
          <w:titlePg/>
          <w:docGrid w:type="linesAndChars" w:linePitch="321" w:charSpace="0"/>
        </w:sectPr>
      </w:pPr>
    </w:p>
    <w:p w14:paraId="37A0A147">
      <w:pPr>
        <w:spacing w:line="360" w:lineRule="auto"/>
        <w:jc w:val="center"/>
        <w:outlineLvl w:val="0"/>
        <w:rPr>
          <w:rFonts w:ascii="宋体" w:hAnsi="宋体" w:cs="宋体"/>
          <w:b/>
          <w:color w:val="auto"/>
          <w:sz w:val="36"/>
          <w:szCs w:val="36"/>
          <w:highlight w:val="none"/>
        </w:rPr>
      </w:pPr>
      <w:bookmarkStart w:id="27" w:name="_Toc28372"/>
      <w:r>
        <w:rPr>
          <w:rFonts w:hint="eastAsia" w:ascii="宋体" w:hAnsi="宋体" w:cs="宋体"/>
          <w:b/>
          <w:color w:val="auto"/>
          <w:sz w:val="36"/>
          <w:szCs w:val="36"/>
          <w:highlight w:val="none"/>
        </w:rPr>
        <w:t xml:space="preserve">第四部分 </w:t>
      </w:r>
      <w:bookmarkStart w:id="28" w:name="_Toc184313256"/>
      <w:bookmarkEnd w:id="28"/>
      <w:bookmarkStart w:id="29" w:name="_Toc184313251"/>
      <w:bookmarkEnd w:id="29"/>
      <w:bookmarkStart w:id="30" w:name="_Toc184312123"/>
      <w:bookmarkEnd w:id="30"/>
      <w:bookmarkStart w:id="31" w:name="_Toc184314451"/>
      <w:bookmarkEnd w:id="31"/>
      <w:bookmarkStart w:id="32" w:name="_Toc184312076"/>
      <w:bookmarkEnd w:id="32"/>
      <w:bookmarkStart w:id="33" w:name="_Toc184314436"/>
      <w:bookmarkEnd w:id="33"/>
      <w:bookmarkStart w:id="34" w:name="_Toc184310322"/>
      <w:bookmarkEnd w:id="34"/>
      <w:bookmarkStart w:id="35" w:name="_Toc184314458"/>
      <w:bookmarkEnd w:id="35"/>
      <w:bookmarkStart w:id="36" w:name="_Toc184310339"/>
      <w:bookmarkEnd w:id="36"/>
      <w:bookmarkStart w:id="37" w:name="_Toc184308101"/>
      <w:bookmarkEnd w:id="37"/>
      <w:bookmarkStart w:id="38" w:name="_Toc184308061"/>
      <w:bookmarkEnd w:id="38"/>
      <w:bookmarkStart w:id="39" w:name="_Toc184313291"/>
      <w:bookmarkEnd w:id="39"/>
      <w:bookmarkStart w:id="40" w:name="_Toc184312102"/>
      <w:bookmarkEnd w:id="40"/>
      <w:bookmarkStart w:id="41" w:name="_Toc184310276"/>
      <w:bookmarkEnd w:id="41"/>
      <w:bookmarkStart w:id="42" w:name="_Toc184314461"/>
      <w:bookmarkEnd w:id="42"/>
      <w:bookmarkStart w:id="43" w:name="_Toc184308087"/>
      <w:bookmarkEnd w:id="43"/>
      <w:bookmarkStart w:id="44" w:name="_Toc184312069"/>
      <w:bookmarkEnd w:id="44"/>
      <w:bookmarkStart w:id="45" w:name="_Toc184308104"/>
      <w:bookmarkEnd w:id="45"/>
      <w:bookmarkStart w:id="46" w:name="_Toc184313285"/>
      <w:bookmarkEnd w:id="46"/>
      <w:bookmarkStart w:id="47" w:name="_Toc184312128"/>
      <w:bookmarkEnd w:id="47"/>
      <w:bookmarkStart w:id="48" w:name="_Toc184310294"/>
      <w:bookmarkEnd w:id="48"/>
      <w:bookmarkStart w:id="49" w:name="_Toc184310298"/>
      <w:bookmarkEnd w:id="49"/>
      <w:bookmarkStart w:id="50" w:name="_Toc184312132"/>
      <w:bookmarkEnd w:id="50"/>
      <w:bookmarkStart w:id="51" w:name="_Toc184310333"/>
      <w:bookmarkEnd w:id="51"/>
      <w:bookmarkStart w:id="52" w:name="_Toc184314462"/>
      <w:bookmarkEnd w:id="52"/>
      <w:bookmarkStart w:id="53" w:name="_Toc184314410"/>
      <w:bookmarkEnd w:id="53"/>
      <w:bookmarkStart w:id="54" w:name="_Toc184314419"/>
      <w:bookmarkEnd w:id="54"/>
      <w:bookmarkStart w:id="55" w:name="_Toc184312115"/>
      <w:bookmarkEnd w:id="55"/>
      <w:bookmarkStart w:id="56" w:name="_Toc184308092"/>
      <w:bookmarkEnd w:id="56"/>
      <w:bookmarkStart w:id="57" w:name="_Toc184313259"/>
      <w:bookmarkEnd w:id="57"/>
      <w:bookmarkStart w:id="58" w:name="_Toc184313263"/>
      <w:bookmarkEnd w:id="58"/>
      <w:bookmarkStart w:id="59" w:name="_Toc184310318"/>
      <w:bookmarkEnd w:id="59"/>
      <w:bookmarkStart w:id="60" w:name="_Toc184313268"/>
      <w:bookmarkEnd w:id="60"/>
      <w:bookmarkStart w:id="61" w:name="_Toc184312082"/>
      <w:bookmarkEnd w:id="61"/>
      <w:bookmarkStart w:id="62" w:name="_Toc184314471"/>
      <w:bookmarkEnd w:id="62"/>
      <w:bookmarkStart w:id="63" w:name="_Toc184314442"/>
      <w:bookmarkEnd w:id="63"/>
      <w:bookmarkStart w:id="64" w:name="_Toc184308105"/>
      <w:bookmarkEnd w:id="64"/>
      <w:bookmarkStart w:id="65" w:name="_Toc184312109"/>
      <w:bookmarkEnd w:id="65"/>
      <w:bookmarkStart w:id="66" w:name="_Toc184314421"/>
      <w:bookmarkEnd w:id="66"/>
      <w:bookmarkStart w:id="67" w:name="_Toc184308102"/>
      <w:bookmarkEnd w:id="67"/>
      <w:bookmarkStart w:id="68" w:name="_Toc184313293"/>
      <w:bookmarkEnd w:id="68"/>
      <w:bookmarkStart w:id="69" w:name="_Toc184312084"/>
      <w:bookmarkEnd w:id="69"/>
      <w:bookmarkStart w:id="70" w:name="_Toc184308065"/>
      <w:bookmarkEnd w:id="70"/>
      <w:bookmarkStart w:id="71" w:name="_Toc184308054"/>
      <w:bookmarkEnd w:id="71"/>
      <w:bookmarkStart w:id="72" w:name="_Toc184314413"/>
      <w:bookmarkEnd w:id="72"/>
      <w:bookmarkStart w:id="73" w:name="_Toc184310290"/>
      <w:bookmarkEnd w:id="73"/>
      <w:bookmarkStart w:id="74" w:name="_Toc184310279"/>
      <w:bookmarkEnd w:id="74"/>
      <w:bookmarkStart w:id="75" w:name="_Toc184314415"/>
      <w:bookmarkEnd w:id="75"/>
      <w:bookmarkStart w:id="76" w:name="_Toc184312131"/>
      <w:bookmarkEnd w:id="76"/>
      <w:bookmarkStart w:id="77" w:name="_Toc184314418"/>
      <w:bookmarkEnd w:id="77"/>
      <w:bookmarkStart w:id="78" w:name="_Toc184310326"/>
      <w:bookmarkEnd w:id="78"/>
      <w:bookmarkStart w:id="79" w:name="_Toc184313274"/>
      <w:bookmarkEnd w:id="79"/>
      <w:bookmarkStart w:id="80" w:name="_Toc184313265"/>
      <w:bookmarkEnd w:id="80"/>
      <w:bookmarkStart w:id="81" w:name="_Toc184314450"/>
      <w:bookmarkEnd w:id="81"/>
      <w:bookmarkStart w:id="82" w:name="_Toc184314454"/>
      <w:bookmarkEnd w:id="82"/>
      <w:bookmarkStart w:id="83" w:name="_Toc184314456"/>
      <w:bookmarkEnd w:id="83"/>
      <w:bookmarkStart w:id="84" w:name="_Toc184314432"/>
      <w:bookmarkEnd w:id="84"/>
      <w:bookmarkStart w:id="85" w:name="_Toc184308053"/>
      <w:bookmarkEnd w:id="85"/>
      <w:bookmarkStart w:id="86" w:name="_Toc184308059"/>
      <w:bookmarkEnd w:id="86"/>
      <w:bookmarkStart w:id="87" w:name="_Toc184313303"/>
      <w:bookmarkEnd w:id="87"/>
      <w:bookmarkStart w:id="88" w:name="_Toc184314476"/>
      <w:bookmarkEnd w:id="88"/>
      <w:bookmarkStart w:id="89" w:name="_Toc184308083"/>
      <w:bookmarkEnd w:id="89"/>
      <w:bookmarkStart w:id="90" w:name="_Toc184308082"/>
      <w:bookmarkEnd w:id="90"/>
      <w:bookmarkStart w:id="91" w:name="_Toc184308094"/>
      <w:bookmarkEnd w:id="91"/>
      <w:bookmarkStart w:id="92" w:name="_Toc184308069"/>
      <w:bookmarkEnd w:id="92"/>
      <w:bookmarkStart w:id="93" w:name="_Toc184308093"/>
      <w:bookmarkEnd w:id="93"/>
      <w:bookmarkStart w:id="94" w:name="_Toc184312114"/>
      <w:bookmarkEnd w:id="94"/>
      <w:bookmarkStart w:id="95" w:name="_Toc184312087"/>
      <w:bookmarkEnd w:id="95"/>
      <w:bookmarkStart w:id="96" w:name="_Toc184313305"/>
      <w:bookmarkEnd w:id="96"/>
      <w:bookmarkStart w:id="97" w:name="_Toc184313250"/>
      <w:bookmarkEnd w:id="97"/>
      <w:bookmarkStart w:id="98" w:name="_Toc184308063"/>
      <w:bookmarkEnd w:id="98"/>
      <w:bookmarkStart w:id="99" w:name="_Toc184314420"/>
      <w:bookmarkEnd w:id="99"/>
      <w:bookmarkStart w:id="100" w:name="_Toc184312125"/>
      <w:bookmarkEnd w:id="100"/>
      <w:bookmarkStart w:id="101" w:name="_Toc184312088"/>
      <w:bookmarkEnd w:id="101"/>
      <w:bookmarkStart w:id="102" w:name="_Toc184313249"/>
      <w:bookmarkEnd w:id="102"/>
      <w:bookmarkStart w:id="103" w:name="_Toc184313280"/>
      <w:bookmarkEnd w:id="103"/>
      <w:bookmarkStart w:id="104" w:name="_Toc184312072"/>
      <w:bookmarkEnd w:id="104"/>
      <w:bookmarkStart w:id="105" w:name="_Toc184314448"/>
      <w:bookmarkEnd w:id="105"/>
      <w:bookmarkStart w:id="106" w:name="_Toc184312120"/>
      <w:bookmarkEnd w:id="106"/>
      <w:bookmarkStart w:id="107" w:name="_Toc184310328"/>
      <w:bookmarkEnd w:id="107"/>
      <w:bookmarkStart w:id="108" w:name="_Toc184312094"/>
      <w:bookmarkEnd w:id="108"/>
      <w:bookmarkStart w:id="109" w:name="_Toc184312133"/>
      <w:bookmarkEnd w:id="109"/>
      <w:bookmarkStart w:id="110" w:name="_Toc184314429"/>
      <w:bookmarkEnd w:id="110"/>
      <w:bookmarkStart w:id="111" w:name="_Toc184308064"/>
      <w:bookmarkEnd w:id="111"/>
      <w:bookmarkStart w:id="112" w:name="_Toc184312090"/>
      <w:bookmarkEnd w:id="112"/>
      <w:bookmarkStart w:id="113" w:name="_Toc184313254"/>
      <w:bookmarkEnd w:id="113"/>
      <w:bookmarkStart w:id="114" w:name="_Toc184310319"/>
      <w:bookmarkEnd w:id="114"/>
      <w:bookmarkStart w:id="115" w:name="_Toc184312099"/>
      <w:bookmarkEnd w:id="115"/>
      <w:bookmarkStart w:id="116" w:name="_Toc184308086"/>
      <w:bookmarkEnd w:id="116"/>
      <w:bookmarkStart w:id="117" w:name="_Toc184314439"/>
      <w:bookmarkEnd w:id="117"/>
      <w:bookmarkStart w:id="118" w:name="_Toc184313239"/>
      <w:bookmarkEnd w:id="118"/>
      <w:bookmarkStart w:id="119" w:name="_Toc184310287"/>
      <w:bookmarkEnd w:id="119"/>
      <w:bookmarkStart w:id="120" w:name="_Toc184310312"/>
      <w:bookmarkEnd w:id="120"/>
      <w:bookmarkStart w:id="121" w:name="_Toc184310315"/>
      <w:bookmarkEnd w:id="121"/>
      <w:bookmarkStart w:id="122" w:name="_Toc184312071"/>
      <w:bookmarkEnd w:id="122"/>
      <w:bookmarkStart w:id="123" w:name="_Toc184314428"/>
      <w:bookmarkEnd w:id="123"/>
      <w:bookmarkStart w:id="124" w:name="_Toc184312091"/>
      <w:bookmarkEnd w:id="124"/>
      <w:bookmarkStart w:id="125" w:name="_Toc184313244"/>
      <w:bookmarkEnd w:id="125"/>
      <w:bookmarkStart w:id="126" w:name="_Toc184314472"/>
      <w:bookmarkEnd w:id="126"/>
      <w:bookmarkStart w:id="127" w:name="_Toc184310320"/>
      <w:bookmarkEnd w:id="127"/>
      <w:bookmarkStart w:id="128" w:name="_Toc184314416"/>
      <w:bookmarkEnd w:id="128"/>
      <w:bookmarkStart w:id="129" w:name="_Toc184310331"/>
      <w:bookmarkEnd w:id="129"/>
      <w:bookmarkStart w:id="130" w:name="_Toc184308045"/>
      <w:bookmarkEnd w:id="130"/>
      <w:bookmarkStart w:id="131" w:name="_Toc184312086"/>
      <w:bookmarkEnd w:id="131"/>
      <w:bookmarkStart w:id="132" w:name="_Toc184312103"/>
      <w:bookmarkEnd w:id="132"/>
      <w:bookmarkStart w:id="133" w:name="_Toc184310338"/>
      <w:bookmarkEnd w:id="133"/>
      <w:bookmarkStart w:id="134" w:name="_Toc184313269"/>
      <w:bookmarkEnd w:id="134"/>
      <w:bookmarkStart w:id="135" w:name="_Toc184313292"/>
      <w:bookmarkEnd w:id="135"/>
      <w:bookmarkStart w:id="136" w:name="_Toc184314453"/>
      <w:bookmarkEnd w:id="136"/>
      <w:bookmarkStart w:id="137" w:name="_Toc184314434"/>
      <w:bookmarkEnd w:id="137"/>
      <w:bookmarkStart w:id="138" w:name="_Toc184312077"/>
      <w:bookmarkEnd w:id="138"/>
      <w:bookmarkStart w:id="139" w:name="_Toc184314473"/>
      <w:bookmarkEnd w:id="139"/>
      <w:bookmarkStart w:id="140" w:name="_Toc184314445"/>
      <w:bookmarkEnd w:id="140"/>
      <w:bookmarkStart w:id="141" w:name="_Toc184308062"/>
      <w:bookmarkEnd w:id="141"/>
      <w:bookmarkStart w:id="142" w:name="_Toc184310334"/>
      <w:bookmarkEnd w:id="142"/>
      <w:bookmarkStart w:id="143" w:name="_Toc184313243"/>
      <w:bookmarkEnd w:id="143"/>
      <w:bookmarkStart w:id="144" w:name="_Toc184310336"/>
      <w:bookmarkEnd w:id="144"/>
      <w:bookmarkStart w:id="145" w:name="_Toc184314482"/>
      <w:bookmarkEnd w:id="145"/>
      <w:bookmarkStart w:id="146" w:name="_Toc184308078"/>
      <w:bookmarkEnd w:id="146"/>
      <w:bookmarkStart w:id="147" w:name="_Toc184308042"/>
      <w:bookmarkEnd w:id="147"/>
      <w:bookmarkStart w:id="148" w:name="_Toc184308068"/>
      <w:bookmarkEnd w:id="148"/>
      <w:bookmarkStart w:id="149" w:name="_Toc184308036"/>
      <w:bookmarkEnd w:id="149"/>
      <w:bookmarkStart w:id="150" w:name="_Toc184308070"/>
      <w:bookmarkEnd w:id="150"/>
      <w:bookmarkStart w:id="151" w:name="_Toc184313282"/>
      <w:bookmarkEnd w:id="151"/>
      <w:bookmarkStart w:id="152" w:name="_Toc184308096"/>
      <w:bookmarkEnd w:id="152"/>
      <w:bookmarkStart w:id="153" w:name="_Toc184308052"/>
      <w:bookmarkEnd w:id="153"/>
      <w:bookmarkStart w:id="154" w:name="_Toc184308058"/>
      <w:bookmarkEnd w:id="154"/>
      <w:bookmarkStart w:id="155" w:name="_Toc184310300"/>
      <w:bookmarkEnd w:id="155"/>
      <w:bookmarkStart w:id="156" w:name="_Toc184312124"/>
      <w:bookmarkEnd w:id="156"/>
      <w:bookmarkStart w:id="157" w:name="_Toc184308057"/>
      <w:bookmarkEnd w:id="157"/>
      <w:bookmarkStart w:id="158" w:name="_Toc184308100"/>
      <w:bookmarkEnd w:id="158"/>
      <w:bookmarkStart w:id="159" w:name="_Toc184314435"/>
      <w:bookmarkEnd w:id="159"/>
      <w:bookmarkStart w:id="160" w:name="_Toc184310343"/>
      <w:bookmarkEnd w:id="160"/>
      <w:bookmarkStart w:id="161" w:name="_Toc184310306"/>
      <w:bookmarkEnd w:id="161"/>
      <w:bookmarkStart w:id="162" w:name="_Toc184310297"/>
      <w:bookmarkEnd w:id="162"/>
      <w:bookmarkStart w:id="163" w:name="_Toc184308098"/>
      <w:bookmarkEnd w:id="163"/>
      <w:bookmarkStart w:id="164" w:name="_Toc184314437"/>
      <w:bookmarkEnd w:id="164"/>
      <w:bookmarkStart w:id="165" w:name="_Toc184313300"/>
      <w:bookmarkEnd w:id="165"/>
      <w:bookmarkStart w:id="166" w:name="_Toc184314430"/>
      <w:bookmarkEnd w:id="166"/>
      <w:bookmarkStart w:id="167" w:name="_Toc184308088"/>
      <w:bookmarkEnd w:id="167"/>
      <w:bookmarkStart w:id="168" w:name="_Toc184314446"/>
      <w:bookmarkEnd w:id="168"/>
      <w:bookmarkStart w:id="169" w:name="_Toc184312130"/>
      <w:bookmarkEnd w:id="169"/>
      <w:bookmarkStart w:id="170" w:name="_Toc184313298"/>
      <w:bookmarkEnd w:id="170"/>
      <w:bookmarkStart w:id="171" w:name="_Toc184314457"/>
      <w:bookmarkEnd w:id="171"/>
      <w:bookmarkStart w:id="172" w:name="_Toc184310324"/>
      <w:bookmarkEnd w:id="172"/>
      <w:bookmarkStart w:id="173" w:name="_Toc184310317"/>
      <w:bookmarkEnd w:id="173"/>
      <w:bookmarkStart w:id="174" w:name="_Toc184308107"/>
      <w:bookmarkEnd w:id="174"/>
      <w:bookmarkStart w:id="175" w:name="_Toc184308043"/>
      <w:bookmarkEnd w:id="175"/>
      <w:bookmarkStart w:id="176" w:name="_Toc184310335"/>
      <w:bookmarkEnd w:id="176"/>
      <w:bookmarkStart w:id="177" w:name="_Toc184312093"/>
      <w:bookmarkEnd w:id="177"/>
      <w:bookmarkStart w:id="178" w:name="_Toc184312089"/>
      <w:bookmarkEnd w:id="178"/>
      <w:bookmarkStart w:id="179" w:name="_Toc184313248"/>
      <w:bookmarkEnd w:id="179"/>
      <w:bookmarkStart w:id="180" w:name="_Toc184310272"/>
      <w:bookmarkEnd w:id="180"/>
      <w:bookmarkStart w:id="181" w:name="_Toc184314468"/>
      <w:bookmarkEnd w:id="181"/>
      <w:bookmarkStart w:id="182" w:name="_Toc184308050"/>
      <w:bookmarkEnd w:id="182"/>
      <w:bookmarkStart w:id="183" w:name="_Toc184314438"/>
      <w:bookmarkEnd w:id="183"/>
      <w:bookmarkStart w:id="184" w:name="_Toc184310293"/>
      <w:bookmarkEnd w:id="184"/>
      <w:bookmarkStart w:id="185" w:name="_Toc184310295"/>
      <w:bookmarkEnd w:id="185"/>
      <w:bookmarkStart w:id="186" w:name="_Toc184313309"/>
      <w:bookmarkEnd w:id="186"/>
      <w:bookmarkStart w:id="187" w:name="_Toc184312136"/>
      <w:bookmarkEnd w:id="187"/>
      <w:bookmarkStart w:id="188" w:name="_Toc184310288"/>
      <w:bookmarkEnd w:id="188"/>
      <w:bookmarkStart w:id="189" w:name="_Toc184314443"/>
      <w:bookmarkEnd w:id="189"/>
      <w:bookmarkStart w:id="190" w:name="_Toc184308076"/>
      <w:bookmarkEnd w:id="190"/>
      <w:bookmarkStart w:id="191" w:name="_Toc184314441"/>
      <w:bookmarkEnd w:id="191"/>
      <w:bookmarkStart w:id="192" w:name="_Toc184308103"/>
      <w:bookmarkEnd w:id="192"/>
      <w:bookmarkStart w:id="193" w:name="_Toc184308095"/>
      <w:bookmarkEnd w:id="193"/>
      <w:bookmarkStart w:id="194" w:name="_Toc184308099"/>
      <w:bookmarkEnd w:id="194"/>
      <w:bookmarkStart w:id="195" w:name="_Toc184314469"/>
      <w:bookmarkEnd w:id="195"/>
      <w:bookmarkStart w:id="196" w:name="_Toc184312098"/>
      <w:bookmarkEnd w:id="196"/>
      <w:bookmarkStart w:id="197" w:name="_Toc184312092"/>
      <w:bookmarkEnd w:id="197"/>
      <w:bookmarkStart w:id="198" w:name="_Toc184314414"/>
      <w:bookmarkEnd w:id="198"/>
      <w:bookmarkStart w:id="199" w:name="_Toc184313272"/>
      <w:bookmarkEnd w:id="199"/>
      <w:bookmarkStart w:id="200" w:name="_Toc184313275"/>
      <w:bookmarkEnd w:id="200"/>
      <w:bookmarkStart w:id="201" w:name="_Toc184313253"/>
      <w:bookmarkEnd w:id="201"/>
      <w:bookmarkStart w:id="202" w:name="_Toc184312080"/>
      <w:bookmarkEnd w:id="202"/>
      <w:bookmarkStart w:id="203" w:name="_Toc184308097"/>
      <w:bookmarkEnd w:id="203"/>
      <w:bookmarkStart w:id="204" w:name="_Toc184310340"/>
      <w:bookmarkEnd w:id="204"/>
      <w:bookmarkStart w:id="205" w:name="_Toc184314444"/>
      <w:bookmarkEnd w:id="205"/>
      <w:bookmarkStart w:id="206" w:name="_Toc184314467"/>
      <w:bookmarkEnd w:id="206"/>
      <w:bookmarkStart w:id="207" w:name="_Toc184313252"/>
      <w:bookmarkEnd w:id="207"/>
      <w:bookmarkStart w:id="208" w:name="_Toc184313310"/>
      <w:bookmarkEnd w:id="208"/>
      <w:bookmarkStart w:id="209" w:name="_Toc184312097"/>
      <w:bookmarkEnd w:id="209"/>
      <w:bookmarkStart w:id="210" w:name="_Toc184310327"/>
      <w:bookmarkEnd w:id="210"/>
      <w:bookmarkStart w:id="211" w:name="_Toc184313299"/>
      <w:bookmarkEnd w:id="211"/>
      <w:bookmarkStart w:id="212" w:name="_Toc184313273"/>
      <w:bookmarkEnd w:id="212"/>
      <w:bookmarkStart w:id="213" w:name="_Toc184314465"/>
      <w:bookmarkEnd w:id="213"/>
      <w:bookmarkStart w:id="214" w:name="_Toc184312119"/>
      <w:bookmarkEnd w:id="214"/>
      <w:bookmarkStart w:id="215" w:name="_Toc184312070"/>
      <w:bookmarkEnd w:id="215"/>
      <w:bookmarkStart w:id="216" w:name="_Toc184308056"/>
      <w:bookmarkEnd w:id="216"/>
      <w:bookmarkStart w:id="217" w:name="_Toc184310281"/>
      <w:bookmarkEnd w:id="217"/>
      <w:bookmarkStart w:id="218" w:name="_Toc184308071"/>
      <w:bookmarkEnd w:id="218"/>
      <w:bookmarkStart w:id="219" w:name="_Toc184312122"/>
      <w:bookmarkEnd w:id="219"/>
      <w:bookmarkStart w:id="220" w:name="_Toc184312139"/>
      <w:bookmarkEnd w:id="220"/>
      <w:bookmarkStart w:id="221" w:name="_Toc184310289"/>
      <w:bookmarkEnd w:id="221"/>
      <w:bookmarkStart w:id="222" w:name="_Toc184312106"/>
      <w:bookmarkEnd w:id="222"/>
      <w:bookmarkStart w:id="223" w:name="_Toc184312081"/>
      <w:bookmarkEnd w:id="223"/>
      <w:bookmarkStart w:id="224" w:name="_Toc184310344"/>
      <w:bookmarkEnd w:id="224"/>
      <w:bookmarkStart w:id="225" w:name="_Toc184313261"/>
      <w:bookmarkEnd w:id="225"/>
      <w:bookmarkStart w:id="226" w:name="_Toc184308055"/>
      <w:bookmarkEnd w:id="226"/>
      <w:bookmarkStart w:id="227" w:name="_Toc184308047"/>
      <w:bookmarkEnd w:id="227"/>
      <w:bookmarkStart w:id="228" w:name="_Toc184314455"/>
      <w:bookmarkEnd w:id="228"/>
      <w:bookmarkStart w:id="229" w:name="_Toc184310325"/>
      <w:bookmarkEnd w:id="229"/>
      <w:bookmarkStart w:id="230" w:name="_Toc184314412"/>
      <w:bookmarkEnd w:id="230"/>
      <w:bookmarkStart w:id="231" w:name="_Toc184314449"/>
      <w:bookmarkEnd w:id="231"/>
      <w:bookmarkStart w:id="232" w:name="_Toc184308089"/>
      <w:bookmarkEnd w:id="232"/>
      <w:bookmarkStart w:id="233" w:name="_Toc184314470"/>
      <w:bookmarkEnd w:id="233"/>
      <w:bookmarkStart w:id="234" w:name="_Toc184310280"/>
      <w:bookmarkEnd w:id="234"/>
      <w:bookmarkStart w:id="235" w:name="_Toc184308085"/>
      <w:bookmarkEnd w:id="235"/>
      <w:bookmarkStart w:id="236" w:name="_Toc184314464"/>
      <w:bookmarkEnd w:id="236"/>
      <w:bookmarkStart w:id="237" w:name="_Toc184312105"/>
      <w:bookmarkEnd w:id="237"/>
      <w:bookmarkStart w:id="238" w:name="_Toc184310311"/>
      <w:bookmarkEnd w:id="238"/>
      <w:bookmarkStart w:id="239" w:name="_Toc184308067"/>
      <w:bookmarkEnd w:id="239"/>
      <w:bookmarkStart w:id="240" w:name="_Toc184308038"/>
      <w:bookmarkEnd w:id="240"/>
      <w:bookmarkStart w:id="241" w:name="_Toc184313297"/>
      <w:bookmarkEnd w:id="241"/>
      <w:bookmarkStart w:id="242" w:name="_Toc184312118"/>
      <w:bookmarkEnd w:id="242"/>
      <w:bookmarkStart w:id="243" w:name="_Toc184310342"/>
      <w:bookmarkEnd w:id="243"/>
      <w:bookmarkStart w:id="244" w:name="_Toc184308072"/>
      <w:bookmarkEnd w:id="244"/>
      <w:bookmarkStart w:id="245" w:name="_Toc184313283"/>
      <w:bookmarkEnd w:id="245"/>
      <w:bookmarkStart w:id="246" w:name="_Toc184310308"/>
      <w:bookmarkEnd w:id="246"/>
      <w:bookmarkStart w:id="247" w:name="_Toc184313262"/>
      <w:bookmarkEnd w:id="247"/>
      <w:bookmarkStart w:id="248" w:name="_Toc184314463"/>
      <w:bookmarkEnd w:id="248"/>
      <w:bookmarkStart w:id="249" w:name="_Toc184314411"/>
      <w:bookmarkEnd w:id="249"/>
      <w:bookmarkStart w:id="250" w:name="_Toc184313247"/>
      <w:bookmarkEnd w:id="250"/>
      <w:bookmarkStart w:id="251" w:name="_Toc184313301"/>
      <w:bookmarkEnd w:id="251"/>
      <w:bookmarkStart w:id="252" w:name="_Toc184313308"/>
      <w:bookmarkEnd w:id="252"/>
      <w:bookmarkStart w:id="253" w:name="_Toc184308106"/>
      <w:bookmarkEnd w:id="253"/>
      <w:bookmarkStart w:id="254" w:name="_Toc184312068"/>
      <w:bookmarkEnd w:id="254"/>
      <w:bookmarkStart w:id="255" w:name="_Toc184313296"/>
      <w:bookmarkEnd w:id="255"/>
      <w:bookmarkStart w:id="256" w:name="_Toc184310330"/>
      <w:bookmarkEnd w:id="256"/>
      <w:bookmarkStart w:id="257" w:name="_Toc184312078"/>
      <w:bookmarkEnd w:id="257"/>
      <w:bookmarkStart w:id="258" w:name="_Toc184308091"/>
      <w:bookmarkEnd w:id="258"/>
      <w:bookmarkStart w:id="259" w:name="_Toc184310282"/>
      <w:bookmarkEnd w:id="259"/>
      <w:bookmarkStart w:id="260" w:name="_Toc184314433"/>
      <w:bookmarkEnd w:id="260"/>
      <w:bookmarkStart w:id="261" w:name="_Toc184313304"/>
      <w:bookmarkEnd w:id="261"/>
      <w:bookmarkStart w:id="262" w:name="_Toc184308039"/>
      <w:bookmarkEnd w:id="262"/>
      <w:bookmarkStart w:id="263" w:name="_Toc184312126"/>
      <w:bookmarkEnd w:id="263"/>
      <w:bookmarkStart w:id="264" w:name="_Toc184308037"/>
      <w:bookmarkEnd w:id="264"/>
      <w:bookmarkStart w:id="265" w:name="_Toc184313245"/>
      <w:bookmarkEnd w:id="265"/>
      <w:bookmarkStart w:id="266" w:name="_Toc184313238"/>
      <w:bookmarkEnd w:id="266"/>
      <w:bookmarkStart w:id="267" w:name="_Toc184314424"/>
      <w:bookmarkEnd w:id="267"/>
      <w:bookmarkStart w:id="268" w:name="_Toc184314479"/>
      <w:bookmarkEnd w:id="268"/>
      <w:bookmarkStart w:id="269" w:name="_Toc184310304"/>
      <w:bookmarkEnd w:id="269"/>
      <w:bookmarkStart w:id="270" w:name="_Toc184308073"/>
      <w:bookmarkEnd w:id="270"/>
      <w:bookmarkStart w:id="271" w:name="_Toc184312100"/>
      <w:bookmarkEnd w:id="271"/>
      <w:bookmarkStart w:id="272" w:name="_Toc184313267"/>
      <w:bookmarkEnd w:id="272"/>
      <w:bookmarkStart w:id="273" w:name="_Toc184310273"/>
      <w:bookmarkEnd w:id="273"/>
      <w:bookmarkStart w:id="274" w:name="_Toc184313257"/>
      <w:bookmarkEnd w:id="274"/>
      <w:bookmarkStart w:id="275" w:name="_Toc184313286"/>
      <w:bookmarkEnd w:id="275"/>
      <w:bookmarkStart w:id="276" w:name="_Toc184314477"/>
      <w:bookmarkEnd w:id="276"/>
      <w:bookmarkStart w:id="277" w:name="_Toc184310278"/>
      <w:bookmarkEnd w:id="277"/>
      <w:bookmarkStart w:id="278" w:name="_Toc184312110"/>
      <w:bookmarkEnd w:id="278"/>
      <w:bookmarkStart w:id="279" w:name="_Toc184312101"/>
      <w:bookmarkEnd w:id="279"/>
      <w:bookmarkStart w:id="280" w:name="_Toc184313288"/>
      <w:bookmarkEnd w:id="280"/>
      <w:bookmarkStart w:id="281" w:name="_Toc184308044"/>
      <w:bookmarkEnd w:id="281"/>
      <w:bookmarkStart w:id="282" w:name="_Toc184313242"/>
      <w:bookmarkEnd w:id="282"/>
      <w:bookmarkStart w:id="283" w:name="_Toc184310302"/>
      <w:bookmarkEnd w:id="283"/>
      <w:bookmarkStart w:id="284" w:name="_Toc184312108"/>
      <w:bookmarkEnd w:id="284"/>
      <w:bookmarkStart w:id="285" w:name="_Toc184312067"/>
      <w:bookmarkEnd w:id="285"/>
      <w:bookmarkStart w:id="286" w:name="_Toc184308066"/>
      <w:bookmarkEnd w:id="286"/>
      <w:bookmarkStart w:id="287" w:name="_Toc184310292"/>
      <w:bookmarkEnd w:id="287"/>
      <w:bookmarkStart w:id="288" w:name="_Toc184310299"/>
      <w:bookmarkEnd w:id="288"/>
      <w:bookmarkStart w:id="289" w:name="_Toc184314466"/>
      <w:bookmarkEnd w:id="289"/>
      <w:bookmarkStart w:id="290" w:name="_Toc184312113"/>
      <w:bookmarkEnd w:id="290"/>
      <w:bookmarkStart w:id="291" w:name="_Toc184308077"/>
      <w:bookmarkEnd w:id="291"/>
      <w:bookmarkStart w:id="292" w:name="_Toc184310332"/>
      <w:bookmarkEnd w:id="292"/>
      <w:bookmarkStart w:id="293" w:name="_Toc184308079"/>
      <w:bookmarkEnd w:id="293"/>
      <w:bookmarkStart w:id="294" w:name="_Toc184310277"/>
      <w:bookmarkEnd w:id="294"/>
      <w:bookmarkStart w:id="295" w:name="_Toc184313276"/>
      <w:bookmarkEnd w:id="295"/>
      <w:bookmarkStart w:id="296" w:name="_Toc184313287"/>
      <w:bookmarkEnd w:id="296"/>
      <w:bookmarkStart w:id="297" w:name="_Toc184310341"/>
      <w:bookmarkEnd w:id="297"/>
      <w:bookmarkStart w:id="298" w:name="_Toc184312135"/>
      <w:bookmarkEnd w:id="298"/>
      <w:bookmarkStart w:id="299" w:name="_Toc184312112"/>
      <w:bookmarkEnd w:id="299"/>
      <w:bookmarkStart w:id="300" w:name="_Toc184310291"/>
      <w:bookmarkEnd w:id="300"/>
      <w:bookmarkStart w:id="301" w:name="_Toc184310285"/>
      <w:bookmarkEnd w:id="301"/>
      <w:bookmarkStart w:id="302" w:name="_Toc184312137"/>
      <w:bookmarkEnd w:id="302"/>
      <w:bookmarkStart w:id="303" w:name="_Toc184313266"/>
      <w:bookmarkEnd w:id="303"/>
      <w:bookmarkStart w:id="304" w:name="_Toc184310307"/>
      <w:bookmarkEnd w:id="304"/>
      <w:bookmarkStart w:id="305" w:name="_Toc184314423"/>
      <w:bookmarkEnd w:id="305"/>
      <w:bookmarkStart w:id="306" w:name="_Toc184313295"/>
      <w:bookmarkEnd w:id="306"/>
      <w:bookmarkStart w:id="307" w:name="_Toc184310283"/>
      <w:bookmarkEnd w:id="307"/>
      <w:bookmarkStart w:id="308" w:name="_Toc184313277"/>
      <w:bookmarkEnd w:id="308"/>
      <w:bookmarkStart w:id="309" w:name="_Toc184310323"/>
      <w:bookmarkEnd w:id="309"/>
      <w:bookmarkStart w:id="310" w:name="_Toc184308074"/>
      <w:bookmarkEnd w:id="310"/>
      <w:bookmarkStart w:id="311" w:name="_Toc184314427"/>
      <w:bookmarkEnd w:id="311"/>
      <w:bookmarkStart w:id="312" w:name="_Toc184313255"/>
      <w:bookmarkEnd w:id="312"/>
      <w:bookmarkStart w:id="313" w:name="_Toc184313294"/>
      <w:bookmarkEnd w:id="313"/>
      <w:bookmarkStart w:id="314" w:name="_Toc184308051"/>
      <w:bookmarkEnd w:id="314"/>
      <w:bookmarkStart w:id="315" w:name="_Toc184314452"/>
      <w:bookmarkEnd w:id="315"/>
      <w:bookmarkStart w:id="316" w:name="_Toc184312083"/>
      <w:bookmarkEnd w:id="316"/>
      <w:bookmarkStart w:id="317" w:name="_Toc184308075"/>
      <w:bookmarkEnd w:id="317"/>
      <w:bookmarkStart w:id="318" w:name="_Toc184314481"/>
      <w:bookmarkEnd w:id="318"/>
      <w:bookmarkStart w:id="319" w:name="_Toc184313289"/>
      <w:bookmarkEnd w:id="319"/>
      <w:bookmarkStart w:id="320" w:name="_Toc184313281"/>
      <w:bookmarkEnd w:id="320"/>
      <w:bookmarkStart w:id="321" w:name="_Toc184314440"/>
      <w:bookmarkEnd w:id="321"/>
      <w:bookmarkStart w:id="322" w:name="_Toc184314480"/>
      <w:bookmarkEnd w:id="322"/>
      <w:bookmarkStart w:id="323" w:name="_Toc184312074"/>
      <w:bookmarkEnd w:id="323"/>
      <w:bookmarkStart w:id="324" w:name="_Toc184308060"/>
      <w:bookmarkEnd w:id="324"/>
      <w:bookmarkStart w:id="325" w:name="_Toc184310310"/>
      <w:bookmarkEnd w:id="325"/>
      <w:bookmarkStart w:id="326" w:name="_Toc184310284"/>
      <w:bookmarkEnd w:id="326"/>
      <w:bookmarkStart w:id="327" w:name="_Toc184308046"/>
      <w:bookmarkEnd w:id="327"/>
      <w:bookmarkStart w:id="328" w:name="_Toc184312073"/>
      <w:bookmarkEnd w:id="328"/>
      <w:bookmarkStart w:id="329" w:name="_Toc184312104"/>
      <w:bookmarkEnd w:id="329"/>
      <w:bookmarkStart w:id="330" w:name="_Toc184310309"/>
      <w:bookmarkEnd w:id="330"/>
      <w:bookmarkStart w:id="331" w:name="_Toc184308108"/>
      <w:bookmarkEnd w:id="331"/>
      <w:bookmarkStart w:id="332" w:name="_Toc184312134"/>
      <w:bookmarkEnd w:id="332"/>
      <w:bookmarkStart w:id="333" w:name="_Toc184312079"/>
      <w:bookmarkEnd w:id="333"/>
      <w:bookmarkStart w:id="334" w:name="_Toc184308049"/>
      <w:bookmarkEnd w:id="334"/>
      <w:bookmarkStart w:id="335" w:name="_Toc184310275"/>
      <w:bookmarkEnd w:id="335"/>
      <w:bookmarkStart w:id="336" w:name="_Toc184308040"/>
      <w:bookmarkEnd w:id="336"/>
      <w:bookmarkStart w:id="337" w:name="_Toc184313241"/>
      <w:bookmarkEnd w:id="337"/>
      <w:bookmarkStart w:id="338" w:name="_Toc184312127"/>
      <w:bookmarkEnd w:id="338"/>
      <w:bookmarkStart w:id="339" w:name="_Toc184314426"/>
      <w:bookmarkEnd w:id="339"/>
      <w:bookmarkStart w:id="340" w:name="_Toc184313260"/>
      <w:bookmarkEnd w:id="340"/>
      <w:bookmarkStart w:id="341" w:name="_Toc184314478"/>
      <w:bookmarkEnd w:id="341"/>
      <w:bookmarkStart w:id="342" w:name="_Toc184312138"/>
      <w:bookmarkEnd w:id="342"/>
      <w:bookmarkStart w:id="343" w:name="_Toc184314474"/>
      <w:bookmarkEnd w:id="343"/>
      <w:bookmarkStart w:id="344" w:name="_Toc184308048"/>
      <w:bookmarkEnd w:id="344"/>
      <w:bookmarkStart w:id="345" w:name="_Toc184308081"/>
      <w:bookmarkEnd w:id="345"/>
      <w:bookmarkStart w:id="346" w:name="_Toc184308084"/>
      <w:bookmarkEnd w:id="346"/>
      <w:bookmarkStart w:id="347" w:name="_Toc184313279"/>
      <w:bookmarkEnd w:id="347"/>
      <w:bookmarkStart w:id="348" w:name="_Toc184310301"/>
      <w:bookmarkEnd w:id="348"/>
      <w:bookmarkStart w:id="349" w:name="_Toc184312121"/>
      <w:bookmarkEnd w:id="349"/>
      <w:bookmarkStart w:id="350" w:name="_Toc184314460"/>
      <w:bookmarkEnd w:id="350"/>
      <w:bookmarkStart w:id="351" w:name="_Toc184310329"/>
      <w:bookmarkEnd w:id="351"/>
      <w:bookmarkStart w:id="352" w:name="_Toc184310286"/>
      <w:bookmarkEnd w:id="352"/>
      <w:bookmarkStart w:id="353" w:name="_Toc184314475"/>
      <w:bookmarkEnd w:id="353"/>
      <w:bookmarkStart w:id="354" w:name="_Toc184313278"/>
      <w:bookmarkEnd w:id="354"/>
      <w:bookmarkStart w:id="355" w:name="_Toc184312075"/>
      <w:bookmarkEnd w:id="355"/>
      <w:bookmarkStart w:id="356" w:name="_Toc184310313"/>
      <w:bookmarkEnd w:id="356"/>
      <w:bookmarkStart w:id="357" w:name="_Toc184314422"/>
      <w:bookmarkEnd w:id="357"/>
      <w:bookmarkStart w:id="358" w:name="_Toc184310296"/>
      <w:bookmarkEnd w:id="358"/>
      <w:bookmarkStart w:id="359" w:name="_Toc184312116"/>
      <w:bookmarkEnd w:id="359"/>
      <w:bookmarkStart w:id="360" w:name="_Toc184313284"/>
      <w:bookmarkEnd w:id="360"/>
      <w:bookmarkStart w:id="361" w:name="_Toc184310337"/>
      <w:bookmarkEnd w:id="361"/>
      <w:bookmarkStart w:id="362" w:name="_Toc184308041"/>
      <w:bookmarkEnd w:id="362"/>
      <w:bookmarkStart w:id="363" w:name="_Toc184313240"/>
      <w:bookmarkEnd w:id="363"/>
      <w:bookmarkStart w:id="364" w:name="_Toc184313307"/>
      <w:bookmarkEnd w:id="364"/>
      <w:bookmarkStart w:id="365" w:name="_Toc184310314"/>
      <w:bookmarkEnd w:id="365"/>
      <w:bookmarkStart w:id="366" w:name="_Toc184312107"/>
      <w:bookmarkEnd w:id="366"/>
      <w:bookmarkStart w:id="367" w:name="_Toc184314431"/>
      <w:bookmarkEnd w:id="367"/>
      <w:bookmarkStart w:id="368" w:name="_Toc184312129"/>
      <w:bookmarkEnd w:id="368"/>
      <w:bookmarkStart w:id="369" w:name="_Toc184312111"/>
      <w:bookmarkEnd w:id="369"/>
      <w:bookmarkStart w:id="370" w:name="_Toc184312085"/>
      <w:bookmarkEnd w:id="370"/>
      <w:bookmarkStart w:id="371" w:name="_Toc184313290"/>
      <w:bookmarkEnd w:id="371"/>
      <w:bookmarkStart w:id="372" w:name="_Toc184313271"/>
      <w:bookmarkEnd w:id="372"/>
      <w:bookmarkStart w:id="373" w:name="_Toc184314459"/>
      <w:bookmarkEnd w:id="373"/>
      <w:bookmarkStart w:id="374" w:name="_Toc184313270"/>
      <w:bookmarkEnd w:id="374"/>
      <w:bookmarkStart w:id="375" w:name="_Toc184312096"/>
      <w:bookmarkEnd w:id="375"/>
      <w:bookmarkStart w:id="376" w:name="_Toc184313302"/>
      <w:bookmarkEnd w:id="376"/>
      <w:bookmarkStart w:id="377" w:name="_Toc184312117"/>
      <w:bookmarkEnd w:id="377"/>
      <w:bookmarkStart w:id="378" w:name="_Toc184313306"/>
      <w:bookmarkEnd w:id="378"/>
      <w:bookmarkStart w:id="379" w:name="_Toc184310303"/>
      <w:bookmarkEnd w:id="379"/>
      <w:bookmarkStart w:id="380" w:name="_Toc184314425"/>
      <w:bookmarkEnd w:id="380"/>
      <w:bookmarkStart w:id="381" w:name="_Toc184312095"/>
      <w:bookmarkEnd w:id="381"/>
      <w:bookmarkStart w:id="382" w:name="_Toc184313258"/>
      <w:bookmarkEnd w:id="382"/>
      <w:bookmarkStart w:id="383" w:name="_Toc184314447"/>
      <w:bookmarkEnd w:id="383"/>
      <w:bookmarkStart w:id="384" w:name="_Toc184308080"/>
      <w:bookmarkEnd w:id="384"/>
      <w:bookmarkStart w:id="385" w:name="_Toc184310274"/>
      <w:bookmarkEnd w:id="385"/>
      <w:bookmarkStart w:id="386" w:name="_Toc184310321"/>
      <w:bookmarkEnd w:id="386"/>
      <w:bookmarkStart w:id="387" w:name="_Toc184313264"/>
      <w:bookmarkEnd w:id="387"/>
      <w:bookmarkStart w:id="388" w:name="_Toc184310316"/>
      <w:bookmarkEnd w:id="388"/>
      <w:bookmarkStart w:id="389" w:name="_Toc184310305"/>
      <w:bookmarkEnd w:id="389"/>
      <w:bookmarkStart w:id="390" w:name="_Toc184313246"/>
      <w:bookmarkEnd w:id="390"/>
      <w:bookmarkStart w:id="391" w:name="_Toc184308090"/>
      <w:bookmarkEnd w:id="391"/>
      <w:bookmarkStart w:id="392" w:name="_Toc184314417"/>
      <w:bookmarkEnd w:id="392"/>
      <w:r>
        <w:rPr>
          <w:rFonts w:hint="eastAsia" w:ascii="宋体" w:hAnsi="宋体" w:cs="宋体"/>
          <w:b/>
          <w:color w:val="auto"/>
          <w:sz w:val="36"/>
          <w:szCs w:val="36"/>
          <w:highlight w:val="none"/>
        </w:rPr>
        <w:t>评标办法</w:t>
      </w:r>
      <w:bookmarkEnd w:id="27"/>
    </w:p>
    <w:p w14:paraId="61CAE0FB">
      <w:pPr>
        <w:snapToGrid w:val="0"/>
        <w:spacing w:line="360" w:lineRule="auto"/>
        <w:jc w:val="center"/>
        <w:outlineLvl w:val="1"/>
        <w:rPr>
          <w:rFonts w:hint="eastAsia" w:ascii="宋体" w:hAnsi="宋体" w:cs="宋体"/>
          <w:b/>
          <w:color w:val="auto"/>
          <w:sz w:val="32"/>
          <w:szCs w:val="20"/>
          <w:highlight w:val="none"/>
        </w:rPr>
      </w:pPr>
      <w:r>
        <w:rPr>
          <w:rFonts w:hint="eastAsia" w:ascii="宋体" w:hAnsi="宋体" w:cs="宋体"/>
          <w:b/>
          <w:color w:val="auto"/>
          <w:sz w:val="32"/>
          <w:szCs w:val="20"/>
          <w:highlight w:val="none"/>
        </w:rPr>
        <w:t>评标办法前附表</w:t>
      </w:r>
    </w:p>
    <w:p w14:paraId="465FF906">
      <w:pPr>
        <w:snapToGrid w:val="0"/>
        <w:spacing w:line="360" w:lineRule="auto"/>
        <w:jc w:val="center"/>
        <w:outlineLvl w:val="1"/>
        <w:rPr>
          <w:rFonts w:hint="eastAsia" w:ascii="宋体" w:hAnsi="宋体" w:eastAsia="宋体" w:cs="宋体"/>
          <w:b/>
          <w:color w:val="auto"/>
          <w:sz w:val="32"/>
          <w:szCs w:val="20"/>
          <w:highlight w:val="none"/>
          <w:lang w:eastAsia="zh-CN"/>
        </w:rPr>
      </w:pPr>
      <w:r>
        <w:rPr>
          <w:rFonts w:hint="eastAsia" w:ascii="宋体" w:hAnsi="宋体" w:cs="宋体"/>
          <w:b/>
          <w:color w:val="auto"/>
          <w:sz w:val="32"/>
          <w:szCs w:val="20"/>
          <w:highlight w:val="none"/>
          <w:lang w:eastAsia="zh-CN"/>
        </w:rPr>
        <w:t>（</w:t>
      </w:r>
      <w:r>
        <w:rPr>
          <w:rFonts w:hint="eastAsia" w:ascii="宋体" w:hAnsi="宋体" w:cs="宋体"/>
          <w:b/>
          <w:color w:val="auto"/>
          <w:sz w:val="32"/>
          <w:szCs w:val="20"/>
          <w:highlight w:val="none"/>
          <w:lang w:val="en-US" w:eastAsia="zh-CN"/>
        </w:rPr>
        <w:t>标项1、2</w:t>
      </w:r>
      <w:r>
        <w:rPr>
          <w:rFonts w:hint="eastAsia" w:ascii="宋体" w:hAnsi="宋体" w:cs="宋体"/>
          <w:b/>
          <w:color w:val="auto"/>
          <w:sz w:val="32"/>
          <w:szCs w:val="20"/>
          <w:highlight w:val="none"/>
          <w:lang w:eastAsia="zh-CN"/>
        </w:rPr>
        <w:t>）</w:t>
      </w:r>
    </w:p>
    <w:tbl>
      <w:tblPr>
        <w:tblStyle w:val="62"/>
        <w:tblW w:w="155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628"/>
        <w:gridCol w:w="1258"/>
        <w:gridCol w:w="1492"/>
        <w:gridCol w:w="3152"/>
        <w:gridCol w:w="5645"/>
        <w:gridCol w:w="595"/>
        <w:gridCol w:w="595"/>
      </w:tblGrid>
      <w:tr w14:paraId="4B277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tcBorders>
              <w:top w:val="single" w:color="auto" w:sz="4" w:space="0"/>
              <w:left w:val="single" w:color="auto" w:sz="4" w:space="0"/>
              <w:bottom w:val="single" w:color="auto" w:sz="4" w:space="0"/>
              <w:right w:val="single" w:color="auto" w:sz="4" w:space="0"/>
            </w:tcBorders>
            <w:noWrap w:val="0"/>
            <w:vAlign w:val="center"/>
          </w:tcPr>
          <w:p w14:paraId="60CDCC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评分项目</w:t>
            </w:r>
          </w:p>
        </w:tc>
        <w:tc>
          <w:tcPr>
            <w:tcW w:w="13175" w:type="dxa"/>
            <w:gridSpan w:val="5"/>
            <w:tcBorders>
              <w:top w:val="single" w:color="auto" w:sz="4" w:space="0"/>
              <w:left w:val="single" w:color="auto" w:sz="4" w:space="0"/>
              <w:bottom w:val="single" w:color="auto" w:sz="4" w:space="0"/>
              <w:right w:val="single" w:color="auto" w:sz="4" w:space="0"/>
            </w:tcBorders>
            <w:noWrap w:val="0"/>
            <w:vAlign w:val="center"/>
          </w:tcPr>
          <w:p w14:paraId="71E529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评分标准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793A65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分值</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1EAB1C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备注</w:t>
            </w:r>
          </w:p>
        </w:tc>
      </w:tr>
      <w:tr w14:paraId="6BCBF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restart"/>
            <w:tcBorders>
              <w:top w:val="single" w:color="auto" w:sz="4" w:space="0"/>
              <w:left w:val="single" w:color="auto" w:sz="4" w:space="0"/>
              <w:right w:val="single" w:color="auto" w:sz="4" w:space="0"/>
            </w:tcBorders>
            <w:noWrap w:val="0"/>
            <w:vAlign w:val="center"/>
          </w:tcPr>
          <w:p w14:paraId="39AAB7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一、商务技术分（85分）</w:t>
            </w:r>
          </w:p>
        </w:tc>
        <w:tc>
          <w:tcPr>
            <w:tcW w:w="1628" w:type="dxa"/>
            <w:vMerge w:val="restart"/>
            <w:tcBorders>
              <w:top w:val="single" w:color="auto" w:sz="4" w:space="0"/>
              <w:left w:val="single" w:color="auto" w:sz="4" w:space="0"/>
              <w:right w:val="single" w:color="auto" w:sz="4" w:space="0"/>
            </w:tcBorders>
            <w:noWrap w:val="0"/>
            <w:vAlign w:val="center"/>
          </w:tcPr>
          <w:p w14:paraId="457554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（一）技术服务方案（</w:t>
            </w:r>
            <w:r>
              <w:rPr>
                <w:rFonts w:hint="eastAsia" w:ascii="宋体" w:hAnsi="宋体" w:eastAsia="宋体" w:cs="宋体"/>
                <w:bCs/>
                <w:color w:val="auto"/>
                <w:sz w:val="24"/>
                <w:szCs w:val="24"/>
                <w:highlight w:val="none"/>
                <w:lang w:val="en-US" w:eastAsia="zh-CN" w:bidi="ar"/>
              </w:rPr>
              <w:t>83.5</w:t>
            </w:r>
            <w:r>
              <w:rPr>
                <w:rFonts w:hint="eastAsia" w:ascii="宋体" w:hAnsi="宋体" w:eastAsia="宋体" w:cs="宋体"/>
                <w:bCs/>
                <w:color w:val="auto"/>
                <w:sz w:val="24"/>
                <w:szCs w:val="24"/>
                <w:highlight w:val="none"/>
                <w:lang w:bidi="ar"/>
              </w:rPr>
              <w:t>分）</w:t>
            </w:r>
          </w:p>
        </w:tc>
        <w:tc>
          <w:tcPr>
            <w:tcW w:w="1258" w:type="dxa"/>
            <w:vMerge w:val="restart"/>
            <w:tcBorders>
              <w:top w:val="single" w:color="auto" w:sz="4" w:space="0"/>
              <w:left w:val="single" w:color="auto" w:sz="4" w:space="0"/>
              <w:right w:val="single" w:color="auto" w:sz="4" w:space="0"/>
            </w:tcBorders>
            <w:noWrap w:val="0"/>
            <w:vAlign w:val="center"/>
          </w:tcPr>
          <w:p w14:paraId="17576A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1、实施管理方案（</w:t>
            </w:r>
            <w:r>
              <w:rPr>
                <w:rFonts w:hint="eastAsia" w:ascii="宋体" w:hAnsi="宋体" w:eastAsia="宋体" w:cs="宋体"/>
                <w:bCs/>
                <w:color w:val="auto"/>
                <w:sz w:val="24"/>
                <w:szCs w:val="24"/>
                <w:highlight w:val="none"/>
                <w:lang w:val="en-US" w:eastAsia="zh-CN" w:bidi="ar"/>
              </w:rPr>
              <w:t>59.5</w:t>
            </w:r>
            <w:r>
              <w:rPr>
                <w:rFonts w:hint="eastAsia" w:ascii="宋体" w:hAnsi="宋体" w:eastAsia="宋体" w:cs="宋体"/>
                <w:bCs/>
                <w:color w:val="auto"/>
                <w:sz w:val="24"/>
                <w:szCs w:val="24"/>
                <w:highlight w:val="none"/>
                <w:lang w:bidi="ar"/>
              </w:rPr>
              <w:t>分）</w:t>
            </w:r>
          </w:p>
          <w:p w14:paraId="32DA79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0289" w:type="dxa"/>
            <w:gridSpan w:val="3"/>
            <w:tcBorders>
              <w:top w:val="single" w:color="auto" w:sz="4" w:space="0"/>
              <w:left w:val="single" w:color="auto" w:sz="4" w:space="0"/>
              <w:bottom w:val="single" w:color="auto" w:sz="4" w:space="0"/>
              <w:right w:val="single" w:color="auto" w:sz="4" w:space="0"/>
            </w:tcBorders>
            <w:noWrap w:val="0"/>
            <w:vAlign w:val="center"/>
          </w:tcPr>
          <w:p w14:paraId="0739ED0C">
            <w:pPr>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月度养护、保洁、治安巡视计划：</w:t>
            </w:r>
          </w:p>
          <w:p w14:paraId="25EF5FA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①方案内容完全结合公园实际情况，方便实行和监督，管理目标明确清晰，且有针对性措施的得</w:t>
            </w:r>
            <w:r>
              <w:rPr>
                <w:rFonts w:hint="eastAsia" w:ascii="宋体" w:hAnsi="宋体" w:eastAsia="宋体" w:cs="宋体"/>
                <w:bCs/>
                <w:color w:val="auto"/>
                <w:sz w:val="24"/>
                <w:szCs w:val="24"/>
                <w:highlight w:val="none"/>
                <w:lang w:val="en-US" w:eastAsia="zh-CN" w:bidi="ar"/>
              </w:rPr>
              <w:t>4</w:t>
            </w:r>
            <w:r>
              <w:rPr>
                <w:rFonts w:hint="eastAsia" w:ascii="宋体" w:hAnsi="宋体" w:eastAsia="宋体" w:cs="宋体"/>
                <w:bCs/>
                <w:color w:val="auto"/>
                <w:sz w:val="24"/>
                <w:szCs w:val="24"/>
                <w:highlight w:val="none"/>
                <w:lang w:bidi="ar"/>
              </w:rPr>
              <w:t>分；</w:t>
            </w:r>
          </w:p>
          <w:p w14:paraId="618964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②方案内容</w:t>
            </w:r>
            <w:r>
              <w:rPr>
                <w:rFonts w:hint="eastAsia" w:ascii="宋体" w:hAnsi="宋体" w:eastAsia="宋体" w:cs="宋体"/>
                <w:bCs/>
                <w:color w:val="auto"/>
                <w:sz w:val="24"/>
                <w:szCs w:val="24"/>
                <w:highlight w:val="none"/>
                <w:lang w:val="en-US" w:eastAsia="zh-CN" w:bidi="ar"/>
              </w:rPr>
              <w:t>有</w:t>
            </w:r>
            <w:r>
              <w:rPr>
                <w:rFonts w:hint="eastAsia" w:ascii="宋体" w:hAnsi="宋体" w:eastAsia="宋体" w:cs="宋体"/>
                <w:bCs/>
                <w:color w:val="auto"/>
                <w:sz w:val="24"/>
                <w:szCs w:val="24"/>
                <w:highlight w:val="none"/>
                <w:lang w:bidi="ar"/>
              </w:rPr>
              <w:t>结合公园实际情况，基本符合公园的管理规范要求，管理目标明确清晰，但存在一定缺陷有待改进的得</w:t>
            </w:r>
            <w:r>
              <w:rPr>
                <w:rFonts w:hint="eastAsia" w:ascii="宋体" w:hAnsi="宋体" w:eastAsia="宋体" w:cs="宋体"/>
                <w:bCs/>
                <w:color w:val="auto"/>
                <w:sz w:val="24"/>
                <w:szCs w:val="24"/>
                <w:highlight w:val="none"/>
                <w:lang w:val="en-US" w:eastAsia="zh-CN" w:bidi="ar"/>
              </w:rPr>
              <w:t>3</w:t>
            </w:r>
            <w:r>
              <w:rPr>
                <w:rFonts w:hint="eastAsia" w:ascii="宋体" w:hAnsi="宋体" w:eastAsia="宋体" w:cs="宋体"/>
                <w:bCs/>
                <w:color w:val="auto"/>
                <w:sz w:val="24"/>
                <w:szCs w:val="24"/>
                <w:highlight w:val="none"/>
                <w:lang w:bidi="ar"/>
              </w:rPr>
              <w:t>分；</w:t>
            </w:r>
          </w:p>
          <w:p w14:paraId="56C145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③方案内容基本符合实际需求，对公园管理要求理解不透彻，未针对性提出管理措施的得</w:t>
            </w:r>
            <w:r>
              <w:rPr>
                <w:rFonts w:hint="eastAsia" w:ascii="宋体" w:hAnsi="宋体" w:eastAsia="宋体" w:cs="宋体"/>
                <w:bCs/>
                <w:color w:val="auto"/>
                <w:sz w:val="24"/>
                <w:szCs w:val="24"/>
                <w:highlight w:val="none"/>
                <w:lang w:val="en-US" w:eastAsia="zh-CN" w:bidi="ar"/>
              </w:rPr>
              <w:t>2</w:t>
            </w:r>
            <w:r>
              <w:rPr>
                <w:rFonts w:hint="eastAsia" w:ascii="宋体" w:hAnsi="宋体" w:eastAsia="宋体" w:cs="宋体"/>
                <w:bCs/>
                <w:color w:val="auto"/>
                <w:sz w:val="24"/>
                <w:szCs w:val="24"/>
                <w:highlight w:val="none"/>
                <w:lang w:bidi="ar"/>
              </w:rPr>
              <w:t>分；</w:t>
            </w:r>
          </w:p>
          <w:p w14:paraId="445B3D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④方案内容不完整，内容分析不充分，与本项目实际需求有差距的得</w:t>
            </w:r>
            <w:r>
              <w:rPr>
                <w:rFonts w:hint="eastAsia" w:ascii="宋体" w:hAnsi="宋体" w:eastAsia="宋体" w:cs="宋体"/>
                <w:bCs/>
                <w:color w:val="auto"/>
                <w:sz w:val="24"/>
                <w:szCs w:val="24"/>
                <w:highlight w:val="none"/>
                <w:lang w:val="en-US" w:eastAsia="zh-CN" w:bidi="ar"/>
              </w:rPr>
              <w:t>1</w:t>
            </w:r>
            <w:r>
              <w:rPr>
                <w:rFonts w:hint="eastAsia" w:ascii="宋体" w:hAnsi="宋体" w:eastAsia="宋体" w:cs="宋体"/>
                <w:bCs/>
                <w:color w:val="auto"/>
                <w:sz w:val="24"/>
                <w:szCs w:val="24"/>
                <w:highlight w:val="none"/>
                <w:lang w:bidi="ar"/>
              </w:rPr>
              <w:t>分；</w:t>
            </w:r>
          </w:p>
          <w:p w14:paraId="0C4AE1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⑤未提供相关内容的不得分。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1C5026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val="en-US" w:eastAsia="zh-CN" w:bidi="ar"/>
              </w:rPr>
              <w:t>4</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366E8A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主观评审</w:t>
            </w:r>
          </w:p>
        </w:tc>
      </w:tr>
      <w:tr w14:paraId="69FAF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64DEDE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545963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48BE3D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0289" w:type="dxa"/>
            <w:gridSpan w:val="3"/>
            <w:tcBorders>
              <w:top w:val="single" w:color="auto" w:sz="4" w:space="0"/>
              <w:left w:val="single" w:color="auto" w:sz="4" w:space="0"/>
              <w:bottom w:val="single" w:color="auto" w:sz="4" w:space="0"/>
              <w:right w:val="single" w:color="auto" w:sz="4" w:space="0"/>
            </w:tcBorders>
            <w:noWrap w:val="0"/>
            <w:vAlign w:val="center"/>
          </w:tcPr>
          <w:p w14:paraId="488AC10B">
            <w:pPr>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安全文明作业保障:</w:t>
            </w:r>
          </w:p>
          <w:p w14:paraId="05B2784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①作业保障内容</w:t>
            </w:r>
            <w:r>
              <w:rPr>
                <w:rFonts w:hint="eastAsia" w:ascii="宋体" w:hAnsi="宋体" w:eastAsia="宋体" w:cs="宋体"/>
                <w:bCs/>
                <w:color w:val="auto"/>
                <w:sz w:val="24"/>
                <w:szCs w:val="24"/>
                <w:highlight w:val="none"/>
                <w:lang w:val="en-US" w:eastAsia="zh-CN" w:bidi="ar"/>
              </w:rPr>
              <w:t>条例清晰</w:t>
            </w:r>
            <w:r>
              <w:rPr>
                <w:rFonts w:hint="eastAsia" w:ascii="宋体" w:hAnsi="宋体" w:eastAsia="宋体" w:cs="宋体"/>
                <w:bCs/>
                <w:color w:val="auto"/>
                <w:sz w:val="24"/>
                <w:szCs w:val="24"/>
                <w:highlight w:val="none"/>
                <w:lang w:bidi="ar"/>
              </w:rPr>
              <w:t>，</w:t>
            </w:r>
            <w:r>
              <w:rPr>
                <w:rFonts w:hint="eastAsia" w:ascii="宋体" w:hAnsi="宋体" w:eastAsia="宋体" w:cs="宋体"/>
                <w:bCs/>
                <w:color w:val="auto"/>
                <w:sz w:val="24"/>
                <w:szCs w:val="24"/>
                <w:highlight w:val="none"/>
                <w:lang w:val="en-US" w:eastAsia="zh-CN" w:bidi="ar"/>
              </w:rPr>
              <w:t>熟悉相关安全文明作业制度</w:t>
            </w:r>
            <w:r>
              <w:rPr>
                <w:rFonts w:hint="eastAsia" w:ascii="宋体" w:hAnsi="宋体" w:eastAsia="宋体" w:cs="宋体"/>
                <w:bCs/>
                <w:color w:val="auto"/>
                <w:sz w:val="24"/>
                <w:szCs w:val="24"/>
                <w:highlight w:val="none"/>
                <w:lang w:bidi="ar"/>
              </w:rPr>
              <w:t>，且有针对性措施的得</w:t>
            </w:r>
            <w:r>
              <w:rPr>
                <w:rFonts w:hint="eastAsia" w:ascii="宋体" w:hAnsi="宋体" w:eastAsia="宋体" w:cs="宋体"/>
                <w:bCs/>
                <w:color w:val="auto"/>
                <w:sz w:val="24"/>
                <w:szCs w:val="24"/>
                <w:highlight w:val="none"/>
                <w:lang w:val="en-US" w:eastAsia="zh-CN" w:bidi="ar"/>
              </w:rPr>
              <w:t>4</w:t>
            </w:r>
            <w:r>
              <w:rPr>
                <w:rFonts w:hint="eastAsia" w:ascii="宋体" w:hAnsi="宋体" w:eastAsia="宋体" w:cs="宋体"/>
                <w:bCs/>
                <w:color w:val="auto"/>
                <w:sz w:val="24"/>
                <w:szCs w:val="24"/>
                <w:highlight w:val="none"/>
                <w:lang w:bidi="ar"/>
              </w:rPr>
              <w:t>分；</w:t>
            </w:r>
          </w:p>
          <w:p w14:paraId="48D74A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②作业保障内容</w:t>
            </w:r>
            <w:r>
              <w:rPr>
                <w:rFonts w:hint="eastAsia" w:ascii="宋体" w:hAnsi="宋体" w:eastAsia="宋体" w:cs="宋体"/>
                <w:bCs/>
                <w:color w:val="auto"/>
                <w:sz w:val="24"/>
                <w:szCs w:val="24"/>
                <w:highlight w:val="none"/>
                <w:lang w:val="en-US" w:eastAsia="zh-CN" w:bidi="ar"/>
              </w:rPr>
              <w:t>基本全面</w:t>
            </w:r>
            <w:r>
              <w:rPr>
                <w:rFonts w:hint="eastAsia" w:ascii="宋体" w:hAnsi="宋体" w:eastAsia="宋体" w:cs="宋体"/>
                <w:bCs/>
                <w:color w:val="auto"/>
                <w:sz w:val="24"/>
                <w:szCs w:val="24"/>
                <w:highlight w:val="none"/>
                <w:lang w:bidi="ar"/>
              </w:rPr>
              <w:t>，了解相关安全文明作业制度，且有针对性措施的得</w:t>
            </w:r>
            <w:r>
              <w:rPr>
                <w:rFonts w:hint="eastAsia" w:ascii="宋体" w:hAnsi="宋体" w:eastAsia="宋体" w:cs="宋体"/>
                <w:bCs/>
                <w:color w:val="auto"/>
                <w:sz w:val="24"/>
                <w:szCs w:val="24"/>
                <w:highlight w:val="none"/>
                <w:lang w:val="en-US" w:eastAsia="zh-CN" w:bidi="ar"/>
              </w:rPr>
              <w:t>3</w:t>
            </w:r>
            <w:r>
              <w:rPr>
                <w:rFonts w:hint="eastAsia" w:ascii="宋体" w:hAnsi="宋体" w:eastAsia="宋体" w:cs="宋体"/>
                <w:bCs/>
                <w:color w:val="auto"/>
                <w:sz w:val="24"/>
                <w:szCs w:val="24"/>
                <w:highlight w:val="none"/>
                <w:lang w:bidi="ar"/>
              </w:rPr>
              <w:t>分；</w:t>
            </w:r>
          </w:p>
          <w:p w14:paraId="4112E6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③作业保障内容</w:t>
            </w:r>
            <w:r>
              <w:rPr>
                <w:rFonts w:hint="eastAsia" w:ascii="宋体" w:hAnsi="宋体" w:eastAsia="宋体" w:cs="宋体"/>
                <w:bCs/>
                <w:color w:val="auto"/>
                <w:sz w:val="24"/>
                <w:szCs w:val="24"/>
                <w:highlight w:val="none"/>
                <w:lang w:val="en-US" w:eastAsia="zh-CN" w:bidi="ar"/>
              </w:rPr>
              <w:t>简单</w:t>
            </w:r>
            <w:r>
              <w:rPr>
                <w:rFonts w:hint="eastAsia" w:ascii="宋体" w:hAnsi="宋体" w:eastAsia="宋体" w:cs="宋体"/>
                <w:bCs/>
                <w:color w:val="auto"/>
                <w:sz w:val="24"/>
                <w:szCs w:val="24"/>
                <w:highlight w:val="none"/>
                <w:lang w:bidi="ar"/>
              </w:rPr>
              <w:t>，未针对性提出管理措施的得</w:t>
            </w:r>
            <w:r>
              <w:rPr>
                <w:rFonts w:hint="eastAsia" w:ascii="宋体" w:hAnsi="宋体" w:eastAsia="宋体" w:cs="宋体"/>
                <w:bCs/>
                <w:color w:val="auto"/>
                <w:sz w:val="24"/>
                <w:szCs w:val="24"/>
                <w:highlight w:val="none"/>
                <w:lang w:val="en-US" w:eastAsia="zh-CN" w:bidi="ar"/>
              </w:rPr>
              <w:t>2</w:t>
            </w:r>
            <w:r>
              <w:rPr>
                <w:rFonts w:hint="eastAsia" w:ascii="宋体" w:hAnsi="宋体" w:eastAsia="宋体" w:cs="宋体"/>
                <w:bCs/>
                <w:color w:val="auto"/>
                <w:sz w:val="24"/>
                <w:szCs w:val="24"/>
                <w:highlight w:val="none"/>
                <w:lang w:bidi="ar"/>
              </w:rPr>
              <w:t>分；</w:t>
            </w:r>
          </w:p>
          <w:p w14:paraId="4BDBBF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④方案内容不完整，内容分析不充分，与本项目实际需求有差距的得</w:t>
            </w:r>
            <w:r>
              <w:rPr>
                <w:rFonts w:hint="eastAsia" w:ascii="宋体" w:hAnsi="宋体" w:eastAsia="宋体" w:cs="宋体"/>
                <w:bCs/>
                <w:color w:val="auto"/>
                <w:sz w:val="24"/>
                <w:szCs w:val="24"/>
                <w:highlight w:val="none"/>
                <w:lang w:val="en-US" w:eastAsia="zh-CN" w:bidi="ar"/>
              </w:rPr>
              <w:t>1</w:t>
            </w:r>
            <w:r>
              <w:rPr>
                <w:rFonts w:hint="eastAsia" w:ascii="宋体" w:hAnsi="宋体" w:eastAsia="宋体" w:cs="宋体"/>
                <w:bCs/>
                <w:color w:val="auto"/>
                <w:sz w:val="24"/>
                <w:szCs w:val="24"/>
                <w:highlight w:val="none"/>
                <w:lang w:bidi="ar"/>
              </w:rPr>
              <w:t>分；</w:t>
            </w:r>
          </w:p>
          <w:p w14:paraId="47E1CD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⑤未提供相关内容的不得分。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366EC9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val="en-US" w:eastAsia="zh-CN" w:bidi="ar"/>
              </w:rPr>
              <w:t>4</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2BD236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主观评审</w:t>
            </w:r>
          </w:p>
        </w:tc>
      </w:tr>
      <w:tr w14:paraId="4FFD2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03643B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376870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266247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0289" w:type="dxa"/>
            <w:gridSpan w:val="3"/>
            <w:tcBorders>
              <w:top w:val="single" w:color="auto" w:sz="4" w:space="0"/>
              <w:left w:val="single" w:color="auto" w:sz="4" w:space="0"/>
              <w:bottom w:val="single" w:color="auto" w:sz="4" w:space="0"/>
              <w:right w:val="single" w:color="auto" w:sz="4" w:space="0"/>
            </w:tcBorders>
            <w:noWrap w:val="0"/>
            <w:vAlign w:val="center"/>
          </w:tcPr>
          <w:p w14:paraId="08CC403F">
            <w:pPr>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rPr>
              <w:t>创新养护工艺、技术</w:t>
            </w:r>
            <w:r>
              <w:rPr>
                <w:rFonts w:hint="eastAsia" w:ascii="宋体" w:hAnsi="宋体" w:eastAsia="宋体" w:cs="宋体"/>
                <w:bCs/>
                <w:color w:val="auto"/>
                <w:sz w:val="24"/>
                <w:szCs w:val="24"/>
                <w:highlight w:val="none"/>
                <w:lang w:bidi="ar"/>
              </w:rPr>
              <w:t>：</w:t>
            </w:r>
          </w:p>
          <w:p w14:paraId="251ADFB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①养护工艺</w:t>
            </w:r>
            <w:r>
              <w:rPr>
                <w:rFonts w:hint="eastAsia" w:ascii="宋体" w:hAnsi="宋体" w:eastAsia="宋体" w:cs="宋体"/>
                <w:bCs/>
                <w:color w:val="auto"/>
                <w:sz w:val="24"/>
                <w:szCs w:val="24"/>
                <w:highlight w:val="none"/>
                <w:lang w:val="en-US" w:eastAsia="zh-CN" w:bidi="ar"/>
              </w:rPr>
              <w:t>成熟且有创新</w:t>
            </w:r>
            <w:r>
              <w:rPr>
                <w:rFonts w:hint="eastAsia" w:ascii="宋体" w:hAnsi="宋体" w:eastAsia="宋体" w:cs="宋体"/>
                <w:bCs/>
                <w:color w:val="auto"/>
                <w:sz w:val="24"/>
                <w:szCs w:val="24"/>
                <w:highlight w:val="none"/>
                <w:lang w:bidi="ar"/>
              </w:rPr>
              <w:t>，</w:t>
            </w:r>
            <w:r>
              <w:rPr>
                <w:rFonts w:hint="eastAsia" w:ascii="宋体" w:hAnsi="宋体" w:eastAsia="宋体" w:cs="宋体"/>
                <w:bCs/>
                <w:color w:val="auto"/>
                <w:sz w:val="24"/>
                <w:szCs w:val="24"/>
                <w:highlight w:val="none"/>
                <w:lang w:val="en-US" w:eastAsia="zh-CN" w:bidi="ar"/>
              </w:rPr>
              <w:t>公园养护技术专业</w:t>
            </w:r>
            <w:r>
              <w:rPr>
                <w:rFonts w:hint="eastAsia" w:ascii="宋体" w:hAnsi="宋体" w:eastAsia="宋体" w:cs="宋体"/>
                <w:bCs/>
                <w:color w:val="auto"/>
                <w:sz w:val="24"/>
                <w:szCs w:val="24"/>
                <w:highlight w:val="none"/>
                <w:lang w:bidi="ar"/>
              </w:rPr>
              <w:t>的得</w:t>
            </w:r>
            <w:r>
              <w:rPr>
                <w:rFonts w:hint="eastAsia" w:ascii="宋体" w:hAnsi="宋体" w:eastAsia="宋体" w:cs="宋体"/>
                <w:bCs/>
                <w:color w:val="auto"/>
                <w:sz w:val="24"/>
                <w:szCs w:val="24"/>
                <w:highlight w:val="none"/>
                <w:lang w:val="en-US" w:eastAsia="zh-CN" w:bidi="ar"/>
              </w:rPr>
              <w:t>4</w:t>
            </w:r>
            <w:r>
              <w:rPr>
                <w:rFonts w:hint="eastAsia" w:ascii="宋体" w:hAnsi="宋体" w:eastAsia="宋体" w:cs="宋体"/>
                <w:bCs/>
                <w:color w:val="auto"/>
                <w:sz w:val="24"/>
                <w:szCs w:val="24"/>
                <w:highlight w:val="none"/>
                <w:lang w:bidi="ar"/>
              </w:rPr>
              <w:t>分；</w:t>
            </w:r>
          </w:p>
          <w:p w14:paraId="3EE4CA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②养护工艺</w:t>
            </w:r>
            <w:r>
              <w:rPr>
                <w:rFonts w:hint="eastAsia" w:ascii="宋体" w:hAnsi="宋体" w:eastAsia="宋体" w:cs="宋体"/>
                <w:bCs/>
                <w:color w:val="auto"/>
                <w:sz w:val="24"/>
                <w:szCs w:val="24"/>
                <w:highlight w:val="none"/>
                <w:lang w:val="en-US" w:eastAsia="zh-CN" w:bidi="ar"/>
              </w:rPr>
              <w:t>完备</w:t>
            </w:r>
            <w:r>
              <w:rPr>
                <w:rFonts w:hint="eastAsia" w:ascii="宋体" w:hAnsi="宋体" w:eastAsia="宋体" w:cs="宋体"/>
                <w:bCs/>
                <w:color w:val="auto"/>
                <w:sz w:val="24"/>
                <w:szCs w:val="24"/>
                <w:highlight w:val="none"/>
                <w:lang w:bidi="ar"/>
              </w:rPr>
              <w:t>，公园养护技术</w:t>
            </w:r>
            <w:r>
              <w:rPr>
                <w:rFonts w:hint="eastAsia" w:ascii="宋体" w:hAnsi="宋体" w:eastAsia="宋体" w:cs="宋体"/>
                <w:bCs/>
                <w:color w:val="auto"/>
                <w:sz w:val="24"/>
                <w:szCs w:val="24"/>
                <w:highlight w:val="none"/>
                <w:lang w:val="en-US" w:eastAsia="zh-CN" w:bidi="ar"/>
              </w:rPr>
              <w:t>全面</w:t>
            </w:r>
            <w:r>
              <w:rPr>
                <w:rFonts w:hint="eastAsia" w:ascii="宋体" w:hAnsi="宋体" w:eastAsia="宋体" w:cs="宋体"/>
                <w:bCs/>
                <w:color w:val="auto"/>
                <w:sz w:val="24"/>
                <w:szCs w:val="24"/>
                <w:highlight w:val="none"/>
                <w:lang w:bidi="ar"/>
              </w:rPr>
              <w:t>的得</w:t>
            </w:r>
            <w:r>
              <w:rPr>
                <w:rFonts w:hint="eastAsia" w:ascii="宋体" w:hAnsi="宋体" w:eastAsia="宋体" w:cs="宋体"/>
                <w:bCs/>
                <w:color w:val="auto"/>
                <w:sz w:val="24"/>
                <w:szCs w:val="24"/>
                <w:highlight w:val="none"/>
                <w:lang w:val="en-US" w:eastAsia="zh-CN" w:bidi="ar"/>
              </w:rPr>
              <w:t>2</w:t>
            </w:r>
            <w:r>
              <w:rPr>
                <w:rFonts w:hint="eastAsia" w:ascii="宋体" w:hAnsi="宋体" w:eastAsia="宋体" w:cs="宋体"/>
                <w:bCs/>
                <w:color w:val="auto"/>
                <w:sz w:val="24"/>
                <w:szCs w:val="24"/>
                <w:highlight w:val="none"/>
                <w:lang w:bidi="ar"/>
              </w:rPr>
              <w:t>分；</w:t>
            </w:r>
          </w:p>
          <w:p w14:paraId="54BB1E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③养护工艺</w:t>
            </w:r>
            <w:r>
              <w:rPr>
                <w:rFonts w:hint="eastAsia" w:ascii="宋体" w:hAnsi="宋体" w:eastAsia="宋体" w:cs="宋体"/>
                <w:bCs/>
                <w:color w:val="auto"/>
                <w:sz w:val="24"/>
                <w:szCs w:val="24"/>
                <w:highlight w:val="none"/>
                <w:lang w:val="en-US" w:eastAsia="zh-CN" w:bidi="ar"/>
              </w:rPr>
              <w:t>粗糙</w:t>
            </w:r>
            <w:r>
              <w:rPr>
                <w:rFonts w:hint="eastAsia" w:ascii="宋体" w:hAnsi="宋体" w:eastAsia="宋体" w:cs="宋体"/>
                <w:bCs/>
                <w:color w:val="auto"/>
                <w:sz w:val="24"/>
                <w:szCs w:val="24"/>
                <w:highlight w:val="none"/>
                <w:lang w:bidi="ar"/>
              </w:rPr>
              <w:t>，公园养护技术</w:t>
            </w:r>
            <w:r>
              <w:rPr>
                <w:rFonts w:hint="eastAsia" w:ascii="宋体" w:hAnsi="宋体" w:eastAsia="宋体" w:cs="宋体"/>
                <w:bCs/>
                <w:color w:val="auto"/>
                <w:sz w:val="24"/>
                <w:szCs w:val="24"/>
                <w:highlight w:val="none"/>
                <w:lang w:val="en-US" w:eastAsia="zh-CN" w:bidi="ar"/>
              </w:rPr>
              <w:t>单薄</w:t>
            </w:r>
            <w:r>
              <w:rPr>
                <w:rFonts w:hint="eastAsia" w:ascii="宋体" w:hAnsi="宋体" w:eastAsia="宋体" w:cs="宋体"/>
                <w:bCs/>
                <w:color w:val="auto"/>
                <w:sz w:val="24"/>
                <w:szCs w:val="24"/>
                <w:highlight w:val="none"/>
                <w:lang w:bidi="ar"/>
              </w:rPr>
              <w:t>的得</w:t>
            </w:r>
            <w:r>
              <w:rPr>
                <w:rFonts w:hint="eastAsia" w:ascii="宋体" w:hAnsi="宋体" w:eastAsia="宋体" w:cs="宋体"/>
                <w:bCs/>
                <w:color w:val="auto"/>
                <w:sz w:val="24"/>
                <w:szCs w:val="24"/>
                <w:highlight w:val="none"/>
                <w:lang w:val="en-US" w:eastAsia="zh-CN" w:bidi="ar"/>
              </w:rPr>
              <w:t>1</w:t>
            </w:r>
            <w:r>
              <w:rPr>
                <w:rFonts w:hint="eastAsia" w:ascii="宋体" w:hAnsi="宋体" w:eastAsia="宋体" w:cs="宋体"/>
                <w:bCs/>
                <w:color w:val="auto"/>
                <w:sz w:val="24"/>
                <w:szCs w:val="24"/>
                <w:highlight w:val="none"/>
                <w:lang w:bidi="ar"/>
              </w:rPr>
              <w:t>分；</w:t>
            </w:r>
          </w:p>
          <w:p w14:paraId="2487CD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④未提供相关内容的不得分。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6F9757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val="en-US" w:eastAsia="zh-CN" w:bidi="ar"/>
              </w:rPr>
              <w:t>4</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32E22E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主观评审</w:t>
            </w:r>
          </w:p>
        </w:tc>
      </w:tr>
      <w:tr w14:paraId="03E21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2AF84F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4B943D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030A24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492" w:type="dxa"/>
            <w:vMerge w:val="restart"/>
            <w:tcBorders>
              <w:top w:val="single" w:color="auto" w:sz="4" w:space="0"/>
              <w:left w:val="single" w:color="auto" w:sz="4" w:space="0"/>
              <w:right w:val="single" w:color="auto" w:sz="4" w:space="0"/>
            </w:tcBorders>
            <w:noWrap w:val="0"/>
            <w:vAlign w:val="center"/>
          </w:tcPr>
          <w:p w14:paraId="1810EA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4）绿化养护精细化管理方案（</w:t>
            </w:r>
            <w:r>
              <w:rPr>
                <w:rFonts w:hint="eastAsia" w:ascii="宋体" w:hAnsi="宋体" w:eastAsia="宋体" w:cs="宋体"/>
                <w:bCs/>
                <w:color w:val="auto"/>
                <w:sz w:val="24"/>
                <w:szCs w:val="24"/>
                <w:highlight w:val="none"/>
                <w:lang w:val="en-US" w:eastAsia="zh-CN" w:bidi="ar"/>
              </w:rPr>
              <w:t>15</w:t>
            </w:r>
            <w:r>
              <w:rPr>
                <w:rFonts w:hint="eastAsia" w:ascii="宋体" w:hAnsi="宋体" w:eastAsia="宋体" w:cs="宋体"/>
                <w:bCs/>
                <w:color w:val="auto"/>
                <w:sz w:val="24"/>
                <w:szCs w:val="24"/>
                <w:highlight w:val="none"/>
                <w:lang w:bidi="ar"/>
              </w:rPr>
              <w:t>分）</w:t>
            </w:r>
          </w:p>
        </w:tc>
        <w:tc>
          <w:tcPr>
            <w:tcW w:w="8797" w:type="dxa"/>
            <w:gridSpan w:val="2"/>
            <w:tcBorders>
              <w:top w:val="single" w:color="auto" w:sz="4" w:space="0"/>
              <w:left w:val="single" w:color="auto" w:sz="4" w:space="0"/>
              <w:bottom w:val="single" w:color="auto" w:sz="4" w:space="0"/>
              <w:right w:val="single" w:color="auto" w:sz="4" w:space="0"/>
            </w:tcBorders>
            <w:noWrap w:val="0"/>
            <w:vAlign w:val="center"/>
          </w:tcPr>
          <w:p w14:paraId="05805EB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val="en-US" w:eastAsia="zh-CN" w:bidi="ar"/>
              </w:rPr>
              <w:t>4.1</w:t>
            </w:r>
            <w:r>
              <w:rPr>
                <w:rFonts w:hint="eastAsia" w:ascii="宋体" w:hAnsi="宋体" w:eastAsia="宋体" w:cs="宋体"/>
                <w:bCs/>
                <w:color w:val="auto"/>
                <w:sz w:val="24"/>
                <w:szCs w:val="24"/>
                <w:highlight w:val="none"/>
                <w:lang w:bidi="ar"/>
              </w:rPr>
              <w:t>评委根据供应商的</w:t>
            </w:r>
            <w:r>
              <w:rPr>
                <w:rFonts w:hint="eastAsia" w:ascii="宋体" w:hAnsi="宋体" w:eastAsia="宋体" w:cs="宋体"/>
                <w:bCs/>
                <w:color w:val="auto"/>
                <w:sz w:val="24"/>
                <w:szCs w:val="24"/>
                <w:highlight w:val="none"/>
              </w:rPr>
              <w:t>植物养护方案</w:t>
            </w:r>
            <w:r>
              <w:rPr>
                <w:rFonts w:hint="eastAsia" w:ascii="宋体" w:hAnsi="宋体" w:eastAsia="宋体" w:cs="宋体"/>
                <w:bCs/>
                <w:color w:val="auto"/>
                <w:sz w:val="24"/>
                <w:szCs w:val="24"/>
                <w:highlight w:val="none"/>
                <w:lang w:eastAsia="zh-CN" w:bidi="ar"/>
              </w:rPr>
              <w:t>：</w:t>
            </w:r>
          </w:p>
          <w:p w14:paraId="140E379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①方案内容完全结合公园实际情况，</w:t>
            </w:r>
            <w:r>
              <w:rPr>
                <w:rFonts w:hint="eastAsia" w:ascii="宋体" w:hAnsi="宋体" w:eastAsia="宋体" w:cs="宋体"/>
                <w:bCs/>
                <w:color w:val="auto"/>
                <w:sz w:val="24"/>
                <w:szCs w:val="24"/>
                <w:highlight w:val="none"/>
                <w:lang w:val="en-US" w:eastAsia="zh-CN" w:bidi="ar"/>
              </w:rPr>
              <w:t>根据养护等级和各类别植物的养护内容全面</w:t>
            </w:r>
            <w:r>
              <w:rPr>
                <w:rFonts w:hint="eastAsia" w:ascii="宋体" w:hAnsi="宋体" w:eastAsia="宋体" w:cs="宋体"/>
                <w:bCs/>
                <w:color w:val="auto"/>
                <w:sz w:val="24"/>
                <w:szCs w:val="24"/>
                <w:highlight w:val="none"/>
                <w:lang w:eastAsia="zh-CN" w:bidi="ar"/>
              </w:rPr>
              <w:t>，且有针对性措施的得</w:t>
            </w:r>
            <w:r>
              <w:rPr>
                <w:rFonts w:hint="eastAsia" w:ascii="宋体" w:hAnsi="宋体" w:eastAsia="宋体" w:cs="宋体"/>
                <w:bCs/>
                <w:color w:val="auto"/>
                <w:sz w:val="24"/>
                <w:szCs w:val="24"/>
                <w:highlight w:val="none"/>
                <w:lang w:val="en-US" w:eastAsia="zh-CN" w:bidi="ar"/>
              </w:rPr>
              <w:t>3</w:t>
            </w:r>
            <w:r>
              <w:rPr>
                <w:rFonts w:hint="eastAsia" w:ascii="宋体" w:hAnsi="宋体" w:eastAsia="宋体" w:cs="宋体"/>
                <w:bCs/>
                <w:color w:val="auto"/>
                <w:sz w:val="24"/>
                <w:szCs w:val="24"/>
                <w:highlight w:val="none"/>
                <w:lang w:eastAsia="zh-CN" w:bidi="ar"/>
              </w:rPr>
              <w:t>分；</w:t>
            </w:r>
          </w:p>
          <w:p w14:paraId="0E153A5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②方案内容</w:t>
            </w:r>
            <w:r>
              <w:rPr>
                <w:rFonts w:hint="eastAsia" w:ascii="宋体" w:hAnsi="宋体" w:eastAsia="宋体" w:cs="宋体"/>
                <w:bCs/>
                <w:color w:val="auto"/>
                <w:sz w:val="24"/>
                <w:szCs w:val="24"/>
                <w:highlight w:val="none"/>
                <w:lang w:val="en-US" w:eastAsia="zh-CN" w:bidi="ar"/>
              </w:rPr>
              <w:t>有</w:t>
            </w:r>
            <w:r>
              <w:rPr>
                <w:rFonts w:hint="eastAsia" w:ascii="宋体" w:hAnsi="宋体" w:eastAsia="宋体" w:cs="宋体"/>
                <w:bCs/>
                <w:color w:val="auto"/>
                <w:sz w:val="24"/>
                <w:szCs w:val="24"/>
                <w:highlight w:val="none"/>
                <w:lang w:eastAsia="zh-CN" w:bidi="ar"/>
              </w:rPr>
              <w:t>结合公园实际情况，根据养护等级和各类别植物的养护内容</w:t>
            </w:r>
            <w:r>
              <w:rPr>
                <w:rFonts w:hint="eastAsia" w:ascii="宋体" w:hAnsi="宋体" w:eastAsia="宋体" w:cs="宋体"/>
                <w:bCs/>
                <w:color w:val="auto"/>
                <w:sz w:val="24"/>
                <w:szCs w:val="24"/>
                <w:highlight w:val="none"/>
                <w:lang w:val="en-US" w:eastAsia="zh-CN" w:bidi="ar"/>
              </w:rPr>
              <w:t>较</w:t>
            </w:r>
            <w:r>
              <w:rPr>
                <w:rFonts w:hint="eastAsia" w:ascii="宋体" w:hAnsi="宋体" w:eastAsia="宋体" w:cs="宋体"/>
                <w:bCs/>
                <w:color w:val="auto"/>
                <w:sz w:val="24"/>
                <w:szCs w:val="24"/>
                <w:highlight w:val="none"/>
                <w:lang w:eastAsia="zh-CN" w:bidi="ar"/>
              </w:rPr>
              <w:t>全面，但存在一定缺陷有待改进的得</w:t>
            </w:r>
            <w:r>
              <w:rPr>
                <w:rFonts w:hint="eastAsia" w:ascii="宋体" w:hAnsi="宋体" w:eastAsia="宋体" w:cs="宋体"/>
                <w:bCs/>
                <w:color w:val="auto"/>
                <w:sz w:val="24"/>
                <w:szCs w:val="24"/>
                <w:highlight w:val="none"/>
                <w:lang w:val="en-US" w:eastAsia="zh-CN" w:bidi="ar"/>
              </w:rPr>
              <w:t>2</w:t>
            </w:r>
            <w:r>
              <w:rPr>
                <w:rFonts w:hint="eastAsia" w:ascii="宋体" w:hAnsi="宋体" w:eastAsia="宋体" w:cs="宋体"/>
                <w:bCs/>
                <w:color w:val="auto"/>
                <w:sz w:val="24"/>
                <w:szCs w:val="24"/>
                <w:highlight w:val="none"/>
                <w:lang w:eastAsia="zh-CN" w:bidi="ar"/>
              </w:rPr>
              <w:t>分；</w:t>
            </w:r>
          </w:p>
          <w:p w14:paraId="6E67AFB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③方案内容基本符合</w:t>
            </w:r>
            <w:r>
              <w:rPr>
                <w:rFonts w:hint="eastAsia" w:ascii="宋体" w:hAnsi="宋体" w:eastAsia="宋体" w:cs="宋体"/>
                <w:bCs/>
                <w:color w:val="auto"/>
                <w:sz w:val="24"/>
                <w:szCs w:val="24"/>
                <w:highlight w:val="none"/>
                <w:lang w:val="en-US" w:eastAsia="zh-CN" w:bidi="ar"/>
              </w:rPr>
              <w:t>项目</w:t>
            </w:r>
            <w:r>
              <w:rPr>
                <w:rFonts w:hint="eastAsia" w:ascii="宋体" w:hAnsi="宋体" w:eastAsia="宋体" w:cs="宋体"/>
                <w:bCs/>
                <w:color w:val="auto"/>
                <w:sz w:val="24"/>
                <w:szCs w:val="24"/>
                <w:highlight w:val="none"/>
                <w:lang w:eastAsia="zh-CN" w:bidi="ar"/>
              </w:rPr>
              <w:t>实际需求，</w:t>
            </w:r>
            <w:r>
              <w:rPr>
                <w:rFonts w:hint="eastAsia" w:ascii="宋体" w:hAnsi="宋体" w:eastAsia="宋体" w:cs="宋体"/>
                <w:bCs/>
                <w:color w:val="auto"/>
                <w:sz w:val="24"/>
                <w:szCs w:val="24"/>
                <w:highlight w:val="none"/>
                <w:lang w:val="en-US" w:eastAsia="zh-CN" w:bidi="ar"/>
              </w:rPr>
              <w:t>但方案不全面</w:t>
            </w:r>
            <w:r>
              <w:rPr>
                <w:rFonts w:hint="eastAsia" w:ascii="宋体" w:hAnsi="宋体" w:eastAsia="宋体" w:cs="宋体"/>
                <w:bCs/>
                <w:color w:val="auto"/>
                <w:sz w:val="24"/>
                <w:szCs w:val="24"/>
                <w:highlight w:val="none"/>
                <w:lang w:eastAsia="zh-CN" w:bidi="ar"/>
              </w:rPr>
              <w:t>，未针对性提出管理措施的得1分；</w:t>
            </w:r>
          </w:p>
          <w:p w14:paraId="087C32A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④方案内容不完整，内容分析不充分，与本项目实际需求有差距的得0.5分；</w:t>
            </w:r>
          </w:p>
          <w:p w14:paraId="6744AB3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eastAsia="zh-CN" w:bidi="ar"/>
              </w:rPr>
              <w:t>⑤未提供相关内容的不得分。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1CA0F3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val="en-US" w:eastAsia="zh-CN" w:bidi="ar"/>
              </w:rPr>
              <w:t>3</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31703D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主观评审</w:t>
            </w:r>
          </w:p>
        </w:tc>
      </w:tr>
      <w:tr w14:paraId="5E682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207E28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6C502D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3C4AE0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492" w:type="dxa"/>
            <w:vMerge w:val="continue"/>
            <w:tcBorders>
              <w:left w:val="single" w:color="auto" w:sz="4" w:space="0"/>
              <w:right w:val="single" w:color="auto" w:sz="4" w:space="0"/>
            </w:tcBorders>
            <w:noWrap w:val="0"/>
            <w:vAlign w:val="center"/>
          </w:tcPr>
          <w:p w14:paraId="2E895F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8797" w:type="dxa"/>
            <w:gridSpan w:val="2"/>
            <w:tcBorders>
              <w:top w:val="single" w:color="auto" w:sz="4" w:space="0"/>
              <w:left w:val="single" w:color="auto" w:sz="4" w:space="0"/>
              <w:bottom w:val="single" w:color="auto" w:sz="4" w:space="0"/>
              <w:right w:val="single" w:color="auto" w:sz="4" w:space="0"/>
            </w:tcBorders>
            <w:noWrap w:val="0"/>
            <w:vAlign w:val="center"/>
          </w:tcPr>
          <w:p w14:paraId="211F1CD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val="en-US" w:eastAsia="zh-CN" w:bidi="ar"/>
              </w:rPr>
              <w:t>4.2</w:t>
            </w:r>
            <w:r>
              <w:rPr>
                <w:rFonts w:hint="eastAsia" w:ascii="宋体" w:hAnsi="宋体" w:eastAsia="宋体" w:cs="宋体"/>
                <w:bCs/>
                <w:color w:val="auto"/>
                <w:sz w:val="24"/>
                <w:szCs w:val="24"/>
                <w:highlight w:val="none"/>
                <w:lang w:bidi="ar"/>
              </w:rPr>
              <w:t>评委根据供应商的</w:t>
            </w:r>
            <w:r>
              <w:rPr>
                <w:rFonts w:hint="eastAsia" w:ascii="宋体" w:hAnsi="宋体" w:eastAsia="宋体" w:cs="宋体"/>
                <w:bCs/>
                <w:color w:val="auto"/>
                <w:sz w:val="24"/>
                <w:szCs w:val="24"/>
                <w:highlight w:val="none"/>
              </w:rPr>
              <w:t>病虫害防治方案</w:t>
            </w:r>
            <w:r>
              <w:rPr>
                <w:rFonts w:hint="eastAsia" w:ascii="宋体" w:hAnsi="宋体" w:eastAsia="宋体" w:cs="宋体"/>
                <w:bCs/>
                <w:color w:val="auto"/>
                <w:sz w:val="24"/>
                <w:szCs w:val="24"/>
                <w:highlight w:val="none"/>
                <w:lang w:eastAsia="zh-CN" w:bidi="ar"/>
              </w:rPr>
              <w:t>：</w:t>
            </w:r>
          </w:p>
          <w:p w14:paraId="53D0E44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①方案内容完全结合公园实际情况，病虫害防治方案全面，且有针对性措施的得</w:t>
            </w:r>
            <w:r>
              <w:rPr>
                <w:rFonts w:hint="eastAsia" w:ascii="宋体" w:hAnsi="宋体" w:eastAsia="宋体" w:cs="宋体"/>
                <w:bCs/>
                <w:color w:val="auto"/>
                <w:sz w:val="24"/>
                <w:szCs w:val="24"/>
                <w:highlight w:val="none"/>
                <w:lang w:val="en-US" w:eastAsia="zh-CN" w:bidi="ar"/>
              </w:rPr>
              <w:t>3</w:t>
            </w:r>
            <w:r>
              <w:rPr>
                <w:rFonts w:hint="eastAsia" w:ascii="宋体" w:hAnsi="宋体" w:eastAsia="宋体" w:cs="宋体"/>
                <w:bCs/>
                <w:color w:val="auto"/>
                <w:sz w:val="24"/>
                <w:szCs w:val="24"/>
                <w:highlight w:val="none"/>
                <w:lang w:eastAsia="zh-CN" w:bidi="ar"/>
              </w:rPr>
              <w:t>分；</w:t>
            </w:r>
          </w:p>
          <w:p w14:paraId="04CE493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②方案内容有结合公园实际情况，病虫害防治方案</w:t>
            </w:r>
            <w:r>
              <w:rPr>
                <w:rFonts w:hint="eastAsia" w:ascii="宋体" w:hAnsi="宋体" w:eastAsia="宋体" w:cs="宋体"/>
                <w:bCs/>
                <w:color w:val="auto"/>
                <w:sz w:val="24"/>
                <w:szCs w:val="24"/>
                <w:highlight w:val="none"/>
                <w:lang w:val="en-US" w:eastAsia="zh-CN" w:bidi="ar"/>
              </w:rPr>
              <w:t>较</w:t>
            </w:r>
            <w:r>
              <w:rPr>
                <w:rFonts w:hint="eastAsia" w:ascii="宋体" w:hAnsi="宋体" w:eastAsia="宋体" w:cs="宋体"/>
                <w:bCs/>
                <w:color w:val="auto"/>
                <w:sz w:val="24"/>
                <w:szCs w:val="24"/>
                <w:highlight w:val="none"/>
                <w:lang w:eastAsia="zh-CN" w:bidi="ar"/>
              </w:rPr>
              <w:t>全面，但存在一定缺陷有待改进的得</w:t>
            </w:r>
            <w:r>
              <w:rPr>
                <w:rFonts w:hint="eastAsia" w:ascii="宋体" w:hAnsi="宋体" w:eastAsia="宋体" w:cs="宋体"/>
                <w:bCs/>
                <w:color w:val="auto"/>
                <w:sz w:val="24"/>
                <w:szCs w:val="24"/>
                <w:highlight w:val="none"/>
                <w:lang w:val="en-US" w:eastAsia="zh-CN" w:bidi="ar"/>
              </w:rPr>
              <w:t>2</w:t>
            </w:r>
            <w:r>
              <w:rPr>
                <w:rFonts w:hint="eastAsia" w:ascii="宋体" w:hAnsi="宋体" w:eastAsia="宋体" w:cs="宋体"/>
                <w:bCs/>
                <w:color w:val="auto"/>
                <w:sz w:val="24"/>
                <w:szCs w:val="24"/>
                <w:highlight w:val="none"/>
                <w:lang w:eastAsia="zh-CN" w:bidi="ar"/>
              </w:rPr>
              <w:t>分；</w:t>
            </w:r>
          </w:p>
          <w:p w14:paraId="7D0BAE2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③方案内容基本符合</w:t>
            </w:r>
            <w:r>
              <w:rPr>
                <w:rFonts w:hint="eastAsia" w:ascii="宋体" w:hAnsi="宋体" w:eastAsia="宋体" w:cs="宋体"/>
                <w:bCs/>
                <w:color w:val="auto"/>
                <w:sz w:val="24"/>
                <w:szCs w:val="24"/>
                <w:highlight w:val="none"/>
                <w:lang w:val="en-US" w:eastAsia="zh-CN" w:bidi="ar"/>
              </w:rPr>
              <w:t>项目</w:t>
            </w:r>
            <w:r>
              <w:rPr>
                <w:rFonts w:hint="eastAsia" w:ascii="宋体" w:hAnsi="宋体" w:eastAsia="宋体" w:cs="宋体"/>
                <w:bCs/>
                <w:color w:val="auto"/>
                <w:sz w:val="24"/>
                <w:szCs w:val="24"/>
                <w:highlight w:val="none"/>
                <w:lang w:eastAsia="zh-CN" w:bidi="ar"/>
              </w:rPr>
              <w:t>实际需求，但方案不全面，未针对性提出管理措施的得1分；</w:t>
            </w:r>
          </w:p>
          <w:p w14:paraId="15FCB6D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④方案内容不完整，内容分析不充分，与本项目实际需求有差距的得0.5分；</w:t>
            </w:r>
          </w:p>
          <w:p w14:paraId="32090F7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⑤未提供相关内容的不得分。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15B60C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val="en-US" w:eastAsia="zh-CN" w:bidi="ar"/>
              </w:rPr>
              <w:t>3</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5D476E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主观评审</w:t>
            </w:r>
          </w:p>
        </w:tc>
      </w:tr>
      <w:tr w14:paraId="1D54C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1C61FC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4FE257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1F1EF1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492" w:type="dxa"/>
            <w:vMerge w:val="continue"/>
            <w:tcBorders>
              <w:left w:val="single" w:color="auto" w:sz="4" w:space="0"/>
              <w:right w:val="single" w:color="auto" w:sz="4" w:space="0"/>
            </w:tcBorders>
            <w:noWrap w:val="0"/>
            <w:vAlign w:val="center"/>
          </w:tcPr>
          <w:p w14:paraId="7EDC5D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8797" w:type="dxa"/>
            <w:gridSpan w:val="2"/>
            <w:tcBorders>
              <w:top w:val="single" w:color="auto" w:sz="4" w:space="0"/>
              <w:left w:val="single" w:color="auto" w:sz="4" w:space="0"/>
              <w:bottom w:val="single" w:color="auto" w:sz="4" w:space="0"/>
              <w:right w:val="single" w:color="auto" w:sz="4" w:space="0"/>
            </w:tcBorders>
            <w:noWrap w:val="0"/>
            <w:vAlign w:val="center"/>
          </w:tcPr>
          <w:p w14:paraId="266A4F7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val="en-US" w:eastAsia="zh-CN" w:bidi="ar"/>
              </w:rPr>
              <w:t>4.3</w:t>
            </w:r>
            <w:r>
              <w:rPr>
                <w:rFonts w:hint="eastAsia" w:ascii="宋体" w:hAnsi="宋体" w:eastAsia="宋体" w:cs="宋体"/>
                <w:bCs/>
                <w:color w:val="auto"/>
                <w:sz w:val="24"/>
                <w:szCs w:val="24"/>
                <w:highlight w:val="none"/>
                <w:lang w:bidi="ar"/>
              </w:rPr>
              <w:t>评委根据供应商的</w:t>
            </w:r>
            <w:r>
              <w:rPr>
                <w:rFonts w:hint="eastAsia" w:ascii="宋体" w:hAnsi="宋体" w:eastAsia="宋体" w:cs="宋体"/>
                <w:bCs/>
                <w:color w:val="auto"/>
                <w:sz w:val="24"/>
                <w:szCs w:val="24"/>
                <w:highlight w:val="none"/>
              </w:rPr>
              <w:t>施肥方案</w:t>
            </w:r>
            <w:r>
              <w:rPr>
                <w:rFonts w:hint="eastAsia" w:ascii="宋体" w:hAnsi="宋体" w:eastAsia="宋体" w:cs="宋体"/>
                <w:bCs/>
                <w:color w:val="auto"/>
                <w:sz w:val="24"/>
                <w:szCs w:val="24"/>
                <w:highlight w:val="none"/>
                <w:lang w:eastAsia="zh-CN" w:bidi="ar"/>
              </w:rPr>
              <w:t>：</w:t>
            </w:r>
          </w:p>
          <w:p w14:paraId="47AA346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①方案内容完全结合公园实际情况，施肥方案内容全面，</w:t>
            </w:r>
            <w:r>
              <w:rPr>
                <w:rFonts w:hint="eastAsia" w:ascii="宋体" w:hAnsi="宋体" w:eastAsia="宋体" w:cs="宋体"/>
                <w:bCs/>
                <w:color w:val="auto"/>
                <w:sz w:val="24"/>
                <w:szCs w:val="24"/>
                <w:highlight w:val="none"/>
                <w:lang w:val="en-US" w:eastAsia="zh-CN" w:bidi="ar"/>
              </w:rPr>
              <w:t>施肥计划措施完善</w:t>
            </w:r>
            <w:r>
              <w:rPr>
                <w:rFonts w:hint="eastAsia" w:ascii="宋体" w:hAnsi="宋体" w:eastAsia="宋体" w:cs="宋体"/>
                <w:bCs/>
                <w:color w:val="auto"/>
                <w:sz w:val="24"/>
                <w:szCs w:val="24"/>
                <w:highlight w:val="none"/>
                <w:lang w:eastAsia="zh-CN" w:bidi="ar"/>
              </w:rPr>
              <w:t>，且有针对性措施的得</w:t>
            </w:r>
            <w:r>
              <w:rPr>
                <w:rFonts w:hint="eastAsia" w:ascii="宋体" w:hAnsi="宋体" w:eastAsia="宋体" w:cs="宋体"/>
                <w:bCs/>
                <w:color w:val="auto"/>
                <w:sz w:val="24"/>
                <w:szCs w:val="24"/>
                <w:highlight w:val="none"/>
                <w:lang w:val="en-US" w:eastAsia="zh-CN" w:bidi="ar"/>
              </w:rPr>
              <w:t>3</w:t>
            </w:r>
            <w:r>
              <w:rPr>
                <w:rFonts w:hint="eastAsia" w:ascii="宋体" w:hAnsi="宋体" w:eastAsia="宋体" w:cs="宋体"/>
                <w:bCs/>
                <w:color w:val="auto"/>
                <w:sz w:val="24"/>
                <w:szCs w:val="24"/>
                <w:highlight w:val="none"/>
                <w:lang w:eastAsia="zh-CN" w:bidi="ar"/>
              </w:rPr>
              <w:t>分；</w:t>
            </w:r>
          </w:p>
          <w:p w14:paraId="3BCB75A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②方案内容有结合公园实际情况，施肥方案内容</w:t>
            </w:r>
            <w:r>
              <w:rPr>
                <w:rFonts w:hint="eastAsia" w:ascii="宋体" w:hAnsi="宋体" w:eastAsia="宋体" w:cs="宋体"/>
                <w:bCs/>
                <w:color w:val="auto"/>
                <w:sz w:val="24"/>
                <w:szCs w:val="24"/>
                <w:highlight w:val="none"/>
                <w:lang w:val="en-US" w:eastAsia="zh-CN" w:bidi="ar"/>
              </w:rPr>
              <w:t>较</w:t>
            </w:r>
            <w:r>
              <w:rPr>
                <w:rFonts w:hint="eastAsia" w:ascii="宋体" w:hAnsi="宋体" w:eastAsia="宋体" w:cs="宋体"/>
                <w:bCs/>
                <w:color w:val="auto"/>
                <w:sz w:val="24"/>
                <w:szCs w:val="24"/>
                <w:highlight w:val="none"/>
                <w:lang w:eastAsia="zh-CN" w:bidi="ar"/>
              </w:rPr>
              <w:t>全面，施肥计划措施</w:t>
            </w:r>
            <w:r>
              <w:rPr>
                <w:rFonts w:hint="eastAsia" w:ascii="宋体" w:hAnsi="宋体" w:eastAsia="宋体" w:cs="宋体"/>
                <w:bCs/>
                <w:color w:val="auto"/>
                <w:sz w:val="24"/>
                <w:szCs w:val="24"/>
                <w:highlight w:val="none"/>
                <w:lang w:val="en-US" w:eastAsia="zh-CN" w:bidi="ar"/>
              </w:rPr>
              <w:t>较</w:t>
            </w:r>
            <w:r>
              <w:rPr>
                <w:rFonts w:hint="eastAsia" w:ascii="宋体" w:hAnsi="宋体" w:eastAsia="宋体" w:cs="宋体"/>
                <w:bCs/>
                <w:color w:val="auto"/>
                <w:sz w:val="24"/>
                <w:szCs w:val="24"/>
                <w:highlight w:val="none"/>
                <w:lang w:eastAsia="zh-CN" w:bidi="ar"/>
              </w:rPr>
              <w:t>完善，但存在一定缺陷有待改进的得</w:t>
            </w:r>
            <w:r>
              <w:rPr>
                <w:rFonts w:hint="eastAsia" w:ascii="宋体" w:hAnsi="宋体" w:eastAsia="宋体" w:cs="宋体"/>
                <w:bCs/>
                <w:color w:val="auto"/>
                <w:sz w:val="24"/>
                <w:szCs w:val="24"/>
                <w:highlight w:val="none"/>
                <w:lang w:val="en-US" w:eastAsia="zh-CN" w:bidi="ar"/>
              </w:rPr>
              <w:t>2</w:t>
            </w:r>
            <w:r>
              <w:rPr>
                <w:rFonts w:hint="eastAsia" w:ascii="宋体" w:hAnsi="宋体" w:eastAsia="宋体" w:cs="宋体"/>
                <w:bCs/>
                <w:color w:val="auto"/>
                <w:sz w:val="24"/>
                <w:szCs w:val="24"/>
                <w:highlight w:val="none"/>
                <w:lang w:eastAsia="zh-CN" w:bidi="ar"/>
              </w:rPr>
              <w:t>分；</w:t>
            </w:r>
          </w:p>
          <w:p w14:paraId="29F58BA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③方案内容基本符合</w:t>
            </w:r>
            <w:r>
              <w:rPr>
                <w:rFonts w:hint="eastAsia" w:ascii="宋体" w:hAnsi="宋体" w:eastAsia="宋体" w:cs="宋体"/>
                <w:bCs/>
                <w:color w:val="auto"/>
                <w:sz w:val="24"/>
                <w:szCs w:val="24"/>
                <w:highlight w:val="none"/>
                <w:lang w:val="en-US" w:eastAsia="zh-CN" w:bidi="ar"/>
              </w:rPr>
              <w:t>项目</w:t>
            </w:r>
            <w:r>
              <w:rPr>
                <w:rFonts w:hint="eastAsia" w:ascii="宋体" w:hAnsi="宋体" w:eastAsia="宋体" w:cs="宋体"/>
                <w:bCs/>
                <w:color w:val="auto"/>
                <w:sz w:val="24"/>
                <w:szCs w:val="24"/>
                <w:highlight w:val="none"/>
                <w:lang w:eastAsia="zh-CN" w:bidi="ar"/>
              </w:rPr>
              <w:t>实际需求，但方案不全面，未针对性提出管理措施的得1分；</w:t>
            </w:r>
          </w:p>
          <w:p w14:paraId="7F88543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④方案内容不完整，内容分析不充分，与本项目实际需求有差距的得0.5分；</w:t>
            </w:r>
          </w:p>
          <w:p w14:paraId="04692E0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⑤未提供相关内容的不得分。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509DBA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val="en-US" w:eastAsia="zh-CN" w:bidi="ar"/>
              </w:rPr>
              <w:t>3</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05EBC1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主观评审</w:t>
            </w:r>
          </w:p>
        </w:tc>
      </w:tr>
      <w:tr w14:paraId="082F7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229536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157396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28DA2F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492" w:type="dxa"/>
            <w:vMerge w:val="continue"/>
            <w:tcBorders>
              <w:left w:val="single" w:color="auto" w:sz="4" w:space="0"/>
              <w:right w:val="single" w:color="auto" w:sz="4" w:space="0"/>
            </w:tcBorders>
            <w:noWrap w:val="0"/>
            <w:vAlign w:val="center"/>
          </w:tcPr>
          <w:p w14:paraId="4B5475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8797" w:type="dxa"/>
            <w:gridSpan w:val="2"/>
            <w:tcBorders>
              <w:top w:val="single" w:color="auto" w:sz="4" w:space="0"/>
              <w:left w:val="single" w:color="auto" w:sz="4" w:space="0"/>
              <w:bottom w:val="single" w:color="auto" w:sz="4" w:space="0"/>
              <w:right w:val="single" w:color="auto" w:sz="4" w:space="0"/>
            </w:tcBorders>
            <w:noWrap w:val="0"/>
            <w:vAlign w:val="center"/>
          </w:tcPr>
          <w:p w14:paraId="2ED4E74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val="en-US" w:eastAsia="zh-CN" w:bidi="ar"/>
              </w:rPr>
              <w:t>4.4</w:t>
            </w:r>
            <w:r>
              <w:rPr>
                <w:rFonts w:hint="eastAsia" w:ascii="宋体" w:hAnsi="宋体" w:eastAsia="宋体" w:cs="宋体"/>
                <w:bCs/>
                <w:color w:val="auto"/>
                <w:sz w:val="24"/>
                <w:szCs w:val="24"/>
                <w:highlight w:val="none"/>
                <w:lang w:bidi="ar"/>
              </w:rPr>
              <w:t>评委根据供应商的草花更换及花境点维护</w:t>
            </w:r>
            <w:r>
              <w:rPr>
                <w:rFonts w:hint="eastAsia" w:ascii="宋体" w:hAnsi="宋体" w:eastAsia="宋体" w:cs="宋体"/>
                <w:bCs/>
                <w:color w:val="auto"/>
                <w:sz w:val="24"/>
                <w:szCs w:val="24"/>
                <w:highlight w:val="none"/>
              </w:rPr>
              <w:t>方案</w:t>
            </w:r>
            <w:r>
              <w:rPr>
                <w:rFonts w:hint="eastAsia" w:ascii="宋体" w:hAnsi="宋体" w:eastAsia="宋体" w:cs="宋体"/>
                <w:bCs/>
                <w:color w:val="auto"/>
                <w:sz w:val="24"/>
                <w:szCs w:val="24"/>
                <w:highlight w:val="none"/>
                <w:lang w:eastAsia="zh-CN" w:bidi="ar"/>
              </w:rPr>
              <w:t>：</w:t>
            </w:r>
          </w:p>
          <w:p w14:paraId="66C390B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①方案内容完全结合公园实际情况，草花更换</w:t>
            </w:r>
            <w:r>
              <w:rPr>
                <w:rFonts w:hint="eastAsia" w:ascii="宋体" w:hAnsi="宋体" w:eastAsia="宋体" w:cs="宋体"/>
                <w:bCs/>
                <w:color w:val="auto"/>
                <w:sz w:val="24"/>
                <w:szCs w:val="24"/>
                <w:highlight w:val="none"/>
                <w:lang w:val="en-US" w:eastAsia="zh-CN" w:bidi="ar"/>
              </w:rPr>
              <w:t>及时符合季节时令品种多样，</w:t>
            </w:r>
            <w:r>
              <w:rPr>
                <w:rFonts w:hint="eastAsia" w:ascii="宋体" w:hAnsi="宋体" w:eastAsia="宋体" w:cs="宋体"/>
                <w:bCs/>
                <w:color w:val="auto"/>
                <w:sz w:val="24"/>
                <w:szCs w:val="24"/>
                <w:highlight w:val="none"/>
                <w:lang w:eastAsia="zh-CN" w:bidi="ar"/>
              </w:rPr>
              <w:t>花镜点维护</w:t>
            </w:r>
            <w:r>
              <w:rPr>
                <w:rFonts w:hint="eastAsia" w:ascii="宋体" w:hAnsi="宋体" w:eastAsia="宋体" w:cs="宋体"/>
                <w:bCs/>
                <w:color w:val="auto"/>
                <w:sz w:val="24"/>
                <w:szCs w:val="24"/>
                <w:highlight w:val="none"/>
                <w:lang w:val="en-US" w:eastAsia="zh-CN" w:bidi="ar"/>
              </w:rPr>
              <w:t>方案专业</w:t>
            </w:r>
            <w:r>
              <w:rPr>
                <w:rFonts w:hint="eastAsia" w:ascii="宋体" w:hAnsi="宋体" w:eastAsia="宋体" w:cs="宋体"/>
                <w:bCs/>
                <w:color w:val="auto"/>
                <w:sz w:val="24"/>
                <w:szCs w:val="24"/>
                <w:highlight w:val="none"/>
                <w:lang w:eastAsia="zh-CN" w:bidi="ar"/>
              </w:rPr>
              <w:t>，且有针对性措施的得</w:t>
            </w:r>
            <w:r>
              <w:rPr>
                <w:rFonts w:hint="eastAsia" w:ascii="宋体" w:hAnsi="宋体" w:eastAsia="宋体" w:cs="宋体"/>
                <w:bCs/>
                <w:color w:val="auto"/>
                <w:sz w:val="24"/>
                <w:szCs w:val="24"/>
                <w:highlight w:val="none"/>
                <w:lang w:val="en-US" w:eastAsia="zh-CN" w:bidi="ar"/>
              </w:rPr>
              <w:t>3</w:t>
            </w:r>
            <w:r>
              <w:rPr>
                <w:rFonts w:hint="eastAsia" w:ascii="宋体" w:hAnsi="宋体" w:eastAsia="宋体" w:cs="宋体"/>
                <w:bCs/>
                <w:color w:val="auto"/>
                <w:sz w:val="24"/>
                <w:szCs w:val="24"/>
                <w:highlight w:val="none"/>
                <w:lang w:eastAsia="zh-CN" w:bidi="ar"/>
              </w:rPr>
              <w:t>分；</w:t>
            </w:r>
          </w:p>
          <w:p w14:paraId="69B1E70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②方案内容有结合公园实际情况，草花更换</w:t>
            </w:r>
            <w:r>
              <w:rPr>
                <w:rFonts w:hint="eastAsia" w:ascii="宋体" w:hAnsi="宋体" w:eastAsia="宋体" w:cs="宋体"/>
                <w:bCs/>
                <w:color w:val="auto"/>
                <w:sz w:val="24"/>
                <w:szCs w:val="24"/>
                <w:highlight w:val="none"/>
                <w:lang w:val="en-US" w:eastAsia="zh-CN" w:bidi="ar"/>
              </w:rPr>
              <w:t>及时</w:t>
            </w:r>
            <w:r>
              <w:rPr>
                <w:rFonts w:hint="eastAsia" w:ascii="宋体" w:hAnsi="宋体" w:eastAsia="宋体" w:cs="宋体"/>
                <w:bCs/>
                <w:color w:val="auto"/>
                <w:sz w:val="24"/>
                <w:szCs w:val="24"/>
                <w:highlight w:val="none"/>
                <w:lang w:eastAsia="zh-CN" w:bidi="ar"/>
              </w:rPr>
              <w:t>，花镜点维护方案</w:t>
            </w:r>
            <w:r>
              <w:rPr>
                <w:rFonts w:hint="eastAsia" w:ascii="宋体" w:hAnsi="宋体" w:eastAsia="宋体" w:cs="宋体"/>
                <w:bCs/>
                <w:color w:val="auto"/>
                <w:sz w:val="24"/>
                <w:szCs w:val="24"/>
                <w:highlight w:val="none"/>
                <w:lang w:val="en-US" w:eastAsia="zh-CN" w:bidi="ar"/>
              </w:rPr>
              <w:t>全面</w:t>
            </w:r>
            <w:r>
              <w:rPr>
                <w:rFonts w:hint="eastAsia" w:ascii="宋体" w:hAnsi="宋体" w:eastAsia="宋体" w:cs="宋体"/>
                <w:bCs/>
                <w:color w:val="auto"/>
                <w:sz w:val="24"/>
                <w:szCs w:val="24"/>
                <w:highlight w:val="none"/>
                <w:lang w:eastAsia="zh-CN" w:bidi="ar"/>
              </w:rPr>
              <w:t>，但存在一定缺陷有待改进的得</w:t>
            </w:r>
            <w:r>
              <w:rPr>
                <w:rFonts w:hint="eastAsia" w:ascii="宋体" w:hAnsi="宋体" w:eastAsia="宋体" w:cs="宋体"/>
                <w:bCs/>
                <w:color w:val="auto"/>
                <w:sz w:val="24"/>
                <w:szCs w:val="24"/>
                <w:highlight w:val="none"/>
                <w:lang w:val="en-US" w:eastAsia="zh-CN" w:bidi="ar"/>
              </w:rPr>
              <w:t>2</w:t>
            </w:r>
            <w:r>
              <w:rPr>
                <w:rFonts w:hint="eastAsia" w:ascii="宋体" w:hAnsi="宋体" w:eastAsia="宋体" w:cs="宋体"/>
                <w:bCs/>
                <w:color w:val="auto"/>
                <w:sz w:val="24"/>
                <w:szCs w:val="24"/>
                <w:highlight w:val="none"/>
                <w:lang w:eastAsia="zh-CN" w:bidi="ar"/>
              </w:rPr>
              <w:t>分；</w:t>
            </w:r>
          </w:p>
          <w:p w14:paraId="27F1EBC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③方案内容基本符合公园实际需求，但方案不全面，未针对性提出管理措施的得1分；</w:t>
            </w:r>
          </w:p>
          <w:p w14:paraId="447CD57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④方案内容不完整，内容分析不充分，与本项目实际需求有差距的得0.5分；</w:t>
            </w:r>
          </w:p>
          <w:p w14:paraId="4F04F91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⑤未提供相关内容的不得分。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6D3A52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val="en-US" w:eastAsia="zh-CN" w:bidi="ar"/>
              </w:rPr>
              <w:t>3</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353577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主观评审</w:t>
            </w:r>
          </w:p>
        </w:tc>
      </w:tr>
      <w:tr w14:paraId="3F5ED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766FD7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082727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5B86F2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492" w:type="dxa"/>
            <w:vMerge w:val="continue"/>
            <w:tcBorders>
              <w:left w:val="single" w:color="auto" w:sz="4" w:space="0"/>
              <w:bottom w:val="single" w:color="auto" w:sz="4" w:space="0"/>
              <w:right w:val="single" w:color="auto" w:sz="4" w:space="0"/>
            </w:tcBorders>
            <w:noWrap w:val="0"/>
            <w:vAlign w:val="center"/>
          </w:tcPr>
          <w:p w14:paraId="600552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8797" w:type="dxa"/>
            <w:gridSpan w:val="2"/>
            <w:tcBorders>
              <w:top w:val="single" w:color="auto" w:sz="4" w:space="0"/>
              <w:left w:val="single" w:color="auto" w:sz="4" w:space="0"/>
              <w:bottom w:val="single" w:color="auto" w:sz="4" w:space="0"/>
              <w:right w:val="single" w:color="auto" w:sz="4" w:space="0"/>
            </w:tcBorders>
            <w:noWrap w:val="0"/>
            <w:vAlign w:val="center"/>
          </w:tcPr>
          <w:p w14:paraId="0A7E83B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val="en-US" w:eastAsia="zh-CN" w:bidi="ar"/>
              </w:rPr>
              <w:t>4.5</w:t>
            </w:r>
            <w:r>
              <w:rPr>
                <w:rFonts w:hint="eastAsia" w:ascii="宋体" w:hAnsi="宋体" w:eastAsia="宋体" w:cs="宋体"/>
                <w:bCs/>
                <w:color w:val="auto"/>
                <w:sz w:val="24"/>
                <w:szCs w:val="24"/>
                <w:highlight w:val="none"/>
                <w:lang w:bidi="ar"/>
              </w:rPr>
              <w:t>评委根据供应商的</w:t>
            </w:r>
            <w:r>
              <w:rPr>
                <w:rFonts w:hint="eastAsia" w:ascii="宋体" w:hAnsi="宋体" w:eastAsia="宋体" w:cs="宋体"/>
                <w:bCs/>
                <w:color w:val="auto"/>
                <w:sz w:val="24"/>
                <w:szCs w:val="24"/>
                <w:highlight w:val="none"/>
              </w:rPr>
              <w:t>除杂草、植物补植方案</w:t>
            </w:r>
            <w:r>
              <w:rPr>
                <w:rFonts w:hint="eastAsia" w:ascii="宋体" w:hAnsi="宋体" w:eastAsia="宋体" w:cs="宋体"/>
                <w:bCs/>
                <w:color w:val="auto"/>
                <w:sz w:val="24"/>
                <w:szCs w:val="24"/>
                <w:highlight w:val="none"/>
                <w:lang w:eastAsia="zh-CN" w:bidi="ar"/>
              </w:rPr>
              <w:t>：</w:t>
            </w:r>
          </w:p>
          <w:p w14:paraId="3723DA9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①方案内容完全结合公园实际情况，除杂草、植物补植</w:t>
            </w:r>
            <w:r>
              <w:rPr>
                <w:rFonts w:hint="eastAsia" w:ascii="宋体" w:hAnsi="宋体" w:eastAsia="宋体" w:cs="宋体"/>
                <w:bCs/>
                <w:color w:val="auto"/>
                <w:sz w:val="24"/>
                <w:szCs w:val="24"/>
                <w:highlight w:val="none"/>
                <w:lang w:val="en-US" w:eastAsia="zh-CN" w:bidi="ar"/>
              </w:rPr>
              <w:t>科学合理方案全面</w:t>
            </w:r>
            <w:r>
              <w:rPr>
                <w:rFonts w:hint="eastAsia" w:ascii="宋体" w:hAnsi="宋体" w:eastAsia="宋体" w:cs="宋体"/>
                <w:bCs/>
                <w:color w:val="auto"/>
                <w:sz w:val="24"/>
                <w:szCs w:val="24"/>
                <w:highlight w:val="none"/>
                <w:lang w:eastAsia="zh-CN" w:bidi="ar"/>
              </w:rPr>
              <w:t>，且有针对性措施的得</w:t>
            </w:r>
            <w:r>
              <w:rPr>
                <w:rFonts w:hint="eastAsia" w:ascii="宋体" w:hAnsi="宋体" w:eastAsia="宋体" w:cs="宋体"/>
                <w:bCs/>
                <w:color w:val="auto"/>
                <w:sz w:val="24"/>
                <w:szCs w:val="24"/>
                <w:highlight w:val="none"/>
                <w:lang w:val="en-US" w:eastAsia="zh-CN" w:bidi="ar"/>
              </w:rPr>
              <w:t>3</w:t>
            </w:r>
            <w:r>
              <w:rPr>
                <w:rFonts w:hint="eastAsia" w:ascii="宋体" w:hAnsi="宋体" w:eastAsia="宋体" w:cs="宋体"/>
                <w:bCs/>
                <w:color w:val="auto"/>
                <w:sz w:val="24"/>
                <w:szCs w:val="24"/>
                <w:highlight w:val="none"/>
                <w:lang w:eastAsia="zh-CN" w:bidi="ar"/>
              </w:rPr>
              <w:t>分；</w:t>
            </w:r>
          </w:p>
          <w:p w14:paraId="3379D97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②方案内容有结合公园实际情况，方案全面，但存在一定缺陷有待改进的得</w:t>
            </w:r>
            <w:r>
              <w:rPr>
                <w:rFonts w:hint="eastAsia" w:ascii="宋体" w:hAnsi="宋体" w:eastAsia="宋体" w:cs="宋体"/>
                <w:bCs/>
                <w:color w:val="auto"/>
                <w:sz w:val="24"/>
                <w:szCs w:val="24"/>
                <w:highlight w:val="none"/>
                <w:lang w:val="en-US" w:eastAsia="zh-CN" w:bidi="ar"/>
              </w:rPr>
              <w:t>2</w:t>
            </w:r>
            <w:r>
              <w:rPr>
                <w:rFonts w:hint="eastAsia" w:ascii="宋体" w:hAnsi="宋体" w:eastAsia="宋体" w:cs="宋体"/>
                <w:bCs/>
                <w:color w:val="auto"/>
                <w:sz w:val="24"/>
                <w:szCs w:val="24"/>
                <w:highlight w:val="none"/>
                <w:lang w:eastAsia="zh-CN" w:bidi="ar"/>
              </w:rPr>
              <w:t>分；</w:t>
            </w:r>
          </w:p>
          <w:p w14:paraId="7BB9E10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③方案内容基本符合公园实际需求，但方案不全面，未针对性提出管理措施的得1分；</w:t>
            </w:r>
          </w:p>
          <w:p w14:paraId="05D1D41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④方案内容不完整，内容分析不充分，与本项目实际需求有差距的得0.5分；</w:t>
            </w:r>
          </w:p>
          <w:p w14:paraId="020B723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⑤未提供相关内容的不得分。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6259C1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val="en-US" w:eastAsia="zh-CN" w:bidi="ar"/>
              </w:rPr>
              <w:t>3</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55039E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主观评审</w:t>
            </w:r>
          </w:p>
        </w:tc>
      </w:tr>
      <w:tr w14:paraId="5583F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150B92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53A292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35909E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0289" w:type="dxa"/>
            <w:gridSpan w:val="3"/>
            <w:tcBorders>
              <w:left w:val="single" w:color="auto" w:sz="4" w:space="0"/>
              <w:bottom w:val="single" w:color="auto" w:sz="4" w:space="0"/>
              <w:right w:val="single" w:color="auto" w:sz="4" w:space="0"/>
            </w:tcBorders>
            <w:noWrap w:val="0"/>
            <w:vAlign w:val="center"/>
          </w:tcPr>
          <w:p w14:paraId="312DB0E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val="en-US" w:eastAsia="zh-CN" w:bidi="ar"/>
              </w:rPr>
              <w:t>5）</w:t>
            </w:r>
            <w:r>
              <w:rPr>
                <w:rFonts w:hint="eastAsia" w:ascii="宋体" w:hAnsi="宋体" w:eastAsia="宋体" w:cs="宋体"/>
                <w:bCs/>
                <w:color w:val="auto"/>
                <w:sz w:val="24"/>
                <w:szCs w:val="24"/>
                <w:highlight w:val="none"/>
                <w:lang w:bidi="ar"/>
              </w:rPr>
              <w:t>水</w:t>
            </w:r>
            <w:r>
              <w:rPr>
                <w:rFonts w:hint="eastAsia" w:ascii="宋体" w:hAnsi="宋体" w:cs="宋体"/>
                <w:bCs/>
                <w:color w:val="auto"/>
                <w:sz w:val="24"/>
                <w:szCs w:val="24"/>
                <w:highlight w:val="none"/>
                <w:lang w:val="en-US" w:eastAsia="zh-CN" w:bidi="ar"/>
              </w:rPr>
              <w:t>体管理保洁</w:t>
            </w:r>
            <w:r>
              <w:rPr>
                <w:rFonts w:hint="eastAsia" w:ascii="宋体" w:hAnsi="宋体" w:eastAsia="宋体" w:cs="宋体"/>
                <w:bCs/>
                <w:color w:val="auto"/>
                <w:sz w:val="24"/>
                <w:szCs w:val="24"/>
                <w:highlight w:val="none"/>
                <w:lang w:bidi="ar"/>
              </w:rPr>
              <w:t>方案：</w:t>
            </w:r>
          </w:p>
          <w:p w14:paraId="461C95A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①方案内容完全结合公园实际情况，水体管理保洁方案全面</w:t>
            </w:r>
            <w:r>
              <w:rPr>
                <w:rFonts w:hint="eastAsia" w:ascii="宋体" w:hAnsi="宋体" w:eastAsia="宋体" w:cs="宋体"/>
                <w:bCs/>
                <w:color w:val="auto"/>
                <w:sz w:val="24"/>
                <w:szCs w:val="24"/>
                <w:highlight w:val="none"/>
                <w:lang w:val="en-US" w:eastAsia="zh-CN" w:bidi="ar"/>
              </w:rPr>
              <w:t>合理，对各标项水域状况有清晰了解，水域安全作业方案到位</w:t>
            </w:r>
            <w:r>
              <w:rPr>
                <w:rFonts w:hint="eastAsia" w:ascii="宋体" w:hAnsi="宋体" w:eastAsia="宋体" w:cs="宋体"/>
                <w:bCs/>
                <w:color w:val="auto"/>
                <w:sz w:val="24"/>
                <w:szCs w:val="24"/>
                <w:highlight w:val="none"/>
                <w:lang w:bidi="ar"/>
              </w:rPr>
              <w:t>，鱼苗</w:t>
            </w:r>
            <w:r>
              <w:rPr>
                <w:rFonts w:hint="eastAsia" w:ascii="宋体" w:hAnsi="宋体" w:cs="宋体"/>
                <w:bCs/>
                <w:color w:val="auto"/>
                <w:sz w:val="24"/>
                <w:szCs w:val="24"/>
                <w:highlight w:val="none"/>
                <w:lang w:val="en-US" w:eastAsia="zh-CN" w:bidi="ar"/>
              </w:rPr>
              <w:t>投放方案详尽（若标项需要）</w:t>
            </w:r>
            <w:r>
              <w:rPr>
                <w:rFonts w:hint="eastAsia" w:ascii="宋体" w:hAnsi="宋体" w:eastAsia="宋体" w:cs="宋体"/>
                <w:bCs/>
                <w:color w:val="auto"/>
                <w:sz w:val="24"/>
                <w:szCs w:val="24"/>
                <w:highlight w:val="none"/>
                <w:lang w:bidi="ar"/>
              </w:rPr>
              <w:t>且有针对性措施的得</w:t>
            </w:r>
            <w:r>
              <w:rPr>
                <w:rFonts w:hint="eastAsia" w:ascii="宋体" w:hAnsi="宋体" w:eastAsia="宋体" w:cs="宋体"/>
                <w:bCs/>
                <w:color w:val="auto"/>
                <w:sz w:val="24"/>
                <w:szCs w:val="24"/>
                <w:highlight w:val="none"/>
                <w:lang w:val="en-US" w:eastAsia="zh-CN" w:bidi="ar"/>
              </w:rPr>
              <w:t>3</w:t>
            </w:r>
            <w:r>
              <w:rPr>
                <w:rFonts w:hint="eastAsia" w:ascii="宋体" w:hAnsi="宋体" w:eastAsia="宋体" w:cs="宋体"/>
                <w:bCs/>
                <w:color w:val="auto"/>
                <w:sz w:val="24"/>
                <w:szCs w:val="24"/>
                <w:highlight w:val="none"/>
                <w:lang w:bidi="ar"/>
              </w:rPr>
              <w:t>分；</w:t>
            </w:r>
          </w:p>
          <w:p w14:paraId="7D1482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②方案内容有结合公园实际情况，水体管理保洁方案方案</w:t>
            </w:r>
            <w:r>
              <w:rPr>
                <w:rFonts w:hint="eastAsia" w:ascii="宋体" w:hAnsi="宋体" w:eastAsia="宋体" w:cs="宋体"/>
                <w:bCs/>
                <w:color w:val="auto"/>
                <w:sz w:val="24"/>
                <w:szCs w:val="24"/>
                <w:highlight w:val="none"/>
                <w:lang w:val="en-US" w:eastAsia="zh-CN" w:bidi="ar"/>
              </w:rPr>
              <w:t>较</w:t>
            </w:r>
            <w:r>
              <w:rPr>
                <w:rFonts w:hint="eastAsia" w:ascii="宋体" w:hAnsi="宋体" w:eastAsia="宋体" w:cs="宋体"/>
                <w:bCs/>
                <w:color w:val="auto"/>
                <w:sz w:val="24"/>
                <w:szCs w:val="24"/>
                <w:highlight w:val="none"/>
                <w:lang w:bidi="ar"/>
              </w:rPr>
              <w:t>全面，水域安全作业方案到位</w:t>
            </w:r>
            <w:r>
              <w:rPr>
                <w:rFonts w:hint="eastAsia" w:ascii="宋体" w:hAnsi="宋体" w:eastAsia="宋体" w:cs="宋体"/>
                <w:bCs/>
                <w:color w:val="auto"/>
                <w:sz w:val="24"/>
                <w:szCs w:val="24"/>
                <w:highlight w:val="none"/>
                <w:lang w:eastAsia="zh-CN" w:bidi="ar"/>
              </w:rPr>
              <w:t>，</w:t>
            </w:r>
            <w:r>
              <w:rPr>
                <w:rFonts w:hint="eastAsia" w:ascii="宋体" w:hAnsi="宋体" w:eastAsia="宋体" w:cs="宋体"/>
                <w:bCs/>
                <w:color w:val="auto"/>
                <w:sz w:val="24"/>
                <w:szCs w:val="24"/>
                <w:highlight w:val="none"/>
                <w:lang w:bidi="ar"/>
              </w:rPr>
              <w:t>但存在一定缺陷有待改进的得</w:t>
            </w:r>
            <w:r>
              <w:rPr>
                <w:rFonts w:hint="eastAsia" w:ascii="宋体" w:hAnsi="宋体" w:eastAsia="宋体" w:cs="宋体"/>
                <w:bCs/>
                <w:color w:val="auto"/>
                <w:sz w:val="24"/>
                <w:szCs w:val="24"/>
                <w:highlight w:val="none"/>
                <w:lang w:val="en-US" w:eastAsia="zh-CN" w:bidi="ar"/>
              </w:rPr>
              <w:t>2</w:t>
            </w:r>
            <w:r>
              <w:rPr>
                <w:rFonts w:hint="eastAsia" w:ascii="宋体" w:hAnsi="宋体" w:eastAsia="宋体" w:cs="宋体"/>
                <w:bCs/>
                <w:color w:val="auto"/>
                <w:sz w:val="24"/>
                <w:szCs w:val="24"/>
                <w:highlight w:val="none"/>
                <w:lang w:bidi="ar"/>
              </w:rPr>
              <w:t>分；</w:t>
            </w:r>
          </w:p>
          <w:p w14:paraId="44900B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③方案内容基本符合</w:t>
            </w:r>
            <w:r>
              <w:rPr>
                <w:rFonts w:hint="eastAsia" w:ascii="宋体" w:hAnsi="宋体" w:eastAsia="宋体" w:cs="宋体"/>
                <w:bCs/>
                <w:color w:val="auto"/>
                <w:sz w:val="24"/>
                <w:szCs w:val="24"/>
                <w:highlight w:val="none"/>
                <w:lang w:val="en-US" w:eastAsia="zh-CN" w:bidi="ar"/>
              </w:rPr>
              <w:t>项目</w:t>
            </w:r>
            <w:r>
              <w:rPr>
                <w:rFonts w:hint="eastAsia" w:ascii="宋体" w:hAnsi="宋体" w:eastAsia="宋体" w:cs="宋体"/>
                <w:bCs/>
                <w:color w:val="auto"/>
                <w:sz w:val="24"/>
                <w:szCs w:val="24"/>
                <w:highlight w:val="none"/>
                <w:lang w:bidi="ar"/>
              </w:rPr>
              <w:t>实际需求，但方案不全面，未针对性提出管理措施的得1分；</w:t>
            </w:r>
          </w:p>
          <w:p w14:paraId="522C47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④方案内容不完整，内容分析不充分，与本项目实际需求有差距的得0.5分；</w:t>
            </w:r>
          </w:p>
          <w:p w14:paraId="08C889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⑤未提供相关内容的不得分。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1E58DE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val="en-US" w:eastAsia="zh-CN" w:bidi="ar"/>
              </w:rPr>
              <w:t>3</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2E9277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主观评审</w:t>
            </w:r>
          </w:p>
        </w:tc>
      </w:tr>
      <w:tr w14:paraId="13C4C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2F61A5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58E2EB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437512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492" w:type="dxa"/>
            <w:vMerge w:val="restart"/>
            <w:tcBorders>
              <w:left w:val="single" w:color="auto" w:sz="4" w:space="0"/>
              <w:right w:val="single" w:color="auto" w:sz="4" w:space="0"/>
            </w:tcBorders>
            <w:noWrap w:val="0"/>
            <w:vAlign w:val="center"/>
          </w:tcPr>
          <w:p w14:paraId="6A3BA6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6）</w:t>
            </w:r>
            <w:r>
              <w:rPr>
                <w:rFonts w:hint="eastAsia" w:ascii="宋体" w:hAnsi="宋体" w:cs="宋体"/>
                <w:bCs/>
                <w:color w:val="auto"/>
                <w:sz w:val="24"/>
                <w:szCs w:val="24"/>
                <w:highlight w:val="none"/>
                <w:lang w:val="en-US" w:eastAsia="zh-CN" w:bidi="ar"/>
              </w:rPr>
              <w:t>公园</w:t>
            </w:r>
            <w:r>
              <w:rPr>
                <w:rFonts w:hint="eastAsia" w:ascii="宋体" w:hAnsi="宋体" w:eastAsia="宋体" w:cs="宋体"/>
                <w:bCs/>
                <w:color w:val="auto"/>
                <w:sz w:val="24"/>
                <w:szCs w:val="24"/>
                <w:highlight w:val="none"/>
                <w:lang w:bidi="ar"/>
              </w:rPr>
              <w:t>保洁方案（</w:t>
            </w:r>
            <w:r>
              <w:rPr>
                <w:rFonts w:hint="eastAsia" w:ascii="宋体" w:hAnsi="宋体" w:eastAsia="宋体" w:cs="宋体"/>
                <w:bCs/>
                <w:color w:val="auto"/>
                <w:sz w:val="24"/>
                <w:szCs w:val="24"/>
                <w:highlight w:val="none"/>
                <w:lang w:val="en-US" w:eastAsia="zh-CN" w:bidi="ar"/>
              </w:rPr>
              <w:t>9</w:t>
            </w:r>
            <w:r>
              <w:rPr>
                <w:rFonts w:hint="eastAsia" w:ascii="宋体" w:hAnsi="宋体" w:eastAsia="宋体" w:cs="宋体"/>
                <w:bCs/>
                <w:color w:val="auto"/>
                <w:sz w:val="24"/>
                <w:szCs w:val="24"/>
                <w:highlight w:val="none"/>
                <w:lang w:bidi="ar"/>
              </w:rPr>
              <w:t>分）</w:t>
            </w:r>
          </w:p>
        </w:tc>
        <w:tc>
          <w:tcPr>
            <w:tcW w:w="8797" w:type="dxa"/>
            <w:gridSpan w:val="2"/>
            <w:tcBorders>
              <w:left w:val="single" w:color="auto" w:sz="4" w:space="0"/>
              <w:bottom w:val="single" w:color="auto" w:sz="4" w:space="0"/>
              <w:right w:val="single" w:color="auto" w:sz="4" w:space="0"/>
            </w:tcBorders>
            <w:noWrap w:val="0"/>
            <w:vAlign w:val="center"/>
          </w:tcPr>
          <w:p w14:paraId="3AD5B83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val="en-US" w:eastAsia="zh-CN" w:bidi="ar"/>
              </w:rPr>
              <w:t>6.1</w:t>
            </w:r>
            <w:r>
              <w:rPr>
                <w:rFonts w:hint="eastAsia" w:ascii="宋体" w:hAnsi="宋体" w:eastAsia="宋体" w:cs="宋体"/>
                <w:bCs/>
                <w:color w:val="auto"/>
                <w:sz w:val="24"/>
                <w:szCs w:val="24"/>
                <w:highlight w:val="none"/>
                <w:lang w:bidi="ar"/>
              </w:rPr>
              <w:t>根据供应商提供的绿地保洁方案</w:t>
            </w:r>
            <w:r>
              <w:rPr>
                <w:rFonts w:hint="eastAsia" w:ascii="宋体" w:hAnsi="宋体" w:eastAsia="宋体" w:cs="宋体"/>
                <w:bCs/>
                <w:color w:val="auto"/>
                <w:sz w:val="24"/>
                <w:szCs w:val="24"/>
                <w:highlight w:val="none"/>
                <w:lang w:eastAsia="zh-CN" w:bidi="ar"/>
              </w:rPr>
              <w:t>：</w:t>
            </w:r>
          </w:p>
          <w:p w14:paraId="19DEFB8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①方案内容完全结合公园</w:t>
            </w:r>
            <w:r>
              <w:rPr>
                <w:rFonts w:hint="eastAsia" w:ascii="宋体" w:hAnsi="宋体" w:eastAsia="宋体" w:cs="宋体"/>
                <w:bCs/>
                <w:color w:val="auto"/>
                <w:sz w:val="24"/>
                <w:szCs w:val="24"/>
                <w:highlight w:val="none"/>
                <w:lang w:val="en-US" w:eastAsia="zh-CN" w:bidi="ar"/>
              </w:rPr>
              <w:t>绿地保洁的</w:t>
            </w:r>
            <w:r>
              <w:rPr>
                <w:rFonts w:hint="eastAsia" w:ascii="宋体" w:hAnsi="宋体" w:eastAsia="宋体" w:cs="宋体"/>
                <w:bCs/>
                <w:color w:val="auto"/>
                <w:sz w:val="24"/>
                <w:szCs w:val="24"/>
                <w:highlight w:val="none"/>
                <w:lang w:eastAsia="zh-CN" w:bidi="ar"/>
              </w:rPr>
              <w:t>实际情况，</w:t>
            </w:r>
            <w:r>
              <w:rPr>
                <w:rFonts w:hint="eastAsia" w:ascii="宋体" w:hAnsi="宋体" w:eastAsia="宋体" w:cs="宋体"/>
                <w:bCs/>
                <w:color w:val="auto"/>
                <w:sz w:val="24"/>
                <w:szCs w:val="24"/>
                <w:highlight w:val="none"/>
                <w:lang w:val="en-US" w:eastAsia="zh-CN" w:bidi="ar"/>
              </w:rPr>
              <w:t>对“公园深度保洁</w:t>
            </w:r>
            <w:r>
              <w:rPr>
                <w:rFonts w:hint="eastAsia" w:ascii="宋体" w:hAnsi="宋体" w:cs="宋体"/>
                <w:bCs/>
                <w:color w:val="auto"/>
                <w:sz w:val="24"/>
                <w:szCs w:val="24"/>
                <w:highlight w:val="none"/>
                <w:lang w:val="en-US" w:eastAsia="zh-CN" w:bidi="ar"/>
              </w:rPr>
              <w:t>（席地而坐）</w:t>
            </w:r>
            <w:r>
              <w:rPr>
                <w:rFonts w:hint="eastAsia" w:ascii="宋体" w:hAnsi="宋体" w:eastAsia="宋体" w:cs="宋体"/>
                <w:bCs/>
                <w:color w:val="auto"/>
                <w:sz w:val="24"/>
                <w:szCs w:val="24"/>
                <w:highlight w:val="none"/>
                <w:lang w:val="en-US" w:eastAsia="zh-CN" w:bidi="ar"/>
              </w:rPr>
              <w:t>”有专项方案</w:t>
            </w:r>
            <w:r>
              <w:rPr>
                <w:rFonts w:hint="eastAsia" w:ascii="宋体" w:hAnsi="宋体" w:eastAsia="宋体" w:cs="宋体"/>
                <w:bCs/>
                <w:color w:val="auto"/>
                <w:sz w:val="24"/>
                <w:szCs w:val="24"/>
                <w:highlight w:val="none"/>
                <w:lang w:eastAsia="zh-CN" w:bidi="ar"/>
              </w:rPr>
              <w:t>，方案全面合理，且有针对性措施的得</w:t>
            </w:r>
            <w:r>
              <w:rPr>
                <w:rFonts w:hint="eastAsia" w:ascii="宋体" w:hAnsi="宋体" w:eastAsia="宋体" w:cs="宋体"/>
                <w:bCs/>
                <w:color w:val="auto"/>
                <w:sz w:val="24"/>
                <w:szCs w:val="24"/>
                <w:highlight w:val="none"/>
                <w:lang w:val="en-US" w:eastAsia="zh-CN" w:bidi="ar"/>
              </w:rPr>
              <w:t>4</w:t>
            </w:r>
            <w:r>
              <w:rPr>
                <w:rFonts w:hint="eastAsia" w:ascii="宋体" w:hAnsi="宋体" w:eastAsia="宋体" w:cs="宋体"/>
                <w:bCs/>
                <w:color w:val="auto"/>
                <w:sz w:val="24"/>
                <w:szCs w:val="24"/>
                <w:highlight w:val="none"/>
                <w:lang w:eastAsia="zh-CN" w:bidi="ar"/>
              </w:rPr>
              <w:t>分；</w:t>
            </w:r>
          </w:p>
          <w:p w14:paraId="5DE8EE1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②方案内容有结合公园绿地保洁的实际情况，对“公园深度保洁（席地而坐）”有专项方案，方案全面，但存在一定缺陷有待改进的得</w:t>
            </w:r>
            <w:r>
              <w:rPr>
                <w:rFonts w:hint="eastAsia" w:ascii="宋体" w:hAnsi="宋体" w:eastAsia="宋体" w:cs="宋体"/>
                <w:bCs/>
                <w:color w:val="auto"/>
                <w:sz w:val="24"/>
                <w:szCs w:val="24"/>
                <w:highlight w:val="none"/>
                <w:lang w:val="en-US" w:eastAsia="zh-CN" w:bidi="ar"/>
              </w:rPr>
              <w:t>3</w:t>
            </w:r>
            <w:r>
              <w:rPr>
                <w:rFonts w:hint="eastAsia" w:ascii="宋体" w:hAnsi="宋体" w:eastAsia="宋体" w:cs="宋体"/>
                <w:bCs/>
                <w:color w:val="auto"/>
                <w:sz w:val="24"/>
                <w:szCs w:val="24"/>
                <w:highlight w:val="none"/>
                <w:lang w:eastAsia="zh-CN" w:bidi="ar"/>
              </w:rPr>
              <w:t>分；</w:t>
            </w:r>
          </w:p>
          <w:p w14:paraId="6D899EB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③方案内容基本符合公园绿地保洁的实际需求，但方案不全面，未针对性提出管理措施的得</w:t>
            </w:r>
            <w:r>
              <w:rPr>
                <w:rFonts w:hint="eastAsia" w:ascii="宋体" w:hAnsi="宋体" w:eastAsia="宋体" w:cs="宋体"/>
                <w:bCs/>
                <w:color w:val="auto"/>
                <w:sz w:val="24"/>
                <w:szCs w:val="24"/>
                <w:highlight w:val="none"/>
                <w:lang w:val="en-US" w:eastAsia="zh-CN" w:bidi="ar"/>
              </w:rPr>
              <w:t>2</w:t>
            </w:r>
            <w:r>
              <w:rPr>
                <w:rFonts w:hint="eastAsia" w:ascii="宋体" w:hAnsi="宋体" w:eastAsia="宋体" w:cs="宋体"/>
                <w:bCs/>
                <w:color w:val="auto"/>
                <w:sz w:val="24"/>
                <w:szCs w:val="24"/>
                <w:highlight w:val="none"/>
                <w:lang w:eastAsia="zh-CN" w:bidi="ar"/>
              </w:rPr>
              <w:t>分；</w:t>
            </w:r>
          </w:p>
          <w:p w14:paraId="17953DB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④方案内容不完整，内容分析不充分，与本项目实际需求有差距的得</w:t>
            </w:r>
            <w:r>
              <w:rPr>
                <w:rFonts w:hint="eastAsia" w:ascii="宋体" w:hAnsi="宋体" w:eastAsia="宋体" w:cs="宋体"/>
                <w:bCs/>
                <w:color w:val="auto"/>
                <w:sz w:val="24"/>
                <w:szCs w:val="24"/>
                <w:highlight w:val="none"/>
                <w:lang w:val="en-US" w:eastAsia="zh-CN" w:bidi="ar"/>
              </w:rPr>
              <w:t>1</w:t>
            </w:r>
            <w:r>
              <w:rPr>
                <w:rFonts w:hint="eastAsia" w:ascii="宋体" w:hAnsi="宋体" w:eastAsia="宋体" w:cs="宋体"/>
                <w:bCs/>
                <w:color w:val="auto"/>
                <w:sz w:val="24"/>
                <w:szCs w:val="24"/>
                <w:highlight w:val="none"/>
                <w:lang w:eastAsia="zh-CN" w:bidi="ar"/>
              </w:rPr>
              <w:t>分；</w:t>
            </w:r>
          </w:p>
          <w:p w14:paraId="3CAD3DD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eastAsia="zh-CN" w:bidi="ar"/>
              </w:rPr>
              <w:t>⑤未提供相关内容的不得分。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3FBFE7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val="en-US" w:eastAsia="zh-CN" w:bidi="ar"/>
              </w:rPr>
              <w:t>4</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6E153A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主观评审</w:t>
            </w:r>
          </w:p>
        </w:tc>
      </w:tr>
      <w:tr w14:paraId="729BA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36C27C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6A695C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6C6A32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492" w:type="dxa"/>
            <w:vMerge w:val="continue"/>
            <w:tcBorders>
              <w:left w:val="single" w:color="auto" w:sz="4" w:space="0"/>
              <w:right w:val="single" w:color="auto" w:sz="4" w:space="0"/>
            </w:tcBorders>
            <w:noWrap w:val="0"/>
            <w:vAlign w:val="center"/>
          </w:tcPr>
          <w:p w14:paraId="0FC063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8797" w:type="dxa"/>
            <w:gridSpan w:val="2"/>
            <w:tcBorders>
              <w:left w:val="single" w:color="auto" w:sz="4" w:space="0"/>
              <w:bottom w:val="single" w:color="auto" w:sz="4" w:space="0"/>
              <w:right w:val="single" w:color="auto" w:sz="4" w:space="0"/>
            </w:tcBorders>
            <w:noWrap w:val="0"/>
            <w:vAlign w:val="center"/>
          </w:tcPr>
          <w:p w14:paraId="0BD4752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val="en-US" w:eastAsia="zh-CN" w:bidi="ar"/>
              </w:rPr>
              <w:t>6.2</w:t>
            </w:r>
            <w:r>
              <w:rPr>
                <w:rFonts w:hint="eastAsia" w:ascii="宋体" w:hAnsi="宋体" w:eastAsia="宋体" w:cs="宋体"/>
                <w:bCs/>
                <w:color w:val="auto"/>
                <w:sz w:val="24"/>
                <w:szCs w:val="24"/>
                <w:highlight w:val="none"/>
                <w:lang w:bidi="ar"/>
              </w:rPr>
              <w:t>根据供应商提供的垃圾分类及清运方案</w:t>
            </w:r>
            <w:r>
              <w:rPr>
                <w:rFonts w:hint="eastAsia" w:ascii="宋体" w:hAnsi="宋体" w:eastAsia="宋体" w:cs="宋体"/>
                <w:bCs/>
                <w:color w:val="auto"/>
                <w:sz w:val="24"/>
                <w:szCs w:val="24"/>
                <w:highlight w:val="none"/>
                <w:lang w:eastAsia="zh-CN" w:bidi="ar"/>
              </w:rPr>
              <w:t>：</w:t>
            </w:r>
          </w:p>
          <w:p w14:paraId="69955A5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①方案内容完全结合公园实际情况，垃圾分类及清运方案全面合理，且有针对性措施的得</w:t>
            </w:r>
            <w:r>
              <w:rPr>
                <w:rFonts w:hint="eastAsia" w:ascii="宋体" w:hAnsi="宋体" w:eastAsia="宋体" w:cs="宋体"/>
                <w:bCs/>
                <w:color w:val="auto"/>
                <w:sz w:val="24"/>
                <w:szCs w:val="24"/>
                <w:highlight w:val="none"/>
                <w:lang w:val="en-US" w:eastAsia="zh-CN" w:bidi="ar"/>
              </w:rPr>
              <w:t>2</w:t>
            </w:r>
            <w:r>
              <w:rPr>
                <w:rFonts w:hint="eastAsia" w:ascii="宋体" w:hAnsi="宋体" w:eastAsia="宋体" w:cs="宋体"/>
                <w:bCs/>
                <w:color w:val="auto"/>
                <w:sz w:val="24"/>
                <w:szCs w:val="24"/>
                <w:highlight w:val="none"/>
                <w:lang w:eastAsia="zh-CN" w:bidi="ar"/>
              </w:rPr>
              <w:t>分；</w:t>
            </w:r>
          </w:p>
          <w:p w14:paraId="053DEEA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②方案内容有结合公园实际情况，垃圾分类及清运方案全面，但存在一定缺陷有待改进的得</w:t>
            </w:r>
            <w:r>
              <w:rPr>
                <w:rFonts w:hint="eastAsia" w:ascii="宋体" w:hAnsi="宋体" w:eastAsia="宋体" w:cs="宋体"/>
                <w:bCs/>
                <w:color w:val="auto"/>
                <w:sz w:val="24"/>
                <w:szCs w:val="24"/>
                <w:highlight w:val="none"/>
                <w:lang w:val="en-US" w:eastAsia="zh-CN" w:bidi="ar"/>
              </w:rPr>
              <w:t>1.5</w:t>
            </w:r>
            <w:r>
              <w:rPr>
                <w:rFonts w:hint="eastAsia" w:ascii="宋体" w:hAnsi="宋体" w:eastAsia="宋体" w:cs="宋体"/>
                <w:bCs/>
                <w:color w:val="auto"/>
                <w:sz w:val="24"/>
                <w:szCs w:val="24"/>
                <w:highlight w:val="none"/>
                <w:lang w:eastAsia="zh-CN" w:bidi="ar"/>
              </w:rPr>
              <w:t>分；</w:t>
            </w:r>
          </w:p>
          <w:p w14:paraId="43F11DF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③方案内容基本符合</w:t>
            </w:r>
            <w:r>
              <w:rPr>
                <w:rFonts w:hint="eastAsia" w:ascii="宋体" w:hAnsi="宋体" w:eastAsia="宋体" w:cs="宋体"/>
                <w:bCs/>
                <w:color w:val="auto"/>
                <w:sz w:val="24"/>
                <w:szCs w:val="24"/>
                <w:highlight w:val="none"/>
                <w:lang w:val="en-US" w:eastAsia="zh-CN" w:bidi="ar"/>
              </w:rPr>
              <w:t>项目</w:t>
            </w:r>
            <w:r>
              <w:rPr>
                <w:rFonts w:hint="eastAsia" w:ascii="宋体" w:hAnsi="宋体" w:eastAsia="宋体" w:cs="宋体"/>
                <w:bCs/>
                <w:color w:val="auto"/>
                <w:sz w:val="24"/>
                <w:szCs w:val="24"/>
                <w:highlight w:val="none"/>
                <w:lang w:eastAsia="zh-CN" w:bidi="ar"/>
              </w:rPr>
              <w:t>实际需求，但方案不全面，未针对性提出管理措施的得1分；</w:t>
            </w:r>
          </w:p>
          <w:p w14:paraId="401B842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④方案内容不完整，内容分析不充分，与本项目实际需求有差距的得0.5分；</w:t>
            </w:r>
          </w:p>
          <w:p w14:paraId="6DB6C50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⑤未提供相关内容的不得分。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263B63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val="en-US" w:eastAsia="zh-CN" w:bidi="ar"/>
              </w:rPr>
              <w:t>2</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649FB1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主观评审</w:t>
            </w:r>
          </w:p>
        </w:tc>
      </w:tr>
      <w:tr w14:paraId="3001A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633EFA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64504A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73D57D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492" w:type="dxa"/>
            <w:vMerge w:val="continue"/>
            <w:tcBorders>
              <w:left w:val="single" w:color="auto" w:sz="4" w:space="0"/>
              <w:right w:val="single" w:color="auto" w:sz="4" w:space="0"/>
            </w:tcBorders>
            <w:noWrap w:val="0"/>
            <w:vAlign w:val="center"/>
          </w:tcPr>
          <w:p w14:paraId="6F6E30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8797" w:type="dxa"/>
            <w:gridSpan w:val="2"/>
            <w:tcBorders>
              <w:left w:val="single" w:color="auto" w:sz="4" w:space="0"/>
              <w:bottom w:val="single" w:color="auto" w:sz="4" w:space="0"/>
              <w:right w:val="single" w:color="auto" w:sz="4" w:space="0"/>
            </w:tcBorders>
            <w:noWrap w:val="0"/>
            <w:vAlign w:val="center"/>
          </w:tcPr>
          <w:p w14:paraId="7546939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val="en-US" w:eastAsia="zh-CN" w:bidi="ar"/>
              </w:rPr>
              <w:t>6.3</w:t>
            </w:r>
            <w:r>
              <w:rPr>
                <w:rFonts w:hint="eastAsia" w:ascii="宋体" w:hAnsi="宋体" w:eastAsia="宋体" w:cs="宋体"/>
                <w:bCs/>
                <w:color w:val="auto"/>
                <w:sz w:val="24"/>
                <w:szCs w:val="24"/>
                <w:highlight w:val="none"/>
                <w:lang w:bidi="ar"/>
              </w:rPr>
              <w:t>根据供应商提供的公厕保洁方案</w:t>
            </w:r>
            <w:r>
              <w:rPr>
                <w:rFonts w:hint="eastAsia" w:ascii="宋体" w:hAnsi="宋体" w:eastAsia="宋体" w:cs="宋体"/>
                <w:bCs/>
                <w:color w:val="auto"/>
                <w:sz w:val="24"/>
                <w:szCs w:val="24"/>
                <w:highlight w:val="none"/>
                <w:lang w:eastAsia="zh-CN" w:bidi="ar"/>
              </w:rPr>
              <w:t>：</w:t>
            </w:r>
          </w:p>
          <w:p w14:paraId="5CB2A14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①</w:t>
            </w:r>
            <w:r>
              <w:rPr>
                <w:rFonts w:hint="eastAsia" w:ascii="宋体" w:hAnsi="宋体" w:eastAsia="宋体" w:cs="宋体"/>
                <w:bCs/>
                <w:color w:val="auto"/>
                <w:sz w:val="24"/>
                <w:szCs w:val="24"/>
                <w:highlight w:val="none"/>
                <w:lang w:val="en-US" w:eastAsia="zh-CN" w:bidi="ar"/>
              </w:rPr>
              <w:t>保洁</w:t>
            </w:r>
            <w:r>
              <w:rPr>
                <w:rFonts w:hint="eastAsia" w:ascii="宋体" w:hAnsi="宋体" w:eastAsia="宋体" w:cs="宋体"/>
                <w:bCs/>
                <w:color w:val="auto"/>
                <w:sz w:val="24"/>
                <w:szCs w:val="24"/>
                <w:highlight w:val="none"/>
                <w:lang w:eastAsia="zh-CN" w:bidi="ar"/>
              </w:rPr>
              <w:t>方案全面合理，</w:t>
            </w:r>
            <w:r>
              <w:rPr>
                <w:rFonts w:hint="eastAsia" w:ascii="宋体" w:hAnsi="宋体" w:eastAsia="宋体" w:cs="宋体"/>
                <w:bCs/>
                <w:color w:val="auto"/>
                <w:sz w:val="24"/>
                <w:szCs w:val="24"/>
                <w:highlight w:val="none"/>
                <w:lang w:val="en-US" w:eastAsia="zh-CN" w:bidi="ar"/>
              </w:rPr>
              <w:t>日常消杀方案详实，厕所设施巡查维修方案合理</w:t>
            </w:r>
            <w:r>
              <w:rPr>
                <w:rFonts w:hint="eastAsia" w:ascii="宋体" w:hAnsi="宋体" w:eastAsia="宋体" w:cs="宋体"/>
                <w:bCs/>
                <w:color w:val="auto"/>
                <w:sz w:val="24"/>
                <w:szCs w:val="24"/>
                <w:highlight w:val="none"/>
                <w:lang w:eastAsia="zh-CN" w:bidi="ar"/>
              </w:rPr>
              <w:t>，且有针对性措施的得</w:t>
            </w:r>
            <w:r>
              <w:rPr>
                <w:rFonts w:hint="eastAsia" w:ascii="宋体" w:hAnsi="宋体" w:eastAsia="宋体" w:cs="宋体"/>
                <w:bCs/>
                <w:color w:val="auto"/>
                <w:sz w:val="24"/>
                <w:szCs w:val="24"/>
                <w:highlight w:val="none"/>
                <w:lang w:val="en-US" w:eastAsia="zh-CN" w:bidi="ar"/>
              </w:rPr>
              <w:t>3</w:t>
            </w:r>
            <w:r>
              <w:rPr>
                <w:rFonts w:hint="eastAsia" w:ascii="宋体" w:hAnsi="宋体" w:eastAsia="宋体" w:cs="宋体"/>
                <w:bCs/>
                <w:color w:val="auto"/>
                <w:sz w:val="24"/>
                <w:szCs w:val="24"/>
                <w:highlight w:val="none"/>
                <w:lang w:eastAsia="zh-CN" w:bidi="ar"/>
              </w:rPr>
              <w:t>分；</w:t>
            </w:r>
          </w:p>
          <w:p w14:paraId="51CAD94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②保洁方案</w:t>
            </w:r>
            <w:r>
              <w:rPr>
                <w:rFonts w:hint="eastAsia" w:ascii="宋体" w:hAnsi="宋体" w:eastAsia="宋体" w:cs="宋体"/>
                <w:bCs/>
                <w:color w:val="auto"/>
                <w:sz w:val="24"/>
                <w:szCs w:val="24"/>
                <w:highlight w:val="none"/>
                <w:lang w:val="en-US" w:eastAsia="zh-CN" w:bidi="ar"/>
              </w:rPr>
              <w:t>相对</w:t>
            </w:r>
            <w:r>
              <w:rPr>
                <w:rFonts w:hint="eastAsia" w:ascii="宋体" w:hAnsi="宋体" w:eastAsia="宋体" w:cs="宋体"/>
                <w:bCs/>
                <w:color w:val="auto"/>
                <w:sz w:val="24"/>
                <w:szCs w:val="24"/>
                <w:highlight w:val="none"/>
                <w:lang w:eastAsia="zh-CN" w:bidi="ar"/>
              </w:rPr>
              <w:t>全面合理，日常消杀方案相对详实，厕所设施巡查维修方案相对合理，但存在一定缺陷有待改进的得</w:t>
            </w:r>
            <w:r>
              <w:rPr>
                <w:rFonts w:hint="eastAsia" w:ascii="宋体" w:hAnsi="宋体" w:eastAsia="宋体" w:cs="宋体"/>
                <w:bCs/>
                <w:color w:val="auto"/>
                <w:sz w:val="24"/>
                <w:szCs w:val="24"/>
                <w:highlight w:val="none"/>
                <w:lang w:val="en-US" w:eastAsia="zh-CN" w:bidi="ar"/>
              </w:rPr>
              <w:t>2</w:t>
            </w:r>
            <w:r>
              <w:rPr>
                <w:rFonts w:hint="eastAsia" w:ascii="宋体" w:hAnsi="宋体" w:eastAsia="宋体" w:cs="宋体"/>
                <w:bCs/>
                <w:color w:val="auto"/>
                <w:sz w:val="24"/>
                <w:szCs w:val="24"/>
                <w:highlight w:val="none"/>
                <w:lang w:eastAsia="zh-CN" w:bidi="ar"/>
              </w:rPr>
              <w:t>分；</w:t>
            </w:r>
          </w:p>
          <w:p w14:paraId="4D2E9E3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③方案内容基本符合公厕保洁</w:t>
            </w:r>
            <w:r>
              <w:rPr>
                <w:rFonts w:hint="eastAsia" w:ascii="宋体" w:hAnsi="宋体" w:eastAsia="宋体" w:cs="宋体"/>
                <w:bCs/>
                <w:color w:val="auto"/>
                <w:sz w:val="24"/>
                <w:szCs w:val="24"/>
                <w:highlight w:val="none"/>
                <w:lang w:val="en-US" w:eastAsia="zh-CN" w:bidi="ar"/>
              </w:rPr>
              <w:t>项目需求</w:t>
            </w:r>
            <w:r>
              <w:rPr>
                <w:rFonts w:hint="eastAsia" w:ascii="宋体" w:hAnsi="宋体" w:eastAsia="宋体" w:cs="宋体"/>
                <w:bCs/>
                <w:color w:val="auto"/>
                <w:sz w:val="24"/>
                <w:szCs w:val="24"/>
                <w:highlight w:val="none"/>
                <w:lang w:eastAsia="zh-CN" w:bidi="ar"/>
              </w:rPr>
              <w:t>，但方案不全面，未针对性提出管理措施的得1分；</w:t>
            </w:r>
          </w:p>
          <w:p w14:paraId="7B15184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④方案内容不完整，内容分析不充分，与本项目实际需求有差距的得0.5分；</w:t>
            </w:r>
          </w:p>
          <w:p w14:paraId="58477D9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⑤未提供相关内容的不得分。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05CFA3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3</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3E0D85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主观评审</w:t>
            </w:r>
          </w:p>
        </w:tc>
      </w:tr>
      <w:tr w14:paraId="3B108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3DE85B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330D78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0A54BB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0289" w:type="dxa"/>
            <w:gridSpan w:val="3"/>
            <w:tcBorders>
              <w:top w:val="single" w:color="auto" w:sz="4" w:space="0"/>
              <w:left w:val="single" w:color="auto" w:sz="4" w:space="0"/>
              <w:bottom w:val="single" w:color="auto" w:sz="4" w:space="0"/>
              <w:right w:val="single" w:color="auto" w:sz="4" w:space="0"/>
            </w:tcBorders>
            <w:noWrap w:val="0"/>
            <w:vAlign w:val="center"/>
          </w:tcPr>
          <w:p w14:paraId="1E5A349E">
            <w:pPr>
              <w:keepNext w:val="0"/>
              <w:keepLines w:val="0"/>
              <w:pageBreakBefore w:val="0"/>
              <w:widowControl w:val="0"/>
              <w:numPr>
                <w:ilvl w:val="0"/>
                <w:numId w:val="10"/>
              </w:numPr>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设施维护管理方案:根据供应商的设施维护管理方案（包括但不限于：绿化配套设施、景观照明设施等）</w:t>
            </w:r>
          </w:p>
          <w:p w14:paraId="55943D4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①方案内容完全结合公园实际情况，</w:t>
            </w:r>
            <w:r>
              <w:rPr>
                <w:rFonts w:hint="eastAsia" w:ascii="宋体" w:hAnsi="宋体" w:eastAsia="宋体" w:cs="宋体"/>
                <w:bCs/>
                <w:color w:val="auto"/>
                <w:sz w:val="24"/>
                <w:szCs w:val="24"/>
                <w:highlight w:val="none"/>
                <w:lang w:val="en-US" w:eastAsia="zh-CN" w:bidi="ar"/>
              </w:rPr>
              <w:t>相关</w:t>
            </w:r>
            <w:r>
              <w:rPr>
                <w:rFonts w:hint="eastAsia" w:ascii="宋体" w:hAnsi="宋体" w:eastAsia="宋体" w:cs="宋体"/>
                <w:bCs/>
                <w:color w:val="auto"/>
                <w:sz w:val="24"/>
                <w:szCs w:val="24"/>
                <w:highlight w:val="none"/>
                <w:lang w:bidi="ar"/>
              </w:rPr>
              <w:t>设施</w:t>
            </w:r>
            <w:r>
              <w:rPr>
                <w:rFonts w:hint="eastAsia" w:ascii="宋体" w:hAnsi="宋体" w:eastAsia="宋体" w:cs="宋体"/>
                <w:bCs/>
                <w:color w:val="auto"/>
                <w:sz w:val="24"/>
                <w:szCs w:val="24"/>
                <w:highlight w:val="none"/>
                <w:lang w:val="en-US" w:eastAsia="zh-CN" w:bidi="ar"/>
              </w:rPr>
              <w:t>了解全面，设施档案管理方案全面，专业</w:t>
            </w:r>
            <w:r>
              <w:rPr>
                <w:rFonts w:hint="eastAsia" w:ascii="宋体" w:hAnsi="宋体" w:eastAsia="宋体" w:cs="宋体"/>
                <w:bCs/>
                <w:color w:val="auto"/>
                <w:sz w:val="24"/>
                <w:szCs w:val="24"/>
                <w:highlight w:val="none"/>
                <w:lang w:bidi="ar"/>
              </w:rPr>
              <w:t>且有针对性措施的得</w:t>
            </w:r>
            <w:r>
              <w:rPr>
                <w:rFonts w:hint="eastAsia" w:ascii="宋体" w:hAnsi="宋体" w:eastAsia="宋体" w:cs="宋体"/>
                <w:bCs/>
                <w:color w:val="auto"/>
                <w:sz w:val="24"/>
                <w:szCs w:val="24"/>
                <w:highlight w:val="none"/>
                <w:lang w:val="en-US" w:eastAsia="zh-CN" w:bidi="ar"/>
              </w:rPr>
              <w:t>4</w:t>
            </w:r>
            <w:r>
              <w:rPr>
                <w:rFonts w:hint="eastAsia" w:ascii="宋体" w:hAnsi="宋体" w:eastAsia="宋体" w:cs="宋体"/>
                <w:bCs/>
                <w:color w:val="auto"/>
                <w:sz w:val="24"/>
                <w:szCs w:val="24"/>
                <w:highlight w:val="none"/>
                <w:lang w:bidi="ar"/>
              </w:rPr>
              <w:t>分；</w:t>
            </w:r>
          </w:p>
          <w:p w14:paraId="1C2139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②方案内容有结合公园实际情况，相关设施</w:t>
            </w:r>
            <w:r>
              <w:rPr>
                <w:rFonts w:hint="eastAsia" w:ascii="宋体" w:hAnsi="宋体" w:eastAsia="宋体" w:cs="宋体"/>
                <w:bCs/>
                <w:color w:val="auto"/>
                <w:sz w:val="24"/>
                <w:szCs w:val="24"/>
                <w:highlight w:val="none"/>
                <w:lang w:val="en-US" w:eastAsia="zh-CN" w:bidi="ar"/>
              </w:rPr>
              <w:t>基本了解，有设施档案管理方案</w:t>
            </w:r>
            <w:r>
              <w:rPr>
                <w:rFonts w:hint="eastAsia" w:ascii="宋体" w:hAnsi="宋体" w:eastAsia="宋体" w:cs="宋体"/>
                <w:bCs/>
                <w:color w:val="auto"/>
                <w:sz w:val="24"/>
                <w:szCs w:val="24"/>
                <w:highlight w:val="none"/>
                <w:lang w:bidi="ar"/>
              </w:rPr>
              <w:t>，但存在一定缺陷有待改进的得</w:t>
            </w:r>
            <w:r>
              <w:rPr>
                <w:rFonts w:hint="eastAsia" w:ascii="宋体" w:hAnsi="宋体" w:cs="宋体"/>
                <w:bCs/>
                <w:color w:val="auto"/>
                <w:sz w:val="24"/>
                <w:szCs w:val="24"/>
                <w:highlight w:val="none"/>
                <w:lang w:val="en-US" w:eastAsia="zh-CN" w:bidi="ar"/>
              </w:rPr>
              <w:t>3</w:t>
            </w:r>
            <w:r>
              <w:rPr>
                <w:rFonts w:hint="eastAsia" w:ascii="宋体" w:hAnsi="宋体" w:eastAsia="宋体" w:cs="宋体"/>
                <w:bCs/>
                <w:color w:val="auto"/>
                <w:sz w:val="24"/>
                <w:szCs w:val="24"/>
                <w:highlight w:val="none"/>
                <w:lang w:bidi="ar"/>
              </w:rPr>
              <w:t>分；</w:t>
            </w:r>
          </w:p>
          <w:p w14:paraId="64B68E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③方案内容基本符合公园实际需求，但方案不全面，未针对性提出管理措施的得</w:t>
            </w:r>
            <w:r>
              <w:rPr>
                <w:rFonts w:hint="eastAsia" w:ascii="宋体" w:hAnsi="宋体" w:cs="宋体"/>
                <w:bCs/>
                <w:color w:val="auto"/>
                <w:sz w:val="24"/>
                <w:szCs w:val="24"/>
                <w:highlight w:val="none"/>
                <w:lang w:val="en-US" w:eastAsia="zh-CN" w:bidi="ar"/>
              </w:rPr>
              <w:t>2</w:t>
            </w:r>
            <w:r>
              <w:rPr>
                <w:rFonts w:hint="eastAsia" w:ascii="宋体" w:hAnsi="宋体" w:eastAsia="宋体" w:cs="宋体"/>
                <w:bCs/>
                <w:color w:val="auto"/>
                <w:sz w:val="24"/>
                <w:szCs w:val="24"/>
                <w:highlight w:val="none"/>
                <w:lang w:bidi="ar"/>
              </w:rPr>
              <w:t>分；</w:t>
            </w:r>
          </w:p>
          <w:p w14:paraId="1659A5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④方案内容不完整，内容分析不充分，与本项目实际需求有差距的得</w:t>
            </w:r>
            <w:r>
              <w:rPr>
                <w:rFonts w:hint="eastAsia" w:ascii="宋体" w:hAnsi="宋体" w:cs="宋体"/>
                <w:bCs/>
                <w:color w:val="auto"/>
                <w:sz w:val="24"/>
                <w:szCs w:val="24"/>
                <w:highlight w:val="none"/>
                <w:lang w:val="en-US" w:eastAsia="zh-CN" w:bidi="ar"/>
              </w:rPr>
              <w:t>1</w:t>
            </w:r>
            <w:r>
              <w:rPr>
                <w:rFonts w:hint="eastAsia" w:ascii="宋体" w:hAnsi="宋体" w:eastAsia="宋体" w:cs="宋体"/>
                <w:bCs/>
                <w:color w:val="auto"/>
                <w:sz w:val="24"/>
                <w:szCs w:val="24"/>
                <w:highlight w:val="none"/>
                <w:lang w:bidi="ar"/>
              </w:rPr>
              <w:t>分；</w:t>
            </w:r>
          </w:p>
          <w:p w14:paraId="69E6C1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⑤未提供相关内容的不得分。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22DE0D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val="en-US" w:eastAsia="zh-CN" w:bidi="ar"/>
              </w:rPr>
              <w:t>4</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7AD6E7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主观评审</w:t>
            </w:r>
          </w:p>
        </w:tc>
      </w:tr>
      <w:tr w14:paraId="209BF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084791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118BC2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03E1E1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0289" w:type="dxa"/>
            <w:gridSpan w:val="3"/>
            <w:tcBorders>
              <w:top w:val="single" w:color="auto" w:sz="4" w:space="0"/>
              <w:left w:val="single" w:color="auto" w:sz="4" w:space="0"/>
              <w:bottom w:val="single" w:color="auto" w:sz="4" w:space="0"/>
              <w:right w:val="single" w:color="auto" w:sz="4" w:space="0"/>
            </w:tcBorders>
            <w:noWrap w:val="0"/>
            <w:vAlign w:val="center"/>
          </w:tcPr>
          <w:p w14:paraId="6BE41460">
            <w:pPr>
              <w:keepNext w:val="0"/>
              <w:keepLines w:val="0"/>
              <w:pageBreakBefore w:val="0"/>
              <w:widowControl w:val="0"/>
              <w:numPr>
                <w:ilvl w:val="0"/>
                <w:numId w:val="1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重点难点养护措施：</w:t>
            </w:r>
          </w:p>
          <w:p w14:paraId="4A36C68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①供应商能够准确理解</w:t>
            </w:r>
            <w:r>
              <w:rPr>
                <w:rFonts w:hint="eastAsia" w:ascii="宋体" w:hAnsi="宋体" w:eastAsia="宋体" w:cs="宋体"/>
                <w:bCs/>
                <w:color w:val="auto"/>
                <w:sz w:val="24"/>
                <w:szCs w:val="24"/>
                <w:highlight w:val="none"/>
                <w:lang w:val="en-US" w:eastAsia="zh-CN" w:bidi="ar"/>
              </w:rPr>
              <w:t>各标段养护不同的</w:t>
            </w:r>
            <w:r>
              <w:rPr>
                <w:rFonts w:hint="eastAsia" w:ascii="宋体" w:hAnsi="宋体" w:eastAsia="宋体" w:cs="宋体"/>
                <w:bCs/>
                <w:color w:val="auto"/>
                <w:sz w:val="24"/>
                <w:szCs w:val="24"/>
                <w:highlight w:val="none"/>
                <w:lang w:bidi="ar"/>
              </w:rPr>
              <w:t>重点</w:t>
            </w:r>
            <w:r>
              <w:rPr>
                <w:rFonts w:hint="eastAsia" w:ascii="宋体" w:hAnsi="宋体" w:eastAsia="宋体" w:cs="宋体"/>
                <w:bCs/>
                <w:color w:val="auto"/>
                <w:sz w:val="24"/>
                <w:szCs w:val="24"/>
                <w:highlight w:val="none"/>
                <w:lang w:val="en-US" w:eastAsia="zh-CN" w:bidi="ar"/>
              </w:rPr>
              <w:t>难点（四季交替时节、人流量较大的节假日、环境复杂处等）</w:t>
            </w:r>
            <w:r>
              <w:rPr>
                <w:rFonts w:hint="eastAsia" w:ascii="宋体" w:hAnsi="宋体" w:eastAsia="宋体" w:cs="宋体"/>
                <w:bCs/>
                <w:color w:val="auto"/>
                <w:sz w:val="24"/>
                <w:szCs w:val="24"/>
                <w:highlight w:val="none"/>
                <w:lang w:bidi="ar"/>
              </w:rPr>
              <w:t>、关键点分析到位、契合项目实际情况，且解决方案有利于项目后期开展的得</w:t>
            </w:r>
            <w:r>
              <w:rPr>
                <w:rFonts w:hint="eastAsia" w:ascii="宋体" w:hAnsi="宋体" w:eastAsia="宋体" w:cs="宋体"/>
                <w:bCs/>
                <w:color w:val="auto"/>
                <w:sz w:val="24"/>
                <w:szCs w:val="24"/>
                <w:highlight w:val="none"/>
                <w:lang w:val="en-US" w:eastAsia="zh-CN" w:bidi="ar"/>
              </w:rPr>
              <w:t>4</w:t>
            </w:r>
            <w:r>
              <w:rPr>
                <w:rFonts w:hint="eastAsia" w:ascii="宋体" w:hAnsi="宋体" w:eastAsia="宋体" w:cs="宋体"/>
                <w:bCs/>
                <w:color w:val="auto"/>
                <w:sz w:val="24"/>
                <w:szCs w:val="24"/>
                <w:highlight w:val="none"/>
                <w:lang w:bidi="ar"/>
              </w:rPr>
              <w:t>分；</w:t>
            </w:r>
          </w:p>
          <w:p w14:paraId="14D116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②供应商能够较为全面地理解各标段养护不同的重点难点（四季交替时节、人流量较大的节假日、环境复杂处等）重点、关键点分析基本符合项目情况；解决方案基本达到要求、对项目后期开展不会造成影响的得</w:t>
            </w:r>
            <w:r>
              <w:rPr>
                <w:rFonts w:hint="eastAsia" w:ascii="宋体" w:hAnsi="宋体" w:eastAsia="宋体" w:cs="宋体"/>
                <w:bCs/>
                <w:color w:val="auto"/>
                <w:sz w:val="24"/>
                <w:szCs w:val="24"/>
                <w:highlight w:val="none"/>
                <w:lang w:val="en-US" w:eastAsia="zh-CN" w:bidi="ar"/>
              </w:rPr>
              <w:t>2</w:t>
            </w:r>
            <w:r>
              <w:rPr>
                <w:rFonts w:hint="eastAsia" w:ascii="宋体" w:hAnsi="宋体" w:eastAsia="宋体" w:cs="宋体"/>
                <w:bCs/>
                <w:color w:val="auto"/>
                <w:sz w:val="24"/>
                <w:szCs w:val="24"/>
                <w:highlight w:val="none"/>
                <w:lang w:bidi="ar"/>
              </w:rPr>
              <w:t>分；</w:t>
            </w:r>
          </w:p>
          <w:p w14:paraId="611705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③各标段养护</w:t>
            </w:r>
            <w:r>
              <w:rPr>
                <w:rFonts w:hint="eastAsia" w:ascii="宋体" w:hAnsi="宋体" w:eastAsia="宋体" w:cs="宋体"/>
                <w:bCs/>
                <w:color w:val="auto"/>
                <w:sz w:val="24"/>
                <w:szCs w:val="24"/>
                <w:highlight w:val="none"/>
                <w:lang w:val="en-US" w:eastAsia="zh-CN" w:bidi="ar"/>
              </w:rPr>
              <w:t>的</w:t>
            </w:r>
            <w:r>
              <w:rPr>
                <w:rFonts w:hint="eastAsia" w:ascii="宋体" w:hAnsi="宋体" w:eastAsia="宋体" w:cs="宋体"/>
                <w:bCs/>
                <w:color w:val="auto"/>
                <w:sz w:val="24"/>
                <w:szCs w:val="24"/>
                <w:highlight w:val="none"/>
                <w:lang w:bidi="ar"/>
              </w:rPr>
              <w:t>重点、关键点分析不够准确；解决方案不够合理的得1分；</w:t>
            </w:r>
          </w:p>
          <w:p w14:paraId="724973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④未提供任何内容的不得分。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47213D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val="en-US" w:eastAsia="zh-CN" w:bidi="ar"/>
              </w:rPr>
              <w:t>4</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098530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主观评审</w:t>
            </w:r>
          </w:p>
        </w:tc>
      </w:tr>
      <w:tr w14:paraId="5BF4D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574E6B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345197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64799E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492" w:type="dxa"/>
            <w:vMerge w:val="restart"/>
            <w:tcBorders>
              <w:top w:val="single" w:color="auto" w:sz="4" w:space="0"/>
              <w:left w:val="single" w:color="auto" w:sz="4" w:space="0"/>
              <w:right w:val="single" w:color="auto" w:sz="4" w:space="0"/>
            </w:tcBorders>
            <w:noWrap w:val="0"/>
            <w:vAlign w:val="center"/>
          </w:tcPr>
          <w:p w14:paraId="5C998B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9）特殊时期应急保障方案（</w:t>
            </w:r>
            <w:r>
              <w:rPr>
                <w:rFonts w:hint="eastAsia" w:ascii="宋体" w:hAnsi="宋体" w:eastAsia="宋体" w:cs="宋体"/>
                <w:bCs/>
                <w:color w:val="auto"/>
                <w:sz w:val="24"/>
                <w:szCs w:val="24"/>
                <w:highlight w:val="none"/>
                <w:lang w:val="en-US" w:eastAsia="zh-CN" w:bidi="ar"/>
              </w:rPr>
              <w:t>7.5</w:t>
            </w:r>
            <w:r>
              <w:rPr>
                <w:rFonts w:hint="eastAsia" w:ascii="宋体" w:hAnsi="宋体" w:eastAsia="宋体" w:cs="宋体"/>
                <w:bCs/>
                <w:color w:val="auto"/>
                <w:sz w:val="24"/>
                <w:szCs w:val="24"/>
                <w:highlight w:val="none"/>
                <w:lang w:bidi="ar"/>
              </w:rPr>
              <w:t>分）</w:t>
            </w:r>
          </w:p>
        </w:tc>
        <w:tc>
          <w:tcPr>
            <w:tcW w:w="8797" w:type="dxa"/>
            <w:gridSpan w:val="2"/>
            <w:tcBorders>
              <w:top w:val="single" w:color="auto" w:sz="4" w:space="0"/>
              <w:left w:val="single" w:color="auto" w:sz="4" w:space="0"/>
              <w:bottom w:val="single" w:color="auto" w:sz="4" w:space="0"/>
              <w:right w:val="single" w:color="auto" w:sz="4" w:space="0"/>
            </w:tcBorders>
            <w:noWrap w:val="0"/>
            <w:vAlign w:val="center"/>
          </w:tcPr>
          <w:p w14:paraId="5E9699E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val="en-US" w:eastAsia="zh-CN" w:bidi="ar"/>
              </w:rPr>
              <w:t>9.1</w:t>
            </w:r>
            <w:r>
              <w:rPr>
                <w:rFonts w:hint="eastAsia" w:ascii="宋体" w:hAnsi="宋体" w:eastAsia="宋体" w:cs="宋体"/>
                <w:bCs/>
                <w:color w:val="auto"/>
                <w:sz w:val="24"/>
                <w:szCs w:val="24"/>
                <w:highlight w:val="none"/>
                <w:lang w:bidi="ar"/>
              </w:rPr>
              <w:t>防汛防台、抗旱等灾害性天气应急措施：</w:t>
            </w:r>
          </w:p>
          <w:p w14:paraId="7E81687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①方案具体合理有针对性，能应对防汛防台、抗旱等灾害性天气，能协助公园及时处理的得</w:t>
            </w:r>
            <w:r>
              <w:rPr>
                <w:rFonts w:hint="eastAsia" w:ascii="宋体" w:hAnsi="宋体" w:eastAsia="宋体" w:cs="宋体"/>
                <w:bCs/>
                <w:color w:val="auto"/>
                <w:sz w:val="24"/>
                <w:szCs w:val="24"/>
                <w:highlight w:val="none"/>
                <w:lang w:val="en-US" w:eastAsia="zh-CN" w:bidi="ar"/>
              </w:rPr>
              <w:t>2.5</w:t>
            </w:r>
            <w:r>
              <w:rPr>
                <w:rFonts w:hint="eastAsia" w:ascii="宋体" w:hAnsi="宋体" w:eastAsia="宋体" w:cs="宋体"/>
                <w:bCs/>
                <w:color w:val="auto"/>
                <w:sz w:val="24"/>
                <w:szCs w:val="24"/>
                <w:highlight w:val="none"/>
                <w:lang w:bidi="ar"/>
              </w:rPr>
              <w:t>分；</w:t>
            </w:r>
          </w:p>
          <w:p w14:paraId="44AC325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②方案具体合理，能应对大部分突发应急事件的得</w:t>
            </w:r>
            <w:r>
              <w:rPr>
                <w:rFonts w:hint="eastAsia" w:ascii="宋体" w:hAnsi="宋体" w:eastAsia="宋体" w:cs="宋体"/>
                <w:bCs/>
                <w:color w:val="auto"/>
                <w:sz w:val="24"/>
                <w:szCs w:val="24"/>
                <w:highlight w:val="none"/>
                <w:lang w:val="en-US" w:eastAsia="zh-CN" w:bidi="ar"/>
              </w:rPr>
              <w:t>2</w:t>
            </w:r>
            <w:r>
              <w:rPr>
                <w:rFonts w:hint="eastAsia" w:ascii="宋体" w:hAnsi="宋体" w:eastAsia="宋体" w:cs="宋体"/>
                <w:bCs/>
                <w:color w:val="auto"/>
                <w:sz w:val="24"/>
                <w:szCs w:val="24"/>
                <w:highlight w:val="none"/>
                <w:lang w:bidi="ar"/>
              </w:rPr>
              <w:t>分；</w:t>
            </w:r>
          </w:p>
          <w:p w14:paraId="0CEE483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③方案合理，能应对小部分突发应急事件的得</w:t>
            </w:r>
            <w:r>
              <w:rPr>
                <w:rFonts w:hint="eastAsia" w:ascii="宋体" w:hAnsi="宋体" w:eastAsia="宋体" w:cs="宋体"/>
                <w:bCs/>
                <w:color w:val="auto"/>
                <w:sz w:val="24"/>
                <w:szCs w:val="24"/>
                <w:highlight w:val="none"/>
                <w:lang w:val="en-US" w:eastAsia="zh-CN" w:bidi="ar"/>
              </w:rPr>
              <w:t>1</w:t>
            </w:r>
            <w:r>
              <w:rPr>
                <w:rFonts w:hint="eastAsia" w:ascii="宋体" w:hAnsi="宋体" w:eastAsia="宋体" w:cs="宋体"/>
                <w:bCs/>
                <w:color w:val="auto"/>
                <w:sz w:val="24"/>
                <w:szCs w:val="24"/>
                <w:highlight w:val="none"/>
                <w:lang w:bidi="ar"/>
              </w:rPr>
              <w:t>分。</w:t>
            </w:r>
          </w:p>
          <w:p w14:paraId="399B3F3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④应对措施不完整的得</w:t>
            </w:r>
            <w:r>
              <w:rPr>
                <w:rFonts w:hint="eastAsia" w:ascii="宋体" w:hAnsi="宋体" w:eastAsia="宋体" w:cs="宋体"/>
                <w:bCs/>
                <w:color w:val="auto"/>
                <w:sz w:val="24"/>
                <w:szCs w:val="24"/>
                <w:highlight w:val="none"/>
                <w:lang w:val="en-US" w:eastAsia="zh-CN" w:bidi="ar"/>
              </w:rPr>
              <w:t>0.5</w:t>
            </w:r>
            <w:r>
              <w:rPr>
                <w:rFonts w:hint="eastAsia" w:ascii="宋体" w:hAnsi="宋体" w:eastAsia="宋体" w:cs="宋体"/>
                <w:bCs/>
                <w:color w:val="auto"/>
                <w:sz w:val="24"/>
                <w:szCs w:val="24"/>
                <w:highlight w:val="none"/>
                <w:lang w:bidi="ar"/>
              </w:rPr>
              <w:t>分；</w:t>
            </w:r>
          </w:p>
          <w:p w14:paraId="1461FB9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⑤未提供相关内容的不得分。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44A1EE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bidi="ar"/>
              </w:rPr>
              <w:t>2</w:t>
            </w:r>
            <w:r>
              <w:rPr>
                <w:rFonts w:hint="eastAsia" w:ascii="宋体" w:hAnsi="宋体" w:eastAsia="宋体" w:cs="宋体"/>
                <w:bCs/>
                <w:color w:val="auto"/>
                <w:sz w:val="24"/>
                <w:szCs w:val="24"/>
                <w:highlight w:val="none"/>
                <w:lang w:val="en-US" w:eastAsia="zh-CN" w:bidi="ar"/>
              </w:rPr>
              <w:t>.5</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1C6607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主观评审</w:t>
            </w:r>
          </w:p>
        </w:tc>
      </w:tr>
      <w:tr w14:paraId="2CA03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67463E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45FF9A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349F7E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492" w:type="dxa"/>
            <w:vMerge w:val="continue"/>
            <w:tcBorders>
              <w:left w:val="single" w:color="auto" w:sz="4" w:space="0"/>
              <w:right w:val="single" w:color="auto" w:sz="4" w:space="0"/>
            </w:tcBorders>
            <w:noWrap w:val="0"/>
            <w:vAlign w:val="center"/>
          </w:tcPr>
          <w:p w14:paraId="37C9C6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8797" w:type="dxa"/>
            <w:gridSpan w:val="2"/>
            <w:tcBorders>
              <w:top w:val="single" w:color="auto" w:sz="4" w:space="0"/>
              <w:left w:val="single" w:color="auto" w:sz="4" w:space="0"/>
              <w:bottom w:val="single" w:color="auto" w:sz="4" w:space="0"/>
              <w:right w:val="single" w:color="auto" w:sz="4" w:space="0"/>
            </w:tcBorders>
            <w:noWrap w:val="0"/>
            <w:vAlign w:val="center"/>
          </w:tcPr>
          <w:p w14:paraId="7A35360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val="en-US" w:eastAsia="zh-CN" w:bidi="ar"/>
              </w:rPr>
              <w:t>9.2</w:t>
            </w:r>
            <w:r>
              <w:rPr>
                <w:rFonts w:hint="eastAsia" w:ascii="宋体" w:hAnsi="宋体" w:eastAsia="宋体" w:cs="宋体"/>
                <w:bCs/>
                <w:color w:val="auto"/>
                <w:sz w:val="24"/>
                <w:szCs w:val="24"/>
                <w:highlight w:val="none"/>
                <w:lang w:bidi="ar"/>
              </w:rPr>
              <w:t>节假日及重要会议活动期间环境保障措施：</w:t>
            </w:r>
          </w:p>
          <w:p w14:paraId="6B3AA35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①方案具体合理有针对性，能应对节假日及重要会议活动期间环境保障措施，能协助公园及时处理的得2</w:t>
            </w:r>
            <w:r>
              <w:rPr>
                <w:rFonts w:hint="eastAsia" w:ascii="宋体" w:hAnsi="宋体" w:eastAsia="宋体" w:cs="宋体"/>
                <w:bCs/>
                <w:color w:val="auto"/>
                <w:sz w:val="24"/>
                <w:szCs w:val="24"/>
                <w:highlight w:val="none"/>
                <w:lang w:val="en-US" w:eastAsia="zh-CN" w:bidi="ar"/>
              </w:rPr>
              <w:t>.5</w:t>
            </w:r>
            <w:r>
              <w:rPr>
                <w:rFonts w:hint="eastAsia" w:ascii="宋体" w:hAnsi="宋体" w:eastAsia="宋体" w:cs="宋体"/>
                <w:bCs/>
                <w:color w:val="auto"/>
                <w:sz w:val="24"/>
                <w:szCs w:val="24"/>
                <w:highlight w:val="none"/>
                <w:lang w:bidi="ar"/>
              </w:rPr>
              <w:t>分；</w:t>
            </w:r>
          </w:p>
          <w:p w14:paraId="49BDF81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②方案具体合理，能应对大部分突发应急事件的得</w:t>
            </w:r>
            <w:r>
              <w:rPr>
                <w:rFonts w:hint="eastAsia" w:ascii="宋体" w:hAnsi="宋体" w:eastAsia="宋体" w:cs="宋体"/>
                <w:bCs/>
                <w:color w:val="auto"/>
                <w:sz w:val="24"/>
                <w:szCs w:val="24"/>
                <w:highlight w:val="none"/>
                <w:lang w:val="en-US" w:eastAsia="zh-CN" w:bidi="ar"/>
              </w:rPr>
              <w:t>2</w:t>
            </w:r>
            <w:r>
              <w:rPr>
                <w:rFonts w:hint="eastAsia" w:ascii="宋体" w:hAnsi="宋体" w:eastAsia="宋体" w:cs="宋体"/>
                <w:bCs/>
                <w:color w:val="auto"/>
                <w:sz w:val="24"/>
                <w:szCs w:val="24"/>
                <w:highlight w:val="none"/>
                <w:lang w:bidi="ar"/>
              </w:rPr>
              <w:t>分；</w:t>
            </w:r>
          </w:p>
          <w:p w14:paraId="1105C41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③方案合理，能应对小部分突发应急事件的得1分。</w:t>
            </w:r>
          </w:p>
          <w:p w14:paraId="7B6ABB1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④应对措施不完整的得0.5分；</w:t>
            </w:r>
          </w:p>
          <w:p w14:paraId="7D0BEAC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⑤未提供相关内容的不得分。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5422CF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bidi="ar"/>
              </w:rPr>
              <w:t>2</w:t>
            </w:r>
            <w:r>
              <w:rPr>
                <w:rFonts w:hint="eastAsia" w:ascii="宋体" w:hAnsi="宋体" w:eastAsia="宋体" w:cs="宋体"/>
                <w:bCs/>
                <w:color w:val="auto"/>
                <w:sz w:val="24"/>
                <w:szCs w:val="24"/>
                <w:highlight w:val="none"/>
                <w:lang w:val="en-US" w:eastAsia="zh-CN" w:bidi="ar"/>
              </w:rPr>
              <w:t>.5</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666167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主观评审</w:t>
            </w:r>
          </w:p>
        </w:tc>
      </w:tr>
      <w:tr w14:paraId="5571E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64577A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71A6D9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28A288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492" w:type="dxa"/>
            <w:vMerge w:val="continue"/>
            <w:tcBorders>
              <w:left w:val="single" w:color="auto" w:sz="4" w:space="0"/>
              <w:bottom w:val="single" w:color="auto" w:sz="4" w:space="0"/>
              <w:right w:val="single" w:color="auto" w:sz="4" w:space="0"/>
            </w:tcBorders>
            <w:noWrap w:val="0"/>
            <w:vAlign w:val="center"/>
          </w:tcPr>
          <w:p w14:paraId="22A367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8797" w:type="dxa"/>
            <w:gridSpan w:val="2"/>
            <w:tcBorders>
              <w:top w:val="single" w:color="auto" w:sz="4" w:space="0"/>
              <w:left w:val="single" w:color="auto" w:sz="4" w:space="0"/>
              <w:bottom w:val="single" w:color="auto" w:sz="4" w:space="0"/>
              <w:right w:val="single" w:color="auto" w:sz="4" w:space="0"/>
            </w:tcBorders>
            <w:noWrap w:val="0"/>
            <w:vAlign w:val="center"/>
          </w:tcPr>
          <w:p w14:paraId="1745B1E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val="en-US" w:eastAsia="zh-CN" w:bidi="ar"/>
              </w:rPr>
              <w:t>9.3</w:t>
            </w:r>
            <w:r>
              <w:rPr>
                <w:rFonts w:hint="eastAsia" w:ascii="宋体" w:hAnsi="宋体" w:eastAsia="宋体" w:cs="宋体"/>
                <w:bCs/>
                <w:color w:val="auto"/>
                <w:sz w:val="24"/>
                <w:szCs w:val="24"/>
                <w:highlight w:val="none"/>
                <w:lang w:bidi="ar"/>
              </w:rPr>
              <w:t>创优评优和突击检查等应急措施：</w:t>
            </w:r>
          </w:p>
          <w:p w14:paraId="38D421E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①方案具体合理有针对性，能应对创优评优和突击检查</w:t>
            </w:r>
            <w:r>
              <w:rPr>
                <w:rFonts w:hint="eastAsia" w:ascii="宋体" w:hAnsi="宋体" w:eastAsia="宋体" w:cs="宋体"/>
                <w:bCs/>
                <w:color w:val="auto"/>
                <w:sz w:val="24"/>
                <w:szCs w:val="24"/>
                <w:highlight w:val="none"/>
                <w:lang w:val="en-US" w:eastAsia="zh-CN" w:bidi="ar"/>
              </w:rPr>
              <w:t>的</w:t>
            </w:r>
            <w:r>
              <w:rPr>
                <w:rFonts w:hint="eastAsia" w:ascii="宋体" w:hAnsi="宋体" w:eastAsia="宋体" w:cs="宋体"/>
                <w:bCs/>
                <w:color w:val="auto"/>
                <w:sz w:val="24"/>
                <w:szCs w:val="24"/>
                <w:highlight w:val="none"/>
                <w:lang w:bidi="ar"/>
              </w:rPr>
              <w:t>，能协助公园及时处理的得2</w:t>
            </w:r>
            <w:r>
              <w:rPr>
                <w:rFonts w:hint="eastAsia" w:ascii="宋体" w:hAnsi="宋体" w:eastAsia="宋体" w:cs="宋体"/>
                <w:bCs/>
                <w:color w:val="auto"/>
                <w:sz w:val="24"/>
                <w:szCs w:val="24"/>
                <w:highlight w:val="none"/>
                <w:lang w:val="en-US" w:eastAsia="zh-CN" w:bidi="ar"/>
              </w:rPr>
              <w:t>.5</w:t>
            </w:r>
            <w:r>
              <w:rPr>
                <w:rFonts w:hint="eastAsia" w:ascii="宋体" w:hAnsi="宋体" w:eastAsia="宋体" w:cs="宋体"/>
                <w:bCs/>
                <w:color w:val="auto"/>
                <w:sz w:val="24"/>
                <w:szCs w:val="24"/>
                <w:highlight w:val="none"/>
                <w:lang w:bidi="ar"/>
              </w:rPr>
              <w:t>分；</w:t>
            </w:r>
          </w:p>
          <w:p w14:paraId="0C65621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②方案具体合理，能应对大部分突发应急事件的得</w:t>
            </w:r>
            <w:r>
              <w:rPr>
                <w:rFonts w:hint="eastAsia" w:ascii="宋体" w:hAnsi="宋体" w:eastAsia="宋体" w:cs="宋体"/>
                <w:bCs/>
                <w:color w:val="auto"/>
                <w:sz w:val="24"/>
                <w:szCs w:val="24"/>
                <w:highlight w:val="none"/>
                <w:lang w:val="en-US" w:eastAsia="zh-CN" w:bidi="ar"/>
              </w:rPr>
              <w:t>2</w:t>
            </w:r>
            <w:r>
              <w:rPr>
                <w:rFonts w:hint="eastAsia" w:ascii="宋体" w:hAnsi="宋体" w:eastAsia="宋体" w:cs="宋体"/>
                <w:bCs/>
                <w:color w:val="auto"/>
                <w:sz w:val="24"/>
                <w:szCs w:val="24"/>
                <w:highlight w:val="none"/>
                <w:lang w:bidi="ar"/>
              </w:rPr>
              <w:t>分；</w:t>
            </w:r>
          </w:p>
          <w:p w14:paraId="14D7638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③方案合理，能应对小部分突发应急事件的得1分。</w:t>
            </w:r>
          </w:p>
          <w:p w14:paraId="2B2DCFF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④应对措施不完整的得0.5分；</w:t>
            </w:r>
          </w:p>
          <w:p w14:paraId="412E28B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⑤未提供相关内容的不得分。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616F01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bidi="ar"/>
              </w:rPr>
              <w:t>2</w:t>
            </w:r>
            <w:r>
              <w:rPr>
                <w:rFonts w:hint="eastAsia" w:ascii="宋体" w:hAnsi="宋体" w:eastAsia="宋体" w:cs="宋体"/>
                <w:bCs/>
                <w:color w:val="auto"/>
                <w:sz w:val="24"/>
                <w:szCs w:val="24"/>
                <w:highlight w:val="none"/>
                <w:lang w:val="en-US" w:eastAsia="zh-CN" w:bidi="ar"/>
              </w:rPr>
              <w:t>.5</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2DA81A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主观评审</w:t>
            </w:r>
          </w:p>
        </w:tc>
      </w:tr>
      <w:tr w14:paraId="48214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4" w:hRule="atLeast"/>
          <w:jc w:val="center"/>
        </w:trPr>
        <w:tc>
          <w:tcPr>
            <w:tcW w:w="1150" w:type="dxa"/>
            <w:vMerge w:val="continue"/>
            <w:tcBorders>
              <w:left w:val="single" w:color="auto" w:sz="4" w:space="0"/>
              <w:right w:val="single" w:color="auto" w:sz="4" w:space="0"/>
            </w:tcBorders>
            <w:noWrap w:val="0"/>
            <w:vAlign w:val="center"/>
          </w:tcPr>
          <w:p w14:paraId="307CE2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0F5C50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75C787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492" w:type="dxa"/>
            <w:tcBorders>
              <w:left w:val="single" w:color="auto" w:sz="4" w:space="0"/>
              <w:right w:val="single" w:color="auto" w:sz="4" w:space="0"/>
            </w:tcBorders>
            <w:noWrap w:val="0"/>
            <w:vAlign w:val="center"/>
          </w:tcPr>
          <w:p w14:paraId="593FA3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10）治安巡视方案（</w:t>
            </w:r>
            <w:r>
              <w:rPr>
                <w:rFonts w:hint="eastAsia" w:ascii="宋体" w:hAnsi="宋体" w:eastAsia="宋体" w:cs="宋体"/>
                <w:bCs/>
                <w:color w:val="auto"/>
                <w:sz w:val="24"/>
                <w:szCs w:val="24"/>
                <w:highlight w:val="none"/>
                <w:lang w:val="en-US" w:eastAsia="zh-CN" w:bidi="ar"/>
              </w:rPr>
              <w:t>5</w:t>
            </w:r>
            <w:r>
              <w:rPr>
                <w:rFonts w:hint="eastAsia" w:ascii="宋体" w:hAnsi="宋体" w:eastAsia="宋体" w:cs="宋体"/>
                <w:bCs/>
                <w:color w:val="auto"/>
                <w:sz w:val="24"/>
                <w:szCs w:val="24"/>
                <w:highlight w:val="none"/>
                <w:lang w:bidi="ar"/>
              </w:rPr>
              <w:t>分）</w:t>
            </w:r>
          </w:p>
        </w:tc>
        <w:tc>
          <w:tcPr>
            <w:tcW w:w="8797" w:type="dxa"/>
            <w:gridSpan w:val="2"/>
            <w:tcBorders>
              <w:top w:val="single" w:color="auto" w:sz="4" w:space="0"/>
              <w:left w:val="single" w:color="auto" w:sz="4" w:space="0"/>
              <w:bottom w:val="single" w:color="auto" w:sz="4" w:space="0"/>
              <w:right w:val="single" w:color="auto" w:sz="4" w:space="0"/>
            </w:tcBorders>
            <w:noWrap w:val="0"/>
            <w:vAlign w:val="center"/>
          </w:tcPr>
          <w:p w14:paraId="76D5670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①方案内容完全结合公园实际情况，方案全面合理，且有针对性措施的得5分；</w:t>
            </w:r>
          </w:p>
          <w:p w14:paraId="6C6DF7E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②方案内容有结合公园实际情况，方案全面，但存在一定缺陷有待改进的得3分；</w:t>
            </w:r>
          </w:p>
          <w:p w14:paraId="75303D0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③方案内容基本符合公园实际需求，但方案不全面，未针对性提出管理措施的得2分；</w:t>
            </w:r>
          </w:p>
          <w:p w14:paraId="51FD575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④方案内容不完整，内容分析不充分，与本项目实际需求有差距的得1分；</w:t>
            </w:r>
          </w:p>
          <w:p w14:paraId="72B0863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val="en-US" w:eastAsia="zh-CN" w:bidi="ar"/>
              </w:rPr>
              <w:t>⑤未提供相关内容的不得分。</w:t>
            </w:r>
          </w:p>
        </w:tc>
        <w:tc>
          <w:tcPr>
            <w:tcW w:w="595" w:type="dxa"/>
            <w:tcBorders>
              <w:top w:val="single" w:color="auto" w:sz="4" w:space="0"/>
              <w:left w:val="single" w:color="auto" w:sz="4" w:space="0"/>
              <w:right w:val="single" w:color="auto" w:sz="4" w:space="0"/>
            </w:tcBorders>
            <w:noWrap w:val="0"/>
            <w:vAlign w:val="center"/>
          </w:tcPr>
          <w:p w14:paraId="0D6C7A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val="en-US" w:eastAsia="zh-CN" w:bidi="ar"/>
              </w:rPr>
              <w:t>5</w:t>
            </w:r>
          </w:p>
        </w:tc>
        <w:tc>
          <w:tcPr>
            <w:tcW w:w="595" w:type="dxa"/>
            <w:tcBorders>
              <w:top w:val="single" w:color="auto" w:sz="4" w:space="0"/>
              <w:left w:val="single" w:color="auto" w:sz="4" w:space="0"/>
              <w:right w:val="single" w:color="auto" w:sz="4" w:space="0"/>
            </w:tcBorders>
            <w:noWrap w:val="0"/>
            <w:vAlign w:val="center"/>
          </w:tcPr>
          <w:p w14:paraId="5296F4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主观评审</w:t>
            </w:r>
          </w:p>
        </w:tc>
      </w:tr>
      <w:tr w14:paraId="3B951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00D976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1355DE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restart"/>
            <w:tcBorders>
              <w:left w:val="single" w:color="auto" w:sz="4" w:space="0"/>
              <w:right w:val="single" w:color="auto" w:sz="4" w:space="0"/>
            </w:tcBorders>
            <w:noWrap w:val="0"/>
            <w:vAlign w:val="center"/>
          </w:tcPr>
          <w:p w14:paraId="6A35EF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2、人员配备及管理方案（1</w:t>
            </w:r>
            <w:r>
              <w:rPr>
                <w:rFonts w:hint="eastAsia" w:ascii="宋体" w:hAnsi="宋体" w:cs="宋体"/>
                <w:bCs/>
                <w:color w:val="auto"/>
                <w:sz w:val="24"/>
                <w:szCs w:val="24"/>
                <w:highlight w:val="none"/>
                <w:lang w:val="en-US" w:eastAsia="zh-CN" w:bidi="ar"/>
              </w:rPr>
              <w:t>7</w:t>
            </w:r>
            <w:r>
              <w:rPr>
                <w:rFonts w:hint="eastAsia" w:ascii="宋体" w:hAnsi="宋体" w:eastAsia="宋体" w:cs="宋体"/>
                <w:bCs/>
                <w:color w:val="auto"/>
                <w:sz w:val="24"/>
                <w:szCs w:val="24"/>
                <w:highlight w:val="none"/>
                <w:lang w:bidi="ar"/>
              </w:rPr>
              <w:t>分）</w:t>
            </w:r>
          </w:p>
        </w:tc>
        <w:tc>
          <w:tcPr>
            <w:tcW w:w="1492" w:type="dxa"/>
            <w:vMerge w:val="restart"/>
            <w:tcBorders>
              <w:left w:val="single" w:color="auto" w:sz="4" w:space="0"/>
              <w:right w:val="single" w:color="auto" w:sz="4" w:space="0"/>
            </w:tcBorders>
            <w:noWrap w:val="0"/>
            <w:vAlign w:val="center"/>
          </w:tcPr>
          <w:p w14:paraId="579F58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1）管理技术岗人员（8分）（投标文件中需提供拟投入人员在本单位内缴纳的开标前3个月</w:t>
            </w:r>
            <w:r>
              <w:rPr>
                <w:rFonts w:hint="eastAsia" w:ascii="宋体" w:hAnsi="宋体" w:cs="宋体"/>
                <w:bCs/>
                <w:color w:val="auto"/>
                <w:sz w:val="24"/>
                <w:szCs w:val="24"/>
                <w:highlight w:val="none"/>
                <w:lang w:val="en-US" w:eastAsia="zh-CN" w:bidi="ar"/>
              </w:rPr>
              <w:t>内任意一个月</w:t>
            </w:r>
            <w:r>
              <w:rPr>
                <w:rFonts w:hint="eastAsia" w:ascii="宋体" w:hAnsi="宋体" w:eastAsia="宋体" w:cs="宋体"/>
                <w:bCs/>
                <w:color w:val="auto"/>
                <w:sz w:val="24"/>
                <w:szCs w:val="24"/>
                <w:highlight w:val="none"/>
                <w:lang w:bidi="ar"/>
              </w:rPr>
              <w:t>的社保证明及证书复印件加盖公章。）</w:t>
            </w:r>
          </w:p>
        </w:tc>
        <w:tc>
          <w:tcPr>
            <w:tcW w:w="3152" w:type="dxa"/>
            <w:vMerge w:val="restart"/>
            <w:tcBorders>
              <w:top w:val="single" w:color="auto" w:sz="4" w:space="0"/>
              <w:left w:val="single" w:color="auto" w:sz="4" w:space="0"/>
              <w:right w:val="single" w:color="auto" w:sz="4" w:space="0"/>
            </w:tcBorders>
            <w:noWrap w:val="0"/>
            <w:vAlign w:val="center"/>
          </w:tcPr>
          <w:p w14:paraId="578A5F65">
            <w:pPr>
              <w:keepNext w:val="0"/>
              <w:keepLines w:val="0"/>
              <w:pageBreakBefore w:val="0"/>
              <w:widowControl w:val="0"/>
              <w:numPr>
                <w:ilvl w:val="0"/>
                <w:numId w:val="11"/>
              </w:numPr>
              <w:suppressLineNumbers w:val="0"/>
              <w:kinsoku/>
              <w:wordWrap/>
              <w:overflowPunct/>
              <w:topLinePunct w:val="0"/>
              <w:autoSpaceDE/>
              <w:autoSpaceDN/>
              <w:bidi w:val="0"/>
              <w:adjustRightInd/>
              <w:snapToGrid/>
              <w:spacing w:before="0" w:beforeAutospacing="0" w:after="0" w:afterAutospacing="0" w:line="240" w:lineRule="auto"/>
              <w:ind w:left="0" w:right="0" w:firstLine="40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项目负责人（5分）</w:t>
            </w:r>
          </w:p>
        </w:tc>
        <w:tc>
          <w:tcPr>
            <w:tcW w:w="5645" w:type="dxa"/>
            <w:tcBorders>
              <w:top w:val="single" w:color="auto" w:sz="4" w:space="0"/>
              <w:left w:val="single" w:color="auto" w:sz="4" w:space="0"/>
              <w:bottom w:val="single" w:color="auto" w:sz="4" w:space="0"/>
              <w:right w:val="single" w:color="auto" w:sz="4" w:space="0"/>
            </w:tcBorders>
            <w:noWrap w:val="0"/>
            <w:vAlign w:val="center"/>
          </w:tcPr>
          <w:p w14:paraId="19E1A807">
            <w:pPr>
              <w:keepNext w:val="0"/>
              <w:keepLines w:val="0"/>
              <w:pageBreakBefore w:val="0"/>
              <w:widowControl w:val="0"/>
              <w:numPr>
                <w:ilvl w:val="-1"/>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cs="宋体"/>
                <w:bCs/>
                <w:color w:val="auto"/>
                <w:sz w:val="24"/>
                <w:szCs w:val="24"/>
                <w:highlight w:val="none"/>
                <w:lang w:val="en-US" w:eastAsia="zh-CN" w:bidi="ar"/>
              </w:rPr>
              <w:t>1.1</w:t>
            </w:r>
            <w:r>
              <w:rPr>
                <w:rFonts w:hint="eastAsia" w:ascii="宋体" w:hAnsi="宋体" w:eastAsia="宋体" w:cs="宋体"/>
                <w:bCs/>
                <w:color w:val="auto"/>
                <w:sz w:val="24"/>
                <w:szCs w:val="24"/>
                <w:highlight w:val="none"/>
                <w:lang w:bidi="ar"/>
              </w:rPr>
              <w:t>根据拟担任本项目的项目负责人的专业素质、技术能力、经验、资质等情况进行评议。</w:t>
            </w:r>
          </w:p>
          <w:p w14:paraId="207916E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①专业素质</w:t>
            </w:r>
            <w:r>
              <w:rPr>
                <w:rFonts w:hint="eastAsia" w:ascii="宋体" w:hAnsi="宋体" w:eastAsia="宋体" w:cs="宋体"/>
                <w:bCs/>
                <w:color w:val="auto"/>
                <w:sz w:val="24"/>
                <w:szCs w:val="24"/>
                <w:highlight w:val="none"/>
                <w:lang w:val="en-US" w:eastAsia="zh-CN" w:bidi="ar"/>
              </w:rPr>
              <w:t>高，技术能力强，经验充足，资质深的得3分</w:t>
            </w:r>
            <w:r>
              <w:rPr>
                <w:rFonts w:hint="eastAsia" w:ascii="宋体" w:hAnsi="宋体" w:eastAsia="宋体" w:cs="宋体"/>
                <w:bCs/>
                <w:color w:val="auto"/>
                <w:sz w:val="24"/>
                <w:szCs w:val="24"/>
                <w:highlight w:val="none"/>
                <w:lang w:bidi="ar"/>
              </w:rPr>
              <w:t>；</w:t>
            </w:r>
          </w:p>
          <w:p w14:paraId="0B3B827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②专业素质</w:t>
            </w:r>
            <w:r>
              <w:rPr>
                <w:rFonts w:hint="eastAsia" w:ascii="宋体" w:hAnsi="宋体" w:eastAsia="宋体" w:cs="宋体"/>
                <w:bCs/>
                <w:color w:val="auto"/>
                <w:sz w:val="24"/>
                <w:szCs w:val="24"/>
                <w:highlight w:val="none"/>
                <w:lang w:val="en-US" w:eastAsia="zh-CN" w:bidi="ar"/>
              </w:rPr>
              <w:t>较</w:t>
            </w:r>
            <w:r>
              <w:rPr>
                <w:rFonts w:hint="eastAsia" w:ascii="宋体" w:hAnsi="宋体" w:eastAsia="宋体" w:cs="宋体"/>
                <w:bCs/>
                <w:color w:val="auto"/>
                <w:sz w:val="24"/>
                <w:szCs w:val="24"/>
                <w:highlight w:val="none"/>
                <w:lang w:bidi="ar"/>
              </w:rPr>
              <w:t>高，技术能力较强，经验较充足，资质较深的得</w:t>
            </w:r>
            <w:r>
              <w:rPr>
                <w:rFonts w:hint="eastAsia" w:ascii="宋体" w:hAnsi="宋体" w:eastAsia="宋体" w:cs="宋体"/>
                <w:bCs/>
                <w:color w:val="auto"/>
                <w:sz w:val="24"/>
                <w:szCs w:val="24"/>
                <w:highlight w:val="none"/>
                <w:lang w:val="en-US" w:eastAsia="zh-CN" w:bidi="ar"/>
              </w:rPr>
              <w:t>2</w:t>
            </w:r>
            <w:r>
              <w:rPr>
                <w:rFonts w:hint="eastAsia" w:ascii="宋体" w:hAnsi="宋体" w:eastAsia="宋体" w:cs="宋体"/>
                <w:bCs/>
                <w:color w:val="auto"/>
                <w:sz w:val="24"/>
                <w:szCs w:val="24"/>
                <w:highlight w:val="none"/>
                <w:lang w:bidi="ar"/>
              </w:rPr>
              <w:t>分；</w:t>
            </w:r>
          </w:p>
          <w:p w14:paraId="5D87699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bidi="ar"/>
              </w:rPr>
              <w:t>③专业素质</w:t>
            </w:r>
            <w:r>
              <w:rPr>
                <w:rFonts w:hint="eastAsia" w:ascii="宋体" w:hAnsi="宋体" w:eastAsia="宋体" w:cs="宋体"/>
                <w:bCs/>
                <w:color w:val="auto"/>
                <w:sz w:val="24"/>
                <w:szCs w:val="24"/>
                <w:highlight w:val="none"/>
                <w:lang w:val="en-US" w:eastAsia="zh-CN" w:bidi="ar"/>
              </w:rPr>
              <w:t>一般</w:t>
            </w:r>
            <w:r>
              <w:rPr>
                <w:rFonts w:hint="eastAsia" w:ascii="宋体" w:hAnsi="宋体" w:eastAsia="宋体" w:cs="宋体"/>
                <w:bCs/>
                <w:color w:val="auto"/>
                <w:sz w:val="24"/>
                <w:szCs w:val="24"/>
                <w:highlight w:val="none"/>
                <w:lang w:bidi="ar"/>
              </w:rPr>
              <w:t>，技术能力一般，经验</w:t>
            </w:r>
            <w:r>
              <w:rPr>
                <w:rFonts w:hint="eastAsia" w:ascii="宋体" w:hAnsi="宋体" w:eastAsia="宋体" w:cs="宋体"/>
                <w:bCs/>
                <w:color w:val="auto"/>
                <w:sz w:val="24"/>
                <w:szCs w:val="24"/>
                <w:highlight w:val="none"/>
                <w:lang w:val="en-US" w:eastAsia="zh-CN" w:bidi="ar"/>
              </w:rPr>
              <w:t>少</w:t>
            </w:r>
            <w:r>
              <w:rPr>
                <w:rFonts w:hint="eastAsia" w:ascii="宋体" w:hAnsi="宋体" w:eastAsia="宋体" w:cs="宋体"/>
                <w:bCs/>
                <w:color w:val="auto"/>
                <w:sz w:val="24"/>
                <w:szCs w:val="24"/>
                <w:highlight w:val="none"/>
                <w:lang w:bidi="ar"/>
              </w:rPr>
              <w:t>的得</w:t>
            </w:r>
            <w:r>
              <w:rPr>
                <w:rFonts w:hint="eastAsia" w:ascii="宋体" w:hAnsi="宋体" w:eastAsia="宋体" w:cs="宋体"/>
                <w:bCs/>
                <w:color w:val="auto"/>
                <w:sz w:val="24"/>
                <w:szCs w:val="24"/>
                <w:highlight w:val="none"/>
                <w:lang w:val="en-US" w:eastAsia="zh-CN" w:bidi="ar"/>
              </w:rPr>
              <w:t>1</w:t>
            </w:r>
            <w:r>
              <w:rPr>
                <w:rFonts w:hint="eastAsia" w:ascii="宋体" w:hAnsi="宋体" w:eastAsia="宋体" w:cs="宋体"/>
                <w:bCs/>
                <w:color w:val="auto"/>
                <w:sz w:val="24"/>
                <w:szCs w:val="24"/>
                <w:highlight w:val="none"/>
                <w:lang w:bidi="ar"/>
              </w:rPr>
              <w:t>分</w:t>
            </w:r>
            <w:r>
              <w:rPr>
                <w:rFonts w:hint="eastAsia" w:ascii="宋体" w:hAnsi="宋体" w:eastAsia="宋体" w:cs="宋体"/>
                <w:bCs/>
                <w:color w:val="auto"/>
                <w:sz w:val="24"/>
                <w:szCs w:val="24"/>
                <w:highlight w:val="none"/>
                <w:lang w:eastAsia="zh-CN" w:bidi="ar"/>
              </w:rPr>
              <w:t>。</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28A07D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3</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2D3012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主观评审</w:t>
            </w:r>
          </w:p>
        </w:tc>
      </w:tr>
      <w:tr w14:paraId="314D3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67E369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1B1766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5E8622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492" w:type="dxa"/>
            <w:vMerge w:val="continue"/>
            <w:tcBorders>
              <w:left w:val="single" w:color="auto" w:sz="4" w:space="0"/>
              <w:right w:val="single" w:color="auto" w:sz="4" w:space="0"/>
            </w:tcBorders>
            <w:noWrap w:val="0"/>
            <w:vAlign w:val="center"/>
          </w:tcPr>
          <w:p w14:paraId="77900A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3152" w:type="dxa"/>
            <w:vMerge w:val="continue"/>
            <w:tcBorders>
              <w:left w:val="single" w:color="auto" w:sz="4" w:space="0"/>
              <w:bottom w:val="single" w:color="auto" w:sz="4" w:space="0"/>
              <w:right w:val="single" w:color="auto" w:sz="4" w:space="0"/>
            </w:tcBorders>
            <w:noWrap w:val="0"/>
            <w:vAlign w:val="center"/>
          </w:tcPr>
          <w:p w14:paraId="09FF6B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5645" w:type="dxa"/>
            <w:tcBorders>
              <w:top w:val="single" w:color="auto" w:sz="4" w:space="0"/>
              <w:left w:val="single" w:color="auto" w:sz="4" w:space="0"/>
              <w:bottom w:val="single" w:color="auto" w:sz="4" w:space="0"/>
              <w:right w:val="single" w:color="auto" w:sz="4" w:space="0"/>
            </w:tcBorders>
            <w:noWrap w:val="0"/>
            <w:vAlign w:val="center"/>
          </w:tcPr>
          <w:p w14:paraId="14443778">
            <w:pPr>
              <w:keepNext w:val="0"/>
              <w:keepLines w:val="0"/>
              <w:pageBreakBefore w:val="0"/>
              <w:widowControl w:val="0"/>
              <w:numPr>
                <w:ilvl w:val="-1"/>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cs="宋体"/>
                <w:bCs/>
                <w:color w:val="auto"/>
                <w:sz w:val="24"/>
                <w:szCs w:val="24"/>
                <w:highlight w:val="none"/>
                <w:lang w:val="en-US" w:eastAsia="zh-CN" w:bidi="ar"/>
              </w:rPr>
              <w:t>1.2</w:t>
            </w:r>
            <w:r>
              <w:rPr>
                <w:rFonts w:hint="eastAsia" w:ascii="宋体" w:hAnsi="宋体" w:eastAsia="宋体" w:cs="宋体"/>
                <w:bCs/>
                <w:color w:val="auto"/>
                <w:sz w:val="24"/>
                <w:szCs w:val="24"/>
                <w:highlight w:val="none"/>
                <w:lang w:bidi="ar"/>
              </w:rPr>
              <w:t>项目负责人具有园林绿化或风景园林（施工）或市政类专业高级（含）</w:t>
            </w:r>
            <w:r>
              <w:rPr>
                <w:rFonts w:hint="eastAsia" w:ascii="宋体" w:hAnsi="宋体" w:cs="宋体"/>
                <w:bCs/>
                <w:color w:val="auto"/>
                <w:sz w:val="24"/>
                <w:szCs w:val="24"/>
                <w:highlight w:val="none"/>
                <w:lang w:val="en-US" w:eastAsia="zh-CN" w:bidi="ar"/>
              </w:rPr>
              <w:t>及以上</w:t>
            </w:r>
            <w:r>
              <w:rPr>
                <w:rFonts w:hint="eastAsia" w:ascii="宋体" w:hAnsi="宋体" w:eastAsia="宋体" w:cs="宋体"/>
                <w:bCs/>
                <w:color w:val="auto"/>
                <w:sz w:val="24"/>
                <w:szCs w:val="24"/>
                <w:highlight w:val="none"/>
                <w:lang w:bidi="ar"/>
              </w:rPr>
              <w:t>技术职称的得2分。（投标文件中需提供证书复印件加盖公章。）</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15B81B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2</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61BAD2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客观评审</w:t>
            </w:r>
          </w:p>
        </w:tc>
      </w:tr>
      <w:tr w14:paraId="4C052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76E55A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60B017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5826A7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492" w:type="dxa"/>
            <w:vMerge w:val="continue"/>
            <w:tcBorders>
              <w:left w:val="single" w:color="auto" w:sz="4" w:space="0"/>
              <w:right w:val="single" w:color="auto" w:sz="4" w:space="0"/>
            </w:tcBorders>
            <w:noWrap w:val="0"/>
            <w:vAlign w:val="center"/>
          </w:tcPr>
          <w:p w14:paraId="4CE142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3152" w:type="dxa"/>
            <w:tcBorders>
              <w:left w:val="single" w:color="auto" w:sz="4" w:space="0"/>
              <w:bottom w:val="single" w:color="auto" w:sz="4" w:space="0"/>
              <w:right w:val="single" w:color="auto" w:sz="4" w:space="0"/>
            </w:tcBorders>
            <w:noWrap w:val="0"/>
            <w:vAlign w:val="center"/>
          </w:tcPr>
          <w:p w14:paraId="159D4F95">
            <w:pPr>
              <w:keepNext w:val="0"/>
              <w:keepLines w:val="0"/>
              <w:pageBreakBefore w:val="0"/>
              <w:widowControl w:val="0"/>
              <w:numPr>
                <w:ilvl w:val="0"/>
                <w:numId w:val="11"/>
              </w:numPr>
              <w:suppressLineNumbers w:val="0"/>
              <w:kinsoku/>
              <w:wordWrap/>
              <w:overflowPunct/>
              <w:topLinePunct w:val="0"/>
              <w:autoSpaceDE/>
              <w:autoSpaceDN/>
              <w:bidi w:val="0"/>
              <w:adjustRightInd/>
              <w:snapToGrid/>
              <w:spacing w:before="0" w:beforeAutospacing="0" w:after="0" w:afterAutospacing="0" w:line="240" w:lineRule="auto"/>
              <w:ind w:left="0" w:right="0" w:firstLine="4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园容主管（0.5分）</w:t>
            </w:r>
          </w:p>
        </w:tc>
        <w:tc>
          <w:tcPr>
            <w:tcW w:w="5645" w:type="dxa"/>
            <w:tcBorders>
              <w:top w:val="single" w:color="auto" w:sz="4" w:space="0"/>
              <w:left w:val="single" w:color="auto" w:sz="4" w:space="0"/>
              <w:bottom w:val="single" w:color="auto" w:sz="4" w:space="0"/>
              <w:right w:val="single" w:color="auto" w:sz="4" w:space="0"/>
            </w:tcBorders>
            <w:noWrap w:val="0"/>
            <w:vAlign w:val="center"/>
          </w:tcPr>
          <w:p w14:paraId="33E390B9">
            <w:pPr>
              <w:keepNext w:val="0"/>
              <w:keepLines w:val="0"/>
              <w:pageBreakBefore w:val="0"/>
              <w:widowControl w:val="0"/>
              <w:numPr>
                <w:ilvl w:val="-1"/>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园容主管拥有全日制本科及以上学历</w:t>
            </w:r>
            <w:r>
              <w:rPr>
                <w:rFonts w:hint="eastAsia" w:ascii="宋体" w:hAnsi="宋体" w:cs="宋体"/>
                <w:bCs/>
                <w:color w:val="auto"/>
                <w:sz w:val="24"/>
                <w:szCs w:val="24"/>
                <w:highlight w:val="none"/>
                <w:lang w:val="en-US" w:eastAsia="zh-CN"/>
              </w:rPr>
              <w:t>和园林绿化类中级</w:t>
            </w:r>
            <w:r>
              <w:rPr>
                <w:rFonts w:hint="eastAsia" w:ascii="宋体" w:hAnsi="宋体" w:eastAsia="宋体" w:cs="宋体"/>
                <w:bCs/>
                <w:color w:val="auto"/>
                <w:sz w:val="24"/>
                <w:szCs w:val="24"/>
                <w:highlight w:val="none"/>
              </w:rPr>
              <w:t>及以上职称证书的得0.5分。（投标文件中需提供证书复印件加盖公章。）</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151742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宋体" w:hAnsi="宋体" w:eastAsia="宋体" w:cs="宋体"/>
                <w:bCs/>
                <w:color w:val="auto"/>
                <w:sz w:val="24"/>
                <w:szCs w:val="24"/>
                <w:highlight w:val="none"/>
                <w:lang w:val="en-US" w:eastAsia="zh-CN" w:bidi="ar"/>
              </w:rPr>
            </w:pPr>
            <w:r>
              <w:rPr>
                <w:rFonts w:hint="eastAsia" w:ascii="宋体" w:hAnsi="宋体" w:cs="宋体"/>
                <w:bCs/>
                <w:color w:val="auto"/>
                <w:sz w:val="24"/>
                <w:szCs w:val="24"/>
                <w:highlight w:val="none"/>
                <w:lang w:val="en-US" w:eastAsia="zh-CN" w:bidi="ar"/>
              </w:rPr>
              <w:t>0.5</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71EE2D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客观评审</w:t>
            </w:r>
          </w:p>
        </w:tc>
      </w:tr>
      <w:tr w14:paraId="7AF2F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5AAF77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7D2540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576F11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492" w:type="dxa"/>
            <w:vMerge w:val="continue"/>
            <w:tcBorders>
              <w:left w:val="single" w:color="auto" w:sz="4" w:space="0"/>
              <w:right w:val="single" w:color="auto" w:sz="4" w:space="0"/>
            </w:tcBorders>
            <w:noWrap w:val="0"/>
            <w:vAlign w:val="center"/>
          </w:tcPr>
          <w:p w14:paraId="13F740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3152" w:type="dxa"/>
            <w:tcBorders>
              <w:left w:val="single" w:color="auto" w:sz="4" w:space="0"/>
              <w:bottom w:val="single" w:color="auto" w:sz="4" w:space="0"/>
              <w:right w:val="single" w:color="auto" w:sz="4" w:space="0"/>
            </w:tcBorders>
            <w:noWrap w:val="0"/>
            <w:vAlign w:val="center"/>
          </w:tcPr>
          <w:p w14:paraId="10F4C046">
            <w:pPr>
              <w:keepNext w:val="0"/>
              <w:keepLines w:val="0"/>
              <w:pageBreakBefore w:val="0"/>
              <w:widowControl w:val="0"/>
              <w:numPr>
                <w:ilvl w:val="0"/>
                <w:numId w:val="11"/>
              </w:numPr>
              <w:suppressLineNumbers w:val="0"/>
              <w:kinsoku/>
              <w:wordWrap/>
              <w:overflowPunct/>
              <w:topLinePunct w:val="0"/>
              <w:autoSpaceDE/>
              <w:autoSpaceDN/>
              <w:bidi w:val="0"/>
              <w:adjustRightInd/>
              <w:snapToGrid/>
              <w:spacing w:before="0" w:beforeAutospacing="0" w:after="0" w:afterAutospacing="0" w:line="240" w:lineRule="auto"/>
              <w:ind w:left="0" w:right="0" w:firstLine="40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rPr>
              <w:t>安全主管（0.5分）</w:t>
            </w:r>
          </w:p>
        </w:tc>
        <w:tc>
          <w:tcPr>
            <w:tcW w:w="5645" w:type="dxa"/>
            <w:tcBorders>
              <w:top w:val="single" w:color="auto" w:sz="4" w:space="0"/>
              <w:left w:val="single" w:color="auto" w:sz="4" w:space="0"/>
              <w:bottom w:val="single" w:color="auto" w:sz="4" w:space="0"/>
              <w:right w:val="single" w:color="auto" w:sz="4" w:space="0"/>
            </w:tcBorders>
            <w:noWrap w:val="0"/>
            <w:vAlign w:val="center"/>
          </w:tcPr>
          <w:p w14:paraId="7D0C74F8">
            <w:pPr>
              <w:keepNext w:val="0"/>
              <w:keepLines w:val="0"/>
              <w:pageBreakBefore w:val="0"/>
              <w:widowControl w:val="0"/>
              <w:numPr>
                <w:ilvl w:val="-1"/>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rPr>
              <w:t>安全管理人员具有住建部门颁发的安全员证书或安全生产监督部门颁发的安全管理人员证书得0.5分。</w:t>
            </w:r>
            <w:r>
              <w:rPr>
                <w:rFonts w:hint="eastAsia" w:ascii="宋体" w:hAnsi="宋体" w:eastAsia="宋体" w:cs="宋体"/>
                <w:bCs/>
                <w:color w:val="auto"/>
                <w:sz w:val="24"/>
                <w:szCs w:val="24"/>
                <w:highlight w:val="none"/>
                <w:lang w:bidi="ar"/>
              </w:rPr>
              <w:t>（投标文件中需提供证书复印件加盖公章。）</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53140B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0.5</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7F220B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客观评审</w:t>
            </w:r>
          </w:p>
        </w:tc>
      </w:tr>
      <w:tr w14:paraId="2B7FE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3071F3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74E121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080573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492" w:type="dxa"/>
            <w:vMerge w:val="continue"/>
            <w:tcBorders>
              <w:left w:val="single" w:color="auto" w:sz="4" w:space="0"/>
              <w:bottom w:val="single" w:color="auto" w:sz="4" w:space="0"/>
              <w:right w:val="single" w:color="auto" w:sz="4" w:space="0"/>
            </w:tcBorders>
            <w:noWrap w:val="0"/>
            <w:vAlign w:val="center"/>
          </w:tcPr>
          <w:p w14:paraId="3F7611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3152" w:type="dxa"/>
            <w:tcBorders>
              <w:left w:val="single" w:color="auto" w:sz="4" w:space="0"/>
              <w:bottom w:val="single" w:color="auto" w:sz="4" w:space="0"/>
              <w:right w:val="single" w:color="auto" w:sz="4" w:space="0"/>
            </w:tcBorders>
            <w:noWrap w:val="0"/>
            <w:vAlign w:val="center"/>
          </w:tcPr>
          <w:p w14:paraId="6D4BF606">
            <w:pPr>
              <w:keepNext w:val="0"/>
              <w:keepLines w:val="0"/>
              <w:pageBreakBefore w:val="0"/>
              <w:widowControl w:val="0"/>
              <w:numPr>
                <w:ilvl w:val="0"/>
                <w:numId w:val="11"/>
              </w:numPr>
              <w:suppressLineNumbers w:val="0"/>
              <w:kinsoku/>
              <w:wordWrap/>
              <w:overflowPunct/>
              <w:topLinePunct w:val="0"/>
              <w:autoSpaceDE/>
              <w:autoSpaceDN/>
              <w:bidi w:val="0"/>
              <w:adjustRightInd/>
              <w:snapToGrid/>
              <w:spacing w:before="0" w:beforeAutospacing="0" w:after="0" w:afterAutospacing="0" w:line="240" w:lineRule="auto"/>
              <w:ind w:left="0" w:right="0" w:firstLine="4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其他管理人员（绿化、保洁、治安巡视专业负责人）（2分）</w:t>
            </w:r>
          </w:p>
        </w:tc>
        <w:tc>
          <w:tcPr>
            <w:tcW w:w="5645" w:type="dxa"/>
            <w:tcBorders>
              <w:top w:val="single" w:color="auto" w:sz="4" w:space="0"/>
              <w:left w:val="single" w:color="auto" w:sz="4" w:space="0"/>
              <w:bottom w:val="single" w:color="auto" w:sz="4" w:space="0"/>
              <w:right w:val="single" w:color="auto" w:sz="4" w:space="0"/>
            </w:tcBorders>
            <w:noWrap w:val="0"/>
            <w:vAlign w:val="center"/>
          </w:tcPr>
          <w:p w14:paraId="0498D7A3">
            <w:pPr>
              <w:keepNext w:val="0"/>
              <w:keepLines w:val="0"/>
              <w:pageBreakBefore w:val="0"/>
              <w:widowControl w:val="0"/>
              <w:numPr>
                <w:ilvl w:val="-1"/>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rPr>
              <w:t>根据其他管理人员</w:t>
            </w:r>
            <w:r>
              <w:rPr>
                <w:rFonts w:hint="eastAsia" w:ascii="宋体" w:hAnsi="宋体" w:eastAsia="宋体" w:cs="宋体"/>
                <w:bCs/>
                <w:color w:val="auto"/>
                <w:sz w:val="24"/>
                <w:szCs w:val="24"/>
                <w:highlight w:val="none"/>
                <w:lang w:bidi="ar"/>
              </w:rPr>
              <w:t>的专业素质、技术能力、经验、资质等情况进行评议</w:t>
            </w:r>
            <w:r>
              <w:rPr>
                <w:rFonts w:hint="eastAsia" w:ascii="宋体" w:hAnsi="宋体" w:eastAsia="宋体" w:cs="宋体"/>
                <w:bCs/>
                <w:color w:val="auto"/>
                <w:sz w:val="24"/>
                <w:szCs w:val="24"/>
                <w:highlight w:val="none"/>
                <w:lang w:eastAsia="zh-CN" w:bidi="ar"/>
              </w:rPr>
              <w:t>：</w:t>
            </w:r>
          </w:p>
          <w:p w14:paraId="2325111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①专业素质高，技术能力强，经验充足，资质深的得</w:t>
            </w:r>
            <w:r>
              <w:rPr>
                <w:rFonts w:hint="eastAsia" w:ascii="宋体" w:hAnsi="宋体" w:eastAsia="宋体" w:cs="宋体"/>
                <w:bCs/>
                <w:color w:val="auto"/>
                <w:sz w:val="24"/>
                <w:szCs w:val="24"/>
                <w:highlight w:val="none"/>
                <w:lang w:val="en-US" w:eastAsia="zh-CN" w:bidi="ar"/>
              </w:rPr>
              <w:t>2</w:t>
            </w:r>
            <w:r>
              <w:rPr>
                <w:rFonts w:hint="eastAsia" w:ascii="宋体" w:hAnsi="宋体" w:eastAsia="宋体" w:cs="宋体"/>
                <w:bCs/>
                <w:color w:val="auto"/>
                <w:sz w:val="24"/>
                <w:szCs w:val="24"/>
                <w:highlight w:val="none"/>
                <w:lang w:eastAsia="zh-CN" w:bidi="ar"/>
              </w:rPr>
              <w:t>分；</w:t>
            </w:r>
          </w:p>
          <w:p w14:paraId="33623A8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②专业素质较高，技术能力较强，经验较充足，资质较深的得</w:t>
            </w:r>
            <w:r>
              <w:rPr>
                <w:rFonts w:hint="eastAsia" w:ascii="宋体" w:hAnsi="宋体" w:eastAsia="宋体" w:cs="宋体"/>
                <w:bCs/>
                <w:color w:val="auto"/>
                <w:sz w:val="24"/>
                <w:szCs w:val="24"/>
                <w:highlight w:val="none"/>
                <w:lang w:val="en-US" w:eastAsia="zh-CN" w:bidi="ar"/>
              </w:rPr>
              <w:t>1.5</w:t>
            </w:r>
            <w:r>
              <w:rPr>
                <w:rFonts w:hint="eastAsia" w:ascii="宋体" w:hAnsi="宋体" w:eastAsia="宋体" w:cs="宋体"/>
                <w:bCs/>
                <w:color w:val="auto"/>
                <w:sz w:val="24"/>
                <w:szCs w:val="24"/>
                <w:highlight w:val="none"/>
                <w:lang w:eastAsia="zh-CN" w:bidi="ar"/>
              </w:rPr>
              <w:t>分；</w:t>
            </w:r>
          </w:p>
          <w:p w14:paraId="1AF1D4C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eastAsia="zh-CN" w:bidi="ar"/>
              </w:rPr>
              <w:t>③专业素质一般，技术能力一般，经验少的得1分。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6CC7DB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2</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1AA9EE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主观评审</w:t>
            </w:r>
          </w:p>
        </w:tc>
      </w:tr>
      <w:tr w14:paraId="12FF6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2195F4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07F823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4F3E6B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0289" w:type="dxa"/>
            <w:gridSpan w:val="3"/>
            <w:tcBorders>
              <w:top w:val="single" w:color="auto" w:sz="4" w:space="0"/>
              <w:left w:val="single" w:color="auto" w:sz="4" w:space="0"/>
              <w:bottom w:val="single" w:color="auto" w:sz="4" w:space="0"/>
              <w:right w:val="single" w:color="auto" w:sz="4" w:space="0"/>
            </w:tcBorders>
            <w:noWrap w:val="0"/>
            <w:vAlign w:val="center"/>
          </w:tcPr>
          <w:p w14:paraId="666ACC72">
            <w:pPr>
              <w:keepNext w:val="0"/>
              <w:keepLines w:val="0"/>
              <w:pageBreakBefore w:val="0"/>
              <w:widowControl w:val="0"/>
              <w:numPr>
                <w:ilvl w:val="0"/>
                <w:numId w:val="12"/>
              </w:numPr>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rPr>
              <w:t>供应商拟投入本项目的养护、保洁、巡逻人员（除</w:t>
            </w:r>
            <w:r>
              <w:rPr>
                <w:rFonts w:hint="eastAsia" w:ascii="宋体" w:hAnsi="宋体" w:eastAsia="宋体" w:cs="宋体"/>
                <w:bCs/>
                <w:color w:val="auto"/>
                <w:sz w:val="24"/>
                <w:szCs w:val="24"/>
                <w:highlight w:val="none"/>
                <w:lang w:bidi="ar"/>
              </w:rPr>
              <w:t>管理技术岗人员</w:t>
            </w:r>
            <w:r>
              <w:rPr>
                <w:rFonts w:hint="eastAsia" w:ascii="宋体" w:hAnsi="宋体" w:eastAsia="宋体" w:cs="宋体"/>
                <w:bCs/>
                <w:color w:val="auto"/>
                <w:sz w:val="24"/>
                <w:szCs w:val="24"/>
                <w:highlight w:val="none"/>
              </w:rPr>
              <w:t>外）的岗位设置、数量、工作内容和区域等内容进行评议</w:t>
            </w:r>
            <w:r>
              <w:rPr>
                <w:rFonts w:hint="eastAsia" w:ascii="宋体" w:hAnsi="宋体" w:eastAsia="宋体" w:cs="宋体"/>
                <w:bCs/>
                <w:color w:val="auto"/>
                <w:sz w:val="24"/>
                <w:szCs w:val="24"/>
                <w:highlight w:val="none"/>
                <w:lang w:eastAsia="zh-CN"/>
              </w:rPr>
              <w:t>：</w:t>
            </w:r>
          </w:p>
          <w:p w14:paraId="1276585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①方案详细、编排合理、条理清晰、结构完整符合公园运营要求的得</w:t>
            </w:r>
            <w:r>
              <w:rPr>
                <w:rFonts w:hint="eastAsia" w:ascii="宋体" w:hAnsi="宋体" w:cs="宋体"/>
                <w:bCs/>
                <w:color w:val="auto"/>
                <w:sz w:val="24"/>
                <w:szCs w:val="24"/>
                <w:highlight w:val="none"/>
                <w:lang w:val="en-US" w:eastAsia="zh-CN"/>
              </w:rPr>
              <w:t>3</w:t>
            </w:r>
            <w:r>
              <w:rPr>
                <w:rFonts w:hint="eastAsia" w:ascii="宋体" w:hAnsi="宋体" w:eastAsia="宋体" w:cs="宋体"/>
                <w:bCs/>
                <w:color w:val="auto"/>
                <w:sz w:val="24"/>
                <w:szCs w:val="24"/>
                <w:highlight w:val="none"/>
                <w:lang w:eastAsia="zh-CN"/>
              </w:rPr>
              <w:t>分；</w:t>
            </w:r>
          </w:p>
          <w:p w14:paraId="3EE208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②计划编排及方案符合公园运营要求，但存在一定缺陷的得</w:t>
            </w:r>
            <w:r>
              <w:rPr>
                <w:rFonts w:hint="eastAsia" w:ascii="宋体" w:hAnsi="宋体" w:cs="宋体"/>
                <w:bCs/>
                <w:color w:val="auto"/>
                <w:sz w:val="24"/>
                <w:szCs w:val="24"/>
                <w:highlight w:val="none"/>
                <w:lang w:val="en-US" w:eastAsia="zh-CN"/>
              </w:rPr>
              <w:t>2</w:t>
            </w:r>
            <w:r>
              <w:rPr>
                <w:rFonts w:hint="eastAsia" w:ascii="宋体" w:hAnsi="宋体" w:eastAsia="宋体" w:cs="宋体"/>
                <w:bCs/>
                <w:color w:val="auto"/>
                <w:sz w:val="24"/>
                <w:szCs w:val="24"/>
                <w:highlight w:val="none"/>
                <w:lang w:eastAsia="zh-CN"/>
              </w:rPr>
              <w:t>分；</w:t>
            </w:r>
          </w:p>
          <w:p w14:paraId="749138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③计划编排及方案存在明显缺陷，实行上略有困难的得</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lang w:eastAsia="zh-CN"/>
              </w:rPr>
              <w:t>分；</w:t>
            </w:r>
          </w:p>
          <w:p w14:paraId="0DA286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④计划编排及方案不合理，无法确保人员轮换顺利的得</w:t>
            </w:r>
            <w:r>
              <w:rPr>
                <w:rFonts w:hint="eastAsia" w:ascii="宋体" w:hAnsi="宋体" w:eastAsia="宋体" w:cs="宋体"/>
                <w:bCs/>
                <w:color w:val="auto"/>
                <w:sz w:val="24"/>
                <w:szCs w:val="24"/>
                <w:highlight w:val="none"/>
                <w:lang w:val="en-US" w:eastAsia="zh-CN"/>
              </w:rPr>
              <w:t>0.5</w:t>
            </w:r>
            <w:r>
              <w:rPr>
                <w:rFonts w:hint="eastAsia" w:ascii="宋体" w:hAnsi="宋体" w:eastAsia="宋体" w:cs="宋体"/>
                <w:bCs/>
                <w:color w:val="auto"/>
                <w:sz w:val="24"/>
                <w:szCs w:val="24"/>
                <w:highlight w:val="none"/>
                <w:lang w:eastAsia="zh-CN"/>
              </w:rPr>
              <w:t>分；</w:t>
            </w:r>
          </w:p>
          <w:p w14:paraId="293A51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⑤未提供相关内容的不得分。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48BB6C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eastAsia="zh-CN"/>
              </w:rPr>
            </w:pPr>
            <w:r>
              <w:rPr>
                <w:rFonts w:hint="eastAsia" w:ascii="宋体" w:hAnsi="宋体" w:cs="宋体"/>
                <w:bCs/>
                <w:color w:val="auto"/>
                <w:sz w:val="24"/>
                <w:szCs w:val="24"/>
                <w:highlight w:val="none"/>
                <w:lang w:val="en-US" w:eastAsia="zh-CN"/>
              </w:rPr>
              <w:t>3</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5937DF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主观评审</w:t>
            </w:r>
          </w:p>
        </w:tc>
      </w:tr>
      <w:tr w14:paraId="7DDB3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73099F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32B443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188C92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0289" w:type="dxa"/>
            <w:gridSpan w:val="3"/>
            <w:tcBorders>
              <w:top w:val="single" w:color="auto" w:sz="4" w:space="0"/>
              <w:left w:val="single" w:color="auto" w:sz="4" w:space="0"/>
              <w:bottom w:val="single" w:color="auto" w:sz="4" w:space="0"/>
              <w:right w:val="single" w:color="auto" w:sz="4" w:space="0"/>
            </w:tcBorders>
            <w:noWrap w:val="0"/>
            <w:vAlign w:val="center"/>
          </w:tcPr>
          <w:p w14:paraId="77FB696D">
            <w:pPr>
              <w:keepNext w:val="0"/>
              <w:keepLines w:val="0"/>
              <w:pageBreakBefore w:val="0"/>
              <w:widowControl w:val="0"/>
              <w:numPr>
                <w:ilvl w:val="0"/>
                <w:numId w:val="12"/>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根据内部考核监管方案、奖惩方案、培训方案、合同执行期间的人员数量保障方案、人员安全保障措施、人员管理规范等进行评议。</w:t>
            </w:r>
          </w:p>
          <w:p w14:paraId="489BE22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①奖惩制度规范、福利待遇明确、能有效保障员工权益、绩效考核制度健全，可以有效实施的得</w:t>
            </w:r>
            <w:r>
              <w:rPr>
                <w:rFonts w:hint="eastAsia" w:ascii="宋体" w:hAnsi="宋体" w:cs="宋体"/>
                <w:bCs/>
                <w:color w:val="auto"/>
                <w:sz w:val="24"/>
                <w:szCs w:val="24"/>
                <w:highlight w:val="none"/>
                <w:lang w:val="en-US" w:eastAsia="zh-CN" w:bidi="ar"/>
              </w:rPr>
              <w:t>3</w:t>
            </w:r>
            <w:r>
              <w:rPr>
                <w:rFonts w:hint="eastAsia" w:ascii="宋体" w:hAnsi="宋体" w:eastAsia="宋体" w:cs="宋体"/>
                <w:bCs/>
                <w:color w:val="auto"/>
                <w:sz w:val="24"/>
                <w:szCs w:val="24"/>
                <w:highlight w:val="none"/>
                <w:lang w:bidi="ar"/>
              </w:rPr>
              <w:t>分；</w:t>
            </w:r>
          </w:p>
          <w:p w14:paraId="32BD0B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②奖惩制度、绩效考核制度完整、有利管理，福利待遇基本能保证员工权益的得</w:t>
            </w:r>
            <w:r>
              <w:rPr>
                <w:rFonts w:hint="eastAsia" w:ascii="宋体" w:hAnsi="宋体" w:cs="宋体"/>
                <w:bCs/>
                <w:color w:val="auto"/>
                <w:sz w:val="24"/>
                <w:szCs w:val="24"/>
                <w:highlight w:val="none"/>
                <w:lang w:val="en-US" w:eastAsia="zh-CN" w:bidi="ar"/>
              </w:rPr>
              <w:t>2</w:t>
            </w:r>
            <w:r>
              <w:rPr>
                <w:rFonts w:hint="eastAsia" w:ascii="宋体" w:hAnsi="宋体" w:eastAsia="宋体" w:cs="宋体"/>
                <w:bCs/>
                <w:color w:val="auto"/>
                <w:sz w:val="24"/>
                <w:szCs w:val="24"/>
                <w:highlight w:val="none"/>
                <w:lang w:bidi="ar"/>
              </w:rPr>
              <w:t>分；</w:t>
            </w:r>
          </w:p>
          <w:p w14:paraId="06F66B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③未能明确阐述各项福利待遇，奖惩制度、考核制度存在缺陷，有待改进的得</w:t>
            </w:r>
            <w:r>
              <w:rPr>
                <w:rFonts w:hint="eastAsia" w:ascii="宋体" w:hAnsi="宋体" w:eastAsia="宋体" w:cs="宋体"/>
                <w:bCs/>
                <w:color w:val="auto"/>
                <w:sz w:val="24"/>
                <w:szCs w:val="24"/>
                <w:highlight w:val="none"/>
                <w:lang w:val="en-US" w:eastAsia="zh-CN" w:bidi="ar"/>
              </w:rPr>
              <w:t>1</w:t>
            </w:r>
            <w:r>
              <w:rPr>
                <w:rFonts w:hint="eastAsia" w:ascii="宋体" w:hAnsi="宋体" w:eastAsia="宋体" w:cs="宋体"/>
                <w:bCs/>
                <w:color w:val="auto"/>
                <w:sz w:val="24"/>
                <w:szCs w:val="24"/>
                <w:highlight w:val="none"/>
                <w:lang w:bidi="ar"/>
              </w:rPr>
              <w:t>分；</w:t>
            </w:r>
          </w:p>
          <w:p w14:paraId="02EF56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④未提供服务奖惩制度规范、福利待遇，实行上略有欠缺的得</w:t>
            </w:r>
            <w:r>
              <w:rPr>
                <w:rFonts w:hint="eastAsia" w:ascii="宋体" w:hAnsi="宋体" w:eastAsia="宋体" w:cs="宋体"/>
                <w:bCs/>
                <w:color w:val="auto"/>
                <w:sz w:val="24"/>
                <w:szCs w:val="24"/>
                <w:highlight w:val="none"/>
                <w:lang w:val="en-US" w:eastAsia="zh-CN" w:bidi="ar"/>
              </w:rPr>
              <w:t>0.5</w:t>
            </w:r>
            <w:r>
              <w:rPr>
                <w:rFonts w:hint="eastAsia" w:ascii="宋体" w:hAnsi="宋体" w:eastAsia="宋体" w:cs="宋体"/>
                <w:bCs/>
                <w:color w:val="auto"/>
                <w:sz w:val="24"/>
                <w:szCs w:val="24"/>
                <w:highlight w:val="none"/>
                <w:lang w:bidi="ar"/>
              </w:rPr>
              <w:t>分；</w:t>
            </w:r>
          </w:p>
          <w:p w14:paraId="7656D7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⑤未提供相关内容的不得分。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5D82B2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eastAsia="zh-CN"/>
              </w:rPr>
            </w:pPr>
            <w:r>
              <w:rPr>
                <w:rFonts w:hint="eastAsia" w:ascii="宋体" w:hAnsi="宋体" w:cs="宋体"/>
                <w:bCs/>
                <w:color w:val="auto"/>
                <w:sz w:val="24"/>
                <w:szCs w:val="24"/>
                <w:highlight w:val="none"/>
                <w:lang w:val="en-US" w:eastAsia="zh-CN"/>
              </w:rPr>
              <w:t>3</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30D6DC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主观评审</w:t>
            </w:r>
          </w:p>
        </w:tc>
      </w:tr>
      <w:tr w14:paraId="339A3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222ED0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27BDFD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46BFB8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0289" w:type="dxa"/>
            <w:gridSpan w:val="3"/>
            <w:tcBorders>
              <w:top w:val="single" w:color="auto" w:sz="4" w:space="0"/>
              <w:left w:val="single" w:color="auto" w:sz="4" w:space="0"/>
              <w:bottom w:val="single" w:color="auto" w:sz="4" w:space="0"/>
              <w:right w:val="single" w:color="auto" w:sz="4" w:space="0"/>
            </w:tcBorders>
            <w:noWrap w:val="0"/>
            <w:vAlign w:val="center"/>
          </w:tcPr>
          <w:p w14:paraId="72E9954F">
            <w:pPr>
              <w:keepNext w:val="0"/>
              <w:keepLines w:val="0"/>
              <w:pageBreakBefore w:val="0"/>
              <w:widowControl w:val="0"/>
              <w:numPr>
                <w:ilvl w:val="0"/>
                <w:numId w:val="12"/>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根据供应商是否建立企业巡查机制，是否建立档案管理制度，制度是否完善进行评议。</w:t>
            </w:r>
          </w:p>
          <w:p w14:paraId="4DDF81D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①企业巡查机制</w:t>
            </w:r>
            <w:r>
              <w:rPr>
                <w:rFonts w:hint="eastAsia" w:ascii="宋体" w:hAnsi="宋体" w:eastAsia="宋体" w:cs="宋体"/>
                <w:bCs/>
                <w:color w:val="auto"/>
                <w:sz w:val="24"/>
                <w:szCs w:val="24"/>
                <w:highlight w:val="none"/>
                <w:lang w:val="en-US" w:eastAsia="zh-CN" w:bidi="ar"/>
              </w:rPr>
              <w:t>完备</w:t>
            </w:r>
            <w:r>
              <w:rPr>
                <w:rFonts w:hint="eastAsia" w:ascii="宋体" w:hAnsi="宋体" w:eastAsia="宋体" w:cs="宋体"/>
                <w:bCs/>
                <w:color w:val="auto"/>
                <w:sz w:val="24"/>
                <w:szCs w:val="24"/>
                <w:highlight w:val="none"/>
                <w:lang w:bidi="ar"/>
              </w:rPr>
              <w:t>，档案管理制度</w:t>
            </w:r>
            <w:r>
              <w:rPr>
                <w:rFonts w:hint="eastAsia" w:ascii="宋体" w:hAnsi="宋体" w:eastAsia="宋体" w:cs="宋体"/>
                <w:bCs/>
                <w:color w:val="auto"/>
                <w:sz w:val="24"/>
                <w:szCs w:val="24"/>
                <w:highlight w:val="none"/>
                <w:lang w:val="en-US" w:eastAsia="zh-CN" w:bidi="ar"/>
              </w:rPr>
              <w:t>完善</w:t>
            </w:r>
            <w:r>
              <w:rPr>
                <w:rFonts w:hint="eastAsia" w:ascii="宋体" w:hAnsi="宋体" w:eastAsia="宋体" w:cs="宋体"/>
                <w:bCs/>
                <w:color w:val="auto"/>
                <w:sz w:val="24"/>
                <w:szCs w:val="24"/>
                <w:highlight w:val="none"/>
                <w:lang w:bidi="ar"/>
              </w:rPr>
              <w:t>，制度</w:t>
            </w:r>
            <w:r>
              <w:rPr>
                <w:rFonts w:hint="eastAsia" w:ascii="宋体" w:hAnsi="宋体" w:eastAsia="宋体" w:cs="宋体"/>
                <w:bCs/>
                <w:color w:val="auto"/>
                <w:sz w:val="24"/>
                <w:szCs w:val="24"/>
                <w:highlight w:val="none"/>
                <w:lang w:val="en-US" w:eastAsia="zh-CN" w:bidi="ar"/>
              </w:rPr>
              <w:t>科学合理</w:t>
            </w:r>
            <w:r>
              <w:rPr>
                <w:rFonts w:hint="eastAsia" w:ascii="宋体" w:hAnsi="宋体" w:eastAsia="宋体" w:cs="宋体"/>
                <w:bCs/>
                <w:color w:val="auto"/>
                <w:sz w:val="24"/>
                <w:szCs w:val="24"/>
                <w:highlight w:val="none"/>
                <w:lang w:bidi="ar"/>
              </w:rPr>
              <w:t>的得</w:t>
            </w:r>
            <w:r>
              <w:rPr>
                <w:rFonts w:hint="eastAsia" w:ascii="宋体" w:hAnsi="宋体" w:cs="宋体"/>
                <w:bCs/>
                <w:color w:val="auto"/>
                <w:sz w:val="24"/>
                <w:szCs w:val="24"/>
                <w:highlight w:val="none"/>
                <w:lang w:val="en-US" w:eastAsia="zh-CN" w:bidi="ar"/>
              </w:rPr>
              <w:t>3</w:t>
            </w:r>
            <w:r>
              <w:rPr>
                <w:rFonts w:hint="eastAsia" w:ascii="宋体" w:hAnsi="宋体" w:eastAsia="宋体" w:cs="宋体"/>
                <w:bCs/>
                <w:color w:val="auto"/>
                <w:sz w:val="24"/>
                <w:szCs w:val="24"/>
                <w:highlight w:val="none"/>
                <w:lang w:bidi="ar"/>
              </w:rPr>
              <w:t>分；</w:t>
            </w:r>
          </w:p>
          <w:p w14:paraId="10E3C7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②企业巡查机制</w:t>
            </w:r>
            <w:r>
              <w:rPr>
                <w:rFonts w:hint="eastAsia" w:ascii="宋体" w:hAnsi="宋体" w:eastAsia="宋体" w:cs="宋体"/>
                <w:bCs/>
                <w:color w:val="auto"/>
                <w:sz w:val="24"/>
                <w:szCs w:val="24"/>
                <w:highlight w:val="none"/>
                <w:lang w:val="en-US" w:eastAsia="zh-CN" w:bidi="ar"/>
              </w:rPr>
              <w:t>较</w:t>
            </w:r>
            <w:r>
              <w:rPr>
                <w:rFonts w:hint="eastAsia" w:ascii="宋体" w:hAnsi="宋体" w:eastAsia="宋体" w:cs="宋体"/>
                <w:bCs/>
                <w:color w:val="auto"/>
                <w:sz w:val="24"/>
                <w:szCs w:val="24"/>
                <w:highlight w:val="none"/>
                <w:lang w:bidi="ar"/>
              </w:rPr>
              <w:t>完备，档案管理制度较完善，制度较科学合理的得</w:t>
            </w:r>
            <w:r>
              <w:rPr>
                <w:rFonts w:hint="eastAsia" w:ascii="宋体" w:hAnsi="宋体" w:cs="宋体"/>
                <w:bCs/>
                <w:color w:val="auto"/>
                <w:sz w:val="24"/>
                <w:szCs w:val="24"/>
                <w:highlight w:val="none"/>
                <w:lang w:val="en-US" w:eastAsia="zh-CN" w:bidi="ar"/>
              </w:rPr>
              <w:t>2</w:t>
            </w:r>
            <w:r>
              <w:rPr>
                <w:rFonts w:hint="eastAsia" w:ascii="宋体" w:hAnsi="宋体" w:eastAsia="宋体" w:cs="宋体"/>
                <w:bCs/>
                <w:color w:val="auto"/>
                <w:sz w:val="24"/>
                <w:szCs w:val="24"/>
                <w:highlight w:val="none"/>
                <w:lang w:bidi="ar"/>
              </w:rPr>
              <w:t>分；</w:t>
            </w:r>
          </w:p>
          <w:p w14:paraId="54C804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③企业巡查机制</w:t>
            </w:r>
            <w:r>
              <w:rPr>
                <w:rFonts w:hint="eastAsia" w:ascii="宋体" w:hAnsi="宋体" w:eastAsia="宋体" w:cs="宋体"/>
                <w:bCs/>
                <w:color w:val="auto"/>
                <w:sz w:val="24"/>
                <w:szCs w:val="24"/>
                <w:highlight w:val="none"/>
                <w:lang w:val="en-US" w:eastAsia="zh-CN" w:bidi="ar"/>
              </w:rPr>
              <w:t>不够完备</w:t>
            </w:r>
            <w:r>
              <w:rPr>
                <w:rFonts w:hint="eastAsia" w:ascii="宋体" w:hAnsi="宋体" w:eastAsia="宋体" w:cs="宋体"/>
                <w:bCs/>
                <w:color w:val="auto"/>
                <w:sz w:val="24"/>
                <w:szCs w:val="24"/>
                <w:highlight w:val="none"/>
                <w:lang w:bidi="ar"/>
              </w:rPr>
              <w:t>，档案管理制度不够完备，制度</w:t>
            </w:r>
            <w:r>
              <w:rPr>
                <w:rFonts w:hint="eastAsia" w:ascii="宋体" w:hAnsi="宋体" w:eastAsia="宋体" w:cs="宋体"/>
                <w:bCs/>
                <w:color w:val="auto"/>
                <w:sz w:val="24"/>
                <w:szCs w:val="24"/>
                <w:highlight w:val="none"/>
                <w:lang w:val="en-US" w:eastAsia="zh-CN" w:bidi="ar"/>
              </w:rPr>
              <w:t>一般</w:t>
            </w:r>
            <w:r>
              <w:rPr>
                <w:rFonts w:hint="eastAsia" w:ascii="宋体" w:hAnsi="宋体" w:eastAsia="宋体" w:cs="宋体"/>
                <w:bCs/>
                <w:color w:val="auto"/>
                <w:sz w:val="24"/>
                <w:szCs w:val="24"/>
                <w:highlight w:val="none"/>
                <w:lang w:bidi="ar"/>
              </w:rPr>
              <w:t>的得</w:t>
            </w:r>
            <w:r>
              <w:rPr>
                <w:rFonts w:hint="eastAsia" w:ascii="宋体" w:hAnsi="宋体" w:eastAsia="宋体" w:cs="宋体"/>
                <w:bCs/>
                <w:color w:val="auto"/>
                <w:sz w:val="24"/>
                <w:szCs w:val="24"/>
                <w:highlight w:val="none"/>
                <w:lang w:val="en-US" w:eastAsia="zh-CN" w:bidi="ar"/>
              </w:rPr>
              <w:t>1</w:t>
            </w:r>
            <w:r>
              <w:rPr>
                <w:rFonts w:hint="eastAsia" w:ascii="宋体" w:hAnsi="宋体" w:eastAsia="宋体" w:cs="宋体"/>
                <w:bCs/>
                <w:color w:val="auto"/>
                <w:sz w:val="24"/>
                <w:szCs w:val="24"/>
                <w:highlight w:val="none"/>
                <w:lang w:bidi="ar"/>
              </w:rPr>
              <w:t>分；</w:t>
            </w:r>
          </w:p>
          <w:p w14:paraId="51D2A4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④未提供相关内容的不得分。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5EF7F4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eastAsia="zh-CN"/>
              </w:rPr>
            </w:pPr>
            <w:r>
              <w:rPr>
                <w:rFonts w:hint="eastAsia" w:ascii="宋体" w:hAnsi="宋体" w:cs="宋体"/>
                <w:bCs/>
                <w:color w:val="auto"/>
                <w:sz w:val="24"/>
                <w:szCs w:val="24"/>
                <w:highlight w:val="none"/>
                <w:lang w:val="en-US" w:eastAsia="zh-CN"/>
              </w:rPr>
              <w:t>3</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04DBD5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主观评审</w:t>
            </w:r>
          </w:p>
        </w:tc>
      </w:tr>
      <w:tr w14:paraId="70A0F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32F10B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5254B2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restart"/>
            <w:tcBorders>
              <w:left w:val="single" w:color="auto" w:sz="4" w:space="0"/>
              <w:right w:val="single" w:color="auto" w:sz="4" w:space="0"/>
            </w:tcBorders>
            <w:noWrap w:val="0"/>
            <w:vAlign w:val="center"/>
          </w:tcPr>
          <w:p w14:paraId="4E2229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3、主要机械设备（</w:t>
            </w:r>
            <w:r>
              <w:rPr>
                <w:rFonts w:hint="eastAsia" w:ascii="宋体" w:hAnsi="宋体" w:cs="宋体"/>
                <w:bCs/>
                <w:color w:val="auto"/>
                <w:sz w:val="24"/>
                <w:szCs w:val="24"/>
                <w:highlight w:val="none"/>
                <w:lang w:val="en-US" w:eastAsia="zh-CN" w:bidi="ar"/>
              </w:rPr>
              <w:t>7</w:t>
            </w:r>
            <w:r>
              <w:rPr>
                <w:rFonts w:hint="eastAsia" w:ascii="宋体" w:hAnsi="宋体" w:eastAsia="宋体" w:cs="宋体"/>
                <w:bCs/>
                <w:color w:val="auto"/>
                <w:sz w:val="24"/>
                <w:szCs w:val="24"/>
                <w:highlight w:val="none"/>
                <w:lang w:bidi="ar"/>
              </w:rPr>
              <w:t>分）</w:t>
            </w:r>
          </w:p>
        </w:tc>
        <w:tc>
          <w:tcPr>
            <w:tcW w:w="10289" w:type="dxa"/>
            <w:gridSpan w:val="3"/>
            <w:tcBorders>
              <w:top w:val="single" w:color="auto" w:sz="4" w:space="0"/>
              <w:left w:val="single" w:color="auto" w:sz="4" w:space="0"/>
              <w:bottom w:val="single" w:color="auto" w:sz="4" w:space="0"/>
              <w:right w:val="single" w:color="auto" w:sz="4" w:space="0"/>
            </w:tcBorders>
            <w:noWrap w:val="0"/>
            <w:vAlign w:val="center"/>
          </w:tcPr>
          <w:p w14:paraId="3B82B8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1）拟投入的各类作业</w:t>
            </w:r>
            <w:r>
              <w:rPr>
                <w:rFonts w:hint="eastAsia" w:ascii="宋体" w:hAnsi="宋体" w:cs="宋体"/>
                <w:color w:val="auto"/>
                <w:sz w:val="24"/>
                <w:szCs w:val="24"/>
                <w:highlight w:val="none"/>
                <w:lang w:val="en-US" w:eastAsia="zh-CN"/>
              </w:rPr>
              <w:t>机械</w:t>
            </w:r>
            <w:r>
              <w:rPr>
                <w:rFonts w:hint="eastAsia" w:ascii="宋体" w:hAnsi="宋体" w:eastAsia="宋体" w:cs="宋体"/>
                <w:color w:val="auto"/>
                <w:sz w:val="24"/>
                <w:szCs w:val="24"/>
                <w:highlight w:val="none"/>
              </w:rPr>
              <w:t>、设备的先进程度、数量等情况：评委根据供应商拟投入新能源养护（包括绿化、保洁）作业机械设备的</w:t>
            </w:r>
            <w:r>
              <w:rPr>
                <w:rFonts w:hint="eastAsia" w:ascii="宋体" w:hAnsi="宋体" w:eastAsia="宋体" w:cs="宋体"/>
                <w:color w:val="auto"/>
                <w:sz w:val="24"/>
                <w:szCs w:val="24"/>
                <w:highlight w:val="none"/>
                <w:lang w:val="en-US" w:eastAsia="zh-CN"/>
              </w:rPr>
              <w:t>配备情况</w:t>
            </w:r>
            <w:r>
              <w:rPr>
                <w:rFonts w:hint="eastAsia" w:ascii="宋体" w:hAnsi="宋体" w:eastAsia="宋体" w:cs="宋体"/>
                <w:color w:val="auto"/>
                <w:sz w:val="24"/>
                <w:szCs w:val="24"/>
                <w:highlight w:val="none"/>
              </w:rPr>
              <w:t>，以及是否满足项目需求等进行评议</w:t>
            </w:r>
            <w:r>
              <w:rPr>
                <w:rFonts w:hint="eastAsia" w:ascii="宋体" w:hAnsi="宋体" w:eastAsia="宋体" w:cs="宋体"/>
                <w:color w:val="auto"/>
                <w:sz w:val="24"/>
                <w:szCs w:val="24"/>
                <w:highlight w:val="none"/>
                <w:lang w:eastAsia="zh-CN"/>
              </w:rPr>
              <w:t>：</w:t>
            </w:r>
          </w:p>
          <w:p w14:paraId="2E8096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①</w:t>
            </w:r>
            <w:r>
              <w:rPr>
                <w:rFonts w:hint="eastAsia" w:ascii="宋体" w:hAnsi="宋体" w:eastAsia="宋体" w:cs="宋体"/>
                <w:color w:val="auto"/>
                <w:sz w:val="24"/>
                <w:szCs w:val="24"/>
                <w:highlight w:val="none"/>
                <w:lang w:val="en-US" w:eastAsia="zh-CN"/>
              </w:rPr>
              <w:t>完全满足项目需求，设备先进数量充足，且有投入新能源养护作业机械设备</w:t>
            </w:r>
            <w:r>
              <w:rPr>
                <w:rFonts w:hint="eastAsia" w:ascii="宋体" w:hAnsi="宋体" w:eastAsia="宋体" w:cs="宋体"/>
                <w:color w:val="auto"/>
                <w:sz w:val="24"/>
                <w:szCs w:val="24"/>
                <w:highlight w:val="none"/>
                <w:lang w:eastAsia="zh-CN"/>
              </w:rPr>
              <w:t>的得</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分；</w:t>
            </w:r>
          </w:p>
          <w:p w14:paraId="08CD74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②完全满足项目需求，设备</w:t>
            </w:r>
            <w:r>
              <w:rPr>
                <w:rFonts w:hint="eastAsia" w:ascii="宋体" w:hAnsi="宋体" w:eastAsia="宋体" w:cs="宋体"/>
                <w:color w:val="auto"/>
                <w:sz w:val="24"/>
                <w:szCs w:val="24"/>
                <w:highlight w:val="none"/>
                <w:lang w:val="en-US" w:eastAsia="zh-CN"/>
              </w:rPr>
              <w:t>较</w:t>
            </w:r>
            <w:r>
              <w:rPr>
                <w:rFonts w:hint="eastAsia" w:ascii="宋体" w:hAnsi="宋体" w:eastAsia="宋体" w:cs="宋体"/>
                <w:color w:val="auto"/>
                <w:sz w:val="24"/>
                <w:szCs w:val="24"/>
                <w:highlight w:val="none"/>
                <w:lang w:eastAsia="zh-CN"/>
              </w:rPr>
              <w:t>先进，</w:t>
            </w:r>
            <w:r>
              <w:rPr>
                <w:rFonts w:hint="eastAsia" w:ascii="宋体" w:hAnsi="宋体" w:eastAsia="宋体" w:cs="宋体"/>
                <w:color w:val="auto"/>
                <w:sz w:val="24"/>
                <w:szCs w:val="24"/>
                <w:highlight w:val="none"/>
                <w:lang w:val="en-US" w:eastAsia="zh-CN"/>
              </w:rPr>
              <w:t>数量基本完备</w:t>
            </w:r>
            <w:r>
              <w:rPr>
                <w:rFonts w:hint="eastAsia" w:ascii="宋体" w:hAnsi="宋体" w:eastAsia="宋体" w:cs="宋体"/>
                <w:color w:val="auto"/>
                <w:sz w:val="24"/>
                <w:szCs w:val="24"/>
                <w:highlight w:val="none"/>
                <w:lang w:eastAsia="zh-CN"/>
              </w:rPr>
              <w:t>，且有投入新能源养护作业机械设备的得</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分；</w:t>
            </w:r>
          </w:p>
          <w:p w14:paraId="4FF81D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③完全满足项目需求，设备较</w:t>
            </w:r>
            <w:r>
              <w:rPr>
                <w:rFonts w:hint="eastAsia" w:ascii="宋体" w:hAnsi="宋体" w:eastAsia="宋体" w:cs="宋体"/>
                <w:color w:val="auto"/>
                <w:sz w:val="24"/>
                <w:szCs w:val="24"/>
                <w:highlight w:val="none"/>
                <w:lang w:val="en-US" w:eastAsia="zh-CN"/>
              </w:rPr>
              <w:t>老旧</w:t>
            </w:r>
            <w:r>
              <w:rPr>
                <w:rFonts w:hint="eastAsia" w:ascii="宋体" w:hAnsi="宋体" w:eastAsia="宋体" w:cs="宋体"/>
                <w:color w:val="auto"/>
                <w:sz w:val="24"/>
                <w:szCs w:val="24"/>
                <w:highlight w:val="none"/>
                <w:lang w:eastAsia="zh-CN"/>
              </w:rPr>
              <w:t>，数量基本完备，</w:t>
            </w:r>
            <w:r>
              <w:rPr>
                <w:rFonts w:hint="eastAsia" w:ascii="宋体" w:hAnsi="宋体" w:eastAsia="宋体" w:cs="宋体"/>
                <w:color w:val="auto"/>
                <w:sz w:val="24"/>
                <w:szCs w:val="24"/>
                <w:highlight w:val="none"/>
                <w:lang w:val="en-US" w:eastAsia="zh-CN"/>
              </w:rPr>
              <w:t>没有</w:t>
            </w:r>
            <w:r>
              <w:rPr>
                <w:rFonts w:hint="eastAsia" w:ascii="宋体" w:hAnsi="宋体" w:eastAsia="宋体" w:cs="宋体"/>
                <w:color w:val="auto"/>
                <w:sz w:val="24"/>
                <w:szCs w:val="24"/>
                <w:highlight w:val="none"/>
                <w:lang w:eastAsia="zh-CN"/>
              </w:rPr>
              <w:t>投入新能源养护作业机械设备的得</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分；</w:t>
            </w:r>
          </w:p>
          <w:p w14:paraId="1AF83D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④</w:t>
            </w:r>
            <w:r>
              <w:rPr>
                <w:rFonts w:hint="eastAsia" w:ascii="宋体" w:hAnsi="宋体" w:eastAsia="宋体" w:cs="宋体"/>
                <w:color w:val="auto"/>
                <w:sz w:val="24"/>
                <w:szCs w:val="24"/>
                <w:highlight w:val="none"/>
                <w:lang w:val="en-US" w:eastAsia="zh-CN"/>
              </w:rPr>
              <w:t>基本</w:t>
            </w:r>
            <w:r>
              <w:rPr>
                <w:rFonts w:hint="eastAsia" w:ascii="宋体" w:hAnsi="宋体" w:eastAsia="宋体" w:cs="宋体"/>
                <w:color w:val="auto"/>
                <w:sz w:val="24"/>
                <w:szCs w:val="24"/>
                <w:highlight w:val="none"/>
                <w:lang w:eastAsia="zh-CN"/>
              </w:rPr>
              <w:t>满足项目需求，设备老旧，</w:t>
            </w:r>
            <w:r>
              <w:rPr>
                <w:rFonts w:hint="eastAsia" w:ascii="宋体" w:hAnsi="宋体" w:eastAsia="宋体" w:cs="宋体"/>
                <w:color w:val="auto"/>
                <w:sz w:val="24"/>
                <w:szCs w:val="24"/>
                <w:highlight w:val="none"/>
                <w:lang w:val="en-US" w:eastAsia="zh-CN"/>
              </w:rPr>
              <w:t>数量较少，</w:t>
            </w:r>
            <w:r>
              <w:rPr>
                <w:rFonts w:hint="eastAsia" w:ascii="宋体" w:hAnsi="宋体" w:eastAsia="宋体" w:cs="宋体"/>
                <w:color w:val="auto"/>
                <w:sz w:val="24"/>
                <w:szCs w:val="24"/>
                <w:highlight w:val="none"/>
                <w:lang w:eastAsia="zh-CN"/>
              </w:rPr>
              <w:t>没有投入新能源养护作业机械设备的得</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分；</w:t>
            </w:r>
          </w:p>
          <w:p w14:paraId="1E8BED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⑤未提供相关内容的不得分。</w:t>
            </w:r>
          </w:p>
          <w:p w14:paraId="1CD7C0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如为自有，投标文件中提供上述机械设备的45°照片、购置发票</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如为车辆的，还需提供行驶证复印件</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加盖公章（要求发票抬头、行驶证所有人与营业执照名称保持一致）；如为租赁，除上述资料外，投标文件中还须提供租赁合同复印件。</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393CE3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4CDE06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主观评审</w:t>
            </w:r>
          </w:p>
        </w:tc>
      </w:tr>
      <w:tr w14:paraId="7D2D0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733D8B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196682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282A98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0289" w:type="dxa"/>
            <w:gridSpan w:val="3"/>
            <w:tcBorders>
              <w:top w:val="single" w:color="auto" w:sz="4" w:space="0"/>
              <w:left w:val="single" w:color="auto" w:sz="4" w:space="0"/>
              <w:bottom w:val="single" w:color="auto" w:sz="4" w:space="0"/>
              <w:right w:val="single" w:color="auto" w:sz="4" w:space="0"/>
            </w:tcBorders>
            <w:noWrap w:val="0"/>
            <w:vAlign w:val="center"/>
          </w:tcPr>
          <w:p w14:paraId="704BA74E">
            <w:pPr>
              <w:keepNext w:val="0"/>
              <w:keepLines w:val="0"/>
              <w:pageBreakBefore w:val="0"/>
              <w:widowControl w:val="0"/>
              <w:numPr>
                <w:ilvl w:val="0"/>
                <w:numId w:val="13"/>
              </w:numPr>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作业机械、设备的运行维护管理：</w:t>
            </w:r>
          </w:p>
          <w:p w14:paraId="56EB8F8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①方案内容清晰、管理计划可行的得</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分；</w:t>
            </w:r>
          </w:p>
          <w:p w14:paraId="0FB832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②方案内容较清晰、管理计划较可行的得</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分；</w:t>
            </w:r>
          </w:p>
          <w:p w14:paraId="1413CF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③方案内容清晰度一般、管理计划可行性一般的得</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分；</w:t>
            </w:r>
          </w:p>
          <w:p w14:paraId="0F55F9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④方案内容欠清晰、管理计划欠可行的得1分；</w:t>
            </w:r>
          </w:p>
          <w:p w14:paraId="2CB78A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⑤未提供相关内容的不得分。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1E0A20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645BB5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主观评审</w:t>
            </w:r>
          </w:p>
        </w:tc>
      </w:tr>
      <w:tr w14:paraId="53801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4D52F7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rPr>
            </w:pPr>
          </w:p>
        </w:tc>
        <w:tc>
          <w:tcPr>
            <w:tcW w:w="1628" w:type="dxa"/>
            <w:tcBorders>
              <w:left w:val="single" w:color="auto" w:sz="4" w:space="0"/>
              <w:right w:val="single" w:color="auto" w:sz="4" w:space="0"/>
            </w:tcBorders>
            <w:noWrap w:val="0"/>
            <w:vAlign w:val="center"/>
          </w:tcPr>
          <w:p w14:paraId="484F52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lang w:bidi="ar"/>
              </w:rPr>
              <w:t>（二）供应商业绩（</w:t>
            </w:r>
            <w:r>
              <w:rPr>
                <w:rFonts w:hint="eastAsia" w:ascii="宋体" w:hAnsi="宋体" w:eastAsia="宋体" w:cs="宋体"/>
                <w:bCs/>
                <w:color w:val="auto"/>
                <w:sz w:val="24"/>
                <w:szCs w:val="24"/>
                <w:highlight w:val="none"/>
                <w:lang w:val="en-US" w:eastAsia="zh-CN" w:bidi="ar"/>
              </w:rPr>
              <w:t>1.5</w:t>
            </w:r>
            <w:r>
              <w:rPr>
                <w:rFonts w:hint="eastAsia" w:ascii="宋体" w:hAnsi="宋体" w:eastAsia="宋体" w:cs="宋体"/>
                <w:bCs/>
                <w:color w:val="auto"/>
                <w:sz w:val="24"/>
                <w:szCs w:val="24"/>
                <w:highlight w:val="none"/>
                <w:lang w:bidi="ar"/>
              </w:rPr>
              <w:t>分）</w:t>
            </w:r>
          </w:p>
        </w:tc>
        <w:tc>
          <w:tcPr>
            <w:tcW w:w="11547" w:type="dxa"/>
            <w:gridSpan w:val="4"/>
            <w:tcBorders>
              <w:top w:val="single" w:color="auto" w:sz="4" w:space="0"/>
              <w:left w:val="single" w:color="auto" w:sz="4" w:space="0"/>
              <w:bottom w:val="single" w:color="auto" w:sz="4" w:space="0"/>
              <w:right w:val="single" w:color="auto" w:sz="4" w:space="0"/>
            </w:tcBorders>
            <w:noWrap w:val="0"/>
            <w:vAlign w:val="center"/>
          </w:tcPr>
          <w:p w14:paraId="17B561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自20</w:t>
            </w:r>
            <w:r>
              <w:rPr>
                <w:rFonts w:hint="eastAsia" w:ascii="宋体" w:hAnsi="宋体" w:cs="宋体"/>
                <w:bCs/>
                <w:color w:val="auto"/>
                <w:sz w:val="24"/>
                <w:szCs w:val="24"/>
                <w:highlight w:val="none"/>
                <w:lang w:val="en-US" w:eastAsia="zh-CN" w:bidi="ar"/>
              </w:rPr>
              <w:t>19</w:t>
            </w:r>
            <w:r>
              <w:rPr>
                <w:rFonts w:hint="eastAsia" w:ascii="宋体" w:hAnsi="宋体" w:eastAsia="宋体" w:cs="宋体"/>
                <w:bCs/>
                <w:color w:val="auto"/>
                <w:sz w:val="24"/>
                <w:szCs w:val="24"/>
                <w:highlight w:val="none"/>
                <w:lang w:bidi="ar"/>
              </w:rPr>
              <w:t>年1月1日至今，根据供应商承接过的</w:t>
            </w:r>
            <w:r>
              <w:rPr>
                <w:rFonts w:hint="eastAsia" w:ascii="宋体" w:hAnsi="宋体" w:eastAsia="宋体" w:cs="宋体"/>
                <w:bCs/>
                <w:color w:val="auto"/>
                <w:sz w:val="24"/>
                <w:szCs w:val="24"/>
                <w:highlight w:val="none"/>
                <w:lang w:val="en-US" w:eastAsia="zh-CN" w:bidi="ar"/>
              </w:rPr>
              <w:t>类似</w:t>
            </w:r>
            <w:r>
              <w:rPr>
                <w:rFonts w:hint="eastAsia" w:ascii="宋体" w:hAnsi="宋体" w:eastAsia="宋体" w:cs="宋体"/>
                <w:bCs/>
                <w:color w:val="auto"/>
                <w:sz w:val="24"/>
                <w:szCs w:val="24"/>
                <w:highlight w:val="none"/>
                <w:lang w:bidi="ar"/>
              </w:rPr>
              <w:t>项目的</w:t>
            </w:r>
            <w:r>
              <w:rPr>
                <w:rFonts w:hint="eastAsia" w:ascii="宋体" w:hAnsi="宋体" w:eastAsia="宋体" w:cs="宋体"/>
                <w:bCs/>
                <w:color w:val="auto"/>
                <w:sz w:val="24"/>
                <w:szCs w:val="24"/>
                <w:highlight w:val="none"/>
                <w:lang w:val="en-US" w:eastAsia="zh-CN" w:bidi="ar"/>
              </w:rPr>
              <w:t>每有一份得0.5分，满分1.5分</w:t>
            </w:r>
            <w:r>
              <w:rPr>
                <w:rFonts w:hint="eastAsia" w:ascii="宋体" w:hAnsi="宋体" w:eastAsia="宋体" w:cs="宋体"/>
                <w:bCs/>
                <w:color w:val="auto"/>
                <w:sz w:val="24"/>
                <w:szCs w:val="24"/>
                <w:highlight w:val="none"/>
                <w:lang w:bidi="ar"/>
              </w:rPr>
              <w:t>。</w:t>
            </w:r>
          </w:p>
          <w:p w14:paraId="2B541C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lang w:bidi="ar"/>
              </w:rPr>
              <w:t>注：1.时间以合同签订时间为准；2.投标文件中提供完整加盖公章的合同</w:t>
            </w:r>
            <w:r>
              <w:rPr>
                <w:rFonts w:hint="eastAsia" w:ascii="宋体" w:hAnsi="宋体" w:eastAsia="宋体" w:cs="宋体"/>
                <w:color w:val="auto"/>
                <w:sz w:val="24"/>
                <w:szCs w:val="24"/>
                <w:highlight w:val="none"/>
              </w:rPr>
              <w:t>复印件</w:t>
            </w:r>
            <w:r>
              <w:rPr>
                <w:rFonts w:hint="eastAsia" w:ascii="宋体" w:hAnsi="宋体" w:eastAsia="宋体" w:cs="宋体"/>
                <w:bCs/>
                <w:color w:val="auto"/>
                <w:sz w:val="24"/>
                <w:szCs w:val="24"/>
                <w:highlight w:val="none"/>
                <w:lang w:bidi="ar"/>
              </w:rPr>
              <w:t>、中标通知书复印件。3.同一个项目的续签合同按一个业绩计算。</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42F2E7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bidi="ar"/>
              </w:rPr>
              <w:t>1.5</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1A7BBE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客观评审</w:t>
            </w:r>
          </w:p>
        </w:tc>
      </w:tr>
      <w:tr w14:paraId="3271E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tcBorders>
              <w:top w:val="single" w:color="auto" w:sz="4" w:space="0"/>
              <w:left w:val="single" w:color="auto" w:sz="4" w:space="0"/>
              <w:right w:val="single" w:color="auto" w:sz="4" w:space="0"/>
            </w:tcBorders>
            <w:noWrap w:val="0"/>
            <w:vAlign w:val="center"/>
          </w:tcPr>
          <w:p w14:paraId="51AA0D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报价分</w:t>
            </w:r>
          </w:p>
          <w:p w14:paraId="01FF9C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（15分）</w:t>
            </w:r>
          </w:p>
        </w:tc>
        <w:tc>
          <w:tcPr>
            <w:tcW w:w="13175" w:type="dxa"/>
            <w:gridSpan w:val="5"/>
            <w:tcBorders>
              <w:top w:val="single" w:color="auto" w:sz="4" w:space="0"/>
              <w:left w:val="single" w:color="auto" w:sz="4" w:space="0"/>
              <w:bottom w:val="single" w:color="auto" w:sz="4" w:space="0"/>
              <w:right w:val="single" w:color="auto" w:sz="4" w:space="0"/>
            </w:tcBorders>
            <w:noWrap w:val="0"/>
            <w:vAlign w:val="center"/>
          </w:tcPr>
          <w:p w14:paraId="0FFC8D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评标价＝1-投标下浮率</w:t>
            </w:r>
          </w:p>
          <w:p w14:paraId="140AF6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参与评审的价格=评标价</w:t>
            </w:r>
          </w:p>
          <w:p w14:paraId="477852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评标基准价：有效标中最低的参与评审的价格为评标基准价。</w:t>
            </w:r>
          </w:p>
          <w:p w14:paraId="3B45BD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评标基准价得满分</w:t>
            </w:r>
            <w:r>
              <w:rPr>
                <w:rFonts w:hint="eastAsia" w:ascii="宋体" w:hAnsi="宋体" w:cs="宋体"/>
                <w:bCs/>
                <w:color w:val="auto"/>
                <w:sz w:val="24"/>
                <w:szCs w:val="24"/>
                <w:highlight w:val="none"/>
                <w:lang w:val="en-US" w:eastAsia="zh-CN"/>
              </w:rPr>
              <w:t>1</w:t>
            </w:r>
            <w:r>
              <w:rPr>
                <w:rFonts w:hint="eastAsia" w:ascii="宋体" w:hAnsi="宋体" w:eastAsia="宋体" w:cs="宋体"/>
                <w:bCs/>
                <w:color w:val="auto"/>
                <w:sz w:val="24"/>
                <w:szCs w:val="24"/>
                <w:highlight w:val="none"/>
              </w:rPr>
              <w:t>5分，其他投标报价得分计算如下：</w:t>
            </w:r>
          </w:p>
          <w:p w14:paraId="42B4D4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投标报价得分=（评标基准价/参与评审的价格）×</w:t>
            </w:r>
            <w:r>
              <w:rPr>
                <w:rFonts w:hint="eastAsia" w:ascii="宋体" w:hAnsi="宋体" w:cs="宋体"/>
                <w:bCs/>
                <w:color w:val="auto"/>
                <w:sz w:val="24"/>
                <w:szCs w:val="24"/>
                <w:highlight w:val="none"/>
                <w:lang w:val="en-US" w:eastAsia="zh-CN"/>
              </w:rPr>
              <w:t>1</w:t>
            </w:r>
            <w:r>
              <w:rPr>
                <w:rFonts w:hint="eastAsia" w:ascii="宋体" w:hAnsi="宋体" w:eastAsia="宋体" w:cs="宋体"/>
                <w:bCs/>
                <w:color w:val="auto"/>
                <w:sz w:val="24"/>
                <w:szCs w:val="24"/>
                <w:highlight w:val="none"/>
              </w:rPr>
              <w:t>5%×100</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62F05F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bidi="ar"/>
              </w:rPr>
              <w:t>1</w:t>
            </w:r>
            <w:r>
              <w:rPr>
                <w:rFonts w:hint="eastAsia" w:ascii="宋体" w:hAnsi="宋体" w:cs="宋体"/>
                <w:bCs/>
                <w:color w:val="auto"/>
                <w:sz w:val="24"/>
                <w:szCs w:val="24"/>
                <w:highlight w:val="none"/>
                <w:lang w:val="en-US" w:eastAsia="zh-CN" w:bidi="ar"/>
              </w:rPr>
              <w:t>5</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4728EE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客观评审</w:t>
            </w:r>
          </w:p>
        </w:tc>
      </w:tr>
      <w:tr w14:paraId="2500B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4325" w:type="dxa"/>
            <w:gridSpan w:val="6"/>
            <w:tcBorders>
              <w:top w:val="single" w:color="auto" w:sz="4" w:space="0"/>
              <w:left w:val="single" w:color="auto" w:sz="4" w:space="0"/>
              <w:bottom w:val="single" w:color="auto" w:sz="4" w:space="0"/>
              <w:right w:val="single" w:color="auto" w:sz="4" w:space="0"/>
            </w:tcBorders>
            <w:noWrap w:val="0"/>
            <w:vAlign w:val="center"/>
          </w:tcPr>
          <w:p w14:paraId="766F53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总分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65345E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100</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16D6D2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r>
    </w:tbl>
    <w:p w14:paraId="356F916F">
      <w:pPr>
        <w:snapToGrid w:val="0"/>
        <w:spacing w:line="360" w:lineRule="auto"/>
        <w:rPr>
          <w:rFonts w:hint="eastAsia" w:ascii="宋体" w:hAnsi="宋体" w:cs="宋体"/>
          <w:b/>
          <w:color w:val="auto"/>
          <w:sz w:val="24"/>
          <w:highlight w:val="none"/>
        </w:rPr>
        <w:sectPr>
          <w:pgSz w:w="16840" w:h="11907" w:orient="landscape"/>
          <w:pgMar w:top="1814" w:right="1474" w:bottom="1814" w:left="1474" w:header="851" w:footer="851" w:gutter="0"/>
          <w:pgBorders>
            <w:top w:val="none" w:sz="0" w:space="0"/>
            <w:left w:val="none" w:sz="0" w:space="0"/>
            <w:bottom w:val="none" w:sz="0" w:space="0"/>
            <w:right w:val="none" w:sz="0" w:space="0"/>
          </w:pgBorders>
          <w:pgNumType w:fmt="decimal"/>
          <w:cols w:space="720" w:num="1"/>
        </w:sectPr>
      </w:pPr>
    </w:p>
    <w:p w14:paraId="13C9AEB9">
      <w:pPr>
        <w:snapToGrid w:val="0"/>
        <w:spacing w:line="360" w:lineRule="auto"/>
        <w:jc w:val="center"/>
        <w:outlineLvl w:val="1"/>
        <w:rPr>
          <w:rFonts w:hint="default" w:ascii="宋体" w:hAnsi="宋体" w:cs="宋体"/>
          <w:b/>
          <w:color w:val="auto"/>
          <w:sz w:val="32"/>
          <w:szCs w:val="20"/>
          <w:highlight w:val="none"/>
          <w:lang w:val="en-US" w:eastAsia="zh-CN"/>
        </w:rPr>
      </w:pPr>
      <w:r>
        <w:rPr>
          <w:rFonts w:hint="eastAsia" w:ascii="宋体" w:hAnsi="宋体" w:cs="宋体"/>
          <w:b/>
          <w:color w:val="auto"/>
          <w:sz w:val="32"/>
          <w:szCs w:val="20"/>
          <w:highlight w:val="none"/>
          <w:lang w:val="en-US" w:eastAsia="zh-CN"/>
        </w:rPr>
        <w:t>标项3</w:t>
      </w:r>
    </w:p>
    <w:tbl>
      <w:tblPr>
        <w:tblStyle w:val="62"/>
        <w:tblW w:w="155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628"/>
        <w:gridCol w:w="1258"/>
        <w:gridCol w:w="1492"/>
        <w:gridCol w:w="3152"/>
        <w:gridCol w:w="5645"/>
        <w:gridCol w:w="595"/>
        <w:gridCol w:w="595"/>
      </w:tblGrid>
      <w:tr w14:paraId="2B860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tcBorders>
              <w:top w:val="single" w:color="auto" w:sz="4" w:space="0"/>
              <w:left w:val="single" w:color="auto" w:sz="4" w:space="0"/>
              <w:bottom w:val="single" w:color="auto" w:sz="4" w:space="0"/>
              <w:right w:val="single" w:color="auto" w:sz="4" w:space="0"/>
            </w:tcBorders>
            <w:noWrap w:val="0"/>
            <w:vAlign w:val="center"/>
          </w:tcPr>
          <w:p w14:paraId="440D66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评分项目</w:t>
            </w:r>
          </w:p>
        </w:tc>
        <w:tc>
          <w:tcPr>
            <w:tcW w:w="13175" w:type="dxa"/>
            <w:gridSpan w:val="5"/>
            <w:tcBorders>
              <w:top w:val="single" w:color="auto" w:sz="4" w:space="0"/>
              <w:left w:val="single" w:color="auto" w:sz="4" w:space="0"/>
              <w:bottom w:val="single" w:color="auto" w:sz="4" w:space="0"/>
              <w:right w:val="single" w:color="auto" w:sz="4" w:space="0"/>
            </w:tcBorders>
            <w:noWrap w:val="0"/>
            <w:vAlign w:val="center"/>
          </w:tcPr>
          <w:p w14:paraId="3A2628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评分标准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325E05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分值</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616F00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备注</w:t>
            </w:r>
          </w:p>
        </w:tc>
      </w:tr>
      <w:tr w14:paraId="3E637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restart"/>
            <w:tcBorders>
              <w:top w:val="single" w:color="auto" w:sz="4" w:space="0"/>
              <w:left w:val="single" w:color="auto" w:sz="4" w:space="0"/>
              <w:right w:val="single" w:color="auto" w:sz="4" w:space="0"/>
            </w:tcBorders>
            <w:noWrap w:val="0"/>
            <w:vAlign w:val="center"/>
          </w:tcPr>
          <w:p w14:paraId="0475F4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一、商务技术分（85分）</w:t>
            </w:r>
          </w:p>
        </w:tc>
        <w:tc>
          <w:tcPr>
            <w:tcW w:w="1628" w:type="dxa"/>
            <w:vMerge w:val="restart"/>
            <w:tcBorders>
              <w:top w:val="single" w:color="auto" w:sz="4" w:space="0"/>
              <w:left w:val="single" w:color="auto" w:sz="4" w:space="0"/>
              <w:right w:val="single" w:color="auto" w:sz="4" w:space="0"/>
            </w:tcBorders>
            <w:noWrap w:val="0"/>
            <w:vAlign w:val="center"/>
          </w:tcPr>
          <w:p w14:paraId="1EEBD7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（一）技术服务方案（</w:t>
            </w:r>
            <w:r>
              <w:rPr>
                <w:rFonts w:hint="eastAsia" w:ascii="宋体" w:hAnsi="宋体" w:eastAsia="宋体" w:cs="宋体"/>
                <w:bCs/>
                <w:color w:val="auto"/>
                <w:sz w:val="24"/>
                <w:szCs w:val="24"/>
                <w:highlight w:val="none"/>
                <w:lang w:val="en-US" w:eastAsia="zh-CN" w:bidi="ar"/>
              </w:rPr>
              <w:t>83.5</w:t>
            </w:r>
            <w:r>
              <w:rPr>
                <w:rFonts w:hint="eastAsia" w:ascii="宋体" w:hAnsi="宋体" w:eastAsia="宋体" w:cs="宋体"/>
                <w:bCs/>
                <w:color w:val="auto"/>
                <w:sz w:val="24"/>
                <w:szCs w:val="24"/>
                <w:highlight w:val="none"/>
                <w:lang w:bidi="ar"/>
              </w:rPr>
              <w:t>分）</w:t>
            </w:r>
          </w:p>
        </w:tc>
        <w:tc>
          <w:tcPr>
            <w:tcW w:w="1258" w:type="dxa"/>
            <w:vMerge w:val="restart"/>
            <w:tcBorders>
              <w:top w:val="single" w:color="auto" w:sz="4" w:space="0"/>
              <w:left w:val="single" w:color="auto" w:sz="4" w:space="0"/>
              <w:right w:val="single" w:color="auto" w:sz="4" w:space="0"/>
            </w:tcBorders>
            <w:noWrap w:val="0"/>
            <w:vAlign w:val="center"/>
          </w:tcPr>
          <w:p w14:paraId="4396E2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1、实施管理方案（</w:t>
            </w:r>
            <w:r>
              <w:rPr>
                <w:rFonts w:hint="eastAsia" w:ascii="宋体" w:hAnsi="宋体" w:eastAsia="宋体" w:cs="宋体"/>
                <w:bCs/>
                <w:color w:val="auto"/>
                <w:sz w:val="24"/>
                <w:szCs w:val="24"/>
                <w:highlight w:val="none"/>
                <w:lang w:val="en-US" w:eastAsia="zh-CN" w:bidi="ar"/>
              </w:rPr>
              <w:t>59.5</w:t>
            </w:r>
            <w:r>
              <w:rPr>
                <w:rFonts w:hint="eastAsia" w:ascii="宋体" w:hAnsi="宋体" w:eastAsia="宋体" w:cs="宋体"/>
                <w:bCs/>
                <w:color w:val="auto"/>
                <w:sz w:val="24"/>
                <w:szCs w:val="24"/>
                <w:highlight w:val="none"/>
                <w:lang w:bidi="ar"/>
              </w:rPr>
              <w:t>分）</w:t>
            </w:r>
          </w:p>
          <w:p w14:paraId="587B7D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0289" w:type="dxa"/>
            <w:gridSpan w:val="3"/>
            <w:tcBorders>
              <w:top w:val="single" w:color="auto" w:sz="4" w:space="0"/>
              <w:left w:val="single" w:color="auto" w:sz="4" w:space="0"/>
              <w:bottom w:val="single" w:color="auto" w:sz="4" w:space="0"/>
              <w:right w:val="single" w:color="auto" w:sz="4" w:space="0"/>
            </w:tcBorders>
            <w:noWrap w:val="0"/>
            <w:vAlign w:val="center"/>
          </w:tcPr>
          <w:p w14:paraId="0B0DB076">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月度养护、保洁、治安巡视计划：</w:t>
            </w:r>
          </w:p>
          <w:p w14:paraId="69BB462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①方案内容完全结合公园实际情况，方便实行和监督，管理目标明确清晰，且有针对性措施的得</w:t>
            </w:r>
            <w:r>
              <w:rPr>
                <w:rFonts w:hint="eastAsia" w:ascii="宋体" w:hAnsi="宋体" w:eastAsia="宋体" w:cs="宋体"/>
                <w:bCs/>
                <w:color w:val="auto"/>
                <w:sz w:val="24"/>
                <w:szCs w:val="24"/>
                <w:highlight w:val="none"/>
                <w:lang w:val="en-US" w:eastAsia="zh-CN" w:bidi="ar"/>
              </w:rPr>
              <w:t>4</w:t>
            </w:r>
            <w:r>
              <w:rPr>
                <w:rFonts w:hint="eastAsia" w:ascii="宋体" w:hAnsi="宋体" w:eastAsia="宋体" w:cs="宋体"/>
                <w:bCs/>
                <w:color w:val="auto"/>
                <w:sz w:val="24"/>
                <w:szCs w:val="24"/>
                <w:highlight w:val="none"/>
                <w:lang w:bidi="ar"/>
              </w:rPr>
              <w:t>分；</w:t>
            </w:r>
          </w:p>
          <w:p w14:paraId="17C785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②方案内容</w:t>
            </w:r>
            <w:r>
              <w:rPr>
                <w:rFonts w:hint="eastAsia" w:ascii="宋体" w:hAnsi="宋体" w:eastAsia="宋体" w:cs="宋体"/>
                <w:bCs/>
                <w:color w:val="auto"/>
                <w:sz w:val="24"/>
                <w:szCs w:val="24"/>
                <w:highlight w:val="none"/>
                <w:lang w:val="en-US" w:eastAsia="zh-CN" w:bidi="ar"/>
              </w:rPr>
              <w:t>有</w:t>
            </w:r>
            <w:r>
              <w:rPr>
                <w:rFonts w:hint="eastAsia" w:ascii="宋体" w:hAnsi="宋体" w:eastAsia="宋体" w:cs="宋体"/>
                <w:bCs/>
                <w:color w:val="auto"/>
                <w:sz w:val="24"/>
                <w:szCs w:val="24"/>
                <w:highlight w:val="none"/>
                <w:lang w:bidi="ar"/>
              </w:rPr>
              <w:t>结合公园实际情况，基本符合公园的管理规范要求，管理目标明确清晰，但存在一定缺陷有待改进的得</w:t>
            </w:r>
            <w:r>
              <w:rPr>
                <w:rFonts w:hint="eastAsia" w:ascii="宋体" w:hAnsi="宋体" w:eastAsia="宋体" w:cs="宋体"/>
                <w:bCs/>
                <w:color w:val="auto"/>
                <w:sz w:val="24"/>
                <w:szCs w:val="24"/>
                <w:highlight w:val="none"/>
                <w:lang w:val="en-US" w:eastAsia="zh-CN" w:bidi="ar"/>
              </w:rPr>
              <w:t>3</w:t>
            </w:r>
            <w:r>
              <w:rPr>
                <w:rFonts w:hint="eastAsia" w:ascii="宋体" w:hAnsi="宋体" w:eastAsia="宋体" w:cs="宋体"/>
                <w:bCs/>
                <w:color w:val="auto"/>
                <w:sz w:val="24"/>
                <w:szCs w:val="24"/>
                <w:highlight w:val="none"/>
                <w:lang w:bidi="ar"/>
              </w:rPr>
              <w:t>分；</w:t>
            </w:r>
          </w:p>
          <w:p w14:paraId="6C6BE1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③方案内容基本符合实际需求，对公园管理要求理解不透彻，未针对性提出管理措施的得</w:t>
            </w:r>
            <w:r>
              <w:rPr>
                <w:rFonts w:hint="eastAsia" w:ascii="宋体" w:hAnsi="宋体" w:eastAsia="宋体" w:cs="宋体"/>
                <w:bCs/>
                <w:color w:val="auto"/>
                <w:sz w:val="24"/>
                <w:szCs w:val="24"/>
                <w:highlight w:val="none"/>
                <w:lang w:val="en-US" w:eastAsia="zh-CN" w:bidi="ar"/>
              </w:rPr>
              <w:t>2</w:t>
            </w:r>
            <w:r>
              <w:rPr>
                <w:rFonts w:hint="eastAsia" w:ascii="宋体" w:hAnsi="宋体" w:eastAsia="宋体" w:cs="宋体"/>
                <w:bCs/>
                <w:color w:val="auto"/>
                <w:sz w:val="24"/>
                <w:szCs w:val="24"/>
                <w:highlight w:val="none"/>
                <w:lang w:bidi="ar"/>
              </w:rPr>
              <w:t>分；</w:t>
            </w:r>
          </w:p>
          <w:p w14:paraId="4364D8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④方案内容不完整，内容分析不充分，与本项目实际需求有差距的得</w:t>
            </w:r>
            <w:r>
              <w:rPr>
                <w:rFonts w:hint="eastAsia" w:ascii="宋体" w:hAnsi="宋体" w:eastAsia="宋体" w:cs="宋体"/>
                <w:bCs/>
                <w:color w:val="auto"/>
                <w:sz w:val="24"/>
                <w:szCs w:val="24"/>
                <w:highlight w:val="none"/>
                <w:lang w:val="en-US" w:eastAsia="zh-CN" w:bidi="ar"/>
              </w:rPr>
              <w:t>1</w:t>
            </w:r>
            <w:r>
              <w:rPr>
                <w:rFonts w:hint="eastAsia" w:ascii="宋体" w:hAnsi="宋体" w:eastAsia="宋体" w:cs="宋体"/>
                <w:bCs/>
                <w:color w:val="auto"/>
                <w:sz w:val="24"/>
                <w:szCs w:val="24"/>
                <w:highlight w:val="none"/>
                <w:lang w:bidi="ar"/>
              </w:rPr>
              <w:t>分；</w:t>
            </w:r>
          </w:p>
          <w:p w14:paraId="49D83B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⑤未提供相关内容的不得分。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71EE70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val="en-US" w:eastAsia="zh-CN" w:bidi="ar"/>
              </w:rPr>
              <w:t>4</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517D00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主观评审</w:t>
            </w:r>
          </w:p>
        </w:tc>
      </w:tr>
      <w:tr w14:paraId="68888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452584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034694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4D9058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0289" w:type="dxa"/>
            <w:gridSpan w:val="3"/>
            <w:tcBorders>
              <w:top w:val="single" w:color="auto" w:sz="4" w:space="0"/>
              <w:left w:val="single" w:color="auto" w:sz="4" w:space="0"/>
              <w:bottom w:val="single" w:color="auto" w:sz="4" w:space="0"/>
              <w:right w:val="single" w:color="auto" w:sz="4" w:space="0"/>
            </w:tcBorders>
            <w:noWrap w:val="0"/>
            <w:vAlign w:val="center"/>
          </w:tcPr>
          <w:p w14:paraId="25D7886B">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安全文明作业保障:</w:t>
            </w:r>
          </w:p>
          <w:p w14:paraId="4581361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①作业保障内容</w:t>
            </w:r>
            <w:r>
              <w:rPr>
                <w:rFonts w:hint="eastAsia" w:ascii="宋体" w:hAnsi="宋体" w:eastAsia="宋体" w:cs="宋体"/>
                <w:bCs/>
                <w:color w:val="auto"/>
                <w:sz w:val="24"/>
                <w:szCs w:val="24"/>
                <w:highlight w:val="none"/>
                <w:lang w:val="en-US" w:eastAsia="zh-CN" w:bidi="ar"/>
              </w:rPr>
              <w:t>条例清晰</w:t>
            </w:r>
            <w:r>
              <w:rPr>
                <w:rFonts w:hint="eastAsia" w:ascii="宋体" w:hAnsi="宋体" w:eastAsia="宋体" w:cs="宋体"/>
                <w:bCs/>
                <w:color w:val="auto"/>
                <w:sz w:val="24"/>
                <w:szCs w:val="24"/>
                <w:highlight w:val="none"/>
                <w:lang w:bidi="ar"/>
              </w:rPr>
              <w:t>，</w:t>
            </w:r>
            <w:r>
              <w:rPr>
                <w:rFonts w:hint="eastAsia" w:ascii="宋体" w:hAnsi="宋体" w:eastAsia="宋体" w:cs="宋体"/>
                <w:bCs/>
                <w:color w:val="auto"/>
                <w:sz w:val="24"/>
                <w:szCs w:val="24"/>
                <w:highlight w:val="none"/>
                <w:lang w:val="en-US" w:eastAsia="zh-CN" w:bidi="ar"/>
              </w:rPr>
              <w:t>熟悉相关安全文明作业制度</w:t>
            </w:r>
            <w:r>
              <w:rPr>
                <w:rFonts w:hint="eastAsia" w:ascii="宋体" w:hAnsi="宋体" w:eastAsia="宋体" w:cs="宋体"/>
                <w:bCs/>
                <w:color w:val="auto"/>
                <w:sz w:val="24"/>
                <w:szCs w:val="24"/>
                <w:highlight w:val="none"/>
                <w:lang w:bidi="ar"/>
              </w:rPr>
              <w:t>，且有针对性措施的得</w:t>
            </w:r>
            <w:r>
              <w:rPr>
                <w:rFonts w:hint="eastAsia" w:ascii="宋体" w:hAnsi="宋体" w:eastAsia="宋体" w:cs="宋体"/>
                <w:bCs/>
                <w:color w:val="auto"/>
                <w:sz w:val="24"/>
                <w:szCs w:val="24"/>
                <w:highlight w:val="none"/>
                <w:lang w:val="en-US" w:eastAsia="zh-CN" w:bidi="ar"/>
              </w:rPr>
              <w:t>4</w:t>
            </w:r>
            <w:r>
              <w:rPr>
                <w:rFonts w:hint="eastAsia" w:ascii="宋体" w:hAnsi="宋体" w:eastAsia="宋体" w:cs="宋体"/>
                <w:bCs/>
                <w:color w:val="auto"/>
                <w:sz w:val="24"/>
                <w:szCs w:val="24"/>
                <w:highlight w:val="none"/>
                <w:lang w:bidi="ar"/>
              </w:rPr>
              <w:t>分；</w:t>
            </w:r>
          </w:p>
          <w:p w14:paraId="70D8E2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②作业保障内容</w:t>
            </w:r>
            <w:r>
              <w:rPr>
                <w:rFonts w:hint="eastAsia" w:ascii="宋体" w:hAnsi="宋体" w:eastAsia="宋体" w:cs="宋体"/>
                <w:bCs/>
                <w:color w:val="auto"/>
                <w:sz w:val="24"/>
                <w:szCs w:val="24"/>
                <w:highlight w:val="none"/>
                <w:lang w:val="en-US" w:eastAsia="zh-CN" w:bidi="ar"/>
              </w:rPr>
              <w:t>基本全面</w:t>
            </w:r>
            <w:r>
              <w:rPr>
                <w:rFonts w:hint="eastAsia" w:ascii="宋体" w:hAnsi="宋体" w:eastAsia="宋体" w:cs="宋体"/>
                <w:bCs/>
                <w:color w:val="auto"/>
                <w:sz w:val="24"/>
                <w:szCs w:val="24"/>
                <w:highlight w:val="none"/>
                <w:lang w:bidi="ar"/>
              </w:rPr>
              <w:t>，了解相关安全文明作业制度，且有针对性措施的得</w:t>
            </w:r>
            <w:r>
              <w:rPr>
                <w:rFonts w:hint="eastAsia" w:ascii="宋体" w:hAnsi="宋体" w:eastAsia="宋体" w:cs="宋体"/>
                <w:bCs/>
                <w:color w:val="auto"/>
                <w:sz w:val="24"/>
                <w:szCs w:val="24"/>
                <w:highlight w:val="none"/>
                <w:lang w:val="en-US" w:eastAsia="zh-CN" w:bidi="ar"/>
              </w:rPr>
              <w:t>3</w:t>
            </w:r>
            <w:r>
              <w:rPr>
                <w:rFonts w:hint="eastAsia" w:ascii="宋体" w:hAnsi="宋体" w:eastAsia="宋体" w:cs="宋体"/>
                <w:bCs/>
                <w:color w:val="auto"/>
                <w:sz w:val="24"/>
                <w:szCs w:val="24"/>
                <w:highlight w:val="none"/>
                <w:lang w:bidi="ar"/>
              </w:rPr>
              <w:t>分；</w:t>
            </w:r>
          </w:p>
          <w:p w14:paraId="7F504C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③作业保障内容</w:t>
            </w:r>
            <w:r>
              <w:rPr>
                <w:rFonts w:hint="eastAsia" w:ascii="宋体" w:hAnsi="宋体" w:eastAsia="宋体" w:cs="宋体"/>
                <w:bCs/>
                <w:color w:val="auto"/>
                <w:sz w:val="24"/>
                <w:szCs w:val="24"/>
                <w:highlight w:val="none"/>
                <w:lang w:val="en-US" w:eastAsia="zh-CN" w:bidi="ar"/>
              </w:rPr>
              <w:t>简单</w:t>
            </w:r>
            <w:r>
              <w:rPr>
                <w:rFonts w:hint="eastAsia" w:ascii="宋体" w:hAnsi="宋体" w:eastAsia="宋体" w:cs="宋体"/>
                <w:bCs/>
                <w:color w:val="auto"/>
                <w:sz w:val="24"/>
                <w:szCs w:val="24"/>
                <w:highlight w:val="none"/>
                <w:lang w:bidi="ar"/>
              </w:rPr>
              <w:t>，未针对性提出管理措施的得</w:t>
            </w:r>
            <w:r>
              <w:rPr>
                <w:rFonts w:hint="eastAsia" w:ascii="宋体" w:hAnsi="宋体" w:eastAsia="宋体" w:cs="宋体"/>
                <w:bCs/>
                <w:color w:val="auto"/>
                <w:sz w:val="24"/>
                <w:szCs w:val="24"/>
                <w:highlight w:val="none"/>
                <w:lang w:val="en-US" w:eastAsia="zh-CN" w:bidi="ar"/>
              </w:rPr>
              <w:t>2</w:t>
            </w:r>
            <w:r>
              <w:rPr>
                <w:rFonts w:hint="eastAsia" w:ascii="宋体" w:hAnsi="宋体" w:eastAsia="宋体" w:cs="宋体"/>
                <w:bCs/>
                <w:color w:val="auto"/>
                <w:sz w:val="24"/>
                <w:szCs w:val="24"/>
                <w:highlight w:val="none"/>
                <w:lang w:bidi="ar"/>
              </w:rPr>
              <w:t>分；</w:t>
            </w:r>
          </w:p>
          <w:p w14:paraId="195F9B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④方案内容不完整，内容分析不充分，与本项目实际需求有差距的得</w:t>
            </w:r>
            <w:r>
              <w:rPr>
                <w:rFonts w:hint="eastAsia" w:ascii="宋体" w:hAnsi="宋体" w:eastAsia="宋体" w:cs="宋体"/>
                <w:bCs/>
                <w:color w:val="auto"/>
                <w:sz w:val="24"/>
                <w:szCs w:val="24"/>
                <w:highlight w:val="none"/>
                <w:lang w:val="en-US" w:eastAsia="zh-CN" w:bidi="ar"/>
              </w:rPr>
              <w:t>1</w:t>
            </w:r>
            <w:r>
              <w:rPr>
                <w:rFonts w:hint="eastAsia" w:ascii="宋体" w:hAnsi="宋体" w:eastAsia="宋体" w:cs="宋体"/>
                <w:bCs/>
                <w:color w:val="auto"/>
                <w:sz w:val="24"/>
                <w:szCs w:val="24"/>
                <w:highlight w:val="none"/>
                <w:lang w:bidi="ar"/>
              </w:rPr>
              <w:t>分；</w:t>
            </w:r>
          </w:p>
          <w:p w14:paraId="55DC23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⑤未提供相关内容的不得分。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4E859B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val="en-US" w:eastAsia="zh-CN" w:bidi="ar"/>
              </w:rPr>
              <w:t>4</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7D44A2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主观评审</w:t>
            </w:r>
          </w:p>
        </w:tc>
      </w:tr>
      <w:tr w14:paraId="5B0B1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1E167C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0B494D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2BFF05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0289" w:type="dxa"/>
            <w:gridSpan w:val="3"/>
            <w:tcBorders>
              <w:top w:val="single" w:color="auto" w:sz="4" w:space="0"/>
              <w:left w:val="single" w:color="auto" w:sz="4" w:space="0"/>
              <w:bottom w:val="single" w:color="auto" w:sz="4" w:space="0"/>
              <w:right w:val="single" w:color="auto" w:sz="4" w:space="0"/>
            </w:tcBorders>
            <w:noWrap w:val="0"/>
            <w:vAlign w:val="center"/>
          </w:tcPr>
          <w:p w14:paraId="3254C97B">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val="en-US" w:eastAsia="zh-CN"/>
              </w:rPr>
              <w:t>游乐设施管理</w:t>
            </w:r>
            <w:r>
              <w:rPr>
                <w:rFonts w:hint="eastAsia" w:ascii="宋体" w:hAnsi="宋体" w:eastAsia="宋体" w:cs="宋体"/>
                <w:bCs/>
                <w:color w:val="auto"/>
                <w:sz w:val="24"/>
                <w:szCs w:val="24"/>
                <w:highlight w:val="none"/>
                <w:lang w:bidi="ar"/>
              </w:rPr>
              <w:t>：</w:t>
            </w:r>
          </w:p>
          <w:p w14:paraId="503EAC4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①</w:t>
            </w:r>
            <w:r>
              <w:rPr>
                <w:rFonts w:hint="eastAsia" w:ascii="宋体" w:hAnsi="宋体" w:eastAsia="宋体" w:cs="宋体"/>
                <w:bCs/>
                <w:color w:val="auto"/>
                <w:sz w:val="24"/>
                <w:szCs w:val="24"/>
                <w:highlight w:val="none"/>
                <w:lang w:val="en-US" w:eastAsia="zh-CN" w:bidi="ar"/>
              </w:rPr>
              <w:t>对儿童公园</w:t>
            </w:r>
            <w:r>
              <w:rPr>
                <w:rFonts w:hint="eastAsia" w:ascii="宋体" w:hAnsi="宋体" w:eastAsia="宋体" w:cs="宋体"/>
                <w:bCs/>
                <w:color w:val="auto"/>
                <w:sz w:val="24"/>
                <w:szCs w:val="24"/>
                <w:highlight w:val="none"/>
                <w:lang w:bidi="ar"/>
              </w:rPr>
              <w:t>游乐设施</w:t>
            </w:r>
            <w:r>
              <w:rPr>
                <w:rFonts w:hint="eastAsia" w:ascii="宋体" w:hAnsi="宋体" w:eastAsia="宋体" w:cs="宋体"/>
                <w:bCs/>
                <w:color w:val="auto"/>
                <w:sz w:val="24"/>
                <w:szCs w:val="24"/>
                <w:highlight w:val="none"/>
                <w:lang w:val="en-US" w:eastAsia="zh-CN" w:bidi="ar"/>
              </w:rPr>
              <w:t>情况了解，</w:t>
            </w:r>
            <w:r>
              <w:rPr>
                <w:rFonts w:hint="eastAsia" w:ascii="宋体" w:hAnsi="宋体" w:eastAsia="宋体" w:cs="宋体"/>
                <w:bCs/>
                <w:color w:val="auto"/>
                <w:sz w:val="24"/>
                <w:szCs w:val="24"/>
                <w:highlight w:val="none"/>
                <w:lang w:bidi="ar"/>
              </w:rPr>
              <w:t>管理</w:t>
            </w:r>
            <w:r>
              <w:rPr>
                <w:rFonts w:hint="eastAsia" w:ascii="宋体" w:hAnsi="宋体" w:eastAsia="宋体" w:cs="宋体"/>
                <w:bCs/>
                <w:color w:val="auto"/>
                <w:sz w:val="24"/>
                <w:szCs w:val="24"/>
                <w:highlight w:val="none"/>
                <w:lang w:val="en-US" w:eastAsia="zh-CN" w:bidi="ar"/>
              </w:rPr>
              <w:t>维护方案完善</w:t>
            </w:r>
            <w:r>
              <w:rPr>
                <w:rFonts w:hint="eastAsia" w:ascii="宋体" w:hAnsi="宋体" w:eastAsia="宋体" w:cs="宋体"/>
                <w:bCs/>
                <w:color w:val="auto"/>
                <w:sz w:val="24"/>
                <w:szCs w:val="24"/>
                <w:highlight w:val="none"/>
                <w:lang w:bidi="ar"/>
              </w:rPr>
              <w:t>，</w:t>
            </w:r>
            <w:r>
              <w:rPr>
                <w:rFonts w:hint="eastAsia" w:ascii="宋体" w:hAnsi="宋体" w:eastAsia="宋体" w:cs="宋体"/>
                <w:bCs/>
                <w:color w:val="auto"/>
                <w:sz w:val="24"/>
                <w:szCs w:val="24"/>
                <w:highlight w:val="none"/>
                <w:lang w:val="en-US" w:eastAsia="zh-CN" w:bidi="ar"/>
              </w:rPr>
              <w:t>保障安全运行方案针对性强，有周密的台账管理计划</w:t>
            </w:r>
            <w:r>
              <w:rPr>
                <w:rFonts w:hint="eastAsia" w:ascii="宋体" w:hAnsi="宋体" w:eastAsia="宋体" w:cs="宋体"/>
                <w:bCs/>
                <w:color w:val="auto"/>
                <w:sz w:val="24"/>
                <w:szCs w:val="24"/>
                <w:highlight w:val="none"/>
                <w:lang w:bidi="ar"/>
              </w:rPr>
              <w:t>的得</w:t>
            </w:r>
            <w:r>
              <w:rPr>
                <w:rFonts w:hint="eastAsia" w:ascii="宋体" w:hAnsi="宋体" w:eastAsia="宋体" w:cs="宋体"/>
                <w:bCs/>
                <w:color w:val="auto"/>
                <w:sz w:val="24"/>
                <w:szCs w:val="24"/>
                <w:highlight w:val="none"/>
                <w:lang w:val="en-US" w:eastAsia="zh-CN" w:bidi="ar"/>
              </w:rPr>
              <w:t>4</w:t>
            </w:r>
            <w:r>
              <w:rPr>
                <w:rFonts w:hint="eastAsia" w:ascii="宋体" w:hAnsi="宋体" w:eastAsia="宋体" w:cs="宋体"/>
                <w:bCs/>
                <w:color w:val="auto"/>
                <w:sz w:val="24"/>
                <w:szCs w:val="24"/>
                <w:highlight w:val="none"/>
                <w:lang w:bidi="ar"/>
              </w:rPr>
              <w:t>分；</w:t>
            </w:r>
          </w:p>
          <w:p w14:paraId="0A19EB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②对儿童公园游乐设施情况</w:t>
            </w:r>
            <w:r>
              <w:rPr>
                <w:rFonts w:hint="eastAsia" w:ascii="宋体" w:hAnsi="宋体" w:eastAsia="宋体" w:cs="宋体"/>
                <w:bCs/>
                <w:color w:val="auto"/>
                <w:sz w:val="24"/>
                <w:szCs w:val="24"/>
                <w:highlight w:val="none"/>
                <w:lang w:val="en-US" w:eastAsia="zh-CN" w:bidi="ar"/>
              </w:rPr>
              <w:t>基本</w:t>
            </w:r>
            <w:r>
              <w:rPr>
                <w:rFonts w:hint="eastAsia" w:ascii="宋体" w:hAnsi="宋体" w:eastAsia="宋体" w:cs="宋体"/>
                <w:bCs/>
                <w:color w:val="auto"/>
                <w:sz w:val="24"/>
                <w:szCs w:val="24"/>
                <w:highlight w:val="none"/>
                <w:lang w:bidi="ar"/>
              </w:rPr>
              <w:t>了解，</w:t>
            </w:r>
            <w:r>
              <w:rPr>
                <w:rFonts w:hint="eastAsia" w:ascii="宋体" w:hAnsi="宋体" w:eastAsia="宋体" w:cs="宋体"/>
                <w:bCs/>
                <w:color w:val="auto"/>
                <w:sz w:val="24"/>
                <w:szCs w:val="24"/>
                <w:highlight w:val="none"/>
                <w:lang w:val="en-US" w:eastAsia="zh-CN" w:bidi="ar"/>
              </w:rPr>
              <w:t>有完整的</w:t>
            </w:r>
            <w:r>
              <w:rPr>
                <w:rFonts w:hint="eastAsia" w:ascii="宋体" w:hAnsi="宋体" w:eastAsia="宋体" w:cs="宋体"/>
                <w:bCs/>
                <w:color w:val="auto"/>
                <w:sz w:val="24"/>
                <w:szCs w:val="24"/>
                <w:highlight w:val="none"/>
                <w:lang w:bidi="ar"/>
              </w:rPr>
              <w:t>管理维护方案，</w:t>
            </w:r>
            <w:r>
              <w:rPr>
                <w:rFonts w:hint="eastAsia" w:ascii="宋体" w:hAnsi="宋体" w:eastAsia="宋体" w:cs="宋体"/>
                <w:bCs/>
                <w:color w:val="auto"/>
                <w:sz w:val="24"/>
                <w:szCs w:val="24"/>
                <w:highlight w:val="none"/>
                <w:lang w:val="en-US" w:eastAsia="zh-CN" w:bidi="ar"/>
              </w:rPr>
              <w:t>有</w:t>
            </w:r>
            <w:r>
              <w:rPr>
                <w:rFonts w:hint="eastAsia" w:ascii="宋体" w:hAnsi="宋体" w:eastAsia="宋体" w:cs="宋体"/>
                <w:bCs/>
                <w:color w:val="auto"/>
                <w:sz w:val="24"/>
                <w:szCs w:val="24"/>
                <w:highlight w:val="none"/>
                <w:lang w:bidi="ar"/>
              </w:rPr>
              <w:t>保障安全运行方案，有台账管理计划的得</w:t>
            </w:r>
            <w:r>
              <w:rPr>
                <w:rFonts w:hint="eastAsia" w:ascii="宋体" w:hAnsi="宋体" w:eastAsia="宋体" w:cs="宋体"/>
                <w:bCs/>
                <w:color w:val="auto"/>
                <w:sz w:val="24"/>
                <w:szCs w:val="24"/>
                <w:highlight w:val="none"/>
                <w:lang w:val="en-US" w:eastAsia="zh-CN" w:bidi="ar"/>
              </w:rPr>
              <w:t>3</w:t>
            </w:r>
            <w:r>
              <w:rPr>
                <w:rFonts w:hint="eastAsia" w:ascii="宋体" w:hAnsi="宋体" w:eastAsia="宋体" w:cs="宋体"/>
                <w:bCs/>
                <w:color w:val="auto"/>
                <w:sz w:val="24"/>
                <w:szCs w:val="24"/>
                <w:highlight w:val="none"/>
                <w:lang w:bidi="ar"/>
              </w:rPr>
              <w:t>分；</w:t>
            </w:r>
          </w:p>
          <w:p w14:paraId="628E74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③对儿童公园游乐设施情况</w:t>
            </w:r>
            <w:r>
              <w:rPr>
                <w:rFonts w:hint="eastAsia" w:ascii="宋体" w:hAnsi="宋体" w:eastAsia="宋体" w:cs="宋体"/>
                <w:bCs/>
                <w:color w:val="auto"/>
                <w:sz w:val="24"/>
                <w:szCs w:val="24"/>
                <w:highlight w:val="none"/>
                <w:lang w:val="en-US" w:eastAsia="zh-CN" w:bidi="ar"/>
              </w:rPr>
              <w:t>不熟悉</w:t>
            </w:r>
            <w:r>
              <w:rPr>
                <w:rFonts w:hint="eastAsia" w:ascii="宋体" w:hAnsi="宋体" w:eastAsia="宋体" w:cs="宋体"/>
                <w:bCs/>
                <w:color w:val="auto"/>
                <w:sz w:val="24"/>
                <w:szCs w:val="24"/>
                <w:highlight w:val="none"/>
                <w:lang w:bidi="ar"/>
              </w:rPr>
              <w:t>，管理维护方案</w:t>
            </w:r>
            <w:r>
              <w:rPr>
                <w:rFonts w:hint="eastAsia" w:ascii="宋体" w:hAnsi="宋体" w:eastAsia="宋体" w:cs="宋体"/>
                <w:bCs/>
                <w:color w:val="auto"/>
                <w:sz w:val="24"/>
                <w:szCs w:val="24"/>
                <w:highlight w:val="none"/>
                <w:lang w:val="en-US" w:eastAsia="zh-CN" w:bidi="ar"/>
              </w:rPr>
              <w:t>简单</w:t>
            </w:r>
            <w:r>
              <w:rPr>
                <w:rFonts w:hint="eastAsia" w:ascii="宋体" w:hAnsi="宋体" w:eastAsia="宋体" w:cs="宋体"/>
                <w:bCs/>
                <w:color w:val="auto"/>
                <w:sz w:val="24"/>
                <w:szCs w:val="24"/>
                <w:highlight w:val="none"/>
                <w:lang w:bidi="ar"/>
              </w:rPr>
              <w:t>，有台账管理计划的得</w:t>
            </w:r>
            <w:r>
              <w:rPr>
                <w:rFonts w:hint="eastAsia" w:ascii="宋体" w:hAnsi="宋体" w:eastAsia="宋体" w:cs="宋体"/>
                <w:bCs/>
                <w:color w:val="auto"/>
                <w:sz w:val="24"/>
                <w:szCs w:val="24"/>
                <w:highlight w:val="none"/>
                <w:lang w:val="en-US" w:eastAsia="zh-CN" w:bidi="ar"/>
              </w:rPr>
              <w:t>1</w:t>
            </w:r>
            <w:r>
              <w:rPr>
                <w:rFonts w:hint="eastAsia" w:ascii="宋体" w:hAnsi="宋体" w:eastAsia="宋体" w:cs="宋体"/>
                <w:bCs/>
                <w:color w:val="auto"/>
                <w:sz w:val="24"/>
                <w:szCs w:val="24"/>
                <w:highlight w:val="none"/>
                <w:lang w:bidi="ar"/>
              </w:rPr>
              <w:t>分；</w:t>
            </w:r>
          </w:p>
          <w:p w14:paraId="247560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④未提供相关内容的不得分。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27A017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val="en-US" w:eastAsia="zh-CN" w:bidi="ar"/>
              </w:rPr>
              <w:t>4</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5F2EAC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主观评审</w:t>
            </w:r>
          </w:p>
        </w:tc>
      </w:tr>
      <w:tr w14:paraId="7DFCD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212FCC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154243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19E9B8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492" w:type="dxa"/>
            <w:vMerge w:val="restart"/>
            <w:tcBorders>
              <w:top w:val="single" w:color="auto" w:sz="4" w:space="0"/>
              <w:left w:val="single" w:color="auto" w:sz="4" w:space="0"/>
              <w:right w:val="single" w:color="auto" w:sz="4" w:space="0"/>
            </w:tcBorders>
            <w:noWrap w:val="0"/>
            <w:vAlign w:val="center"/>
          </w:tcPr>
          <w:p w14:paraId="706C08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4）绿化养护精细化管理方案（</w:t>
            </w:r>
            <w:r>
              <w:rPr>
                <w:rFonts w:hint="eastAsia" w:ascii="宋体" w:hAnsi="宋体" w:eastAsia="宋体" w:cs="宋体"/>
                <w:bCs/>
                <w:color w:val="auto"/>
                <w:sz w:val="24"/>
                <w:szCs w:val="24"/>
                <w:highlight w:val="none"/>
                <w:lang w:val="en-US" w:eastAsia="zh-CN" w:bidi="ar"/>
              </w:rPr>
              <w:t>15</w:t>
            </w:r>
            <w:r>
              <w:rPr>
                <w:rFonts w:hint="eastAsia" w:ascii="宋体" w:hAnsi="宋体" w:eastAsia="宋体" w:cs="宋体"/>
                <w:bCs/>
                <w:color w:val="auto"/>
                <w:sz w:val="24"/>
                <w:szCs w:val="24"/>
                <w:highlight w:val="none"/>
                <w:lang w:bidi="ar"/>
              </w:rPr>
              <w:t>分）</w:t>
            </w:r>
          </w:p>
        </w:tc>
        <w:tc>
          <w:tcPr>
            <w:tcW w:w="8797" w:type="dxa"/>
            <w:gridSpan w:val="2"/>
            <w:tcBorders>
              <w:top w:val="single" w:color="auto" w:sz="4" w:space="0"/>
              <w:left w:val="single" w:color="auto" w:sz="4" w:space="0"/>
              <w:bottom w:val="single" w:color="auto" w:sz="4" w:space="0"/>
              <w:right w:val="single" w:color="auto" w:sz="4" w:space="0"/>
            </w:tcBorders>
            <w:noWrap w:val="0"/>
            <w:vAlign w:val="center"/>
          </w:tcPr>
          <w:p w14:paraId="5CE7CA1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val="en-US" w:eastAsia="zh-CN" w:bidi="ar"/>
              </w:rPr>
              <w:t>4.1</w:t>
            </w:r>
            <w:r>
              <w:rPr>
                <w:rFonts w:hint="eastAsia" w:ascii="宋体" w:hAnsi="宋体" w:eastAsia="宋体" w:cs="宋体"/>
                <w:bCs/>
                <w:color w:val="auto"/>
                <w:sz w:val="24"/>
                <w:szCs w:val="24"/>
                <w:highlight w:val="none"/>
                <w:lang w:bidi="ar"/>
              </w:rPr>
              <w:t>评委根据供应商的</w:t>
            </w:r>
            <w:r>
              <w:rPr>
                <w:rFonts w:hint="eastAsia" w:ascii="宋体" w:hAnsi="宋体" w:eastAsia="宋体" w:cs="宋体"/>
                <w:bCs/>
                <w:color w:val="auto"/>
                <w:sz w:val="24"/>
                <w:szCs w:val="24"/>
                <w:highlight w:val="none"/>
              </w:rPr>
              <w:t>植物养护方案</w:t>
            </w:r>
            <w:r>
              <w:rPr>
                <w:rFonts w:hint="eastAsia" w:ascii="宋体" w:hAnsi="宋体" w:eastAsia="宋体" w:cs="宋体"/>
                <w:bCs/>
                <w:color w:val="auto"/>
                <w:sz w:val="24"/>
                <w:szCs w:val="24"/>
                <w:highlight w:val="none"/>
                <w:lang w:eastAsia="zh-CN" w:bidi="ar"/>
              </w:rPr>
              <w:t>：</w:t>
            </w:r>
          </w:p>
          <w:p w14:paraId="35A339C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①方案内容完全结合公园实际情况，</w:t>
            </w:r>
            <w:r>
              <w:rPr>
                <w:rFonts w:hint="eastAsia" w:ascii="宋体" w:hAnsi="宋体" w:eastAsia="宋体" w:cs="宋体"/>
                <w:bCs/>
                <w:color w:val="auto"/>
                <w:sz w:val="24"/>
                <w:szCs w:val="24"/>
                <w:highlight w:val="none"/>
                <w:lang w:val="en-US" w:eastAsia="zh-CN" w:bidi="ar"/>
              </w:rPr>
              <w:t>根据养护等级和各类别植物的养护内容全面</w:t>
            </w:r>
            <w:r>
              <w:rPr>
                <w:rFonts w:hint="eastAsia" w:ascii="宋体" w:hAnsi="宋体" w:eastAsia="宋体" w:cs="宋体"/>
                <w:bCs/>
                <w:color w:val="auto"/>
                <w:sz w:val="24"/>
                <w:szCs w:val="24"/>
                <w:highlight w:val="none"/>
                <w:lang w:eastAsia="zh-CN" w:bidi="ar"/>
              </w:rPr>
              <w:t>，且有针对性措施的得</w:t>
            </w:r>
            <w:r>
              <w:rPr>
                <w:rFonts w:hint="eastAsia" w:ascii="宋体" w:hAnsi="宋体" w:eastAsia="宋体" w:cs="宋体"/>
                <w:bCs/>
                <w:color w:val="auto"/>
                <w:sz w:val="24"/>
                <w:szCs w:val="24"/>
                <w:highlight w:val="none"/>
                <w:lang w:val="en-US" w:eastAsia="zh-CN" w:bidi="ar"/>
              </w:rPr>
              <w:t>3</w:t>
            </w:r>
            <w:r>
              <w:rPr>
                <w:rFonts w:hint="eastAsia" w:ascii="宋体" w:hAnsi="宋体" w:eastAsia="宋体" w:cs="宋体"/>
                <w:bCs/>
                <w:color w:val="auto"/>
                <w:sz w:val="24"/>
                <w:szCs w:val="24"/>
                <w:highlight w:val="none"/>
                <w:lang w:eastAsia="zh-CN" w:bidi="ar"/>
              </w:rPr>
              <w:t>分；</w:t>
            </w:r>
          </w:p>
          <w:p w14:paraId="4C44C8A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②方案内容</w:t>
            </w:r>
            <w:r>
              <w:rPr>
                <w:rFonts w:hint="eastAsia" w:ascii="宋体" w:hAnsi="宋体" w:eastAsia="宋体" w:cs="宋体"/>
                <w:bCs/>
                <w:color w:val="auto"/>
                <w:sz w:val="24"/>
                <w:szCs w:val="24"/>
                <w:highlight w:val="none"/>
                <w:lang w:val="en-US" w:eastAsia="zh-CN" w:bidi="ar"/>
              </w:rPr>
              <w:t>有</w:t>
            </w:r>
            <w:r>
              <w:rPr>
                <w:rFonts w:hint="eastAsia" w:ascii="宋体" w:hAnsi="宋体" w:eastAsia="宋体" w:cs="宋体"/>
                <w:bCs/>
                <w:color w:val="auto"/>
                <w:sz w:val="24"/>
                <w:szCs w:val="24"/>
                <w:highlight w:val="none"/>
                <w:lang w:eastAsia="zh-CN" w:bidi="ar"/>
              </w:rPr>
              <w:t>结合公园实际情况，根据养护等级和各类别植物的养护内容</w:t>
            </w:r>
            <w:r>
              <w:rPr>
                <w:rFonts w:hint="eastAsia" w:ascii="宋体" w:hAnsi="宋体" w:eastAsia="宋体" w:cs="宋体"/>
                <w:bCs/>
                <w:color w:val="auto"/>
                <w:sz w:val="24"/>
                <w:szCs w:val="24"/>
                <w:highlight w:val="none"/>
                <w:lang w:val="en-US" w:eastAsia="zh-CN" w:bidi="ar"/>
              </w:rPr>
              <w:t>较</w:t>
            </w:r>
            <w:r>
              <w:rPr>
                <w:rFonts w:hint="eastAsia" w:ascii="宋体" w:hAnsi="宋体" w:eastAsia="宋体" w:cs="宋体"/>
                <w:bCs/>
                <w:color w:val="auto"/>
                <w:sz w:val="24"/>
                <w:szCs w:val="24"/>
                <w:highlight w:val="none"/>
                <w:lang w:eastAsia="zh-CN" w:bidi="ar"/>
              </w:rPr>
              <w:t>全面，但存在一定缺陷有待改进的得</w:t>
            </w:r>
            <w:r>
              <w:rPr>
                <w:rFonts w:hint="eastAsia" w:ascii="宋体" w:hAnsi="宋体" w:eastAsia="宋体" w:cs="宋体"/>
                <w:bCs/>
                <w:color w:val="auto"/>
                <w:sz w:val="24"/>
                <w:szCs w:val="24"/>
                <w:highlight w:val="none"/>
                <w:lang w:val="en-US" w:eastAsia="zh-CN" w:bidi="ar"/>
              </w:rPr>
              <w:t>2</w:t>
            </w:r>
            <w:r>
              <w:rPr>
                <w:rFonts w:hint="eastAsia" w:ascii="宋体" w:hAnsi="宋体" w:eastAsia="宋体" w:cs="宋体"/>
                <w:bCs/>
                <w:color w:val="auto"/>
                <w:sz w:val="24"/>
                <w:szCs w:val="24"/>
                <w:highlight w:val="none"/>
                <w:lang w:eastAsia="zh-CN" w:bidi="ar"/>
              </w:rPr>
              <w:t>分；</w:t>
            </w:r>
          </w:p>
          <w:p w14:paraId="090A121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③方案内容基本符合</w:t>
            </w:r>
            <w:r>
              <w:rPr>
                <w:rFonts w:hint="eastAsia" w:ascii="宋体" w:hAnsi="宋体" w:eastAsia="宋体" w:cs="宋体"/>
                <w:bCs/>
                <w:color w:val="auto"/>
                <w:sz w:val="24"/>
                <w:szCs w:val="24"/>
                <w:highlight w:val="none"/>
                <w:lang w:val="en-US" w:eastAsia="zh-CN" w:bidi="ar"/>
              </w:rPr>
              <w:t>项目</w:t>
            </w:r>
            <w:r>
              <w:rPr>
                <w:rFonts w:hint="eastAsia" w:ascii="宋体" w:hAnsi="宋体" w:eastAsia="宋体" w:cs="宋体"/>
                <w:bCs/>
                <w:color w:val="auto"/>
                <w:sz w:val="24"/>
                <w:szCs w:val="24"/>
                <w:highlight w:val="none"/>
                <w:lang w:eastAsia="zh-CN" w:bidi="ar"/>
              </w:rPr>
              <w:t>实际需求，</w:t>
            </w:r>
            <w:r>
              <w:rPr>
                <w:rFonts w:hint="eastAsia" w:ascii="宋体" w:hAnsi="宋体" w:eastAsia="宋体" w:cs="宋体"/>
                <w:bCs/>
                <w:color w:val="auto"/>
                <w:sz w:val="24"/>
                <w:szCs w:val="24"/>
                <w:highlight w:val="none"/>
                <w:lang w:val="en-US" w:eastAsia="zh-CN" w:bidi="ar"/>
              </w:rPr>
              <w:t>但方案不全面</w:t>
            </w:r>
            <w:r>
              <w:rPr>
                <w:rFonts w:hint="eastAsia" w:ascii="宋体" w:hAnsi="宋体" w:eastAsia="宋体" w:cs="宋体"/>
                <w:bCs/>
                <w:color w:val="auto"/>
                <w:sz w:val="24"/>
                <w:szCs w:val="24"/>
                <w:highlight w:val="none"/>
                <w:lang w:eastAsia="zh-CN" w:bidi="ar"/>
              </w:rPr>
              <w:t>，未针对性提出管理措施的得1分；</w:t>
            </w:r>
          </w:p>
          <w:p w14:paraId="55B418E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④方案内容不完整，内容分析不充分，与本项目实际需求有差距的得0.5分；</w:t>
            </w:r>
          </w:p>
          <w:p w14:paraId="7511E1D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eastAsia="zh-CN" w:bidi="ar"/>
              </w:rPr>
              <w:t>⑤未提供相关内容的不得分。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5AF455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val="en-US" w:eastAsia="zh-CN" w:bidi="ar"/>
              </w:rPr>
              <w:t>3</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63A3E9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主观评审</w:t>
            </w:r>
          </w:p>
        </w:tc>
      </w:tr>
      <w:tr w14:paraId="69BB1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5574AE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12D5D0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32677E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492" w:type="dxa"/>
            <w:vMerge w:val="continue"/>
            <w:tcBorders>
              <w:left w:val="single" w:color="auto" w:sz="4" w:space="0"/>
              <w:right w:val="single" w:color="auto" w:sz="4" w:space="0"/>
            </w:tcBorders>
            <w:noWrap w:val="0"/>
            <w:vAlign w:val="center"/>
          </w:tcPr>
          <w:p w14:paraId="51CD89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8797" w:type="dxa"/>
            <w:gridSpan w:val="2"/>
            <w:tcBorders>
              <w:top w:val="single" w:color="auto" w:sz="4" w:space="0"/>
              <w:left w:val="single" w:color="auto" w:sz="4" w:space="0"/>
              <w:bottom w:val="single" w:color="auto" w:sz="4" w:space="0"/>
              <w:right w:val="single" w:color="auto" w:sz="4" w:space="0"/>
            </w:tcBorders>
            <w:noWrap w:val="0"/>
            <w:vAlign w:val="center"/>
          </w:tcPr>
          <w:p w14:paraId="7A1EEDE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val="en-US" w:eastAsia="zh-CN" w:bidi="ar"/>
              </w:rPr>
              <w:t>4.2</w:t>
            </w:r>
            <w:r>
              <w:rPr>
                <w:rFonts w:hint="eastAsia" w:ascii="宋体" w:hAnsi="宋体" w:eastAsia="宋体" w:cs="宋体"/>
                <w:bCs/>
                <w:color w:val="auto"/>
                <w:sz w:val="24"/>
                <w:szCs w:val="24"/>
                <w:highlight w:val="none"/>
                <w:lang w:bidi="ar"/>
              </w:rPr>
              <w:t>评委根据供应商的</w:t>
            </w:r>
            <w:r>
              <w:rPr>
                <w:rFonts w:hint="eastAsia" w:ascii="宋体" w:hAnsi="宋体" w:eastAsia="宋体" w:cs="宋体"/>
                <w:bCs/>
                <w:color w:val="auto"/>
                <w:sz w:val="24"/>
                <w:szCs w:val="24"/>
                <w:highlight w:val="none"/>
              </w:rPr>
              <w:t>病虫害防治方案</w:t>
            </w:r>
            <w:r>
              <w:rPr>
                <w:rFonts w:hint="eastAsia" w:ascii="宋体" w:hAnsi="宋体" w:eastAsia="宋体" w:cs="宋体"/>
                <w:bCs/>
                <w:color w:val="auto"/>
                <w:sz w:val="24"/>
                <w:szCs w:val="24"/>
                <w:highlight w:val="none"/>
                <w:lang w:eastAsia="zh-CN" w:bidi="ar"/>
              </w:rPr>
              <w:t>：</w:t>
            </w:r>
          </w:p>
          <w:p w14:paraId="1A8CDAA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①方案内容完全结合公园实际情况，病虫害防治方案全面，且有针对性措施的得</w:t>
            </w:r>
            <w:r>
              <w:rPr>
                <w:rFonts w:hint="eastAsia" w:ascii="宋体" w:hAnsi="宋体" w:eastAsia="宋体" w:cs="宋体"/>
                <w:bCs/>
                <w:color w:val="auto"/>
                <w:sz w:val="24"/>
                <w:szCs w:val="24"/>
                <w:highlight w:val="none"/>
                <w:lang w:val="en-US" w:eastAsia="zh-CN" w:bidi="ar"/>
              </w:rPr>
              <w:t>3</w:t>
            </w:r>
            <w:r>
              <w:rPr>
                <w:rFonts w:hint="eastAsia" w:ascii="宋体" w:hAnsi="宋体" w:eastAsia="宋体" w:cs="宋体"/>
                <w:bCs/>
                <w:color w:val="auto"/>
                <w:sz w:val="24"/>
                <w:szCs w:val="24"/>
                <w:highlight w:val="none"/>
                <w:lang w:eastAsia="zh-CN" w:bidi="ar"/>
              </w:rPr>
              <w:t>分；</w:t>
            </w:r>
          </w:p>
          <w:p w14:paraId="614731D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②方案内容有结合公园实际情况，病虫害防治方案</w:t>
            </w:r>
            <w:r>
              <w:rPr>
                <w:rFonts w:hint="eastAsia" w:ascii="宋体" w:hAnsi="宋体" w:eastAsia="宋体" w:cs="宋体"/>
                <w:bCs/>
                <w:color w:val="auto"/>
                <w:sz w:val="24"/>
                <w:szCs w:val="24"/>
                <w:highlight w:val="none"/>
                <w:lang w:val="en-US" w:eastAsia="zh-CN" w:bidi="ar"/>
              </w:rPr>
              <w:t>较</w:t>
            </w:r>
            <w:r>
              <w:rPr>
                <w:rFonts w:hint="eastAsia" w:ascii="宋体" w:hAnsi="宋体" w:eastAsia="宋体" w:cs="宋体"/>
                <w:bCs/>
                <w:color w:val="auto"/>
                <w:sz w:val="24"/>
                <w:szCs w:val="24"/>
                <w:highlight w:val="none"/>
                <w:lang w:eastAsia="zh-CN" w:bidi="ar"/>
              </w:rPr>
              <w:t>全面，但存在一定缺陷有待改进的得</w:t>
            </w:r>
            <w:r>
              <w:rPr>
                <w:rFonts w:hint="eastAsia" w:ascii="宋体" w:hAnsi="宋体" w:eastAsia="宋体" w:cs="宋体"/>
                <w:bCs/>
                <w:color w:val="auto"/>
                <w:sz w:val="24"/>
                <w:szCs w:val="24"/>
                <w:highlight w:val="none"/>
                <w:lang w:val="en-US" w:eastAsia="zh-CN" w:bidi="ar"/>
              </w:rPr>
              <w:t>2</w:t>
            </w:r>
            <w:r>
              <w:rPr>
                <w:rFonts w:hint="eastAsia" w:ascii="宋体" w:hAnsi="宋体" w:eastAsia="宋体" w:cs="宋体"/>
                <w:bCs/>
                <w:color w:val="auto"/>
                <w:sz w:val="24"/>
                <w:szCs w:val="24"/>
                <w:highlight w:val="none"/>
                <w:lang w:eastAsia="zh-CN" w:bidi="ar"/>
              </w:rPr>
              <w:t>分；</w:t>
            </w:r>
          </w:p>
          <w:p w14:paraId="000A775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③方案内容基本符合</w:t>
            </w:r>
            <w:r>
              <w:rPr>
                <w:rFonts w:hint="eastAsia" w:ascii="宋体" w:hAnsi="宋体" w:eastAsia="宋体" w:cs="宋体"/>
                <w:bCs/>
                <w:color w:val="auto"/>
                <w:sz w:val="24"/>
                <w:szCs w:val="24"/>
                <w:highlight w:val="none"/>
                <w:lang w:val="en-US" w:eastAsia="zh-CN" w:bidi="ar"/>
              </w:rPr>
              <w:t>项目</w:t>
            </w:r>
            <w:r>
              <w:rPr>
                <w:rFonts w:hint="eastAsia" w:ascii="宋体" w:hAnsi="宋体" w:eastAsia="宋体" w:cs="宋体"/>
                <w:bCs/>
                <w:color w:val="auto"/>
                <w:sz w:val="24"/>
                <w:szCs w:val="24"/>
                <w:highlight w:val="none"/>
                <w:lang w:eastAsia="zh-CN" w:bidi="ar"/>
              </w:rPr>
              <w:t>实际需求，但方案不全面，未针对性提出管理措施的得1分；</w:t>
            </w:r>
          </w:p>
          <w:p w14:paraId="16F0DCA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④方案内容不完整，内容分析不充分，与本项目实际需求有差距的得0.5分；</w:t>
            </w:r>
          </w:p>
          <w:p w14:paraId="761F4C6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⑤未提供相关内容的不得分。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6A3807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val="en-US" w:eastAsia="zh-CN" w:bidi="ar"/>
              </w:rPr>
              <w:t>3</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252903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主观评审</w:t>
            </w:r>
          </w:p>
        </w:tc>
      </w:tr>
      <w:tr w14:paraId="5756E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73918E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1AAB12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61C9C2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492" w:type="dxa"/>
            <w:vMerge w:val="continue"/>
            <w:tcBorders>
              <w:left w:val="single" w:color="auto" w:sz="4" w:space="0"/>
              <w:right w:val="single" w:color="auto" w:sz="4" w:space="0"/>
            </w:tcBorders>
            <w:noWrap w:val="0"/>
            <w:vAlign w:val="center"/>
          </w:tcPr>
          <w:p w14:paraId="5BCB0B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8797" w:type="dxa"/>
            <w:gridSpan w:val="2"/>
            <w:tcBorders>
              <w:top w:val="single" w:color="auto" w:sz="4" w:space="0"/>
              <w:left w:val="single" w:color="auto" w:sz="4" w:space="0"/>
              <w:bottom w:val="single" w:color="auto" w:sz="4" w:space="0"/>
              <w:right w:val="single" w:color="auto" w:sz="4" w:space="0"/>
            </w:tcBorders>
            <w:noWrap w:val="0"/>
            <w:vAlign w:val="center"/>
          </w:tcPr>
          <w:p w14:paraId="032F03B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val="en-US" w:eastAsia="zh-CN" w:bidi="ar"/>
              </w:rPr>
              <w:t>4.3</w:t>
            </w:r>
            <w:r>
              <w:rPr>
                <w:rFonts w:hint="eastAsia" w:ascii="宋体" w:hAnsi="宋体" w:eastAsia="宋体" w:cs="宋体"/>
                <w:bCs/>
                <w:color w:val="auto"/>
                <w:sz w:val="24"/>
                <w:szCs w:val="24"/>
                <w:highlight w:val="none"/>
                <w:lang w:bidi="ar"/>
              </w:rPr>
              <w:t>评委根据供应商的</w:t>
            </w:r>
            <w:r>
              <w:rPr>
                <w:rFonts w:hint="eastAsia" w:ascii="宋体" w:hAnsi="宋体" w:eastAsia="宋体" w:cs="宋体"/>
                <w:bCs/>
                <w:color w:val="auto"/>
                <w:sz w:val="24"/>
                <w:szCs w:val="24"/>
                <w:highlight w:val="none"/>
              </w:rPr>
              <w:t>施肥方案</w:t>
            </w:r>
            <w:r>
              <w:rPr>
                <w:rFonts w:hint="eastAsia" w:ascii="宋体" w:hAnsi="宋体" w:eastAsia="宋体" w:cs="宋体"/>
                <w:bCs/>
                <w:color w:val="auto"/>
                <w:sz w:val="24"/>
                <w:szCs w:val="24"/>
                <w:highlight w:val="none"/>
                <w:lang w:eastAsia="zh-CN" w:bidi="ar"/>
              </w:rPr>
              <w:t>：</w:t>
            </w:r>
          </w:p>
          <w:p w14:paraId="1EC49A0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①方案内容完全结合公园实际情况，施肥方案内容全面，</w:t>
            </w:r>
            <w:r>
              <w:rPr>
                <w:rFonts w:hint="eastAsia" w:ascii="宋体" w:hAnsi="宋体" w:eastAsia="宋体" w:cs="宋体"/>
                <w:bCs/>
                <w:color w:val="auto"/>
                <w:sz w:val="24"/>
                <w:szCs w:val="24"/>
                <w:highlight w:val="none"/>
                <w:lang w:val="en-US" w:eastAsia="zh-CN" w:bidi="ar"/>
              </w:rPr>
              <w:t>施肥计划措施完善</w:t>
            </w:r>
            <w:r>
              <w:rPr>
                <w:rFonts w:hint="eastAsia" w:ascii="宋体" w:hAnsi="宋体" w:eastAsia="宋体" w:cs="宋体"/>
                <w:bCs/>
                <w:color w:val="auto"/>
                <w:sz w:val="24"/>
                <w:szCs w:val="24"/>
                <w:highlight w:val="none"/>
                <w:lang w:eastAsia="zh-CN" w:bidi="ar"/>
              </w:rPr>
              <w:t>，且有针对性措施的得</w:t>
            </w:r>
            <w:r>
              <w:rPr>
                <w:rFonts w:hint="eastAsia" w:ascii="宋体" w:hAnsi="宋体" w:eastAsia="宋体" w:cs="宋体"/>
                <w:bCs/>
                <w:color w:val="auto"/>
                <w:sz w:val="24"/>
                <w:szCs w:val="24"/>
                <w:highlight w:val="none"/>
                <w:lang w:val="en-US" w:eastAsia="zh-CN" w:bidi="ar"/>
              </w:rPr>
              <w:t>3</w:t>
            </w:r>
            <w:r>
              <w:rPr>
                <w:rFonts w:hint="eastAsia" w:ascii="宋体" w:hAnsi="宋体" w:eastAsia="宋体" w:cs="宋体"/>
                <w:bCs/>
                <w:color w:val="auto"/>
                <w:sz w:val="24"/>
                <w:szCs w:val="24"/>
                <w:highlight w:val="none"/>
                <w:lang w:eastAsia="zh-CN" w:bidi="ar"/>
              </w:rPr>
              <w:t>分；</w:t>
            </w:r>
          </w:p>
          <w:p w14:paraId="42C72CD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②方案内容有结合公园实际情况，施肥方案内容</w:t>
            </w:r>
            <w:r>
              <w:rPr>
                <w:rFonts w:hint="eastAsia" w:ascii="宋体" w:hAnsi="宋体" w:eastAsia="宋体" w:cs="宋体"/>
                <w:bCs/>
                <w:color w:val="auto"/>
                <w:sz w:val="24"/>
                <w:szCs w:val="24"/>
                <w:highlight w:val="none"/>
                <w:lang w:val="en-US" w:eastAsia="zh-CN" w:bidi="ar"/>
              </w:rPr>
              <w:t>较</w:t>
            </w:r>
            <w:r>
              <w:rPr>
                <w:rFonts w:hint="eastAsia" w:ascii="宋体" w:hAnsi="宋体" w:eastAsia="宋体" w:cs="宋体"/>
                <w:bCs/>
                <w:color w:val="auto"/>
                <w:sz w:val="24"/>
                <w:szCs w:val="24"/>
                <w:highlight w:val="none"/>
                <w:lang w:eastAsia="zh-CN" w:bidi="ar"/>
              </w:rPr>
              <w:t>全面，施肥计划措施</w:t>
            </w:r>
            <w:r>
              <w:rPr>
                <w:rFonts w:hint="eastAsia" w:ascii="宋体" w:hAnsi="宋体" w:eastAsia="宋体" w:cs="宋体"/>
                <w:bCs/>
                <w:color w:val="auto"/>
                <w:sz w:val="24"/>
                <w:szCs w:val="24"/>
                <w:highlight w:val="none"/>
                <w:lang w:val="en-US" w:eastAsia="zh-CN" w:bidi="ar"/>
              </w:rPr>
              <w:t>较</w:t>
            </w:r>
            <w:r>
              <w:rPr>
                <w:rFonts w:hint="eastAsia" w:ascii="宋体" w:hAnsi="宋体" w:eastAsia="宋体" w:cs="宋体"/>
                <w:bCs/>
                <w:color w:val="auto"/>
                <w:sz w:val="24"/>
                <w:szCs w:val="24"/>
                <w:highlight w:val="none"/>
                <w:lang w:eastAsia="zh-CN" w:bidi="ar"/>
              </w:rPr>
              <w:t>完善，但存在一定缺陷有待改进的得</w:t>
            </w:r>
            <w:r>
              <w:rPr>
                <w:rFonts w:hint="eastAsia" w:ascii="宋体" w:hAnsi="宋体" w:eastAsia="宋体" w:cs="宋体"/>
                <w:bCs/>
                <w:color w:val="auto"/>
                <w:sz w:val="24"/>
                <w:szCs w:val="24"/>
                <w:highlight w:val="none"/>
                <w:lang w:val="en-US" w:eastAsia="zh-CN" w:bidi="ar"/>
              </w:rPr>
              <w:t>2</w:t>
            </w:r>
            <w:r>
              <w:rPr>
                <w:rFonts w:hint="eastAsia" w:ascii="宋体" w:hAnsi="宋体" w:eastAsia="宋体" w:cs="宋体"/>
                <w:bCs/>
                <w:color w:val="auto"/>
                <w:sz w:val="24"/>
                <w:szCs w:val="24"/>
                <w:highlight w:val="none"/>
                <w:lang w:eastAsia="zh-CN" w:bidi="ar"/>
              </w:rPr>
              <w:t>分；</w:t>
            </w:r>
          </w:p>
          <w:p w14:paraId="7523307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③方案内容基本符合</w:t>
            </w:r>
            <w:r>
              <w:rPr>
                <w:rFonts w:hint="eastAsia" w:ascii="宋体" w:hAnsi="宋体" w:eastAsia="宋体" w:cs="宋体"/>
                <w:bCs/>
                <w:color w:val="auto"/>
                <w:sz w:val="24"/>
                <w:szCs w:val="24"/>
                <w:highlight w:val="none"/>
                <w:lang w:val="en-US" w:eastAsia="zh-CN" w:bidi="ar"/>
              </w:rPr>
              <w:t>项目</w:t>
            </w:r>
            <w:r>
              <w:rPr>
                <w:rFonts w:hint="eastAsia" w:ascii="宋体" w:hAnsi="宋体" w:eastAsia="宋体" w:cs="宋体"/>
                <w:bCs/>
                <w:color w:val="auto"/>
                <w:sz w:val="24"/>
                <w:szCs w:val="24"/>
                <w:highlight w:val="none"/>
                <w:lang w:eastAsia="zh-CN" w:bidi="ar"/>
              </w:rPr>
              <w:t>实际需求，但方案不全面，未针对性提出管理措施的得1分；</w:t>
            </w:r>
          </w:p>
          <w:p w14:paraId="36E6A7F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④方案内容不完整，内容分析不充分，与本项目实际需求有差距的得0.5分；</w:t>
            </w:r>
          </w:p>
          <w:p w14:paraId="6F708D1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⑤未提供相关内容的不得分。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292253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val="en-US" w:eastAsia="zh-CN" w:bidi="ar"/>
              </w:rPr>
              <w:t>3</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5262A9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主观评审</w:t>
            </w:r>
          </w:p>
        </w:tc>
      </w:tr>
      <w:tr w14:paraId="23C4E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64DD8F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428121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4BF08C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492" w:type="dxa"/>
            <w:vMerge w:val="continue"/>
            <w:tcBorders>
              <w:left w:val="single" w:color="auto" w:sz="4" w:space="0"/>
              <w:right w:val="single" w:color="auto" w:sz="4" w:space="0"/>
            </w:tcBorders>
            <w:noWrap w:val="0"/>
            <w:vAlign w:val="center"/>
          </w:tcPr>
          <w:p w14:paraId="56D3C4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8797" w:type="dxa"/>
            <w:gridSpan w:val="2"/>
            <w:tcBorders>
              <w:top w:val="single" w:color="auto" w:sz="4" w:space="0"/>
              <w:left w:val="single" w:color="auto" w:sz="4" w:space="0"/>
              <w:bottom w:val="single" w:color="auto" w:sz="4" w:space="0"/>
              <w:right w:val="single" w:color="auto" w:sz="4" w:space="0"/>
            </w:tcBorders>
            <w:noWrap w:val="0"/>
            <w:vAlign w:val="center"/>
          </w:tcPr>
          <w:p w14:paraId="0A22AB6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val="en-US" w:eastAsia="zh-CN" w:bidi="ar"/>
              </w:rPr>
              <w:t>4.4</w:t>
            </w:r>
            <w:r>
              <w:rPr>
                <w:rFonts w:hint="eastAsia" w:ascii="宋体" w:hAnsi="宋体" w:eastAsia="宋体" w:cs="宋体"/>
                <w:bCs/>
                <w:color w:val="auto"/>
                <w:sz w:val="24"/>
                <w:szCs w:val="24"/>
                <w:highlight w:val="none"/>
                <w:lang w:bidi="ar"/>
              </w:rPr>
              <w:t>评委根据供应商的草花更换及花境点维护</w:t>
            </w:r>
            <w:r>
              <w:rPr>
                <w:rFonts w:hint="eastAsia" w:ascii="宋体" w:hAnsi="宋体" w:eastAsia="宋体" w:cs="宋体"/>
                <w:bCs/>
                <w:color w:val="auto"/>
                <w:sz w:val="24"/>
                <w:szCs w:val="24"/>
                <w:highlight w:val="none"/>
              </w:rPr>
              <w:t>方案</w:t>
            </w:r>
            <w:r>
              <w:rPr>
                <w:rFonts w:hint="eastAsia" w:ascii="宋体" w:hAnsi="宋体" w:eastAsia="宋体" w:cs="宋体"/>
                <w:bCs/>
                <w:color w:val="auto"/>
                <w:sz w:val="24"/>
                <w:szCs w:val="24"/>
                <w:highlight w:val="none"/>
                <w:lang w:eastAsia="zh-CN" w:bidi="ar"/>
              </w:rPr>
              <w:t>：</w:t>
            </w:r>
          </w:p>
          <w:p w14:paraId="3133098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①方案内容完全结合公园实际情况，草花更换</w:t>
            </w:r>
            <w:r>
              <w:rPr>
                <w:rFonts w:hint="eastAsia" w:ascii="宋体" w:hAnsi="宋体" w:eastAsia="宋体" w:cs="宋体"/>
                <w:bCs/>
                <w:color w:val="auto"/>
                <w:sz w:val="24"/>
                <w:szCs w:val="24"/>
                <w:highlight w:val="none"/>
                <w:lang w:val="en-US" w:eastAsia="zh-CN" w:bidi="ar"/>
              </w:rPr>
              <w:t>及时符合季节时令品种多样，</w:t>
            </w:r>
            <w:r>
              <w:rPr>
                <w:rFonts w:hint="eastAsia" w:ascii="宋体" w:hAnsi="宋体" w:eastAsia="宋体" w:cs="宋体"/>
                <w:bCs/>
                <w:color w:val="auto"/>
                <w:sz w:val="24"/>
                <w:szCs w:val="24"/>
                <w:highlight w:val="none"/>
                <w:lang w:eastAsia="zh-CN" w:bidi="ar"/>
              </w:rPr>
              <w:t>花镜点维护</w:t>
            </w:r>
            <w:r>
              <w:rPr>
                <w:rFonts w:hint="eastAsia" w:ascii="宋体" w:hAnsi="宋体" w:eastAsia="宋体" w:cs="宋体"/>
                <w:bCs/>
                <w:color w:val="auto"/>
                <w:sz w:val="24"/>
                <w:szCs w:val="24"/>
                <w:highlight w:val="none"/>
                <w:lang w:val="en-US" w:eastAsia="zh-CN" w:bidi="ar"/>
              </w:rPr>
              <w:t>方案专业</w:t>
            </w:r>
            <w:r>
              <w:rPr>
                <w:rFonts w:hint="eastAsia" w:ascii="宋体" w:hAnsi="宋体" w:eastAsia="宋体" w:cs="宋体"/>
                <w:bCs/>
                <w:color w:val="auto"/>
                <w:sz w:val="24"/>
                <w:szCs w:val="24"/>
                <w:highlight w:val="none"/>
                <w:lang w:eastAsia="zh-CN" w:bidi="ar"/>
              </w:rPr>
              <w:t>，且有针对性措施的得</w:t>
            </w:r>
            <w:r>
              <w:rPr>
                <w:rFonts w:hint="eastAsia" w:ascii="宋体" w:hAnsi="宋体" w:eastAsia="宋体" w:cs="宋体"/>
                <w:bCs/>
                <w:color w:val="auto"/>
                <w:sz w:val="24"/>
                <w:szCs w:val="24"/>
                <w:highlight w:val="none"/>
                <w:lang w:val="en-US" w:eastAsia="zh-CN" w:bidi="ar"/>
              </w:rPr>
              <w:t>3</w:t>
            </w:r>
            <w:r>
              <w:rPr>
                <w:rFonts w:hint="eastAsia" w:ascii="宋体" w:hAnsi="宋体" w:eastAsia="宋体" w:cs="宋体"/>
                <w:bCs/>
                <w:color w:val="auto"/>
                <w:sz w:val="24"/>
                <w:szCs w:val="24"/>
                <w:highlight w:val="none"/>
                <w:lang w:eastAsia="zh-CN" w:bidi="ar"/>
              </w:rPr>
              <w:t>分；</w:t>
            </w:r>
          </w:p>
          <w:p w14:paraId="74C69BD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②方案内容有结合公园实际情况，草花更换</w:t>
            </w:r>
            <w:r>
              <w:rPr>
                <w:rFonts w:hint="eastAsia" w:ascii="宋体" w:hAnsi="宋体" w:eastAsia="宋体" w:cs="宋体"/>
                <w:bCs/>
                <w:color w:val="auto"/>
                <w:sz w:val="24"/>
                <w:szCs w:val="24"/>
                <w:highlight w:val="none"/>
                <w:lang w:val="en-US" w:eastAsia="zh-CN" w:bidi="ar"/>
              </w:rPr>
              <w:t>及时</w:t>
            </w:r>
            <w:r>
              <w:rPr>
                <w:rFonts w:hint="eastAsia" w:ascii="宋体" w:hAnsi="宋体" w:eastAsia="宋体" w:cs="宋体"/>
                <w:bCs/>
                <w:color w:val="auto"/>
                <w:sz w:val="24"/>
                <w:szCs w:val="24"/>
                <w:highlight w:val="none"/>
                <w:lang w:eastAsia="zh-CN" w:bidi="ar"/>
              </w:rPr>
              <w:t>，花镜点维护方案</w:t>
            </w:r>
            <w:r>
              <w:rPr>
                <w:rFonts w:hint="eastAsia" w:ascii="宋体" w:hAnsi="宋体" w:eastAsia="宋体" w:cs="宋体"/>
                <w:bCs/>
                <w:color w:val="auto"/>
                <w:sz w:val="24"/>
                <w:szCs w:val="24"/>
                <w:highlight w:val="none"/>
                <w:lang w:val="en-US" w:eastAsia="zh-CN" w:bidi="ar"/>
              </w:rPr>
              <w:t>全面</w:t>
            </w:r>
            <w:r>
              <w:rPr>
                <w:rFonts w:hint="eastAsia" w:ascii="宋体" w:hAnsi="宋体" w:eastAsia="宋体" w:cs="宋体"/>
                <w:bCs/>
                <w:color w:val="auto"/>
                <w:sz w:val="24"/>
                <w:szCs w:val="24"/>
                <w:highlight w:val="none"/>
                <w:lang w:eastAsia="zh-CN" w:bidi="ar"/>
              </w:rPr>
              <w:t>，但存在一定缺陷有待改进的得</w:t>
            </w:r>
            <w:r>
              <w:rPr>
                <w:rFonts w:hint="eastAsia" w:ascii="宋体" w:hAnsi="宋体" w:eastAsia="宋体" w:cs="宋体"/>
                <w:bCs/>
                <w:color w:val="auto"/>
                <w:sz w:val="24"/>
                <w:szCs w:val="24"/>
                <w:highlight w:val="none"/>
                <w:lang w:val="en-US" w:eastAsia="zh-CN" w:bidi="ar"/>
              </w:rPr>
              <w:t>2</w:t>
            </w:r>
            <w:r>
              <w:rPr>
                <w:rFonts w:hint="eastAsia" w:ascii="宋体" w:hAnsi="宋体" w:eastAsia="宋体" w:cs="宋体"/>
                <w:bCs/>
                <w:color w:val="auto"/>
                <w:sz w:val="24"/>
                <w:szCs w:val="24"/>
                <w:highlight w:val="none"/>
                <w:lang w:eastAsia="zh-CN" w:bidi="ar"/>
              </w:rPr>
              <w:t>分；</w:t>
            </w:r>
          </w:p>
          <w:p w14:paraId="7A9EB5B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③方案内容基本符合公园实际需求，但方案不全面，未针对性提出管理措施的得1分；</w:t>
            </w:r>
          </w:p>
          <w:p w14:paraId="4E8A014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④方案内容不完整，内容分析不充分，与本项目实际需求有差距的得0.5分；</w:t>
            </w:r>
          </w:p>
          <w:p w14:paraId="7DD73CB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⑤未提供相关内容的不得分。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131FC7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val="en-US" w:eastAsia="zh-CN" w:bidi="ar"/>
              </w:rPr>
              <w:t>3</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163EF2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主观评审</w:t>
            </w:r>
          </w:p>
        </w:tc>
      </w:tr>
      <w:tr w14:paraId="5CB50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4F2FEC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0C79C8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341982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492" w:type="dxa"/>
            <w:vMerge w:val="continue"/>
            <w:tcBorders>
              <w:left w:val="single" w:color="auto" w:sz="4" w:space="0"/>
              <w:bottom w:val="single" w:color="auto" w:sz="4" w:space="0"/>
              <w:right w:val="single" w:color="auto" w:sz="4" w:space="0"/>
            </w:tcBorders>
            <w:noWrap w:val="0"/>
            <w:vAlign w:val="center"/>
          </w:tcPr>
          <w:p w14:paraId="57748B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8797" w:type="dxa"/>
            <w:gridSpan w:val="2"/>
            <w:tcBorders>
              <w:top w:val="single" w:color="auto" w:sz="4" w:space="0"/>
              <w:left w:val="single" w:color="auto" w:sz="4" w:space="0"/>
              <w:bottom w:val="single" w:color="auto" w:sz="4" w:space="0"/>
              <w:right w:val="single" w:color="auto" w:sz="4" w:space="0"/>
            </w:tcBorders>
            <w:noWrap w:val="0"/>
            <w:vAlign w:val="center"/>
          </w:tcPr>
          <w:p w14:paraId="20FC2FF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val="en-US" w:eastAsia="zh-CN" w:bidi="ar"/>
              </w:rPr>
              <w:t>4.5</w:t>
            </w:r>
            <w:r>
              <w:rPr>
                <w:rFonts w:hint="eastAsia" w:ascii="宋体" w:hAnsi="宋体" w:eastAsia="宋体" w:cs="宋体"/>
                <w:bCs/>
                <w:color w:val="auto"/>
                <w:sz w:val="24"/>
                <w:szCs w:val="24"/>
                <w:highlight w:val="none"/>
                <w:lang w:bidi="ar"/>
              </w:rPr>
              <w:t>评委根据供应商的</w:t>
            </w:r>
            <w:r>
              <w:rPr>
                <w:rFonts w:hint="eastAsia" w:ascii="宋体" w:hAnsi="宋体" w:eastAsia="宋体" w:cs="宋体"/>
                <w:bCs/>
                <w:color w:val="auto"/>
                <w:sz w:val="24"/>
                <w:szCs w:val="24"/>
                <w:highlight w:val="none"/>
              </w:rPr>
              <w:t>除杂草、植物补植方案</w:t>
            </w:r>
            <w:r>
              <w:rPr>
                <w:rFonts w:hint="eastAsia" w:ascii="宋体" w:hAnsi="宋体" w:eastAsia="宋体" w:cs="宋体"/>
                <w:bCs/>
                <w:color w:val="auto"/>
                <w:sz w:val="24"/>
                <w:szCs w:val="24"/>
                <w:highlight w:val="none"/>
                <w:lang w:eastAsia="zh-CN" w:bidi="ar"/>
              </w:rPr>
              <w:t>：</w:t>
            </w:r>
          </w:p>
          <w:p w14:paraId="061ECB4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①方案内容完全结合公园实际情况，除杂草、植物补植</w:t>
            </w:r>
            <w:r>
              <w:rPr>
                <w:rFonts w:hint="eastAsia" w:ascii="宋体" w:hAnsi="宋体" w:eastAsia="宋体" w:cs="宋体"/>
                <w:bCs/>
                <w:color w:val="auto"/>
                <w:sz w:val="24"/>
                <w:szCs w:val="24"/>
                <w:highlight w:val="none"/>
                <w:lang w:val="en-US" w:eastAsia="zh-CN" w:bidi="ar"/>
              </w:rPr>
              <w:t>科学合理方案全面</w:t>
            </w:r>
            <w:r>
              <w:rPr>
                <w:rFonts w:hint="eastAsia" w:ascii="宋体" w:hAnsi="宋体" w:eastAsia="宋体" w:cs="宋体"/>
                <w:bCs/>
                <w:color w:val="auto"/>
                <w:sz w:val="24"/>
                <w:szCs w:val="24"/>
                <w:highlight w:val="none"/>
                <w:lang w:eastAsia="zh-CN" w:bidi="ar"/>
              </w:rPr>
              <w:t>，且有针对性措施的得</w:t>
            </w:r>
            <w:r>
              <w:rPr>
                <w:rFonts w:hint="eastAsia" w:ascii="宋体" w:hAnsi="宋体" w:eastAsia="宋体" w:cs="宋体"/>
                <w:bCs/>
                <w:color w:val="auto"/>
                <w:sz w:val="24"/>
                <w:szCs w:val="24"/>
                <w:highlight w:val="none"/>
                <w:lang w:val="en-US" w:eastAsia="zh-CN" w:bidi="ar"/>
              </w:rPr>
              <w:t>3</w:t>
            </w:r>
            <w:r>
              <w:rPr>
                <w:rFonts w:hint="eastAsia" w:ascii="宋体" w:hAnsi="宋体" w:eastAsia="宋体" w:cs="宋体"/>
                <w:bCs/>
                <w:color w:val="auto"/>
                <w:sz w:val="24"/>
                <w:szCs w:val="24"/>
                <w:highlight w:val="none"/>
                <w:lang w:eastAsia="zh-CN" w:bidi="ar"/>
              </w:rPr>
              <w:t>分；</w:t>
            </w:r>
          </w:p>
          <w:p w14:paraId="39D002C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②方案内容有结合公园实际情况，方案全面，但存在一定缺陷有待改进的得</w:t>
            </w:r>
            <w:r>
              <w:rPr>
                <w:rFonts w:hint="eastAsia" w:ascii="宋体" w:hAnsi="宋体" w:eastAsia="宋体" w:cs="宋体"/>
                <w:bCs/>
                <w:color w:val="auto"/>
                <w:sz w:val="24"/>
                <w:szCs w:val="24"/>
                <w:highlight w:val="none"/>
                <w:lang w:val="en-US" w:eastAsia="zh-CN" w:bidi="ar"/>
              </w:rPr>
              <w:t>2</w:t>
            </w:r>
            <w:r>
              <w:rPr>
                <w:rFonts w:hint="eastAsia" w:ascii="宋体" w:hAnsi="宋体" w:eastAsia="宋体" w:cs="宋体"/>
                <w:bCs/>
                <w:color w:val="auto"/>
                <w:sz w:val="24"/>
                <w:szCs w:val="24"/>
                <w:highlight w:val="none"/>
                <w:lang w:eastAsia="zh-CN" w:bidi="ar"/>
              </w:rPr>
              <w:t>分；</w:t>
            </w:r>
          </w:p>
          <w:p w14:paraId="2B17970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③方案内容基本符合公园实际需求，但方案不全面，未针对性提出管理措施的得1分；</w:t>
            </w:r>
          </w:p>
          <w:p w14:paraId="4B7D0CB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④方案内容不完整，内容分析不充分，与本项目实际需求有差距的得0.5分；</w:t>
            </w:r>
          </w:p>
          <w:p w14:paraId="3C73F25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⑤未提供相关内容的不得分。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186AA0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val="en-US" w:eastAsia="zh-CN" w:bidi="ar"/>
              </w:rPr>
              <w:t>3</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7CAD11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主观评审</w:t>
            </w:r>
          </w:p>
        </w:tc>
      </w:tr>
      <w:tr w14:paraId="1B2C9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1391DA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7EB691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38C235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0289" w:type="dxa"/>
            <w:gridSpan w:val="3"/>
            <w:tcBorders>
              <w:left w:val="single" w:color="auto" w:sz="4" w:space="0"/>
              <w:bottom w:val="single" w:color="auto" w:sz="4" w:space="0"/>
              <w:right w:val="single" w:color="auto" w:sz="4" w:space="0"/>
            </w:tcBorders>
            <w:noWrap w:val="0"/>
            <w:vAlign w:val="center"/>
          </w:tcPr>
          <w:p w14:paraId="19B5E6D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val="en-US" w:eastAsia="zh-CN" w:bidi="ar"/>
              </w:rPr>
              <w:t>5）</w:t>
            </w:r>
            <w:r>
              <w:rPr>
                <w:rFonts w:hint="eastAsia" w:ascii="宋体" w:hAnsi="宋体" w:eastAsia="宋体" w:cs="宋体"/>
                <w:bCs/>
                <w:color w:val="auto"/>
                <w:sz w:val="24"/>
                <w:szCs w:val="24"/>
                <w:highlight w:val="none"/>
                <w:lang w:bidi="ar"/>
              </w:rPr>
              <w:t>水</w:t>
            </w:r>
            <w:r>
              <w:rPr>
                <w:rFonts w:hint="eastAsia" w:ascii="宋体" w:hAnsi="宋体" w:eastAsia="宋体" w:cs="宋体"/>
                <w:bCs/>
                <w:color w:val="auto"/>
                <w:sz w:val="24"/>
                <w:szCs w:val="24"/>
                <w:highlight w:val="none"/>
                <w:lang w:val="en-US" w:eastAsia="zh-CN" w:bidi="ar"/>
              </w:rPr>
              <w:t>体管理保洁</w:t>
            </w:r>
            <w:r>
              <w:rPr>
                <w:rFonts w:hint="eastAsia" w:ascii="宋体" w:hAnsi="宋体" w:eastAsia="宋体" w:cs="宋体"/>
                <w:bCs/>
                <w:color w:val="auto"/>
                <w:sz w:val="24"/>
                <w:szCs w:val="24"/>
                <w:highlight w:val="none"/>
                <w:lang w:bidi="ar"/>
              </w:rPr>
              <w:t>方案：</w:t>
            </w:r>
          </w:p>
          <w:p w14:paraId="035E735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①方案内容完全结合公园实际情况，水体管理保洁方案全面</w:t>
            </w:r>
            <w:r>
              <w:rPr>
                <w:rFonts w:hint="eastAsia" w:ascii="宋体" w:hAnsi="宋体" w:eastAsia="宋体" w:cs="宋体"/>
                <w:bCs/>
                <w:color w:val="auto"/>
                <w:sz w:val="24"/>
                <w:szCs w:val="24"/>
                <w:highlight w:val="none"/>
                <w:lang w:val="en-US" w:eastAsia="zh-CN" w:bidi="ar"/>
              </w:rPr>
              <w:t>合理，对各标项水域状况有清晰了解，水域安全作业方案到位</w:t>
            </w:r>
            <w:r>
              <w:rPr>
                <w:rFonts w:hint="eastAsia" w:ascii="宋体" w:hAnsi="宋体" w:eastAsia="宋体" w:cs="宋体"/>
                <w:bCs/>
                <w:color w:val="auto"/>
                <w:sz w:val="24"/>
                <w:szCs w:val="24"/>
                <w:highlight w:val="none"/>
                <w:lang w:bidi="ar"/>
              </w:rPr>
              <w:t>，鱼苗</w:t>
            </w:r>
            <w:r>
              <w:rPr>
                <w:rFonts w:hint="eastAsia" w:ascii="宋体" w:hAnsi="宋体" w:eastAsia="宋体" w:cs="宋体"/>
                <w:bCs/>
                <w:color w:val="auto"/>
                <w:sz w:val="24"/>
                <w:szCs w:val="24"/>
                <w:highlight w:val="none"/>
                <w:lang w:val="en-US" w:eastAsia="zh-CN" w:bidi="ar"/>
              </w:rPr>
              <w:t>投放方案详尽（若标项需要）</w:t>
            </w:r>
            <w:r>
              <w:rPr>
                <w:rFonts w:hint="eastAsia" w:ascii="宋体" w:hAnsi="宋体" w:eastAsia="宋体" w:cs="宋体"/>
                <w:bCs/>
                <w:color w:val="auto"/>
                <w:sz w:val="24"/>
                <w:szCs w:val="24"/>
                <w:highlight w:val="none"/>
                <w:lang w:bidi="ar"/>
              </w:rPr>
              <w:t>且有针对性措施的得</w:t>
            </w:r>
            <w:r>
              <w:rPr>
                <w:rFonts w:hint="eastAsia" w:ascii="宋体" w:hAnsi="宋体" w:eastAsia="宋体" w:cs="宋体"/>
                <w:bCs/>
                <w:color w:val="auto"/>
                <w:sz w:val="24"/>
                <w:szCs w:val="24"/>
                <w:highlight w:val="none"/>
                <w:lang w:val="en-US" w:eastAsia="zh-CN" w:bidi="ar"/>
              </w:rPr>
              <w:t>3</w:t>
            </w:r>
            <w:r>
              <w:rPr>
                <w:rFonts w:hint="eastAsia" w:ascii="宋体" w:hAnsi="宋体" w:eastAsia="宋体" w:cs="宋体"/>
                <w:bCs/>
                <w:color w:val="auto"/>
                <w:sz w:val="24"/>
                <w:szCs w:val="24"/>
                <w:highlight w:val="none"/>
                <w:lang w:bidi="ar"/>
              </w:rPr>
              <w:t>分；</w:t>
            </w:r>
          </w:p>
          <w:p w14:paraId="601372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②方案内容有结合公园实际情况，水体管理保洁方案方案</w:t>
            </w:r>
            <w:r>
              <w:rPr>
                <w:rFonts w:hint="eastAsia" w:ascii="宋体" w:hAnsi="宋体" w:eastAsia="宋体" w:cs="宋体"/>
                <w:bCs/>
                <w:color w:val="auto"/>
                <w:sz w:val="24"/>
                <w:szCs w:val="24"/>
                <w:highlight w:val="none"/>
                <w:lang w:val="en-US" w:eastAsia="zh-CN" w:bidi="ar"/>
              </w:rPr>
              <w:t>较</w:t>
            </w:r>
            <w:r>
              <w:rPr>
                <w:rFonts w:hint="eastAsia" w:ascii="宋体" w:hAnsi="宋体" w:eastAsia="宋体" w:cs="宋体"/>
                <w:bCs/>
                <w:color w:val="auto"/>
                <w:sz w:val="24"/>
                <w:szCs w:val="24"/>
                <w:highlight w:val="none"/>
                <w:lang w:bidi="ar"/>
              </w:rPr>
              <w:t>全面，水域安全作业方案到位</w:t>
            </w:r>
            <w:r>
              <w:rPr>
                <w:rFonts w:hint="eastAsia" w:ascii="宋体" w:hAnsi="宋体" w:eastAsia="宋体" w:cs="宋体"/>
                <w:bCs/>
                <w:color w:val="auto"/>
                <w:sz w:val="24"/>
                <w:szCs w:val="24"/>
                <w:highlight w:val="none"/>
                <w:lang w:eastAsia="zh-CN" w:bidi="ar"/>
              </w:rPr>
              <w:t>，</w:t>
            </w:r>
            <w:r>
              <w:rPr>
                <w:rFonts w:hint="eastAsia" w:ascii="宋体" w:hAnsi="宋体" w:eastAsia="宋体" w:cs="宋体"/>
                <w:bCs/>
                <w:color w:val="auto"/>
                <w:sz w:val="24"/>
                <w:szCs w:val="24"/>
                <w:highlight w:val="none"/>
                <w:lang w:bidi="ar"/>
              </w:rPr>
              <w:t>但存在一定缺陷有待改进的得</w:t>
            </w:r>
            <w:r>
              <w:rPr>
                <w:rFonts w:hint="eastAsia" w:ascii="宋体" w:hAnsi="宋体" w:eastAsia="宋体" w:cs="宋体"/>
                <w:bCs/>
                <w:color w:val="auto"/>
                <w:sz w:val="24"/>
                <w:szCs w:val="24"/>
                <w:highlight w:val="none"/>
                <w:lang w:val="en-US" w:eastAsia="zh-CN" w:bidi="ar"/>
              </w:rPr>
              <w:t>2</w:t>
            </w:r>
            <w:r>
              <w:rPr>
                <w:rFonts w:hint="eastAsia" w:ascii="宋体" w:hAnsi="宋体" w:eastAsia="宋体" w:cs="宋体"/>
                <w:bCs/>
                <w:color w:val="auto"/>
                <w:sz w:val="24"/>
                <w:szCs w:val="24"/>
                <w:highlight w:val="none"/>
                <w:lang w:bidi="ar"/>
              </w:rPr>
              <w:t>分；</w:t>
            </w:r>
          </w:p>
          <w:p w14:paraId="634307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③方案内容基本符合</w:t>
            </w:r>
            <w:r>
              <w:rPr>
                <w:rFonts w:hint="eastAsia" w:ascii="宋体" w:hAnsi="宋体" w:eastAsia="宋体" w:cs="宋体"/>
                <w:bCs/>
                <w:color w:val="auto"/>
                <w:sz w:val="24"/>
                <w:szCs w:val="24"/>
                <w:highlight w:val="none"/>
                <w:lang w:val="en-US" w:eastAsia="zh-CN" w:bidi="ar"/>
              </w:rPr>
              <w:t>项目</w:t>
            </w:r>
            <w:r>
              <w:rPr>
                <w:rFonts w:hint="eastAsia" w:ascii="宋体" w:hAnsi="宋体" w:eastAsia="宋体" w:cs="宋体"/>
                <w:bCs/>
                <w:color w:val="auto"/>
                <w:sz w:val="24"/>
                <w:szCs w:val="24"/>
                <w:highlight w:val="none"/>
                <w:lang w:bidi="ar"/>
              </w:rPr>
              <w:t>实际需求，但方案不全面，未针对性提出管理措施的得1分；</w:t>
            </w:r>
          </w:p>
          <w:p w14:paraId="5FECF0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④方案内容不完整，内容分析不充分，与本项目实际需求有差距的得0.5分；</w:t>
            </w:r>
          </w:p>
          <w:p w14:paraId="253C0E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⑤未提供相关内容的不得分。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349898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val="en-US" w:eastAsia="zh-CN" w:bidi="ar"/>
              </w:rPr>
              <w:t>3</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7FC480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主观评审</w:t>
            </w:r>
          </w:p>
        </w:tc>
      </w:tr>
      <w:tr w14:paraId="18D97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5DBE33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3A38E1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229B64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492" w:type="dxa"/>
            <w:vMerge w:val="restart"/>
            <w:tcBorders>
              <w:left w:val="single" w:color="auto" w:sz="4" w:space="0"/>
              <w:right w:val="single" w:color="auto" w:sz="4" w:space="0"/>
            </w:tcBorders>
            <w:noWrap w:val="0"/>
            <w:vAlign w:val="center"/>
          </w:tcPr>
          <w:p w14:paraId="0FB750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6）</w:t>
            </w:r>
            <w:r>
              <w:rPr>
                <w:rFonts w:hint="eastAsia" w:ascii="宋体" w:hAnsi="宋体" w:eastAsia="宋体" w:cs="宋体"/>
                <w:bCs/>
                <w:color w:val="auto"/>
                <w:sz w:val="24"/>
                <w:szCs w:val="24"/>
                <w:highlight w:val="none"/>
                <w:lang w:val="en-US" w:eastAsia="zh-CN" w:bidi="ar"/>
              </w:rPr>
              <w:t>公园</w:t>
            </w:r>
            <w:r>
              <w:rPr>
                <w:rFonts w:hint="eastAsia" w:ascii="宋体" w:hAnsi="宋体" w:eastAsia="宋体" w:cs="宋体"/>
                <w:bCs/>
                <w:color w:val="auto"/>
                <w:sz w:val="24"/>
                <w:szCs w:val="24"/>
                <w:highlight w:val="none"/>
                <w:lang w:bidi="ar"/>
              </w:rPr>
              <w:t>保洁方案（</w:t>
            </w:r>
            <w:r>
              <w:rPr>
                <w:rFonts w:hint="eastAsia" w:ascii="宋体" w:hAnsi="宋体" w:eastAsia="宋体" w:cs="宋体"/>
                <w:bCs/>
                <w:color w:val="auto"/>
                <w:sz w:val="24"/>
                <w:szCs w:val="24"/>
                <w:highlight w:val="none"/>
                <w:lang w:val="en-US" w:eastAsia="zh-CN" w:bidi="ar"/>
              </w:rPr>
              <w:t>9</w:t>
            </w:r>
            <w:r>
              <w:rPr>
                <w:rFonts w:hint="eastAsia" w:ascii="宋体" w:hAnsi="宋体" w:eastAsia="宋体" w:cs="宋体"/>
                <w:bCs/>
                <w:color w:val="auto"/>
                <w:sz w:val="24"/>
                <w:szCs w:val="24"/>
                <w:highlight w:val="none"/>
                <w:lang w:bidi="ar"/>
              </w:rPr>
              <w:t>分）</w:t>
            </w:r>
          </w:p>
        </w:tc>
        <w:tc>
          <w:tcPr>
            <w:tcW w:w="8797" w:type="dxa"/>
            <w:gridSpan w:val="2"/>
            <w:tcBorders>
              <w:left w:val="single" w:color="auto" w:sz="4" w:space="0"/>
              <w:bottom w:val="single" w:color="auto" w:sz="4" w:space="0"/>
              <w:right w:val="single" w:color="auto" w:sz="4" w:space="0"/>
            </w:tcBorders>
            <w:noWrap w:val="0"/>
            <w:vAlign w:val="center"/>
          </w:tcPr>
          <w:p w14:paraId="425CF68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val="en-US" w:eastAsia="zh-CN" w:bidi="ar"/>
              </w:rPr>
              <w:t>6.1</w:t>
            </w:r>
            <w:r>
              <w:rPr>
                <w:rFonts w:hint="eastAsia" w:ascii="宋体" w:hAnsi="宋体" w:eastAsia="宋体" w:cs="宋体"/>
                <w:bCs/>
                <w:color w:val="auto"/>
                <w:sz w:val="24"/>
                <w:szCs w:val="24"/>
                <w:highlight w:val="none"/>
                <w:lang w:bidi="ar"/>
              </w:rPr>
              <w:t>根据供应商提供的绿地保洁方案</w:t>
            </w:r>
            <w:r>
              <w:rPr>
                <w:rFonts w:hint="eastAsia" w:ascii="宋体" w:hAnsi="宋体" w:eastAsia="宋体" w:cs="宋体"/>
                <w:bCs/>
                <w:color w:val="auto"/>
                <w:sz w:val="24"/>
                <w:szCs w:val="24"/>
                <w:highlight w:val="none"/>
                <w:lang w:eastAsia="zh-CN" w:bidi="ar"/>
              </w:rPr>
              <w:t>：</w:t>
            </w:r>
          </w:p>
          <w:p w14:paraId="36F71C3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①方案内容完全结合公园</w:t>
            </w:r>
            <w:r>
              <w:rPr>
                <w:rFonts w:hint="eastAsia" w:ascii="宋体" w:hAnsi="宋体" w:eastAsia="宋体" w:cs="宋体"/>
                <w:bCs/>
                <w:color w:val="auto"/>
                <w:sz w:val="24"/>
                <w:szCs w:val="24"/>
                <w:highlight w:val="none"/>
                <w:lang w:val="en-US" w:eastAsia="zh-CN" w:bidi="ar"/>
              </w:rPr>
              <w:t>绿地保洁的</w:t>
            </w:r>
            <w:r>
              <w:rPr>
                <w:rFonts w:hint="eastAsia" w:ascii="宋体" w:hAnsi="宋体" w:eastAsia="宋体" w:cs="宋体"/>
                <w:bCs/>
                <w:color w:val="auto"/>
                <w:sz w:val="24"/>
                <w:szCs w:val="24"/>
                <w:highlight w:val="none"/>
                <w:lang w:eastAsia="zh-CN" w:bidi="ar"/>
              </w:rPr>
              <w:t>实际情况，</w:t>
            </w:r>
            <w:r>
              <w:rPr>
                <w:rFonts w:hint="eastAsia" w:ascii="宋体" w:hAnsi="宋体" w:eastAsia="宋体" w:cs="宋体"/>
                <w:bCs/>
                <w:color w:val="auto"/>
                <w:sz w:val="24"/>
                <w:szCs w:val="24"/>
                <w:highlight w:val="none"/>
                <w:lang w:val="en-US" w:eastAsia="zh-CN" w:bidi="ar"/>
              </w:rPr>
              <w:t>对“公园深度保洁（席地而坐）”有专项方案</w:t>
            </w:r>
            <w:r>
              <w:rPr>
                <w:rFonts w:hint="eastAsia" w:ascii="宋体" w:hAnsi="宋体" w:eastAsia="宋体" w:cs="宋体"/>
                <w:bCs/>
                <w:color w:val="auto"/>
                <w:sz w:val="24"/>
                <w:szCs w:val="24"/>
                <w:highlight w:val="none"/>
                <w:lang w:eastAsia="zh-CN" w:bidi="ar"/>
              </w:rPr>
              <w:t>，方案全面合理，且有针对性措施的得</w:t>
            </w:r>
            <w:r>
              <w:rPr>
                <w:rFonts w:hint="eastAsia" w:ascii="宋体" w:hAnsi="宋体" w:eastAsia="宋体" w:cs="宋体"/>
                <w:bCs/>
                <w:color w:val="auto"/>
                <w:sz w:val="24"/>
                <w:szCs w:val="24"/>
                <w:highlight w:val="none"/>
                <w:lang w:val="en-US" w:eastAsia="zh-CN" w:bidi="ar"/>
              </w:rPr>
              <w:t>4</w:t>
            </w:r>
            <w:r>
              <w:rPr>
                <w:rFonts w:hint="eastAsia" w:ascii="宋体" w:hAnsi="宋体" w:eastAsia="宋体" w:cs="宋体"/>
                <w:bCs/>
                <w:color w:val="auto"/>
                <w:sz w:val="24"/>
                <w:szCs w:val="24"/>
                <w:highlight w:val="none"/>
                <w:lang w:eastAsia="zh-CN" w:bidi="ar"/>
              </w:rPr>
              <w:t>分；</w:t>
            </w:r>
          </w:p>
          <w:p w14:paraId="20654FF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②方案内容有结合公园绿地保洁的实际情况，对“公园深度保洁（席地而坐）”有专项方案，方案全面，但存在一定缺陷有待改进的得</w:t>
            </w:r>
            <w:r>
              <w:rPr>
                <w:rFonts w:hint="eastAsia" w:ascii="宋体" w:hAnsi="宋体" w:eastAsia="宋体" w:cs="宋体"/>
                <w:bCs/>
                <w:color w:val="auto"/>
                <w:sz w:val="24"/>
                <w:szCs w:val="24"/>
                <w:highlight w:val="none"/>
                <w:lang w:val="en-US" w:eastAsia="zh-CN" w:bidi="ar"/>
              </w:rPr>
              <w:t>3</w:t>
            </w:r>
            <w:r>
              <w:rPr>
                <w:rFonts w:hint="eastAsia" w:ascii="宋体" w:hAnsi="宋体" w:eastAsia="宋体" w:cs="宋体"/>
                <w:bCs/>
                <w:color w:val="auto"/>
                <w:sz w:val="24"/>
                <w:szCs w:val="24"/>
                <w:highlight w:val="none"/>
                <w:lang w:eastAsia="zh-CN" w:bidi="ar"/>
              </w:rPr>
              <w:t>分；</w:t>
            </w:r>
          </w:p>
          <w:p w14:paraId="34F21FE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③方案内容基本符合公园绿地保洁的实际需求，但方案不全面，未针对性提出管理措施的得</w:t>
            </w:r>
            <w:r>
              <w:rPr>
                <w:rFonts w:hint="eastAsia" w:ascii="宋体" w:hAnsi="宋体" w:eastAsia="宋体" w:cs="宋体"/>
                <w:bCs/>
                <w:color w:val="auto"/>
                <w:sz w:val="24"/>
                <w:szCs w:val="24"/>
                <w:highlight w:val="none"/>
                <w:lang w:val="en-US" w:eastAsia="zh-CN" w:bidi="ar"/>
              </w:rPr>
              <w:t>2</w:t>
            </w:r>
            <w:r>
              <w:rPr>
                <w:rFonts w:hint="eastAsia" w:ascii="宋体" w:hAnsi="宋体" w:eastAsia="宋体" w:cs="宋体"/>
                <w:bCs/>
                <w:color w:val="auto"/>
                <w:sz w:val="24"/>
                <w:szCs w:val="24"/>
                <w:highlight w:val="none"/>
                <w:lang w:eastAsia="zh-CN" w:bidi="ar"/>
              </w:rPr>
              <w:t>分；</w:t>
            </w:r>
          </w:p>
          <w:p w14:paraId="4A0FCC4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④方案内容不完整，内容分析不充分，与本项目实际需求有差距的得</w:t>
            </w:r>
            <w:r>
              <w:rPr>
                <w:rFonts w:hint="eastAsia" w:ascii="宋体" w:hAnsi="宋体" w:eastAsia="宋体" w:cs="宋体"/>
                <w:bCs/>
                <w:color w:val="auto"/>
                <w:sz w:val="24"/>
                <w:szCs w:val="24"/>
                <w:highlight w:val="none"/>
                <w:lang w:val="en-US" w:eastAsia="zh-CN" w:bidi="ar"/>
              </w:rPr>
              <w:t>1</w:t>
            </w:r>
            <w:r>
              <w:rPr>
                <w:rFonts w:hint="eastAsia" w:ascii="宋体" w:hAnsi="宋体" w:eastAsia="宋体" w:cs="宋体"/>
                <w:bCs/>
                <w:color w:val="auto"/>
                <w:sz w:val="24"/>
                <w:szCs w:val="24"/>
                <w:highlight w:val="none"/>
                <w:lang w:eastAsia="zh-CN" w:bidi="ar"/>
              </w:rPr>
              <w:t>分；</w:t>
            </w:r>
          </w:p>
          <w:p w14:paraId="59F4E46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eastAsia="zh-CN" w:bidi="ar"/>
              </w:rPr>
              <w:t>⑤未提供相关内容的不得分。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155772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val="en-US" w:eastAsia="zh-CN" w:bidi="ar"/>
              </w:rPr>
              <w:t>4</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032B31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主观评审</w:t>
            </w:r>
          </w:p>
        </w:tc>
      </w:tr>
      <w:tr w14:paraId="0A8C0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0714F2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1C2265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5F207C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492" w:type="dxa"/>
            <w:vMerge w:val="continue"/>
            <w:tcBorders>
              <w:left w:val="single" w:color="auto" w:sz="4" w:space="0"/>
              <w:right w:val="single" w:color="auto" w:sz="4" w:space="0"/>
            </w:tcBorders>
            <w:noWrap w:val="0"/>
            <w:vAlign w:val="center"/>
          </w:tcPr>
          <w:p w14:paraId="3291E8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8797" w:type="dxa"/>
            <w:gridSpan w:val="2"/>
            <w:tcBorders>
              <w:left w:val="single" w:color="auto" w:sz="4" w:space="0"/>
              <w:bottom w:val="single" w:color="auto" w:sz="4" w:space="0"/>
              <w:right w:val="single" w:color="auto" w:sz="4" w:space="0"/>
            </w:tcBorders>
            <w:noWrap w:val="0"/>
            <w:vAlign w:val="center"/>
          </w:tcPr>
          <w:p w14:paraId="48F531A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val="en-US" w:eastAsia="zh-CN" w:bidi="ar"/>
              </w:rPr>
              <w:t>6.2</w:t>
            </w:r>
            <w:r>
              <w:rPr>
                <w:rFonts w:hint="eastAsia" w:ascii="宋体" w:hAnsi="宋体" w:eastAsia="宋体" w:cs="宋体"/>
                <w:bCs/>
                <w:color w:val="auto"/>
                <w:sz w:val="24"/>
                <w:szCs w:val="24"/>
                <w:highlight w:val="none"/>
                <w:lang w:bidi="ar"/>
              </w:rPr>
              <w:t>根据供应商提供的垃圾分类及清运方案</w:t>
            </w:r>
            <w:r>
              <w:rPr>
                <w:rFonts w:hint="eastAsia" w:ascii="宋体" w:hAnsi="宋体" w:eastAsia="宋体" w:cs="宋体"/>
                <w:bCs/>
                <w:color w:val="auto"/>
                <w:sz w:val="24"/>
                <w:szCs w:val="24"/>
                <w:highlight w:val="none"/>
                <w:lang w:eastAsia="zh-CN" w:bidi="ar"/>
              </w:rPr>
              <w:t>：</w:t>
            </w:r>
          </w:p>
          <w:p w14:paraId="0FCAC78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①方案内容完全结合公园实际情况，垃圾分类及清运方案全面合理，且有针对性措施的得</w:t>
            </w:r>
            <w:r>
              <w:rPr>
                <w:rFonts w:hint="eastAsia" w:ascii="宋体" w:hAnsi="宋体" w:eastAsia="宋体" w:cs="宋体"/>
                <w:bCs/>
                <w:color w:val="auto"/>
                <w:sz w:val="24"/>
                <w:szCs w:val="24"/>
                <w:highlight w:val="none"/>
                <w:lang w:val="en-US" w:eastAsia="zh-CN" w:bidi="ar"/>
              </w:rPr>
              <w:t>2</w:t>
            </w:r>
            <w:r>
              <w:rPr>
                <w:rFonts w:hint="eastAsia" w:ascii="宋体" w:hAnsi="宋体" w:eastAsia="宋体" w:cs="宋体"/>
                <w:bCs/>
                <w:color w:val="auto"/>
                <w:sz w:val="24"/>
                <w:szCs w:val="24"/>
                <w:highlight w:val="none"/>
                <w:lang w:eastAsia="zh-CN" w:bidi="ar"/>
              </w:rPr>
              <w:t>分；</w:t>
            </w:r>
          </w:p>
          <w:p w14:paraId="45DFEDA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②方案内容有结合公园实际情况，垃圾分类及清运方案全面，但存在一定缺陷有待改进的得</w:t>
            </w:r>
            <w:r>
              <w:rPr>
                <w:rFonts w:hint="eastAsia" w:ascii="宋体" w:hAnsi="宋体" w:eastAsia="宋体" w:cs="宋体"/>
                <w:bCs/>
                <w:color w:val="auto"/>
                <w:sz w:val="24"/>
                <w:szCs w:val="24"/>
                <w:highlight w:val="none"/>
                <w:lang w:val="en-US" w:eastAsia="zh-CN" w:bidi="ar"/>
              </w:rPr>
              <w:t>1.5</w:t>
            </w:r>
            <w:r>
              <w:rPr>
                <w:rFonts w:hint="eastAsia" w:ascii="宋体" w:hAnsi="宋体" w:eastAsia="宋体" w:cs="宋体"/>
                <w:bCs/>
                <w:color w:val="auto"/>
                <w:sz w:val="24"/>
                <w:szCs w:val="24"/>
                <w:highlight w:val="none"/>
                <w:lang w:eastAsia="zh-CN" w:bidi="ar"/>
              </w:rPr>
              <w:t>分；</w:t>
            </w:r>
          </w:p>
          <w:p w14:paraId="2B9D722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③方案内容基本符合</w:t>
            </w:r>
            <w:r>
              <w:rPr>
                <w:rFonts w:hint="eastAsia" w:ascii="宋体" w:hAnsi="宋体" w:eastAsia="宋体" w:cs="宋体"/>
                <w:bCs/>
                <w:color w:val="auto"/>
                <w:sz w:val="24"/>
                <w:szCs w:val="24"/>
                <w:highlight w:val="none"/>
                <w:lang w:val="en-US" w:eastAsia="zh-CN" w:bidi="ar"/>
              </w:rPr>
              <w:t>项目</w:t>
            </w:r>
            <w:r>
              <w:rPr>
                <w:rFonts w:hint="eastAsia" w:ascii="宋体" w:hAnsi="宋体" w:eastAsia="宋体" w:cs="宋体"/>
                <w:bCs/>
                <w:color w:val="auto"/>
                <w:sz w:val="24"/>
                <w:szCs w:val="24"/>
                <w:highlight w:val="none"/>
                <w:lang w:eastAsia="zh-CN" w:bidi="ar"/>
              </w:rPr>
              <w:t>实际需求，但方案不全面，未针对性提出管理措施的得1分；</w:t>
            </w:r>
          </w:p>
          <w:p w14:paraId="06DD63A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④方案内容不完整，内容分析不充分，与本项目实际需求有差距的得0.5分；</w:t>
            </w:r>
          </w:p>
          <w:p w14:paraId="7A37C8E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⑤未提供相关内容的不得分。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7170C0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val="en-US" w:eastAsia="zh-CN" w:bidi="ar"/>
              </w:rPr>
              <w:t>2</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6CBA24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主观评审</w:t>
            </w:r>
          </w:p>
        </w:tc>
      </w:tr>
      <w:tr w14:paraId="1D989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3FA00E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38ACE2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072A60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492" w:type="dxa"/>
            <w:vMerge w:val="continue"/>
            <w:tcBorders>
              <w:left w:val="single" w:color="auto" w:sz="4" w:space="0"/>
              <w:right w:val="single" w:color="auto" w:sz="4" w:space="0"/>
            </w:tcBorders>
            <w:noWrap w:val="0"/>
            <w:vAlign w:val="center"/>
          </w:tcPr>
          <w:p w14:paraId="7DEFC5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8797" w:type="dxa"/>
            <w:gridSpan w:val="2"/>
            <w:tcBorders>
              <w:left w:val="single" w:color="auto" w:sz="4" w:space="0"/>
              <w:bottom w:val="single" w:color="auto" w:sz="4" w:space="0"/>
              <w:right w:val="single" w:color="auto" w:sz="4" w:space="0"/>
            </w:tcBorders>
            <w:noWrap w:val="0"/>
            <w:vAlign w:val="center"/>
          </w:tcPr>
          <w:p w14:paraId="114D4E2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val="en-US" w:eastAsia="zh-CN" w:bidi="ar"/>
              </w:rPr>
              <w:t>6.3</w:t>
            </w:r>
            <w:r>
              <w:rPr>
                <w:rFonts w:hint="eastAsia" w:ascii="宋体" w:hAnsi="宋体" w:eastAsia="宋体" w:cs="宋体"/>
                <w:bCs/>
                <w:color w:val="auto"/>
                <w:sz w:val="24"/>
                <w:szCs w:val="24"/>
                <w:highlight w:val="none"/>
                <w:lang w:bidi="ar"/>
              </w:rPr>
              <w:t>根据供应商提供的公厕保洁方案</w:t>
            </w:r>
            <w:r>
              <w:rPr>
                <w:rFonts w:hint="eastAsia" w:ascii="宋体" w:hAnsi="宋体" w:eastAsia="宋体" w:cs="宋体"/>
                <w:bCs/>
                <w:color w:val="auto"/>
                <w:sz w:val="24"/>
                <w:szCs w:val="24"/>
                <w:highlight w:val="none"/>
                <w:lang w:eastAsia="zh-CN" w:bidi="ar"/>
              </w:rPr>
              <w:t>：</w:t>
            </w:r>
          </w:p>
          <w:p w14:paraId="3604F06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①</w:t>
            </w:r>
            <w:r>
              <w:rPr>
                <w:rFonts w:hint="eastAsia" w:ascii="宋体" w:hAnsi="宋体" w:eastAsia="宋体" w:cs="宋体"/>
                <w:bCs/>
                <w:color w:val="auto"/>
                <w:sz w:val="24"/>
                <w:szCs w:val="24"/>
                <w:highlight w:val="none"/>
                <w:lang w:val="en-US" w:eastAsia="zh-CN" w:bidi="ar"/>
              </w:rPr>
              <w:t>保洁</w:t>
            </w:r>
            <w:r>
              <w:rPr>
                <w:rFonts w:hint="eastAsia" w:ascii="宋体" w:hAnsi="宋体" w:eastAsia="宋体" w:cs="宋体"/>
                <w:bCs/>
                <w:color w:val="auto"/>
                <w:sz w:val="24"/>
                <w:szCs w:val="24"/>
                <w:highlight w:val="none"/>
                <w:lang w:eastAsia="zh-CN" w:bidi="ar"/>
              </w:rPr>
              <w:t>方案全面合理，</w:t>
            </w:r>
            <w:r>
              <w:rPr>
                <w:rFonts w:hint="eastAsia" w:ascii="宋体" w:hAnsi="宋体" w:eastAsia="宋体" w:cs="宋体"/>
                <w:bCs/>
                <w:color w:val="auto"/>
                <w:sz w:val="24"/>
                <w:szCs w:val="24"/>
                <w:highlight w:val="none"/>
                <w:lang w:val="en-US" w:eastAsia="zh-CN" w:bidi="ar"/>
              </w:rPr>
              <w:t>日常消杀方案详实，厕所设施巡查维修方案合理</w:t>
            </w:r>
            <w:r>
              <w:rPr>
                <w:rFonts w:hint="eastAsia" w:ascii="宋体" w:hAnsi="宋体" w:eastAsia="宋体" w:cs="宋体"/>
                <w:bCs/>
                <w:color w:val="auto"/>
                <w:sz w:val="24"/>
                <w:szCs w:val="24"/>
                <w:highlight w:val="none"/>
                <w:lang w:eastAsia="zh-CN" w:bidi="ar"/>
              </w:rPr>
              <w:t>，且有针对性措施的得</w:t>
            </w:r>
            <w:r>
              <w:rPr>
                <w:rFonts w:hint="eastAsia" w:ascii="宋体" w:hAnsi="宋体" w:eastAsia="宋体" w:cs="宋体"/>
                <w:bCs/>
                <w:color w:val="auto"/>
                <w:sz w:val="24"/>
                <w:szCs w:val="24"/>
                <w:highlight w:val="none"/>
                <w:lang w:val="en-US" w:eastAsia="zh-CN" w:bidi="ar"/>
              </w:rPr>
              <w:t>3</w:t>
            </w:r>
            <w:r>
              <w:rPr>
                <w:rFonts w:hint="eastAsia" w:ascii="宋体" w:hAnsi="宋体" w:eastAsia="宋体" w:cs="宋体"/>
                <w:bCs/>
                <w:color w:val="auto"/>
                <w:sz w:val="24"/>
                <w:szCs w:val="24"/>
                <w:highlight w:val="none"/>
                <w:lang w:eastAsia="zh-CN" w:bidi="ar"/>
              </w:rPr>
              <w:t>分；</w:t>
            </w:r>
          </w:p>
          <w:p w14:paraId="4DB4B87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②保洁方案</w:t>
            </w:r>
            <w:r>
              <w:rPr>
                <w:rFonts w:hint="eastAsia" w:ascii="宋体" w:hAnsi="宋体" w:eastAsia="宋体" w:cs="宋体"/>
                <w:bCs/>
                <w:color w:val="auto"/>
                <w:sz w:val="24"/>
                <w:szCs w:val="24"/>
                <w:highlight w:val="none"/>
                <w:lang w:val="en-US" w:eastAsia="zh-CN" w:bidi="ar"/>
              </w:rPr>
              <w:t>相对</w:t>
            </w:r>
            <w:r>
              <w:rPr>
                <w:rFonts w:hint="eastAsia" w:ascii="宋体" w:hAnsi="宋体" w:eastAsia="宋体" w:cs="宋体"/>
                <w:bCs/>
                <w:color w:val="auto"/>
                <w:sz w:val="24"/>
                <w:szCs w:val="24"/>
                <w:highlight w:val="none"/>
                <w:lang w:eastAsia="zh-CN" w:bidi="ar"/>
              </w:rPr>
              <w:t>全面合理，日常消杀方案相对详实，厕所设施巡查维修方案相对合理，但存在一定缺陷有待改进的得</w:t>
            </w:r>
            <w:r>
              <w:rPr>
                <w:rFonts w:hint="eastAsia" w:ascii="宋体" w:hAnsi="宋体" w:eastAsia="宋体" w:cs="宋体"/>
                <w:bCs/>
                <w:color w:val="auto"/>
                <w:sz w:val="24"/>
                <w:szCs w:val="24"/>
                <w:highlight w:val="none"/>
                <w:lang w:val="en-US" w:eastAsia="zh-CN" w:bidi="ar"/>
              </w:rPr>
              <w:t>2</w:t>
            </w:r>
            <w:r>
              <w:rPr>
                <w:rFonts w:hint="eastAsia" w:ascii="宋体" w:hAnsi="宋体" w:eastAsia="宋体" w:cs="宋体"/>
                <w:bCs/>
                <w:color w:val="auto"/>
                <w:sz w:val="24"/>
                <w:szCs w:val="24"/>
                <w:highlight w:val="none"/>
                <w:lang w:eastAsia="zh-CN" w:bidi="ar"/>
              </w:rPr>
              <w:t>分；</w:t>
            </w:r>
          </w:p>
          <w:p w14:paraId="0E5F8E3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③方案内容基本符合公厕保洁</w:t>
            </w:r>
            <w:r>
              <w:rPr>
                <w:rFonts w:hint="eastAsia" w:ascii="宋体" w:hAnsi="宋体" w:eastAsia="宋体" w:cs="宋体"/>
                <w:bCs/>
                <w:color w:val="auto"/>
                <w:sz w:val="24"/>
                <w:szCs w:val="24"/>
                <w:highlight w:val="none"/>
                <w:lang w:val="en-US" w:eastAsia="zh-CN" w:bidi="ar"/>
              </w:rPr>
              <w:t>项目需求</w:t>
            </w:r>
            <w:r>
              <w:rPr>
                <w:rFonts w:hint="eastAsia" w:ascii="宋体" w:hAnsi="宋体" w:eastAsia="宋体" w:cs="宋体"/>
                <w:bCs/>
                <w:color w:val="auto"/>
                <w:sz w:val="24"/>
                <w:szCs w:val="24"/>
                <w:highlight w:val="none"/>
                <w:lang w:eastAsia="zh-CN" w:bidi="ar"/>
              </w:rPr>
              <w:t>，但方案不全面，未针对性提出管理措施的得1分；</w:t>
            </w:r>
          </w:p>
          <w:p w14:paraId="707CA84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④方案内容不完整，内容分析不充分，与本项目实际需求有差距的得0.5分；</w:t>
            </w:r>
          </w:p>
          <w:p w14:paraId="1796FA8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⑤未提供相关内容的不得分。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57AC0A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3</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7E46DE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主观评审</w:t>
            </w:r>
          </w:p>
        </w:tc>
      </w:tr>
      <w:tr w14:paraId="7E094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29F9AA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127E42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76B687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0289" w:type="dxa"/>
            <w:gridSpan w:val="3"/>
            <w:tcBorders>
              <w:top w:val="single" w:color="auto" w:sz="4" w:space="0"/>
              <w:left w:val="single" w:color="auto" w:sz="4" w:space="0"/>
              <w:bottom w:val="single" w:color="auto" w:sz="4" w:space="0"/>
              <w:right w:val="single" w:color="auto" w:sz="4" w:space="0"/>
            </w:tcBorders>
            <w:noWrap w:val="0"/>
            <w:vAlign w:val="center"/>
          </w:tcPr>
          <w:p w14:paraId="4E9D165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Chars="0" w:right="0" w:rightChars="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val="en-US" w:eastAsia="zh-CN" w:bidi="ar"/>
              </w:rPr>
              <w:t>7）</w:t>
            </w:r>
            <w:r>
              <w:rPr>
                <w:rFonts w:hint="eastAsia" w:ascii="宋体" w:hAnsi="宋体" w:eastAsia="宋体" w:cs="宋体"/>
                <w:bCs/>
                <w:color w:val="auto"/>
                <w:sz w:val="24"/>
                <w:szCs w:val="24"/>
                <w:highlight w:val="none"/>
                <w:lang w:bidi="ar"/>
              </w:rPr>
              <w:t>设施维护管理方案:根据供应商的设施维护管理方案（包括但不限于：绿化配套设施、景观照明设施等）</w:t>
            </w:r>
          </w:p>
          <w:p w14:paraId="72545FD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①方案内容完全结合公园实际情况，</w:t>
            </w:r>
            <w:r>
              <w:rPr>
                <w:rFonts w:hint="eastAsia" w:ascii="宋体" w:hAnsi="宋体" w:eastAsia="宋体" w:cs="宋体"/>
                <w:bCs/>
                <w:color w:val="auto"/>
                <w:sz w:val="24"/>
                <w:szCs w:val="24"/>
                <w:highlight w:val="none"/>
                <w:lang w:val="en-US" w:eastAsia="zh-CN" w:bidi="ar"/>
              </w:rPr>
              <w:t>相关</w:t>
            </w:r>
            <w:r>
              <w:rPr>
                <w:rFonts w:hint="eastAsia" w:ascii="宋体" w:hAnsi="宋体" w:eastAsia="宋体" w:cs="宋体"/>
                <w:bCs/>
                <w:color w:val="auto"/>
                <w:sz w:val="24"/>
                <w:szCs w:val="24"/>
                <w:highlight w:val="none"/>
                <w:lang w:bidi="ar"/>
              </w:rPr>
              <w:t>设施</w:t>
            </w:r>
            <w:r>
              <w:rPr>
                <w:rFonts w:hint="eastAsia" w:ascii="宋体" w:hAnsi="宋体" w:eastAsia="宋体" w:cs="宋体"/>
                <w:bCs/>
                <w:color w:val="auto"/>
                <w:sz w:val="24"/>
                <w:szCs w:val="24"/>
                <w:highlight w:val="none"/>
                <w:lang w:val="en-US" w:eastAsia="zh-CN" w:bidi="ar"/>
              </w:rPr>
              <w:t>了解全面，设施档案管理方案全面，专业</w:t>
            </w:r>
            <w:r>
              <w:rPr>
                <w:rFonts w:hint="eastAsia" w:ascii="宋体" w:hAnsi="宋体" w:eastAsia="宋体" w:cs="宋体"/>
                <w:bCs/>
                <w:color w:val="auto"/>
                <w:sz w:val="24"/>
                <w:szCs w:val="24"/>
                <w:highlight w:val="none"/>
                <w:lang w:bidi="ar"/>
              </w:rPr>
              <w:t>且有针对性措施的得</w:t>
            </w:r>
            <w:r>
              <w:rPr>
                <w:rFonts w:hint="eastAsia" w:ascii="宋体" w:hAnsi="宋体" w:eastAsia="宋体" w:cs="宋体"/>
                <w:bCs/>
                <w:color w:val="auto"/>
                <w:sz w:val="24"/>
                <w:szCs w:val="24"/>
                <w:highlight w:val="none"/>
                <w:lang w:val="en-US" w:eastAsia="zh-CN" w:bidi="ar"/>
              </w:rPr>
              <w:t>4</w:t>
            </w:r>
            <w:r>
              <w:rPr>
                <w:rFonts w:hint="eastAsia" w:ascii="宋体" w:hAnsi="宋体" w:eastAsia="宋体" w:cs="宋体"/>
                <w:bCs/>
                <w:color w:val="auto"/>
                <w:sz w:val="24"/>
                <w:szCs w:val="24"/>
                <w:highlight w:val="none"/>
                <w:lang w:bidi="ar"/>
              </w:rPr>
              <w:t>分；</w:t>
            </w:r>
          </w:p>
          <w:p w14:paraId="4E95A2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②方案内容有结合公园实际情况，相关设施</w:t>
            </w:r>
            <w:r>
              <w:rPr>
                <w:rFonts w:hint="eastAsia" w:ascii="宋体" w:hAnsi="宋体" w:eastAsia="宋体" w:cs="宋体"/>
                <w:bCs/>
                <w:color w:val="auto"/>
                <w:sz w:val="24"/>
                <w:szCs w:val="24"/>
                <w:highlight w:val="none"/>
                <w:lang w:val="en-US" w:eastAsia="zh-CN" w:bidi="ar"/>
              </w:rPr>
              <w:t>基本了解，有设施档案管理方案</w:t>
            </w:r>
            <w:r>
              <w:rPr>
                <w:rFonts w:hint="eastAsia" w:ascii="宋体" w:hAnsi="宋体" w:eastAsia="宋体" w:cs="宋体"/>
                <w:bCs/>
                <w:color w:val="auto"/>
                <w:sz w:val="24"/>
                <w:szCs w:val="24"/>
                <w:highlight w:val="none"/>
                <w:lang w:bidi="ar"/>
              </w:rPr>
              <w:t>，但存在一定缺陷有待改进的得2分；</w:t>
            </w:r>
          </w:p>
          <w:p w14:paraId="2219C3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③方案内容基本符合公园实际需求，但方案不全面，未针对性提出管理措施的得1分；</w:t>
            </w:r>
          </w:p>
          <w:p w14:paraId="3821F2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④方案内容不完整，内容分析不充分，与本项目实际需求有差距的得0.5分；</w:t>
            </w:r>
          </w:p>
          <w:p w14:paraId="77DD91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⑤未提供相关内容的不得分。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644FD8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val="en-US" w:eastAsia="zh-CN" w:bidi="ar"/>
              </w:rPr>
              <w:t>4</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0CA007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主观评审</w:t>
            </w:r>
          </w:p>
        </w:tc>
      </w:tr>
      <w:tr w14:paraId="2B288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12B936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04F9D5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012197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0289" w:type="dxa"/>
            <w:gridSpan w:val="3"/>
            <w:tcBorders>
              <w:top w:val="single" w:color="auto" w:sz="4" w:space="0"/>
              <w:left w:val="single" w:color="auto" w:sz="4" w:space="0"/>
              <w:bottom w:val="single" w:color="auto" w:sz="4" w:space="0"/>
              <w:right w:val="single" w:color="auto" w:sz="4" w:space="0"/>
            </w:tcBorders>
            <w:noWrap w:val="0"/>
            <w:vAlign w:val="center"/>
          </w:tcPr>
          <w:p w14:paraId="5A2CD07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Chars="0" w:right="0" w:rightChars="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val="en-US" w:eastAsia="zh-CN" w:bidi="ar"/>
              </w:rPr>
              <w:t>8）</w:t>
            </w:r>
            <w:r>
              <w:rPr>
                <w:rFonts w:hint="eastAsia" w:ascii="宋体" w:hAnsi="宋体" w:eastAsia="宋体" w:cs="宋体"/>
                <w:bCs/>
                <w:color w:val="auto"/>
                <w:sz w:val="24"/>
                <w:szCs w:val="24"/>
                <w:highlight w:val="none"/>
                <w:lang w:bidi="ar"/>
              </w:rPr>
              <w:t>重点难点养护措施：</w:t>
            </w:r>
          </w:p>
          <w:p w14:paraId="4C2E482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①供应商能够准确理解</w:t>
            </w:r>
            <w:r>
              <w:rPr>
                <w:rFonts w:hint="eastAsia" w:ascii="宋体" w:hAnsi="宋体" w:eastAsia="宋体" w:cs="宋体"/>
                <w:bCs/>
                <w:color w:val="auto"/>
                <w:sz w:val="24"/>
                <w:szCs w:val="24"/>
                <w:highlight w:val="none"/>
                <w:lang w:val="en-US" w:eastAsia="zh-CN" w:bidi="ar"/>
              </w:rPr>
              <w:t>各标段养护不同的</w:t>
            </w:r>
            <w:r>
              <w:rPr>
                <w:rFonts w:hint="eastAsia" w:ascii="宋体" w:hAnsi="宋体" w:eastAsia="宋体" w:cs="宋体"/>
                <w:bCs/>
                <w:color w:val="auto"/>
                <w:sz w:val="24"/>
                <w:szCs w:val="24"/>
                <w:highlight w:val="none"/>
                <w:lang w:bidi="ar"/>
              </w:rPr>
              <w:t>重点</w:t>
            </w:r>
            <w:r>
              <w:rPr>
                <w:rFonts w:hint="eastAsia" w:ascii="宋体" w:hAnsi="宋体" w:eastAsia="宋体" w:cs="宋体"/>
                <w:bCs/>
                <w:color w:val="auto"/>
                <w:sz w:val="24"/>
                <w:szCs w:val="24"/>
                <w:highlight w:val="none"/>
                <w:lang w:val="en-US" w:eastAsia="zh-CN" w:bidi="ar"/>
              </w:rPr>
              <w:t>难点（四季交替时节、人流量较大的节假日、环境复杂处等）</w:t>
            </w:r>
            <w:r>
              <w:rPr>
                <w:rFonts w:hint="eastAsia" w:ascii="宋体" w:hAnsi="宋体" w:eastAsia="宋体" w:cs="宋体"/>
                <w:bCs/>
                <w:color w:val="auto"/>
                <w:sz w:val="24"/>
                <w:szCs w:val="24"/>
                <w:highlight w:val="none"/>
                <w:lang w:bidi="ar"/>
              </w:rPr>
              <w:t>、关键点分析到位、契合项目实际情况，且解决方案有利于项目后期开展的得</w:t>
            </w:r>
            <w:r>
              <w:rPr>
                <w:rFonts w:hint="eastAsia" w:ascii="宋体" w:hAnsi="宋体" w:eastAsia="宋体" w:cs="宋体"/>
                <w:bCs/>
                <w:color w:val="auto"/>
                <w:sz w:val="24"/>
                <w:szCs w:val="24"/>
                <w:highlight w:val="none"/>
                <w:lang w:val="en-US" w:eastAsia="zh-CN" w:bidi="ar"/>
              </w:rPr>
              <w:t>4</w:t>
            </w:r>
            <w:r>
              <w:rPr>
                <w:rFonts w:hint="eastAsia" w:ascii="宋体" w:hAnsi="宋体" w:eastAsia="宋体" w:cs="宋体"/>
                <w:bCs/>
                <w:color w:val="auto"/>
                <w:sz w:val="24"/>
                <w:szCs w:val="24"/>
                <w:highlight w:val="none"/>
                <w:lang w:bidi="ar"/>
              </w:rPr>
              <w:t>分；</w:t>
            </w:r>
          </w:p>
          <w:p w14:paraId="59583C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②供应商能够较为全面地理解各标段养护不同的重点难点（四季交替时节、人流量较大的节假日、环境复杂处等）重点、关键点分析基本符合项目情况；解决方案基本达到要求、对项目后期开展不会造成影响的得</w:t>
            </w:r>
            <w:r>
              <w:rPr>
                <w:rFonts w:hint="eastAsia" w:ascii="宋体" w:hAnsi="宋体" w:eastAsia="宋体" w:cs="宋体"/>
                <w:bCs/>
                <w:color w:val="auto"/>
                <w:sz w:val="24"/>
                <w:szCs w:val="24"/>
                <w:highlight w:val="none"/>
                <w:lang w:val="en-US" w:eastAsia="zh-CN" w:bidi="ar"/>
              </w:rPr>
              <w:t>2</w:t>
            </w:r>
            <w:r>
              <w:rPr>
                <w:rFonts w:hint="eastAsia" w:ascii="宋体" w:hAnsi="宋体" w:eastAsia="宋体" w:cs="宋体"/>
                <w:bCs/>
                <w:color w:val="auto"/>
                <w:sz w:val="24"/>
                <w:szCs w:val="24"/>
                <w:highlight w:val="none"/>
                <w:lang w:bidi="ar"/>
              </w:rPr>
              <w:t>分；</w:t>
            </w:r>
          </w:p>
          <w:p w14:paraId="0089F5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③各标段养护</w:t>
            </w:r>
            <w:r>
              <w:rPr>
                <w:rFonts w:hint="eastAsia" w:ascii="宋体" w:hAnsi="宋体" w:eastAsia="宋体" w:cs="宋体"/>
                <w:bCs/>
                <w:color w:val="auto"/>
                <w:sz w:val="24"/>
                <w:szCs w:val="24"/>
                <w:highlight w:val="none"/>
                <w:lang w:val="en-US" w:eastAsia="zh-CN" w:bidi="ar"/>
              </w:rPr>
              <w:t>的</w:t>
            </w:r>
            <w:r>
              <w:rPr>
                <w:rFonts w:hint="eastAsia" w:ascii="宋体" w:hAnsi="宋体" w:eastAsia="宋体" w:cs="宋体"/>
                <w:bCs/>
                <w:color w:val="auto"/>
                <w:sz w:val="24"/>
                <w:szCs w:val="24"/>
                <w:highlight w:val="none"/>
                <w:lang w:bidi="ar"/>
              </w:rPr>
              <w:t>重点、关键点分析不够准确；解决方案不够合理的得1分；</w:t>
            </w:r>
          </w:p>
          <w:p w14:paraId="791DDC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④未提供任何内容的不得分。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63CA01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val="en-US" w:eastAsia="zh-CN" w:bidi="ar"/>
              </w:rPr>
              <w:t>4</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727EF0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主观评审</w:t>
            </w:r>
          </w:p>
        </w:tc>
      </w:tr>
      <w:tr w14:paraId="66CCA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01D9D3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4158EA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04C9A7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492" w:type="dxa"/>
            <w:vMerge w:val="restart"/>
            <w:tcBorders>
              <w:top w:val="single" w:color="auto" w:sz="4" w:space="0"/>
              <w:left w:val="single" w:color="auto" w:sz="4" w:space="0"/>
              <w:right w:val="single" w:color="auto" w:sz="4" w:space="0"/>
            </w:tcBorders>
            <w:noWrap w:val="0"/>
            <w:vAlign w:val="center"/>
          </w:tcPr>
          <w:p w14:paraId="6872FA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9）特殊时期应急保障方案（</w:t>
            </w:r>
            <w:r>
              <w:rPr>
                <w:rFonts w:hint="eastAsia" w:ascii="宋体" w:hAnsi="宋体" w:eastAsia="宋体" w:cs="宋体"/>
                <w:bCs/>
                <w:color w:val="auto"/>
                <w:sz w:val="24"/>
                <w:szCs w:val="24"/>
                <w:highlight w:val="none"/>
                <w:lang w:val="en-US" w:eastAsia="zh-CN" w:bidi="ar"/>
              </w:rPr>
              <w:t>7.5</w:t>
            </w:r>
            <w:r>
              <w:rPr>
                <w:rFonts w:hint="eastAsia" w:ascii="宋体" w:hAnsi="宋体" w:eastAsia="宋体" w:cs="宋体"/>
                <w:bCs/>
                <w:color w:val="auto"/>
                <w:sz w:val="24"/>
                <w:szCs w:val="24"/>
                <w:highlight w:val="none"/>
                <w:lang w:bidi="ar"/>
              </w:rPr>
              <w:t>分）</w:t>
            </w:r>
          </w:p>
        </w:tc>
        <w:tc>
          <w:tcPr>
            <w:tcW w:w="8797" w:type="dxa"/>
            <w:gridSpan w:val="2"/>
            <w:tcBorders>
              <w:top w:val="single" w:color="auto" w:sz="4" w:space="0"/>
              <w:left w:val="single" w:color="auto" w:sz="4" w:space="0"/>
              <w:bottom w:val="single" w:color="auto" w:sz="4" w:space="0"/>
              <w:right w:val="single" w:color="auto" w:sz="4" w:space="0"/>
            </w:tcBorders>
            <w:noWrap w:val="0"/>
            <w:vAlign w:val="center"/>
          </w:tcPr>
          <w:p w14:paraId="02B366C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val="en-US" w:eastAsia="zh-CN" w:bidi="ar"/>
              </w:rPr>
              <w:t>9.1</w:t>
            </w:r>
            <w:r>
              <w:rPr>
                <w:rFonts w:hint="eastAsia" w:ascii="宋体" w:hAnsi="宋体" w:eastAsia="宋体" w:cs="宋体"/>
                <w:bCs/>
                <w:color w:val="auto"/>
                <w:sz w:val="24"/>
                <w:szCs w:val="24"/>
                <w:highlight w:val="none"/>
                <w:lang w:bidi="ar"/>
              </w:rPr>
              <w:t>防汛防台、抗旱等灾害性天气应急措施：</w:t>
            </w:r>
          </w:p>
          <w:p w14:paraId="25C10CA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①方案具体合理有针对性，能应对防汛防台、抗旱等灾害性天气，能协助公园及时处理的得</w:t>
            </w:r>
            <w:r>
              <w:rPr>
                <w:rFonts w:hint="eastAsia" w:ascii="宋体" w:hAnsi="宋体" w:eastAsia="宋体" w:cs="宋体"/>
                <w:bCs/>
                <w:color w:val="auto"/>
                <w:sz w:val="24"/>
                <w:szCs w:val="24"/>
                <w:highlight w:val="none"/>
                <w:lang w:val="en-US" w:eastAsia="zh-CN" w:bidi="ar"/>
              </w:rPr>
              <w:t>2.5</w:t>
            </w:r>
            <w:r>
              <w:rPr>
                <w:rFonts w:hint="eastAsia" w:ascii="宋体" w:hAnsi="宋体" w:eastAsia="宋体" w:cs="宋体"/>
                <w:bCs/>
                <w:color w:val="auto"/>
                <w:sz w:val="24"/>
                <w:szCs w:val="24"/>
                <w:highlight w:val="none"/>
                <w:lang w:bidi="ar"/>
              </w:rPr>
              <w:t>分；</w:t>
            </w:r>
          </w:p>
          <w:p w14:paraId="25E98BA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②方案具体合理，能应对大部分突发应急事件的得</w:t>
            </w:r>
            <w:r>
              <w:rPr>
                <w:rFonts w:hint="eastAsia" w:ascii="宋体" w:hAnsi="宋体" w:eastAsia="宋体" w:cs="宋体"/>
                <w:bCs/>
                <w:color w:val="auto"/>
                <w:sz w:val="24"/>
                <w:szCs w:val="24"/>
                <w:highlight w:val="none"/>
                <w:lang w:val="en-US" w:eastAsia="zh-CN" w:bidi="ar"/>
              </w:rPr>
              <w:t>2</w:t>
            </w:r>
            <w:r>
              <w:rPr>
                <w:rFonts w:hint="eastAsia" w:ascii="宋体" w:hAnsi="宋体" w:eastAsia="宋体" w:cs="宋体"/>
                <w:bCs/>
                <w:color w:val="auto"/>
                <w:sz w:val="24"/>
                <w:szCs w:val="24"/>
                <w:highlight w:val="none"/>
                <w:lang w:bidi="ar"/>
              </w:rPr>
              <w:t>分；</w:t>
            </w:r>
          </w:p>
          <w:p w14:paraId="41C2C1C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③方案合理，能应对小部分突发应急事件的得</w:t>
            </w:r>
            <w:r>
              <w:rPr>
                <w:rFonts w:hint="eastAsia" w:ascii="宋体" w:hAnsi="宋体" w:eastAsia="宋体" w:cs="宋体"/>
                <w:bCs/>
                <w:color w:val="auto"/>
                <w:sz w:val="24"/>
                <w:szCs w:val="24"/>
                <w:highlight w:val="none"/>
                <w:lang w:val="en-US" w:eastAsia="zh-CN" w:bidi="ar"/>
              </w:rPr>
              <w:t>1</w:t>
            </w:r>
            <w:r>
              <w:rPr>
                <w:rFonts w:hint="eastAsia" w:ascii="宋体" w:hAnsi="宋体" w:eastAsia="宋体" w:cs="宋体"/>
                <w:bCs/>
                <w:color w:val="auto"/>
                <w:sz w:val="24"/>
                <w:szCs w:val="24"/>
                <w:highlight w:val="none"/>
                <w:lang w:bidi="ar"/>
              </w:rPr>
              <w:t>分。</w:t>
            </w:r>
          </w:p>
          <w:p w14:paraId="22344E3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④应对措施不完整的得</w:t>
            </w:r>
            <w:r>
              <w:rPr>
                <w:rFonts w:hint="eastAsia" w:ascii="宋体" w:hAnsi="宋体" w:eastAsia="宋体" w:cs="宋体"/>
                <w:bCs/>
                <w:color w:val="auto"/>
                <w:sz w:val="24"/>
                <w:szCs w:val="24"/>
                <w:highlight w:val="none"/>
                <w:lang w:val="en-US" w:eastAsia="zh-CN" w:bidi="ar"/>
              </w:rPr>
              <w:t>0.5</w:t>
            </w:r>
            <w:r>
              <w:rPr>
                <w:rFonts w:hint="eastAsia" w:ascii="宋体" w:hAnsi="宋体" w:eastAsia="宋体" w:cs="宋体"/>
                <w:bCs/>
                <w:color w:val="auto"/>
                <w:sz w:val="24"/>
                <w:szCs w:val="24"/>
                <w:highlight w:val="none"/>
                <w:lang w:bidi="ar"/>
              </w:rPr>
              <w:t>分；</w:t>
            </w:r>
          </w:p>
          <w:p w14:paraId="0107D26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⑤未提供相关内容的不得分。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3DF484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bidi="ar"/>
              </w:rPr>
              <w:t>2</w:t>
            </w:r>
            <w:r>
              <w:rPr>
                <w:rFonts w:hint="eastAsia" w:ascii="宋体" w:hAnsi="宋体" w:eastAsia="宋体" w:cs="宋体"/>
                <w:bCs/>
                <w:color w:val="auto"/>
                <w:sz w:val="24"/>
                <w:szCs w:val="24"/>
                <w:highlight w:val="none"/>
                <w:lang w:val="en-US" w:eastAsia="zh-CN" w:bidi="ar"/>
              </w:rPr>
              <w:t>.5</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72F231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主观评审</w:t>
            </w:r>
          </w:p>
        </w:tc>
      </w:tr>
      <w:tr w14:paraId="76304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1797CA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2ACC9D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1B22AF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492" w:type="dxa"/>
            <w:vMerge w:val="continue"/>
            <w:tcBorders>
              <w:left w:val="single" w:color="auto" w:sz="4" w:space="0"/>
              <w:right w:val="single" w:color="auto" w:sz="4" w:space="0"/>
            </w:tcBorders>
            <w:noWrap w:val="0"/>
            <w:vAlign w:val="center"/>
          </w:tcPr>
          <w:p w14:paraId="302255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8797" w:type="dxa"/>
            <w:gridSpan w:val="2"/>
            <w:tcBorders>
              <w:top w:val="single" w:color="auto" w:sz="4" w:space="0"/>
              <w:left w:val="single" w:color="auto" w:sz="4" w:space="0"/>
              <w:bottom w:val="single" w:color="auto" w:sz="4" w:space="0"/>
              <w:right w:val="single" w:color="auto" w:sz="4" w:space="0"/>
            </w:tcBorders>
            <w:noWrap w:val="0"/>
            <w:vAlign w:val="center"/>
          </w:tcPr>
          <w:p w14:paraId="33579DF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val="en-US" w:eastAsia="zh-CN" w:bidi="ar"/>
              </w:rPr>
              <w:t>9.2</w:t>
            </w:r>
            <w:r>
              <w:rPr>
                <w:rFonts w:hint="eastAsia" w:ascii="宋体" w:hAnsi="宋体" w:eastAsia="宋体" w:cs="宋体"/>
                <w:bCs/>
                <w:color w:val="auto"/>
                <w:sz w:val="24"/>
                <w:szCs w:val="24"/>
                <w:highlight w:val="none"/>
                <w:lang w:bidi="ar"/>
              </w:rPr>
              <w:t>节假日及重要会议活动期间环境保障措施：</w:t>
            </w:r>
          </w:p>
          <w:p w14:paraId="6835743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①方案具体合理有针对性，能应对节假日及重要会议活动期间环境保障措施，能协助公园及时处理的得2</w:t>
            </w:r>
            <w:r>
              <w:rPr>
                <w:rFonts w:hint="eastAsia" w:ascii="宋体" w:hAnsi="宋体" w:eastAsia="宋体" w:cs="宋体"/>
                <w:bCs/>
                <w:color w:val="auto"/>
                <w:sz w:val="24"/>
                <w:szCs w:val="24"/>
                <w:highlight w:val="none"/>
                <w:lang w:val="en-US" w:eastAsia="zh-CN" w:bidi="ar"/>
              </w:rPr>
              <w:t>.5</w:t>
            </w:r>
            <w:r>
              <w:rPr>
                <w:rFonts w:hint="eastAsia" w:ascii="宋体" w:hAnsi="宋体" w:eastAsia="宋体" w:cs="宋体"/>
                <w:bCs/>
                <w:color w:val="auto"/>
                <w:sz w:val="24"/>
                <w:szCs w:val="24"/>
                <w:highlight w:val="none"/>
                <w:lang w:bidi="ar"/>
              </w:rPr>
              <w:t>分；</w:t>
            </w:r>
          </w:p>
          <w:p w14:paraId="0CD7A2A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②方案具体合理，能应对大部分突发应急事件的得</w:t>
            </w:r>
            <w:r>
              <w:rPr>
                <w:rFonts w:hint="eastAsia" w:ascii="宋体" w:hAnsi="宋体" w:eastAsia="宋体" w:cs="宋体"/>
                <w:bCs/>
                <w:color w:val="auto"/>
                <w:sz w:val="24"/>
                <w:szCs w:val="24"/>
                <w:highlight w:val="none"/>
                <w:lang w:val="en-US" w:eastAsia="zh-CN" w:bidi="ar"/>
              </w:rPr>
              <w:t>2</w:t>
            </w:r>
            <w:r>
              <w:rPr>
                <w:rFonts w:hint="eastAsia" w:ascii="宋体" w:hAnsi="宋体" w:eastAsia="宋体" w:cs="宋体"/>
                <w:bCs/>
                <w:color w:val="auto"/>
                <w:sz w:val="24"/>
                <w:szCs w:val="24"/>
                <w:highlight w:val="none"/>
                <w:lang w:bidi="ar"/>
              </w:rPr>
              <w:t>分；</w:t>
            </w:r>
          </w:p>
          <w:p w14:paraId="34FB140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③方案合理，能应对小部分突发应急事件的得1分。</w:t>
            </w:r>
          </w:p>
          <w:p w14:paraId="405B50E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④应对措施不完整的得0.5分；</w:t>
            </w:r>
          </w:p>
          <w:p w14:paraId="3DC24B1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⑤未提供相关内容的不得分。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40496B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bidi="ar"/>
              </w:rPr>
              <w:t>2</w:t>
            </w:r>
            <w:r>
              <w:rPr>
                <w:rFonts w:hint="eastAsia" w:ascii="宋体" w:hAnsi="宋体" w:eastAsia="宋体" w:cs="宋体"/>
                <w:bCs/>
                <w:color w:val="auto"/>
                <w:sz w:val="24"/>
                <w:szCs w:val="24"/>
                <w:highlight w:val="none"/>
                <w:lang w:val="en-US" w:eastAsia="zh-CN" w:bidi="ar"/>
              </w:rPr>
              <w:t>.5</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5E7886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主观评审</w:t>
            </w:r>
          </w:p>
        </w:tc>
      </w:tr>
      <w:tr w14:paraId="05480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5F34AE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181C90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4C9851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492" w:type="dxa"/>
            <w:vMerge w:val="continue"/>
            <w:tcBorders>
              <w:left w:val="single" w:color="auto" w:sz="4" w:space="0"/>
              <w:bottom w:val="single" w:color="auto" w:sz="4" w:space="0"/>
              <w:right w:val="single" w:color="auto" w:sz="4" w:space="0"/>
            </w:tcBorders>
            <w:noWrap w:val="0"/>
            <w:vAlign w:val="center"/>
          </w:tcPr>
          <w:p w14:paraId="47CB35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8797" w:type="dxa"/>
            <w:gridSpan w:val="2"/>
            <w:tcBorders>
              <w:top w:val="single" w:color="auto" w:sz="4" w:space="0"/>
              <w:left w:val="single" w:color="auto" w:sz="4" w:space="0"/>
              <w:bottom w:val="single" w:color="auto" w:sz="4" w:space="0"/>
              <w:right w:val="single" w:color="auto" w:sz="4" w:space="0"/>
            </w:tcBorders>
            <w:noWrap w:val="0"/>
            <w:vAlign w:val="center"/>
          </w:tcPr>
          <w:p w14:paraId="51EBC1D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val="en-US" w:eastAsia="zh-CN" w:bidi="ar"/>
              </w:rPr>
              <w:t>9.3</w:t>
            </w:r>
            <w:r>
              <w:rPr>
                <w:rFonts w:hint="eastAsia" w:ascii="宋体" w:hAnsi="宋体" w:eastAsia="宋体" w:cs="宋体"/>
                <w:bCs/>
                <w:color w:val="auto"/>
                <w:sz w:val="24"/>
                <w:szCs w:val="24"/>
                <w:highlight w:val="none"/>
                <w:lang w:bidi="ar"/>
              </w:rPr>
              <w:t>创优评优和突击检查等应急措施：</w:t>
            </w:r>
          </w:p>
          <w:p w14:paraId="25D67D7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①方案具体合理有针对性，能应对创优评优和突击检查</w:t>
            </w:r>
            <w:r>
              <w:rPr>
                <w:rFonts w:hint="eastAsia" w:ascii="宋体" w:hAnsi="宋体" w:eastAsia="宋体" w:cs="宋体"/>
                <w:bCs/>
                <w:color w:val="auto"/>
                <w:sz w:val="24"/>
                <w:szCs w:val="24"/>
                <w:highlight w:val="none"/>
                <w:lang w:val="en-US" w:eastAsia="zh-CN" w:bidi="ar"/>
              </w:rPr>
              <w:t>的</w:t>
            </w:r>
            <w:r>
              <w:rPr>
                <w:rFonts w:hint="eastAsia" w:ascii="宋体" w:hAnsi="宋体" w:eastAsia="宋体" w:cs="宋体"/>
                <w:bCs/>
                <w:color w:val="auto"/>
                <w:sz w:val="24"/>
                <w:szCs w:val="24"/>
                <w:highlight w:val="none"/>
                <w:lang w:bidi="ar"/>
              </w:rPr>
              <w:t>，能协助公园及时处理的得2</w:t>
            </w:r>
            <w:r>
              <w:rPr>
                <w:rFonts w:hint="eastAsia" w:ascii="宋体" w:hAnsi="宋体" w:eastAsia="宋体" w:cs="宋体"/>
                <w:bCs/>
                <w:color w:val="auto"/>
                <w:sz w:val="24"/>
                <w:szCs w:val="24"/>
                <w:highlight w:val="none"/>
                <w:lang w:val="en-US" w:eastAsia="zh-CN" w:bidi="ar"/>
              </w:rPr>
              <w:t>.5</w:t>
            </w:r>
            <w:r>
              <w:rPr>
                <w:rFonts w:hint="eastAsia" w:ascii="宋体" w:hAnsi="宋体" w:eastAsia="宋体" w:cs="宋体"/>
                <w:bCs/>
                <w:color w:val="auto"/>
                <w:sz w:val="24"/>
                <w:szCs w:val="24"/>
                <w:highlight w:val="none"/>
                <w:lang w:bidi="ar"/>
              </w:rPr>
              <w:t>分；</w:t>
            </w:r>
          </w:p>
          <w:p w14:paraId="288DCA8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②方案具体合理，能应对大部分突发应急事件的得</w:t>
            </w:r>
            <w:r>
              <w:rPr>
                <w:rFonts w:hint="eastAsia" w:ascii="宋体" w:hAnsi="宋体" w:eastAsia="宋体" w:cs="宋体"/>
                <w:bCs/>
                <w:color w:val="auto"/>
                <w:sz w:val="24"/>
                <w:szCs w:val="24"/>
                <w:highlight w:val="none"/>
                <w:lang w:val="en-US" w:eastAsia="zh-CN" w:bidi="ar"/>
              </w:rPr>
              <w:t>2</w:t>
            </w:r>
            <w:r>
              <w:rPr>
                <w:rFonts w:hint="eastAsia" w:ascii="宋体" w:hAnsi="宋体" w:eastAsia="宋体" w:cs="宋体"/>
                <w:bCs/>
                <w:color w:val="auto"/>
                <w:sz w:val="24"/>
                <w:szCs w:val="24"/>
                <w:highlight w:val="none"/>
                <w:lang w:bidi="ar"/>
              </w:rPr>
              <w:t>分；</w:t>
            </w:r>
          </w:p>
          <w:p w14:paraId="5E65032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③方案合理，能应对小部分突发应急事件的得1分。</w:t>
            </w:r>
          </w:p>
          <w:p w14:paraId="5C405E7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④应对措施不完整的得0.5分；</w:t>
            </w:r>
          </w:p>
          <w:p w14:paraId="4403B4F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⑤未提供相关内容的不得分。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1B0AE0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bidi="ar"/>
              </w:rPr>
              <w:t>2</w:t>
            </w:r>
            <w:r>
              <w:rPr>
                <w:rFonts w:hint="eastAsia" w:ascii="宋体" w:hAnsi="宋体" w:eastAsia="宋体" w:cs="宋体"/>
                <w:bCs/>
                <w:color w:val="auto"/>
                <w:sz w:val="24"/>
                <w:szCs w:val="24"/>
                <w:highlight w:val="none"/>
                <w:lang w:val="en-US" w:eastAsia="zh-CN" w:bidi="ar"/>
              </w:rPr>
              <w:t>.5</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4B84DA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主观评审</w:t>
            </w:r>
          </w:p>
        </w:tc>
      </w:tr>
      <w:tr w14:paraId="2063F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4" w:hRule="atLeast"/>
          <w:jc w:val="center"/>
        </w:trPr>
        <w:tc>
          <w:tcPr>
            <w:tcW w:w="1150" w:type="dxa"/>
            <w:vMerge w:val="continue"/>
            <w:tcBorders>
              <w:left w:val="single" w:color="auto" w:sz="4" w:space="0"/>
              <w:right w:val="single" w:color="auto" w:sz="4" w:space="0"/>
            </w:tcBorders>
            <w:noWrap w:val="0"/>
            <w:vAlign w:val="center"/>
          </w:tcPr>
          <w:p w14:paraId="7B1366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022878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0ECE22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492" w:type="dxa"/>
            <w:tcBorders>
              <w:left w:val="single" w:color="auto" w:sz="4" w:space="0"/>
              <w:right w:val="single" w:color="auto" w:sz="4" w:space="0"/>
            </w:tcBorders>
            <w:noWrap w:val="0"/>
            <w:vAlign w:val="center"/>
          </w:tcPr>
          <w:p w14:paraId="107859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10）治安巡视方案（</w:t>
            </w:r>
            <w:r>
              <w:rPr>
                <w:rFonts w:hint="eastAsia" w:ascii="宋体" w:hAnsi="宋体" w:eastAsia="宋体" w:cs="宋体"/>
                <w:bCs/>
                <w:color w:val="auto"/>
                <w:sz w:val="24"/>
                <w:szCs w:val="24"/>
                <w:highlight w:val="none"/>
                <w:lang w:val="en-US" w:eastAsia="zh-CN" w:bidi="ar"/>
              </w:rPr>
              <w:t>5</w:t>
            </w:r>
            <w:r>
              <w:rPr>
                <w:rFonts w:hint="eastAsia" w:ascii="宋体" w:hAnsi="宋体" w:eastAsia="宋体" w:cs="宋体"/>
                <w:bCs/>
                <w:color w:val="auto"/>
                <w:sz w:val="24"/>
                <w:szCs w:val="24"/>
                <w:highlight w:val="none"/>
                <w:lang w:bidi="ar"/>
              </w:rPr>
              <w:t>分）</w:t>
            </w:r>
          </w:p>
        </w:tc>
        <w:tc>
          <w:tcPr>
            <w:tcW w:w="8797" w:type="dxa"/>
            <w:gridSpan w:val="2"/>
            <w:tcBorders>
              <w:top w:val="single" w:color="auto" w:sz="4" w:space="0"/>
              <w:left w:val="single" w:color="auto" w:sz="4" w:space="0"/>
              <w:bottom w:val="single" w:color="auto" w:sz="4" w:space="0"/>
              <w:right w:val="single" w:color="auto" w:sz="4" w:space="0"/>
            </w:tcBorders>
            <w:noWrap w:val="0"/>
            <w:vAlign w:val="center"/>
          </w:tcPr>
          <w:p w14:paraId="140D53F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①方案内容完全结合公园实际情况，方案全面合理，且有针对性措施的得5分；</w:t>
            </w:r>
          </w:p>
          <w:p w14:paraId="55E9EC1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②方案内容有结合公园实际情况，方案全面，但存在一定缺陷有待改进的得3分；</w:t>
            </w:r>
          </w:p>
          <w:p w14:paraId="485B04C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③方案内容基本符合公园实际需求，但方案不全面，未针对性提出管理措施的得2分；</w:t>
            </w:r>
          </w:p>
          <w:p w14:paraId="6280FB1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④方案内容不完整，内容分析不充分，与本项目实际需求有差距的得1分；</w:t>
            </w:r>
          </w:p>
          <w:p w14:paraId="13CF59C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val="en-US" w:eastAsia="zh-CN" w:bidi="ar"/>
              </w:rPr>
              <w:t>⑤未提供相关内容的不得分。</w:t>
            </w:r>
          </w:p>
        </w:tc>
        <w:tc>
          <w:tcPr>
            <w:tcW w:w="595" w:type="dxa"/>
            <w:tcBorders>
              <w:top w:val="single" w:color="auto" w:sz="4" w:space="0"/>
              <w:left w:val="single" w:color="auto" w:sz="4" w:space="0"/>
              <w:right w:val="single" w:color="auto" w:sz="4" w:space="0"/>
            </w:tcBorders>
            <w:noWrap w:val="0"/>
            <w:vAlign w:val="center"/>
          </w:tcPr>
          <w:p w14:paraId="2D7679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val="en-US" w:eastAsia="zh-CN" w:bidi="ar"/>
              </w:rPr>
              <w:t>5</w:t>
            </w:r>
          </w:p>
        </w:tc>
        <w:tc>
          <w:tcPr>
            <w:tcW w:w="595" w:type="dxa"/>
            <w:tcBorders>
              <w:top w:val="single" w:color="auto" w:sz="4" w:space="0"/>
              <w:left w:val="single" w:color="auto" w:sz="4" w:space="0"/>
              <w:right w:val="single" w:color="auto" w:sz="4" w:space="0"/>
            </w:tcBorders>
            <w:noWrap w:val="0"/>
            <w:vAlign w:val="center"/>
          </w:tcPr>
          <w:p w14:paraId="5AD37C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主观评审</w:t>
            </w:r>
          </w:p>
        </w:tc>
      </w:tr>
      <w:tr w14:paraId="21818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408D7E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61AB1E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restart"/>
            <w:tcBorders>
              <w:left w:val="single" w:color="auto" w:sz="4" w:space="0"/>
              <w:right w:val="single" w:color="auto" w:sz="4" w:space="0"/>
            </w:tcBorders>
            <w:noWrap w:val="0"/>
            <w:vAlign w:val="center"/>
          </w:tcPr>
          <w:p w14:paraId="35DD10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2、人员配备及管理方案（1</w:t>
            </w:r>
            <w:r>
              <w:rPr>
                <w:rFonts w:hint="eastAsia" w:ascii="宋体" w:hAnsi="宋体" w:eastAsia="宋体" w:cs="宋体"/>
                <w:bCs/>
                <w:color w:val="auto"/>
                <w:sz w:val="24"/>
                <w:szCs w:val="24"/>
                <w:highlight w:val="none"/>
                <w:lang w:val="en-US" w:eastAsia="zh-CN" w:bidi="ar"/>
              </w:rPr>
              <w:t>7</w:t>
            </w:r>
            <w:r>
              <w:rPr>
                <w:rFonts w:hint="eastAsia" w:ascii="宋体" w:hAnsi="宋体" w:eastAsia="宋体" w:cs="宋体"/>
                <w:bCs/>
                <w:color w:val="auto"/>
                <w:sz w:val="24"/>
                <w:szCs w:val="24"/>
                <w:highlight w:val="none"/>
                <w:lang w:bidi="ar"/>
              </w:rPr>
              <w:t>分）</w:t>
            </w:r>
          </w:p>
        </w:tc>
        <w:tc>
          <w:tcPr>
            <w:tcW w:w="1492" w:type="dxa"/>
            <w:vMerge w:val="restart"/>
            <w:tcBorders>
              <w:left w:val="single" w:color="auto" w:sz="4" w:space="0"/>
              <w:right w:val="single" w:color="auto" w:sz="4" w:space="0"/>
            </w:tcBorders>
            <w:noWrap w:val="0"/>
            <w:vAlign w:val="center"/>
          </w:tcPr>
          <w:p w14:paraId="4D840F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1）管理技术岗人员（8分）（投标文件中需提供拟投入人员在本单位内缴纳的开标前3个月内任意一个月的社保证明及证书复印件加盖公章。）</w:t>
            </w:r>
          </w:p>
        </w:tc>
        <w:tc>
          <w:tcPr>
            <w:tcW w:w="3152" w:type="dxa"/>
            <w:vMerge w:val="restart"/>
            <w:tcBorders>
              <w:top w:val="single" w:color="auto" w:sz="4" w:space="0"/>
              <w:left w:val="single" w:color="auto" w:sz="4" w:space="0"/>
              <w:right w:val="single" w:color="auto" w:sz="4" w:space="0"/>
            </w:tcBorders>
            <w:noWrap w:val="0"/>
            <w:vAlign w:val="center"/>
          </w:tcPr>
          <w:p w14:paraId="2ADD426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00" w:leftChars="0" w:right="0" w:rightChars="0"/>
              <w:textAlignment w:val="auto"/>
              <w:rPr>
                <w:rFonts w:hint="eastAsia" w:ascii="宋体" w:hAnsi="宋体" w:eastAsia="宋体" w:cs="宋体"/>
                <w:bCs/>
                <w:color w:val="auto"/>
                <w:sz w:val="24"/>
                <w:szCs w:val="24"/>
                <w:highlight w:val="none"/>
                <w:lang w:bidi="ar"/>
              </w:rPr>
            </w:pPr>
            <w:r>
              <w:rPr>
                <w:rFonts w:hint="eastAsia" w:ascii="宋体" w:hAnsi="宋体" w:cs="宋体"/>
                <w:bCs/>
                <w:color w:val="auto"/>
                <w:sz w:val="24"/>
                <w:szCs w:val="24"/>
                <w:highlight w:val="none"/>
                <w:lang w:val="en-US" w:eastAsia="zh-CN" w:bidi="ar"/>
              </w:rPr>
              <w:t>①</w:t>
            </w:r>
            <w:r>
              <w:rPr>
                <w:rFonts w:hint="eastAsia" w:ascii="宋体" w:hAnsi="宋体" w:eastAsia="宋体" w:cs="宋体"/>
                <w:bCs/>
                <w:color w:val="auto"/>
                <w:sz w:val="24"/>
                <w:szCs w:val="24"/>
                <w:highlight w:val="none"/>
                <w:lang w:bidi="ar"/>
              </w:rPr>
              <w:t>项目负责人（5分）</w:t>
            </w:r>
          </w:p>
        </w:tc>
        <w:tc>
          <w:tcPr>
            <w:tcW w:w="5645" w:type="dxa"/>
            <w:tcBorders>
              <w:top w:val="single" w:color="auto" w:sz="4" w:space="0"/>
              <w:left w:val="single" w:color="auto" w:sz="4" w:space="0"/>
              <w:bottom w:val="single" w:color="auto" w:sz="4" w:space="0"/>
              <w:right w:val="single" w:color="auto" w:sz="4" w:space="0"/>
            </w:tcBorders>
            <w:noWrap w:val="0"/>
            <w:vAlign w:val="center"/>
          </w:tcPr>
          <w:p w14:paraId="59574F3E">
            <w:pPr>
              <w:keepNext w:val="0"/>
              <w:keepLines w:val="0"/>
              <w:pageBreakBefore w:val="0"/>
              <w:widowControl w:val="0"/>
              <w:numPr>
                <w:ilvl w:val="-1"/>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val="en-US" w:eastAsia="zh-CN" w:bidi="ar"/>
              </w:rPr>
              <w:t>1.1</w:t>
            </w:r>
            <w:r>
              <w:rPr>
                <w:rFonts w:hint="eastAsia" w:ascii="宋体" w:hAnsi="宋体" w:eastAsia="宋体" w:cs="宋体"/>
                <w:bCs/>
                <w:color w:val="auto"/>
                <w:sz w:val="24"/>
                <w:szCs w:val="24"/>
                <w:highlight w:val="none"/>
                <w:lang w:bidi="ar"/>
              </w:rPr>
              <w:t>根据拟担任本项目的项目负责人的专业素质、技术能力、经验、资质等情况进行评议。</w:t>
            </w:r>
          </w:p>
          <w:p w14:paraId="406665D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①专业素质</w:t>
            </w:r>
            <w:r>
              <w:rPr>
                <w:rFonts w:hint="eastAsia" w:ascii="宋体" w:hAnsi="宋体" w:eastAsia="宋体" w:cs="宋体"/>
                <w:bCs/>
                <w:color w:val="auto"/>
                <w:sz w:val="24"/>
                <w:szCs w:val="24"/>
                <w:highlight w:val="none"/>
                <w:lang w:val="en-US" w:eastAsia="zh-CN" w:bidi="ar"/>
              </w:rPr>
              <w:t>高，技术能力强，经验充足，资质深的得3分</w:t>
            </w:r>
            <w:r>
              <w:rPr>
                <w:rFonts w:hint="eastAsia" w:ascii="宋体" w:hAnsi="宋体" w:eastAsia="宋体" w:cs="宋体"/>
                <w:bCs/>
                <w:color w:val="auto"/>
                <w:sz w:val="24"/>
                <w:szCs w:val="24"/>
                <w:highlight w:val="none"/>
                <w:lang w:bidi="ar"/>
              </w:rPr>
              <w:t>；</w:t>
            </w:r>
          </w:p>
          <w:p w14:paraId="7929F6B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②专业素质</w:t>
            </w:r>
            <w:r>
              <w:rPr>
                <w:rFonts w:hint="eastAsia" w:ascii="宋体" w:hAnsi="宋体" w:eastAsia="宋体" w:cs="宋体"/>
                <w:bCs/>
                <w:color w:val="auto"/>
                <w:sz w:val="24"/>
                <w:szCs w:val="24"/>
                <w:highlight w:val="none"/>
                <w:lang w:val="en-US" w:eastAsia="zh-CN" w:bidi="ar"/>
              </w:rPr>
              <w:t>较</w:t>
            </w:r>
            <w:r>
              <w:rPr>
                <w:rFonts w:hint="eastAsia" w:ascii="宋体" w:hAnsi="宋体" w:eastAsia="宋体" w:cs="宋体"/>
                <w:bCs/>
                <w:color w:val="auto"/>
                <w:sz w:val="24"/>
                <w:szCs w:val="24"/>
                <w:highlight w:val="none"/>
                <w:lang w:bidi="ar"/>
              </w:rPr>
              <w:t>高，技术能力较强，经验较充足，资质较深的得</w:t>
            </w:r>
            <w:r>
              <w:rPr>
                <w:rFonts w:hint="eastAsia" w:ascii="宋体" w:hAnsi="宋体" w:eastAsia="宋体" w:cs="宋体"/>
                <w:bCs/>
                <w:color w:val="auto"/>
                <w:sz w:val="24"/>
                <w:szCs w:val="24"/>
                <w:highlight w:val="none"/>
                <w:lang w:val="en-US" w:eastAsia="zh-CN" w:bidi="ar"/>
              </w:rPr>
              <w:t>2</w:t>
            </w:r>
            <w:r>
              <w:rPr>
                <w:rFonts w:hint="eastAsia" w:ascii="宋体" w:hAnsi="宋体" w:eastAsia="宋体" w:cs="宋体"/>
                <w:bCs/>
                <w:color w:val="auto"/>
                <w:sz w:val="24"/>
                <w:szCs w:val="24"/>
                <w:highlight w:val="none"/>
                <w:lang w:bidi="ar"/>
              </w:rPr>
              <w:t>分；</w:t>
            </w:r>
          </w:p>
          <w:p w14:paraId="78652CF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bidi="ar"/>
              </w:rPr>
              <w:t>③专业素质</w:t>
            </w:r>
            <w:r>
              <w:rPr>
                <w:rFonts w:hint="eastAsia" w:ascii="宋体" w:hAnsi="宋体" w:eastAsia="宋体" w:cs="宋体"/>
                <w:bCs/>
                <w:color w:val="auto"/>
                <w:sz w:val="24"/>
                <w:szCs w:val="24"/>
                <w:highlight w:val="none"/>
                <w:lang w:val="en-US" w:eastAsia="zh-CN" w:bidi="ar"/>
              </w:rPr>
              <w:t>一般</w:t>
            </w:r>
            <w:r>
              <w:rPr>
                <w:rFonts w:hint="eastAsia" w:ascii="宋体" w:hAnsi="宋体" w:eastAsia="宋体" w:cs="宋体"/>
                <w:bCs/>
                <w:color w:val="auto"/>
                <w:sz w:val="24"/>
                <w:szCs w:val="24"/>
                <w:highlight w:val="none"/>
                <w:lang w:bidi="ar"/>
              </w:rPr>
              <w:t>，技术能力一般，经验</w:t>
            </w:r>
            <w:r>
              <w:rPr>
                <w:rFonts w:hint="eastAsia" w:ascii="宋体" w:hAnsi="宋体" w:eastAsia="宋体" w:cs="宋体"/>
                <w:bCs/>
                <w:color w:val="auto"/>
                <w:sz w:val="24"/>
                <w:szCs w:val="24"/>
                <w:highlight w:val="none"/>
                <w:lang w:val="en-US" w:eastAsia="zh-CN" w:bidi="ar"/>
              </w:rPr>
              <w:t>少</w:t>
            </w:r>
            <w:r>
              <w:rPr>
                <w:rFonts w:hint="eastAsia" w:ascii="宋体" w:hAnsi="宋体" w:eastAsia="宋体" w:cs="宋体"/>
                <w:bCs/>
                <w:color w:val="auto"/>
                <w:sz w:val="24"/>
                <w:szCs w:val="24"/>
                <w:highlight w:val="none"/>
                <w:lang w:bidi="ar"/>
              </w:rPr>
              <w:t>的得</w:t>
            </w:r>
            <w:r>
              <w:rPr>
                <w:rFonts w:hint="eastAsia" w:ascii="宋体" w:hAnsi="宋体" w:eastAsia="宋体" w:cs="宋体"/>
                <w:bCs/>
                <w:color w:val="auto"/>
                <w:sz w:val="24"/>
                <w:szCs w:val="24"/>
                <w:highlight w:val="none"/>
                <w:lang w:val="en-US" w:eastAsia="zh-CN" w:bidi="ar"/>
              </w:rPr>
              <w:t>1</w:t>
            </w:r>
            <w:r>
              <w:rPr>
                <w:rFonts w:hint="eastAsia" w:ascii="宋体" w:hAnsi="宋体" w:eastAsia="宋体" w:cs="宋体"/>
                <w:bCs/>
                <w:color w:val="auto"/>
                <w:sz w:val="24"/>
                <w:szCs w:val="24"/>
                <w:highlight w:val="none"/>
                <w:lang w:bidi="ar"/>
              </w:rPr>
              <w:t>分</w:t>
            </w:r>
            <w:r>
              <w:rPr>
                <w:rFonts w:hint="eastAsia" w:ascii="宋体" w:hAnsi="宋体" w:eastAsia="宋体" w:cs="宋体"/>
                <w:bCs/>
                <w:color w:val="auto"/>
                <w:sz w:val="24"/>
                <w:szCs w:val="24"/>
                <w:highlight w:val="none"/>
                <w:lang w:eastAsia="zh-CN" w:bidi="ar"/>
              </w:rPr>
              <w:t>。</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0A6A36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3</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1CB6CA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主观评审</w:t>
            </w:r>
          </w:p>
        </w:tc>
      </w:tr>
      <w:tr w14:paraId="0FB12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150" w:type="dxa"/>
            <w:vMerge w:val="continue"/>
            <w:tcBorders>
              <w:left w:val="single" w:color="auto" w:sz="4" w:space="0"/>
              <w:right w:val="single" w:color="auto" w:sz="4" w:space="0"/>
            </w:tcBorders>
            <w:noWrap w:val="0"/>
            <w:vAlign w:val="center"/>
          </w:tcPr>
          <w:p w14:paraId="56BCF9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3BD888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5BBF82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492" w:type="dxa"/>
            <w:vMerge w:val="continue"/>
            <w:tcBorders>
              <w:left w:val="single" w:color="auto" w:sz="4" w:space="0"/>
              <w:right w:val="single" w:color="auto" w:sz="4" w:space="0"/>
            </w:tcBorders>
            <w:noWrap w:val="0"/>
            <w:vAlign w:val="center"/>
          </w:tcPr>
          <w:p w14:paraId="1BF73A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3152" w:type="dxa"/>
            <w:vMerge w:val="continue"/>
            <w:tcBorders>
              <w:left w:val="single" w:color="auto" w:sz="4" w:space="0"/>
              <w:bottom w:val="single" w:color="auto" w:sz="4" w:space="0"/>
              <w:right w:val="single" w:color="auto" w:sz="4" w:space="0"/>
            </w:tcBorders>
            <w:noWrap w:val="0"/>
            <w:vAlign w:val="center"/>
          </w:tcPr>
          <w:p w14:paraId="7BC7D5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5645" w:type="dxa"/>
            <w:tcBorders>
              <w:top w:val="single" w:color="auto" w:sz="4" w:space="0"/>
              <w:left w:val="single" w:color="auto" w:sz="4" w:space="0"/>
              <w:bottom w:val="single" w:color="auto" w:sz="4" w:space="0"/>
              <w:right w:val="single" w:color="auto" w:sz="4" w:space="0"/>
            </w:tcBorders>
            <w:noWrap w:val="0"/>
            <w:vAlign w:val="center"/>
          </w:tcPr>
          <w:p w14:paraId="53FD9597">
            <w:pPr>
              <w:keepNext w:val="0"/>
              <w:keepLines w:val="0"/>
              <w:pageBreakBefore w:val="0"/>
              <w:widowControl w:val="0"/>
              <w:numPr>
                <w:ilvl w:val="-1"/>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val="en-US" w:eastAsia="zh-CN" w:bidi="ar"/>
              </w:rPr>
              <w:t>1.2</w:t>
            </w:r>
            <w:r>
              <w:rPr>
                <w:rFonts w:hint="eastAsia" w:ascii="宋体" w:hAnsi="宋体" w:eastAsia="宋体" w:cs="宋体"/>
                <w:bCs/>
                <w:color w:val="auto"/>
                <w:sz w:val="24"/>
                <w:szCs w:val="24"/>
                <w:highlight w:val="none"/>
                <w:lang w:bidi="ar"/>
              </w:rPr>
              <w:t>项目负责人具有园林绿化或风景园林（施工）或市政类专业高级（含）</w:t>
            </w:r>
            <w:r>
              <w:rPr>
                <w:rFonts w:hint="eastAsia" w:ascii="宋体" w:hAnsi="宋体" w:cs="宋体"/>
                <w:bCs/>
                <w:color w:val="auto"/>
                <w:sz w:val="24"/>
                <w:szCs w:val="24"/>
                <w:highlight w:val="none"/>
                <w:lang w:val="en-US" w:eastAsia="zh-CN" w:bidi="ar"/>
              </w:rPr>
              <w:t>及以上</w:t>
            </w:r>
            <w:r>
              <w:rPr>
                <w:rFonts w:hint="eastAsia" w:ascii="宋体" w:hAnsi="宋体" w:eastAsia="宋体" w:cs="宋体"/>
                <w:bCs/>
                <w:color w:val="auto"/>
                <w:sz w:val="24"/>
                <w:szCs w:val="24"/>
                <w:highlight w:val="none"/>
                <w:lang w:bidi="ar"/>
              </w:rPr>
              <w:t>技术职称的得2分。（投标文件中需提供证书复印件加盖公章。）</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3617DA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2</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139119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客观评审</w:t>
            </w:r>
          </w:p>
        </w:tc>
      </w:tr>
      <w:tr w14:paraId="011BD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150" w:type="dxa"/>
            <w:vMerge w:val="continue"/>
            <w:tcBorders>
              <w:left w:val="single" w:color="auto" w:sz="4" w:space="0"/>
              <w:right w:val="single" w:color="auto" w:sz="4" w:space="0"/>
            </w:tcBorders>
            <w:noWrap w:val="0"/>
            <w:vAlign w:val="center"/>
          </w:tcPr>
          <w:p w14:paraId="019B33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5F5B9C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5E9616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492" w:type="dxa"/>
            <w:vMerge w:val="continue"/>
            <w:tcBorders>
              <w:left w:val="single" w:color="auto" w:sz="4" w:space="0"/>
              <w:right w:val="single" w:color="auto" w:sz="4" w:space="0"/>
            </w:tcBorders>
            <w:noWrap w:val="0"/>
            <w:vAlign w:val="center"/>
          </w:tcPr>
          <w:p w14:paraId="769B8C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3152" w:type="dxa"/>
            <w:tcBorders>
              <w:left w:val="single" w:color="auto" w:sz="4" w:space="0"/>
              <w:bottom w:val="single" w:color="auto" w:sz="4" w:space="0"/>
              <w:right w:val="single" w:color="auto" w:sz="4" w:space="0"/>
            </w:tcBorders>
            <w:noWrap w:val="0"/>
            <w:vAlign w:val="center"/>
          </w:tcPr>
          <w:p w14:paraId="5142229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00" w:leftChars="0" w:right="0" w:rightChars="0"/>
              <w:textAlignment w:val="auto"/>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val="en-US" w:eastAsia="zh-CN"/>
              </w:rPr>
              <w:t>②</w:t>
            </w:r>
            <w:r>
              <w:rPr>
                <w:rFonts w:hint="eastAsia" w:ascii="宋体" w:hAnsi="宋体" w:eastAsia="宋体" w:cs="宋体"/>
                <w:bCs/>
                <w:color w:val="auto"/>
                <w:sz w:val="24"/>
                <w:szCs w:val="24"/>
                <w:highlight w:val="none"/>
              </w:rPr>
              <w:t>园容主管（0.5分）</w:t>
            </w:r>
          </w:p>
        </w:tc>
        <w:tc>
          <w:tcPr>
            <w:tcW w:w="5645" w:type="dxa"/>
            <w:tcBorders>
              <w:top w:val="single" w:color="auto" w:sz="4" w:space="0"/>
              <w:left w:val="single" w:color="auto" w:sz="4" w:space="0"/>
              <w:bottom w:val="single" w:color="auto" w:sz="4" w:space="0"/>
              <w:right w:val="single" w:color="auto" w:sz="4" w:space="0"/>
            </w:tcBorders>
            <w:noWrap w:val="0"/>
            <w:vAlign w:val="center"/>
          </w:tcPr>
          <w:p w14:paraId="326E6171">
            <w:pPr>
              <w:keepNext w:val="0"/>
              <w:keepLines w:val="0"/>
              <w:pageBreakBefore w:val="0"/>
              <w:widowControl w:val="0"/>
              <w:numPr>
                <w:ilvl w:val="-1"/>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园容主管拥有全日制本科及以上学历</w:t>
            </w:r>
            <w:r>
              <w:rPr>
                <w:rFonts w:hint="eastAsia" w:ascii="宋体" w:hAnsi="宋体" w:eastAsia="宋体" w:cs="宋体"/>
                <w:bCs/>
                <w:color w:val="auto"/>
                <w:sz w:val="24"/>
                <w:szCs w:val="24"/>
                <w:highlight w:val="none"/>
                <w:lang w:val="en-US" w:eastAsia="zh-CN"/>
              </w:rPr>
              <w:t>和园林绿化类中级</w:t>
            </w:r>
            <w:r>
              <w:rPr>
                <w:rFonts w:hint="eastAsia" w:ascii="宋体" w:hAnsi="宋体" w:eastAsia="宋体" w:cs="宋体"/>
                <w:bCs/>
                <w:color w:val="auto"/>
                <w:sz w:val="24"/>
                <w:szCs w:val="24"/>
                <w:highlight w:val="none"/>
              </w:rPr>
              <w:t>及以上职称证书的得0.5分。（投标文件中需提供证书复印件加盖公章。）</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0E34E0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0.5</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0A94C3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客观评审</w:t>
            </w:r>
          </w:p>
        </w:tc>
      </w:tr>
      <w:tr w14:paraId="372D3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7708E5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696657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5E0B5E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492" w:type="dxa"/>
            <w:vMerge w:val="continue"/>
            <w:tcBorders>
              <w:left w:val="single" w:color="auto" w:sz="4" w:space="0"/>
              <w:right w:val="single" w:color="auto" w:sz="4" w:space="0"/>
            </w:tcBorders>
            <w:noWrap w:val="0"/>
            <w:vAlign w:val="center"/>
          </w:tcPr>
          <w:p w14:paraId="202821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3152" w:type="dxa"/>
            <w:tcBorders>
              <w:left w:val="single" w:color="auto" w:sz="4" w:space="0"/>
              <w:bottom w:val="single" w:color="auto" w:sz="4" w:space="0"/>
              <w:right w:val="single" w:color="auto" w:sz="4" w:space="0"/>
            </w:tcBorders>
            <w:noWrap w:val="0"/>
            <w:vAlign w:val="center"/>
          </w:tcPr>
          <w:p w14:paraId="1A6CF5A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00" w:leftChars="0" w:right="0" w:rightChars="0"/>
              <w:textAlignment w:val="auto"/>
              <w:rPr>
                <w:rFonts w:hint="eastAsia" w:ascii="宋体" w:hAnsi="宋体" w:eastAsia="宋体" w:cs="宋体"/>
                <w:bCs/>
                <w:color w:val="auto"/>
                <w:sz w:val="24"/>
                <w:szCs w:val="24"/>
                <w:highlight w:val="none"/>
                <w:lang w:bidi="ar"/>
              </w:rPr>
            </w:pPr>
            <w:r>
              <w:rPr>
                <w:rFonts w:hint="eastAsia" w:ascii="宋体" w:hAnsi="宋体" w:cs="宋体"/>
                <w:bCs/>
                <w:color w:val="auto"/>
                <w:sz w:val="24"/>
                <w:szCs w:val="24"/>
                <w:highlight w:val="none"/>
                <w:lang w:val="en-US" w:eastAsia="zh-CN"/>
              </w:rPr>
              <w:t>③</w:t>
            </w:r>
            <w:r>
              <w:rPr>
                <w:rFonts w:hint="eastAsia" w:ascii="宋体" w:hAnsi="宋体" w:eastAsia="宋体" w:cs="宋体"/>
                <w:bCs/>
                <w:color w:val="auto"/>
                <w:sz w:val="24"/>
                <w:szCs w:val="24"/>
                <w:highlight w:val="none"/>
              </w:rPr>
              <w:t>安全主管（0.5分）</w:t>
            </w:r>
          </w:p>
        </w:tc>
        <w:tc>
          <w:tcPr>
            <w:tcW w:w="5645" w:type="dxa"/>
            <w:tcBorders>
              <w:top w:val="single" w:color="auto" w:sz="4" w:space="0"/>
              <w:left w:val="single" w:color="auto" w:sz="4" w:space="0"/>
              <w:bottom w:val="single" w:color="auto" w:sz="4" w:space="0"/>
              <w:right w:val="single" w:color="auto" w:sz="4" w:space="0"/>
            </w:tcBorders>
            <w:noWrap w:val="0"/>
            <w:vAlign w:val="center"/>
          </w:tcPr>
          <w:p w14:paraId="313F5FDA">
            <w:pPr>
              <w:keepNext w:val="0"/>
              <w:keepLines w:val="0"/>
              <w:pageBreakBefore w:val="0"/>
              <w:widowControl w:val="0"/>
              <w:numPr>
                <w:ilvl w:val="-1"/>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rPr>
              <w:t>安全管理人员具有住建部门颁发的安全员证书或安全生产监督部门颁发的安全管理人员证书得0.5分。</w:t>
            </w:r>
            <w:r>
              <w:rPr>
                <w:rFonts w:hint="eastAsia" w:ascii="宋体" w:hAnsi="宋体" w:eastAsia="宋体" w:cs="宋体"/>
                <w:bCs/>
                <w:color w:val="auto"/>
                <w:sz w:val="24"/>
                <w:szCs w:val="24"/>
                <w:highlight w:val="none"/>
                <w:lang w:bidi="ar"/>
              </w:rPr>
              <w:t>（投标文件中需提供证书复印件加盖公章。）</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1ECB38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0.5</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132BDD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客观评审</w:t>
            </w:r>
          </w:p>
        </w:tc>
      </w:tr>
      <w:tr w14:paraId="7D3CB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2B7F0E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1326B5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17D0FB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492" w:type="dxa"/>
            <w:vMerge w:val="continue"/>
            <w:tcBorders>
              <w:left w:val="single" w:color="auto" w:sz="4" w:space="0"/>
              <w:bottom w:val="single" w:color="auto" w:sz="4" w:space="0"/>
              <w:right w:val="single" w:color="auto" w:sz="4" w:space="0"/>
            </w:tcBorders>
            <w:noWrap w:val="0"/>
            <w:vAlign w:val="center"/>
          </w:tcPr>
          <w:p w14:paraId="3E9F17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3152" w:type="dxa"/>
            <w:tcBorders>
              <w:left w:val="single" w:color="auto" w:sz="4" w:space="0"/>
              <w:bottom w:val="single" w:color="auto" w:sz="4" w:space="0"/>
              <w:right w:val="single" w:color="auto" w:sz="4" w:space="0"/>
            </w:tcBorders>
            <w:noWrap w:val="0"/>
            <w:vAlign w:val="center"/>
          </w:tcPr>
          <w:p w14:paraId="7517C6F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00" w:leftChars="0" w:right="0" w:rightChars="0"/>
              <w:textAlignment w:val="auto"/>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val="en-US" w:eastAsia="zh-CN"/>
              </w:rPr>
              <w:t>④</w:t>
            </w:r>
            <w:r>
              <w:rPr>
                <w:rFonts w:hint="eastAsia" w:ascii="宋体" w:hAnsi="宋体" w:eastAsia="宋体" w:cs="宋体"/>
                <w:bCs/>
                <w:color w:val="auto"/>
                <w:sz w:val="24"/>
                <w:szCs w:val="24"/>
                <w:highlight w:val="none"/>
              </w:rPr>
              <w:t>其他管理人员（绿化、保洁、治安巡视专业负责人）（2分）</w:t>
            </w:r>
          </w:p>
        </w:tc>
        <w:tc>
          <w:tcPr>
            <w:tcW w:w="5645" w:type="dxa"/>
            <w:tcBorders>
              <w:top w:val="single" w:color="auto" w:sz="4" w:space="0"/>
              <w:left w:val="single" w:color="auto" w:sz="4" w:space="0"/>
              <w:bottom w:val="single" w:color="auto" w:sz="4" w:space="0"/>
              <w:right w:val="single" w:color="auto" w:sz="4" w:space="0"/>
            </w:tcBorders>
            <w:noWrap w:val="0"/>
            <w:vAlign w:val="center"/>
          </w:tcPr>
          <w:p w14:paraId="29A6B1C7">
            <w:pPr>
              <w:keepNext w:val="0"/>
              <w:keepLines w:val="0"/>
              <w:pageBreakBefore w:val="0"/>
              <w:widowControl w:val="0"/>
              <w:numPr>
                <w:ilvl w:val="-1"/>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rPr>
              <w:t>根据其他管理人员</w:t>
            </w:r>
            <w:r>
              <w:rPr>
                <w:rFonts w:hint="eastAsia" w:ascii="宋体" w:hAnsi="宋体" w:eastAsia="宋体" w:cs="宋体"/>
                <w:bCs/>
                <w:color w:val="auto"/>
                <w:sz w:val="24"/>
                <w:szCs w:val="24"/>
                <w:highlight w:val="none"/>
                <w:lang w:bidi="ar"/>
              </w:rPr>
              <w:t>的专业素质、技术能力、经验、资质等情况进行评议</w:t>
            </w:r>
            <w:r>
              <w:rPr>
                <w:rFonts w:hint="eastAsia" w:ascii="宋体" w:hAnsi="宋体" w:eastAsia="宋体" w:cs="宋体"/>
                <w:bCs/>
                <w:color w:val="auto"/>
                <w:sz w:val="24"/>
                <w:szCs w:val="24"/>
                <w:highlight w:val="none"/>
                <w:lang w:eastAsia="zh-CN" w:bidi="ar"/>
              </w:rPr>
              <w:t>：</w:t>
            </w:r>
          </w:p>
          <w:p w14:paraId="02942F7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①专业素质高，技术能力强，经验充足，资质深的得</w:t>
            </w:r>
            <w:r>
              <w:rPr>
                <w:rFonts w:hint="eastAsia" w:ascii="宋体" w:hAnsi="宋体" w:eastAsia="宋体" w:cs="宋体"/>
                <w:bCs/>
                <w:color w:val="auto"/>
                <w:sz w:val="24"/>
                <w:szCs w:val="24"/>
                <w:highlight w:val="none"/>
                <w:lang w:val="en-US" w:eastAsia="zh-CN" w:bidi="ar"/>
              </w:rPr>
              <w:t>2</w:t>
            </w:r>
            <w:r>
              <w:rPr>
                <w:rFonts w:hint="eastAsia" w:ascii="宋体" w:hAnsi="宋体" w:eastAsia="宋体" w:cs="宋体"/>
                <w:bCs/>
                <w:color w:val="auto"/>
                <w:sz w:val="24"/>
                <w:szCs w:val="24"/>
                <w:highlight w:val="none"/>
                <w:lang w:eastAsia="zh-CN" w:bidi="ar"/>
              </w:rPr>
              <w:t>分；</w:t>
            </w:r>
          </w:p>
          <w:p w14:paraId="4D1FE26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②专业素质较高，技术能力较强，经验较充足，资质较深的得</w:t>
            </w:r>
            <w:r>
              <w:rPr>
                <w:rFonts w:hint="eastAsia" w:ascii="宋体" w:hAnsi="宋体" w:eastAsia="宋体" w:cs="宋体"/>
                <w:bCs/>
                <w:color w:val="auto"/>
                <w:sz w:val="24"/>
                <w:szCs w:val="24"/>
                <w:highlight w:val="none"/>
                <w:lang w:val="en-US" w:eastAsia="zh-CN" w:bidi="ar"/>
              </w:rPr>
              <w:t>1.5</w:t>
            </w:r>
            <w:r>
              <w:rPr>
                <w:rFonts w:hint="eastAsia" w:ascii="宋体" w:hAnsi="宋体" w:eastAsia="宋体" w:cs="宋体"/>
                <w:bCs/>
                <w:color w:val="auto"/>
                <w:sz w:val="24"/>
                <w:szCs w:val="24"/>
                <w:highlight w:val="none"/>
                <w:lang w:eastAsia="zh-CN" w:bidi="ar"/>
              </w:rPr>
              <w:t>分；</w:t>
            </w:r>
          </w:p>
          <w:p w14:paraId="3EF5E9C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eastAsia="zh-CN" w:bidi="ar"/>
              </w:rPr>
              <w:t>③专业素质一般，技术能力一般，经验少的得1分。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51999E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2</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02E157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主观评审</w:t>
            </w:r>
          </w:p>
        </w:tc>
      </w:tr>
      <w:tr w14:paraId="7B457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62CA89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05456D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478C3A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0289" w:type="dxa"/>
            <w:gridSpan w:val="3"/>
            <w:tcBorders>
              <w:top w:val="single" w:color="auto" w:sz="4" w:space="0"/>
              <w:left w:val="single" w:color="auto" w:sz="4" w:space="0"/>
              <w:bottom w:val="single" w:color="auto" w:sz="4" w:space="0"/>
              <w:right w:val="single" w:color="auto" w:sz="4" w:space="0"/>
            </w:tcBorders>
            <w:noWrap w:val="0"/>
            <w:vAlign w:val="center"/>
          </w:tcPr>
          <w:p w14:paraId="0794C153">
            <w:pPr>
              <w:keepNext w:val="0"/>
              <w:keepLines w:val="0"/>
              <w:pageBreakBefore w:val="0"/>
              <w:widowControl w:val="0"/>
              <w:numPr>
                <w:ilvl w:val="0"/>
                <w:numId w:val="15"/>
              </w:numPr>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rPr>
              <w:t>供应商拟投入本项目的养护、保洁、巡逻人员（除</w:t>
            </w:r>
            <w:r>
              <w:rPr>
                <w:rFonts w:hint="eastAsia" w:ascii="宋体" w:hAnsi="宋体" w:eastAsia="宋体" w:cs="宋体"/>
                <w:bCs/>
                <w:color w:val="auto"/>
                <w:sz w:val="24"/>
                <w:szCs w:val="24"/>
                <w:highlight w:val="none"/>
                <w:lang w:bidi="ar"/>
              </w:rPr>
              <w:t>管理技术岗人员</w:t>
            </w:r>
            <w:r>
              <w:rPr>
                <w:rFonts w:hint="eastAsia" w:ascii="宋体" w:hAnsi="宋体" w:eastAsia="宋体" w:cs="宋体"/>
                <w:bCs/>
                <w:color w:val="auto"/>
                <w:sz w:val="24"/>
                <w:szCs w:val="24"/>
                <w:highlight w:val="none"/>
              </w:rPr>
              <w:t>外）的岗位设置、数量、工作内容和区域等内容进行评议</w:t>
            </w:r>
            <w:r>
              <w:rPr>
                <w:rFonts w:hint="eastAsia" w:ascii="宋体" w:hAnsi="宋体" w:eastAsia="宋体" w:cs="宋体"/>
                <w:bCs/>
                <w:color w:val="auto"/>
                <w:sz w:val="24"/>
                <w:szCs w:val="24"/>
                <w:highlight w:val="none"/>
                <w:lang w:eastAsia="zh-CN"/>
              </w:rPr>
              <w:t>：</w:t>
            </w:r>
          </w:p>
          <w:p w14:paraId="5D2A855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①方案详细、编排合理、条理清晰、结构完整符合公园运营要求的得</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lang w:eastAsia="zh-CN"/>
              </w:rPr>
              <w:t>分；</w:t>
            </w:r>
          </w:p>
          <w:p w14:paraId="130295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②计划编排及方案符合公园运营要求，但存在一定缺陷的得</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lang w:eastAsia="zh-CN"/>
              </w:rPr>
              <w:t>分；</w:t>
            </w:r>
          </w:p>
          <w:p w14:paraId="758E17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③计划编排及方案存在明显缺陷，实行上略有困难的得</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lang w:eastAsia="zh-CN"/>
              </w:rPr>
              <w:t>分；</w:t>
            </w:r>
          </w:p>
          <w:p w14:paraId="279770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④计划编排及方案不合理，无法确保人员轮换顺利的得</w:t>
            </w:r>
            <w:r>
              <w:rPr>
                <w:rFonts w:hint="eastAsia" w:ascii="宋体" w:hAnsi="宋体" w:eastAsia="宋体" w:cs="宋体"/>
                <w:bCs/>
                <w:color w:val="auto"/>
                <w:sz w:val="24"/>
                <w:szCs w:val="24"/>
                <w:highlight w:val="none"/>
                <w:lang w:val="en-US" w:eastAsia="zh-CN"/>
              </w:rPr>
              <w:t>0.5</w:t>
            </w:r>
            <w:r>
              <w:rPr>
                <w:rFonts w:hint="eastAsia" w:ascii="宋体" w:hAnsi="宋体" w:eastAsia="宋体" w:cs="宋体"/>
                <w:bCs/>
                <w:color w:val="auto"/>
                <w:sz w:val="24"/>
                <w:szCs w:val="24"/>
                <w:highlight w:val="none"/>
                <w:lang w:eastAsia="zh-CN"/>
              </w:rPr>
              <w:t>分；</w:t>
            </w:r>
          </w:p>
          <w:p w14:paraId="3838CA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⑤未提供相关内容的不得分。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5321D5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val="en-US" w:eastAsia="zh-CN"/>
              </w:rPr>
              <w:t>3</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514A80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主观评审</w:t>
            </w:r>
          </w:p>
        </w:tc>
      </w:tr>
      <w:tr w14:paraId="7CA54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76AEA0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1DAB7D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24DA28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0289" w:type="dxa"/>
            <w:gridSpan w:val="3"/>
            <w:tcBorders>
              <w:top w:val="single" w:color="auto" w:sz="4" w:space="0"/>
              <w:left w:val="single" w:color="auto" w:sz="4" w:space="0"/>
              <w:bottom w:val="single" w:color="auto" w:sz="4" w:space="0"/>
              <w:right w:val="single" w:color="auto" w:sz="4" w:space="0"/>
            </w:tcBorders>
            <w:noWrap w:val="0"/>
            <w:vAlign w:val="center"/>
          </w:tcPr>
          <w:p w14:paraId="079831D5">
            <w:pPr>
              <w:keepNext w:val="0"/>
              <w:keepLines w:val="0"/>
              <w:pageBreakBefore w:val="0"/>
              <w:widowControl w:val="0"/>
              <w:numPr>
                <w:ilvl w:val="0"/>
                <w:numId w:val="15"/>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根据内部考核监管方案、奖惩方案、培训方案、合同执行期间的人员数量保障方案、人员安全保障措施、人员管理规范等进行评议。</w:t>
            </w:r>
          </w:p>
          <w:p w14:paraId="0C8A2D8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①奖惩制度规范、福利待遇明确、能有效保障员工权益、绩效考核制度健全，可以有效实施的得</w:t>
            </w:r>
            <w:r>
              <w:rPr>
                <w:rFonts w:hint="eastAsia" w:ascii="宋体" w:hAnsi="宋体" w:eastAsia="宋体" w:cs="宋体"/>
                <w:bCs/>
                <w:color w:val="auto"/>
                <w:sz w:val="24"/>
                <w:szCs w:val="24"/>
                <w:highlight w:val="none"/>
                <w:lang w:val="en-US" w:eastAsia="zh-CN" w:bidi="ar"/>
              </w:rPr>
              <w:t>3</w:t>
            </w:r>
            <w:r>
              <w:rPr>
                <w:rFonts w:hint="eastAsia" w:ascii="宋体" w:hAnsi="宋体" w:eastAsia="宋体" w:cs="宋体"/>
                <w:bCs/>
                <w:color w:val="auto"/>
                <w:sz w:val="24"/>
                <w:szCs w:val="24"/>
                <w:highlight w:val="none"/>
                <w:lang w:bidi="ar"/>
              </w:rPr>
              <w:t>分；</w:t>
            </w:r>
          </w:p>
          <w:p w14:paraId="19E40B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②奖惩制度、绩效考核制度完整、有利管理，福利待遇基本能保证员工权益的得</w:t>
            </w:r>
            <w:r>
              <w:rPr>
                <w:rFonts w:hint="eastAsia" w:ascii="宋体" w:hAnsi="宋体" w:eastAsia="宋体" w:cs="宋体"/>
                <w:bCs/>
                <w:color w:val="auto"/>
                <w:sz w:val="24"/>
                <w:szCs w:val="24"/>
                <w:highlight w:val="none"/>
                <w:lang w:val="en-US" w:eastAsia="zh-CN" w:bidi="ar"/>
              </w:rPr>
              <w:t>2</w:t>
            </w:r>
            <w:r>
              <w:rPr>
                <w:rFonts w:hint="eastAsia" w:ascii="宋体" w:hAnsi="宋体" w:eastAsia="宋体" w:cs="宋体"/>
                <w:bCs/>
                <w:color w:val="auto"/>
                <w:sz w:val="24"/>
                <w:szCs w:val="24"/>
                <w:highlight w:val="none"/>
                <w:lang w:bidi="ar"/>
              </w:rPr>
              <w:t>分；</w:t>
            </w:r>
          </w:p>
          <w:p w14:paraId="284001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③未能明确阐述各项福利待遇，奖惩制度、考核制度存在缺陷，有待改进的得</w:t>
            </w:r>
            <w:r>
              <w:rPr>
                <w:rFonts w:hint="eastAsia" w:ascii="宋体" w:hAnsi="宋体" w:eastAsia="宋体" w:cs="宋体"/>
                <w:bCs/>
                <w:color w:val="auto"/>
                <w:sz w:val="24"/>
                <w:szCs w:val="24"/>
                <w:highlight w:val="none"/>
                <w:lang w:val="en-US" w:eastAsia="zh-CN" w:bidi="ar"/>
              </w:rPr>
              <w:t>1</w:t>
            </w:r>
            <w:r>
              <w:rPr>
                <w:rFonts w:hint="eastAsia" w:ascii="宋体" w:hAnsi="宋体" w:eastAsia="宋体" w:cs="宋体"/>
                <w:bCs/>
                <w:color w:val="auto"/>
                <w:sz w:val="24"/>
                <w:szCs w:val="24"/>
                <w:highlight w:val="none"/>
                <w:lang w:bidi="ar"/>
              </w:rPr>
              <w:t>分；</w:t>
            </w:r>
          </w:p>
          <w:p w14:paraId="576C51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④未提供服务奖惩制度规范、福利待遇，实行上略有欠缺的得</w:t>
            </w:r>
            <w:r>
              <w:rPr>
                <w:rFonts w:hint="eastAsia" w:ascii="宋体" w:hAnsi="宋体" w:eastAsia="宋体" w:cs="宋体"/>
                <w:bCs/>
                <w:color w:val="auto"/>
                <w:sz w:val="24"/>
                <w:szCs w:val="24"/>
                <w:highlight w:val="none"/>
                <w:lang w:val="en-US" w:eastAsia="zh-CN" w:bidi="ar"/>
              </w:rPr>
              <w:t>0.5</w:t>
            </w:r>
            <w:r>
              <w:rPr>
                <w:rFonts w:hint="eastAsia" w:ascii="宋体" w:hAnsi="宋体" w:eastAsia="宋体" w:cs="宋体"/>
                <w:bCs/>
                <w:color w:val="auto"/>
                <w:sz w:val="24"/>
                <w:szCs w:val="24"/>
                <w:highlight w:val="none"/>
                <w:lang w:bidi="ar"/>
              </w:rPr>
              <w:t>分；</w:t>
            </w:r>
          </w:p>
          <w:p w14:paraId="00DB71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⑤未提供相关内容的不得分。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0A6D99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val="en-US" w:eastAsia="zh-CN"/>
              </w:rPr>
              <w:t>3</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7170A4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主观评审</w:t>
            </w:r>
          </w:p>
        </w:tc>
      </w:tr>
      <w:tr w14:paraId="292D1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14AD58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4F50B5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57995E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0289" w:type="dxa"/>
            <w:gridSpan w:val="3"/>
            <w:tcBorders>
              <w:top w:val="single" w:color="auto" w:sz="4" w:space="0"/>
              <w:left w:val="single" w:color="auto" w:sz="4" w:space="0"/>
              <w:bottom w:val="single" w:color="auto" w:sz="4" w:space="0"/>
              <w:right w:val="single" w:color="auto" w:sz="4" w:space="0"/>
            </w:tcBorders>
            <w:noWrap w:val="0"/>
            <w:vAlign w:val="center"/>
          </w:tcPr>
          <w:p w14:paraId="278F8A0E">
            <w:pPr>
              <w:keepNext w:val="0"/>
              <w:keepLines w:val="0"/>
              <w:pageBreakBefore w:val="0"/>
              <w:widowControl w:val="0"/>
              <w:numPr>
                <w:ilvl w:val="0"/>
                <w:numId w:val="15"/>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根据供应商是否建立企业巡查机制，是否建立档案管理制度，制度是否完善进行评议。</w:t>
            </w:r>
          </w:p>
          <w:p w14:paraId="28CFC3F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①企业巡查机制</w:t>
            </w:r>
            <w:r>
              <w:rPr>
                <w:rFonts w:hint="eastAsia" w:ascii="宋体" w:hAnsi="宋体" w:eastAsia="宋体" w:cs="宋体"/>
                <w:bCs/>
                <w:color w:val="auto"/>
                <w:sz w:val="24"/>
                <w:szCs w:val="24"/>
                <w:highlight w:val="none"/>
                <w:lang w:val="en-US" w:eastAsia="zh-CN" w:bidi="ar"/>
              </w:rPr>
              <w:t>完备</w:t>
            </w:r>
            <w:r>
              <w:rPr>
                <w:rFonts w:hint="eastAsia" w:ascii="宋体" w:hAnsi="宋体" w:eastAsia="宋体" w:cs="宋体"/>
                <w:bCs/>
                <w:color w:val="auto"/>
                <w:sz w:val="24"/>
                <w:szCs w:val="24"/>
                <w:highlight w:val="none"/>
                <w:lang w:bidi="ar"/>
              </w:rPr>
              <w:t>，档案管理制度</w:t>
            </w:r>
            <w:r>
              <w:rPr>
                <w:rFonts w:hint="eastAsia" w:ascii="宋体" w:hAnsi="宋体" w:eastAsia="宋体" w:cs="宋体"/>
                <w:bCs/>
                <w:color w:val="auto"/>
                <w:sz w:val="24"/>
                <w:szCs w:val="24"/>
                <w:highlight w:val="none"/>
                <w:lang w:val="en-US" w:eastAsia="zh-CN" w:bidi="ar"/>
              </w:rPr>
              <w:t>完善</w:t>
            </w:r>
            <w:r>
              <w:rPr>
                <w:rFonts w:hint="eastAsia" w:ascii="宋体" w:hAnsi="宋体" w:eastAsia="宋体" w:cs="宋体"/>
                <w:bCs/>
                <w:color w:val="auto"/>
                <w:sz w:val="24"/>
                <w:szCs w:val="24"/>
                <w:highlight w:val="none"/>
                <w:lang w:bidi="ar"/>
              </w:rPr>
              <w:t>，制度</w:t>
            </w:r>
            <w:r>
              <w:rPr>
                <w:rFonts w:hint="eastAsia" w:ascii="宋体" w:hAnsi="宋体" w:eastAsia="宋体" w:cs="宋体"/>
                <w:bCs/>
                <w:color w:val="auto"/>
                <w:sz w:val="24"/>
                <w:szCs w:val="24"/>
                <w:highlight w:val="none"/>
                <w:lang w:val="en-US" w:eastAsia="zh-CN" w:bidi="ar"/>
              </w:rPr>
              <w:t>科学合理</w:t>
            </w:r>
            <w:r>
              <w:rPr>
                <w:rFonts w:hint="eastAsia" w:ascii="宋体" w:hAnsi="宋体" w:eastAsia="宋体" w:cs="宋体"/>
                <w:bCs/>
                <w:color w:val="auto"/>
                <w:sz w:val="24"/>
                <w:szCs w:val="24"/>
                <w:highlight w:val="none"/>
                <w:lang w:bidi="ar"/>
              </w:rPr>
              <w:t>的得</w:t>
            </w:r>
            <w:r>
              <w:rPr>
                <w:rFonts w:hint="eastAsia" w:ascii="宋体" w:hAnsi="宋体" w:eastAsia="宋体" w:cs="宋体"/>
                <w:bCs/>
                <w:color w:val="auto"/>
                <w:sz w:val="24"/>
                <w:szCs w:val="24"/>
                <w:highlight w:val="none"/>
                <w:lang w:val="en-US" w:eastAsia="zh-CN" w:bidi="ar"/>
              </w:rPr>
              <w:t>3</w:t>
            </w:r>
            <w:r>
              <w:rPr>
                <w:rFonts w:hint="eastAsia" w:ascii="宋体" w:hAnsi="宋体" w:eastAsia="宋体" w:cs="宋体"/>
                <w:bCs/>
                <w:color w:val="auto"/>
                <w:sz w:val="24"/>
                <w:szCs w:val="24"/>
                <w:highlight w:val="none"/>
                <w:lang w:bidi="ar"/>
              </w:rPr>
              <w:t>分；</w:t>
            </w:r>
          </w:p>
          <w:p w14:paraId="76625D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②企业巡查机制</w:t>
            </w:r>
            <w:r>
              <w:rPr>
                <w:rFonts w:hint="eastAsia" w:ascii="宋体" w:hAnsi="宋体" w:eastAsia="宋体" w:cs="宋体"/>
                <w:bCs/>
                <w:color w:val="auto"/>
                <w:sz w:val="24"/>
                <w:szCs w:val="24"/>
                <w:highlight w:val="none"/>
                <w:lang w:val="en-US" w:eastAsia="zh-CN" w:bidi="ar"/>
              </w:rPr>
              <w:t>较</w:t>
            </w:r>
            <w:r>
              <w:rPr>
                <w:rFonts w:hint="eastAsia" w:ascii="宋体" w:hAnsi="宋体" w:eastAsia="宋体" w:cs="宋体"/>
                <w:bCs/>
                <w:color w:val="auto"/>
                <w:sz w:val="24"/>
                <w:szCs w:val="24"/>
                <w:highlight w:val="none"/>
                <w:lang w:bidi="ar"/>
              </w:rPr>
              <w:t>完备，档案管理制度较完善，制度较科学合理的得</w:t>
            </w:r>
            <w:r>
              <w:rPr>
                <w:rFonts w:hint="eastAsia" w:ascii="宋体" w:hAnsi="宋体" w:eastAsia="宋体" w:cs="宋体"/>
                <w:bCs/>
                <w:color w:val="auto"/>
                <w:sz w:val="24"/>
                <w:szCs w:val="24"/>
                <w:highlight w:val="none"/>
                <w:lang w:val="en-US" w:eastAsia="zh-CN" w:bidi="ar"/>
              </w:rPr>
              <w:t>2</w:t>
            </w:r>
            <w:r>
              <w:rPr>
                <w:rFonts w:hint="eastAsia" w:ascii="宋体" w:hAnsi="宋体" w:eastAsia="宋体" w:cs="宋体"/>
                <w:bCs/>
                <w:color w:val="auto"/>
                <w:sz w:val="24"/>
                <w:szCs w:val="24"/>
                <w:highlight w:val="none"/>
                <w:lang w:bidi="ar"/>
              </w:rPr>
              <w:t>分；</w:t>
            </w:r>
          </w:p>
          <w:p w14:paraId="2248F7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③企业巡查机制</w:t>
            </w:r>
            <w:r>
              <w:rPr>
                <w:rFonts w:hint="eastAsia" w:ascii="宋体" w:hAnsi="宋体" w:eastAsia="宋体" w:cs="宋体"/>
                <w:bCs/>
                <w:color w:val="auto"/>
                <w:sz w:val="24"/>
                <w:szCs w:val="24"/>
                <w:highlight w:val="none"/>
                <w:lang w:val="en-US" w:eastAsia="zh-CN" w:bidi="ar"/>
              </w:rPr>
              <w:t>不够完备</w:t>
            </w:r>
            <w:r>
              <w:rPr>
                <w:rFonts w:hint="eastAsia" w:ascii="宋体" w:hAnsi="宋体" w:eastAsia="宋体" w:cs="宋体"/>
                <w:bCs/>
                <w:color w:val="auto"/>
                <w:sz w:val="24"/>
                <w:szCs w:val="24"/>
                <w:highlight w:val="none"/>
                <w:lang w:bidi="ar"/>
              </w:rPr>
              <w:t>，档案管理制度不够完备，制度</w:t>
            </w:r>
            <w:r>
              <w:rPr>
                <w:rFonts w:hint="eastAsia" w:ascii="宋体" w:hAnsi="宋体" w:eastAsia="宋体" w:cs="宋体"/>
                <w:bCs/>
                <w:color w:val="auto"/>
                <w:sz w:val="24"/>
                <w:szCs w:val="24"/>
                <w:highlight w:val="none"/>
                <w:lang w:val="en-US" w:eastAsia="zh-CN" w:bidi="ar"/>
              </w:rPr>
              <w:t>一般</w:t>
            </w:r>
            <w:r>
              <w:rPr>
                <w:rFonts w:hint="eastAsia" w:ascii="宋体" w:hAnsi="宋体" w:eastAsia="宋体" w:cs="宋体"/>
                <w:bCs/>
                <w:color w:val="auto"/>
                <w:sz w:val="24"/>
                <w:szCs w:val="24"/>
                <w:highlight w:val="none"/>
                <w:lang w:bidi="ar"/>
              </w:rPr>
              <w:t>的得</w:t>
            </w:r>
            <w:r>
              <w:rPr>
                <w:rFonts w:hint="eastAsia" w:ascii="宋体" w:hAnsi="宋体" w:eastAsia="宋体" w:cs="宋体"/>
                <w:bCs/>
                <w:color w:val="auto"/>
                <w:sz w:val="24"/>
                <w:szCs w:val="24"/>
                <w:highlight w:val="none"/>
                <w:lang w:val="en-US" w:eastAsia="zh-CN" w:bidi="ar"/>
              </w:rPr>
              <w:t>1</w:t>
            </w:r>
            <w:r>
              <w:rPr>
                <w:rFonts w:hint="eastAsia" w:ascii="宋体" w:hAnsi="宋体" w:eastAsia="宋体" w:cs="宋体"/>
                <w:bCs/>
                <w:color w:val="auto"/>
                <w:sz w:val="24"/>
                <w:szCs w:val="24"/>
                <w:highlight w:val="none"/>
                <w:lang w:bidi="ar"/>
              </w:rPr>
              <w:t>分；</w:t>
            </w:r>
          </w:p>
          <w:p w14:paraId="42CD54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④未提供相关内容的不得分。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04CC22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val="en-US" w:eastAsia="zh-CN"/>
              </w:rPr>
              <w:t>3</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016787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主观评审</w:t>
            </w:r>
          </w:p>
        </w:tc>
      </w:tr>
      <w:tr w14:paraId="04948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0437C7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318B68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restart"/>
            <w:tcBorders>
              <w:left w:val="single" w:color="auto" w:sz="4" w:space="0"/>
              <w:right w:val="single" w:color="auto" w:sz="4" w:space="0"/>
            </w:tcBorders>
            <w:noWrap w:val="0"/>
            <w:vAlign w:val="center"/>
          </w:tcPr>
          <w:p w14:paraId="6449AC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3、主要机械设备（</w:t>
            </w:r>
            <w:r>
              <w:rPr>
                <w:rFonts w:hint="eastAsia" w:ascii="宋体" w:hAnsi="宋体" w:eastAsia="宋体" w:cs="宋体"/>
                <w:bCs/>
                <w:color w:val="auto"/>
                <w:sz w:val="24"/>
                <w:szCs w:val="24"/>
                <w:highlight w:val="none"/>
                <w:lang w:val="en-US" w:eastAsia="zh-CN" w:bidi="ar"/>
              </w:rPr>
              <w:t>7</w:t>
            </w:r>
            <w:r>
              <w:rPr>
                <w:rFonts w:hint="eastAsia" w:ascii="宋体" w:hAnsi="宋体" w:eastAsia="宋体" w:cs="宋体"/>
                <w:bCs/>
                <w:color w:val="auto"/>
                <w:sz w:val="24"/>
                <w:szCs w:val="24"/>
                <w:highlight w:val="none"/>
                <w:lang w:bidi="ar"/>
              </w:rPr>
              <w:t>分）</w:t>
            </w:r>
          </w:p>
        </w:tc>
        <w:tc>
          <w:tcPr>
            <w:tcW w:w="10289" w:type="dxa"/>
            <w:gridSpan w:val="3"/>
            <w:tcBorders>
              <w:top w:val="single" w:color="auto" w:sz="4" w:space="0"/>
              <w:left w:val="single" w:color="auto" w:sz="4" w:space="0"/>
              <w:bottom w:val="single" w:color="auto" w:sz="4" w:space="0"/>
              <w:right w:val="single" w:color="auto" w:sz="4" w:space="0"/>
            </w:tcBorders>
            <w:noWrap w:val="0"/>
            <w:vAlign w:val="center"/>
          </w:tcPr>
          <w:p w14:paraId="61AA8A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1）拟投入的各类作业</w:t>
            </w:r>
            <w:r>
              <w:rPr>
                <w:rFonts w:hint="eastAsia" w:ascii="宋体" w:hAnsi="宋体" w:eastAsia="宋体" w:cs="宋体"/>
                <w:color w:val="auto"/>
                <w:sz w:val="24"/>
                <w:szCs w:val="24"/>
                <w:highlight w:val="none"/>
                <w:lang w:val="en-US" w:eastAsia="zh-CN"/>
              </w:rPr>
              <w:t>机械</w:t>
            </w:r>
            <w:r>
              <w:rPr>
                <w:rFonts w:hint="eastAsia" w:ascii="宋体" w:hAnsi="宋体" w:eastAsia="宋体" w:cs="宋体"/>
                <w:color w:val="auto"/>
                <w:sz w:val="24"/>
                <w:szCs w:val="24"/>
                <w:highlight w:val="none"/>
              </w:rPr>
              <w:t>、设备的先进程度、数量等情况：评委根据供应商拟投入新能源养护（包括绿化、保洁）作业机械设备的</w:t>
            </w:r>
            <w:r>
              <w:rPr>
                <w:rFonts w:hint="eastAsia" w:ascii="宋体" w:hAnsi="宋体" w:eastAsia="宋体" w:cs="宋体"/>
                <w:color w:val="auto"/>
                <w:sz w:val="24"/>
                <w:szCs w:val="24"/>
                <w:highlight w:val="none"/>
                <w:lang w:val="en-US" w:eastAsia="zh-CN"/>
              </w:rPr>
              <w:t>配备情况</w:t>
            </w:r>
            <w:r>
              <w:rPr>
                <w:rFonts w:hint="eastAsia" w:ascii="宋体" w:hAnsi="宋体" w:eastAsia="宋体" w:cs="宋体"/>
                <w:color w:val="auto"/>
                <w:sz w:val="24"/>
                <w:szCs w:val="24"/>
                <w:highlight w:val="none"/>
              </w:rPr>
              <w:t>，以及是否满足项目需求等进行评议（4分）</w:t>
            </w:r>
            <w:r>
              <w:rPr>
                <w:rFonts w:hint="eastAsia" w:ascii="宋体" w:hAnsi="宋体" w:eastAsia="宋体" w:cs="宋体"/>
                <w:color w:val="auto"/>
                <w:sz w:val="24"/>
                <w:szCs w:val="24"/>
                <w:highlight w:val="none"/>
                <w:lang w:eastAsia="zh-CN"/>
              </w:rPr>
              <w:t>：</w:t>
            </w:r>
          </w:p>
          <w:p w14:paraId="2BAC23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①</w:t>
            </w:r>
            <w:r>
              <w:rPr>
                <w:rFonts w:hint="eastAsia" w:ascii="宋体" w:hAnsi="宋体" w:eastAsia="宋体" w:cs="宋体"/>
                <w:color w:val="auto"/>
                <w:sz w:val="24"/>
                <w:szCs w:val="24"/>
                <w:highlight w:val="none"/>
                <w:lang w:val="en-US" w:eastAsia="zh-CN"/>
              </w:rPr>
              <w:t>完全满足项目需求，设备先进数量充足，且有投入新能源养护作业机械设备</w:t>
            </w:r>
            <w:r>
              <w:rPr>
                <w:rFonts w:hint="eastAsia" w:ascii="宋体" w:hAnsi="宋体" w:eastAsia="宋体" w:cs="宋体"/>
                <w:color w:val="auto"/>
                <w:sz w:val="24"/>
                <w:szCs w:val="24"/>
                <w:highlight w:val="none"/>
                <w:lang w:eastAsia="zh-CN"/>
              </w:rPr>
              <w:t>的得</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分；</w:t>
            </w:r>
          </w:p>
          <w:p w14:paraId="1A5F74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②完全满足项目需求，设备</w:t>
            </w:r>
            <w:r>
              <w:rPr>
                <w:rFonts w:hint="eastAsia" w:ascii="宋体" w:hAnsi="宋体" w:eastAsia="宋体" w:cs="宋体"/>
                <w:color w:val="auto"/>
                <w:sz w:val="24"/>
                <w:szCs w:val="24"/>
                <w:highlight w:val="none"/>
                <w:lang w:val="en-US" w:eastAsia="zh-CN"/>
              </w:rPr>
              <w:t>较</w:t>
            </w:r>
            <w:r>
              <w:rPr>
                <w:rFonts w:hint="eastAsia" w:ascii="宋体" w:hAnsi="宋体" w:eastAsia="宋体" w:cs="宋体"/>
                <w:color w:val="auto"/>
                <w:sz w:val="24"/>
                <w:szCs w:val="24"/>
                <w:highlight w:val="none"/>
                <w:lang w:eastAsia="zh-CN"/>
              </w:rPr>
              <w:t>先进，</w:t>
            </w:r>
            <w:r>
              <w:rPr>
                <w:rFonts w:hint="eastAsia" w:ascii="宋体" w:hAnsi="宋体" w:eastAsia="宋体" w:cs="宋体"/>
                <w:color w:val="auto"/>
                <w:sz w:val="24"/>
                <w:szCs w:val="24"/>
                <w:highlight w:val="none"/>
                <w:lang w:val="en-US" w:eastAsia="zh-CN"/>
              </w:rPr>
              <w:t>数量基本完备</w:t>
            </w:r>
            <w:r>
              <w:rPr>
                <w:rFonts w:hint="eastAsia" w:ascii="宋体" w:hAnsi="宋体" w:eastAsia="宋体" w:cs="宋体"/>
                <w:color w:val="auto"/>
                <w:sz w:val="24"/>
                <w:szCs w:val="24"/>
                <w:highlight w:val="none"/>
                <w:lang w:eastAsia="zh-CN"/>
              </w:rPr>
              <w:t>，且有投入新能源养护作业机械设备的得</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分；</w:t>
            </w:r>
          </w:p>
          <w:p w14:paraId="14472D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③完全满足项目需求，设备较</w:t>
            </w:r>
            <w:r>
              <w:rPr>
                <w:rFonts w:hint="eastAsia" w:ascii="宋体" w:hAnsi="宋体" w:eastAsia="宋体" w:cs="宋体"/>
                <w:color w:val="auto"/>
                <w:sz w:val="24"/>
                <w:szCs w:val="24"/>
                <w:highlight w:val="none"/>
                <w:lang w:val="en-US" w:eastAsia="zh-CN"/>
              </w:rPr>
              <w:t>老旧</w:t>
            </w:r>
            <w:r>
              <w:rPr>
                <w:rFonts w:hint="eastAsia" w:ascii="宋体" w:hAnsi="宋体" w:eastAsia="宋体" w:cs="宋体"/>
                <w:color w:val="auto"/>
                <w:sz w:val="24"/>
                <w:szCs w:val="24"/>
                <w:highlight w:val="none"/>
                <w:lang w:eastAsia="zh-CN"/>
              </w:rPr>
              <w:t>，数量基本完备，</w:t>
            </w:r>
            <w:r>
              <w:rPr>
                <w:rFonts w:hint="eastAsia" w:ascii="宋体" w:hAnsi="宋体" w:eastAsia="宋体" w:cs="宋体"/>
                <w:color w:val="auto"/>
                <w:sz w:val="24"/>
                <w:szCs w:val="24"/>
                <w:highlight w:val="none"/>
                <w:lang w:val="en-US" w:eastAsia="zh-CN"/>
              </w:rPr>
              <w:t>没有</w:t>
            </w:r>
            <w:r>
              <w:rPr>
                <w:rFonts w:hint="eastAsia" w:ascii="宋体" w:hAnsi="宋体" w:eastAsia="宋体" w:cs="宋体"/>
                <w:color w:val="auto"/>
                <w:sz w:val="24"/>
                <w:szCs w:val="24"/>
                <w:highlight w:val="none"/>
                <w:lang w:eastAsia="zh-CN"/>
              </w:rPr>
              <w:t>投入新能源养护作业机械设备的得</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分；</w:t>
            </w:r>
          </w:p>
          <w:p w14:paraId="098476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④</w:t>
            </w:r>
            <w:r>
              <w:rPr>
                <w:rFonts w:hint="eastAsia" w:ascii="宋体" w:hAnsi="宋体" w:eastAsia="宋体" w:cs="宋体"/>
                <w:color w:val="auto"/>
                <w:sz w:val="24"/>
                <w:szCs w:val="24"/>
                <w:highlight w:val="none"/>
                <w:lang w:val="en-US" w:eastAsia="zh-CN"/>
              </w:rPr>
              <w:t>基本</w:t>
            </w:r>
            <w:r>
              <w:rPr>
                <w:rFonts w:hint="eastAsia" w:ascii="宋体" w:hAnsi="宋体" w:eastAsia="宋体" w:cs="宋体"/>
                <w:color w:val="auto"/>
                <w:sz w:val="24"/>
                <w:szCs w:val="24"/>
                <w:highlight w:val="none"/>
                <w:lang w:eastAsia="zh-CN"/>
              </w:rPr>
              <w:t>满足项目需求，设备老旧，</w:t>
            </w:r>
            <w:r>
              <w:rPr>
                <w:rFonts w:hint="eastAsia" w:ascii="宋体" w:hAnsi="宋体" w:eastAsia="宋体" w:cs="宋体"/>
                <w:color w:val="auto"/>
                <w:sz w:val="24"/>
                <w:szCs w:val="24"/>
                <w:highlight w:val="none"/>
                <w:lang w:val="en-US" w:eastAsia="zh-CN"/>
              </w:rPr>
              <w:t>数量较少，</w:t>
            </w:r>
            <w:r>
              <w:rPr>
                <w:rFonts w:hint="eastAsia" w:ascii="宋体" w:hAnsi="宋体" w:eastAsia="宋体" w:cs="宋体"/>
                <w:color w:val="auto"/>
                <w:sz w:val="24"/>
                <w:szCs w:val="24"/>
                <w:highlight w:val="none"/>
                <w:lang w:eastAsia="zh-CN"/>
              </w:rPr>
              <w:t>没有投入新能源养护作业机械设备的得</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分；</w:t>
            </w:r>
          </w:p>
          <w:p w14:paraId="436E46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⑤未提供相关内容的不得分。</w:t>
            </w:r>
          </w:p>
          <w:p w14:paraId="3B0F43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如为自有，投标文件中提供上述机械设备的45°照片、购置发票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如为车辆的，还需提供行驶证复印件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加盖公章（要求发票抬头、行驶证所有人与营业执照名称保持一致）；如为租赁，除上述资料外，投标文件中还须提供租赁合同复印件。</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3C6D63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3B6D74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主观评审</w:t>
            </w:r>
          </w:p>
        </w:tc>
      </w:tr>
      <w:tr w14:paraId="2BBF4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7AFCF5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c>
          <w:tcPr>
            <w:tcW w:w="1628" w:type="dxa"/>
            <w:vMerge w:val="continue"/>
            <w:tcBorders>
              <w:left w:val="single" w:color="auto" w:sz="4" w:space="0"/>
              <w:right w:val="single" w:color="auto" w:sz="4" w:space="0"/>
            </w:tcBorders>
            <w:noWrap w:val="0"/>
            <w:vAlign w:val="center"/>
          </w:tcPr>
          <w:p w14:paraId="75A4A1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258" w:type="dxa"/>
            <w:vMerge w:val="continue"/>
            <w:tcBorders>
              <w:left w:val="single" w:color="auto" w:sz="4" w:space="0"/>
              <w:right w:val="single" w:color="auto" w:sz="4" w:space="0"/>
            </w:tcBorders>
            <w:noWrap w:val="0"/>
            <w:vAlign w:val="center"/>
          </w:tcPr>
          <w:p w14:paraId="2972B9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lang w:bidi="ar"/>
              </w:rPr>
            </w:pPr>
          </w:p>
        </w:tc>
        <w:tc>
          <w:tcPr>
            <w:tcW w:w="10289" w:type="dxa"/>
            <w:gridSpan w:val="3"/>
            <w:tcBorders>
              <w:top w:val="single" w:color="auto" w:sz="4" w:space="0"/>
              <w:left w:val="single" w:color="auto" w:sz="4" w:space="0"/>
              <w:bottom w:val="single" w:color="auto" w:sz="4" w:space="0"/>
              <w:right w:val="single" w:color="auto" w:sz="4" w:space="0"/>
            </w:tcBorders>
            <w:noWrap w:val="0"/>
            <w:vAlign w:val="center"/>
          </w:tcPr>
          <w:p w14:paraId="2E5CA43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Chars="0" w:right="0" w:rightChars="0"/>
              <w:textAlignment w:val="auto"/>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val="en-US" w:eastAsia="zh-CN"/>
              </w:rPr>
              <w:t>2）</w:t>
            </w:r>
            <w:r>
              <w:rPr>
                <w:rFonts w:hint="eastAsia" w:ascii="宋体" w:hAnsi="宋体" w:eastAsia="宋体" w:cs="宋体"/>
                <w:bCs/>
                <w:color w:val="auto"/>
                <w:sz w:val="24"/>
                <w:szCs w:val="24"/>
                <w:highlight w:val="none"/>
              </w:rPr>
              <w:t>作业机械、设备的运行维护管理：</w:t>
            </w:r>
          </w:p>
          <w:p w14:paraId="56CBE9E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①方案内容清晰、管理计划可行的得</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分；</w:t>
            </w:r>
          </w:p>
          <w:p w14:paraId="2F4C15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②方案内容较清晰、管理计划较可行的得</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分；</w:t>
            </w:r>
          </w:p>
          <w:p w14:paraId="6243F3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③方案内容清晰度一般、管理计划可行性一般的得</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分；</w:t>
            </w:r>
          </w:p>
          <w:p w14:paraId="17609C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④方案内容欠清晰、管理计划欠可行的得1分；</w:t>
            </w:r>
          </w:p>
          <w:p w14:paraId="72A9F0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⑤未提供相关内容的不得分。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701F22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69C06D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主观评审</w:t>
            </w:r>
          </w:p>
        </w:tc>
      </w:tr>
      <w:tr w14:paraId="5BB5E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vMerge w:val="continue"/>
            <w:tcBorders>
              <w:left w:val="single" w:color="auto" w:sz="4" w:space="0"/>
              <w:right w:val="single" w:color="auto" w:sz="4" w:space="0"/>
            </w:tcBorders>
            <w:noWrap w:val="0"/>
            <w:vAlign w:val="center"/>
          </w:tcPr>
          <w:p w14:paraId="695FFD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rPr>
            </w:pPr>
          </w:p>
        </w:tc>
        <w:tc>
          <w:tcPr>
            <w:tcW w:w="1628" w:type="dxa"/>
            <w:tcBorders>
              <w:left w:val="single" w:color="auto" w:sz="4" w:space="0"/>
              <w:right w:val="single" w:color="auto" w:sz="4" w:space="0"/>
            </w:tcBorders>
            <w:noWrap w:val="0"/>
            <w:vAlign w:val="center"/>
          </w:tcPr>
          <w:p w14:paraId="3FA3A1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lang w:bidi="ar"/>
              </w:rPr>
              <w:t>（二）供应商业绩（</w:t>
            </w:r>
            <w:r>
              <w:rPr>
                <w:rFonts w:hint="eastAsia" w:ascii="宋体" w:hAnsi="宋体" w:eastAsia="宋体" w:cs="宋体"/>
                <w:bCs/>
                <w:color w:val="auto"/>
                <w:sz w:val="24"/>
                <w:szCs w:val="24"/>
                <w:highlight w:val="none"/>
                <w:lang w:val="en-US" w:eastAsia="zh-CN" w:bidi="ar"/>
              </w:rPr>
              <w:t>1.5</w:t>
            </w:r>
            <w:r>
              <w:rPr>
                <w:rFonts w:hint="eastAsia" w:ascii="宋体" w:hAnsi="宋体" w:eastAsia="宋体" w:cs="宋体"/>
                <w:bCs/>
                <w:color w:val="auto"/>
                <w:sz w:val="24"/>
                <w:szCs w:val="24"/>
                <w:highlight w:val="none"/>
                <w:lang w:bidi="ar"/>
              </w:rPr>
              <w:t>分）</w:t>
            </w:r>
          </w:p>
        </w:tc>
        <w:tc>
          <w:tcPr>
            <w:tcW w:w="11547" w:type="dxa"/>
            <w:gridSpan w:val="4"/>
            <w:tcBorders>
              <w:top w:val="single" w:color="auto" w:sz="4" w:space="0"/>
              <w:left w:val="single" w:color="auto" w:sz="4" w:space="0"/>
              <w:bottom w:val="single" w:color="auto" w:sz="4" w:space="0"/>
              <w:right w:val="single" w:color="auto" w:sz="4" w:space="0"/>
            </w:tcBorders>
            <w:noWrap w:val="0"/>
            <w:vAlign w:val="center"/>
          </w:tcPr>
          <w:p w14:paraId="178433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自20</w:t>
            </w:r>
            <w:r>
              <w:rPr>
                <w:rFonts w:hint="eastAsia" w:ascii="宋体" w:hAnsi="宋体" w:cs="宋体"/>
                <w:bCs/>
                <w:color w:val="auto"/>
                <w:sz w:val="24"/>
                <w:szCs w:val="24"/>
                <w:highlight w:val="none"/>
                <w:lang w:val="en-US" w:eastAsia="zh-CN" w:bidi="ar"/>
              </w:rPr>
              <w:t>19</w:t>
            </w:r>
            <w:r>
              <w:rPr>
                <w:rFonts w:hint="eastAsia" w:ascii="宋体" w:hAnsi="宋体" w:eastAsia="宋体" w:cs="宋体"/>
                <w:bCs/>
                <w:color w:val="auto"/>
                <w:sz w:val="24"/>
                <w:szCs w:val="24"/>
                <w:highlight w:val="none"/>
                <w:lang w:bidi="ar"/>
              </w:rPr>
              <w:t>年1月1日至今，根据供应商承接过的</w:t>
            </w:r>
            <w:r>
              <w:rPr>
                <w:rFonts w:hint="eastAsia" w:ascii="宋体" w:hAnsi="宋体" w:eastAsia="宋体" w:cs="宋体"/>
                <w:bCs/>
                <w:color w:val="auto"/>
                <w:sz w:val="24"/>
                <w:szCs w:val="24"/>
                <w:highlight w:val="none"/>
                <w:lang w:val="en-US" w:eastAsia="zh-CN" w:bidi="ar"/>
              </w:rPr>
              <w:t>类似</w:t>
            </w:r>
            <w:r>
              <w:rPr>
                <w:rFonts w:hint="eastAsia" w:ascii="宋体" w:hAnsi="宋体" w:eastAsia="宋体" w:cs="宋体"/>
                <w:bCs/>
                <w:color w:val="auto"/>
                <w:sz w:val="24"/>
                <w:szCs w:val="24"/>
                <w:highlight w:val="none"/>
                <w:lang w:bidi="ar"/>
              </w:rPr>
              <w:t>项目的</w:t>
            </w:r>
            <w:r>
              <w:rPr>
                <w:rFonts w:hint="eastAsia" w:ascii="宋体" w:hAnsi="宋体" w:eastAsia="宋体" w:cs="宋体"/>
                <w:bCs/>
                <w:color w:val="auto"/>
                <w:sz w:val="24"/>
                <w:szCs w:val="24"/>
                <w:highlight w:val="none"/>
                <w:lang w:val="en-US" w:eastAsia="zh-CN" w:bidi="ar"/>
              </w:rPr>
              <w:t>每有一份得0.5分，满分1.5分</w:t>
            </w:r>
            <w:r>
              <w:rPr>
                <w:rFonts w:hint="eastAsia" w:ascii="宋体" w:hAnsi="宋体" w:eastAsia="宋体" w:cs="宋体"/>
                <w:bCs/>
                <w:color w:val="auto"/>
                <w:sz w:val="24"/>
                <w:szCs w:val="24"/>
                <w:highlight w:val="none"/>
                <w:lang w:bidi="ar"/>
              </w:rPr>
              <w:t>。</w:t>
            </w:r>
          </w:p>
          <w:p w14:paraId="3CA157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lang w:bidi="ar"/>
              </w:rPr>
              <w:t>注：1.时间以合同签订时间为准；2.投标文件中提供完整加盖公章的合同</w:t>
            </w:r>
            <w:r>
              <w:rPr>
                <w:rFonts w:hint="eastAsia" w:ascii="宋体" w:hAnsi="宋体" w:eastAsia="宋体" w:cs="宋体"/>
                <w:color w:val="auto"/>
                <w:sz w:val="24"/>
                <w:szCs w:val="24"/>
                <w:highlight w:val="none"/>
              </w:rPr>
              <w:t>复印件</w:t>
            </w:r>
            <w:r>
              <w:rPr>
                <w:rFonts w:hint="eastAsia" w:ascii="宋体" w:hAnsi="宋体" w:eastAsia="宋体" w:cs="宋体"/>
                <w:bCs/>
                <w:color w:val="auto"/>
                <w:sz w:val="24"/>
                <w:szCs w:val="24"/>
                <w:highlight w:val="none"/>
                <w:lang w:bidi="ar"/>
              </w:rPr>
              <w:t>、中标通知书复印件。3.同一个项目的续签合同按一个业绩计算。</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3C3864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bidi="ar"/>
              </w:rPr>
              <w:t>1.5</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23077A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客观评审</w:t>
            </w:r>
          </w:p>
        </w:tc>
      </w:tr>
      <w:tr w14:paraId="12F60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0" w:type="dxa"/>
            <w:tcBorders>
              <w:top w:val="single" w:color="auto" w:sz="4" w:space="0"/>
              <w:left w:val="single" w:color="auto" w:sz="4" w:space="0"/>
              <w:right w:val="single" w:color="auto" w:sz="4" w:space="0"/>
            </w:tcBorders>
            <w:noWrap w:val="0"/>
            <w:vAlign w:val="center"/>
          </w:tcPr>
          <w:p w14:paraId="66405D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报价分</w:t>
            </w:r>
          </w:p>
          <w:p w14:paraId="2CF958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（15分）</w:t>
            </w:r>
          </w:p>
        </w:tc>
        <w:tc>
          <w:tcPr>
            <w:tcW w:w="13175" w:type="dxa"/>
            <w:gridSpan w:val="5"/>
            <w:tcBorders>
              <w:top w:val="single" w:color="auto" w:sz="4" w:space="0"/>
              <w:left w:val="single" w:color="auto" w:sz="4" w:space="0"/>
              <w:bottom w:val="single" w:color="auto" w:sz="4" w:space="0"/>
              <w:right w:val="single" w:color="auto" w:sz="4" w:space="0"/>
            </w:tcBorders>
            <w:noWrap w:val="0"/>
            <w:vAlign w:val="center"/>
          </w:tcPr>
          <w:p w14:paraId="4DC10E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评标价＝1-投标下浮率</w:t>
            </w:r>
          </w:p>
          <w:p w14:paraId="3988D3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参与评审的价格=评标价</w:t>
            </w:r>
          </w:p>
          <w:p w14:paraId="601AE7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评标基准价：有效标中最低的参与评审的价格为评标基准价。</w:t>
            </w:r>
          </w:p>
          <w:p w14:paraId="388B84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评标基准价得满分</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5分，其他投标报价得分计算如下：</w:t>
            </w:r>
          </w:p>
          <w:p w14:paraId="69FC98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投标报价得分=（评标基准价/参与评审的价格）×</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5%×100</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5B21F7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bidi="ar"/>
              </w:rPr>
              <w:t>1</w:t>
            </w:r>
            <w:r>
              <w:rPr>
                <w:rFonts w:hint="eastAsia" w:ascii="宋体" w:hAnsi="宋体" w:eastAsia="宋体" w:cs="宋体"/>
                <w:bCs/>
                <w:color w:val="auto"/>
                <w:sz w:val="24"/>
                <w:szCs w:val="24"/>
                <w:highlight w:val="none"/>
                <w:lang w:val="en-US" w:eastAsia="zh-CN" w:bidi="ar"/>
              </w:rPr>
              <w:t>5</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343E69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客观评审</w:t>
            </w:r>
          </w:p>
        </w:tc>
      </w:tr>
      <w:tr w14:paraId="6372E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4325" w:type="dxa"/>
            <w:gridSpan w:val="6"/>
            <w:tcBorders>
              <w:top w:val="single" w:color="auto" w:sz="4" w:space="0"/>
              <w:left w:val="single" w:color="auto" w:sz="4" w:space="0"/>
              <w:bottom w:val="single" w:color="auto" w:sz="4" w:space="0"/>
              <w:right w:val="single" w:color="auto" w:sz="4" w:space="0"/>
            </w:tcBorders>
            <w:noWrap w:val="0"/>
            <w:vAlign w:val="center"/>
          </w:tcPr>
          <w:p w14:paraId="00C605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总分</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4600F7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100</w:t>
            </w:r>
          </w:p>
        </w:tc>
        <w:tc>
          <w:tcPr>
            <w:tcW w:w="595" w:type="dxa"/>
            <w:tcBorders>
              <w:top w:val="single" w:color="auto" w:sz="4" w:space="0"/>
              <w:left w:val="single" w:color="auto" w:sz="4" w:space="0"/>
              <w:bottom w:val="single" w:color="auto" w:sz="4" w:space="0"/>
              <w:right w:val="single" w:color="auto" w:sz="4" w:space="0"/>
            </w:tcBorders>
            <w:noWrap w:val="0"/>
            <w:vAlign w:val="center"/>
          </w:tcPr>
          <w:p w14:paraId="737DC3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Cs/>
                <w:color w:val="auto"/>
                <w:sz w:val="24"/>
                <w:szCs w:val="24"/>
                <w:highlight w:val="none"/>
                <w:lang w:bidi="ar"/>
              </w:rPr>
            </w:pPr>
          </w:p>
        </w:tc>
      </w:tr>
    </w:tbl>
    <w:p w14:paraId="15B76B27">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备注：</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投标人编制投标文件（商务技术文件部分）时，建议按此目录（序号和内容）提供评标标准相应的商务技术资料。</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小数点后保留一位数。3、各评标委员会成员自行按以上参考分值评分。4、重大事件由评标委员会集体讨论，应当按照少数服从多数的原则作出结论。</w:t>
      </w:r>
    </w:p>
    <w:p w14:paraId="76D50624">
      <w:pPr>
        <w:rPr>
          <w:rFonts w:ascii="宋体" w:hAnsi="宋体" w:cs="宋体"/>
          <w:b/>
          <w:color w:val="auto"/>
          <w:sz w:val="32"/>
          <w:highlight w:val="none"/>
        </w:rPr>
        <w:sectPr>
          <w:pgSz w:w="16840" w:h="11907" w:orient="landscape"/>
          <w:pgMar w:top="1814" w:right="1474" w:bottom="1814" w:left="1474" w:header="851" w:footer="851" w:gutter="0"/>
          <w:pgBorders>
            <w:top w:val="none" w:sz="0" w:space="0"/>
            <w:left w:val="none" w:sz="0" w:space="0"/>
            <w:bottom w:val="none" w:sz="0" w:space="0"/>
            <w:right w:val="none" w:sz="0" w:space="0"/>
          </w:pgBorders>
          <w:pgNumType w:fmt="decimal"/>
          <w:cols w:space="720" w:num="1"/>
        </w:sectPr>
      </w:pPr>
    </w:p>
    <w:p w14:paraId="2026EED9">
      <w:pPr>
        <w:rPr>
          <w:rFonts w:ascii="宋体" w:hAnsi="宋体" w:cs="宋体"/>
          <w:b/>
          <w:color w:val="auto"/>
          <w:sz w:val="32"/>
          <w:highlight w:val="none"/>
        </w:rPr>
      </w:pPr>
    </w:p>
    <w:p w14:paraId="4A5F470C">
      <w:pPr>
        <w:pStyle w:val="79"/>
        <w:rPr>
          <w:color w:val="auto"/>
          <w:highlight w:val="none"/>
        </w:rPr>
      </w:pPr>
    </w:p>
    <w:p w14:paraId="643E07D2">
      <w:pPr>
        <w:snapToGrid w:val="0"/>
        <w:spacing w:line="360" w:lineRule="auto"/>
        <w:outlineLvl w:val="1"/>
        <w:rPr>
          <w:rFonts w:ascii="宋体" w:hAnsi="宋体" w:cs="宋体"/>
          <w:b/>
          <w:color w:val="auto"/>
          <w:sz w:val="28"/>
          <w:szCs w:val="28"/>
          <w:highlight w:val="none"/>
        </w:rPr>
      </w:pPr>
      <w:r>
        <w:rPr>
          <w:rFonts w:hint="eastAsia" w:ascii="宋体" w:hAnsi="宋体" w:cs="宋体"/>
          <w:b/>
          <w:color w:val="auto"/>
          <w:sz w:val="32"/>
          <w:highlight w:val="none"/>
        </w:rPr>
        <w:t>一、评标方法</w:t>
      </w:r>
    </w:p>
    <w:p w14:paraId="13ED0392">
      <w:pPr>
        <w:adjustRightInd/>
        <w:spacing w:line="360" w:lineRule="auto"/>
        <w:ind w:firstLine="472" w:firstLineChars="196"/>
        <w:rPr>
          <w:rFonts w:hint="eastAsia" w:ascii="宋体" w:hAnsi="宋体" w:cs="宋体"/>
          <w:color w:val="auto"/>
          <w:kern w:val="0"/>
          <w:sz w:val="24"/>
          <w:highlight w:val="none"/>
        </w:rPr>
      </w:pPr>
      <w:r>
        <w:rPr>
          <w:rFonts w:hint="eastAsia" w:ascii="宋体" w:hAnsi="宋体" w:cs="宋体"/>
          <w:b/>
          <w:color w:val="auto"/>
          <w:kern w:val="0"/>
          <w:sz w:val="24"/>
          <w:highlight w:val="none"/>
        </w:rPr>
        <w:t>1.本项目采用综合评分法。</w:t>
      </w:r>
      <w:r>
        <w:rPr>
          <w:rFonts w:hint="eastAsia" w:ascii="宋体" w:hAnsi="宋体" w:cs="宋体"/>
          <w:color w:val="auto"/>
          <w:kern w:val="0"/>
          <w:sz w:val="24"/>
          <w:highlight w:val="none"/>
        </w:rPr>
        <w:t>综合评分法，是指投标文件满足招标文件全部实质性要求，且按照评审因素的量化指标评审得分最高的投标人为中标候选人的评标方法。</w:t>
      </w:r>
    </w:p>
    <w:p w14:paraId="5A5E2B2A">
      <w:pPr>
        <w:adjustRightInd/>
        <w:spacing w:line="360" w:lineRule="auto"/>
        <w:outlineLvl w:val="1"/>
        <w:rPr>
          <w:rFonts w:ascii="宋体" w:hAnsi="宋体" w:cs="宋体"/>
          <w:color w:val="auto"/>
          <w:kern w:val="0"/>
          <w:sz w:val="24"/>
          <w:highlight w:val="none"/>
        </w:rPr>
      </w:pPr>
      <w:r>
        <w:rPr>
          <w:rFonts w:hint="eastAsia" w:ascii="宋体" w:hAnsi="宋体" w:cs="宋体"/>
          <w:b/>
          <w:color w:val="auto"/>
          <w:sz w:val="32"/>
          <w:highlight w:val="none"/>
        </w:rPr>
        <w:t>二、评标标准</w:t>
      </w:r>
    </w:p>
    <w:p w14:paraId="2393FF28">
      <w:pPr>
        <w:spacing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color w:val="auto"/>
          <w:highlight w:val="none"/>
        </w:rPr>
        <w:t xml:space="preserve"> </w:t>
      </w:r>
      <w:r>
        <w:rPr>
          <w:rFonts w:hint="eastAsia" w:ascii="宋体" w:hAnsi="宋体" w:cs="宋体"/>
          <w:b/>
          <w:color w:val="auto"/>
          <w:sz w:val="24"/>
          <w:highlight w:val="none"/>
        </w:rPr>
        <w:t>评标标准：</w:t>
      </w:r>
      <w:r>
        <w:rPr>
          <w:rFonts w:hint="eastAsia" w:ascii="宋体" w:hAnsi="宋体" w:cs="宋体"/>
          <w:color w:val="auto"/>
          <w:kern w:val="0"/>
          <w:sz w:val="24"/>
          <w:highlight w:val="none"/>
        </w:rPr>
        <w:t>见评标办法前附表。</w:t>
      </w:r>
    </w:p>
    <w:p w14:paraId="6D243722">
      <w:pPr>
        <w:spacing w:line="360" w:lineRule="auto"/>
        <w:outlineLvl w:val="1"/>
        <w:rPr>
          <w:rFonts w:ascii="宋体" w:hAnsi="宋体" w:cs="宋体"/>
          <w:b/>
          <w:color w:val="auto"/>
          <w:sz w:val="32"/>
          <w:szCs w:val="32"/>
          <w:highlight w:val="none"/>
        </w:rPr>
      </w:pPr>
      <w:r>
        <w:rPr>
          <w:rFonts w:hint="eastAsia" w:ascii="宋体" w:hAnsi="宋体" w:cs="宋体"/>
          <w:b/>
          <w:color w:val="auto"/>
          <w:sz w:val="32"/>
          <w:szCs w:val="32"/>
          <w:highlight w:val="none"/>
        </w:rPr>
        <w:t>三、评标程序</w:t>
      </w:r>
    </w:p>
    <w:p w14:paraId="36D751AC">
      <w:pPr>
        <w:adjustRightInd/>
        <w:spacing w:line="360" w:lineRule="auto"/>
        <w:ind w:firstLine="472" w:firstLineChars="196"/>
        <w:rPr>
          <w:rFonts w:hint="eastAsia" w:ascii="宋体" w:hAnsi="宋体" w:cs="宋体"/>
          <w:b/>
          <w:color w:val="auto"/>
          <w:kern w:val="0"/>
          <w:sz w:val="24"/>
          <w:highlight w:val="none"/>
        </w:rPr>
      </w:pPr>
      <w:r>
        <w:rPr>
          <w:rFonts w:hint="eastAsia" w:ascii="宋体" w:hAnsi="宋体" w:cs="宋体"/>
          <w:b/>
          <w:color w:val="auto"/>
          <w:kern w:val="0"/>
          <w:sz w:val="24"/>
          <w:highlight w:val="none"/>
        </w:rPr>
        <w:t>按照标项号的前后顺序（即先评审标项</w:t>
      </w:r>
      <w:r>
        <w:rPr>
          <w:rFonts w:hint="eastAsia" w:ascii="宋体" w:hAnsi="宋体" w:cs="宋体"/>
          <w:b/>
          <w:color w:val="auto"/>
          <w:kern w:val="0"/>
          <w:sz w:val="24"/>
          <w:highlight w:val="none"/>
          <w:lang w:val="en-US" w:eastAsia="zh-CN"/>
        </w:rPr>
        <w:t>1</w:t>
      </w:r>
      <w:r>
        <w:rPr>
          <w:rFonts w:hint="eastAsia" w:ascii="宋体" w:hAnsi="宋体" w:cs="宋体"/>
          <w:b/>
          <w:color w:val="auto"/>
          <w:kern w:val="0"/>
          <w:sz w:val="24"/>
          <w:highlight w:val="none"/>
        </w:rPr>
        <w:t>，再评审标项</w:t>
      </w:r>
      <w:r>
        <w:rPr>
          <w:rFonts w:hint="eastAsia" w:ascii="宋体" w:hAnsi="宋体" w:cs="宋体"/>
          <w:b/>
          <w:color w:val="auto"/>
          <w:kern w:val="0"/>
          <w:sz w:val="24"/>
          <w:highlight w:val="none"/>
          <w:lang w:val="en-US" w:eastAsia="zh-CN"/>
        </w:rPr>
        <w:t>2，最后评审标项3</w:t>
      </w:r>
      <w:r>
        <w:rPr>
          <w:rFonts w:hint="eastAsia" w:ascii="宋体" w:hAnsi="宋体" w:cs="宋体"/>
          <w:b/>
          <w:color w:val="auto"/>
          <w:kern w:val="0"/>
          <w:sz w:val="24"/>
          <w:highlight w:val="none"/>
        </w:rPr>
        <w:t>）进行评审，一家供应商最多只能作为一个标项的第一中标候选人，若某一供应商被推荐为标项一的第一中标候选人，则不再进入标项二的报价评审，以此类推。</w:t>
      </w:r>
    </w:p>
    <w:p w14:paraId="581928FB">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3.1符合性审查。</w:t>
      </w:r>
      <w:r>
        <w:rPr>
          <w:rFonts w:hint="eastAsia" w:ascii="宋体" w:hAnsi="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221BC501">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3.2 比较与评价。</w:t>
      </w:r>
      <w:r>
        <w:rPr>
          <w:rFonts w:hint="eastAsia" w:ascii="宋体" w:hAnsi="宋体" w:cs="宋体"/>
          <w:color w:val="auto"/>
          <w:kern w:val="0"/>
          <w:sz w:val="24"/>
          <w:highlight w:val="none"/>
        </w:rPr>
        <w:t>评标委员会应当按照招标文件中规定的评标方法和标准，对符合性审查合格的投标文件进行商务和技术评估，综合比较与评价。</w:t>
      </w:r>
    </w:p>
    <w:p w14:paraId="211C340F">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3.3汇总商务技术得分。</w:t>
      </w:r>
      <w:r>
        <w:rPr>
          <w:rFonts w:hint="eastAsia" w:ascii="宋体" w:hAnsi="宋体" w:cs="宋体"/>
          <w:color w:val="auto"/>
          <w:kern w:val="0"/>
          <w:sz w:val="24"/>
          <w:highlight w:val="none"/>
        </w:rPr>
        <w:t>评标委员会各成员应当独立对每个投标人的商务和技术文件进行评价，并汇总商务技术得分情况。</w:t>
      </w:r>
    </w:p>
    <w:p w14:paraId="7DF6D279">
      <w:pPr>
        <w:spacing w:line="360" w:lineRule="auto"/>
        <w:ind w:firstLine="472" w:firstLineChars="196"/>
        <w:rPr>
          <w:rFonts w:ascii="宋体" w:hAnsi="宋体" w:cs="宋体"/>
          <w:b/>
          <w:color w:val="auto"/>
          <w:kern w:val="0"/>
          <w:sz w:val="24"/>
          <w:highlight w:val="none"/>
        </w:rPr>
      </w:pPr>
      <w:r>
        <w:rPr>
          <w:rFonts w:hint="eastAsia" w:ascii="宋体" w:hAnsi="宋体" w:cs="宋体"/>
          <w:b/>
          <w:color w:val="auto"/>
          <w:kern w:val="0"/>
          <w:sz w:val="24"/>
          <w:highlight w:val="none"/>
        </w:rPr>
        <w:t>3.4报价评审。</w:t>
      </w:r>
    </w:p>
    <w:p w14:paraId="2B877A95">
      <w:pPr>
        <w:pStyle w:val="130"/>
        <w:spacing w:before="0"/>
        <w:ind w:firstLine="508" w:firstLineChars="212"/>
        <w:rPr>
          <w:rFonts w:ascii="宋体" w:hAnsi="宋体" w:cs="宋体"/>
          <w:color w:val="auto"/>
          <w:kern w:val="0"/>
          <w:highlight w:val="none"/>
        </w:rPr>
      </w:pPr>
      <w:r>
        <w:rPr>
          <w:rFonts w:hint="eastAsia" w:ascii="宋体" w:hAnsi="宋体" w:cs="宋体"/>
          <w:color w:val="auto"/>
          <w:kern w:val="0"/>
          <w:highlight w:val="none"/>
        </w:rPr>
        <w:t>3.4.1投标文件报价出现前后不一致的，按照下列规定修正：</w:t>
      </w:r>
    </w:p>
    <w:p w14:paraId="2C8AAA6E">
      <w:pPr>
        <w:pStyle w:val="130"/>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3.4.1.1投标文件中开标一览表（报价表）内容与投标文件中相应内容不一致的，以开标一览表（报价表）为准；</w:t>
      </w:r>
    </w:p>
    <w:p w14:paraId="5EF87309">
      <w:pPr>
        <w:pStyle w:val="130"/>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p>
    <w:p w14:paraId="4D732B3A">
      <w:pPr>
        <w:pStyle w:val="130"/>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3.4.1.3单价金额小数点或者百分比有明显错位的，以开标一览表的总价为准，并修改单价；</w:t>
      </w:r>
    </w:p>
    <w:p w14:paraId="0164CF62">
      <w:pPr>
        <w:pStyle w:val="130"/>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p>
    <w:p w14:paraId="2B560C27">
      <w:pPr>
        <w:pStyle w:val="130"/>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49DE4DAE">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3.4.2投标文件出现不是唯一的、有选择性投标报价的，投标无效。</w:t>
      </w:r>
    </w:p>
    <w:p w14:paraId="55FD41F2">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3.4.3投标报价超过招标文件中规定的预算金额或者最高限价的，投标无效。</w:t>
      </w:r>
    </w:p>
    <w:p w14:paraId="3E6082C4">
      <w:pPr>
        <w:pStyle w:val="130"/>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1983739B">
      <w:pPr>
        <w:pStyle w:val="130"/>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3.4.5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4D35231B">
      <w:pPr>
        <w:spacing w:line="360" w:lineRule="auto"/>
        <w:ind w:firstLine="482" w:firstLineChars="200"/>
        <w:rPr>
          <w:rFonts w:ascii="宋体" w:hAnsi="宋体" w:cs="宋体"/>
          <w:color w:val="auto"/>
          <w:kern w:val="0"/>
          <w:sz w:val="24"/>
          <w:highlight w:val="none"/>
        </w:rPr>
      </w:pPr>
      <w:r>
        <w:rPr>
          <w:rFonts w:hint="eastAsia" w:ascii="宋体" w:hAnsi="宋体" w:cs="宋体"/>
          <w:b/>
          <w:color w:val="auto"/>
          <w:kern w:val="0"/>
          <w:sz w:val="24"/>
          <w:highlight w:val="none"/>
        </w:rPr>
        <w:t>3.5排序与推荐。</w:t>
      </w:r>
      <w:r>
        <w:rPr>
          <w:rFonts w:hint="eastAsia" w:ascii="宋体" w:hAnsi="宋体" w:cs="宋体"/>
          <w:color w:val="auto"/>
          <w:kern w:val="0"/>
          <w:sz w:val="24"/>
          <w:highlight w:val="none"/>
        </w:rPr>
        <w:t>采用综合评分法的，评标结果按评审后得分由高到低顺序排列，推荐</w:t>
      </w:r>
      <w:r>
        <w:rPr>
          <w:rFonts w:hint="eastAsia" w:ascii="宋体" w:hAnsi="宋体" w:cs="宋体"/>
          <w:color w:val="auto"/>
          <w:kern w:val="0"/>
          <w:sz w:val="24"/>
          <w:highlight w:val="none"/>
          <w:lang w:val="en-US" w:eastAsia="zh-CN"/>
        </w:rPr>
        <w:t>1</w:t>
      </w:r>
      <w:r>
        <w:rPr>
          <w:rFonts w:hint="eastAsia" w:ascii="宋体" w:hAnsi="宋体" w:cs="宋体"/>
          <w:color w:val="auto"/>
          <w:kern w:val="0"/>
          <w:sz w:val="24"/>
          <w:highlight w:val="none"/>
        </w:rPr>
        <w:t>名中标候选人。得分相同的，按投标报价由低到高顺序排列。得分且投标报价相同的并列。投标文件满足招标文件全部实质性要求，且按照评审因素的量化指标评审得分最高的投标人为排名第一的中标候选人。</w:t>
      </w:r>
    </w:p>
    <w:p w14:paraId="231518CA">
      <w:pPr>
        <w:spacing w:line="360" w:lineRule="auto"/>
        <w:ind w:firstLine="480" w:firstLineChars="200"/>
        <w:rPr>
          <w:rFonts w:ascii="宋体" w:hAnsi="宋体" w:cs="宋体"/>
          <w:b/>
          <w:color w:val="auto"/>
          <w:kern w:val="0"/>
          <w:sz w:val="24"/>
          <w:highlight w:val="none"/>
        </w:rPr>
      </w:pPr>
      <w:r>
        <w:rPr>
          <w:rFonts w:hint="eastAsia" w:ascii="宋体" w:hAnsi="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5E50FEA6">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3.6编写评标报告。</w:t>
      </w:r>
      <w:r>
        <w:rPr>
          <w:rFonts w:hint="eastAsia" w:ascii="宋体" w:hAnsi="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2AE00B49">
      <w:pPr>
        <w:widowControl/>
        <w:adjustRightInd/>
        <w:spacing w:after="225" w:line="315" w:lineRule="atLeast"/>
        <w:jc w:val="left"/>
        <w:outlineLvl w:val="1"/>
        <w:rPr>
          <w:rFonts w:ascii="宋体" w:hAnsi="宋体" w:cs="宋体"/>
          <w:b/>
          <w:color w:val="auto"/>
          <w:sz w:val="32"/>
          <w:highlight w:val="none"/>
        </w:rPr>
      </w:pPr>
      <w:r>
        <w:rPr>
          <w:rFonts w:hint="eastAsia" w:ascii="宋体" w:hAnsi="宋体" w:cs="宋体"/>
          <w:b/>
          <w:color w:val="auto"/>
          <w:sz w:val="32"/>
          <w:highlight w:val="none"/>
        </w:rPr>
        <w:t>四、评标中的其他事项</w:t>
      </w:r>
    </w:p>
    <w:p w14:paraId="0F0D1432">
      <w:pPr>
        <w:pStyle w:val="130"/>
        <w:spacing w:before="0"/>
        <w:ind w:firstLine="472" w:firstLineChars="196"/>
        <w:rPr>
          <w:rFonts w:ascii="宋体" w:hAnsi="宋体" w:cs="宋体"/>
          <w:color w:val="auto"/>
          <w:kern w:val="0"/>
          <w:szCs w:val="24"/>
          <w:highlight w:val="none"/>
        </w:rPr>
      </w:pPr>
      <w:r>
        <w:rPr>
          <w:rFonts w:hint="eastAsia" w:ascii="宋体" w:hAnsi="宋体" w:cs="宋体"/>
          <w:b/>
          <w:color w:val="auto"/>
          <w:kern w:val="0"/>
          <w:szCs w:val="24"/>
          <w:highlight w:val="none"/>
        </w:rPr>
        <w:t>4.1投标人澄清、说明或者补正。</w:t>
      </w:r>
      <w:r>
        <w:rPr>
          <w:rFonts w:hint="eastAsia" w:ascii="宋体" w:hAnsi="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31593B94">
      <w:pPr>
        <w:pStyle w:val="3"/>
        <w:spacing w:line="360" w:lineRule="auto"/>
        <w:ind w:left="954" w:leftChars="226" w:hanging="479" w:firstLineChars="0"/>
        <w:rPr>
          <w:rFonts w:cs="宋体"/>
          <w:color w:val="auto"/>
          <w:szCs w:val="21"/>
          <w:highlight w:val="none"/>
        </w:rPr>
      </w:pPr>
      <w:r>
        <w:rPr>
          <w:rFonts w:hint="eastAsia" w:cs="宋体"/>
          <w:b/>
          <w:color w:val="auto"/>
          <w:kern w:val="0"/>
          <w:highlight w:val="none"/>
        </w:rPr>
        <w:t>4.2投标无效。</w:t>
      </w:r>
      <w:r>
        <w:rPr>
          <w:rFonts w:hint="eastAsia" w:cs="宋体"/>
          <w:color w:val="auto"/>
          <w:szCs w:val="21"/>
          <w:highlight w:val="none"/>
        </w:rPr>
        <w:t>有下列情形之一的，投标无效：</w:t>
      </w:r>
    </w:p>
    <w:p w14:paraId="41FAE641">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4.2.1投标人不具备招标文件中规定的资格要求的（投标人未提供有效的资格文件的，视为投标人不具备招标文件中规定的资格要求）；</w:t>
      </w:r>
    </w:p>
    <w:p w14:paraId="12738FDC">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4.2.2投标文件未按照招标文件要求签署、盖章的；</w:t>
      </w:r>
    </w:p>
    <w:p w14:paraId="2EC589FF">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4B054AA7">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4.2.4投标文件含有采购人不能接受的附加条件的；</w:t>
      </w:r>
    </w:p>
    <w:p w14:paraId="7C522026">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4.2.5投标文件中承诺的投标有效期少于招标文件中载明的投标有效期的；</w:t>
      </w:r>
    </w:p>
    <w:p w14:paraId="1AF065F7">
      <w:pPr>
        <w:snapToGrid w:val="0"/>
        <w:spacing w:line="360" w:lineRule="auto"/>
        <w:ind w:firstLine="120" w:firstLineChars="50"/>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4.2.6投标文件出现不是唯一的、有选择性投标报价的；</w:t>
      </w:r>
    </w:p>
    <w:p w14:paraId="4C89D8AC">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4.2.7投标报价超过招标文件中规定的预算金额或者最高限价的；</w:t>
      </w:r>
    </w:p>
    <w:p w14:paraId="1CCCCA62">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14:paraId="2B381865">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4.2.9投标人对根据修正原则修正后的报价不确认的；</w:t>
      </w:r>
    </w:p>
    <w:p w14:paraId="63B0EE91">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4.2.10投标人提供虚假材料投标的；</w:t>
      </w:r>
    </w:p>
    <w:p w14:paraId="0BEE8366">
      <w:pPr>
        <w:spacing w:line="360" w:lineRule="auto"/>
        <w:ind w:firstLine="240" w:firstLineChars="100"/>
        <w:rPr>
          <w:rFonts w:ascii="宋体" w:hAnsi="宋体" w:cs="宋体"/>
          <w:color w:val="auto"/>
          <w:kern w:val="0"/>
          <w:sz w:val="24"/>
          <w:highlight w:val="none"/>
        </w:rPr>
      </w:pPr>
      <w:r>
        <w:rPr>
          <w:rFonts w:hint="eastAsia" w:ascii="宋体" w:hAnsi="宋体" w:cs="宋体"/>
          <w:color w:val="auto"/>
          <w:kern w:val="0"/>
          <w:sz w:val="24"/>
          <w:highlight w:val="none"/>
        </w:rPr>
        <w:t xml:space="preserve">  4.2.11投标人有恶意串通、妨碍其他投标人的竞争行为、损害采购人或者其他投标人的合法权益情形的；</w:t>
      </w:r>
    </w:p>
    <w:p w14:paraId="5B099397">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4.2.12投标人仅提交备份投标文件，未在电子交易平台传输递交投标文件的，投标无效；</w:t>
      </w:r>
    </w:p>
    <w:p w14:paraId="1AB96873">
      <w:pPr>
        <w:ind w:left="430" w:leftChars="205"/>
        <w:rPr>
          <w:rFonts w:ascii="宋体" w:hAnsi="宋体" w:cs="宋体"/>
          <w:color w:val="auto"/>
          <w:kern w:val="0"/>
          <w:sz w:val="24"/>
          <w:highlight w:val="none"/>
        </w:rPr>
      </w:pPr>
      <w:r>
        <w:rPr>
          <w:rFonts w:hint="eastAsia" w:ascii="宋体" w:hAnsi="宋体" w:cs="宋体"/>
          <w:color w:val="auto"/>
          <w:kern w:val="0"/>
          <w:sz w:val="24"/>
          <w:highlight w:val="none"/>
        </w:rPr>
        <w:t>4.2.13 投标文件不满足招标文件的其他实质性要求的；</w:t>
      </w:r>
    </w:p>
    <w:p w14:paraId="0F77EA51">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4.2.14法律、法规、规章（适用本市的）及省级以上规范性文件（适用本市的）规定的其他无效情形。</w:t>
      </w:r>
    </w:p>
    <w:p w14:paraId="07D38A2A">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4.2.15上传投标文件同一网卡地址、同一IP地址的为无效标。</w:t>
      </w:r>
    </w:p>
    <w:p w14:paraId="64BD0191">
      <w:pPr>
        <w:pStyle w:val="3"/>
        <w:snapToGrid w:val="0"/>
        <w:spacing w:line="360" w:lineRule="auto"/>
        <w:ind w:firstLine="472" w:firstLineChars="196"/>
        <w:rPr>
          <w:rFonts w:cs="宋体"/>
          <w:color w:val="auto"/>
          <w:highlight w:val="none"/>
        </w:rPr>
      </w:pPr>
      <w:r>
        <w:rPr>
          <w:rFonts w:hint="eastAsia" w:cs="宋体"/>
          <w:b/>
          <w:color w:val="auto"/>
          <w:highlight w:val="none"/>
        </w:rPr>
        <w:t>5.废标。</w:t>
      </w:r>
      <w:r>
        <w:rPr>
          <w:rFonts w:hint="eastAsia" w:cs="宋体"/>
          <w:color w:val="auto"/>
          <w:highlight w:val="none"/>
        </w:rPr>
        <w:t>根据《中华人民共和国政府采购法》第三十六条之规定，在采购中，出现下列情形之一的，应予废标：</w:t>
      </w:r>
    </w:p>
    <w:p w14:paraId="5E5BD086">
      <w:pPr>
        <w:pStyle w:val="3"/>
        <w:snapToGrid w:val="0"/>
        <w:spacing w:line="360" w:lineRule="auto"/>
        <w:rPr>
          <w:rFonts w:cs="宋体"/>
          <w:color w:val="auto"/>
          <w:highlight w:val="none"/>
        </w:rPr>
      </w:pPr>
      <w:r>
        <w:rPr>
          <w:rFonts w:hint="eastAsia" w:cs="宋体"/>
          <w:color w:val="auto"/>
          <w:highlight w:val="none"/>
        </w:rPr>
        <w:t>5.1符合专业条件的供应商或者对招标文件作实质响应的供应商不足3家的；</w:t>
      </w:r>
    </w:p>
    <w:p w14:paraId="78219F58">
      <w:pPr>
        <w:pStyle w:val="3"/>
        <w:snapToGrid w:val="0"/>
        <w:spacing w:line="360" w:lineRule="auto"/>
        <w:rPr>
          <w:rFonts w:cs="宋体"/>
          <w:color w:val="auto"/>
          <w:highlight w:val="none"/>
        </w:rPr>
      </w:pPr>
      <w:r>
        <w:rPr>
          <w:rFonts w:hint="eastAsia" w:cs="宋体"/>
          <w:color w:val="auto"/>
          <w:highlight w:val="none"/>
        </w:rPr>
        <w:t>5.2出现影响采购公正的违法、违规行为的；</w:t>
      </w:r>
    </w:p>
    <w:p w14:paraId="01C7E642">
      <w:pPr>
        <w:pStyle w:val="3"/>
        <w:snapToGrid w:val="0"/>
        <w:spacing w:line="360" w:lineRule="auto"/>
        <w:rPr>
          <w:rFonts w:cs="宋体"/>
          <w:color w:val="auto"/>
          <w:highlight w:val="none"/>
        </w:rPr>
      </w:pPr>
      <w:r>
        <w:rPr>
          <w:rFonts w:hint="eastAsia" w:cs="宋体"/>
          <w:color w:val="auto"/>
          <w:highlight w:val="none"/>
        </w:rPr>
        <w:t>5.3投标人的报价均超过了采购预算，采购人不能支付的；</w:t>
      </w:r>
    </w:p>
    <w:p w14:paraId="0CFBC8DE">
      <w:pPr>
        <w:pStyle w:val="3"/>
        <w:snapToGrid w:val="0"/>
        <w:spacing w:line="360" w:lineRule="auto"/>
        <w:rPr>
          <w:rFonts w:cs="宋体"/>
          <w:color w:val="auto"/>
          <w:highlight w:val="none"/>
        </w:rPr>
      </w:pPr>
      <w:r>
        <w:rPr>
          <w:rFonts w:hint="eastAsia" w:cs="宋体"/>
          <w:color w:val="auto"/>
          <w:highlight w:val="none"/>
        </w:rPr>
        <w:t>5.4因重大变故，采购任务取消的。</w:t>
      </w:r>
    </w:p>
    <w:p w14:paraId="4CE076C8">
      <w:pPr>
        <w:pStyle w:val="3"/>
        <w:snapToGrid w:val="0"/>
        <w:spacing w:line="360" w:lineRule="auto"/>
        <w:rPr>
          <w:rFonts w:cs="宋体"/>
          <w:color w:val="auto"/>
          <w:highlight w:val="none"/>
        </w:rPr>
      </w:pPr>
      <w:r>
        <w:rPr>
          <w:rFonts w:hint="eastAsia" w:cs="宋体"/>
          <w:color w:val="auto"/>
          <w:highlight w:val="none"/>
        </w:rPr>
        <w:t>废标后，采购代理机构应当将废标理由通知所有投标人。</w:t>
      </w:r>
    </w:p>
    <w:p w14:paraId="6A8948FF">
      <w:pPr>
        <w:pStyle w:val="3"/>
        <w:snapToGrid w:val="0"/>
        <w:spacing w:line="360" w:lineRule="auto"/>
        <w:ind w:firstLine="590" w:firstLineChars="245"/>
        <w:rPr>
          <w:rFonts w:cs="宋体"/>
          <w:color w:val="auto"/>
          <w:highlight w:val="none"/>
        </w:rPr>
      </w:pPr>
      <w:r>
        <w:rPr>
          <w:rFonts w:hint="eastAsia" w:cs="宋体"/>
          <w:b/>
          <w:color w:val="auto"/>
          <w:highlight w:val="none"/>
        </w:rPr>
        <w:t>6.修改招标文件，重新组织采购活动。</w:t>
      </w:r>
      <w:r>
        <w:rPr>
          <w:rFonts w:hint="eastAsia" w:cs="宋体"/>
          <w:color w:val="auto"/>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48EE55ED">
      <w:pPr>
        <w:pStyle w:val="3"/>
        <w:snapToGrid w:val="0"/>
        <w:spacing w:line="360" w:lineRule="auto"/>
        <w:ind w:firstLine="482"/>
        <w:rPr>
          <w:rFonts w:cs="宋体"/>
          <w:color w:val="auto"/>
          <w:highlight w:val="none"/>
        </w:rPr>
      </w:pPr>
      <w:r>
        <w:rPr>
          <w:rFonts w:hint="eastAsia" w:cs="宋体"/>
          <w:b/>
          <w:color w:val="auto"/>
          <w:kern w:val="0"/>
          <w:highlight w:val="none"/>
        </w:rPr>
        <w:t>7.重新开展采购。</w:t>
      </w:r>
      <w:r>
        <w:rPr>
          <w:rFonts w:hint="eastAsia" w:cs="宋体"/>
          <w:color w:val="auto"/>
          <w:highlight w:val="none"/>
        </w:rPr>
        <w:t>有政府采购法第七十一条、第七十二条规定的违法行为之一，影响或者可能影响中标结果的，依照下列规定处理：</w:t>
      </w:r>
    </w:p>
    <w:p w14:paraId="3A12CA55">
      <w:pPr>
        <w:pStyle w:val="3"/>
        <w:snapToGrid w:val="0"/>
        <w:spacing w:line="360" w:lineRule="auto"/>
        <w:rPr>
          <w:rFonts w:cs="宋体"/>
          <w:color w:val="auto"/>
          <w:highlight w:val="none"/>
        </w:rPr>
      </w:pPr>
      <w:r>
        <w:rPr>
          <w:rFonts w:hint="eastAsia" w:cs="宋体"/>
          <w:color w:val="auto"/>
          <w:highlight w:val="none"/>
        </w:rPr>
        <w:t>7.1未确定中标供应商的，终止本次政府采购活动，重新开展政府采购活动。</w:t>
      </w:r>
    </w:p>
    <w:p w14:paraId="7378C4E3">
      <w:pPr>
        <w:pStyle w:val="3"/>
        <w:snapToGrid w:val="0"/>
        <w:spacing w:line="360" w:lineRule="auto"/>
        <w:rPr>
          <w:rFonts w:cs="宋体"/>
          <w:color w:val="auto"/>
          <w:highlight w:val="none"/>
        </w:rPr>
      </w:pPr>
      <w:r>
        <w:rPr>
          <w:rFonts w:hint="eastAsia" w:cs="宋体"/>
          <w:color w:val="auto"/>
          <w:highlight w:val="none"/>
        </w:rPr>
        <w:t>7.2已确定中标供应商但尚未签订政府采购合同的，中标结果无效，从合格的中标候选人中另行确定中标供应商；没有合格的中标候选人的，重新开展政府采购活动。</w:t>
      </w:r>
    </w:p>
    <w:p w14:paraId="20AA57A3">
      <w:pPr>
        <w:pStyle w:val="3"/>
        <w:snapToGrid w:val="0"/>
        <w:spacing w:line="360" w:lineRule="auto"/>
        <w:rPr>
          <w:rFonts w:cs="宋体"/>
          <w:color w:val="auto"/>
          <w:highlight w:val="none"/>
        </w:rPr>
      </w:pPr>
      <w:r>
        <w:rPr>
          <w:rFonts w:hint="eastAsia" w:cs="宋体"/>
          <w:color w:val="auto"/>
          <w:highlight w:val="none"/>
        </w:rPr>
        <w:t>7.3政府采购合同已签订但尚未履行的，撤销合同，从合格的中标候选人中另行确定中标供应商；没有合格的中标候选人的，重新开展政府采购活动。</w:t>
      </w:r>
    </w:p>
    <w:p w14:paraId="6074FC12">
      <w:pPr>
        <w:pStyle w:val="3"/>
        <w:snapToGrid w:val="0"/>
        <w:spacing w:line="360" w:lineRule="auto"/>
        <w:rPr>
          <w:rFonts w:cs="宋体"/>
          <w:color w:val="auto"/>
          <w:highlight w:val="none"/>
        </w:rPr>
      </w:pPr>
      <w:r>
        <w:rPr>
          <w:rFonts w:hint="eastAsia" w:cs="宋体"/>
          <w:color w:val="auto"/>
          <w:highlight w:val="none"/>
        </w:rPr>
        <w:t>7.4政府采购合同已经履行，给采购人、供应商造成损失的，由责任人承担赔偿责任。</w:t>
      </w:r>
    </w:p>
    <w:p w14:paraId="27F17EA4">
      <w:pPr>
        <w:pStyle w:val="3"/>
        <w:snapToGrid w:val="0"/>
        <w:spacing w:line="360" w:lineRule="auto"/>
        <w:rPr>
          <w:rFonts w:cs="宋体"/>
          <w:b/>
          <w:color w:val="auto"/>
          <w:sz w:val="36"/>
          <w:szCs w:val="36"/>
          <w:highlight w:val="none"/>
        </w:rPr>
      </w:pPr>
      <w:r>
        <w:rPr>
          <w:rFonts w:hint="eastAsia"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bookmarkEnd w:id="25"/>
      <w:bookmarkStart w:id="393" w:name="第五部分"/>
      <w:bookmarkStart w:id="394" w:name="_Toc86217003"/>
      <w:r>
        <w:rPr>
          <w:rFonts w:hint="eastAsia" w:cs="宋体"/>
          <w:b/>
          <w:color w:val="auto"/>
          <w:sz w:val="36"/>
          <w:szCs w:val="36"/>
          <w:highlight w:val="none"/>
        </w:rPr>
        <w:t xml:space="preserve">    </w:t>
      </w:r>
    </w:p>
    <w:p w14:paraId="0F4AD561">
      <w:pPr>
        <w:widowControl/>
        <w:adjustRightInd/>
        <w:ind w:firstLine="2168" w:firstLineChars="600"/>
        <w:jc w:val="left"/>
        <w:rPr>
          <w:rFonts w:ascii="宋体" w:hAnsi="宋体" w:cs="宋体"/>
          <w:b/>
          <w:color w:val="auto"/>
          <w:sz w:val="36"/>
          <w:szCs w:val="36"/>
          <w:highlight w:val="none"/>
        </w:rPr>
        <w:sectPr>
          <w:pgSz w:w="11907" w:h="16840"/>
          <w:pgMar w:top="1474" w:right="1814" w:bottom="1474" w:left="1814" w:header="851" w:footer="851" w:gutter="0"/>
          <w:pgBorders>
            <w:top w:val="none" w:sz="0" w:space="0"/>
            <w:left w:val="none" w:sz="0" w:space="0"/>
            <w:bottom w:val="none" w:sz="0" w:space="0"/>
            <w:right w:val="none" w:sz="0" w:space="0"/>
          </w:pgBorders>
          <w:pgNumType w:fmt="decimal"/>
          <w:cols w:space="720" w:num="1"/>
        </w:sectPr>
      </w:pPr>
    </w:p>
    <w:p w14:paraId="0E7C83B6">
      <w:pPr>
        <w:widowControl/>
        <w:adjustRightInd/>
        <w:ind w:firstLine="2168" w:firstLineChars="600"/>
        <w:jc w:val="left"/>
        <w:outlineLvl w:val="0"/>
        <w:rPr>
          <w:rFonts w:ascii="宋体" w:hAnsi="宋体" w:cs="宋体"/>
          <w:b/>
          <w:color w:val="auto"/>
          <w:sz w:val="36"/>
          <w:szCs w:val="36"/>
          <w:highlight w:val="none"/>
        </w:rPr>
      </w:pPr>
      <w:bookmarkStart w:id="395" w:name="_Toc1511"/>
      <w:r>
        <w:rPr>
          <w:rFonts w:hint="eastAsia" w:ascii="宋体" w:hAnsi="宋体" w:cs="宋体"/>
          <w:b/>
          <w:color w:val="auto"/>
          <w:sz w:val="36"/>
          <w:szCs w:val="36"/>
          <w:highlight w:val="none"/>
        </w:rPr>
        <w:t>第五部分 拟签订的合同文本</w:t>
      </w:r>
      <w:bookmarkEnd w:id="395"/>
    </w:p>
    <w:p w14:paraId="54A3FBD7">
      <w:pPr>
        <w:pStyle w:val="25"/>
        <w:rPr>
          <w:color w:val="auto"/>
          <w:highlight w:val="none"/>
        </w:rPr>
      </w:pPr>
    </w:p>
    <w:p w14:paraId="321D4361">
      <w:pPr>
        <w:rPr>
          <w:rFonts w:ascii="宋体" w:hAnsi="宋体" w:cs="宋体"/>
          <w:color w:val="auto"/>
          <w:sz w:val="24"/>
          <w:highlight w:val="none"/>
          <w:u w:val="single"/>
        </w:rPr>
      </w:pPr>
      <w:r>
        <w:rPr>
          <w:rFonts w:hint="eastAsia" w:ascii="宋体" w:hAnsi="宋体" w:cs="宋体"/>
          <w:color w:val="auto"/>
          <w:sz w:val="24"/>
          <w:highlight w:val="none"/>
        </w:rPr>
        <w:t>合同编号：</w:t>
      </w:r>
      <w:r>
        <w:rPr>
          <w:rFonts w:hint="eastAsia" w:ascii="宋体" w:hAnsi="宋体" w:cs="宋体"/>
          <w:color w:val="auto"/>
          <w:sz w:val="24"/>
          <w:highlight w:val="none"/>
          <w:u w:val="single"/>
        </w:rPr>
        <w:t xml:space="preserve">           </w:t>
      </w:r>
    </w:p>
    <w:p w14:paraId="7B34EBBE">
      <w:pPr>
        <w:spacing w:line="480" w:lineRule="auto"/>
        <w:jc w:val="center"/>
        <w:rPr>
          <w:rFonts w:ascii="宋体" w:hAnsi="宋体" w:cs="宋体"/>
          <w:b/>
          <w:color w:val="auto"/>
          <w:sz w:val="28"/>
          <w:szCs w:val="28"/>
          <w:highlight w:val="none"/>
        </w:rPr>
      </w:pPr>
    </w:p>
    <w:p w14:paraId="0CD78A8D">
      <w:pPr>
        <w:spacing w:line="480" w:lineRule="auto"/>
        <w:jc w:val="center"/>
        <w:rPr>
          <w:rFonts w:ascii="宋体" w:hAnsi="宋体" w:cs="宋体"/>
          <w:b/>
          <w:color w:val="auto"/>
          <w:sz w:val="24"/>
          <w:highlight w:val="none"/>
        </w:rPr>
      </w:pPr>
    </w:p>
    <w:p w14:paraId="78F333F1">
      <w:pPr>
        <w:spacing w:line="480" w:lineRule="auto"/>
        <w:jc w:val="center"/>
        <w:rPr>
          <w:rFonts w:ascii="宋体" w:hAnsi="宋体" w:cs="宋体"/>
          <w:b/>
          <w:color w:val="auto"/>
          <w:sz w:val="24"/>
          <w:highlight w:val="none"/>
        </w:rPr>
      </w:pPr>
    </w:p>
    <w:p w14:paraId="6E0D5186">
      <w:pPr>
        <w:spacing w:line="48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政府采购合同参考范本</w:t>
      </w:r>
    </w:p>
    <w:p w14:paraId="735F1C58">
      <w:pPr>
        <w:spacing w:line="48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（服务类）</w:t>
      </w:r>
    </w:p>
    <w:p w14:paraId="64160B35">
      <w:pPr>
        <w:pStyle w:val="700"/>
        <w:ind w:firstLine="2843" w:firstLineChars="1180"/>
        <w:rPr>
          <w:rFonts w:ascii="宋体" w:hAnsi="宋体" w:cs="宋体"/>
          <w:b/>
          <w:color w:val="auto"/>
          <w:szCs w:val="24"/>
          <w:highlight w:val="none"/>
        </w:rPr>
      </w:pPr>
      <w:bookmarkStart w:id="396" w:name="_Toc18358"/>
      <w:r>
        <w:rPr>
          <w:rFonts w:hint="eastAsia" w:ascii="宋体" w:hAnsi="宋体" w:cs="宋体"/>
          <w:b/>
          <w:color w:val="auto"/>
          <w:szCs w:val="24"/>
          <w:highlight w:val="none"/>
        </w:rPr>
        <w:t>第一部分 合同书</w:t>
      </w:r>
      <w:bookmarkEnd w:id="396"/>
    </w:p>
    <w:p w14:paraId="78FCE28F">
      <w:pPr>
        <w:spacing w:before="120" w:line="22" w:lineRule="atLeast"/>
        <w:rPr>
          <w:rFonts w:ascii="宋体" w:hAnsi="宋体" w:cs="宋体"/>
          <w:color w:val="auto"/>
          <w:sz w:val="24"/>
          <w:highlight w:val="none"/>
        </w:rPr>
      </w:pPr>
    </w:p>
    <w:p w14:paraId="21916427">
      <w:pPr>
        <w:tabs>
          <w:tab w:val="left" w:pos="432"/>
        </w:tabs>
        <w:rPr>
          <w:color w:val="auto"/>
          <w:highlight w:val="none"/>
        </w:rPr>
      </w:pPr>
    </w:p>
    <w:p w14:paraId="2BFBF134">
      <w:pPr>
        <w:spacing w:before="120" w:line="22" w:lineRule="atLeast"/>
        <w:ind w:left="960"/>
        <w:rPr>
          <w:rFonts w:ascii="宋体" w:hAnsi="宋体" w:cs="宋体"/>
          <w:color w:val="auto"/>
          <w:sz w:val="24"/>
          <w:highlight w:val="non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2024-2027年市管公园综合养管项目</w:t>
      </w:r>
      <w:r>
        <w:rPr>
          <w:rFonts w:hint="eastAsia" w:ascii="宋体" w:hAnsi="宋体" w:cs="宋体"/>
          <w:color w:val="auto"/>
          <w:sz w:val="24"/>
          <w:highlight w:val="none"/>
          <w:u w:val="single"/>
        </w:rPr>
        <w:t xml:space="preserve">   </w:t>
      </w:r>
    </w:p>
    <w:p w14:paraId="553B37E7">
      <w:pPr>
        <w:pStyle w:val="597"/>
        <w:spacing w:before="120" w:line="22" w:lineRule="atLeast"/>
        <w:rPr>
          <w:rFonts w:ascii="宋体" w:hAnsi="宋体" w:eastAsia="宋体" w:cs="宋体"/>
          <w:color w:val="auto"/>
          <w:szCs w:val="24"/>
          <w:highlight w:val="none"/>
        </w:rPr>
      </w:pPr>
    </w:p>
    <w:p w14:paraId="210E0BCF">
      <w:pPr>
        <w:pStyle w:val="597"/>
        <w:spacing w:before="120" w:line="22" w:lineRule="atLeast"/>
        <w:rPr>
          <w:rFonts w:ascii="宋体" w:hAnsi="宋体" w:eastAsia="宋体" w:cs="宋体"/>
          <w:color w:val="auto"/>
          <w:szCs w:val="24"/>
          <w:highlight w:val="none"/>
        </w:rPr>
      </w:pPr>
    </w:p>
    <w:p w14:paraId="31E23E08">
      <w:pPr>
        <w:rPr>
          <w:rFonts w:ascii="宋体" w:hAnsi="宋体" w:cs="宋体"/>
          <w:color w:val="auto"/>
          <w:sz w:val="24"/>
          <w:highlight w:val="none"/>
        </w:rPr>
      </w:pPr>
    </w:p>
    <w:p w14:paraId="3CBD13EC">
      <w:pPr>
        <w:spacing w:before="120" w:line="22" w:lineRule="atLeast"/>
        <w:ind w:left="960"/>
        <w:rPr>
          <w:rFonts w:ascii="宋体" w:hAnsi="宋体" w:cs="宋体"/>
          <w:color w:val="auto"/>
          <w:sz w:val="24"/>
          <w:highlight w:val="none"/>
          <w:u w:val="single"/>
        </w:rPr>
      </w:pPr>
      <w:r>
        <w:rPr>
          <w:rFonts w:hint="eastAsia" w:ascii="宋体" w:hAnsi="宋体" w:cs="宋体"/>
          <w:color w:val="auto"/>
          <w:sz w:val="24"/>
          <w:highlight w:val="none"/>
        </w:rPr>
        <w:t>甲方：</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宁波市园林绿化中心</w:t>
      </w:r>
      <w:r>
        <w:rPr>
          <w:rFonts w:hint="eastAsia" w:ascii="宋体" w:hAnsi="宋体" w:cs="宋体"/>
          <w:color w:val="auto"/>
          <w:sz w:val="24"/>
          <w:highlight w:val="none"/>
          <w:u w:val="single"/>
        </w:rPr>
        <w:t xml:space="preserve">   </w:t>
      </w:r>
    </w:p>
    <w:p w14:paraId="0513FF91">
      <w:pPr>
        <w:spacing w:before="120" w:line="22" w:lineRule="atLeast"/>
        <w:rPr>
          <w:rFonts w:ascii="宋体" w:hAnsi="宋体" w:cs="宋体"/>
          <w:color w:val="auto"/>
          <w:sz w:val="24"/>
          <w:highlight w:val="none"/>
        </w:rPr>
      </w:pPr>
    </w:p>
    <w:p w14:paraId="674E195C">
      <w:pPr>
        <w:spacing w:before="120" w:line="22" w:lineRule="atLeast"/>
        <w:ind w:left="960"/>
        <w:rPr>
          <w:rFonts w:ascii="宋体" w:hAnsi="宋体" w:cs="宋体"/>
          <w:color w:val="auto"/>
          <w:sz w:val="24"/>
          <w:highlight w:val="none"/>
          <w:u w:val="single"/>
        </w:rPr>
      </w:pPr>
      <w:r>
        <w:rPr>
          <w:rFonts w:hint="eastAsia" w:ascii="宋体" w:hAnsi="宋体" w:cs="宋体"/>
          <w:color w:val="auto"/>
          <w:sz w:val="24"/>
          <w:highlight w:val="none"/>
        </w:rPr>
        <w:t>乙方：</w:t>
      </w:r>
      <w:r>
        <w:rPr>
          <w:rFonts w:hint="eastAsia" w:ascii="宋体" w:hAnsi="宋体" w:cs="宋体"/>
          <w:color w:val="auto"/>
          <w:sz w:val="24"/>
          <w:highlight w:val="none"/>
          <w:u w:val="single"/>
        </w:rPr>
        <w:t xml:space="preserve">                                       </w:t>
      </w:r>
    </w:p>
    <w:p w14:paraId="0F761460">
      <w:pPr>
        <w:spacing w:before="120" w:line="22" w:lineRule="atLeast"/>
        <w:rPr>
          <w:rFonts w:ascii="宋体" w:hAnsi="宋体" w:cs="宋体"/>
          <w:color w:val="auto"/>
          <w:sz w:val="24"/>
          <w:highlight w:val="none"/>
        </w:rPr>
      </w:pPr>
    </w:p>
    <w:p w14:paraId="67A2BD48">
      <w:pPr>
        <w:spacing w:before="120" w:line="22" w:lineRule="atLeast"/>
        <w:ind w:firstLine="960" w:firstLineChars="400"/>
        <w:rPr>
          <w:rFonts w:ascii="宋体" w:hAnsi="宋体" w:cs="宋体"/>
          <w:color w:val="auto"/>
          <w:sz w:val="24"/>
          <w:highlight w:val="none"/>
          <w:u w:val="single"/>
        </w:rPr>
      </w:pPr>
      <w:r>
        <w:rPr>
          <w:rFonts w:hint="eastAsia" w:ascii="宋体" w:hAnsi="宋体" w:cs="宋体"/>
          <w:color w:val="auto"/>
          <w:sz w:val="24"/>
          <w:highlight w:val="none"/>
        </w:rPr>
        <w:t>签订地：</w:t>
      </w:r>
      <w:r>
        <w:rPr>
          <w:rFonts w:hint="eastAsia" w:ascii="宋体" w:hAnsi="宋体" w:cs="宋体"/>
          <w:color w:val="auto"/>
          <w:sz w:val="24"/>
          <w:highlight w:val="none"/>
          <w:u w:val="single"/>
        </w:rPr>
        <w:t xml:space="preserve">             宁波市              </w:t>
      </w:r>
    </w:p>
    <w:p w14:paraId="59F42902">
      <w:pPr>
        <w:spacing w:before="120" w:line="22" w:lineRule="atLeast"/>
        <w:rPr>
          <w:rFonts w:ascii="宋体" w:hAnsi="宋体" w:cs="宋体"/>
          <w:color w:val="auto"/>
          <w:sz w:val="24"/>
          <w:highlight w:val="none"/>
        </w:rPr>
      </w:pPr>
    </w:p>
    <w:p w14:paraId="747DCB96">
      <w:pPr>
        <w:spacing w:before="120" w:line="22" w:lineRule="atLeast"/>
        <w:ind w:firstLine="960" w:firstLineChars="400"/>
        <w:rPr>
          <w:rFonts w:ascii="宋体" w:hAnsi="宋体" w:cs="宋体"/>
          <w:color w:val="auto"/>
          <w:sz w:val="24"/>
          <w:highlight w:val="none"/>
          <w:u w:val="single"/>
        </w:rPr>
      </w:pPr>
      <w:r>
        <w:rPr>
          <w:rFonts w:hint="eastAsia" w:ascii="宋体" w:hAnsi="宋体" w:cs="宋体"/>
          <w:color w:val="auto"/>
          <w:sz w:val="24"/>
          <w:highlight w:val="none"/>
        </w:rPr>
        <w:t>签订日期：</w:t>
      </w:r>
      <w:r>
        <w:rPr>
          <w:rFonts w:hint="eastAsia" w:ascii="宋体" w:hAnsi="宋体" w:cs="宋体"/>
          <w:color w:val="auto"/>
          <w:sz w:val="24"/>
          <w:highlight w:val="none"/>
          <w:u w:val="single"/>
        </w:rPr>
        <w:t xml:space="preserve">   202</w:t>
      </w:r>
      <w:r>
        <w:rPr>
          <w:rFonts w:hint="eastAsia" w:ascii="宋体" w:hAnsi="宋体" w:cs="宋体"/>
          <w:color w:val="auto"/>
          <w:sz w:val="24"/>
          <w:highlight w:val="none"/>
          <w:u w:val="single"/>
          <w:lang w:val="en-US" w:eastAsia="zh-CN"/>
        </w:rPr>
        <w:t>4</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79BEDDA5">
      <w:pPr>
        <w:widowControl/>
        <w:jc w:val="left"/>
        <w:rPr>
          <w:rFonts w:ascii="宋体" w:hAnsi="宋体" w:cs="宋体"/>
          <w:color w:val="auto"/>
          <w:kern w:val="0"/>
          <w:sz w:val="24"/>
          <w:highlight w:val="none"/>
        </w:rPr>
        <w:sectPr>
          <w:pgSz w:w="11907" w:h="16840"/>
          <w:pgMar w:top="1474" w:right="1814" w:bottom="1474" w:left="1814" w:header="851" w:footer="851" w:gutter="0"/>
          <w:pgBorders>
            <w:top w:val="none" w:sz="0" w:space="0"/>
            <w:left w:val="none" w:sz="0" w:space="0"/>
            <w:bottom w:val="none" w:sz="0" w:space="0"/>
            <w:right w:val="none" w:sz="0" w:space="0"/>
          </w:pgBorders>
          <w:pgNumType w:fmt="decimal"/>
          <w:cols w:space="720" w:num="1"/>
        </w:sectPr>
      </w:pPr>
    </w:p>
    <w:p w14:paraId="7BC0F3BE">
      <w:pPr>
        <w:rPr>
          <w:rFonts w:ascii="宋体" w:hAnsi="宋体" w:cs="宋体"/>
          <w:b/>
          <w:color w:val="auto"/>
          <w:sz w:val="24"/>
          <w:highlight w:val="none"/>
        </w:rPr>
      </w:pPr>
    </w:p>
    <w:p w14:paraId="182B3DDE">
      <w:pPr>
        <w:spacing w:line="560" w:lineRule="exact"/>
        <w:ind w:firstLine="480" w:firstLineChars="200"/>
        <w:rPr>
          <w:rFonts w:ascii="宋体" w:hAnsi="宋体"/>
          <w:color w:val="auto"/>
          <w:sz w:val="24"/>
          <w:highlight w:val="none"/>
        </w:rPr>
      </w:pPr>
      <w:r>
        <w:rPr>
          <w:rFonts w:ascii="宋体" w:hAnsi="宋体"/>
          <w:color w:val="auto"/>
          <w:sz w:val="24"/>
          <w:highlight w:val="none"/>
          <w:u w:val="single"/>
          <w:lang w:val="zh-CN"/>
        </w:rPr>
        <w:t xml:space="preserve"> </w:t>
      </w:r>
      <w:r>
        <w:rPr>
          <w:rFonts w:hint="eastAsia" w:ascii="宋体" w:hAnsi="宋体"/>
          <w:color w:val="auto"/>
          <w:sz w:val="24"/>
          <w:highlight w:val="none"/>
          <w:u w:val="single"/>
          <w:lang w:eastAsia="zh-CN"/>
        </w:rPr>
        <w:t>2024</w:t>
      </w:r>
      <w:r>
        <w:rPr>
          <w:rFonts w:hint="eastAsia" w:ascii="宋体" w:hAnsi="宋体"/>
          <w:color w:val="auto"/>
          <w:sz w:val="24"/>
          <w:highlight w:val="none"/>
          <w:lang w:val="zh-CN"/>
        </w:rPr>
        <w:t>年</w:t>
      </w:r>
      <w:r>
        <w:rPr>
          <w:rFonts w:ascii="宋体" w:hAnsi="宋体"/>
          <w:color w:val="auto"/>
          <w:sz w:val="24"/>
          <w:highlight w:val="none"/>
          <w:u w:val="single"/>
          <w:lang w:val="zh-CN"/>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lang w:val="zh-CN"/>
        </w:rPr>
        <w:t>月</w:t>
      </w:r>
      <w:r>
        <w:rPr>
          <w:rFonts w:ascii="宋体" w:hAnsi="宋体"/>
          <w:color w:val="auto"/>
          <w:sz w:val="24"/>
          <w:highlight w:val="none"/>
          <w:u w:val="single"/>
          <w:lang w:val="zh-CN"/>
        </w:rPr>
        <w:t xml:space="preserve">    </w:t>
      </w:r>
      <w:r>
        <w:rPr>
          <w:rFonts w:hint="eastAsia" w:ascii="宋体" w:hAnsi="宋体"/>
          <w:color w:val="auto"/>
          <w:sz w:val="24"/>
          <w:highlight w:val="none"/>
          <w:lang w:val="zh-CN"/>
        </w:rPr>
        <w:t>日</w:t>
      </w:r>
      <w:r>
        <w:rPr>
          <w:rFonts w:hint="eastAsia" w:ascii="宋体" w:hAnsi="宋体"/>
          <w:color w:val="auto"/>
          <w:sz w:val="24"/>
          <w:highlight w:val="none"/>
        </w:rPr>
        <w:t>，</w:t>
      </w:r>
      <w:r>
        <w:rPr>
          <w:rFonts w:ascii="宋体" w:hAnsi="宋体"/>
          <w:color w:val="auto"/>
          <w:sz w:val="24"/>
          <w:highlight w:val="none"/>
          <w:u w:val="single"/>
        </w:rPr>
        <w:t xml:space="preserve"> </w:t>
      </w:r>
      <w:r>
        <w:rPr>
          <w:rFonts w:hint="eastAsia" w:ascii="宋体" w:hAnsi="宋体"/>
          <w:color w:val="auto"/>
          <w:sz w:val="24"/>
          <w:highlight w:val="none"/>
          <w:u w:val="single"/>
          <w:lang w:eastAsia="zh-CN"/>
        </w:rPr>
        <w:t>宁波市园林绿化中心</w:t>
      </w:r>
      <w:r>
        <w:rPr>
          <w:rFonts w:ascii="宋体" w:hAnsi="宋体"/>
          <w:color w:val="auto"/>
          <w:sz w:val="24"/>
          <w:highlight w:val="none"/>
          <w:u w:val="single"/>
        </w:rPr>
        <w:t xml:space="preserve"> </w:t>
      </w:r>
      <w:r>
        <w:rPr>
          <w:rFonts w:hint="eastAsia" w:ascii="宋体" w:hAnsi="宋体"/>
          <w:color w:val="auto"/>
          <w:sz w:val="24"/>
          <w:highlight w:val="none"/>
        </w:rPr>
        <w:t>以</w:t>
      </w:r>
      <w:r>
        <w:rPr>
          <w:rFonts w:ascii="宋体" w:hAnsi="宋体"/>
          <w:color w:val="auto"/>
          <w:sz w:val="24"/>
          <w:highlight w:val="none"/>
          <w:u w:val="single"/>
        </w:rPr>
        <w:t xml:space="preserve"> </w:t>
      </w:r>
      <w:r>
        <w:rPr>
          <w:rFonts w:hint="eastAsia" w:ascii="宋体" w:hAnsi="宋体"/>
          <w:color w:val="auto"/>
          <w:sz w:val="24"/>
          <w:highlight w:val="none"/>
          <w:u w:val="single"/>
        </w:rPr>
        <w:t>公开招标</w:t>
      </w:r>
      <w:r>
        <w:rPr>
          <w:rFonts w:ascii="宋体" w:hAnsi="宋体"/>
          <w:color w:val="auto"/>
          <w:sz w:val="24"/>
          <w:highlight w:val="none"/>
          <w:u w:val="single"/>
        </w:rPr>
        <w:t xml:space="preserve"> </w:t>
      </w:r>
      <w:r>
        <w:rPr>
          <w:rFonts w:hint="eastAsia" w:ascii="宋体" w:hAnsi="宋体"/>
          <w:color w:val="auto"/>
          <w:sz w:val="24"/>
          <w:highlight w:val="none"/>
        </w:rPr>
        <w:t>对</w:t>
      </w:r>
      <w:r>
        <w:rPr>
          <w:rFonts w:ascii="宋体" w:hAnsi="宋体"/>
          <w:color w:val="auto"/>
          <w:sz w:val="24"/>
          <w:highlight w:val="none"/>
          <w:u w:val="single"/>
        </w:rPr>
        <w:t xml:space="preserve"> </w:t>
      </w:r>
      <w:r>
        <w:rPr>
          <w:rFonts w:hint="eastAsia" w:ascii="宋体" w:hAnsi="宋体"/>
          <w:color w:val="auto"/>
          <w:sz w:val="24"/>
          <w:highlight w:val="none"/>
          <w:u w:val="single"/>
          <w:lang w:eastAsia="zh-CN"/>
        </w:rPr>
        <w:t>2024-2027年市管公园综合养管项目</w:t>
      </w:r>
      <w:r>
        <w:rPr>
          <w:rFonts w:hint="eastAsia" w:ascii="宋体" w:hAnsi="宋体"/>
          <w:color w:val="auto"/>
          <w:sz w:val="24"/>
          <w:highlight w:val="none"/>
        </w:rPr>
        <w:t>进行了采购。经</w:t>
      </w:r>
      <w:r>
        <w:rPr>
          <w:rFonts w:hint="eastAsia" w:ascii="宋体" w:hAnsi="宋体"/>
          <w:color w:val="auto"/>
          <w:sz w:val="24"/>
          <w:highlight w:val="none"/>
          <w:u w:val="single"/>
        </w:rPr>
        <w:t>评标委员会</w:t>
      </w:r>
      <w:r>
        <w:rPr>
          <w:rFonts w:hint="eastAsia" w:ascii="宋体" w:hAnsi="宋体"/>
          <w:color w:val="auto"/>
          <w:sz w:val="24"/>
          <w:highlight w:val="none"/>
        </w:rPr>
        <w:t>评定，</w:t>
      </w:r>
      <w:r>
        <w:rPr>
          <w:rFonts w:ascii="宋体" w:hAnsi="宋体"/>
          <w:color w:val="auto"/>
          <w:sz w:val="24"/>
          <w:highlight w:val="none"/>
          <w:u w:val="single"/>
        </w:rPr>
        <w:t xml:space="preserve">   （中标</w:t>
      </w:r>
      <w:r>
        <w:rPr>
          <w:rFonts w:hint="eastAsia" w:ascii="宋体" w:hAnsi="宋体"/>
          <w:color w:val="auto"/>
          <w:sz w:val="24"/>
          <w:highlight w:val="none"/>
          <w:u w:val="single"/>
        </w:rPr>
        <w:t>或者成交</w:t>
      </w:r>
      <w:r>
        <w:rPr>
          <w:rFonts w:ascii="宋体" w:hAnsi="宋体"/>
          <w:color w:val="auto"/>
          <w:sz w:val="24"/>
          <w:highlight w:val="none"/>
          <w:u w:val="single"/>
        </w:rPr>
        <w:t xml:space="preserve">供应商名称） </w:t>
      </w:r>
      <w:r>
        <w:rPr>
          <w:rFonts w:hint="eastAsia" w:ascii="宋体" w:hAnsi="宋体"/>
          <w:color w:val="auto"/>
          <w:sz w:val="24"/>
          <w:highlight w:val="none"/>
        </w:rPr>
        <w:t>为该项目</w:t>
      </w:r>
      <w:r>
        <w:rPr>
          <w:rFonts w:hint="eastAsia" w:ascii="宋体" w:hAnsi="宋体" w:cs="宋体"/>
          <w:color w:val="auto"/>
          <w:sz w:val="24"/>
          <w:highlight w:val="none"/>
        </w:rPr>
        <w:t>中标或者成交供应商</w:t>
      </w:r>
      <w:r>
        <w:rPr>
          <w:rFonts w:hint="eastAsia" w:ascii="宋体" w:hAnsi="宋体"/>
          <w:color w:val="auto"/>
          <w:sz w:val="24"/>
          <w:highlight w:val="none"/>
        </w:rPr>
        <w:t>。</w:t>
      </w:r>
    </w:p>
    <w:p w14:paraId="54A53526">
      <w:pPr>
        <w:spacing w:line="560" w:lineRule="exact"/>
        <w:ind w:firstLine="480" w:firstLineChars="200"/>
        <w:rPr>
          <w:rFonts w:ascii="宋体" w:hAnsi="宋体"/>
          <w:color w:val="auto"/>
          <w:sz w:val="24"/>
          <w:highlight w:val="none"/>
        </w:rPr>
      </w:pPr>
      <w:r>
        <w:rPr>
          <w:rFonts w:hint="eastAsia" w:ascii="宋体" w:hAnsi="宋体"/>
          <w:color w:val="auto"/>
          <w:sz w:val="24"/>
          <w:highlight w:val="none"/>
          <w:lang w:val="zh-CN"/>
        </w:rPr>
        <w:t>根据《中华人民共和国民法典》《中华人民共和国政府采购法》等相关法律法规之规定，按照平等、自愿、公平和诚实信用的原则，经</w:t>
      </w:r>
      <w:r>
        <w:rPr>
          <w:rFonts w:ascii="宋体" w:hAnsi="宋体"/>
          <w:color w:val="auto"/>
          <w:sz w:val="24"/>
          <w:highlight w:val="none"/>
          <w:u w:val="single"/>
        </w:rPr>
        <w:t xml:space="preserve"> </w:t>
      </w:r>
      <w:r>
        <w:rPr>
          <w:rFonts w:hint="eastAsia" w:ascii="宋体" w:hAnsi="宋体"/>
          <w:color w:val="auto"/>
          <w:sz w:val="24"/>
          <w:highlight w:val="none"/>
          <w:u w:val="single"/>
          <w:lang w:eastAsia="zh-CN"/>
        </w:rPr>
        <w:t>宁波市园林绿化中心</w:t>
      </w:r>
      <w:r>
        <w:rPr>
          <w:rFonts w:ascii="宋体" w:hAnsi="宋体"/>
          <w:color w:val="auto"/>
          <w:sz w:val="24"/>
          <w:highlight w:val="none"/>
          <w:u w:val="single"/>
        </w:rPr>
        <w:t xml:space="preserve"> </w:t>
      </w:r>
      <w:r>
        <w:rPr>
          <w:rFonts w:hint="eastAsia" w:ascii="宋体" w:hAnsi="宋体"/>
          <w:color w:val="auto"/>
          <w:sz w:val="24"/>
          <w:highlight w:val="none"/>
          <w:u w:val="single"/>
        </w:rPr>
        <w:t>（</w:t>
      </w:r>
      <w:r>
        <w:rPr>
          <w:rFonts w:ascii="宋体" w:hAnsi="宋体"/>
          <w:color w:val="auto"/>
          <w:sz w:val="24"/>
          <w:highlight w:val="none"/>
          <w:lang w:val="zh-CN"/>
        </w:rPr>
        <w:t>以下简称：甲方</w:t>
      </w:r>
      <w:r>
        <w:rPr>
          <w:rFonts w:hint="eastAsia" w:ascii="宋体" w:hAnsi="宋体"/>
          <w:color w:val="auto"/>
          <w:sz w:val="24"/>
          <w:highlight w:val="none"/>
          <w:lang w:val="zh-CN"/>
        </w:rPr>
        <w:t>）</w:t>
      </w:r>
      <w:r>
        <w:rPr>
          <w:rFonts w:ascii="宋体" w:hAnsi="宋体"/>
          <w:color w:val="auto"/>
          <w:sz w:val="24"/>
          <w:highlight w:val="none"/>
          <w:lang w:val="zh-CN"/>
        </w:rPr>
        <w:t>和</w:t>
      </w:r>
      <w:r>
        <w:rPr>
          <w:rFonts w:ascii="宋体" w:hAnsi="宋体"/>
          <w:color w:val="auto"/>
          <w:sz w:val="24"/>
          <w:highlight w:val="none"/>
          <w:u w:val="single"/>
        </w:rPr>
        <w:t xml:space="preserve">   （中</w:t>
      </w:r>
      <w:r>
        <w:rPr>
          <w:rFonts w:hint="eastAsia" w:ascii="宋体" w:hAnsi="宋体"/>
          <w:color w:val="auto"/>
          <w:sz w:val="24"/>
          <w:highlight w:val="none"/>
          <w:u w:val="single"/>
        </w:rPr>
        <w:t>或者成交</w:t>
      </w:r>
      <w:r>
        <w:rPr>
          <w:rFonts w:ascii="宋体" w:hAnsi="宋体"/>
          <w:color w:val="auto"/>
          <w:sz w:val="24"/>
          <w:highlight w:val="none"/>
          <w:u w:val="single"/>
        </w:rPr>
        <w:t xml:space="preserve">标供应商名称）   </w:t>
      </w:r>
      <w:r>
        <w:rPr>
          <w:rFonts w:hint="eastAsia" w:ascii="宋体" w:hAnsi="宋体"/>
          <w:color w:val="auto"/>
          <w:sz w:val="24"/>
          <w:highlight w:val="none"/>
          <w:u w:val="single"/>
        </w:rPr>
        <w:t>（</w:t>
      </w:r>
      <w:r>
        <w:rPr>
          <w:rFonts w:ascii="宋体" w:hAnsi="宋体"/>
          <w:color w:val="auto"/>
          <w:sz w:val="24"/>
          <w:highlight w:val="none"/>
          <w:lang w:val="zh-CN"/>
        </w:rPr>
        <w:t>以下简称：乙方</w:t>
      </w:r>
      <w:r>
        <w:rPr>
          <w:rFonts w:hint="eastAsia" w:ascii="宋体" w:hAnsi="宋体"/>
          <w:color w:val="auto"/>
          <w:sz w:val="24"/>
          <w:highlight w:val="none"/>
          <w:lang w:val="zh-CN"/>
        </w:rPr>
        <w:t>）</w:t>
      </w:r>
      <w:r>
        <w:rPr>
          <w:rFonts w:ascii="宋体" w:hAnsi="宋体"/>
          <w:color w:val="auto"/>
          <w:sz w:val="24"/>
          <w:highlight w:val="none"/>
          <w:lang w:val="zh-CN"/>
        </w:rPr>
        <w:t>协商一致，约定以下合同</w:t>
      </w:r>
      <w:r>
        <w:rPr>
          <w:rFonts w:hint="eastAsia" w:ascii="宋体" w:hAnsi="宋体"/>
          <w:color w:val="auto"/>
          <w:sz w:val="24"/>
          <w:highlight w:val="none"/>
        </w:rPr>
        <w:t>条款，以兹共同遵守、全面履行。</w:t>
      </w:r>
    </w:p>
    <w:p w14:paraId="545673C5">
      <w:pPr>
        <w:spacing w:line="560" w:lineRule="exact"/>
        <w:ind w:firstLine="482" w:firstLineChars="200"/>
        <w:rPr>
          <w:rFonts w:ascii="宋体" w:hAnsi="宋体"/>
          <w:color w:val="auto"/>
          <w:sz w:val="24"/>
          <w:highlight w:val="none"/>
        </w:rPr>
      </w:pPr>
      <w:bookmarkStart w:id="397" w:name="_Toc28855"/>
      <w:bookmarkStart w:id="398" w:name="_Toc20421"/>
      <w:bookmarkStart w:id="399" w:name="_Toc19273"/>
      <w:bookmarkStart w:id="400" w:name="_Toc20770"/>
      <w:bookmarkStart w:id="401" w:name="_Toc22967"/>
      <w:bookmarkStart w:id="402" w:name="_Toc15367"/>
      <w:r>
        <w:rPr>
          <w:rFonts w:ascii="宋体" w:hAnsi="宋体"/>
          <w:b/>
          <w:color w:val="auto"/>
          <w:sz w:val="24"/>
          <w:highlight w:val="none"/>
        </w:rPr>
        <w:t xml:space="preserve">1.1 </w:t>
      </w:r>
      <w:r>
        <w:rPr>
          <w:rFonts w:hint="eastAsia" w:ascii="宋体" w:hAnsi="宋体"/>
          <w:b/>
          <w:color w:val="auto"/>
          <w:sz w:val="24"/>
          <w:highlight w:val="none"/>
        </w:rPr>
        <w:t>合同组成部分</w:t>
      </w:r>
      <w:bookmarkEnd w:id="397"/>
      <w:bookmarkEnd w:id="398"/>
      <w:bookmarkEnd w:id="399"/>
      <w:bookmarkEnd w:id="400"/>
      <w:bookmarkEnd w:id="401"/>
      <w:bookmarkEnd w:id="402"/>
    </w:p>
    <w:p w14:paraId="31349D3F">
      <w:pPr>
        <w:spacing w:line="560" w:lineRule="exact"/>
        <w:ind w:firstLine="480" w:firstLineChars="200"/>
        <w:rPr>
          <w:rFonts w:ascii="宋体" w:hAnsi="宋体"/>
          <w:color w:val="auto"/>
          <w:sz w:val="24"/>
          <w:highlight w:val="none"/>
        </w:rPr>
      </w:pPr>
      <w:r>
        <w:rPr>
          <w:rFonts w:hint="eastAsia" w:ascii="宋体" w:hAnsi="宋体"/>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5A85970">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1.1.1 </w:t>
      </w:r>
      <w:r>
        <w:rPr>
          <w:rFonts w:hint="eastAsia" w:ascii="宋体" w:hAnsi="宋体"/>
          <w:color w:val="auto"/>
          <w:sz w:val="24"/>
          <w:highlight w:val="none"/>
        </w:rPr>
        <w:t>本合同及其补充合同、变更协议；</w:t>
      </w:r>
    </w:p>
    <w:p w14:paraId="3D197E1D">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1.1.2 </w:t>
      </w:r>
      <w:r>
        <w:rPr>
          <w:rFonts w:hint="eastAsia" w:ascii="宋体" w:hAnsi="宋体"/>
          <w:color w:val="auto"/>
          <w:sz w:val="24"/>
          <w:highlight w:val="none"/>
        </w:rPr>
        <w:t>中标或者成交通知书；</w:t>
      </w:r>
    </w:p>
    <w:p w14:paraId="1DAAF6C2">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1.1.3 </w:t>
      </w:r>
      <w:r>
        <w:rPr>
          <w:rFonts w:hint="eastAsia" w:ascii="宋体" w:hAnsi="宋体"/>
          <w:color w:val="auto"/>
          <w:sz w:val="24"/>
          <w:highlight w:val="none"/>
        </w:rPr>
        <w:t>投标或者响应文件（含澄清或者说明文件）；</w:t>
      </w:r>
    </w:p>
    <w:p w14:paraId="17D6AE63">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1.1.4 </w:t>
      </w:r>
      <w:r>
        <w:rPr>
          <w:rFonts w:hint="eastAsia" w:ascii="宋体" w:hAnsi="宋体"/>
          <w:color w:val="auto"/>
          <w:sz w:val="24"/>
          <w:highlight w:val="none"/>
        </w:rPr>
        <w:t>采购文件（含澄清或者修改文件）；</w:t>
      </w:r>
    </w:p>
    <w:p w14:paraId="1B65D70C">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1.1.5 </w:t>
      </w:r>
      <w:r>
        <w:rPr>
          <w:rFonts w:hint="eastAsia" w:ascii="宋体" w:hAnsi="宋体"/>
          <w:color w:val="auto"/>
          <w:sz w:val="24"/>
          <w:highlight w:val="none"/>
        </w:rPr>
        <w:t>其他相关采购文件。</w:t>
      </w:r>
    </w:p>
    <w:p w14:paraId="374B25A8">
      <w:pPr>
        <w:spacing w:line="560" w:lineRule="exact"/>
        <w:ind w:firstLine="482" w:firstLineChars="200"/>
        <w:rPr>
          <w:rFonts w:ascii="宋体" w:hAnsi="宋体"/>
          <w:b/>
          <w:color w:val="auto"/>
          <w:sz w:val="24"/>
          <w:highlight w:val="none"/>
        </w:rPr>
      </w:pPr>
      <w:bookmarkStart w:id="403" w:name="_Toc22185"/>
      <w:bookmarkStart w:id="404" w:name="_Toc6773"/>
      <w:bookmarkStart w:id="405" w:name="_Toc2918"/>
      <w:bookmarkStart w:id="406" w:name="_Toc23687"/>
      <w:bookmarkStart w:id="407" w:name="_Toc6311"/>
      <w:bookmarkStart w:id="408" w:name="_Toc18585"/>
      <w:r>
        <w:rPr>
          <w:rFonts w:ascii="宋体" w:hAnsi="宋体"/>
          <w:b/>
          <w:color w:val="auto"/>
          <w:sz w:val="24"/>
          <w:highlight w:val="none"/>
        </w:rPr>
        <w:t xml:space="preserve">1.2 </w:t>
      </w:r>
      <w:r>
        <w:rPr>
          <w:rFonts w:hint="eastAsia" w:ascii="宋体" w:hAnsi="宋体"/>
          <w:b/>
          <w:color w:val="auto"/>
          <w:sz w:val="24"/>
          <w:highlight w:val="none"/>
        </w:rPr>
        <w:t>标的</w:t>
      </w:r>
      <w:bookmarkEnd w:id="403"/>
      <w:bookmarkEnd w:id="404"/>
      <w:bookmarkEnd w:id="405"/>
      <w:bookmarkEnd w:id="406"/>
      <w:bookmarkEnd w:id="407"/>
      <w:bookmarkEnd w:id="408"/>
    </w:p>
    <w:p w14:paraId="0AC81D12">
      <w:pPr>
        <w:spacing w:line="560" w:lineRule="exact"/>
        <w:ind w:firstLine="480" w:firstLineChars="200"/>
        <w:rPr>
          <w:rFonts w:ascii="宋体" w:hAnsi="宋体"/>
          <w:color w:val="auto"/>
          <w:sz w:val="24"/>
          <w:highlight w:val="none"/>
          <w:u w:val="single"/>
        </w:rPr>
      </w:pPr>
      <w:r>
        <w:rPr>
          <w:rFonts w:ascii="宋体" w:hAnsi="宋体"/>
          <w:color w:val="auto"/>
          <w:sz w:val="24"/>
          <w:highlight w:val="none"/>
        </w:rPr>
        <w:t xml:space="preserve">1.2.1 </w:t>
      </w:r>
      <w:r>
        <w:rPr>
          <w:rFonts w:hint="eastAsia" w:ascii="宋体" w:hAnsi="宋体"/>
          <w:color w:val="auto"/>
          <w:sz w:val="24"/>
          <w:highlight w:val="none"/>
        </w:rPr>
        <w:t>服务内容</w:t>
      </w:r>
      <w:r>
        <w:rPr>
          <w:rFonts w:ascii="宋体" w:hAnsi="宋体"/>
          <w:color w:val="auto"/>
          <w:sz w:val="24"/>
          <w:highlight w:val="none"/>
        </w:rPr>
        <w:t>：</w:t>
      </w:r>
      <w:r>
        <w:rPr>
          <w:rFonts w:hint="eastAsia" w:ascii="宋体" w:hAnsi="宋体"/>
          <w:color w:val="auto"/>
          <w:sz w:val="24"/>
          <w:highlight w:val="none"/>
          <w:u w:val="single"/>
          <w:lang w:eastAsia="zh-CN"/>
        </w:rPr>
        <w:t>2024-2027年市管公园综合养管</w:t>
      </w:r>
      <w:r>
        <w:rPr>
          <w:rFonts w:hint="eastAsia" w:ascii="宋体" w:hAnsi="宋体"/>
          <w:color w:val="auto"/>
          <w:sz w:val="24"/>
          <w:highlight w:val="none"/>
        </w:rPr>
        <w:t>；</w:t>
      </w:r>
    </w:p>
    <w:p w14:paraId="3686F0AB">
      <w:pPr>
        <w:spacing w:line="560" w:lineRule="exact"/>
        <w:ind w:firstLine="480" w:firstLineChars="200"/>
        <w:rPr>
          <w:rFonts w:ascii="宋体" w:hAnsi="宋体"/>
          <w:color w:val="auto"/>
          <w:sz w:val="24"/>
          <w:highlight w:val="none"/>
          <w:u w:val="single"/>
        </w:rPr>
      </w:pPr>
      <w:r>
        <w:rPr>
          <w:rFonts w:ascii="宋体" w:hAnsi="宋体"/>
          <w:color w:val="auto"/>
          <w:sz w:val="24"/>
          <w:highlight w:val="none"/>
        </w:rPr>
        <w:t xml:space="preserve">1.2.2 </w:t>
      </w:r>
      <w:r>
        <w:rPr>
          <w:rFonts w:hint="eastAsia" w:ascii="宋体" w:hAnsi="宋体"/>
          <w:color w:val="auto"/>
          <w:sz w:val="24"/>
          <w:highlight w:val="none"/>
        </w:rPr>
        <w:t>服务标准</w:t>
      </w:r>
      <w:r>
        <w:rPr>
          <w:rFonts w:ascii="宋体" w:hAnsi="宋体"/>
          <w:color w:val="auto"/>
          <w:sz w:val="24"/>
          <w:highlight w:val="none"/>
        </w:rPr>
        <w:t>：</w:t>
      </w:r>
      <w:r>
        <w:rPr>
          <w:rFonts w:hint="eastAsia" w:ascii="宋体" w:hAnsi="宋体"/>
          <w:color w:val="auto"/>
          <w:sz w:val="24"/>
          <w:highlight w:val="none"/>
          <w:u w:val="single"/>
        </w:rPr>
        <w:t xml:space="preserve"> 国家相关标准、行业标准、地方标准或者其他标准规范</w:t>
      </w:r>
      <w:r>
        <w:rPr>
          <w:rFonts w:hint="eastAsia" w:ascii="宋体" w:hAnsi="宋体"/>
          <w:color w:val="auto"/>
          <w:sz w:val="24"/>
          <w:highlight w:val="none"/>
        </w:rPr>
        <w:t>；</w:t>
      </w:r>
    </w:p>
    <w:p w14:paraId="4D062E10">
      <w:pPr>
        <w:spacing w:line="560" w:lineRule="exact"/>
        <w:ind w:firstLine="480" w:firstLineChars="200"/>
        <w:jc w:val="left"/>
        <w:rPr>
          <w:rFonts w:ascii="宋体" w:hAnsi="宋体"/>
          <w:color w:val="auto"/>
          <w:sz w:val="24"/>
          <w:highlight w:val="none"/>
        </w:rPr>
      </w:pPr>
      <w:r>
        <w:rPr>
          <w:rFonts w:ascii="宋体" w:hAnsi="宋体"/>
          <w:color w:val="auto"/>
          <w:sz w:val="24"/>
          <w:highlight w:val="none"/>
        </w:rPr>
        <w:t xml:space="preserve">1.2.3 </w:t>
      </w:r>
      <w:r>
        <w:rPr>
          <w:rFonts w:hint="eastAsia" w:ascii="宋体" w:hAnsi="宋体"/>
          <w:color w:val="auto"/>
          <w:sz w:val="24"/>
          <w:highlight w:val="none"/>
        </w:rPr>
        <w:t>技术保障：</w:t>
      </w:r>
      <w:r>
        <w:rPr>
          <w:rFonts w:hint="eastAsia" w:ascii="宋体" w:hAnsi="宋体"/>
          <w:color w:val="auto"/>
          <w:sz w:val="24"/>
          <w:highlight w:val="none"/>
          <w:u w:val="single"/>
        </w:rPr>
        <w:t xml:space="preserve">        </w:t>
      </w:r>
      <w:r>
        <w:rPr>
          <w:rFonts w:hint="eastAsia" w:ascii="宋体" w:hAnsi="宋体"/>
          <w:color w:val="auto"/>
          <w:sz w:val="24"/>
          <w:highlight w:val="none"/>
        </w:rPr>
        <w:t>；</w:t>
      </w:r>
    </w:p>
    <w:p w14:paraId="4BD67E65">
      <w:pPr>
        <w:spacing w:line="560" w:lineRule="exact"/>
        <w:ind w:firstLine="480" w:firstLineChars="200"/>
        <w:jc w:val="left"/>
        <w:rPr>
          <w:rFonts w:ascii="宋体" w:hAnsi="宋体"/>
          <w:color w:val="auto"/>
          <w:sz w:val="24"/>
          <w:highlight w:val="none"/>
        </w:rPr>
      </w:pPr>
      <w:r>
        <w:rPr>
          <w:rFonts w:hint="eastAsia" w:ascii="宋体" w:hAnsi="宋体"/>
          <w:color w:val="auto"/>
          <w:sz w:val="24"/>
          <w:highlight w:val="none"/>
        </w:rPr>
        <w:t>1.2.4 服务人员组成：</w:t>
      </w:r>
      <w:r>
        <w:rPr>
          <w:rFonts w:ascii="宋体" w:hAnsi="宋体"/>
          <w:color w:val="auto"/>
          <w:sz w:val="24"/>
          <w:highlight w:val="none"/>
          <w:u w:val="single"/>
        </w:rPr>
        <w:t xml:space="preserve">　　             　      </w:t>
      </w:r>
      <w:r>
        <w:rPr>
          <w:rFonts w:hint="eastAsia" w:ascii="宋体" w:hAnsi="宋体"/>
          <w:color w:val="auto"/>
          <w:sz w:val="24"/>
          <w:highlight w:val="none"/>
        </w:rPr>
        <w:t>；</w:t>
      </w:r>
    </w:p>
    <w:p w14:paraId="4833472E">
      <w:pPr>
        <w:spacing w:line="560" w:lineRule="exact"/>
        <w:ind w:firstLine="482" w:firstLineChars="200"/>
        <w:rPr>
          <w:rFonts w:ascii="宋体" w:hAnsi="宋体"/>
          <w:b/>
          <w:color w:val="auto"/>
          <w:sz w:val="24"/>
          <w:highlight w:val="none"/>
        </w:rPr>
      </w:pPr>
      <w:bookmarkStart w:id="409" w:name="_Toc4929"/>
      <w:bookmarkStart w:id="410" w:name="_Toc13918"/>
      <w:bookmarkStart w:id="411" w:name="_Toc21124"/>
      <w:bookmarkStart w:id="412" w:name="_Toc5635"/>
      <w:bookmarkStart w:id="413" w:name="_Toc18121"/>
      <w:bookmarkStart w:id="414" w:name="_Toc1386"/>
      <w:r>
        <w:rPr>
          <w:rFonts w:ascii="宋体" w:hAnsi="宋体"/>
          <w:b/>
          <w:color w:val="auto"/>
          <w:sz w:val="24"/>
          <w:highlight w:val="none"/>
        </w:rPr>
        <w:t>1.3 价款</w:t>
      </w:r>
      <w:bookmarkEnd w:id="409"/>
      <w:bookmarkEnd w:id="410"/>
      <w:bookmarkEnd w:id="411"/>
      <w:bookmarkEnd w:id="412"/>
      <w:bookmarkEnd w:id="413"/>
      <w:bookmarkEnd w:id="414"/>
    </w:p>
    <w:p w14:paraId="376A9B73">
      <w:pPr>
        <w:spacing w:line="560" w:lineRule="exact"/>
        <w:ind w:firstLine="480" w:firstLineChars="200"/>
        <w:rPr>
          <w:rFonts w:ascii="宋体" w:hAnsi="宋体"/>
          <w:color w:val="auto"/>
          <w:sz w:val="24"/>
          <w:highlight w:val="none"/>
        </w:rPr>
      </w:pPr>
      <w:r>
        <w:rPr>
          <w:rFonts w:hint="eastAsia" w:ascii="宋体" w:hAnsi="宋体" w:cs="宋体"/>
          <w:color w:val="auto"/>
          <w:sz w:val="24"/>
          <w:highlight w:val="none"/>
        </w:rPr>
        <w:t>本项目采用以下第</w:t>
      </w:r>
      <w:r>
        <w:rPr>
          <w:rFonts w:hint="eastAsia" w:ascii="宋体" w:hAnsi="宋体" w:cs="宋体"/>
          <w:color w:val="auto"/>
          <w:sz w:val="24"/>
          <w:highlight w:val="none"/>
          <w:u w:val="single"/>
        </w:rPr>
        <w:t xml:space="preserve"> 1.3.1 </w:t>
      </w:r>
      <w:r>
        <w:rPr>
          <w:rFonts w:hint="eastAsia" w:ascii="宋体" w:hAnsi="宋体" w:cs="宋体"/>
          <w:color w:val="auto"/>
          <w:sz w:val="24"/>
          <w:highlight w:val="none"/>
        </w:rPr>
        <w:t>条款规定的计价方式计价。</w:t>
      </w:r>
    </w:p>
    <w:p w14:paraId="6269C590">
      <w:pPr>
        <w:spacing w:line="560" w:lineRule="exact"/>
        <w:ind w:firstLine="480" w:firstLineChars="200"/>
        <w:rPr>
          <w:rFonts w:ascii="宋体" w:hAnsi="宋体"/>
          <w:color w:val="auto"/>
          <w:sz w:val="24"/>
          <w:highlight w:val="none"/>
        </w:rPr>
      </w:pPr>
      <w:r>
        <w:rPr>
          <w:rFonts w:hint="eastAsia" w:ascii="宋体" w:hAnsi="宋体"/>
          <w:color w:val="auto"/>
          <w:sz w:val="24"/>
          <w:highlight w:val="none"/>
        </w:rPr>
        <w:t>1.3.1总价合同，</w:t>
      </w:r>
      <w:r>
        <w:rPr>
          <w:rFonts w:ascii="宋体" w:hAnsi="宋体"/>
          <w:color w:val="auto"/>
          <w:sz w:val="24"/>
          <w:highlight w:val="none"/>
        </w:rPr>
        <w:t>本合同总价</w:t>
      </w:r>
      <w:r>
        <w:rPr>
          <w:rFonts w:hint="eastAsia" w:ascii="宋体" w:hAnsi="宋体"/>
          <w:color w:val="auto"/>
          <w:sz w:val="24"/>
          <w:highlight w:val="none"/>
        </w:rPr>
        <w:t>（含税）</w:t>
      </w:r>
      <w:r>
        <w:rPr>
          <w:rFonts w:ascii="宋体" w:hAnsi="宋体"/>
          <w:color w:val="auto"/>
          <w:sz w:val="24"/>
          <w:highlight w:val="none"/>
        </w:rPr>
        <w:t>为</w:t>
      </w:r>
      <w:r>
        <w:rPr>
          <w:rFonts w:hint="eastAsia" w:ascii="宋体" w:hAnsi="宋体"/>
          <w:color w:val="auto"/>
          <w:sz w:val="24"/>
          <w:highlight w:val="none"/>
        </w:rPr>
        <w:t>：￥</w:t>
      </w:r>
      <w:r>
        <w:rPr>
          <w:rFonts w:ascii="宋体" w:hAnsi="宋体"/>
          <w:color w:val="auto"/>
          <w:sz w:val="24"/>
          <w:highlight w:val="none"/>
          <w:u w:val="single"/>
        </w:rPr>
        <w:t xml:space="preserve">           </w:t>
      </w:r>
      <w:r>
        <w:rPr>
          <w:rFonts w:ascii="宋体" w:hAnsi="宋体"/>
          <w:color w:val="auto"/>
          <w:sz w:val="24"/>
          <w:highlight w:val="none"/>
        </w:rPr>
        <w:t>元</w:t>
      </w:r>
      <w:r>
        <w:rPr>
          <w:rFonts w:hint="eastAsia" w:ascii="宋体" w:hAnsi="宋体"/>
          <w:color w:val="auto"/>
          <w:sz w:val="24"/>
          <w:highlight w:val="none"/>
        </w:rPr>
        <w:t>（大写：</w:t>
      </w:r>
      <w:r>
        <w:rPr>
          <w:rFonts w:ascii="宋体" w:hAnsi="宋体"/>
          <w:color w:val="auto"/>
          <w:sz w:val="24"/>
          <w:highlight w:val="none"/>
          <w:u w:val="single"/>
        </w:rPr>
        <w:t xml:space="preserve">                 </w:t>
      </w:r>
      <w:r>
        <w:rPr>
          <w:rFonts w:hint="eastAsia" w:ascii="宋体" w:hAnsi="宋体"/>
          <w:color w:val="auto"/>
          <w:sz w:val="24"/>
          <w:highlight w:val="none"/>
        </w:rPr>
        <w:t>元人民币）</w:t>
      </w:r>
      <w:r>
        <w:rPr>
          <w:rFonts w:ascii="宋体" w:hAnsi="宋体"/>
          <w:color w:val="auto"/>
          <w:sz w:val="24"/>
          <w:highlight w:val="none"/>
        </w:rPr>
        <w:t>。</w:t>
      </w:r>
    </w:p>
    <w:p w14:paraId="10C01541">
      <w:pPr>
        <w:spacing w:line="560" w:lineRule="exact"/>
        <w:ind w:firstLine="480" w:firstLineChars="200"/>
        <w:rPr>
          <w:rFonts w:ascii="宋体" w:hAnsi="宋体"/>
          <w:color w:val="auto"/>
          <w:sz w:val="24"/>
          <w:highlight w:val="none"/>
          <w:u w:val="single"/>
        </w:rPr>
      </w:pPr>
      <w:r>
        <w:rPr>
          <w:rFonts w:ascii="宋体" w:hAnsi="宋体"/>
          <w:color w:val="auto"/>
          <w:sz w:val="24"/>
          <w:highlight w:val="none"/>
        </w:rPr>
        <w:t>分项价格：</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B729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2358F8E">
            <w:pPr>
              <w:pStyle w:val="318"/>
              <w:spacing w:line="560" w:lineRule="exact"/>
              <w:jc w:val="center"/>
              <w:rPr>
                <w:rFonts w:hAnsi="宋体"/>
                <w:color w:val="auto"/>
                <w:sz w:val="24"/>
                <w:szCs w:val="24"/>
                <w:highlight w:val="none"/>
              </w:rPr>
            </w:pPr>
            <w:r>
              <w:rPr>
                <w:rFonts w:hAnsi="宋体"/>
                <w:color w:val="auto"/>
                <w:sz w:val="24"/>
                <w:szCs w:val="24"/>
                <w:highlight w:val="none"/>
              </w:rPr>
              <w:t>序号</w:t>
            </w:r>
          </w:p>
        </w:tc>
        <w:tc>
          <w:tcPr>
            <w:tcW w:w="3402" w:type="dxa"/>
            <w:vAlign w:val="center"/>
          </w:tcPr>
          <w:p w14:paraId="1D8DB9A8">
            <w:pPr>
              <w:pStyle w:val="318"/>
              <w:spacing w:line="560" w:lineRule="exact"/>
              <w:ind w:firstLine="200"/>
              <w:jc w:val="center"/>
              <w:rPr>
                <w:rFonts w:hAnsi="宋体"/>
                <w:color w:val="auto"/>
                <w:sz w:val="24"/>
                <w:szCs w:val="24"/>
                <w:highlight w:val="none"/>
              </w:rPr>
            </w:pPr>
            <w:r>
              <w:rPr>
                <w:rFonts w:hint="eastAsia" w:hAnsi="宋体"/>
                <w:color w:val="auto"/>
                <w:sz w:val="24"/>
                <w:szCs w:val="24"/>
                <w:highlight w:val="none"/>
              </w:rPr>
              <w:t>分项名称</w:t>
            </w:r>
          </w:p>
        </w:tc>
        <w:tc>
          <w:tcPr>
            <w:tcW w:w="2552" w:type="dxa"/>
            <w:vAlign w:val="center"/>
          </w:tcPr>
          <w:p w14:paraId="4E436CD9">
            <w:pPr>
              <w:pStyle w:val="318"/>
              <w:spacing w:line="560" w:lineRule="exact"/>
              <w:jc w:val="center"/>
              <w:rPr>
                <w:rFonts w:hAnsi="宋体"/>
                <w:color w:val="auto"/>
                <w:sz w:val="24"/>
                <w:szCs w:val="24"/>
                <w:highlight w:val="none"/>
              </w:rPr>
            </w:pPr>
            <w:r>
              <w:rPr>
                <w:rFonts w:hAnsi="宋体"/>
                <w:color w:val="auto"/>
                <w:sz w:val="24"/>
                <w:szCs w:val="24"/>
                <w:highlight w:val="none"/>
              </w:rPr>
              <w:t>分项价格</w:t>
            </w:r>
          </w:p>
        </w:tc>
      </w:tr>
      <w:tr w14:paraId="14827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24588B8">
            <w:pPr>
              <w:pStyle w:val="318"/>
              <w:spacing w:line="560" w:lineRule="exact"/>
              <w:ind w:firstLine="200"/>
              <w:jc w:val="center"/>
              <w:rPr>
                <w:rFonts w:hAnsi="宋体"/>
                <w:color w:val="auto"/>
                <w:sz w:val="24"/>
                <w:szCs w:val="24"/>
                <w:highlight w:val="none"/>
              </w:rPr>
            </w:pPr>
          </w:p>
        </w:tc>
        <w:tc>
          <w:tcPr>
            <w:tcW w:w="3402" w:type="dxa"/>
            <w:vAlign w:val="center"/>
          </w:tcPr>
          <w:p w14:paraId="76B2DB6B">
            <w:pPr>
              <w:pStyle w:val="318"/>
              <w:spacing w:line="560" w:lineRule="exact"/>
              <w:ind w:firstLine="200"/>
              <w:jc w:val="center"/>
              <w:rPr>
                <w:rFonts w:hAnsi="宋体"/>
                <w:color w:val="auto"/>
                <w:sz w:val="24"/>
                <w:szCs w:val="24"/>
                <w:highlight w:val="none"/>
              </w:rPr>
            </w:pPr>
          </w:p>
        </w:tc>
        <w:tc>
          <w:tcPr>
            <w:tcW w:w="2552" w:type="dxa"/>
            <w:vAlign w:val="center"/>
          </w:tcPr>
          <w:p w14:paraId="66A51C61">
            <w:pPr>
              <w:pStyle w:val="318"/>
              <w:spacing w:line="560" w:lineRule="exact"/>
              <w:ind w:firstLine="200"/>
              <w:jc w:val="center"/>
              <w:rPr>
                <w:rFonts w:hAnsi="宋体"/>
                <w:color w:val="auto"/>
                <w:sz w:val="24"/>
                <w:szCs w:val="24"/>
                <w:highlight w:val="none"/>
              </w:rPr>
            </w:pPr>
          </w:p>
        </w:tc>
      </w:tr>
      <w:tr w14:paraId="0C6C8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F3A043B">
            <w:pPr>
              <w:pStyle w:val="318"/>
              <w:spacing w:line="560" w:lineRule="exact"/>
              <w:ind w:firstLine="200"/>
              <w:jc w:val="center"/>
              <w:rPr>
                <w:rFonts w:hAnsi="宋体"/>
                <w:color w:val="auto"/>
                <w:sz w:val="24"/>
                <w:szCs w:val="24"/>
                <w:highlight w:val="none"/>
              </w:rPr>
            </w:pPr>
          </w:p>
        </w:tc>
        <w:tc>
          <w:tcPr>
            <w:tcW w:w="3402" w:type="dxa"/>
            <w:vAlign w:val="center"/>
          </w:tcPr>
          <w:p w14:paraId="337DEE49">
            <w:pPr>
              <w:pStyle w:val="318"/>
              <w:spacing w:line="560" w:lineRule="exact"/>
              <w:ind w:firstLine="200"/>
              <w:jc w:val="center"/>
              <w:rPr>
                <w:rFonts w:hAnsi="宋体"/>
                <w:color w:val="auto"/>
                <w:sz w:val="24"/>
                <w:szCs w:val="24"/>
                <w:highlight w:val="none"/>
              </w:rPr>
            </w:pPr>
          </w:p>
        </w:tc>
        <w:tc>
          <w:tcPr>
            <w:tcW w:w="2552" w:type="dxa"/>
            <w:vAlign w:val="center"/>
          </w:tcPr>
          <w:p w14:paraId="71175D3B">
            <w:pPr>
              <w:pStyle w:val="318"/>
              <w:spacing w:line="560" w:lineRule="exact"/>
              <w:ind w:firstLine="200"/>
              <w:jc w:val="center"/>
              <w:rPr>
                <w:rFonts w:hAnsi="宋体"/>
                <w:color w:val="auto"/>
                <w:sz w:val="24"/>
                <w:szCs w:val="24"/>
                <w:highlight w:val="none"/>
              </w:rPr>
            </w:pPr>
          </w:p>
        </w:tc>
      </w:tr>
      <w:tr w14:paraId="33E90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388A9F9">
            <w:pPr>
              <w:pStyle w:val="318"/>
              <w:spacing w:line="560" w:lineRule="exact"/>
              <w:ind w:firstLine="200"/>
              <w:jc w:val="center"/>
              <w:rPr>
                <w:rFonts w:hAnsi="宋体"/>
                <w:color w:val="auto"/>
                <w:sz w:val="24"/>
                <w:szCs w:val="24"/>
                <w:highlight w:val="none"/>
              </w:rPr>
            </w:pPr>
          </w:p>
        </w:tc>
        <w:tc>
          <w:tcPr>
            <w:tcW w:w="3402" w:type="dxa"/>
            <w:vAlign w:val="center"/>
          </w:tcPr>
          <w:p w14:paraId="0161B857">
            <w:pPr>
              <w:pStyle w:val="318"/>
              <w:spacing w:line="560" w:lineRule="exact"/>
              <w:ind w:firstLine="200"/>
              <w:jc w:val="center"/>
              <w:rPr>
                <w:rFonts w:hAnsi="宋体"/>
                <w:color w:val="auto"/>
                <w:sz w:val="24"/>
                <w:szCs w:val="24"/>
                <w:highlight w:val="none"/>
              </w:rPr>
            </w:pPr>
          </w:p>
        </w:tc>
        <w:tc>
          <w:tcPr>
            <w:tcW w:w="2552" w:type="dxa"/>
            <w:vAlign w:val="center"/>
          </w:tcPr>
          <w:p w14:paraId="64B9E3BF">
            <w:pPr>
              <w:pStyle w:val="318"/>
              <w:spacing w:line="560" w:lineRule="exact"/>
              <w:ind w:firstLine="200"/>
              <w:jc w:val="center"/>
              <w:rPr>
                <w:rFonts w:hAnsi="宋体"/>
                <w:color w:val="auto"/>
                <w:sz w:val="24"/>
                <w:szCs w:val="24"/>
                <w:highlight w:val="none"/>
              </w:rPr>
            </w:pPr>
          </w:p>
        </w:tc>
      </w:tr>
      <w:tr w14:paraId="63483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C1C36DA">
            <w:pPr>
              <w:pStyle w:val="318"/>
              <w:spacing w:line="560" w:lineRule="exact"/>
              <w:ind w:firstLine="200"/>
              <w:jc w:val="center"/>
              <w:rPr>
                <w:rFonts w:hAnsi="宋体"/>
                <w:color w:val="auto"/>
                <w:sz w:val="24"/>
                <w:szCs w:val="24"/>
                <w:highlight w:val="none"/>
              </w:rPr>
            </w:pPr>
          </w:p>
        </w:tc>
        <w:tc>
          <w:tcPr>
            <w:tcW w:w="3402" w:type="dxa"/>
            <w:vAlign w:val="center"/>
          </w:tcPr>
          <w:p w14:paraId="2DF345E7">
            <w:pPr>
              <w:pStyle w:val="318"/>
              <w:spacing w:line="560" w:lineRule="exact"/>
              <w:ind w:firstLine="200"/>
              <w:jc w:val="center"/>
              <w:rPr>
                <w:rFonts w:hAnsi="宋体"/>
                <w:color w:val="auto"/>
                <w:sz w:val="24"/>
                <w:szCs w:val="24"/>
                <w:highlight w:val="none"/>
              </w:rPr>
            </w:pPr>
          </w:p>
        </w:tc>
        <w:tc>
          <w:tcPr>
            <w:tcW w:w="2552" w:type="dxa"/>
            <w:vAlign w:val="center"/>
          </w:tcPr>
          <w:p w14:paraId="49DCBEF0">
            <w:pPr>
              <w:pStyle w:val="318"/>
              <w:spacing w:line="560" w:lineRule="exact"/>
              <w:ind w:firstLine="200"/>
              <w:jc w:val="center"/>
              <w:rPr>
                <w:rFonts w:hAnsi="宋体"/>
                <w:color w:val="auto"/>
                <w:sz w:val="24"/>
                <w:szCs w:val="24"/>
                <w:highlight w:val="none"/>
              </w:rPr>
            </w:pPr>
          </w:p>
        </w:tc>
      </w:tr>
      <w:tr w14:paraId="191A8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06A81388">
            <w:pPr>
              <w:pStyle w:val="318"/>
              <w:spacing w:line="560" w:lineRule="exact"/>
              <w:ind w:firstLine="200"/>
              <w:jc w:val="center"/>
              <w:rPr>
                <w:rFonts w:hAnsi="宋体"/>
                <w:color w:val="auto"/>
                <w:sz w:val="24"/>
                <w:szCs w:val="24"/>
                <w:highlight w:val="none"/>
              </w:rPr>
            </w:pPr>
            <w:r>
              <w:rPr>
                <w:rFonts w:hint="eastAsia" w:hAnsi="宋体"/>
                <w:color w:val="auto"/>
                <w:sz w:val="24"/>
                <w:szCs w:val="24"/>
                <w:highlight w:val="none"/>
              </w:rPr>
              <w:t>总价</w:t>
            </w:r>
          </w:p>
        </w:tc>
        <w:tc>
          <w:tcPr>
            <w:tcW w:w="2552" w:type="dxa"/>
            <w:vAlign w:val="center"/>
          </w:tcPr>
          <w:p w14:paraId="3367B164">
            <w:pPr>
              <w:pStyle w:val="318"/>
              <w:spacing w:line="560" w:lineRule="exact"/>
              <w:ind w:firstLine="200"/>
              <w:jc w:val="center"/>
              <w:rPr>
                <w:rFonts w:hAnsi="宋体"/>
                <w:color w:val="auto"/>
                <w:sz w:val="24"/>
                <w:szCs w:val="24"/>
                <w:highlight w:val="none"/>
              </w:rPr>
            </w:pPr>
          </w:p>
        </w:tc>
      </w:tr>
    </w:tbl>
    <w:p w14:paraId="7A7CBF12">
      <w:pPr>
        <w:spacing w:line="560" w:lineRule="exact"/>
        <w:ind w:firstLine="480" w:firstLineChars="200"/>
        <w:rPr>
          <w:rFonts w:ascii="宋体" w:hAnsi="宋体"/>
          <w:bCs/>
          <w:color w:val="auto"/>
          <w:sz w:val="24"/>
          <w:highlight w:val="none"/>
        </w:rPr>
      </w:pPr>
      <w:bookmarkStart w:id="415" w:name="_Toc26916"/>
      <w:bookmarkStart w:id="416" w:name="_Toc30158"/>
      <w:bookmarkStart w:id="417" w:name="_Toc3654"/>
      <w:bookmarkStart w:id="418" w:name="_Toc30506"/>
      <w:bookmarkStart w:id="419" w:name="_Toc14993"/>
      <w:r>
        <w:rPr>
          <w:rFonts w:hint="eastAsia" w:ascii="宋体" w:hAnsi="宋体"/>
          <w:bCs/>
          <w:color w:val="auto"/>
          <w:sz w:val="24"/>
          <w:highlight w:val="none"/>
        </w:rPr>
        <w:t>1.3.2单价合同，本合同单价（含税）标准为：</w:t>
      </w:r>
      <w:r>
        <w:rPr>
          <w:rFonts w:hint="eastAsia" w:ascii="宋体" w:hAnsi="宋体"/>
          <w:bCs/>
          <w:color w:val="auto"/>
          <w:sz w:val="24"/>
          <w:highlight w:val="none"/>
          <w:u w:val="single"/>
        </w:rPr>
        <w:t xml:space="preserve">           </w:t>
      </w:r>
      <w:r>
        <w:rPr>
          <w:rFonts w:ascii="宋体" w:hAnsi="宋体"/>
          <w:color w:val="auto"/>
          <w:sz w:val="24"/>
          <w:highlight w:val="none"/>
        </w:rPr>
        <w:t>。</w:t>
      </w:r>
      <w:r>
        <w:rPr>
          <w:rFonts w:hint="eastAsia" w:ascii="宋体" w:hAnsi="宋体"/>
          <w:color w:val="auto"/>
          <w:sz w:val="24"/>
          <w:highlight w:val="none"/>
        </w:rPr>
        <w:t>服务工作量的计量方式为：</w:t>
      </w:r>
      <w:r>
        <w:rPr>
          <w:rFonts w:hint="eastAsia" w:ascii="宋体" w:hAnsi="宋体"/>
          <w:bCs/>
          <w:color w:val="auto"/>
          <w:sz w:val="24"/>
          <w:highlight w:val="none"/>
          <w:u w:val="single"/>
        </w:rPr>
        <w:t xml:space="preserve">  </w:t>
      </w:r>
      <w:r>
        <w:rPr>
          <w:rFonts w:hint="eastAsia" w:ascii="宋体" w:hAnsi="宋体" w:cs="宋体"/>
          <w:b/>
          <w:i/>
          <w:color w:val="auto"/>
          <w:sz w:val="24"/>
          <w:highlight w:val="none"/>
          <w:u w:val="single"/>
        </w:rPr>
        <w:t>合同专用条款</w:t>
      </w:r>
      <w:r>
        <w:rPr>
          <w:rFonts w:hint="eastAsia" w:ascii="宋体" w:hAnsi="宋体"/>
          <w:bCs/>
          <w:color w:val="auto"/>
          <w:sz w:val="24"/>
          <w:highlight w:val="none"/>
          <w:u w:val="single"/>
        </w:rPr>
        <w:t xml:space="preserve">     </w:t>
      </w:r>
      <w:r>
        <w:rPr>
          <w:rFonts w:ascii="宋体" w:hAnsi="宋体"/>
          <w:color w:val="auto"/>
          <w:sz w:val="24"/>
          <w:highlight w:val="none"/>
        </w:rPr>
        <w:t>。</w:t>
      </w:r>
      <w:r>
        <w:rPr>
          <w:rFonts w:hint="eastAsia" w:ascii="宋体" w:hAnsi="宋体"/>
          <w:color w:val="auto"/>
          <w:sz w:val="24"/>
          <w:highlight w:val="none"/>
        </w:rPr>
        <w:t>单价合同，在合同履行期间内，根据实际人数据实结算，但结算总价上限不得超过预算金额或者双方确定的金额￥</w:t>
      </w:r>
      <w:r>
        <w:rPr>
          <w:rFonts w:ascii="宋体" w:hAnsi="宋体"/>
          <w:color w:val="auto"/>
          <w:sz w:val="24"/>
          <w:highlight w:val="none"/>
          <w:u w:val="single"/>
        </w:rPr>
        <w:t xml:space="preserve">           </w:t>
      </w:r>
      <w:r>
        <w:rPr>
          <w:rFonts w:ascii="宋体" w:hAnsi="宋体"/>
          <w:color w:val="auto"/>
          <w:sz w:val="24"/>
          <w:highlight w:val="none"/>
        </w:rPr>
        <w:t>元</w:t>
      </w:r>
      <w:r>
        <w:rPr>
          <w:rFonts w:hint="eastAsia" w:ascii="宋体" w:hAnsi="宋体"/>
          <w:color w:val="auto"/>
          <w:sz w:val="24"/>
          <w:highlight w:val="none"/>
        </w:rPr>
        <w:t>（大写：</w:t>
      </w:r>
      <w:r>
        <w:rPr>
          <w:rFonts w:ascii="宋体" w:hAnsi="宋体"/>
          <w:color w:val="auto"/>
          <w:sz w:val="24"/>
          <w:highlight w:val="none"/>
          <w:u w:val="single"/>
        </w:rPr>
        <w:t xml:space="preserve">                 </w:t>
      </w:r>
      <w:r>
        <w:rPr>
          <w:rFonts w:hint="eastAsia" w:ascii="宋体" w:hAnsi="宋体"/>
          <w:color w:val="auto"/>
          <w:sz w:val="24"/>
          <w:highlight w:val="none"/>
        </w:rPr>
        <w:t>元人民币）。</w:t>
      </w:r>
    </w:p>
    <w:p w14:paraId="2BE91D98">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1.3.3其他计价方式：</w:t>
      </w:r>
    </w:p>
    <w:bookmarkEnd w:id="415"/>
    <w:bookmarkEnd w:id="416"/>
    <w:bookmarkEnd w:id="417"/>
    <w:bookmarkEnd w:id="418"/>
    <w:bookmarkEnd w:id="419"/>
    <w:p w14:paraId="7D573FD0">
      <w:pPr>
        <w:spacing w:line="560" w:lineRule="exact"/>
        <w:ind w:firstLine="482" w:firstLineChars="200"/>
        <w:rPr>
          <w:rFonts w:ascii="宋体" w:hAnsi="宋体"/>
          <w:b/>
          <w:color w:val="auto"/>
          <w:sz w:val="24"/>
          <w:highlight w:val="none"/>
        </w:rPr>
      </w:pPr>
      <w:bookmarkStart w:id="420" w:name="_Toc6238"/>
      <w:bookmarkStart w:id="421" w:name="_Toc10340"/>
      <w:bookmarkStart w:id="422" w:name="_Toc22618"/>
      <w:bookmarkStart w:id="423" w:name="_Toc1814"/>
      <w:bookmarkStart w:id="424" w:name="_Toc11108"/>
      <w:bookmarkStart w:id="425" w:name="_Toc31421"/>
      <w:bookmarkStart w:id="426" w:name="_Toc3625"/>
      <w:bookmarkStart w:id="427" w:name="_Toc4760"/>
      <w:bookmarkStart w:id="428" w:name="_Toc8772"/>
      <w:r>
        <w:rPr>
          <w:rFonts w:hint="eastAsia" w:ascii="宋体" w:hAnsi="宋体"/>
          <w:b/>
          <w:color w:val="auto"/>
          <w:sz w:val="24"/>
          <w:highlight w:val="none"/>
        </w:rPr>
        <w:t>1.4履约保证金</w:t>
      </w:r>
      <w:bookmarkEnd w:id="420"/>
    </w:p>
    <w:p w14:paraId="6430B118">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乙方</w:t>
      </w:r>
      <w:r>
        <w:rPr>
          <w:rFonts w:hint="eastAsia" w:ascii="宋体" w:hAnsi="宋体" w:cs="宋体"/>
          <w:color w:val="auto"/>
          <w:sz w:val="24"/>
          <w:highlight w:val="none"/>
          <w:u w:val="single"/>
        </w:rPr>
        <w:t xml:space="preserve"> 否 </w:t>
      </w:r>
      <w:r>
        <w:rPr>
          <w:rFonts w:hint="eastAsia" w:ascii="宋体" w:hAnsi="宋体" w:cs="宋体"/>
          <w:color w:val="auto"/>
          <w:sz w:val="24"/>
          <w:highlight w:val="none"/>
        </w:rPr>
        <w:t>需要支付履约保证金。若需要支付履约保证金的，则：</w:t>
      </w:r>
    </w:p>
    <w:p w14:paraId="47017B22">
      <w:pPr>
        <w:spacing w:line="560" w:lineRule="exact"/>
        <w:ind w:firstLine="480" w:firstLineChars="200"/>
        <w:rPr>
          <w:rFonts w:ascii="宋体" w:hAnsi="宋体" w:cs="宋体"/>
          <w:color w:val="auto"/>
          <w:kern w:val="0"/>
          <w:sz w:val="24"/>
          <w:highlight w:val="none"/>
        </w:rPr>
      </w:pPr>
      <w:bookmarkStart w:id="429" w:name="_Toc4478"/>
      <w:r>
        <w:rPr>
          <w:rFonts w:hint="eastAsia" w:ascii="宋体" w:hAnsi="宋体" w:cs="宋体"/>
          <w:color w:val="auto"/>
          <w:kern w:val="0"/>
          <w:sz w:val="24"/>
          <w:highlight w:val="none"/>
        </w:rPr>
        <w:t>1.4.1履约保证金的比例为合同金额的</w:t>
      </w:r>
      <w:r>
        <w:rPr>
          <w:rFonts w:hint="eastAsia" w:ascii="宋体" w:hAnsi="宋体" w:cs="宋体"/>
          <w:color w:val="auto"/>
          <w:kern w:val="0"/>
          <w:sz w:val="24"/>
          <w:highlight w:val="none"/>
          <w:u w:val="single"/>
        </w:rPr>
        <w:t xml:space="preserve"> / </w:t>
      </w:r>
      <w:r>
        <w:rPr>
          <w:rFonts w:hint="eastAsia" w:ascii="宋体" w:hAnsi="宋体" w:cs="宋体"/>
          <w:color w:val="auto"/>
          <w:kern w:val="0"/>
          <w:sz w:val="24"/>
          <w:highlight w:val="none"/>
        </w:rPr>
        <w:t>%；</w:t>
      </w:r>
      <w:bookmarkEnd w:id="429"/>
    </w:p>
    <w:p w14:paraId="1F89A9D2">
      <w:pPr>
        <w:spacing w:line="560" w:lineRule="exact"/>
        <w:ind w:firstLine="480" w:firstLineChars="200"/>
        <w:rPr>
          <w:rFonts w:ascii="宋体" w:hAnsi="宋体" w:cs="宋体"/>
          <w:color w:val="auto"/>
          <w:kern w:val="0"/>
          <w:sz w:val="24"/>
          <w:highlight w:val="none"/>
        </w:rPr>
      </w:pPr>
      <w:bookmarkStart w:id="430" w:name="_Toc16305"/>
      <w:r>
        <w:rPr>
          <w:rFonts w:hint="eastAsia" w:ascii="宋体" w:hAnsi="宋体" w:cs="宋体"/>
          <w:color w:val="auto"/>
          <w:kern w:val="0"/>
          <w:sz w:val="24"/>
          <w:highlight w:val="none"/>
        </w:rPr>
        <w:t>1.4.2履约保证金支付方式详见</w:t>
      </w:r>
      <w:r>
        <w:rPr>
          <w:rFonts w:hint="eastAsia" w:ascii="宋体" w:hAnsi="宋体" w:cs="宋体"/>
          <w:color w:val="auto"/>
          <w:kern w:val="0"/>
          <w:sz w:val="24"/>
          <w:highlight w:val="none"/>
          <w:u w:val="single"/>
        </w:rPr>
        <w:t xml:space="preserve">    </w:t>
      </w:r>
      <w:r>
        <w:rPr>
          <w:rFonts w:hint="eastAsia" w:ascii="宋体" w:hAnsi="宋体" w:cs="宋体"/>
          <w:b/>
          <w:i/>
          <w:color w:val="auto"/>
          <w:sz w:val="24"/>
          <w:highlight w:val="none"/>
          <w:u w:val="single"/>
        </w:rPr>
        <w:t>合同专用条款</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bookmarkEnd w:id="430"/>
    </w:p>
    <w:p w14:paraId="23FFF008">
      <w:pPr>
        <w:tabs>
          <w:tab w:val="left" w:pos="0"/>
          <w:tab w:val="left" w:pos="432"/>
        </w:tabs>
        <w:spacing w:line="560" w:lineRule="exact"/>
        <w:ind w:firstLine="480" w:firstLineChars="200"/>
        <w:rPr>
          <w:color w:val="auto"/>
          <w:highlight w:val="none"/>
        </w:rPr>
      </w:pPr>
      <w:r>
        <w:rPr>
          <w:rFonts w:hint="eastAsia" w:ascii="宋体" w:hAnsi="宋体" w:cs="宋体"/>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8500465">
      <w:pPr>
        <w:spacing w:line="560" w:lineRule="exact"/>
        <w:ind w:firstLine="480" w:firstLineChars="200"/>
        <w:rPr>
          <w:rFonts w:ascii="宋体" w:hAnsi="宋体" w:cs="宋体"/>
          <w:color w:val="auto"/>
          <w:kern w:val="0"/>
          <w:sz w:val="24"/>
          <w:highlight w:val="none"/>
        </w:rPr>
      </w:pPr>
      <w:bookmarkStart w:id="431" w:name="_Toc32465"/>
      <w:r>
        <w:rPr>
          <w:rFonts w:hint="eastAsia" w:ascii="宋体" w:hAnsi="宋体" w:cs="宋体"/>
          <w:color w:val="auto"/>
          <w:kern w:val="0"/>
          <w:sz w:val="24"/>
          <w:highlight w:val="none"/>
        </w:rPr>
        <w:t>1.4.4</w:t>
      </w:r>
      <w:r>
        <w:rPr>
          <w:rFonts w:hint="eastAsia" w:ascii="宋体" w:hAnsi="宋体" w:cs="宋体"/>
          <w:color w:val="auto"/>
          <w:sz w:val="24"/>
          <w:highlight w:val="none"/>
        </w:rPr>
        <w:t>履约保证金在定点采购合同期满后无息退还（但如乙方未能履行合同规定的任何义务，甲方有权从履约保证金中得到补偿）</w:t>
      </w:r>
      <w:r>
        <w:rPr>
          <w:rFonts w:hint="eastAsia" w:ascii="宋体" w:hAnsi="宋体" w:cs="宋体"/>
          <w:color w:val="auto"/>
          <w:kern w:val="0"/>
          <w:sz w:val="24"/>
          <w:highlight w:val="none"/>
        </w:rPr>
        <w:t>。</w:t>
      </w:r>
      <w:bookmarkEnd w:id="431"/>
    </w:p>
    <w:p w14:paraId="0224BD8C">
      <w:pPr>
        <w:spacing w:line="560" w:lineRule="exact"/>
        <w:ind w:firstLine="482" w:firstLineChars="200"/>
        <w:rPr>
          <w:rFonts w:ascii="宋体" w:hAnsi="宋体" w:cs="宋体"/>
          <w:b/>
          <w:color w:val="auto"/>
          <w:sz w:val="24"/>
          <w:highlight w:val="none"/>
        </w:rPr>
      </w:pPr>
      <w:bookmarkStart w:id="432" w:name="_Toc24825"/>
      <w:r>
        <w:rPr>
          <w:rFonts w:hint="eastAsia" w:ascii="宋体" w:hAnsi="宋体" w:cs="宋体"/>
          <w:b/>
          <w:color w:val="auto"/>
          <w:sz w:val="24"/>
          <w:highlight w:val="none"/>
        </w:rPr>
        <w:t>1.5</w:t>
      </w:r>
      <w:bookmarkEnd w:id="421"/>
      <w:bookmarkEnd w:id="422"/>
      <w:bookmarkEnd w:id="423"/>
      <w:r>
        <w:rPr>
          <w:rFonts w:hint="eastAsia" w:ascii="宋体" w:hAnsi="宋体" w:cs="宋体"/>
          <w:b/>
          <w:color w:val="auto"/>
          <w:sz w:val="24"/>
          <w:highlight w:val="none"/>
        </w:rPr>
        <w:t>预付款</w:t>
      </w:r>
      <w:bookmarkEnd w:id="432"/>
    </w:p>
    <w:p w14:paraId="17E0CC29">
      <w:pPr>
        <w:pStyle w:val="958"/>
        <w:spacing w:before="0" w:beforeAutospacing="0" w:after="0" w:afterAutospacing="0" w:line="360" w:lineRule="auto"/>
        <w:ind w:firstLine="480"/>
        <w:rPr>
          <w:color w:val="auto"/>
          <w:highlight w:val="none"/>
        </w:rPr>
      </w:pPr>
      <w:r>
        <w:rPr>
          <w:rFonts w:hint="eastAsia"/>
          <w:color w:val="auto"/>
          <w:highlight w:val="none"/>
        </w:rPr>
        <w:t>甲方</w:t>
      </w:r>
      <w:r>
        <w:rPr>
          <w:rFonts w:hint="eastAsia"/>
          <w:color w:val="auto"/>
          <w:highlight w:val="none"/>
          <w:u w:val="single"/>
        </w:rPr>
        <w:t xml:space="preserve"> 是 </w:t>
      </w:r>
      <w:r>
        <w:rPr>
          <w:rFonts w:hint="eastAsia"/>
          <w:color w:val="auto"/>
          <w:highlight w:val="none"/>
        </w:rPr>
        <w:t>需要支付预付款。若需要支付预付款的，则：</w:t>
      </w:r>
    </w:p>
    <w:p w14:paraId="73519A0C">
      <w:pPr>
        <w:pStyle w:val="958"/>
        <w:spacing w:before="0" w:beforeAutospacing="0" w:after="0" w:afterAutospacing="0" w:line="360" w:lineRule="auto"/>
        <w:ind w:firstLine="480"/>
        <w:rPr>
          <w:color w:val="auto"/>
          <w:highlight w:val="none"/>
        </w:rPr>
      </w:pPr>
      <w:r>
        <w:rPr>
          <w:rFonts w:hint="eastAsia"/>
          <w:color w:val="auto"/>
          <w:highlight w:val="none"/>
        </w:rPr>
        <w:t>1.5.1预付款比例、支付方式、时间详见</w:t>
      </w:r>
      <w:r>
        <w:rPr>
          <w:rFonts w:hint="eastAsia"/>
          <w:color w:val="auto"/>
          <w:highlight w:val="none"/>
          <w:u w:val="single"/>
        </w:rPr>
        <w:t xml:space="preserve">    </w:t>
      </w:r>
      <w:r>
        <w:rPr>
          <w:rFonts w:hint="eastAsia"/>
          <w:b/>
          <w:i/>
          <w:color w:val="auto"/>
          <w:highlight w:val="none"/>
          <w:u w:val="single"/>
        </w:rPr>
        <w:t>合同专用条款</w:t>
      </w:r>
      <w:r>
        <w:rPr>
          <w:rFonts w:hint="eastAsia"/>
          <w:color w:val="auto"/>
          <w:highlight w:val="none"/>
          <w:u w:val="single"/>
        </w:rPr>
        <w:t xml:space="preserve">           </w:t>
      </w:r>
      <w:r>
        <w:rPr>
          <w:rFonts w:hint="eastAsia"/>
          <w:color w:val="auto"/>
          <w:highlight w:val="none"/>
        </w:rPr>
        <w:t>；</w:t>
      </w:r>
    </w:p>
    <w:p w14:paraId="23904A2F">
      <w:pPr>
        <w:pStyle w:val="958"/>
        <w:spacing w:before="0" w:beforeAutospacing="0" w:after="0" w:afterAutospacing="0" w:line="360" w:lineRule="auto"/>
        <w:ind w:firstLine="480"/>
        <w:rPr>
          <w:color w:val="auto"/>
          <w:highlight w:val="none"/>
        </w:rPr>
      </w:pPr>
      <w:r>
        <w:rPr>
          <w:rFonts w:hint="eastAsia"/>
          <w:color w:val="auto"/>
          <w:highlight w:val="none"/>
        </w:rPr>
        <w:t>1.5.2预付款的扣回方式详见</w:t>
      </w:r>
      <w:r>
        <w:rPr>
          <w:rFonts w:hint="eastAsia"/>
          <w:color w:val="auto"/>
          <w:highlight w:val="none"/>
          <w:u w:val="single"/>
        </w:rPr>
        <w:t xml:space="preserve">    </w:t>
      </w:r>
      <w:r>
        <w:rPr>
          <w:rFonts w:hint="eastAsia"/>
          <w:b/>
          <w:i/>
          <w:color w:val="auto"/>
          <w:highlight w:val="none"/>
          <w:u w:val="single"/>
        </w:rPr>
        <w:t>合同专用条款</w:t>
      </w:r>
      <w:r>
        <w:rPr>
          <w:rFonts w:hint="eastAsia"/>
          <w:color w:val="auto"/>
          <w:highlight w:val="none"/>
          <w:u w:val="single"/>
        </w:rPr>
        <w:t xml:space="preserve">           </w:t>
      </w:r>
      <w:r>
        <w:rPr>
          <w:rFonts w:hint="eastAsia"/>
          <w:color w:val="auto"/>
          <w:highlight w:val="none"/>
        </w:rPr>
        <w:t>；</w:t>
      </w:r>
    </w:p>
    <w:p w14:paraId="24E961C5">
      <w:pPr>
        <w:pStyle w:val="958"/>
        <w:spacing w:before="0" w:beforeAutospacing="0" w:after="0" w:afterAutospacing="0" w:line="360" w:lineRule="auto"/>
        <w:ind w:firstLine="480"/>
        <w:rPr>
          <w:color w:val="auto"/>
          <w:highlight w:val="none"/>
          <w:u w:val="single"/>
        </w:rPr>
      </w:pPr>
      <w:r>
        <w:rPr>
          <w:rFonts w:hint="eastAsia"/>
          <w:color w:val="auto"/>
          <w:highlight w:val="none"/>
        </w:rPr>
        <w:t>1.5.3预付款的担保措施详见</w:t>
      </w:r>
      <w:r>
        <w:rPr>
          <w:rFonts w:hint="eastAsia"/>
          <w:color w:val="auto"/>
          <w:highlight w:val="none"/>
          <w:u w:val="single"/>
        </w:rPr>
        <w:t xml:space="preserve">    </w:t>
      </w:r>
      <w:r>
        <w:rPr>
          <w:rFonts w:hint="eastAsia"/>
          <w:b/>
          <w:i/>
          <w:color w:val="auto"/>
          <w:highlight w:val="none"/>
          <w:u w:val="single"/>
        </w:rPr>
        <w:t>合同专用条款</w:t>
      </w:r>
      <w:r>
        <w:rPr>
          <w:rFonts w:hint="eastAsia"/>
          <w:color w:val="auto"/>
          <w:highlight w:val="none"/>
          <w:u w:val="single"/>
        </w:rPr>
        <w:t xml:space="preserve">          </w:t>
      </w:r>
      <w:r>
        <w:rPr>
          <w:rFonts w:hint="eastAsia"/>
          <w:color w:val="auto"/>
          <w:highlight w:val="none"/>
        </w:rPr>
        <w:t>。</w:t>
      </w:r>
    </w:p>
    <w:p w14:paraId="1B41566B">
      <w:pPr>
        <w:pStyle w:val="958"/>
        <w:spacing w:before="0" w:beforeAutospacing="0" w:after="0" w:afterAutospacing="0" w:line="360" w:lineRule="auto"/>
        <w:ind w:firstLine="480"/>
        <w:rPr>
          <w:b/>
          <w:bCs/>
          <w:color w:val="auto"/>
          <w:highlight w:val="none"/>
        </w:rPr>
      </w:pPr>
      <w:r>
        <w:rPr>
          <w:rFonts w:hint="eastAsia"/>
          <w:b/>
          <w:bCs/>
          <w:color w:val="auto"/>
          <w:highlight w:val="none"/>
        </w:rPr>
        <w:t>1.6资金支付</w:t>
      </w:r>
    </w:p>
    <w:p w14:paraId="4D62848B">
      <w:pPr>
        <w:pStyle w:val="958"/>
        <w:spacing w:before="0" w:beforeAutospacing="0" w:after="0" w:afterAutospacing="0" w:line="360" w:lineRule="auto"/>
        <w:ind w:firstLine="480"/>
        <w:rPr>
          <w:color w:val="auto"/>
          <w:highlight w:val="none"/>
        </w:rPr>
      </w:pPr>
      <w:r>
        <w:rPr>
          <w:rFonts w:hint="eastAsia"/>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7928DF64">
      <w:pPr>
        <w:spacing w:line="560" w:lineRule="exact"/>
        <w:ind w:firstLine="480" w:firstLineChars="200"/>
        <w:rPr>
          <w:rFonts w:ascii="宋体" w:hAnsi="宋体" w:cs="宋体"/>
          <w:color w:val="auto"/>
          <w:sz w:val="24"/>
          <w:highlight w:val="none"/>
        </w:rPr>
      </w:pPr>
      <w:bookmarkStart w:id="433" w:name="_Toc9684"/>
      <w:r>
        <w:rPr>
          <w:rFonts w:hint="eastAsia" w:ascii="宋体" w:hAnsi="宋体" w:cs="宋体"/>
          <w:color w:val="auto"/>
          <w:sz w:val="24"/>
          <w:highlight w:val="none"/>
        </w:rPr>
        <w:t>1.6.2资金支付的方式、时间和条件详见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bookmarkEnd w:id="433"/>
    </w:p>
    <w:p w14:paraId="5411F3B3">
      <w:pPr>
        <w:spacing w:line="560" w:lineRule="exact"/>
        <w:ind w:firstLine="482" w:firstLineChars="200"/>
        <w:rPr>
          <w:rFonts w:ascii="宋体" w:hAnsi="宋体"/>
          <w:b/>
          <w:color w:val="auto"/>
          <w:sz w:val="24"/>
          <w:highlight w:val="none"/>
        </w:rPr>
      </w:pPr>
      <w:bookmarkStart w:id="434" w:name="_Toc30589"/>
      <w:r>
        <w:rPr>
          <w:rFonts w:ascii="宋体" w:hAnsi="宋体"/>
          <w:b/>
          <w:color w:val="auto"/>
          <w:sz w:val="24"/>
          <w:highlight w:val="none"/>
        </w:rPr>
        <w:t>1.</w:t>
      </w:r>
      <w:r>
        <w:rPr>
          <w:rFonts w:hint="eastAsia" w:ascii="宋体" w:hAnsi="宋体"/>
          <w:b/>
          <w:color w:val="auto"/>
          <w:sz w:val="24"/>
          <w:highlight w:val="none"/>
        </w:rPr>
        <w:t>7</w:t>
      </w:r>
      <w:r>
        <w:rPr>
          <w:rFonts w:ascii="宋体" w:hAnsi="宋体"/>
          <w:b/>
          <w:color w:val="auto"/>
          <w:sz w:val="24"/>
          <w:highlight w:val="none"/>
        </w:rPr>
        <w:t xml:space="preserve"> 履行期限</w:t>
      </w:r>
      <w:r>
        <w:rPr>
          <w:rFonts w:hint="eastAsia" w:ascii="宋体" w:hAnsi="宋体"/>
          <w:b/>
          <w:color w:val="auto"/>
          <w:sz w:val="24"/>
          <w:highlight w:val="none"/>
        </w:rPr>
        <w:t>、地点和方式</w:t>
      </w:r>
      <w:bookmarkEnd w:id="424"/>
      <w:bookmarkEnd w:id="425"/>
      <w:bookmarkEnd w:id="426"/>
      <w:bookmarkEnd w:id="427"/>
      <w:bookmarkEnd w:id="428"/>
      <w:bookmarkEnd w:id="434"/>
    </w:p>
    <w:p w14:paraId="4B38BD32">
      <w:pPr>
        <w:spacing w:line="560" w:lineRule="exact"/>
        <w:ind w:firstLine="480" w:firstLineChars="200"/>
        <w:rPr>
          <w:rFonts w:ascii="宋体" w:hAnsi="宋体"/>
          <w:color w:val="auto"/>
          <w:sz w:val="24"/>
          <w:highlight w:val="none"/>
          <w:u w:val="single"/>
        </w:rPr>
      </w:pPr>
      <w:r>
        <w:rPr>
          <w:rFonts w:ascii="宋体" w:hAnsi="宋体"/>
          <w:color w:val="auto"/>
          <w:sz w:val="24"/>
          <w:highlight w:val="none"/>
        </w:rPr>
        <w:t>1.</w:t>
      </w:r>
      <w:r>
        <w:rPr>
          <w:rFonts w:hint="eastAsia" w:ascii="宋体" w:hAnsi="宋体"/>
          <w:color w:val="auto"/>
          <w:sz w:val="24"/>
          <w:highlight w:val="none"/>
        </w:rPr>
        <w:t>7</w:t>
      </w:r>
      <w:r>
        <w:rPr>
          <w:rFonts w:ascii="宋体" w:hAnsi="宋体"/>
          <w:color w:val="auto"/>
          <w:sz w:val="24"/>
          <w:highlight w:val="none"/>
        </w:rPr>
        <w:t xml:space="preserve">.1 </w:t>
      </w:r>
      <w:r>
        <w:rPr>
          <w:rFonts w:hint="eastAsia" w:ascii="宋体" w:hAnsi="宋体"/>
          <w:color w:val="auto"/>
          <w:sz w:val="24"/>
          <w:highlight w:val="none"/>
        </w:rPr>
        <w:t>服务交付（实施）的时间（期限）</w:t>
      </w:r>
      <w:r>
        <w:rPr>
          <w:rFonts w:ascii="宋体" w:hAnsi="宋体"/>
          <w:color w:val="auto"/>
          <w:sz w:val="24"/>
          <w:highlight w:val="none"/>
        </w:rPr>
        <w:t>：</w:t>
      </w:r>
      <w:r>
        <w:rPr>
          <w:rFonts w:hint="eastAsia" w:ascii="宋体" w:hAnsi="宋体"/>
          <w:b/>
          <w:i/>
          <w:color w:val="auto"/>
          <w:sz w:val="24"/>
          <w:highlight w:val="none"/>
          <w:u w:val="single"/>
        </w:rPr>
        <w:t>合同专用条款</w:t>
      </w:r>
      <w:r>
        <w:rPr>
          <w:rFonts w:hint="eastAsia" w:ascii="宋体" w:hAnsi="宋体"/>
          <w:color w:val="auto"/>
          <w:sz w:val="24"/>
          <w:highlight w:val="none"/>
        </w:rPr>
        <w:t>；</w:t>
      </w:r>
    </w:p>
    <w:p w14:paraId="0E0F1020">
      <w:pPr>
        <w:spacing w:line="560" w:lineRule="exact"/>
        <w:ind w:firstLine="480" w:firstLineChars="200"/>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7</w:t>
      </w:r>
      <w:r>
        <w:rPr>
          <w:rFonts w:ascii="宋体" w:hAnsi="宋体"/>
          <w:color w:val="auto"/>
          <w:sz w:val="24"/>
          <w:highlight w:val="none"/>
        </w:rPr>
        <w:t xml:space="preserve">.2 </w:t>
      </w:r>
      <w:r>
        <w:rPr>
          <w:rFonts w:hint="eastAsia" w:ascii="宋体" w:hAnsi="宋体"/>
          <w:color w:val="auto"/>
          <w:sz w:val="24"/>
          <w:highlight w:val="none"/>
        </w:rPr>
        <w:t>服</w:t>
      </w:r>
      <w:r>
        <w:rPr>
          <w:rFonts w:hint="eastAsia" w:ascii="宋体" w:hAnsi="宋体" w:cs="宋体"/>
          <w:color w:val="auto"/>
          <w:sz w:val="24"/>
          <w:highlight w:val="none"/>
        </w:rPr>
        <w:t>务交付（实施）的地点（地域范围）：</w:t>
      </w:r>
      <w:r>
        <w:rPr>
          <w:rFonts w:hint="eastAsia" w:ascii="宋体" w:hAnsi="宋体"/>
          <w:b/>
          <w:i/>
          <w:color w:val="auto"/>
          <w:sz w:val="24"/>
          <w:highlight w:val="none"/>
          <w:u w:val="single"/>
        </w:rPr>
        <w:t>合同专用条款</w:t>
      </w:r>
      <w:r>
        <w:rPr>
          <w:rFonts w:hint="eastAsia" w:ascii="宋体" w:hAnsi="宋体"/>
          <w:color w:val="auto"/>
          <w:sz w:val="24"/>
          <w:highlight w:val="none"/>
        </w:rPr>
        <w:t>；</w:t>
      </w:r>
    </w:p>
    <w:p w14:paraId="470E0E00">
      <w:pPr>
        <w:spacing w:line="560" w:lineRule="exact"/>
        <w:ind w:firstLine="480" w:firstLineChars="200"/>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7</w:t>
      </w:r>
      <w:r>
        <w:rPr>
          <w:rFonts w:ascii="宋体" w:hAnsi="宋体"/>
          <w:color w:val="auto"/>
          <w:sz w:val="24"/>
          <w:highlight w:val="none"/>
        </w:rPr>
        <w:t xml:space="preserve">.3 </w:t>
      </w:r>
      <w:r>
        <w:rPr>
          <w:rFonts w:hint="eastAsia" w:ascii="宋体" w:hAnsi="宋体"/>
          <w:color w:val="auto"/>
          <w:sz w:val="24"/>
          <w:highlight w:val="none"/>
        </w:rPr>
        <w:t>服务交付（实施）的方式：</w:t>
      </w:r>
      <w:r>
        <w:rPr>
          <w:rFonts w:hint="eastAsia" w:ascii="宋体" w:hAnsi="宋体"/>
          <w:b/>
          <w:i/>
          <w:color w:val="auto"/>
          <w:sz w:val="24"/>
          <w:highlight w:val="none"/>
          <w:u w:val="single"/>
        </w:rPr>
        <w:t>合同专用条款</w:t>
      </w:r>
      <w:r>
        <w:rPr>
          <w:rFonts w:hint="eastAsia" w:ascii="宋体" w:hAnsi="宋体"/>
          <w:color w:val="auto"/>
          <w:sz w:val="24"/>
          <w:highlight w:val="none"/>
        </w:rPr>
        <w:t>。</w:t>
      </w:r>
    </w:p>
    <w:p w14:paraId="1A4D5747">
      <w:pPr>
        <w:spacing w:line="560" w:lineRule="exact"/>
        <w:ind w:firstLine="480" w:firstLineChars="200"/>
        <w:rPr>
          <w:rFonts w:ascii="宋体" w:hAnsi="宋体"/>
          <w:bCs/>
          <w:color w:val="auto"/>
          <w:sz w:val="24"/>
          <w:highlight w:val="none"/>
        </w:rPr>
      </w:pPr>
      <w:bookmarkStart w:id="435" w:name="_Toc15178"/>
      <w:bookmarkStart w:id="436" w:name="_Toc2375"/>
      <w:bookmarkStart w:id="437" w:name="_Toc3079"/>
      <w:bookmarkStart w:id="438" w:name="_Toc8586"/>
      <w:bookmarkStart w:id="439" w:name="_Toc5698"/>
      <w:bookmarkStart w:id="440" w:name="_Toc24662"/>
      <w:r>
        <w:rPr>
          <w:rFonts w:hint="eastAsia" w:ascii="宋体" w:hAnsi="宋体"/>
          <w:bCs/>
          <w:color w:val="auto"/>
          <w:sz w:val="24"/>
          <w:highlight w:val="none"/>
        </w:rPr>
        <w:t>1.7.4若服务</w:t>
      </w:r>
      <w:r>
        <w:rPr>
          <w:rFonts w:hint="eastAsia"/>
          <w:bCs/>
          <w:color w:val="auto"/>
          <w:sz w:val="24"/>
          <w:highlight w:val="none"/>
        </w:rPr>
        <w:t>涉及货物的，则货物的：</w:t>
      </w:r>
      <w:bookmarkEnd w:id="435"/>
    </w:p>
    <w:p w14:paraId="1A71F139">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1.7.4.1 交付期限：详见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6FFB62FE">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1.7.4.2 交付地点：</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256DC9BB">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1.7.4.3 交付方式：</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700E94C2">
      <w:pPr>
        <w:spacing w:line="560" w:lineRule="exact"/>
        <w:ind w:firstLine="482" w:firstLineChars="200"/>
        <w:rPr>
          <w:rFonts w:ascii="宋体" w:hAnsi="宋体"/>
          <w:color w:val="auto"/>
          <w:sz w:val="24"/>
          <w:highlight w:val="none"/>
          <w:u w:val="single"/>
        </w:rPr>
      </w:pPr>
      <w:bookmarkStart w:id="441" w:name="_Toc14648"/>
      <w:r>
        <w:rPr>
          <w:rFonts w:ascii="宋体" w:hAnsi="宋体"/>
          <w:b/>
          <w:color w:val="auto"/>
          <w:sz w:val="24"/>
          <w:highlight w:val="none"/>
        </w:rPr>
        <w:t>1.</w:t>
      </w:r>
      <w:r>
        <w:rPr>
          <w:rFonts w:hint="eastAsia" w:ascii="宋体" w:hAnsi="宋体"/>
          <w:b/>
          <w:color w:val="auto"/>
          <w:sz w:val="24"/>
          <w:highlight w:val="none"/>
        </w:rPr>
        <w:t>8违约责任</w:t>
      </w:r>
      <w:bookmarkEnd w:id="436"/>
      <w:bookmarkEnd w:id="437"/>
      <w:bookmarkEnd w:id="438"/>
      <w:bookmarkEnd w:id="439"/>
      <w:bookmarkEnd w:id="440"/>
      <w:bookmarkEnd w:id="441"/>
    </w:p>
    <w:p w14:paraId="60C58D89">
      <w:pPr>
        <w:spacing w:line="560" w:lineRule="exact"/>
        <w:ind w:firstLine="480" w:firstLineChars="200"/>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8</w:t>
      </w:r>
      <w:r>
        <w:rPr>
          <w:rFonts w:ascii="宋体" w:hAnsi="宋体"/>
          <w:color w:val="auto"/>
          <w:sz w:val="24"/>
          <w:highlight w:val="none"/>
        </w:rPr>
        <w:t>.1 除不可抗力外，如果乙方没有按照本合同约定的期限</w:t>
      </w:r>
      <w:r>
        <w:rPr>
          <w:rFonts w:hint="eastAsia" w:ascii="宋体" w:hAnsi="宋体"/>
          <w:color w:val="auto"/>
          <w:sz w:val="24"/>
          <w:highlight w:val="none"/>
        </w:rPr>
        <w:t>、</w:t>
      </w:r>
      <w:r>
        <w:rPr>
          <w:rFonts w:ascii="宋体" w:hAnsi="宋体"/>
          <w:color w:val="auto"/>
          <w:sz w:val="24"/>
          <w:highlight w:val="none"/>
        </w:rPr>
        <w:t>地点和方式</w:t>
      </w:r>
      <w:r>
        <w:rPr>
          <w:rFonts w:hint="eastAsia" w:ascii="宋体" w:hAnsi="宋体"/>
          <w:color w:val="auto"/>
          <w:sz w:val="24"/>
          <w:highlight w:val="none"/>
        </w:rPr>
        <w:t>交付服务成果或者实施服务</w:t>
      </w:r>
      <w:r>
        <w:rPr>
          <w:rFonts w:ascii="宋体" w:hAnsi="宋体"/>
          <w:color w:val="auto"/>
          <w:sz w:val="24"/>
          <w:highlight w:val="none"/>
        </w:rPr>
        <w:t>，那么甲方可要求乙方支付违约金</w:t>
      </w:r>
      <w:r>
        <w:rPr>
          <w:rFonts w:hint="eastAsia" w:ascii="宋体" w:hAnsi="宋体"/>
          <w:color w:val="auto"/>
          <w:sz w:val="24"/>
          <w:highlight w:val="none"/>
        </w:rPr>
        <w:t>，迟延履行</w:t>
      </w:r>
      <w:r>
        <w:rPr>
          <w:rFonts w:ascii="宋体" w:hAnsi="宋体"/>
          <w:color w:val="auto"/>
          <w:sz w:val="24"/>
          <w:highlight w:val="none"/>
        </w:rPr>
        <w:t>违约金按每迟延</w:t>
      </w:r>
      <w:r>
        <w:rPr>
          <w:rFonts w:hint="eastAsia" w:ascii="宋体" w:hAnsi="宋体"/>
          <w:color w:val="auto"/>
          <w:sz w:val="24"/>
          <w:highlight w:val="none"/>
        </w:rPr>
        <w:t>履行</w:t>
      </w:r>
      <w:r>
        <w:rPr>
          <w:rFonts w:ascii="宋体" w:hAnsi="宋体"/>
          <w:color w:val="auto"/>
          <w:sz w:val="24"/>
          <w:highlight w:val="none"/>
        </w:rPr>
        <w:t>一日的应提供而未</w:t>
      </w:r>
      <w:r>
        <w:rPr>
          <w:rFonts w:hint="eastAsia" w:ascii="宋体" w:hAnsi="宋体"/>
          <w:color w:val="auto"/>
          <w:sz w:val="24"/>
          <w:highlight w:val="none"/>
        </w:rPr>
        <w:t>提供</w:t>
      </w:r>
      <w:r>
        <w:rPr>
          <w:rFonts w:ascii="宋体" w:hAnsi="宋体"/>
          <w:color w:val="auto"/>
          <w:sz w:val="24"/>
          <w:highlight w:val="none"/>
        </w:rPr>
        <w:t>服务价格的</w:t>
      </w:r>
      <w:r>
        <w:rPr>
          <w:rFonts w:hint="eastAsia" w:ascii="宋体" w:hAnsi="宋体"/>
          <w:color w:val="auto"/>
          <w:sz w:val="24"/>
          <w:highlight w:val="none"/>
          <w:u w:val="single"/>
        </w:rPr>
        <w:t>0.05</w:t>
      </w:r>
      <w:r>
        <w:rPr>
          <w:rFonts w:ascii="宋体" w:hAnsi="宋体"/>
          <w:color w:val="auto"/>
          <w:sz w:val="24"/>
          <w:highlight w:val="none"/>
          <w:u w:val="single"/>
        </w:rPr>
        <w:t xml:space="preserve"> </w:t>
      </w:r>
      <w:r>
        <w:rPr>
          <w:rFonts w:ascii="宋体" w:hAnsi="宋体"/>
          <w:color w:val="auto"/>
          <w:sz w:val="24"/>
          <w:highlight w:val="none"/>
        </w:rPr>
        <w:t>%计算</w:t>
      </w:r>
      <w:r>
        <w:rPr>
          <w:rFonts w:hint="eastAsia" w:ascii="宋体" w:hAnsi="宋体"/>
          <w:color w:val="auto"/>
          <w:sz w:val="24"/>
          <w:highlight w:val="none"/>
        </w:rPr>
        <w:t>，</w:t>
      </w:r>
      <w:r>
        <w:rPr>
          <w:rFonts w:ascii="宋体" w:hAnsi="宋体"/>
          <w:color w:val="auto"/>
          <w:sz w:val="24"/>
          <w:highlight w:val="none"/>
        </w:rPr>
        <w:t>最高限额为</w:t>
      </w:r>
      <w:r>
        <w:rPr>
          <w:rFonts w:hint="eastAsia" w:ascii="宋体" w:hAnsi="宋体"/>
          <w:color w:val="auto"/>
          <w:sz w:val="24"/>
          <w:highlight w:val="none"/>
        </w:rPr>
        <w:t>本</w:t>
      </w:r>
      <w:r>
        <w:rPr>
          <w:rFonts w:ascii="宋体" w:hAnsi="宋体"/>
          <w:color w:val="auto"/>
          <w:sz w:val="24"/>
          <w:highlight w:val="none"/>
        </w:rPr>
        <w:t>合同总价的</w:t>
      </w:r>
      <w:r>
        <w:rPr>
          <w:rFonts w:ascii="宋体" w:hAnsi="宋体"/>
          <w:color w:val="auto"/>
          <w:sz w:val="24"/>
          <w:highlight w:val="none"/>
          <w:u w:val="single"/>
        </w:rPr>
        <w:t xml:space="preserve">  20   </w:t>
      </w:r>
      <w:r>
        <w:rPr>
          <w:rFonts w:ascii="宋体" w:hAnsi="宋体"/>
          <w:color w:val="auto"/>
          <w:sz w:val="24"/>
          <w:highlight w:val="none"/>
        </w:rPr>
        <w:t>%</w:t>
      </w:r>
      <w:r>
        <w:rPr>
          <w:rFonts w:hint="eastAsia" w:ascii="宋体" w:hAnsi="宋体"/>
          <w:color w:val="auto"/>
          <w:sz w:val="24"/>
          <w:highlight w:val="none"/>
        </w:rPr>
        <w:t>；</w:t>
      </w:r>
      <w:r>
        <w:rPr>
          <w:rFonts w:ascii="宋体" w:hAnsi="宋体"/>
          <w:color w:val="auto"/>
          <w:sz w:val="24"/>
          <w:highlight w:val="none"/>
        </w:rPr>
        <w:t>迟延</w:t>
      </w:r>
      <w:r>
        <w:rPr>
          <w:rFonts w:hint="eastAsia" w:ascii="宋体" w:hAnsi="宋体"/>
          <w:color w:val="auto"/>
          <w:sz w:val="24"/>
          <w:highlight w:val="none"/>
        </w:rPr>
        <w:t>履行</w:t>
      </w:r>
      <w:r>
        <w:rPr>
          <w:rFonts w:ascii="宋体" w:hAnsi="宋体"/>
          <w:color w:val="auto"/>
          <w:sz w:val="24"/>
          <w:highlight w:val="none"/>
        </w:rPr>
        <w:t>的违约金计算数额达到前述最高限额之日起</w:t>
      </w:r>
      <w:r>
        <w:rPr>
          <w:rFonts w:hint="eastAsia" w:ascii="宋体" w:hAnsi="宋体"/>
          <w:color w:val="auto"/>
          <w:sz w:val="24"/>
          <w:highlight w:val="none"/>
        </w:rPr>
        <w:t>，</w:t>
      </w:r>
      <w:r>
        <w:rPr>
          <w:rFonts w:ascii="宋体" w:hAnsi="宋体"/>
          <w:color w:val="auto"/>
          <w:sz w:val="24"/>
          <w:highlight w:val="none"/>
        </w:rPr>
        <w:t>甲方有权在要求乙方支付违约金的同时</w:t>
      </w:r>
      <w:r>
        <w:rPr>
          <w:rFonts w:hint="eastAsia" w:ascii="宋体" w:hAnsi="宋体"/>
          <w:color w:val="auto"/>
          <w:sz w:val="24"/>
          <w:highlight w:val="none"/>
        </w:rPr>
        <w:t>，书面通知乙方</w:t>
      </w:r>
      <w:r>
        <w:rPr>
          <w:rFonts w:ascii="宋体" w:hAnsi="宋体"/>
          <w:color w:val="auto"/>
          <w:sz w:val="24"/>
          <w:highlight w:val="none"/>
        </w:rPr>
        <w:t>解除本合同</w:t>
      </w:r>
      <w:r>
        <w:rPr>
          <w:rFonts w:hint="eastAsia" w:ascii="宋体" w:hAnsi="宋体"/>
          <w:color w:val="auto"/>
          <w:sz w:val="24"/>
          <w:highlight w:val="none"/>
        </w:rPr>
        <w:t>；</w:t>
      </w:r>
    </w:p>
    <w:p w14:paraId="27D18BCB">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color w:val="auto"/>
          <w:sz w:val="24"/>
          <w:highlight w:val="none"/>
          <w:u w:val="single"/>
        </w:rPr>
        <w:t xml:space="preserve">0.05 </w:t>
      </w:r>
      <w:r>
        <w:rPr>
          <w:rFonts w:hint="eastAsia" w:ascii="宋体" w:hAnsi="宋体" w:cs="宋体"/>
          <w:color w:val="auto"/>
          <w:sz w:val="24"/>
          <w:highlight w:val="none"/>
        </w:rPr>
        <w:t>%计算，最高限额为本合同总价的</w:t>
      </w:r>
      <w:r>
        <w:rPr>
          <w:rFonts w:hint="eastAsia" w:ascii="宋体" w:hAnsi="宋体" w:cs="宋体"/>
          <w:color w:val="auto"/>
          <w:sz w:val="24"/>
          <w:highlight w:val="none"/>
          <w:u w:val="single"/>
        </w:rPr>
        <w:t xml:space="preserve">  20  </w:t>
      </w:r>
      <w:r>
        <w:rPr>
          <w:rFonts w:hint="eastAsia" w:ascii="宋体" w:hAnsi="宋体" w:cs="宋体"/>
          <w:color w:val="auto"/>
          <w:sz w:val="24"/>
          <w:highlight w:val="none"/>
        </w:rPr>
        <w:t>%；迟延交付货物的违约金计算数额达到前述最高限额之日起，甲方有权在要求乙方支付违约金的同时，书面通知乙方解除本合同；</w:t>
      </w:r>
    </w:p>
    <w:p w14:paraId="37D328C6">
      <w:pPr>
        <w:spacing w:line="560" w:lineRule="exact"/>
        <w:ind w:firstLine="480" w:firstLineChars="200"/>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8</w:t>
      </w:r>
      <w:r>
        <w:rPr>
          <w:rFonts w:ascii="宋体" w:hAnsi="宋体"/>
          <w:color w:val="auto"/>
          <w:sz w:val="24"/>
          <w:highlight w:val="none"/>
        </w:rPr>
        <w:t>.</w:t>
      </w:r>
      <w:r>
        <w:rPr>
          <w:rFonts w:hint="eastAsia" w:ascii="宋体" w:hAnsi="宋体"/>
          <w:color w:val="auto"/>
          <w:sz w:val="24"/>
          <w:highlight w:val="none"/>
        </w:rPr>
        <w:t>3</w:t>
      </w:r>
      <w:r>
        <w:rPr>
          <w:rFonts w:hint="eastAsia" w:ascii="宋体" w:hAnsi="宋体" w:cs="宋体"/>
          <w:color w:val="auto"/>
          <w:sz w:val="24"/>
          <w:highlight w:val="none"/>
        </w:rPr>
        <w:t>除不可抗力外，如果甲方没有按照本合同约定的付款方式付款，那么乙方可</w:t>
      </w:r>
      <w:r>
        <w:rPr>
          <w:rFonts w:hint="eastAsia" w:ascii="宋体" w:hAnsi="宋体"/>
          <w:color w:val="auto"/>
          <w:sz w:val="24"/>
          <w:highlight w:val="none"/>
        </w:rPr>
        <w:t>要求</w:t>
      </w:r>
      <w:r>
        <w:rPr>
          <w:rFonts w:hint="eastAsia" w:ascii="宋体" w:hAnsi="宋体" w:cs="宋体"/>
          <w:color w:val="auto"/>
          <w:sz w:val="24"/>
          <w:highlight w:val="none"/>
        </w:rPr>
        <w:t>甲方支付违约金，违约金按每迟延付款一日的应付而未付款的</w:t>
      </w:r>
      <w:r>
        <w:rPr>
          <w:rFonts w:hint="eastAsia" w:ascii="宋体" w:hAnsi="宋体" w:cs="宋体"/>
          <w:color w:val="auto"/>
          <w:sz w:val="24"/>
          <w:highlight w:val="none"/>
          <w:u w:val="single"/>
        </w:rPr>
        <w:t xml:space="preserve">   0.05   </w:t>
      </w:r>
      <w:r>
        <w:rPr>
          <w:rFonts w:hint="eastAsia" w:ascii="宋体" w:hAnsi="宋体" w:cs="宋体"/>
          <w:color w:val="auto"/>
          <w:sz w:val="24"/>
          <w:highlight w:val="none"/>
        </w:rPr>
        <w:t>%计算，最高限额为本合同总价的</w:t>
      </w:r>
      <w:r>
        <w:rPr>
          <w:rFonts w:hint="eastAsia" w:ascii="宋体" w:hAnsi="宋体" w:cs="宋体"/>
          <w:color w:val="auto"/>
          <w:sz w:val="24"/>
          <w:highlight w:val="none"/>
          <w:u w:val="single"/>
        </w:rPr>
        <w:t xml:space="preserve"> 20 </w:t>
      </w:r>
      <w:r>
        <w:rPr>
          <w:rFonts w:hint="eastAsia" w:ascii="宋体" w:hAnsi="宋体" w:cs="宋体"/>
          <w:color w:val="auto"/>
          <w:sz w:val="24"/>
          <w:highlight w:val="none"/>
        </w:rPr>
        <w:t>%；迟延付款的违约金计算数额达到前述最高限额之日起，乙方有权在要求甲方支付违约金的同时，书面通知甲方解除本合同</w:t>
      </w:r>
      <w:r>
        <w:rPr>
          <w:rFonts w:hint="eastAsia" w:ascii="宋体" w:hAnsi="宋体"/>
          <w:color w:val="auto"/>
          <w:sz w:val="24"/>
          <w:highlight w:val="none"/>
        </w:rPr>
        <w:t>；</w:t>
      </w:r>
    </w:p>
    <w:p w14:paraId="24D4FAF0">
      <w:pPr>
        <w:spacing w:line="560" w:lineRule="exact"/>
        <w:ind w:firstLine="480" w:firstLineChars="200"/>
        <w:rPr>
          <w:rFonts w:ascii="宋体" w:hAnsi="宋体" w:cs="宋体"/>
          <w:color w:val="auto"/>
          <w:sz w:val="24"/>
          <w:highlight w:val="none"/>
        </w:rPr>
      </w:pPr>
      <w:bookmarkStart w:id="442" w:name="_Toc32454"/>
      <w:bookmarkStart w:id="443" w:name="_Toc18683"/>
      <w:bookmarkStart w:id="444" w:name="_Toc26807"/>
      <w:bookmarkStart w:id="445" w:name="_Toc30329"/>
      <w:bookmarkStart w:id="446" w:name="_Toc9497"/>
      <w:r>
        <w:rPr>
          <w:rFonts w:hint="eastAsia" w:ascii="宋体" w:hAnsi="宋体" w:cs="宋体"/>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684D6EB">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0BAAC4CE">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4015EC4F">
      <w:pPr>
        <w:spacing w:line="560" w:lineRule="exact"/>
        <w:ind w:right="-420" w:rightChars="-200" w:firstLine="480" w:firstLineChars="200"/>
        <w:rPr>
          <w:rFonts w:ascii="宋体" w:hAnsi="宋体" w:cs="宋体"/>
          <w:color w:val="auto"/>
          <w:highlight w:val="none"/>
        </w:rPr>
      </w:pPr>
      <w:r>
        <w:rPr>
          <w:rFonts w:hint="eastAsia" w:ascii="宋体" w:hAnsi="宋体" w:cs="宋体"/>
          <w:color w:val="auto"/>
          <w:sz w:val="24"/>
          <w:highlight w:val="none"/>
        </w:rPr>
        <w:t>1.8.7违约责任</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另有约定的，从其约定。</w:t>
      </w:r>
    </w:p>
    <w:bookmarkEnd w:id="442"/>
    <w:bookmarkEnd w:id="443"/>
    <w:bookmarkEnd w:id="444"/>
    <w:bookmarkEnd w:id="445"/>
    <w:bookmarkEnd w:id="446"/>
    <w:p w14:paraId="695036D6">
      <w:pPr>
        <w:spacing w:line="560" w:lineRule="exact"/>
        <w:ind w:firstLine="482" w:firstLineChars="200"/>
        <w:rPr>
          <w:rFonts w:ascii="宋体" w:hAnsi="宋体" w:cs="宋体"/>
          <w:b/>
          <w:color w:val="auto"/>
          <w:sz w:val="24"/>
          <w:highlight w:val="none"/>
        </w:rPr>
      </w:pPr>
      <w:bookmarkStart w:id="447" w:name="_Toc18529"/>
      <w:bookmarkStart w:id="448" w:name="_Toc15583"/>
      <w:bookmarkStart w:id="449" w:name="_Toc16021"/>
      <w:bookmarkStart w:id="450" w:name="_Toc28375"/>
      <w:r>
        <w:rPr>
          <w:rFonts w:hint="eastAsia" w:ascii="宋体" w:hAnsi="宋体" w:cs="宋体"/>
          <w:b/>
          <w:color w:val="auto"/>
          <w:sz w:val="24"/>
          <w:highlight w:val="none"/>
        </w:rPr>
        <w:t>1.9合同争议的解决</w:t>
      </w:r>
      <w:bookmarkEnd w:id="447"/>
      <w:bookmarkEnd w:id="448"/>
      <w:bookmarkEnd w:id="449"/>
      <w:bookmarkEnd w:id="450"/>
    </w:p>
    <w:p w14:paraId="77AEBADB">
      <w:pPr>
        <w:spacing w:line="560" w:lineRule="exact"/>
        <w:ind w:left="-61" w:leftChars="-29" w:right="-420" w:rightChars="-200" w:firstLine="240" w:firstLineChars="100"/>
        <w:rPr>
          <w:rFonts w:ascii="宋体" w:hAnsi="宋体" w:cs="宋体"/>
          <w:color w:val="auto"/>
          <w:sz w:val="24"/>
          <w:highlight w:val="none"/>
        </w:rPr>
      </w:pPr>
      <w:r>
        <w:rPr>
          <w:rFonts w:hint="eastAsia" w:ascii="宋体" w:hAnsi="宋体" w:cs="宋体"/>
          <w:color w:val="auto"/>
          <w:sz w:val="24"/>
          <w:highlight w:val="none"/>
        </w:rPr>
        <w:t xml:space="preserve">  本合同履行过程中发生的任何争议，双方当事人均可通过和解或者调解解决；不愿和解、调解或者和解、调解不成的，可以选择以下第</w:t>
      </w:r>
      <w:r>
        <w:rPr>
          <w:rFonts w:hint="eastAsia" w:ascii="宋体" w:hAnsi="宋体" w:cs="宋体"/>
          <w:b/>
          <w:i/>
          <w:color w:val="auto"/>
          <w:sz w:val="24"/>
          <w:highlight w:val="none"/>
          <w:u w:val="single"/>
        </w:rPr>
        <w:t xml:space="preserve"> 1.9.2 </w:t>
      </w:r>
      <w:r>
        <w:rPr>
          <w:rFonts w:hint="eastAsia" w:ascii="宋体" w:hAnsi="宋体" w:cs="宋体"/>
          <w:color w:val="auto"/>
          <w:sz w:val="24"/>
          <w:highlight w:val="none"/>
        </w:rPr>
        <w:t>条款规定的方式解决：</w:t>
      </w:r>
    </w:p>
    <w:p w14:paraId="3C4ED652">
      <w:pPr>
        <w:spacing w:line="560" w:lineRule="exact"/>
        <w:ind w:left="-420" w:leftChars="-200" w:right="-420" w:rightChars="-200" w:firstLine="600" w:firstLineChars="250"/>
        <w:rPr>
          <w:rFonts w:ascii="宋体" w:hAnsi="宋体" w:cs="宋体"/>
          <w:color w:val="auto"/>
          <w:sz w:val="24"/>
          <w:highlight w:val="none"/>
        </w:rPr>
      </w:pPr>
      <w:r>
        <w:rPr>
          <w:rFonts w:hint="eastAsia" w:ascii="宋体" w:hAnsi="宋体" w:cs="宋体"/>
          <w:color w:val="auto"/>
          <w:sz w:val="24"/>
          <w:highlight w:val="none"/>
        </w:rPr>
        <w:t>1.9.1 将争议提交</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仲裁委员会依申请仲裁时其现行有效的仲裁规则裁决；</w:t>
      </w:r>
    </w:p>
    <w:p w14:paraId="0C963B8E">
      <w:pPr>
        <w:spacing w:line="560" w:lineRule="exact"/>
        <w:ind w:left="-420" w:leftChars="-200" w:right="-420" w:rightChars="-200" w:firstLine="600" w:firstLineChars="250"/>
        <w:rPr>
          <w:rFonts w:ascii="宋体" w:hAnsi="宋体" w:cs="宋体"/>
          <w:color w:val="auto"/>
          <w:sz w:val="24"/>
          <w:highlight w:val="none"/>
        </w:rPr>
      </w:pPr>
      <w:r>
        <w:rPr>
          <w:rFonts w:hint="eastAsia" w:ascii="宋体" w:hAnsi="宋体" w:cs="宋体"/>
          <w:color w:val="auto"/>
          <w:sz w:val="24"/>
          <w:highlight w:val="none"/>
        </w:rPr>
        <w:t>1.9.2 向</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人民法院起诉。</w:t>
      </w:r>
    </w:p>
    <w:p w14:paraId="6BCB323E">
      <w:pPr>
        <w:spacing w:line="560" w:lineRule="exact"/>
        <w:ind w:firstLine="482" w:firstLineChars="200"/>
        <w:rPr>
          <w:rFonts w:ascii="宋体" w:hAnsi="宋体" w:cs="宋体"/>
          <w:b/>
          <w:color w:val="auto"/>
          <w:sz w:val="24"/>
          <w:highlight w:val="none"/>
        </w:rPr>
      </w:pPr>
      <w:bookmarkStart w:id="451" w:name="_Toc11173"/>
      <w:bookmarkStart w:id="452" w:name="_Toc4413"/>
      <w:bookmarkStart w:id="453" w:name="_Toc7245"/>
      <w:bookmarkStart w:id="454" w:name="_Toc15322"/>
      <w:r>
        <w:rPr>
          <w:rFonts w:hint="eastAsia" w:ascii="宋体" w:hAnsi="宋体" w:cs="宋体"/>
          <w:b/>
          <w:color w:val="auto"/>
          <w:sz w:val="24"/>
          <w:highlight w:val="none"/>
        </w:rPr>
        <w:t>2.0 合同生效</w:t>
      </w:r>
      <w:bookmarkEnd w:id="451"/>
      <w:bookmarkEnd w:id="452"/>
      <w:bookmarkEnd w:id="453"/>
      <w:bookmarkEnd w:id="454"/>
    </w:p>
    <w:p w14:paraId="259CEF45">
      <w:pPr>
        <w:spacing w:line="560" w:lineRule="exact"/>
        <w:ind w:firstLine="480" w:firstLineChars="200"/>
        <w:rPr>
          <w:rFonts w:ascii="宋体" w:hAnsi="宋体" w:cs="宋体"/>
          <w:b/>
          <w:color w:val="auto"/>
          <w:sz w:val="24"/>
          <w:highlight w:val="none"/>
        </w:rPr>
      </w:pPr>
      <w:r>
        <w:rPr>
          <w:rFonts w:hint="eastAsia" w:ascii="宋体" w:hAnsi="宋体" w:cs="宋体"/>
          <w:color w:val="auto"/>
          <w:sz w:val="24"/>
          <w:highlight w:val="none"/>
        </w:rPr>
        <w:t>本合同自双方当事人盖章签字时生效。</w:t>
      </w:r>
    </w:p>
    <w:p w14:paraId="12F412DA">
      <w:pPr>
        <w:autoSpaceDE w:val="0"/>
        <w:autoSpaceDN w:val="0"/>
        <w:spacing w:line="560" w:lineRule="exact"/>
        <w:rPr>
          <w:rFonts w:ascii="宋体" w:hAnsi="宋体"/>
          <w:color w:val="auto"/>
          <w:sz w:val="24"/>
          <w:highlight w:val="none"/>
          <w:lang w:val="zh-CN"/>
        </w:rPr>
      </w:pPr>
    </w:p>
    <w:p w14:paraId="32085405">
      <w:pPr>
        <w:autoSpaceDE w:val="0"/>
        <w:autoSpaceDN w:val="0"/>
        <w:spacing w:line="560" w:lineRule="exact"/>
        <w:rPr>
          <w:rFonts w:ascii="宋体" w:hAnsi="宋体"/>
          <w:color w:val="auto"/>
          <w:sz w:val="24"/>
          <w:highlight w:val="none"/>
          <w:lang w:val="zh-CN"/>
        </w:rPr>
      </w:pPr>
      <w:r>
        <w:rPr>
          <w:rFonts w:hint="eastAsia" w:ascii="宋体" w:hAnsi="宋体"/>
          <w:b/>
          <w:color w:val="auto"/>
          <w:sz w:val="24"/>
          <w:highlight w:val="none"/>
          <w:lang w:val="zh-CN"/>
        </w:rPr>
        <w:t>甲方</w:t>
      </w:r>
      <w:r>
        <w:rPr>
          <w:rFonts w:hint="eastAsia" w:ascii="宋体" w:hAnsi="宋体"/>
          <w:color w:val="auto"/>
          <w:sz w:val="24"/>
          <w:highlight w:val="none"/>
          <w:lang w:val="zh-CN"/>
        </w:rPr>
        <w:t>：</w:t>
      </w:r>
      <w:r>
        <w:rPr>
          <w:rFonts w:ascii="宋体" w:hAnsi="宋体"/>
          <w:color w:val="auto"/>
          <w:sz w:val="24"/>
          <w:highlight w:val="none"/>
          <w:lang w:val="zh-CN"/>
        </w:rPr>
        <w:t xml:space="preserve">                             </w:t>
      </w:r>
      <w:r>
        <w:rPr>
          <w:rFonts w:ascii="宋体" w:hAnsi="宋体"/>
          <w:b/>
          <w:color w:val="auto"/>
          <w:sz w:val="24"/>
          <w:highlight w:val="none"/>
          <w:lang w:val="zh-CN"/>
        </w:rPr>
        <w:t xml:space="preserve">      乙方</w:t>
      </w:r>
      <w:r>
        <w:rPr>
          <w:rFonts w:hint="eastAsia" w:ascii="宋体" w:hAnsi="宋体"/>
          <w:color w:val="auto"/>
          <w:sz w:val="24"/>
          <w:highlight w:val="none"/>
          <w:lang w:val="zh-CN"/>
        </w:rPr>
        <w:t>：</w:t>
      </w:r>
    </w:p>
    <w:p w14:paraId="2756C7D7">
      <w:pPr>
        <w:autoSpaceDE w:val="0"/>
        <w:autoSpaceDN w:val="0"/>
        <w:spacing w:line="560" w:lineRule="exact"/>
        <w:rPr>
          <w:rFonts w:ascii="宋体" w:hAnsi="宋体"/>
          <w:color w:val="auto"/>
          <w:sz w:val="24"/>
          <w:highlight w:val="none"/>
          <w:lang w:val="zh-CN"/>
        </w:rPr>
      </w:pPr>
      <w:r>
        <w:rPr>
          <w:rFonts w:hint="eastAsia" w:ascii="宋体" w:hAnsi="宋体"/>
          <w:color w:val="auto"/>
          <w:sz w:val="24"/>
          <w:highlight w:val="none"/>
          <w:lang w:val="zh-CN"/>
        </w:rPr>
        <w:t>统一社会信用代码：</w:t>
      </w:r>
      <w:r>
        <w:rPr>
          <w:rFonts w:ascii="宋体" w:hAnsi="宋体"/>
          <w:color w:val="auto"/>
          <w:sz w:val="24"/>
          <w:highlight w:val="none"/>
          <w:lang w:val="zh-CN"/>
        </w:rPr>
        <w:t xml:space="preserve">                        </w:t>
      </w:r>
      <w:r>
        <w:rPr>
          <w:rFonts w:hint="eastAsia" w:ascii="宋体" w:hAnsi="宋体"/>
          <w:color w:val="auto"/>
          <w:sz w:val="24"/>
          <w:highlight w:val="none"/>
          <w:lang w:val="zh-CN"/>
        </w:rPr>
        <w:t>统一社会信用代码或身份证号码：</w:t>
      </w:r>
    </w:p>
    <w:p w14:paraId="5384EC19">
      <w:pPr>
        <w:autoSpaceDE w:val="0"/>
        <w:autoSpaceDN w:val="0"/>
        <w:spacing w:line="560" w:lineRule="exact"/>
        <w:rPr>
          <w:rFonts w:ascii="宋体" w:hAnsi="宋体"/>
          <w:color w:val="auto"/>
          <w:sz w:val="24"/>
          <w:highlight w:val="none"/>
          <w:lang w:val="zh-CN"/>
        </w:rPr>
      </w:pPr>
    </w:p>
    <w:p w14:paraId="53DB55D6">
      <w:pPr>
        <w:autoSpaceDE w:val="0"/>
        <w:autoSpaceDN w:val="0"/>
        <w:spacing w:line="560" w:lineRule="exact"/>
        <w:rPr>
          <w:rFonts w:ascii="宋体" w:hAnsi="宋体"/>
          <w:color w:val="auto"/>
          <w:sz w:val="24"/>
          <w:highlight w:val="none"/>
          <w:lang w:val="zh-CN"/>
        </w:rPr>
      </w:pPr>
      <w:r>
        <w:rPr>
          <w:rFonts w:hint="eastAsia" w:ascii="宋体" w:hAnsi="宋体"/>
          <w:color w:val="auto"/>
          <w:sz w:val="24"/>
          <w:highlight w:val="none"/>
          <w:lang w:val="zh-CN"/>
        </w:rPr>
        <w:t>住所：</w:t>
      </w:r>
      <w:r>
        <w:rPr>
          <w:rFonts w:ascii="宋体" w:hAnsi="宋体"/>
          <w:color w:val="auto"/>
          <w:sz w:val="24"/>
          <w:highlight w:val="none"/>
          <w:lang w:val="zh-CN"/>
        </w:rPr>
        <w:t xml:space="preserve">                                   </w:t>
      </w:r>
      <w:r>
        <w:rPr>
          <w:rFonts w:hint="eastAsia" w:ascii="宋体" w:hAnsi="宋体"/>
          <w:color w:val="auto"/>
          <w:sz w:val="24"/>
          <w:highlight w:val="none"/>
          <w:lang w:val="zh-CN"/>
        </w:rPr>
        <w:t>住所：</w:t>
      </w:r>
    </w:p>
    <w:p w14:paraId="70B5FB6A">
      <w:pPr>
        <w:autoSpaceDE w:val="0"/>
        <w:autoSpaceDN w:val="0"/>
        <w:spacing w:line="560" w:lineRule="exact"/>
        <w:rPr>
          <w:rFonts w:ascii="宋体" w:hAnsi="宋体"/>
          <w:color w:val="auto"/>
          <w:sz w:val="24"/>
          <w:highlight w:val="none"/>
          <w:lang w:val="zh-CN"/>
        </w:rPr>
      </w:pPr>
      <w:r>
        <w:rPr>
          <w:rFonts w:hint="eastAsia" w:ascii="宋体" w:hAnsi="宋体"/>
          <w:color w:val="auto"/>
          <w:sz w:val="24"/>
          <w:highlight w:val="none"/>
          <w:lang w:val="zh-CN"/>
        </w:rPr>
        <w:t>法定代表人或</w:t>
      </w:r>
      <w:r>
        <w:rPr>
          <w:rFonts w:ascii="宋体" w:hAnsi="宋体"/>
          <w:color w:val="auto"/>
          <w:sz w:val="24"/>
          <w:highlight w:val="none"/>
          <w:lang w:val="zh-CN"/>
        </w:rPr>
        <w:t xml:space="preserve">                             </w:t>
      </w:r>
      <w:r>
        <w:rPr>
          <w:rFonts w:hint="eastAsia" w:ascii="宋体" w:hAnsi="宋体"/>
          <w:color w:val="auto"/>
          <w:sz w:val="24"/>
          <w:highlight w:val="none"/>
          <w:lang w:val="zh-CN"/>
        </w:rPr>
        <w:t>法定代表人或</w:t>
      </w:r>
    </w:p>
    <w:p w14:paraId="0124F02B">
      <w:pPr>
        <w:autoSpaceDE w:val="0"/>
        <w:autoSpaceDN w:val="0"/>
        <w:spacing w:line="560" w:lineRule="exact"/>
        <w:rPr>
          <w:rFonts w:ascii="宋体" w:hAnsi="宋体"/>
          <w:color w:val="auto"/>
          <w:sz w:val="24"/>
          <w:highlight w:val="none"/>
          <w:lang w:val="zh-CN"/>
        </w:rPr>
      </w:pPr>
      <w:r>
        <w:rPr>
          <w:rFonts w:hint="eastAsia" w:ascii="宋体" w:hAnsi="宋体"/>
          <w:color w:val="auto"/>
          <w:sz w:val="24"/>
          <w:highlight w:val="none"/>
          <w:lang w:val="zh-CN"/>
        </w:rPr>
        <w:t>授权代表（签字）：</w:t>
      </w:r>
      <w:r>
        <w:rPr>
          <w:rFonts w:ascii="宋体" w:hAnsi="宋体"/>
          <w:color w:val="auto"/>
          <w:sz w:val="24"/>
          <w:highlight w:val="none"/>
          <w:lang w:val="zh-CN"/>
        </w:rPr>
        <w:t xml:space="preserve">                       授权代表（签字）</w:t>
      </w:r>
      <w:r>
        <w:rPr>
          <w:rFonts w:hint="eastAsia" w:ascii="宋体" w:hAnsi="宋体"/>
          <w:color w:val="auto"/>
          <w:sz w:val="24"/>
          <w:highlight w:val="none"/>
          <w:lang w:val="zh-CN"/>
        </w:rPr>
        <w:t>：</w:t>
      </w:r>
      <w:r>
        <w:rPr>
          <w:rFonts w:ascii="宋体" w:hAnsi="宋体"/>
          <w:color w:val="auto"/>
          <w:sz w:val="24"/>
          <w:highlight w:val="none"/>
          <w:lang w:val="zh-CN"/>
        </w:rPr>
        <w:t xml:space="preserve"> </w:t>
      </w:r>
    </w:p>
    <w:p w14:paraId="5667FAB9">
      <w:pPr>
        <w:autoSpaceDE w:val="0"/>
        <w:autoSpaceDN w:val="0"/>
        <w:spacing w:line="560" w:lineRule="exact"/>
        <w:rPr>
          <w:rFonts w:ascii="宋体" w:hAnsi="宋体"/>
          <w:color w:val="auto"/>
          <w:sz w:val="24"/>
          <w:highlight w:val="none"/>
          <w:lang w:val="zh-CN"/>
        </w:rPr>
      </w:pPr>
      <w:r>
        <w:rPr>
          <w:rFonts w:hint="eastAsia" w:ascii="宋体" w:hAnsi="宋体"/>
          <w:color w:val="auto"/>
          <w:sz w:val="24"/>
          <w:highlight w:val="none"/>
          <w:lang w:val="zh-CN"/>
        </w:rPr>
        <w:t>联系人：</w:t>
      </w:r>
      <w:r>
        <w:rPr>
          <w:rFonts w:ascii="宋体" w:hAnsi="宋体"/>
          <w:color w:val="auto"/>
          <w:sz w:val="24"/>
          <w:highlight w:val="none"/>
          <w:lang w:val="zh-CN"/>
        </w:rPr>
        <w:t xml:space="preserve">                                 </w:t>
      </w:r>
      <w:r>
        <w:rPr>
          <w:rFonts w:hint="eastAsia" w:ascii="宋体" w:hAnsi="宋体"/>
          <w:color w:val="auto"/>
          <w:sz w:val="24"/>
          <w:highlight w:val="none"/>
          <w:lang w:val="zh-CN"/>
        </w:rPr>
        <w:t>联系人：</w:t>
      </w:r>
    </w:p>
    <w:p w14:paraId="12C9E83E">
      <w:pPr>
        <w:autoSpaceDE w:val="0"/>
        <w:autoSpaceDN w:val="0"/>
        <w:spacing w:line="560" w:lineRule="exact"/>
        <w:rPr>
          <w:rFonts w:ascii="宋体" w:hAnsi="宋体"/>
          <w:color w:val="auto"/>
          <w:sz w:val="24"/>
          <w:highlight w:val="none"/>
          <w:lang w:val="zh-CN"/>
        </w:rPr>
      </w:pPr>
      <w:r>
        <w:rPr>
          <w:rFonts w:hint="eastAsia" w:ascii="宋体" w:hAnsi="宋体"/>
          <w:color w:val="auto"/>
          <w:sz w:val="24"/>
          <w:highlight w:val="none"/>
          <w:lang w:val="zh-CN"/>
        </w:rPr>
        <w:t>约定送达地址：</w:t>
      </w:r>
      <w:r>
        <w:rPr>
          <w:rFonts w:ascii="宋体" w:hAnsi="宋体"/>
          <w:color w:val="auto"/>
          <w:sz w:val="24"/>
          <w:highlight w:val="none"/>
          <w:lang w:val="zh-CN"/>
        </w:rPr>
        <w:t xml:space="preserve">                           </w:t>
      </w:r>
      <w:r>
        <w:rPr>
          <w:rFonts w:hint="eastAsia" w:ascii="宋体" w:hAnsi="宋体"/>
          <w:color w:val="auto"/>
          <w:sz w:val="24"/>
          <w:highlight w:val="none"/>
          <w:lang w:val="zh-CN"/>
        </w:rPr>
        <w:t>约定送达地址：</w:t>
      </w:r>
    </w:p>
    <w:p w14:paraId="51114DE0">
      <w:pPr>
        <w:autoSpaceDE w:val="0"/>
        <w:autoSpaceDN w:val="0"/>
        <w:spacing w:line="560" w:lineRule="exact"/>
        <w:rPr>
          <w:rFonts w:ascii="宋体" w:hAnsi="宋体"/>
          <w:color w:val="auto"/>
          <w:sz w:val="24"/>
          <w:highlight w:val="none"/>
          <w:lang w:val="zh-CN"/>
        </w:rPr>
      </w:pPr>
      <w:r>
        <w:rPr>
          <w:rFonts w:hint="eastAsia" w:ascii="宋体" w:hAnsi="宋体"/>
          <w:color w:val="auto"/>
          <w:sz w:val="24"/>
          <w:highlight w:val="none"/>
          <w:lang w:val="zh-CN"/>
        </w:rPr>
        <w:t>邮政编码：</w:t>
      </w:r>
      <w:r>
        <w:rPr>
          <w:rFonts w:ascii="宋体" w:hAnsi="宋体"/>
          <w:color w:val="auto"/>
          <w:sz w:val="24"/>
          <w:highlight w:val="none"/>
          <w:lang w:val="zh-CN"/>
        </w:rPr>
        <w:t xml:space="preserve">                               </w:t>
      </w:r>
      <w:r>
        <w:rPr>
          <w:rFonts w:hint="eastAsia" w:ascii="宋体" w:hAnsi="宋体"/>
          <w:color w:val="auto"/>
          <w:sz w:val="24"/>
          <w:highlight w:val="none"/>
          <w:lang w:val="zh-CN"/>
        </w:rPr>
        <w:t>邮政编码：</w:t>
      </w:r>
    </w:p>
    <w:p w14:paraId="509879E7">
      <w:pPr>
        <w:autoSpaceDE w:val="0"/>
        <w:autoSpaceDN w:val="0"/>
        <w:spacing w:line="560" w:lineRule="exact"/>
        <w:rPr>
          <w:rFonts w:ascii="宋体" w:hAnsi="宋体"/>
          <w:color w:val="auto"/>
          <w:sz w:val="24"/>
          <w:highlight w:val="none"/>
          <w:lang w:val="zh-CN"/>
        </w:rPr>
      </w:pPr>
      <w:r>
        <w:rPr>
          <w:rFonts w:hint="eastAsia" w:ascii="宋体" w:hAnsi="宋体"/>
          <w:color w:val="auto"/>
          <w:sz w:val="24"/>
          <w:highlight w:val="none"/>
          <w:lang w:val="zh-CN"/>
        </w:rPr>
        <w:t>电话：</w:t>
      </w:r>
      <w:r>
        <w:rPr>
          <w:rFonts w:ascii="宋体" w:hAnsi="宋体"/>
          <w:color w:val="auto"/>
          <w:sz w:val="24"/>
          <w:highlight w:val="none"/>
          <w:lang w:val="zh-CN"/>
        </w:rPr>
        <w:t xml:space="preserve">                                    电话</w:t>
      </w:r>
      <w:r>
        <w:rPr>
          <w:rFonts w:hint="eastAsia" w:ascii="宋体" w:hAnsi="宋体"/>
          <w:color w:val="auto"/>
          <w:sz w:val="24"/>
          <w:highlight w:val="none"/>
          <w:lang w:val="zh-CN"/>
        </w:rPr>
        <w:t>：</w:t>
      </w:r>
      <w:r>
        <w:rPr>
          <w:rFonts w:ascii="宋体" w:hAnsi="宋体"/>
          <w:color w:val="auto"/>
          <w:sz w:val="24"/>
          <w:highlight w:val="none"/>
          <w:lang w:val="zh-CN"/>
        </w:rPr>
        <w:t xml:space="preserve"> </w:t>
      </w:r>
    </w:p>
    <w:p w14:paraId="5AAEF4EB">
      <w:pPr>
        <w:autoSpaceDE w:val="0"/>
        <w:autoSpaceDN w:val="0"/>
        <w:spacing w:line="560" w:lineRule="exact"/>
        <w:rPr>
          <w:rFonts w:ascii="宋体" w:hAnsi="宋体"/>
          <w:color w:val="auto"/>
          <w:sz w:val="24"/>
          <w:highlight w:val="none"/>
          <w:lang w:val="zh-CN"/>
        </w:rPr>
      </w:pPr>
      <w:r>
        <w:rPr>
          <w:rFonts w:hint="eastAsia" w:ascii="宋体" w:hAnsi="宋体"/>
          <w:color w:val="auto"/>
          <w:sz w:val="24"/>
          <w:highlight w:val="none"/>
          <w:lang w:val="zh-CN"/>
        </w:rPr>
        <w:t>传真：</w:t>
      </w:r>
      <w:r>
        <w:rPr>
          <w:rFonts w:ascii="宋体" w:hAnsi="宋体"/>
          <w:color w:val="auto"/>
          <w:sz w:val="24"/>
          <w:highlight w:val="none"/>
          <w:lang w:val="zh-CN"/>
        </w:rPr>
        <w:t xml:space="preserve">                                    </w:t>
      </w:r>
      <w:r>
        <w:rPr>
          <w:rFonts w:hint="eastAsia" w:ascii="宋体" w:hAnsi="宋体"/>
          <w:color w:val="auto"/>
          <w:sz w:val="24"/>
          <w:highlight w:val="none"/>
          <w:lang w:val="zh-CN"/>
        </w:rPr>
        <w:t>传真：</w:t>
      </w:r>
    </w:p>
    <w:p w14:paraId="46CD6A5D">
      <w:pPr>
        <w:autoSpaceDE w:val="0"/>
        <w:autoSpaceDN w:val="0"/>
        <w:spacing w:line="560" w:lineRule="exact"/>
        <w:rPr>
          <w:rFonts w:ascii="宋体" w:hAnsi="宋体"/>
          <w:color w:val="auto"/>
          <w:sz w:val="24"/>
          <w:highlight w:val="none"/>
        </w:rPr>
      </w:pPr>
      <w:r>
        <w:rPr>
          <w:rFonts w:hint="eastAsia" w:ascii="宋体" w:hAnsi="宋体"/>
          <w:color w:val="auto"/>
          <w:sz w:val="24"/>
          <w:highlight w:val="none"/>
          <w:lang w:val="zh-CN"/>
        </w:rPr>
        <w:t>电子邮箱：</w:t>
      </w:r>
      <w:r>
        <w:rPr>
          <w:rFonts w:ascii="宋体" w:hAnsi="宋体"/>
          <w:color w:val="auto"/>
          <w:sz w:val="24"/>
          <w:highlight w:val="none"/>
          <w:lang w:val="zh-CN"/>
        </w:rPr>
        <w:t xml:space="preserve">                               </w:t>
      </w:r>
      <w:r>
        <w:rPr>
          <w:rFonts w:hint="eastAsia" w:ascii="宋体" w:hAnsi="宋体"/>
          <w:color w:val="auto"/>
          <w:sz w:val="24"/>
          <w:highlight w:val="none"/>
          <w:lang w:val="zh-CN"/>
        </w:rPr>
        <w:t>电子邮箱：</w:t>
      </w:r>
    </w:p>
    <w:p w14:paraId="0C715310">
      <w:pPr>
        <w:autoSpaceDE w:val="0"/>
        <w:autoSpaceDN w:val="0"/>
        <w:spacing w:line="560" w:lineRule="exact"/>
        <w:rPr>
          <w:rFonts w:ascii="宋体" w:hAnsi="宋体"/>
          <w:color w:val="auto"/>
          <w:sz w:val="24"/>
          <w:highlight w:val="none"/>
        </w:rPr>
      </w:pPr>
      <w:r>
        <w:rPr>
          <w:rFonts w:hint="eastAsia" w:ascii="宋体" w:hAnsi="宋体"/>
          <w:color w:val="auto"/>
          <w:sz w:val="24"/>
          <w:highlight w:val="none"/>
        </w:rPr>
        <w:t>开户银行：</w:t>
      </w:r>
      <w:r>
        <w:rPr>
          <w:rFonts w:ascii="宋体" w:hAnsi="宋体"/>
          <w:color w:val="auto"/>
          <w:sz w:val="24"/>
          <w:highlight w:val="none"/>
        </w:rPr>
        <w:t xml:space="preserve">                               开户银行： </w:t>
      </w:r>
    </w:p>
    <w:p w14:paraId="2EE9A466">
      <w:pPr>
        <w:autoSpaceDE w:val="0"/>
        <w:autoSpaceDN w:val="0"/>
        <w:spacing w:line="560" w:lineRule="exact"/>
        <w:rPr>
          <w:rFonts w:ascii="宋体" w:hAnsi="宋体"/>
          <w:color w:val="auto"/>
          <w:sz w:val="24"/>
          <w:highlight w:val="none"/>
        </w:rPr>
      </w:pPr>
      <w:r>
        <w:rPr>
          <w:rFonts w:hint="eastAsia" w:ascii="宋体" w:hAnsi="宋体"/>
          <w:color w:val="auto"/>
          <w:sz w:val="24"/>
          <w:highlight w:val="none"/>
        </w:rPr>
        <w:t>开户名称：</w:t>
      </w:r>
      <w:r>
        <w:rPr>
          <w:rFonts w:ascii="宋体" w:hAnsi="宋体"/>
          <w:color w:val="auto"/>
          <w:sz w:val="24"/>
          <w:highlight w:val="none"/>
        </w:rPr>
        <w:t xml:space="preserve">                               开户名称： </w:t>
      </w:r>
    </w:p>
    <w:p w14:paraId="5AD912DB">
      <w:pPr>
        <w:autoSpaceDE w:val="0"/>
        <w:autoSpaceDN w:val="0"/>
        <w:spacing w:line="560" w:lineRule="exact"/>
        <w:rPr>
          <w:rFonts w:ascii="宋体" w:hAnsi="宋体"/>
          <w:color w:val="auto"/>
          <w:sz w:val="24"/>
          <w:highlight w:val="none"/>
        </w:rPr>
      </w:pPr>
      <w:r>
        <w:rPr>
          <w:rFonts w:hint="eastAsia" w:ascii="宋体" w:hAnsi="宋体"/>
          <w:color w:val="auto"/>
          <w:sz w:val="24"/>
          <w:highlight w:val="none"/>
        </w:rPr>
        <w:t>开户账号：</w:t>
      </w:r>
      <w:r>
        <w:rPr>
          <w:rFonts w:ascii="宋体" w:hAnsi="宋体"/>
          <w:color w:val="auto"/>
          <w:sz w:val="24"/>
          <w:highlight w:val="none"/>
          <w:lang w:val="zh-CN"/>
        </w:rPr>
        <w:t xml:space="preserve">                               </w:t>
      </w:r>
      <w:r>
        <w:rPr>
          <w:rFonts w:hint="eastAsia" w:ascii="宋体" w:hAnsi="宋体"/>
          <w:color w:val="auto"/>
          <w:sz w:val="24"/>
          <w:highlight w:val="none"/>
        </w:rPr>
        <w:t>开户账号：</w:t>
      </w:r>
    </w:p>
    <w:p w14:paraId="750D7846">
      <w:pPr>
        <w:widowControl/>
        <w:spacing w:line="560" w:lineRule="exact"/>
        <w:jc w:val="left"/>
        <w:rPr>
          <w:rFonts w:ascii="宋体" w:hAnsi="宋体"/>
          <w:b/>
          <w:color w:val="auto"/>
          <w:sz w:val="24"/>
          <w:highlight w:val="none"/>
        </w:rPr>
      </w:pPr>
    </w:p>
    <w:p w14:paraId="0D73FA4C">
      <w:pPr>
        <w:widowControl/>
        <w:adjustRightInd/>
        <w:jc w:val="left"/>
        <w:rPr>
          <w:rFonts w:ascii="宋体" w:hAnsi="宋体"/>
          <w:b/>
          <w:color w:val="auto"/>
          <w:sz w:val="24"/>
          <w:highlight w:val="none"/>
        </w:rPr>
      </w:pPr>
      <w:r>
        <w:rPr>
          <w:rFonts w:ascii="宋体" w:hAnsi="宋体"/>
          <w:b/>
          <w:color w:val="auto"/>
          <w:highlight w:val="none"/>
        </w:rPr>
        <w:br w:type="page"/>
      </w:r>
    </w:p>
    <w:p w14:paraId="032A8362">
      <w:pPr>
        <w:pStyle w:val="700"/>
        <w:spacing w:line="560" w:lineRule="exact"/>
        <w:ind w:firstLine="482"/>
        <w:jc w:val="center"/>
        <w:rPr>
          <w:rFonts w:ascii="宋体" w:hAnsi="宋体"/>
          <w:b/>
          <w:color w:val="auto"/>
          <w:szCs w:val="24"/>
          <w:highlight w:val="none"/>
        </w:rPr>
      </w:pPr>
      <w:bookmarkStart w:id="455" w:name="_Toc24593"/>
      <w:r>
        <w:rPr>
          <w:rFonts w:hint="eastAsia" w:ascii="宋体" w:hAnsi="宋体"/>
          <w:b/>
          <w:color w:val="auto"/>
          <w:szCs w:val="24"/>
          <w:highlight w:val="none"/>
        </w:rPr>
        <w:t>第二部分</w:t>
      </w:r>
      <w:r>
        <w:rPr>
          <w:rFonts w:ascii="宋体" w:hAnsi="宋体"/>
          <w:b/>
          <w:color w:val="auto"/>
          <w:szCs w:val="24"/>
          <w:highlight w:val="none"/>
        </w:rPr>
        <w:t xml:space="preserve"> </w:t>
      </w:r>
      <w:r>
        <w:rPr>
          <w:rFonts w:hint="eastAsia" w:ascii="宋体" w:hAnsi="宋体"/>
          <w:b/>
          <w:color w:val="auto"/>
          <w:szCs w:val="24"/>
          <w:highlight w:val="none"/>
        </w:rPr>
        <w:t>合同一般条款</w:t>
      </w:r>
      <w:bookmarkEnd w:id="455"/>
    </w:p>
    <w:p w14:paraId="5E4E620C">
      <w:pPr>
        <w:spacing w:line="560" w:lineRule="exact"/>
        <w:ind w:firstLine="482" w:firstLineChars="200"/>
        <w:rPr>
          <w:rFonts w:ascii="宋体" w:hAnsi="宋体"/>
          <w:b/>
          <w:color w:val="auto"/>
          <w:sz w:val="24"/>
          <w:highlight w:val="none"/>
        </w:rPr>
      </w:pPr>
      <w:bookmarkStart w:id="456" w:name="_Toc14021"/>
      <w:bookmarkStart w:id="457" w:name="_Toc25079"/>
      <w:bookmarkStart w:id="458" w:name="_Toc31297"/>
      <w:bookmarkStart w:id="459" w:name="_Toc4623"/>
      <w:bookmarkStart w:id="460" w:name="_Toc5228"/>
      <w:bookmarkStart w:id="461" w:name="_Toc19680"/>
      <w:r>
        <w:rPr>
          <w:rFonts w:ascii="宋体" w:hAnsi="宋体"/>
          <w:b/>
          <w:color w:val="auto"/>
          <w:sz w:val="24"/>
          <w:highlight w:val="none"/>
        </w:rPr>
        <w:t>2.1 定义</w:t>
      </w:r>
      <w:bookmarkEnd w:id="456"/>
      <w:bookmarkEnd w:id="457"/>
      <w:bookmarkEnd w:id="458"/>
      <w:bookmarkEnd w:id="459"/>
      <w:bookmarkEnd w:id="460"/>
      <w:bookmarkEnd w:id="461"/>
    </w:p>
    <w:p w14:paraId="64A8606C">
      <w:pPr>
        <w:spacing w:line="560" w:lineRule="exact"/>
        <w:ind w:firstLine="480" w:firstLineChars="200"/>
        <w:rPr>
          <w:rFonts w:ascii="宋体" w:hAnsi="宋体"/>
          <w:color w:val="auto"/>
          <w:sz w:val="24"/>
          <w:highlight w:val="none"/>
        </w:rPr>
      </w:pPr>
      <w:r>
        <w:rPr>
          <w:rFonts w:ascii="宋体" w:hAnsi="宋体"/>
          <w:color w:val="auto"/>
          <w:sz w:val="24"/>
          <w:highlight w:val="none"/>
        </w:rPr>
        <w:t>本合同中的下列</w:t>
      </w:r>
      <w:r>
        <w:rPr>
          <w:rFonts w:hint="eastAsia" w:ascii="宋体" w:hAnsi="宋体"/>
          <w:color w:val="auto"/>
          <w:sz w:val="24"/>
          <w:highlight w:val="none"/>
        </w:rPr>
        <w:t>词</w:t>
      </w:r>
      <w:r>
        <w:rPr>
          <w:rFonts w:ascii="宋体" w:hAnsi="宋体"/>
          <w:color w:val="auto"/>
          <w:sz w:val="24"/>
          <w:highlight w:val="none"/>
        </w:rPr>
        <w:t>语应</w:t>
      </w:r>
      <w:r>
        <w:rPr>
          <w:rFonts w:hint="eastAsia" w:ascii="宋体" w:hAnsi="宋体"/>
          <w:color w:val="auto"/>
          <w:sz w:val="24"/>
          <w:highlight w:val="none"/>
        </w:rPr>
        <w:t>按以下内容进行</w:t>
      </w:r>
      <w:r>
        <w:rPr>
          <w:rFonts w:ascii="宋体" w:hAnsi="宋体"/>
          <w:color w:val="auto"/>
          <w:sz w:val="24"/>
          <w:highlight w:val="none"/>
        </w:rPr>
        <w:t>解释：</w:t>
      </w:r>
    </w:p>
    <w:p w14:paraId="359FB73A">
      <w:pPr>
        <w:spacing w:line="560" w:lineRule="exact"/>
        <w:ind w:firstLine="480" w:firstLineChars="200"/>
        <w:rPr>
          <w:rFonts w:ascii="宋体" w:hAnsi="宋体"/>
          <w:color w:val="auto"/>
          <w:sz w:val="24"/>
          <w:highlight w:val="none"/>
        </w:rPr>
      </w:pPr>
      <w:r>
        <w:rPr>
          <w:rFonts w:ascii="宋体" w:hAnsi="宋体"/>
          <w:color w:val="auto"/>
          <w:sz w:val="24"/>
          <w:highlight w:val="none"/>
        </w:rPr>
        <w:t>2.1.1 “合同”系指采购人和</w:t>
      </w:r>
      <w:r>
        <w:rPr>
          <w:rFonts w:hint="eastAsia" w:ascii="宋体" w:hAnsi="宋体" w:cs="宋体"/>
          <w:color w:val="auto"/>
          <w:sz w:val="24"/>
          <w:highlight w:val="none"/>
        </w:rPr>
        <w:t>中标或成交</w:t>
      </w:r>
      <w:r>
        <w:rPr>
          <w:rFonts w:ascii="宋体" w:hAnsi="宋体"/>
          <w:color w:val="auto"/>
          <w:sz w:val="24"/>
          <w:highlight w:val="none"/>
        </w:rPr>
        <w:t>供应商签订的载明双方当事人所达成的协议，并包括所有的附件、附录和构成合同的其他文件。</w:t>
      </w:r>
    </w:p>
    <w:p w14:paraId="23059A94">
      <w:pPr>
        <w:spacing w:line="560" w:lineRule="exact"/>
        <w:ind w:firstLine="480" w:firstLineChars="200"/>
        <w:rPr>
          <w:rFonts w:ascii="宋体" w:hAnsi="宋体"/>
          <w:color w:val="auto"/>
          <w:sz w:val="24"/>
          <w:highlight w:val="none"/>
        </w:rPr>
      </w:pPr>
      <w:r>
        <w:rPr>
          <w:rFonts w:ascii="宋体" w:hAnsi="宋体"/>
          <w:color w:val="auto"/>
          <w:sz w:val="24"/>
          <w:highlight w:val="none"/>
        </w:rPr>
        <w:t>2.1.2 “合同价”系指根据合同约定，</w:t>
      </w:r>
      <w:r>
        <w:rPr>
          <w:rFonts w:hint="eastAsia" w:ascii="宋体" w:hAnsi="宋体" w:cs="宋体"/>
          <w:color w:val="auto"/>
          <w:sz w:val="24"/>
          <w:highlight w:val="none"/>
        </w:rPr>
        <w:t>中标或成交</w:t>
      </w:r>
      <w:r>
        <w:rPr>
          <w:rFonts w:ascii="宋体" w:hAnsi="宋体"/>
          <w:color w:val="auto"/>
          <w:sz w:val="24"/>
          <w:highlight w:val="none"/>
        </w:rPr>
        <w:t>供应商在完全履行合同义务后</w:t>
      </w:r>
      <w:r>
        <w:rPr>
          <w:rFonts w:hint="eastAsia" w:ascii="宋体" w:hAnsi="宋体"/>
          <w:color w:val="auto"/>
          <w:sz w:val="24"/>
          <w:highlight w:val="none"/>
        </w:rPr>
        <w:t>，</w:t>
      </w:r>
      <w:r>
        <w:rPr>
          <w:rFonts w:ascii="宋体" w:hAnsi="宋体"/>
          <w:color w:val="auto"/>
          <w:sz w:val="24"/>
          <w:highlight w:val="none"/>
        </w:rPr>
        <w:t>采购人应支付给</w:t>
      </w:r>
      <w:r>
        <w:rPr>
          <w:rFonts w:hint="eastAsia" w:ascii="宋体" w:hAnsi="宋体" w:cs="宋体"/>
          <w:color w:val="auto"/>
          <w:sz w:val="24"/>
          <w:highlight w:val="none"/>
        </w:rPr>
        <w:t>中标或成交</w:t>
      </w:r>
      <w:r>
        <w:rPr>
          <w:rFonts w:ascii="宋体" w:hAnsi="宋体"/>
          <w:color w:val="auto"/>
          <w:sz w:val="24"/>
          <w:highlight w:val="none"/>
        </w:rPr>
        <w:t>供应商的价格。</w:t>
      </w:r>
    </w:p>
    <w:p w14:paraId="762FEFCD">
      <w:pPr>
        <w:spacing w:line="560" w:lineRule="exact"/>
        <w:ind w:firstLine="480" w:firstLineChars="200"/>
        <w:rPr>
          <w:rFonts w:ascii="宋体" w:hAnsi="宋体"/>
          <w:color w:val="auto"/>
          <w:sz w:val="24"/>
          <w:highlight w:val="none"/>
        </w:rPr>
      </w:pPr>
      <w:r>
        <w:rPr>
          <w:rFonts w:ascii="宋体" w:hAnsi="宋体"/>
          <w:color w:val="auto"/>
          <w:sz w:val="24"/>
          <w:highlight w:val="none"/>
        </w:rPr>
        <w:t>2.1.3 “</w:t>
      </w:r>
      <w:r>
        <w:rPr>
          <w:rFonts w:hint="eastAsia" w:ascii="宋体" w:hAnsi="宋体"/>
          <w:color w:val="auto"/>
          <w:sz w:val="24"/>
          <w:highlight w:val="none"/>
        </w:rPr>
        <w:t>服务</w:t>
      </w:r>
      <w:r>
        <w:rPr>
          <w:rFonts w:ascii="宋体" w:hAnsi="宋体"/>
          <w:color w:val="auto"/>
          <w:sz w:val="24"/>
          <w:highlight w:val="none"/>
        </w:rPr>
        <w:t>”系指</w:t>
      </w:r>
      <w:r>
        <w:rPr>
          <w:rFonts w:hint="eastAsia" w:ascii="宋体" w:hAnsi="宋体" w:cs="宋体"/>
          <w:color w:val="auto"/>
          <w:sz w:val="24"/>
          <w:highlight w:val="none"/>
        </w:rPr>
        <w:t>中标或成交</w:t>
      </w:r>
      <w:r>
        <w:rPr>
          <w:rFonts w:hint="eastAsia" w:ascii="宋体" w:hAnsi="宋体"/>
          <w:color w:val="auto"/>
          <w:sz w:val="24"/>
          <w:highlight w:val="none"/>
        </w:rPr>
        <w:t>供应商</w:t>
      </w:r>
      <w:r>
        <w:rPr>
          <w:rFonts w:ascii="宋体" w:hAnsi="宋体"/>
          <w:color w:val="auto"/>
          <w:sz w:val="24"/>
          <w:highlight w:val="none"/>
        </w:rPr>
        <w:t>根据合同约定应向采购人</w:t>
      </w:r>
      <w:r>
        <w:rPr>
          <w:rFonts w:hint="eastAsia" w:ascii="宋体" w:hAnsi="宋体"/>
          <w:color w:val="auto"/>
          <w:sz w:val="24"/>
          <w:highlight w:val="none"/>
        </w:rPr>
        <w:t>履行</w:t>
      </w:r>
      <w:r>
        <w:rPr>
          <w:rFonts w:ascii="宋体" w:hAnsi="宋体"/>
          <w:color w:val="auto"/>
          <w:sz w:val="24"/>
          <w:highlight w:val="none"/>
        </w:rPr>
        <w:t>的</w:t>
      </w:r>
      <w:r>
        <w:rPr>
          <w:rFonts w:hint="eastAsia" w:ascii="宋体" w:hAnsi="宋体"/>
          <w:color w:val="auto"/>
          <w:sz w:val="24"/>
          <w:highlight w:val="none"/>
        </w:rPr>
        <w:t>除货物和工程以外的其他政府采购对象，包括采购人自身需要的服务和向社会公众提供的公共服务。</w:t>
      </w:r>
    </w:p>
    <w:p w14:paraId="7831F235">
      <w:pPr>
        <w:spacing w:line="560" w:lineRule="exact"/>
        <w:ind w:firstLine="480" w:firstLineChars="200"/>
        <w:rPr>
          <w:rFonts w:ascii="宋体" w:hAnsi="宋体"/>
          <w:color w:val="auto"/>
          <w:sz w:val="24"/>
          <w:highlight w:val="none"/>
        </w:rPr>
      </w:pPr>
      <w:r>
        <w:rPr>
          <w:rFonts w:ascii="宋体" w:hAnsi="宋体"/>
          <w:color w:val="auto"/>
          <w:sz w:val="24"/>
          <w:highlight w:val="none"/>
        </w:rPr>
        <w:t>2.1.4 “</w:t>
      </w:r>
      <w:r>
        <w:rPr>
          <w:rFonts w:hint="eastAsia" w:ascii="宋体" w:hAnsi="宋体"/>
          <w:color w:val="auto"/>
          <w:sz w:val="24"/>
          <w:highlight w:val="none"/>
        </w:rPr>
        <w:t>甲方</w:t>
      </w:r>
      <w:r>
        <w:rPr>
          <w:rFonts w:ascii="宋体" w:hAnsi="宋体"/>
          <w:color w:val="auto"/>
          <w:sz w:val="24"/>
          <w:highlight w:val="none"/>
        </w:rPr>
        <w:t>”系指与</w:t>
      </w:r>
      <w:r>
        <w:rPr>
          <w:rFonts w:hint="eastAsia" w:ascii="宋体" w:hAnsi="宋体" w:cs="宋体"/>
          <w:color w:val="auto"/>
          <w:sz w:val="24"/>
          <w:highlight w:val="none"/>
        </w:rPr>
        <w:t>中标或成交</w:t>
      </w:r>
      <w:r>
        <w:rPr>
          <w:rFonts w:hint="eastAsia" w:ascii="宋体" w:hAnsi="宋体"/>
          <w:color w:val="auto"/>
          <w:sz w:val="24"/>
          <w:highlight w:val="none"/>
        </w:rPr>
        <w:t>供应商</w:t>
      </w:r>
      <w:r>
        <w:rPr>
          <w:rFonts w:ascii="宋体" w:hAnsi="宋体"/>
          <w:color w:val="auto"/>
          <w:sz w:val="24"/>
          <w:highlight w:val="none"/>
        </w:rPr>
        <w:t>签署合同的采购人</w:t>
      </w:r>
      <w:r>
        <w:rPr>
          <w:rFonts w:hint="eastAsia" w:ascii="宋体" w:hAnsi="宋体"/>
          <w:color w:val="auto"/>
          <w:sz w:val="24"/>
          <w:highlight w:val="none"/>
        </w:rPr>
        <w:t>；采购人委托采购代理机构代表其与乙方签订合同的，采购人的授权委托书作为合同附件。</w:t>
      </w:r>
    </w:p>
    <w:p w14:paraId="5DBFAE40">
      <w:pPr>
        <w:spacing w:line="560" w:lineRule="exact"/>
        <w:ind w:firstLine="480" w:firstLineChars="200"/>
        <w:rPr>
          <w:rFonts w:ascii="宋体" w:hAnsi="宋体"/>
          <w:color w:val="auto"/>
          <w:sz w:val="24"/>
          <w:highlight w:val="none"/>
        </w:rPr>
      </w:pPr>
      <w:r>
        <w:rPr>
          <w:rFonts w:ascii="宋体" w:hAnsi="宋体"/>
          <w:color w:val="auto"/>
          <w:sz w:val="24"/>
          <w:highlight w:val="none"/>
        </w:rPr>
        <w:t>2.1.5 “乙方”系指根据合同约定提供服务的</w:t>
      </w:r>
      <w:r>
        <w:rPr>
          <w:rFonts w:hint="eastAsia" w:ascii="宋体" w:hAnsi="宋体" w:cs="宋体"/>
          <w:color w:val="auto"/>
          <w:sz w:val="24"/>
          <w:highlight w:val="none"/>
        </w:rPr>
        <w:t>中标或成交</w:t>
      </w:r>
      <w:r>
        <w:rPr>
          <w:rFonts w:ascii="宋体" w:hAnsi="宋体"/>
          <w:color w:val="auto"/>
          <w:sz w:val="24"/>
          <w:highlight w:val="none"/>
        </w:rPr>
        <w:t>供应商</w:t>
      </w:r>
      <w:r>
        <w:rPr>
          <w:rFonts w:hint="eastAsia" w:ascii="宋体" w:hAnsi="宋体"/>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0227CC24">
      <w:pPr>
        <w:spacing w:line="560" w:lineRule="exact"/>
        <w:ind w:firstLine="480" w:firstLineChars="200"/>
        <w:rPr>
          <w:rFonts w:ascii="宋体" w:hAnsi="宋体"/>
          <w:color w:val="auto"/>
          <w:sz w:val="24"/>
          <w:highlight w:val="none"/>
        </w:rPr>
      </w:pPr>
      <w:r>
        <w:rPr>
          <w:rFonts w:ascii="宋体" w:hAnsi="宋体"/>
          <w:color w:val="auto"/>
          <w:sz w:val="24"/>
          <w:highlight w:val="none"/>
        </w:rPr>
        <w:t>2.1.6 “现场”系指合同约定提供服务的地点。</w:t>
      </w:r>
    </w:p>
    <w:p w14:paraId="15032EA2">
      <w:pPr>
        <w:spacing w:line="560" w:lineRule="exact"/>
        <w:ind w:firstLine="482" w:firstLineChars="200"/>
        <w:rPr>
          <w:rFonts w:ascii="宋体" w:hAnsi="宋体"/>
          <w:b/>
          <w:color w:val="auto"/>
          <w:sz w:val="24"/>
          <w:highlight w:val="none"/>
        </w:rPr>
      </w:pPr>
      <w:bookmarkStart w:id="462" w:name="_Toc4244"/>
      <w:bookmarkStart w:id="463" w:name="_Toc3769"/>
      <w:bookmarkStart w:id="464" w:name="_Toc23289"/>
      <w:bookmarkStart w:id="465" w:name="_Toc31402"/>
      <w:bookmarkStart w:id="466" w:name="_Toc16752"/>
      <w:bookmarkStart w:id="467" w:name="_Toc19539"/>
      <w:r>
        <w:rPr>
          <w:rFonts w:ascii="宋体" w:hAnsi="宋体"/>
          <w:b/>
          <w:color w:val="auto"/>
          <w:sz w:val="24"/>
          <w:highlight w:val="none"/>
        </w:rPr>
        <w:t>2.2 技术规范</w:t>
      </w:r>
      <w:bookmarkEnd w:id="462"/>
      <w:bookmarkEnd w:id="463"/>
      <w:bookmarkEnd w:id="464"/>
      <w:bookmarkEnd w:id="465"/>
      <w:bookmarkEnd w:id="466"/>
      <w:bookmarkEnd w:id="467"/>
    </w:p>
    <w:p w14:paraId="00DEE107">
      <w:pPr>
        <w:spacing w:line="560" w:lineRule="exact"/>
        <w:ind w:firstLine="480" w:firstLineChars="200"/>
        <w:rPr>
          <w:rFonts w:ascii="宋体" w:hAnsi="宋体"/>
          <w:color w:val="auto"/>
          <w:sz w:val="24"/>
          <w:highlight w:val="none"/>
        </w:rPr>
      </w:pPr>
      <w:r>
        <w:rPr>
          <w:rFonts w:hint="eastAsia" w:ascii="宋体" w:hAnsi="宋体"/>
          <w:color w:val="auto"/>
          <w:sz w:val="24"/>
          <w:highlight w:val="none"/>
        </w:rPr>
        <w:t>服务</w:t>
      </w:r>
      <w:r>
        <w:rPr>
          <w:rFonts w:ascii="宋体" w:hAnsi="宋体"/>
          <w:color w:val="auto"/>
          <w:sz w:val="24"/>
          <w:highlight w:val="none"/>
        </w:rPr>
        <w:t>所应遵守的技术规范应与采购文件规定的技术规范和技术规范附件</w:t>
      </w:r>
      <w:r>
        <w:rPr>
          <w:rFonts w:hint="eastAsia" w:ascii="宋体" w:hAnsi="宋体"/>
          <w:color w:val="auto"/>
          <w:sz w:val="24"/>
          <w:highlight w:val="none"/>
        </w:rPr>
        <w:t>（</w:t>
      </w:r>
      <w:r>
        <w:rPr>
          <w:rFonts w:ascii="宋体" w:hAnsi="宋体"/>
          <w:color w:val="auto"/>
          <w:sz w:val="24"/>
          <w:highlight w:val="none"/>
        </w:rPr>
        <w:t>如果有的话</w:t>
      </w:r>
      <w:r>
        <w:rPr>
          <w:rFonts w:hint="eastAsia" w:ascii="宋体" w:hAnsi="宋体"/>
          <w:color w:val="auto"/>
          <w:sz w:val="24"/>
          <w:highlight w:val="none"/>
        </w:rPr>
        <w:t>）</w:t>
      </w:r>
      <w:r>
        <w:rPr>
          <w:rFonts w:ascii="宋体" w:hAnsi="宋体"/>
          <w:color w:val="auto"/>
          <w:sz w:val="24"/>
          <w:highlight w:val="none"/>
        </w:rPr>
        <w:t>及其技术规范偏差表</w:t>
      </w:r>
      <w:r>
        <w:rPr>
          <w:rFonts w:hint="eastAsia" w:ascii="宋体" w:hAnsi="宋体"/>
          <w:color w:val="auto"/>
          <w:sz w:val="24"/>
          <w:highlight w:val="none"/>
        </w:rPr>
        <w:t>（</w:t>
      </w:r>
      <w:r>
        <w:rPr>
          <w:rFonts w:ascii="宋体" w:hAnsi="宋体"/>
          <w:color w:val="auto"/>
          <w:sz w:val="24"/>
          <w:highlight w:val="none"/>
        </w:rPr>
        <w:t>如果被甲方接受的话</w:t>
      </w:r>
      <w:r>
        <w:rPr>
          <w:rFonts w:hint="eastAsia" w:ascii="宋体" w:hAnsi="宋体"/>
          <w:color w:val="auto"/>
          <w:sz w:val="24"/>
          <w:highlight w:val="none"/>
        </w:rPr>
        <w:t>）</w:t>
      </w:r>
      <w:r>
        <w:rPr>
          <w:rFonts w:ascii="宋体" w:hAnsi="宋体"/>
          <w:color w:val="auto"/>
          <w:sz w:val="24"/>
          <w:highlight w:val="none"/>
        </w:rPr>
        <w:t>相一致</w:t>
      </w:r>
      <w:r>
        <w:rPr>
          <w:rFonts w:hint="eastAsia" w:ascii="宋体" w:hAnsi="宋体"/>
          <w:color w:val="auto"/>
          <w:sz w:val="24"/>
          <w:highlight w:val="none"/>
        </w:rPr>
        <w:t>；</w:t>
      </w:r>
      <w:r>
        <w:rPr>
          <w:rFonts w:ascii="宋体" w:hAnsi="宋体"/>
          <w:color w:val="auto"/>
          <w:sz w:val="24"/>
          <w:highlight w:val="none"/>
        </w:rPr>
        <w:t>如果采购文件中没有技术规范的相应说明，那么应以国家有关部门最新颁布的相应标准</w:t>
      </w:r>
      <w:r>
        <w:rPr>
          <w:rFonts w:hint="eastAsia" w:ascii="宋体" w:hAnsi="宋体"/>
          <w:color w:val="auto"/>
          <w:sz w:val="24"/>
          <w:highlight w:val="none"/>
        </w:rPr>
        <w:t>和</w:t>
      </w:r>
      <w:r>
        <w:rPr>
          <w:rFonts w:ascii="宋体" w:hAnsi="宋体"/>
          <w:color w:val="auto"/>
          <w:sz w:val="24"/>
          <w:highlight w:val="none"/>
        </w:rPr>
        <w:t>规范为准。</w:t>
      </w:r>
    </w:p>
    <w:p w14:paraId="7E65D496">
      <w:pPr>
        <w:spacing w:line="560" w:lineRule="exact"/>
        <w:ind w:firstLine="482" w:firstLineChars="200"/>
        <w:rPr>
          <w:rFonts w:ascii="宋体" w:hAnsi="宋体"/>
          <w:b/>
          <w:color w:val="auto"/>
          <w:sz w:val="24"/>
          <w:highlight w:val="none"/>
        </w:rPr>
      </w:pPr>
      <w:bookmarkStart w:id="468" w:name="_Toc18361"/>
      <w:bookmarkStart w:id="469" w:name="_Toc9161"/>
      <w:bookmarkStart w:id="470" w:name="_Toc4133"/>
      <w:bookmarkStart w:id="471" w:name="_Toc12412"/>
      <w:bookmarkStart w:id="472" w:name="_Toc13673"/>
      <w:bookmarkStart w:id="473" w:name="_Toc27945"/>
      <w:r>
        <w:rPr>
          <w:rFonts w:ascii="宋体" w:hAnsi="宋体"/>
          <w:b/>
          <w:color w:val="auto"/>
          <w:sz w:val="24"/>
          <w:highlight w:val="none"/>
        </w:rPr>
        <w:t>2.3 知识产权</w:t>
      </w:r>
      <w:bookmarkEnd w:id="468"/>
      <w:bookmarkEnd w:id="469"/>
      <w:bookmarkEnd w:id="470"/>
      <w:bookmarkEnd w:id="471"/>
      <w:bookmarkEnd w:id="472"/>
      <w:bookmarkEnd w:id="473"/>
    </w:p>
    <w:p w14:paraId="0000A815">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2.3.1 </w:t>
      </w:r>
      <w:r>
        <w:rPr>
          <w:rFonts w:hint="eastAsia" w:ascii="宋体" w:hAnsi="宋体"/>
          <w:color w:val="auto"/>
          <w:sz w:val="24"/>
          <w:highlight w:val="none"/>
        </w:rPr>
        <w:t>乙</w:t>
      </w:r>
      <w:r>
        <w:rPr>
          <w:rFonts w:ascii="宋体" w:hAnsi="宋体"/>
          <w:color w:val="auto"/>
          <w:sz w:val="24"/>
          <w:highlight w:val="none"/>
        </w:rPr>
        <w:t>方应保证</w:t>
      </w:r>
      <w:r>
        <w:rPr>
          <w:rFonts w:hint="eastAsia" w:ascii="宋体" w:hAnsi="宋体"/>
          <w:color w:val="auto"/>
          <w:sz w:val="24"/>
          <w:highlight w:val="none"/>
        </w:rPr>
        <w:t>其提供的服务</w:t>
      </w:r>
      <w:r>
        <w:rPr>
          <w:rFonts w:ascii="宋体" w:hAnsi="宋体"/>
          <w:color w:val="auto"/>
          <w:sz w:val="24"/>
          <w:highlight w:val="none"/>
        </w:rPr>
        <w:t>不受任何第三方提出的侵犯其著作权、商标权、专利权等知识产权方面的起诉</w:t>
      </w:r>
      <w:r>
        <w:rPr>
          <w:rFonts w:hint="eastAsia" w:ascii="宋体" w:hAnsi="宋体"/>
          <w:color w:val="auto"/>
          <w:sz w:val="24"/>
          <w:highlight w:val="none"/>
        </w:rPr>
        <w:t>；</w:t>
      </w:r>
      <w:r>
        <w:rPr>
          <w:rFonts w:ascii="宋体" w:hAnsi="宋体"/>
          <w:color w:val="auto"/>
          <w:sz w:val="24"/>
          <w:highlight w:val="none"/>
        </w:rPr>
        <w:t>如果任何第三方提出侵权</w:t>
      </w:r>
      <w:r>
        <w:rPr>
          <w:rFonts w:hint="eastAsia" w:ascii="宋体" w:hAnsi="宋体"/>
          <w:color w:val="auto"/>
          <w:sz w:val="24"/>
          <w:highlight w:val="none"/>
        </w:rPr>
        <w:t>指控</w:t>
      </w:r>
      <w:r>
        <w:rPr>
          <w:rFonts w:ascii="宋体" w:hAnsi="宋体"/>
          <w:color w:val="auto"/>
          <w:sz w:val="24"/>
          <w:highlight w:val="none"/>
        </w:rPr>
        <w:t>，那么乙方须与该第三方交涉并承担由此发生的一切责任、费用和赔偿</w:t>
      </w:r>
      <w:r>
        <w:rPr>
          <w:rFonts w:hint="eastAsia" w:ascii="宋体" w:hAnsi="宋体"/>
          <w:color w:val="auto"/>
          <w:sz w:val="24"/>
          <w:highlight w:val="none"/>
        </w:rPr>
        <w:t>，乙方还应及时澄清相关信息，使甲方声誉免受损害，甲方保留追责的权利。</w:t>
      </w:r>
    </w:p>
    <w:p w14:paraId="13535AEC">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2.3.2 </w:t>
      </w:r>
      <w:r>
        <w:rPr>
          <w:rFonts w:hint="eastAsia" w:ascii="宋体" w:hAnsi="宋体"/>
          <w:color w:val="auto"/>
          <w:sz w:val="24"/>
          <w:highlight w:val="none"/>
        </w:rPr>
        <w:t>合同涉及技术成果的归属和收益的分成办法的，</w:t>
      </w:r>
      <w:r>
        <w:rPr>
          <w:rFonts w:ascii="宋体" w:hAnsi="宋体"/>
          <w:color w:val="auto"/>
          <w:sz w:val="24"/>
          <w:highlight w:val="none"/>
        </w:rPr>
        <w:t>详见</w:t>
      </w:r>
      <w:r>
        <w:rPr>
          <w:rFonts w:ascii="宋体" w:hAnsi="宋体"/>
          <w:b/>
          <w:i/>
          <w:color w:val="auto"/>
          <w:sz w:val="24"/>
          <w:highlight w:val="none"/>
          <w:u w:val="single"/>
        </w:rPr>
        <w:t>合同专用条款</w:t>
      </w:r>
      <w:r>
        <w:rPr>
          <w:rFonts w:ascii="宋体" w:hAnsi="宋体"/>
          <w:color w:val="auto"/>
          <w:sz w:val="24"/>
          <w:highlight w:val="none"/>
        </w:rPr>
        <w:t>。</w:t>
      </w:r>
    </w:p>
    <w:p w14:paraId="1514F2CC">
      <w:pPr>
        <w:spacing w:line="560" w:lineRule="exact"/>
        <w:ind w:firstLine="482" w:firstLineChars="200"/>
        <w:rPr>
          <w:rFonts w:ascii="宋体" w:hAnsi="宋体"/>
          <w:b/>
          <w:color w:val="auto"/>
          <w:sz w:val="24"/>
          <w:highlight w:val="none"/>
        </w:rPr>
      </w:pPr>
      <w:r>
        <w:rPr>
          <w:rFonts w:ascii="宋体" w:hAnsi="宋体"/>
          <w:b/>
          <w:color w:val="auto"/>
          <w:sz w:val="24"/>
          <w:highlight w:val="none"/>
        </w:rPr>
        <w:t xml:space="preserve">2.4 </w:t>
      </w:r>
      <w:r>
        <w:rPr>
          <w:rFonts w:hint="eastAsia" w:ascii="宋体" w:hAnsi="宋体"/>
          <w:b/>
          <w:color w:val="auto"/>
          <w:sz w:val="24"/>
          <w:highlight w:val="none"/>
        </w:rPr>
        <w:t>履约检查和问题反馈</w:t>
      </w:r>
    </w:p>
    <w:p w14:paraId="4F34FBB6">
      <w:pPr>
        <w:spacing w:line="560" w:lineRule="exact"/>
        <w:ind w:firstLine="480" w:firstLineChars="200"/>
        <w:rPr>
          <w:rFonts w:ascii="宋体" w:hAnsi="宋体"/>
          <w:color w:val="auto"/>
          <w:sz w:val="24"/>
          <w:highlight w:val="none"/>
        </w:rPr>
      </w:pPr>
      <w:r>
        <w:rPr>
          <w:rFonts w:ascii="宋体" w:hAnsi="宋体"/>
          <w:color w:val="auto"/>
          <w:sz w:val="24"/>
          <w:highlight w:val="none"/>
        </w:rPr>
        <w:t>2.4.1甲方</w:t>
      </w:r>
      <w:r>
        <w:rPr>
          <w:rFonts w:hint="eastAsia" w:ascii="宋体" w:hAnsi="宋体"/>
          <w:color w:val="auto"/>
          <w:sz w:val="24"/>
          <w:highlight w:val="none"/>
        </w:rPr>
        <w:t>有权</w:t>
      </w:r>
      <w:r>
        <w:rPr>
          <w:rFonts w:ascii="宋体" w:hAnsi="宋体"/>
          <w:color w:val="auto"/>
          <w:sz w:val="24"/>
          <w:highlight w:val="none"/>
        </w:rPr>
        <w:t>在其认为必要时</w:t>
      </w:r>
      <w:r>
        <w:rPr>
          <w:rFonts w:hint="eastAsia" w:ascii="宋体" w:hAnsi="宋体"/>
          <w:color w:val="auto"/>
          <w:sz w:val="24"/>
          <w:highlight w:val="none"/>
        </w:rPr>
        <w:t>，对乙方是否能够按照合同约定提供服务进行履约检查，以确保乙方所提供的服务能够依约满足甲方之项目需求，但不得因履约检查妨碍乙方的正常工作，乙方应予积极配合；</w:t>
      </w:r>
    </w:p>
    <w:p w14:paraId="08549129">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2.4.2 </w:t>
      </w:r>
      <w:r>
        <w:rPr>
          <w:rFonts w:hint="eastAsia" w:ascii="宋体" w:hAnsi="宋体"/>
          <w:color w:val="auto"/>
          <w:sz w:val="24"/>
          <w:highlight w:val="none"/>
        </w:rPr>
        <w:t>合同履行期间，甲方有权将履行过程中出现的问题反馈给乙方，双方当事人应以书面形式约定需要完善和改进的内容。</w:t>
      </w:r>
    </w:p>
    <w:p w14:paraId="33611B37">
      <w:pPr>
        <w:spacing w:line="560" w:lineRule="exact"/>
        <w:ind w:firstLine="482" w:firstLineChars="200"/>
        <w:rPr>
          <w:rFonts w:ascii="宋体" w:hAnsi="宋体"/>
          <w:b/>
          <w:color w:val="auto"/>
          <w:sz w:val="24"/>
          <w:highlight w:val="none"/>
        </w:rPr>
      </w:pPr>
      <w:bookmarkStart w:id="474" w:name="_Toc26555"/>
      <w:bookmarkStart w:id="475" w:name="_Toc22011"/>
      <w:bookmarkStart w:id="476" w:name="_Toc31233"/>
      <w:bookmarkStart w:id="477" w:name="_Toc32670"/>
      <w:bookmarkStart w:id="478" w:name="_Toc15447"/>
      <w:bookmarkStart w:id="479" w:name="_Toc31132"/>
      <w:r>
        <w:rPr>
          <w:rFonts w:ascii="宋体" w:hAnsi="宋体"/>
          <w:b/>
          <w:color w:val="auto"/>
          <w:sz w:val="24"/>
          <w:highlight w:val="none"/>
        </w:rPr>
        <w:t>2.5 结算方式和付款条件</w:t>
      </w:r>
      <w:bookmarkEnd w:id="474"/>
      <w:bookmarkEnd w:id="475"/>
      <w:bookmarkEnd w:id="476"/>
      <w:bookmarkEnd w:id="477"/>
      <w:bookmarkEnd w:id="478"/>
      <w:bookmarkEnd w:id="479"/>
    </w:p>
    <w:p w14:paraId="5CF3CB34">
      <w:pPr>
        <w:spacing w:line="560" w:lineRule="exact"/>
        <w:ind w:firstLine="480" w:firstLineChars="200"/>
        <w:rPr>
          <w:rFonts w:ascii="宋体" w:hAnsi="宋体"/>
          <w:color w:val="auto"/>
          <w:sz w:val="24"/>
          <w:highlight w:val="none"/>
        </w:rPr>
      </w:pPr>
      <w:r>
        <w:rPr>
          <w:rFonts w:ascii="宋体" w:hAnsi="宋体"/>
          <w:color w:val="auto"/>
          <w:sz w:val="24"/>
          <w:highlight w:val="none"/>
        </w:rPr>
        <w:t>详见</w:t>
      </w:r>
      <w:r>
        <w:rPr>
          <w:rFonts w:ascii="宋体" w:hAnsi="宋体"/>
          <w:b/>
          <w:i/>
          <w:color w:val="auto"/>
          <w:sz w:val="24"/>
          <w:highlight w:val="none"/>
          <w:u w:val="single"/>
        </w:rPr>
        <w:t>合同专用条款</w:t>
      </w:r>
      <w:r>
        <w:rPr>
          <w:rFonts w:ascii="宋体" w:hAnsi="宋体"/>
          <w:color w:val="auto"/>
          <w:sz w:val="24"/>
          <w:highlight w:val="none"/>
        </w:rPr>
        <w:t>。</w:t>
      </w:r>
    </w:p>
    <w:p w14:paraId="5EBC59D7">
      <w:pPr>
        <w:spacing w:line="560" w:lineRule="exact"/>
        <w:ind w:firstLine="482" w:firstLineChars="200"/>
        <w:rPr>
          <w:rFonts w:ascii="宋体" w:hAnsi="宋体"/>
          <w:b/>
          <w:color w:val="auto"/>
          <w:sz w:val="24"/>
          <w:highlight w:val="none"/>
        </w:rPr>
      </w:pPr>
      <w:bookmarkStart w:id="480" w:name="_Toc16163"/>
      <w:bookmarkStart w:id="481" w:name="_Toc20400"/>
      <w:bookmarkStart w:id="482" w:name="_Toc13467"/>
      <w:bookmarkStart w:id="483" w:name="_Toc30507"/>
      <w:bookmarkStart w:id="484" w:name="_Toc18990"/>
      <w:bookmarkStart w:id="485" w:name="_Toc13154"/>
      <w:r>
        <w:rPr>
          <w:rFonts w:ascii="宋体" w:hAnsi="宋体"/>
          <w:b/>
          <w:color w:val="auto"/>
          <w:sz w:val="24"/>
          <w:highlight w:val="none"/>
        </w:rPr>
        <w:t>2.6 技术资料和保密义务</w:t>
      </w:r>
      <w:bookmarkEnd w:id="480"/>
      <w:bookmarkEnd w:id="481"/>
      <w:bookmarkEnd w:id="482"/>
      <w:bookmarkEnd w:id="483"/>
      <w:bookmarkEnd w:id="484"/>
      <w:bookmarkEnd w:id="485"/>
    </w:p>
    <w:p w14:paraId="33A929F4">
      <w:pPr>
        <w:spacing w:line="560" w:lineRule="exact"/>
        <w:ind w:firstLine="480" w:firstLineChars="200"/>
        <w:rPr>
          <w:rFonts w:ascii="宋体" w:hAnsi="宋体"/>
          <w:color w:val="auto"/>
          <w:sz w:val="24"/>
          <w:highlight w:val="none"/>
        </w:rPr>
      </w:pPr>
      <w:r>
        <w:rPr>
          <w:rFonts w:ascii="宋体" w:hAnsi="宋体"/>
          <w:color w:val="auto"/>
          <w:sz w:val="24"/>
          <w:highlight w:val="none"/>
        </w:rPr>
        <w:t>2.6.1 乙方有权依据合同约定和项目需要，向甲方了解有关情况，调阅有关资料等，甲方应予积极配合；</w:t>
      </w:r>
    </w:p>
    <w:p w14:paraId="68A431F5">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2.6.2 </w:t>
      </w:r>
      <w:r>
        <w:rPr>
          <w:rFonts w:hint="eastAsia" w:ascii="宋体" w:hAnsi="宋体"/>
          <w:color w:val="auto"/>
          <w:sz w:val="24"/>
          <w:highlight w:val="none"/>
        </w:rPr>
        <w:t>乙方有义务妥善保管和保护由甲方提供的前款信息和资料等；</w:t>
      </w:r>
    </w:p>
    <w:p w14:paraId="1382E099">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2.6.3 </w:t>
      </w:r>
      <w:r>
        <w:rPr>
          <w:rFonts w:hint="eastAsia" w:ascii="宋体" w:hAnsi="宋体"/>
          <w:color w:val="auto"/>
          <w:sz w:val="24"/>
          <w:highlight w:val="none"/>
        </w:rPr>
        <w:t>除非依照法律规定或者对方当事人的书面同意，任何一方均应保证不向任何第三方提供或披露有关合同的或者履行合同过程中知悉的对方当事人任何未公开的信息和资料，包括但不限于</w:t>
      </w:r>
      <w:r>
        <w:rPr>
          <w:rFonts w:ascii="宋体" w:hAnsi="宋体"/>
          <w:color w:val="auto"/>
          <w:sz w:val="24"/>
          <w:highlight w:val="none"/>
        </w:rPr>
        <w:t>技术情报</w:t>
      </w:r>
      <w:r>
        <w:rPr>
          <w:rFonts w:hint="eastAsia" w:ascii="宋体" w:hAnsi="宋体"/>
          <w:color w:val="auto"/>
          <w:sz w:val="24"/>
          <w:highlight w:val="none"/>
        </w:rPr>
        <w:t>、</w:t>
      </w:r>
      <w:r>
        <w:rPr>
          <w:rFonts w:ascii="宋体" w:hAnsi="宋体"/>
          <w:color w:val="auto"/>
          <w:sz w:val="24"/>
          <w:highlight w:val="none"/>
        </w:rPr>
        <w:t>技术资料</w:t>
      </w:r>
      <w:r>
        <w:rPr>
          <w:rFonts w:hint="eastAsia" w:ascii="宋体" w:hAnsi="宋体"/>
          <w:color w:val="auto"/>
          <w:sz w:val="24"/>
          <w:highlight w:val="none"/>
        </w:rPr>
        <w:t>、商业秘密和商业信息等，并采取一切合理和必要措施和方式防止任何第三方接触到对方当事人的上述保密信息和资料。</w:t>
      </w:r>
    </w:p>
    <w:p w14:paraId="61EA95A1">
      <w:pPr>
        <w:spacing w:line="560" w:lineRule="exact"/>
        <w:ind w:firstLine="482" w:firstLineChars="200"/>
        <w:rPr>
          <w:rFonts w:ascii="宋体" w:hAnsi="宋体"/>
          <w:b/>
          <w:color w:val="auto"/>
          <w:sz w:val="24"/>
          <w:highlight w:val="none"/>
        </w:rPr>
      </w:pPr>
      <w:bookmarkStart w:id="486" w:name="_Toc29995"/>
      <w:bookmarkStart w:id="487" w:name="_Toc19069"/>
      <w:r>
        <w:rPr>
          <w:rFonts w:ascii="宋体" w:hAnsi="宋体"/>
          <w:b/>
          <w:color w:val="auto"/>
          <w:sz w:val="24"/>
          <w:highlight w:val="none"/>
        </w:rPr>
        <w:t xml:space="preserve">2.7 </w:t>
      </w:r>
      <w:r>
        <w:rPr>
          <w:rFonts w:hint="eastAsia" w:ascii="宋体" w:hAnsi="宋体"/>
          <w:b/>
          <w:color w:val="auto"/>
          <w:sz w:val="24"/>
          <w:highlight w:val="none"/>
        </w:rPr>
        <w:t>质量保证</w:t>
      </w:r>
      <w:bookmarkEnd w:id="486"/>
      <w:bookmarkEnd w:id="487"/>
    </w:p>
    <w:p w14:paraId="43A43000">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2.7.1 </w:t>
      </w:r>
      <w:r>
        <w:rPr>
          <w:rFonts w:hint="eastAsia" w:ascii="宋体" w:hAnsi="宋体"/>
          <w:color w:val="auto"/>
          <w:sz w:val="24"/>
          <w:highlight w:val="none"/>
        </w:rPr>
        <w:t>乙方应建立和完善履行合同的内部质量保证体系，并提供相关内部规章制度给甲方，以便甲方进行监督检查；</w:t>
      </w:r>
    </w:p>
    <w:p w14:paraId="18536391">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2.7.2 </w:t>
      </w:r>
      <w:r>
        <w:rPr>
          <w:rFonts w:hint="eastAsia" w:ascii="宋体" w:hAnsi="宋体"/>
          <w:color w:val="auto"/>
          <w:sz w:val="24"/>
          <w:highlight w:val="none"/>
        </w:rPr>
        <w:t>乙方应保证履行合同的人员数量和素质、软件和硬件设备的配置、场地、环境和设施等满足全面履行合同的要求，并应接受甲方的监督检查。</w:t>
      </w:r>
    </w:p>
    <w:p w14:paraId="39851AFD">
      <w:pPr>
        <w:spacing w:line="560" w:lineRule="exact"/>
        <w:ind w:firstLine="482" w:firstLineChars="200"/>
        <w:rPr>
          <w:rFonts w:ascii="宋体" w:hAnsi="宋体"/>
          <w:b/>
          <w:color w:val="auto"/>
          <w:sz w:val="24"/>
          <w:highlight w:val="none"/>
        </w:rPr>
      </w:pPr>
      <w:bookmarkStart w:id="488" w:name="_Toc22267"/>
      <w:bookmarkStart w:id="489" w:name="_Toc3270"/>
      <w:r>
        <w:rPr>
          <w:rFonts w:ascii="宋体" w:hAnsi="宋体"/>
          <w:b/>
          <w:color w:val="auto"/>
          <w:sz w:val="24"/>
          <w:highlight w:val="none"/>
        </w:rPr>
        <w:t xml:space="preserve">2.8 </w:t>
      </w:r>
      <w:r>
        <w:rPr>
          <w:rFonts w:hint="eastAsia" w:ascii="宋体" w:hAnsi="宋体"/>
          <w:b/>
          <w:color w:val="auto"/>
          <w:sz w:val="24"/>
          <w:highlight w:val="none"/>
        </w:rPr>
        <w:t>延迟履行</w:t>
      </w:r>
      <w:bookmarkEnd w:id="488"/>
      <w:bookmarkEnd w:id="489"/>
    </w:p>
    <w:p w14:paraId="2CAFB480">
      <w:pPr>
        <w:spacing w:line="560" w:lineRule="exact"/>
        <w:ind w:firstLine="480" w:firstLineChars="200"/>
        <w:rPr>
          <w:rFonts w:ascii="宋体" w:hAnsi="宋体"/>
          <w:color w:val="auto"/>
          <w:sz w:val="24"/>
          <w:highlight w:val="none"/>
        </w:rPr>
      </w:pPr>
      <w:r>
        <w:rPr>
          <w:rFonts w:hint="eastAsia" w:ascii="宋体" w:hAnsi="宋体"/>
          <w:color w:val="auto"/>
          <w:sz w:val="24"/>
          <w:highlight w:val="none"/>
        </w:rPr>
        <w:t>甲乙双方签订合同后，乙方应按照合同约定履行合同义务，除不可抗力外，乙方不得延迟履行。</w:t>
      </w:r>
      <w:r>
        <w:rPr>
          <w:rFonts w:ascii="宋体" w:hAnsi="宋体"/>
          <w:color w:val="auto"/>
          <w:sz w:val="24"/>
          <w:highlight w:val="none"/>
        </w:rPr>
        <w:t>在合同履行过程中，如果</w:t>
      </w:r>
      <w:r>
        <w:rPr>
          <w:rFonts w:hint="eastAsia" w:ascii="宋体" w:hAnsi="宋体"/>
          <w:color w:val="auto"/>
          <w:sz w:val="24"/>
          <w:highlight w:val="none"/>
        </w:rPr>
        <w:t>因不可抗力，</w:t>
      </w:r>
      <w:r>
        <w:rPr>
          <w:rFonts w:ascii="宋体" w:hAnsi="宋体"/>
          <w:color w:val="auto"/>
          <w:sz w:val="24"/>
          <w:highlight w:val="none"/>
        </w:rPr>
        <w:t>乙方遇到不能按时</w:t>
      </w:r>
      <w:r>
        <w:rPr>
          <w:rFonts w:hint="eastAsia" w:ascii="宋体" w:hAnsi="宋体"/>
          <w:color w:val="auto"/>
          <w:sz w:val="24"/>
          <w:highlight w:val="none"/>
        </w:rPr>
        <w:t>提供服务</w:t>
      </w:r>
      <w:r>
        <w:rPr>
          <w:rFonts w:ascii="宋体" w:hAnsi="宋体"/>
          <w:color w:val="auto"/>
          <w:sz w:val="24"/>
          <w:highlight w:val="none"/>
        </w:rPr>
        <w:t>的情况，应及时以书面形式将不能按时</w:t>
      </w:r>
      <w:r>
        <w:rPr>
          <w:rFonts w:hint="eastAsia" w:ascii="宋体" w:hAnsi="宋体"/>
          <w:color w:val="auto"/>
          <w:sz w:val="24"/>
          <w:highlight w:val="none"/>
        </w:rPr>
        <w:t>提供服务</w:t>
      </w:r>
      <w:r>
        <w:rPr>
          <w:rFonts w:ascii="宋体" w:hAnsi="宋体"/>
          <w:color w:val="auto"/>
          <w:sz w:val="24"/>
          <w:highlight w:val="none"/>
        </w:rPr>
        <w:t>的理由、预期延误时间通知甲方</w:t>
      </w:r>
      <w:r>
        <w:rPr>
          <w:rFonts w:hint="eastAsia" w:ascii="宋体" w:hAnsi="宋体"/>
          <w:color w:val="auto"/>
          <w:sz w:val="24"/>
          <w:highlight w:val="none"/>
        </w:rPr>
        <w:t>；甲</w:t>
      </w:r>
      <w:r>
        <w:rPr>
          <w:rFonts w:ascii="宋体" w:hAnsi="宋体"/>
          <w:color w:val="auto"/>
          <w:sz w:val="24"/>
          <w:highlight w:val="none"/>
        </w:rPr>
        <w:t>方收到乙方通知后，认为其理由正当的，可以书面形式酌情同意乙方可以延长</w:t>
      </w:r>
      <w:r>
        <w:rPr>
          <w:rFonts w:hint="eastAsia" w:ascii="宋体" w:hAnsi="宋体"/>
          <w:color w:val="auto"/>
          <w:sz w:val="24"/>
          <w:highlight w:val="none"/>
        </w:rPr>
        <w:t>履行</w:t>
      </w:r>
      <w:r>
        <w:rPr>
          <w:rFonts w:ascii="宋体" w:hAnsi="宋体"/>
          <w:color w:val="auto"/>
          <w:sz w:val="24"/>
          <w:highlight w:val="none"/>
        </w:rPr>
        <w:t>的具体时间。</w:t>
      </w:r>
    </w:p>
    <w:p w14:paraId="0DA4E963">
      <w:pPr>
        <w:spacing w:line="560" w:lineRule="exact"/>
        <w:ind w:firstLine="482" w:firstLineChars="200"/>
        <w:rPr>
          <w:rFonts w:ascii="宋体" w:hAnsi="宋体"/>
          <w:b/>
          <w:color w:val="auto"/>
          <w:sz w:val="24"/>
          <w:highlight w:val="none"/>
        </w:rPr>
      </w:pPr>
      <w:bookmarkStart w:id="490" w:name="_Toc28731"/>
      <w:bookmarkStart w:id="491" w:name="_Toc10611"/>
      <w:r>
        <w:rPr>
          <w:rFonts w:ascii="宋体" w:hAnsi="宋体"/>
          <w:b/>
          <w:color w:val="auto"/>
          <w:sz w:val="24"/>
          <w:highlight w:val="none"/>
        </w:rPr>
        <w:t xml:space="preserve">2.9 </w:t>
      </w:r>
      <w:r>
        <w:rPr>
          <w:rFonts w:hint="eastAsia" w:ascii="宋体" w:hAnsi="宋体"/>
          <w:b/>
          <w:color w:val="auto"/>
          <w:sz w:val="24"/>
          <w:highlight w:val="none"/>
        </w:rPr>
        <w:t>合同变更</w:t>
      </w:r>
      <w:bookmarkEnd w:id="490"/>
      <w:bookmarkEnd w:id="491"/>
    </w:p>
    <w:p w14:paraId="368B1D5B">
      <w:pPr>
        <w:spacing w:line="560" w:lineRule="exact"/>
        <w:ind w:firstLine="480" w:firstLineChars="200"/>
        <w:rPr>
          <w:rFonts w:ascii="宋体" w:hAnsi="宋体"/>
          <w:color w:val="auto"/>
          <w:sz w:val="24"/>
          <w:highlight w:val="none"/>
        </w:rPr>
      </w:pPr>
      <w:r>
        <w:rPr>
          <w:rFonts w:hint="eastAsia" w:ascii="宋体" w:hAnsi="宋体"/>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0501FE0C">
      <w:pPr>
        <w:spacing w:line="560" w:lineRule="exact"/>
        <w:ind w:firstLine="482" w:firstLineChars="200"/>
        <w:rPr>
          <w:rFonts w:ascii="宋体" w:hAnsi="宋体"/>
          <w:b/>
          <w:color w:val="auto"/>
          <w:sz w:val="24"/>
          <w:highlight w:val="none"/>
        </w:rPr>
      </w:pPr>
      <w:bookmarkStart w:id="492" w:name="_Toc21830"/>
      <w:bookmarkStart w:id="493" w:name="_Toc23368"/>
      <w:bookmarkStart w:id="494" w:name="_Toc42"/>
      <w:bookmarkStart w:id="495" w:name="_Toc16313"/>
      <w:bookmarkStart w:id="496" w:name="_Toc10663"/>
      <w:bookmarkStart w:id="497" w:name="_Toc26689"/>
      <w:r>
        <w:rPr>
          <w:rFonts w:ascii="宋体" w:hAnsi="宋体"/>
          <w:b/>
          <w:color w:val="auto"/>
          <w:sz w:val="24"/>
          <w:highlight w:val="none"/>
        </w:rPr>
        <w:t>2.10 合同转让和分包</w:t>
      </w:r>
      <w:bookmarkEnd w:id="492"/>
      <w:bookmarkEnd w:id="493"/>
      <w:bookmarkEnd w:id="494"/>
      <w:bookmarkEnd w:id="495"/>
      <w:bookmarkEnd w:id="496"/>
      <w:bookmarkEnd w:id="497"/>
    </w:p>
    <w:p w14:paraId="7BFB8D1C">
      <w:pPr>
        <w:spacing w:line="560" w:lineRule="exact"/>
        <w:ind w:firstLine="480" w:firstLineChars="200"/>
        <w:rPr>
          <w:rFonts w:ascii="宋体" w:hAnsi="宋体"/>
          <w:color w:val="auto"/>
          <w:sz w:val="24"/>
          <w:highlight w:val="none"/>
        </w:rPr>
      </w:pPr>
      <w:r>
        <w:rPr>
          <w:rFonts w:ascii="宋体" w:hAnsi="宋体"/>
          <w:color w:val="auto"/>
          <w:sz w:val="24"/>
          <w:highlight w:val="none"/>
        </w:rPr>
        <w:t>合同的权利义务依法不</w:t>
      </w:r>
      <w:r>
        <w:rPr>
          <w:rFonts w:hint="eastAsia" w:ascii="宋体" w:hAnsi="宋体"/>
          <w:color w:val="auto"/>
          <w:sz w:val="24"/>
          <w:highlight w:val="none"/>
        </w:rPr>
        <w:t>得</w:t>
      </w:r>
      <w:r>
        <w:rPr>
          <w:rFonts w:ascii="宋体" w:hAnsi="宋体"/>
          <w:color w:val="auto"/>
          <w:sz w:val="24"/>
          <w:highlight w:val="none"/>
        </w:rPr>
        <w:t>转让</w:t>
      </w:r>
      <w:r>
        <w:rPr>
          <w:rFonts w:hint="eastAsia" w:ascii="宋体" w:hAnsi="宋体"/>
          <w:color w:val="auto"/>
          <w:sz w:val="24"/>
          <w:highlight w:val="none"/>
        </w:rPr>
        <w:t>，</w:t>
      </w:r>
      <w:r>
        <w:rPr>
          <w:rFonts w:ascii="宋体" w:hAnsi="宋体"/>
          <w:color w:val="auto"/>
          <w:sz w:val="24"/>
          <w:highlight w:val="none"/>
        </w:rPr>
        <w:t>但经甲方</w:t>
      </w:r>
      <w:r>
        <w:rPr>
          <w:rFonts w:hint="eastAsia" w:ascii="宋体" w:hAnsi="宋体"/>
          <w:color w:val="auto"/>
          <w:sz w:val="24"/>
          <w:highlight w:val="none"/>
        </w:rPr>
        <w:t>同意，乙方可以依法采取分包方式履行合同，即：依法可以</w:t>
      </w:r>
      <w:r>
        <w:rPr>
          <w:rFonts w:ascii="宋体" w:hAnsi="宋体"/>
          <w:color w:val="auto"/>
          <w:sz w:val="24"/>
          <w:highlight w:val="none"/>
        </w:rPr>
        <w:t>将合同项下的部分非主体、非关键性工作分包给他人完成</w:t>
      </w:r>
      <w:r>
        <w:rPr>
          <w:rFonts w:hint="eastAsia" w:ascii="宋体" w:hAnsi="宋体"/>
          <w:color w:val="auto"/>
          <w:sz w:val="24"/>
          <w:highlight w:val="none"/>
        </w:rPr>
        <w:t>，</w:t>
      </w:r>
      <w:r>
        <w:rPr>
          <w:rFonts w:ascii="宋体" w:hAnsi="宋体"/>
          <w:color w:val="auto"/>
          <w:sz w:val="24"/>
          <w:highlight w:val="none"/>
        </w:rPr>
        <w:t>接受分包的人应当具备相应的资格条件，并不得再次分包</w:t>
      </w:r>
      <w:r>
        <w:rPr>
          <w:rFonts w:hint="eastAsia" w:ascii="宋体" w:hAnsi="宋体"/>
          <w:color w:val="auto"/>
          <w:sz w:val="24"/>
          <w:highlight w:val="none"/>
        </w:rPr>
        <w:t>，</w:t>
      </w:r>
      <w:r>
        <w:rPr>
          <w:rFonts w:ascii="宋体" w:hAnsi="宋体"/>
          <w:color w:val="auto"/>
          <w:sz w:val="24"/>
          <w:highlight w:val="none"/>
        </w:rPr>
        <w:t>且乙方应就分包项目向甲方负责</w:t>
      </w:r>
      <w:r>
        <w:rPr>
          <w:rFonts w:hint="eastAsia" w:ascii="宋体" w:hAnsi="宋体"/>
          <w:color w:val="auto"/>
          <w:sz w:val="24"/>
          <w:highlight w:val="none"/>
        </w:rPr>
        <w:t>，</w:t>
      </w:r>
      <w:r>
        <w:rPr>
          <w:rFonts w:ascii="宋体" w:hAnsi="宋体"/>
          <w:color w:val="auto"/>
          <w:sz w:val="24"/>
          <w:highlight w:val="none"/>
        </w:rPr>
        <w:t>并</w:t>
      </w:r>
      <w:r>
        <w:rPr>
          <w:rFonts w:hint="eastAsia" w:ascii="宋体" w:hAnsi="宋体"/>
          <w:color w:val="auto"/>
          <w:sz w:val="24"/>
          <w:highlight w:val="none"/>
        </w:rPr>
        <w:t>与分包供应商就分包项目向甲方承担连带责任。</w:t>
      </w:r>
    </w:p>
    <w:p w14:paraId="4EA37030">
      <w:pPr>
        <w:spacing w:line="560" w:lineRule="exact"/>
        <w:ind w:firstLine="482" w:firstLineChars="200"/>
        <w:rPr>
          <w:rFonts w:ascii="宋体" w:hAnsi="宋体"/>
          <w:b/>
          <w:color w:val="auto"/>
          <w:sz w:val="24"/>
          <w:highlight w:val="none"/>
        </w:rPr>
      </w:pPr>
      <w:bookmarkStart w:id="498" w:name="_Toc32494"/>
      <w:bookmarkStart w:id="499" w:name="_Toc25571"/>
      <w:bookmarkStart w:id="500" w:name="_Toc4720"/>
      <w:bookmarkStart w:id="501" w:name="_Toc14371"/>
      <w:bookmarkStart w:id="502" w:name="_Toc26633"/>
      <w:bookmarkStart w:id="503" w:name="_Toc14746"/>
      <w:r>
        <w:rPr>
          <w:rFonts w:ascii="宋体" w:hAnsi="宋体"/>
          <w:b/>
          <w:color w:val="auto"/>
          <w:sz w:val="24"/>
          <w:highlight w:val="none"/>
        </w:rPr>
        <w:t>2.11 不可抗力</w:t>
      </w:r>
      <w:bookmarkEnd w:id="498"/>
      <w:bookmarkEnd w:id="499"/>
      <w:bookmarkEnd w:id="500"/>
      <w:bookmarkEnd w:id="501"/>
      <w:bookmarkEnd w:id="502"/>
      <w:bookmarkEnd w:id="503"/>
    </w:p>
    <w:p w14:paraId="24A33640">
      <w:pPr>
        <w:spacing w:line="560" w:lineRule="exact"/>
        <w:ind w:firstLine="480" w:firstLineChars="200"/>
        <w:rPr>
          <w:rFonts w:ascii="宋体" w:hAnsi="宋体"/>
          <w:color w:val="auto"/>
          <w:sz w:val="24"/>
          <w:highlight w:val="none"/>
        </w:rPr>
      </w:pPr>
      <w:r>
        <w:rPr>
          <w:rFonts w:ascii="宋体" w:hAnsi="宋体"/>
          <w:color w:val="auto"/>
          <w:sz w:val="24"/>
          <w:highlight w:val="none"/>
        </w:rPr>
        <w:t>2.11.1如果任何一方遭遇法律规定的不可抗力，致使合同履行受阻时，履行合同的期限应予延长，延长的期限应相当于不可抗力所影响的时间</w:t>
      </w:r>
      <w:r>
        <w:rPr>
          <w:rFonts w:hint="eastAsia" w:ascii="宋体" w:hAnsi="宋体"/>
          <w:color w:val="auto"/>
          <w:sz w:val="24"/>
          <w:highlight w:val="none"/>
        </w:rPr>
        <w:t>；</w:t>
      </w:r>
    </w:p>
    <w:p w14:paraId="60E9CEBC">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2.11.2 </w:t>
      </w:r>
      <w:r>
        <w:rPr>
          <w:rFonts w:hint="eastAsia" w:ascii="宋体" w:hAnsi="宋体"/>
          <w:color w:val="auto"/>
          <w:sz w:val="24"/>
          <w:highlight w:val="none"/>
        </w:rPr>
        <w:t>因不可抗力致使不能实现合同目的的，当事人可以解除合同；</w:t>
      </w:r>
    </w:p>
    <w:p w14:paraId="472EAA22">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2.11.3 </w:t>
      </w:r>
      <w:r>
        <w:rPr>
          <w:rFonts w:hint="eastAsia" w:ascii="宋体" w:hAnsi="宋体"/>
          <w:color w:val="auto"/>
          <w:sz w:val="24"/>
          <w:highlight w:val="none"/>
        </w:rPr>
        <w:t>因</w:t>
      </w:r>
      <w:r>
        <w:rPr>
          <w:rFonts w:ascii="宋体" w:hAnsi="宋体"/>
          <w:color w:val="auto"/>
          <w:sz w:val="24"/>
          <w:highlight w:val="none"/>
        </w:rPr>
        <w:t>不可抗力致使合同有变更必要的，双方当事人应在</w:t>
      </w:r>
      <w:r>
        <w:rPr>
          <w:rFonts w:ascii="宋体" w:hAnsi="宋体"/>
          <w:b/>
          <w:i/>
          <w:color w:val="auto"/>
          <w:sz w:val="24"/>
          <w:highlight w:val="none"/>
          <w:u w:val="single"/>
        </w:rPr>
        <w:t>合同专用条款</w:t>
      </w:r>
      <w:r>
        <w:rPr>
          <w:rFonts w:ascii="宋体" w:hAnsi="宋体"/>
          <w:color w:val="auto"/>
          <w:sz w:val="24"/>
          <w:highlight w:val="none"/>
        </w:rPr>
        <w:t>约定时间内以书面形式变更合同</w:t>
      </w:r>
      <w:r>
        <w:rPr>
          <w:rFonts w:hint="eastAsia" w:ascii="宋体" w:hAnsi="宋体"/>
          <w:color w:val="auto"/>
          <w:sz w:val="24"/>
          <w:highlight w:val="none"/>
        </w:rPr>
        <w:t>；</w:t>
      </w:r>
    </w:p>
    <w:p w14:paraId="051CD8F3">
      <w:pPr>
        <w:spacing w:line="560" w:lineRule="exact"/>
        <w:ind w:firstLine="480" w:firstLineChars="200"/>
        <w:rPr>
          <w:rFonts w:ascii="宋体" w:hAnsi="宋体"/>
          <w:color w:val="auto"/>
          <w:sz w:val="24"/>
          <w:highlight w:val="none"/>
        </w:rPr>
      </w:pPr>
      <w:r>
        <w:rPr>
          <w:rFonts w:ascii="宋体" w:hAnsi="宋体"/>
          <w:color w:val="auto"/>
          <w:sz w:val="24"/>
          <w:highlight w:val="none"/>
        </w:rPr>
        <w:t>2.11.4受</w:t>
      </w:r>
      <w:r>
        <w:rPr>
          <w:rFonts w:hint="eastAsia" w:ascii="宋体" w:hAnsi="宋体"/>
          <w:color w:val="auto"/>
          <w:sz w:val="24"/>
          <w:highlight w:val="none"/>
        </w:rPr>
        <w:t>不可抗力</w:t>
      </w:r>
      <w:r>
        <w:rPr>
          <w:rFonts w:ascii="宋体" w:hAnsi="宋体"/>
          <w:color w:val="auto"/>
          <w:sz w:val="24"/>
          <w:highlight w:val="none"/>
        </w:rPr>
        <w:t>影响的一方在不可抗力发生后</w:t>
      </w:r>
      <w:r>
        <w:rPr>
          <w:rFonts w:hint="eastAsia" w:ascii="宋体" w:hAnsi="宋体"/>
          <w:color w:val="auto"/>
          <w:sz w:val="24"/>
          <w:highlight w:val="none"/>
        </w:rPr>
        <w:t>，</w:t>
      </w:r>
      <w:r>
        <w:rPr>
          <w:rFonts w:ascii="宋体" w:hAnsi="宋体"/>
          <w:color w:val="auto"/>
          <w:sz w:val="24"/>
          <w:highlight w:val="none"/>
        </w:rPr>
        <w:t>应在</w:t>
      </w:r>
      <w:r>
        <w:rPr>
          <w:rFonts w:ascii="宋体" w:hAnsi="宋体"/>
          <w:b/>
          <w:i/>
          <w:color w:val="auto"/>
          <w:sz w:val="24"/>
          <w:highlight w:val="none"/>
          <w:u w:val="single"/>
        </w:rPr>
        <w:t>合同专用条款</w:t>
      </w:r>
      <w:r>
        <w:rPr>
          <w:rFonts w:ascii="宋体" w:hAnsi="宋体"/>
          <w:color w:val="auto"/>
          <w:sz w:val="24"/>
          <w:highlight w:val="none"/>
        </w:rPr>
        <w:t>约定时间内以书面形式通知</w:t>
      </w:r>
      <w:r>
        <w:rPr>
          <w:rFonts w:hint="eastAsia" w:ascii="宋体" w:hAnsi="宋体"/>
          <w:color w:val="auto"/>
          <w:sz w:val="24"/>
          <w:highlight w:val="none"/>
        </w:rPr>
        <w:t>对</w:t>
      </w:r>
      <w:r>
        <w:rPr>
          <w:rFonts w:ascii="宋体" w:hAnsi="宋体"/>
          <w:color w:val="auto"/>
          <w:sz w:val="24"/>
          <w:highlight w:val="none"/>
        </w:rPr>
        <w:t>方当事人，并在</w:t>
      </w:r>
      <w:r>
        <w:rPr>
          <w:rFonts w:ascii="宋体" w:hAnsi="宋体"/>
          <w:b/>
          <w:i/>
          <w:color w:val="auto"/>
          <w:sz w:val="24"/>
          <w:highlight w:val="none"/>
          <w:u w:val="single"/>
        </w:rPr>
        <w:t>合同专用条款</w:t>
      </w:r>
      <w:r>
        <w:rPr>
          <w:rFonts w:ascii="宋体" w:hAnsi="宋体"/>
          <w:color w:val="auto"/>
          <w:sz w:val="24"/>
          <w:highlight w:val="none"/>
        </w:rPr>
        <w:t>约定时间内，将有关部门出具的证明文件送达</w:t>
      </w:r>
      <w:r>
        <w:rPr>
          <w:rFonts w:hint="eastAsia" w:ascii="宋体" w:hAnsi="宋体"/>
          <w:color w:val="auto"/>
          <w:sz w:val="24"/>
          <w:highlight w:val="none"/>
        </w:rPr>
        <w:t>对方当事人</w:t>
      </w:r>
      <w:r>
        <w:rPr>
          <w:rFonts w:ascii="宋体" w:hAnsi="宋体"/>
          <w:color w:val="auto"/>
          <w:sz w:val="24"/>
          <w:highlight w:val="none"/>
        </w:rPr>
        <w:t>。</w:t>
      </w:r>
    </w:p>
    <w:p w14:paraId="5781393C">
      <w:pPr>
        <w:spacing w:line="560" w:lineRule="exact"/>
        <w:ind w:firstLine="482" w:firstLineChars="200"/>
        <w:rPr>
          <w:rFonts w:ascii="宋体" w:hAnsi="宋体"/>
          <w:b/>
          <w:color w:val="auto"/>
          <w:sz w:val="24"/>
          <w:highlight w:val="none"/>
        </w:rPr>
      </w:pPr>
      <w:bookmarkStart w:id="504" w:name="_Toc3638"/>
      <w:bookmarkStart w:id="505" w:name="_Toc24465"/>
      <w:bookmarkStart w:id="506" w:name="_Toc20763"/>
      <w:bookmarkStart w:id="507" w:name="_Toc25783"/>
      <w:bookmarkStart w:id="508" w:name="_Toc23854"/>
      <w:bookmarkStart w:id="509" w:name="_Toc14115"/>
      <w:r>
        <w:rPr>
          <w:rFonts w:ascii="宋体" w:hAnsi="宋体"/>
          <w:b/>
          <w:color w:val="auto"/>
          <w:sz w:val="24"/>
          <w:highlight w:val="none"/>
        </w:rPr>
        <w:t>2.12 税费</w:t>
      </w:r>
      <w:bookmarkEnd w:id="504"/>
      <w:bookmarkEnd w:id="505"/>
      <w:bookmarkEnd w:id="506"/>
      <w:bookmarkEnd w:id="507"/>
      <w:bookmarkEnd w:id="508"/>
      <w:bookmarkEnd w:id="509"/>
    </w:p>
    <w:p w14:paraId="26EA7715">
      <w:pPr>
        <w:spacing w:line="560" w:lineRule="exact"/>
        <w:ind w:firstLine="480" w:firstLineChars="200"/>
        <w:rPr>
          <w:rFonts w:ascii="宋体" w:hAnsi="宋体"/>
          <w:color w:val="auto"/>
          <w:sz w:val="24"/>
          <w:highlight w:val="none"/>
        </w:rPr>
      </w:pPr>
      <w:r>
        <w:rPr>
          <w:rFonts w:ascii="宋体" w:hAnsi="宋体"/>
          <w:color w:val="auto"/>
          <w:sz w:val="24"/>
          <w:highlight w:val="none"/>
        </w:rPr>
        <w:t>与合同有关的一切税费</w:t>
      </w:r>
      <w:r>
        <w:rPr>
          <w:rFonts w:hint="eastAsia" w:ascii="宋体" w:hAnsi="宋体"/>
          <w:color w:val="auto"/>
          <w:sz w:val="24"/>
          <w:highlight w:val="none"/>
        </w:rPr>
        <w:t>，</w:t>
      </w:r>
      <w:r>
        <w:rPr>
          <w:rFonts w:ascii="宋体" w:hAnsi="宋体"/>
          <w:color w:val="auto"/>
          <w:sz w:val="24"/>
          <w:highlight w:val="none"/>
        </w:rPr>
        <w:t>均按照中华人民共和国法律的相关规定缴纳。</w:t>
      </w:r>
    </w:p>
    <w:p w14:paraId="6B06A313">
      <w:pPr>
        <w:spacing w:line="560" w:lineRule="exact"/>
        <w:ind w:firstLine="482" w:firstLineChars="200"/>
        <w:rPr>
          <w:rFonts w:ascii="宋体" w:hAnsi="宋体"/>
          <w:b/>
          <w:color w:val="auto"/>
          <w:sz w:val="24"/>
          <w:highlight w:val="none"/>
        </w:rPr>
      </w:pPr>
      <w:bookmarkStart w:id="510" w:name="_Toc158"/>
      <w:bookmarkStart w:id="511" w:name="_Toc7315"/>
      <w:bookmarkStart w:id="512" w:name="_Toc26883"/>
      <w:bookmarkStart w:id="513" w:name="_Toc30105"/>
      <w:bookmarkStart w:id="514" w:name="_Toc25525"/>
      <w:bookmarkStart w:id="515" w:name="_Toc14814"/>
      <w:r>
        <w:rPr>
          <w:rFonts w:ascii="宋体" w:hAnsi="宋体"/>
          <w:b/>
          <w:color w:val="auto"/>
          <w:sz w:val="24"/>
          <w:highlight w:val="none"/>
        </w:rPr>
        <w:t>2.13 乙方破产</w:t>
      </w:r>
      <w:bookmarkEnd w:id="510"/>
      <w:bookmarkEnd w:id="511"/>
      <w:bookmarkEnd w:id="512"/>
      <w:bookmarkEnd w:id="513"/>
      <w:bookmarkEnd w:id="514"/>
      <w:bookmarkEnd w:id="515"/>
    </w:p>
    <w:p w14:paraId="28FF497C">
      <w:pPr>
        <w:spacing w:line="560" w:lineRule="exact"/>
        <w:ind w:firstLine="480" w:firstLineChars="200"/>
        <w:rPr>
          <w:rFonts w:ascii="宋体" w:hAnsi="宋体"/>
          <w:color w:val="auto"/>
          <w:sz w:val="24"/>
          <w:highlight w:val="none"/>
        </w:rPr>
      </w:pPr>
      <w:r>
        <w:rPr>
          <w:rFonts w:ascii="宋体" w:hAnsi="宋体"/>
          <w:color w:val="auto"/>
          <w:sz w:val="24"/>
          <w:highlight w:val="none"/>
        </w:rPr>
        <w:t>如果乙方破产导致合同无法履行时，甲方可以书面形式通知乙方终止合同且不给予乙方任何补偿和赔偿</w:t>
      </w:r>
      <w:r>
        <w:rPr>
          <w:rFonts w:hint="eastAsia" w:ascii="宋体" w:hAnsi="宋体"/>
          <w:color w:val="auto"/>
          <w:sz w:val="24"/>
          <w:highlight w:val="none"/>
        </w:rPr>
        <w:t>，但合同的</w:t>
      </w:r>
      <w:r>
        <w:rPr>
          <w:rFonts w:ascii="宋体" w:hAnsi="宋体"/>
          <w:color w:val="auto"/>
          <w:sz w:val="24"/>
          <w:highlight w:val="none"/>
        </w:rPr>
        <w:t>终止不损害或不影响甲方已经采取或将要采取的任何要求乙方支付违约金</w:t>
      </w:r>
      <w:r>
        <w:rPr>
          <w:rFonts w:hint="eastAsia" w:ascii="宋体" w:hAnsi="宋体"/>
          <w:color w:val="auto"/>
          <w:sz w:val="24"/>
          <w:highlight w:val="none"/>
        </w:rPr>
        <w:t>、</w:t>
      </w:r>
      <w:r>
        <w:rPr>
          <w:rFonts w:ascii="宋体" w:hAnsi="宋体"/>
          <w:color w:val="auto"/>
          <w:sz w:val="24"/>
          <w:highlight w:val="none"/>
        </w:rPr>
        <w:t>赔偿损失等的行动或补救措施的权利</w:t>
      </w:r>
      <w:r>
        <w:rPr>
          <w:rFonts w:hint="eastAsia" w:ascii="宋体" w:hAnsi="宋体"/>
          <w:color w:val="auto"/>
          <w:sz w:val="24"/>
          <w:highlight w:val="none"/>
        </w:rPr>
        <w:t>。</w:t>
      </w:r>
    </w:p>
    <w:p w14:paraId="709F29EC">
      <w:pPr>
        <w:spacing w:line="560" w:lineRule="exact"/>
        <w:ind w:firstLine="482" w:firstLineChars="200"/>
        <w:rPr>
          <w:rFonts w:ascii="宋体" w:hAnsi="宋体"/>
          <w:b/>
          <w:color w:val="auto"/>
          <w:sz w:val="24"/>
          <w:highlight w:val="none"/>
        </w:rPr>
      </w:pPr>
      <w:bookmarkStart w:id="516" w:name="_Toc1123"/>
      <w:bookmarkStart w:id="517" w:name="_Toc2016"/>
      <w:bookmarkStart w:id="518" w:name="_Toc16300"/>
      <w:bookmarkStart w:id="519" w:name="_Toc23323"/>
      <w:r>
        <w:rPr>
          <w:rFonts w:ascii="宋体" w:hAnsi="宋体"/>
          <w:b/>
          <w:color w:val="auto"/>
          <w:sz w:val="24"/>
          <w:highlight w:val="none"/>
        </w:rPr>
        <w:t>2.14 合同中止、终止</w:t>
      </w:r>
      <w:bookmarkEnd w:id="516"/>
      <w:bookmarkEnd w:id="517"/>
      <w:bookmarkEnd w:id="518"/>
      <w:bookmarkEnd w:id="519"/>
    </w:p>
    <w:p w14:paraId="099F64C6">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2.14.1 </w:t>
      </w:r>
      <w:r>
        <w:rPr>
          <w:rFonts w:hint="eastAsia" w:ascii="宋体" w:hAnsi="宋体"/>
          <w:color w:val="auto"/>
          <w:sz w:val="24"/>
          <w:highlight w:val="none"/>
        </w:rPr>
        <w:t>双方当事人不得擅自中止或者终止合同；</w:t>
      </w:r>
    </w:p>
    <w:p w14:paraId="783AEC78">
      <w:pPr>
        <w:spacing w:line="560" w:lineRule="exact"/>
        <w:ind w:firstLine="480" w:firstLineChars="200"/>
        <w:rPr>
          <w:rFonts w:ascii="宋体" w:hAnsi="宋体"/>
          <w:color w:val="auto"/>
          <w:sz w:val="24"/>
          <w:highlight w:val="none"/>
        </w:rPr>
      </w:pPr>
      <w:r>
        <w:rPr>
          <w:rFonts w:ascii="宋体" w:hAnsi="宋体"/>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751BCD9D">
      <w:pPr>
        <w:spacing w:line="560" w:lineRule="exact"/>
        <w:ind w:firstLine="482" w:firstLineChars="200"/>
        <w:rPr>
          <w:rFonts w:ascii="宋体" w:hAnsi="宋体"/>
          <w:b/>
          <w:color w:val="auto"/>
          <w:sz w:val="24"/>
          <w:highlight w:val="none"/>
        </w:rPr>
      </w:pPr>
      <w:bookmarkStart w:id="520" w:name="_Toc14525"/>
      <w:bookmarkStart w:id="521" w:name="_Toc1969"/>
      <w:bookmarkStart w:id="522" w:name="_Toc17363"/>
      <w:bookmarkStart w:id="523" w:name="_Toc19116"/>
      <w:r>
        <w:rPr>
          <w:rFonts w:ascii="宋体" w:hAnsi="宋体"/>
          <w:b/>
          <w:color w:val="auto"/>
          <w:sz w:val="24"/>
          <w:highlight w:val="none"/>
        </w:rPr>
        <w:t>2.15 检验和验收</w:t>
      </w:r>
      <w:bookmarkEnd w:id="520"/>
      <w:bookmarkEnd w:id="521"/>
      <w:bookmarkEnd w:id="522"/>
      <w:bookmarkEnd w:id="523"/>
    </w:p>
    <w:p w14:paraId="079C3E8D">
      <w:pPr>
        <w:tabs>
          <w:tab w:val="left" w:pos="360"/>
          <w:tab w:val="left" w:pos="540"/>
          <w:tab w:val="left" w:pos="1080"/>
        </w:tabs>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2.15.1 </w:t>
      </w:r>
      <w:r>
        <w:rPr>
          <w:rFonts w:hint="eastAsia" w:ascii="宋体" w:hAnsi="宋体"/>
          <w:color w:val="auto"/>
          <w:sz w:val="24"/>
          <w:highlight w:val="none"/>
        </w:rPr>
        <w:t>乙方按照</w:t>
      </w:r>
      <w:r>
        <w:rPr>
          <w:rFonts w:ascii="宋体" w:hAnsi="宋体"/>
          <w:b/>
          <w:i/>
          <w:color w:val="auto"/>
          <w:sz w:val="24"/>
          <w:highlight w:val="none"/>
          <w:u w:val="single"/>
        </w:rPr>
        <w:t>合同专用条款</w:t>
      </w:r>
      <w:r>
        <w:rPr>
          <w:rFonts w:ascii="宋体" w:hAnsi="宋体"/>
          <w:color w:val="auto"/>
          <w:sz w:val="24"/>
          <w:highlight w:val="none"/>
        </w:rPr>
        <w:t>的约定</w:t>
      </w:r>
      <w:r>
        <w:rPr>
          <w:rFonts w:hint="eastAsia" w:ascii="宋体" w:hAnsi="宋体"/>
          <w:color w:val="auto"/>
          <w:sz w:val="24"/>
          <w:highlight w:val="none"/>
        </w:rPr>
        <w:t>，</w:t>
      </w:r>
      <w:r>
        <w:rPr>
          <w:rFonts w:ascii="宋体" w:hAnsi="宋体"/>
          <w:color w:val="auto"/>
          <w:sz w:val="24"/>
          <w:highlight w:val="none"/>
        </w:rPr>
        <w:t>定期提交服务报告</w:t>
      </w:r>
      <w:r>
        <w:rPr>
          <w:rFonts w:hint="eastAsia" w:ascii="宋体" w:hAnsi="宋体"/>
          <w:color w:val="auto"/>
          <w:sz w:val="24"/>
          <w:highlight w:val="none"/>
        </w:rPr>
        <w:t>，甲方按照</w:t>
      </w:r>
      <w:r>
        <w:rPr>
          <w:rFonts w:ascii="宋体" w:hAnsi="宋体"/>
          <w:b/>
          <w:i/>
          <w:color w:val="auto"/>
          <w:sz w:val="24"/>
          <w:highlight w:val="none"/>
          <w:u w:val="single"/>
        </w:rPr>
        <w:t>合同专用条款</w:t>
      </w:r>
      <w:r>
        <w:rPr>
          <w:rFonts w:ascii="宋体" w:hAnsi="宋体"/>
          <w:color w:val="auto"/>
          <w:sz w:val="24"/>
          <w:highlight w:val="none"/>
        </w:rPr>
        <w:t>的约定进行定期验收</w:t>
      </w:r>
      <w:r>
        <w:rPr>
          <w:rFonts w:hint="eastAsia" w:ascii="宋体" w:hAnsi="宋体"/>
          <w:color w:val="auto"/>
          <w:sz w:val="24"/>
          <w:highlight w:val="none"/>
        </w:rPr>
        <w:t>；</w:t>
      </w:r>
    </w:p>
    <w:p w14:paraId="7959663E">
      <w:pPr>
        <w:tabs>
          <w:tab w:val="left" w:pos="360"/>
          <w:tab w:val="left" w:pos="540"/>
          <w:tab w:val="left" w:pos="1080"/>
        </w:tabs>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2.15.2 </w:t>
      </w:r>
      <w:r>
        <w:rPr>
          <w:rFonts w:hint="eastAsia" w:ascii="宋体" w:hAnsi="宋体"/>
          <w:color w:val="auto"/>
          <w:sz w:val="24"/>
          <w:highlight w:val="none"/>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53484926">
      <w:pPr>
        <w:tabs>
          <w:tab w:val="left" w:pos="360"/>
          <w:tab w:val="left" w:pos="540"/>
          <w:tab w:val="left" w:pos="1080"/>
        </w:tabs>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2.15.3 </w:t>
      </w:r>
      <w:r>
        <w:rPr>
          <w:rFonts w:hint="eastAsia" w:ascii="宋体" w:hAnsi="宋体"/>
          <w:color w:val="auto"/>
          <w:sz w:val="24"/>
          <w:highlight w:val="none"/>
        </w:rPr>
        <w:t>检验和验收标准、程序等具体内容以及前述验收书的效力详见</w:t>
      </w:r>
      <w:r>
        <w:rPr>
          <w:rFonts w:ascii="宋体" w:hAnsi="宋体"/>
          <w:b/>
          <w:i/>
          <w:color w:val="auto"/>
          <w:sz w:val="24"/>
          <w:highlight w:val="none"/>
          <w:u w:val="single"/>
        </w:rPr>
        <w:t>合同专用条款</w:t>
      </w:r>
      <w:r>
        <w:rPr>
          <w:rFonts w:hint="eastAsia" w:ascii="宋体" w:hAnsi="宋体"/>
          <w:i/>
          <w:color w:val="auto"/>
          <w:sz w:val="24"/>
          <w:highlight w:val="none"/>
        </w:rPr>
        <w:t>。</w:t>
      </w:r>
    </w:p>
    <w:p w14:paraId="4C0FEF9D">
      <w:pPr>
        <w:spacing w:line="560" w:lineRule="exact"/>
        <w:ind w:firstLine="482" w:firstLineChars="200"/>
        <w:rPr>
          <w:rFonts w:ascii="宋体" w:hAnsi="宋体"/>
          <w:b/>
          <w:color w:val="auto"/>
          <w:sz w:val="24"/>
          <w:highlight w:val="none"/>
        </w:rPr>
      </w:pPr>
      <w:bookmarkStart w:id="524" w:name="_Toc31892"/>
      <w:bookmarkStart w:id="525" w:name="_Toc25198"/>
      <w:bookmarkStart w:id="526" w:name="_Toc9808"/>
      <w:bookmarkStart w:id="527" w:name="_Toc32353"/>
      <w:bookmarkStart w:id="528" w:name="_Toc12666"/>
      <w:bookmarkStart w:id="529" w:name="_Toc2308"/>
      <w:r>
        <w:rPr>
          <w:rFonts w:ascii="宋体" w:hAnsi="宋体"/>
          <w:b/>
          <w:color w:val="auto"/>
          <w:sz w:val="24"/>
          <w:highlight w:val="none"/>
        </w:rPr>
        <w:t>2.16 通知和送达</w:t>
      </w:r>
      <w:bookmarkEnd w:id="524"/>
      <w:bookmarkEnd w:id="525"/>
      <w:bookmarkEnd w:id="526"/>
      <w:bookmarkEnd w:id="527"/>
      <w:bookmarkEnd w:id="528"/>
      <w:bookmarkEnd w:id="529"/>
    </w:p>
    <w:p w14:paraId="23B28004">
      <w:pPr>
        <w:spacing w:line="560" w:lineRule="exact"/>
        <w:ind w:firstLine="480" w:firstLineChars="200"/>
        <w:rPr>
          <w:rFonts w:ascii="宋体" w:hAnsi="宋体"/>
          <w:color w:val="auto"/>
          <w:sz w:val="24"/>
          <w:highlight w:val="none"/>
        </w:rPr>
      </w:pPr>
      <w:bookmarkStart w:id="530" w:name="_Toc27674"/>
      <w:bookmarkStart w:id="531" w:name="_Toc18401"/>
      <w:r>
        <w:rPr>
          <w:rFonts w:ascii="宋体" w:hAnsi="宋体"/>
          <w:color w:val="auto"/>
          <w:sz w:val="24"/>
          <w:highlight w:val="none"/>
        </w:rPr>
        <w:t>2.17.1</w:t>
      </w:r>
      <w:r>
        <w:rPr>
          <w:rFonts w:hint="eastAsia" w:ascii="宋体" w:hAnsi="宋体"/>
          <w:color w:val="auto"/>
          <w:sz w:val="24"/>
          <w:highlight w:val="none"/>
        </w:rPr>
        <w:t>任何一方因履行合同而以合同第一部分尾部所列明的传真或电子邮件</w:t>
      </w:r>
      <w:r>
        <w:rPr>
          <w:rFonts w:ascii="宋体" w:hAnsi="宋体"/>
          <w:color w:val="auto"/>
          <w:sz w:val="24"/>
          <w:highlight w:val="none"/>
        </w:rPr>
        <w:t xml:space="preserve"> </w:t>
      </w:r>
      <w:r>
        <w:rPr>
          <w:rFonts w:ascii="宋体" w:hAnsi="宋体"/>
          <w:color w:val="auto"/>
          <w:sz w:val="24"/>
          <w:highlight w:val="none"/>
          <w:u w:val="single"/>
        </w:rPr>
        <w:t xml:space="preserve">       </w:t>
      </w:r>
      <w:r>
        <w:rPr>
          <w:rFonts w:hint="eastAsia" w:ascii="宋体" w:hAnsi="宋体"/>
          <w:color w:val="auto"/>
          <w:sz w:val="24"/>
          <w:highlight w:val="none"/>
        </w:rPr>
        <w:t>发出的所有通知、文件、材料，均视为已向对方当事人送达；任何一方变更上述送达方式或者地址的，应于</w:t>
      </w:r>
      <w:r>
        <w:rPr>
          <w:rFonts w:ascii="宋体" w:hAnsi="宋体"/>
          <w:color w:val="auto"/>
          <w:sz w:val="24"/>
          <w:highlight w:val="none"/>
          <w:u w:val="single"/>
        </w:rPr>
        <w:t>3</w:t>
      </w:r>
      <w:r>
        <w:rPr>
          <w:rFonts w:hint="eastAsia" w:ascii="宋体" w:hAnsi="宋体"/>
          <w:color w:val="auto"/>
          <w:sz w:val="24"/>
          <w:highlight w:val="none"/>
        </w:rPr>
        <w:t>个工作日内书面通知对方当事人，在对方当事人收到有关变更通知之前，变更前的约定送达方式或者地址仍视为有效。</w:t>
      </w:r>
    </w:p>
    <w:p w14:paraId="5687848E">
      <w:pPr>
        <w:spacing w:line="560" w:lineRule="exact"/>
        <w:ind w:firstLine="480" w:firstLineChars="200"/>
        <w:rPr>
          <w:rFonts w:ascii="宋体" w:hAnsi="宋体"/>
          <w:color w:val="auto"/>
          <w:sz w:val="24"/>
          <w:highlight w:val="none"/>
        </w:rPr>
      </w:pPr>
      <w:r>
        <w:rPr>
          <w:rFonts w:ascii="宋体" w:hAnsi="宋体"/>
          <w:color w:val="auto"/>
          <w:sz w:val="24"/>
          <w:highlight w:val="none"/>
        </w:rPr>
        <w:t>2.17.2以当面交付方式送达的，交付之时视为送达；以电子邮件方式送达的，发出电子邮件之时视为送达；以传真方式送达的，发出传真之时视为送达；以邮寄方式送达</w:t>
      </w:r>
      <w:r>
        <w:rPr>
          <w:rFonts w:hint="eastAsia" w:ascii="宋体" w:hAnsi="宋体"/>
          <w:color w:val="auto"/>
          <w:sz w:val="24"/>
          <w:highlight w:val="none"/>
        </w:rPr>
        <w:t>的，邮件挂号寄出或者交邮之日之次日视为送达。</w:t>
      </w:r>
      <w:bookmarkEnd w:id="530"/>
      <w:bookmarkEnd w:id="531"/>
    </w:p>
    <w:p w14:paraId="0CDE4D50">
      <w:pPr>
        <w:spacing w:line="560" w:lineRule="exact"/>
        <w:ind w:firstLine="482" w:firstLineChars="200"/>
        <w:rPr>
          <w:rFonts w:ascii="宋体" w:hAnsi="宋体"/>
          <w:b/>
          <w:color w:val="auto"/>
          <w:sz w:val="24"/>
          <w:highlight w:val="none"/>
        </w:rPr>
      </w:pPr>
      <w:bookmarkStart w:id="532" w:name="_Toc28906"/>
      <w:bookmarkStart w:id="533" w:name="_Toc5063"/>
      <w:bookmarkStart w:id="534" w:name="_Toc27644"/>
      <w:bookmarkStart w:id="535" w:name="_Toc20808"/>
      <w:bookmarkStart w:id="536" w:name="_Toc7576"/>
      <w:bookmarkStart w:id="537" w:name="_Toc12254"/>
      <w:r>
        <w:rPr>
          <w:rFonts w:ascii="宋体" w:hAnsi="宋体"/>
          <w:b/>
          <w:color w:val="auto"/>
          <w:sz w:val="24"/>
          <w:highlight w:val="none"/>
        </w:rPr>
        <w:t xml:space="preserve">2.17 </w:t>
      </w:r>
      <w:r>
        <w:rPr>
          <w:rFonts w:hint="eastAsia" w:ascii="宋体" w:hAnsi="宋体"/>
          <w:b/>
          <w:color w:val="auto"/>
          <w:sz w:val="24"/>
          <w:highlight w:val="none"/>
        </w:rPr>
        <w:t>合同使用的文字和</w:t>
      </w:r>
      <w:r>
        <w:rPr>
          <w:rFonts w:ascii="宋体" w:hAnsi="宋体"/>
          <w:b/>
          <w:color w:val="auto"/>
          <w:sz w:val="24"/>
          <w:highlight w:val="none"/>
        </w:rPr>
        <w:t>适用的法律</w:t>
      </w:r>
      <w:bookmarkEnd w:id="532"/>
      <w:bookmarkEnd w:id="533"/>
      <w:bookmarkEnd w:id="534"/>
      <w:bookmarkEnd w:id="535"/>
      <w:bookmarkEnd w:id="536"/>
      <w:bookmarkEnd w:id="537"/>
    </w:p>
    <w:p w14:paraId="244CD574">
      <w:pPr>
        <w:spacing w:line="560" w:lineRule="exact"/>
        <w:ind w:firstLine="480" w:firstLineChars="200"/>
        <w:rPr>
          <w:rFonts w:ascii="宋体" w:hAnsi="宋体"/>
          <w:color w:val="auto"/>
          <w:sz w:val="24"/>
          <w:highlight w:val="none"/>
        </w:rPr>
      </w:pPr>
      <w:r>
        <w:rPr>
          <w:rFonts w:ascii="宋体" w:hAnsi="宋体"/>
          <w:color w:val="auto"/>
          <w:sz w:val="24"/>
          <w:highlight w:val="none"/>
        </w:rPr>
        <w:t>2.17.1 合同使用汉语书就</w:t>
      </w:r>
      <w:r>
        <w:rPr>
          <w:rFonts w:hint="eastAsia" w:ascii="宋体" w:hAnsi="宋体"/>
          <w:color w:val="auto"/>
          <w:sz w:val="24"/>
          <w:highlight w:val="none"/>
        </w:rPr>
        <w:t>、</w:t>
      </w:r>
      <w:r>
        <w:rPr>
          <w:rFonts w:ascii="宋体" w:hAnsi="宋体"/>
          <w:color w:val="auto"/>
          <w:sz w:val="24"/>
          <w:highlight w:val="none"/>
        </w:rPr>
        <w:t>变更和解释</w:t>
      </w:r>
      <w:r>
        <w:rPr>
          <w:rFonts w:hint="eastAsia" w:ascii="宋体" w:hAnsi="宋体"/>
          <w:color w:val="auto"/>
          <w:sz w:val="24"/>
          <w:highlight w:val="none"/>
        </w:rPr>
        <w:t>；</w:t>
      </w:r>
    </w:p>
    <w:p w14:paraId="01E724D1">
      <w:pPr>
        <w:spacing w:line="560" w:lineRule="exact"/>
        <w:ind w:firstLine="480" w:firstLineChars="200"/>
        <w:rPr>
          <w:rFonts w:ascii="宋体" w:hAnsi="宋体"/>
          <w:color w:val="auto"/>
          <w:sz w:val="24"/>
          <w:highlight w:val="none"/>
        </w:rPr>
      </w:pPr>
      <w:r>
        <w:rPr>
          <w:rFonts w:ascii="宋体" w:hAnsi="宋体"/>
          <w:color w:val="auto"/>
          <w:sz w:val="24"/>
          <w:highlight w:val="none"/>
        </w:rPr>
        <w:t xml:space="preserve">2.17.2 </w:t>
      </w:r>
      <w:r>
        <w:rPr>
          <w:rFonts w:hint="eastAsia" w:ascii="宋体" w:hAnsi="宋体"/>
          <w:color w:val="auto"/>
          <w:sz w:val="24"/>
          <w:highlight w:val="none"/>
        </w:rPr>
        <w:t>合同适用</w:t>
      </w:r>
      <w:r>
        <w:rPr>
          <w:rFonts w:ascii="宋体" w:hAnsi="宋体"/>
          <w:color w:val="auto"/>
          <w:sz w:val="24"/>
          <w:highlight w:val="none"/>
        </w:rPr>
        <w:t>中华人民共和国法律。</w:t>
      </w:r>
    </w:p>
    <w:p w14:paraId="41FCA3D7">
      <w:pPr>
        <w:spacing w:line="560" w:lineRule="exact"/>
        <w:ind w:firstLine="482" w:firstLineChars="200"/>
        <w:rPr>
          <w:rFonts w:ascii="宋体" w:hAnsi="宋体" w:cs="宋体"/>
          <w:b/>
          <w:color w:val="auto"/>
          <w:sz w:val="24"/>
          <w:highlight w:val="none"/>
        </w:rPr>
      </w:pPr>
      <w:bookmarkStart w:id="538" w:name="_Toc4355"/>
      <w:bookmarkStart w:id="539" w:name="_Toc30599"/>
      <w:bookmarkStart w:id="540" w:name="_Toc10145"/>
      <w:bookmarkStart w:id="541" w:name="_Toc18540"/>
      <w:r>
        <w:rPr>
          <w:rFonts w:hint="eastAsia" w:ascii="宋体" w:hAnsi="宋体" w:cs="宋体"/>
          <w:b/>
          <w:color w:val="auto"/>
          <w:sz w:val="24"/>
          <w:highlight w:val="none"/>
        </w:rPr>
        <w:t>2.18 计量单位</w:t>
      </w:r>
      <w:bookmarkEnd w:id="538"/>
      <w:bookmarkEnd w:id="539"/>
      <w:bookmarkEnd w:id="540"/>
      <w:bookmarkEnd w:id="541"/>
    </w:p>
    <w:p w14:paraId="70B837D5">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除技术规范中另有规定外，合同的计量单位均使用国家法定计量单位。</w:t>
      </w:r>
    </w:p>
    <w:p w14:paraId="02822487">
      <w:pPr>
        <w:spacing w:line="560" w:lineRule="exact"/>
        <w:ind w:firstLine="482" w:firstLineChars="200"/>
        <w:rPr>
          <w:rFonts w:ascii="宋体" w:hAnsi="宋体"/>
          <w:b/>
          <w:color w:val="auto"/>
          <w:sz w:val="24"/>
          <w:highlight w:val="none"/>
        </w:rPr>
      </w:pPr>
      <w:r>
        <w:rPr>
          <w:rFonts w:ascii="宋体" w:hAnsi="宋体"/>
          <w:b/>
          <w:color w:val="auto"/>
          <w:sz w:val="24"/>
          <w:highlight w:val="none"/>
        </w:rPr>
        <w:t>2.</w:t>
      </w:r>
      <w:r>
        <w:rPr>
          <w:rFonts w:hint="eastAsia" w:ascii="宋体" w:hAnsi="宋体"/>
          <w:b/>
          <w:color w:val="auto"/>
          <w:sz w:val="24"/>
          <w:highlight w:val="none"/>
        </w:rPr>
        <w:t>19</w:t>
      </w:r>
      <w:r>
        <w:rPr>
          <w:rFonts w:ascii="宋体" w:hAnsi="宋体"/>
          <w:b/>
          <w:color w:val="auto"/>
          <w:sz w:val="24"/>
          <w:highlight w:val="none"/>
        </w:rPr>
        <w:t>合同份数</w:t>
      </w:r>
    </w:p>
    <w:p w14:paraId="056854D6">
      <w:pPr>
        <w:spacing w:line="560" w:lineRule="exact"/>
        <w:ind w:firstLine="480" w:firstLineChars="200"/>
        <w:rPr>
          <w:rFonts w:ascii="宋体" w:hAnsi="宋体"/>
          <w:color w:val="auto"/>
          <w:sz w:val="24"/>
          <w:highlight w:val="none"/>
        </w:rPr>
      </w:pPr>
      <w:r>
        <w:rPr>
          <w:rFonts w:ascii="宋体" w:hAnsi="宋体"/>
          <w:color w:val="auto"/>
          <w:sz w:val="24"/>
          <w:highlight w:val="none"/>
        </w:rPr>
        <w:t>合同份数按</w:t>
      </w:r>
      <w:r>
        <w:rPr>
          <w:rFonts w:ascii="宋体" w:hAnsi="宋体"/>
          <w:b/>
          <w:i/>
          <w:color w:val="auto"/>
          <w:sz w:val="24"/>
          <w:highlight w:val="none"/>
          <w:u w:val="single"/>
        </w:rPr>
        <w:t>合同专用条款</w:t>
      </w:r>
      <w:r>
        <w:rPr>
          <w:rFonts w:ascii="宋体" w:hAnsi="宋体"/>
          <w:color w:val="auto"/>
          <w:sz w:val="24"/>
          <w:highlight w:val="none"/>
        </w:rPr>
        <w:t>规定</w:t>
      </w:r>
      <w:r>
        <w:rPr>
          <w:rFonts w:hint="eastAsia" w:ascii="宋体" w:hAnsi="宋体"/>
          <w:color w:val="auto"/>
          <w:sz w:val="24"/>
          <w:highlight w:val="none"/>
        </w:rPr>
        <w:t>，</w:t>
      </w:r>
      <w:r>
        <w:rPr>
          <w:rFonts w:ascii="宋体" w:hAnsi="宋体"/>
          <w:color w:val="auto"/>
          <w:sz w:val="24"/>
          <w:highlight w:val="none"/>
        </w:rPr>
        <w:t>每份均具有同等法律效力</w:t>
      </w:r>
      <w:r>
        <w:rPr>
          <w:rFonts w:hint="eastAsia" w:ascii="宋体" w:hAnsi="宋体"/>
          <w:color w:val="auto"/>
          <w:sz w:val="24"/>
          <w:highlight w:val="none"/>
        </w:rPr>
        <w:t>。</w:t>
      </w:r>
    </w:p>
    <w:p w14:paraId="297927C8">
      <w:pPr>
        <w:spacing w:line="360" w:lineRule="auto"/>
        <w:jc w:val="center"/>
        <w:rPr>
          <w:rFonts w:ascii="宋体" w:hAnsi="宋体" w:cs="宋体"/>
          <w:b/>
          <w:color w:val="auto"/>
          <w:sz w:val="24"/>
          <w:highlight w:val="none"/>
        </w:rPr>
      </w:pPr>
      <w:r>
        <w:rPr>
          <w:rFonts w:hint="eastAsia" w:ascii="宋体" w:hAnsi="宋体" w:cs="宋体"/>
          <w:color w:val="auto"/>
          <w:kern w:val="0"/>
          <w:highlight w:val="none"/>
        </w:rPr>
        <w:br w:type="page"/>
      </w:r>
      <w:bookmarkStart w:id="542" w:name="_Toc331685784"/>
      <w:r>
        <w:rPr>
          <w:rFonts w:hint="eastAsia" w:ascii="宋体" w:hAnsi="宋体" w:cs="宋体"/>
          <w:b/>
          <w:color w:val="auto"/>
          <w:sz w:val="24"/>
          <w:highlight w:val="none"/>
        </w:rPr>
        <w:t xml:space="preserve"> </w:t>
      </w:r>
      <w:bookmarkEnd w:id="542"/>
      <w:bookmarkStart w:id="543" w:name="_Toc20076"/>
      <w:r>
        <w:rPr>
          <w:rFonts w:hint="eastAsia" w:ascii="宋体" w:hAnsi="宋体" w:cs="宋体"/>
          <w:b/>
          <w:color w:val="auto"/>
          <w:sz w:val="24"/>
          <w:highlight w:val="none"/>
        </w:rPr>
        <w:t>第三部分  合同专用条款</w:t>
      </w:r>
      <w:bookmarkEnd w:id="543"/>
    </w:p>
    <w:p w14:paraId="5E7DC005">
      <w:pPr>
        <w:spacing w:line="560" w:lineRule="exact"/>
        <w:ind w:left="-420" w:leftChars="-200" w:right="-420" w:rightChars="-200" w:firstLine="480" w:firstLineChars="200"/>
        <w:rPr>
          <w:rFonts w:ascii="宋体" w:hAnsi="宋体" w:cs="宋体"/>
          <w:color w:val="auto"/>
          <w:highlight w:val="none"/>
        </w:rPr>
      </w:pPr>
      <w:r>
        <w:rPr>
          <w:rFonts w:hint="eastAsia" w:ascii="宋体" w:hAnsi="宋体" w:cs="宋体"/>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977"/>
        <w:gridCol w:w="8149"/>
      </w:tblGrid>
      <w:tr w14:paraId="46E796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90" w:hRule="atLeast"/>
        </w:trPr>
        <w:tc>
          <w:tcPr>
            <w:tcW w:w="535" w:type="pct"/>
            <w:tcBorders>
              <w:left w:val="single" w:color="auto" w:sz="4" w:space="0"/>
            </w:tcBorders>
            <w:vAlign w:val="center"/>
          </w:tcPr>
          <w:p w14:paraId="50616CE6">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条款号</w:t>
            </w:r>
          </w:p>
        </w:tc>
        <w:tc>
          <w:tcPr>
            <w:tcW w:w="4464" w:type="pct"/>
            <w:vAlign w:val="center"/>
          </w:tcPr>
          <w:p w14:paraId="6EB359B5">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约定内容</w:t>
            </w:r>
          </w:p>
        </w:tc>
      </w:tr>
      <w:tr w14:paraId="5EAEA8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3A8F484A">
            <w:pPr>
              <w:spacing w:line="360" w:lineRule="auto"/>
              <w:rPr>
                <w:rFonts w:ascii="宋体" w:hAnsi="宋体" w:cs="宋体"/>
                <w:color w:val="auto"/>
                <w:sz w:val="24"/>
                <w:highlight w:val="none"/>
              </w:rPr>
            </w:pPr>
            <w:r>
              <w:rPr>
                <w:rFonts w:hint="eastAsia" w:ascii="宋体" w:hAnsi="宋体" w:cs="宋体"/>
                <w:color w:val="auto"/>
                <w:sz w:val="24"/>
                <w:highlight w:val="none"/>
              </w:rPr>
              <w:t>1.4.2</w:t>
            </w:r>
          </w:p>
        </w:tc>
        <w:tc>
          <w:tcPr>
            <w:tcW w:w="4464" w:type="pct"/>
            <w:vAlign w:val="center"/>
          </w:tcPr>
          <w:p w14:paraId="5DA7C94D">
            <w:pPr>
              <w:spacing w:line="360" w:lineRule="auto"/>
              <w:rPr>
                <w:rFonts w:ascii="宋体" w:hAnsi="宋体" w:cs="宋体"/>
                <w:color w:val="auto"/>
                <w:sz w:val="24"/>
                <w:highlight w:val="none"/>
              </w:rPr>
            </w:pPr>
            <w:r>
              <w:rPr>
                <w:rFonts w:hint="eastAsia" w:ascii="宋体" w:hAnsi="宋体" w:cs="宋体"/>
                <w:color w:val="auto"/>
                <w:sz w:val="24"/>
                <w:highlight w:val="none"/>
              </w:rPr>
              <w:t>/</w:t>
            </w:r>
          </w:p>
        </w:tc>
      </w:tr>
      <w:tr w14:paraId="58FE1C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60A28261">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1.5.1 </w:t>
            </w:r>
          </w:p>
        </w:tc>
        <w:tc>
          <w:tcPr>
            <w:tcW w:w="4464" w:type="pct"/>
            <w:vAlign w:val="center"/>
          </w:tcPr>
          <w:p w14:paraId="6952F6F4">
            <w:pPr>
              <w:spacing w:line="360" w:lineRule="auto"/>
              <w:rPr>
                <w:rFonts w:ascii="宋体" w:hAnsi="宋体" w:cs="宋体"/>
                <w:color w:val="auto"/>
                <w:sz w:val="24"/>
                <w:highlight w:val="none"/>
              </w:rPr>
            </w:pPr>
            <w:r>
              <w:rPr>
                <w:rFonts w:hint="eastAsia" w:ascii="宋体" w:hAnsi="宋体" w:cs="宋体"/>
                <w:color w:val="auto"/>
                <w:sz w:val="24"/>
                <w:highlight w:val="none"/>
              </w:rPr>
              <w:t>合同生效以及具备实施条件后7个工作日内支付年度合同金额（含固定支付和按实结算部分）40%的预付款；预付款从首次支付的养护经费开始抵扣，直至扣完为止。</w:t>
            </w:r>
          </w:p>
        </w:tc>
      </w:tr>
      <w:tr w14:paraId="4E66DE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401F2296">
            <w:pPr>
              <w:spacing w:line="360" w:lineRule="auto"/>
              <w:rPr>
                <w:rFonts w:ascii="宋体" w:hAnsi="宋体" w:cs="宋体"/>
                <w:color w:val="auto"/>
                <w:sz w:val="24"/>
                <w:highlight w:val="none"/>
              </w:rPr>
            </w:pPr>
            <w:r>
              <w:rPr>
                <w:rFonts w:hint="eastAsia" w:ascii="宋体" w:hAnsi="宋体" w:cs="宋体"/>
                <w:color w:val="auto"/>
                <w:sz w:val="24"/>
                <w:highlight w:val="none"/>
              </w:rPr>
              <w:t>1.5.2</w:t>
            </w:r>
          </w:p>
        </w:tc>
        <w:tc>
          <w:tcPr>
            <w:tcW w:w="4464" w:type="pct"/>
            <w:vAlign w:val="center"/>
          </w:tcPr>
          <w:p w14:paraId="56820A82">
            <w:pPr>
              <w:spacing w:line="360" w:lineRule="auto"/>
              <w:rPr>
                <w:rFonts w:ascii="宋体" w:hAnsi="宋体" w:cs="宋体"/>
                <w:color w:val="auto"/>
                <w:sz w:val="24"/>
                <w:highlight w:val="none"/>
              </w:rPr>
            </w:pPr>
            <w:r>
              <w:rPr>
                <w:rFonts w:hint="eastAsia" w:ascii="宋体" w:hAnsi="宋体" w:cs="宋体"/>
                <w:color w:val="auto"/>
                <w:sz w:val="24"/>
                <w:highlight w:val="none"/>
              </w:rPr>
              <w:t>/</w:t>
            </w:r>
          </w:p>
        </w:tc>
      </w:tr>
      <w:tr w14:paraId="696998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3E70C1C0">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1.5.3 </w:t>
            </w:r>
          </w:p>
        </w:tc>
        <w:tc>
          <w:tcPr>
            <w:tcW w:w="4464" w:type="pct"/>
            <w:vAlign w:val="center"/>
          </w:tcPr>
          <w:p w14:paraId="7B4CA133">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w:t>
            </w:r>
          </w:p>
        </w:tc>
      </w:tr>
      <w:tr w14:paraId="6F86BB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31B629F5">
            <w:pPr>
              <w:spacing w:line="360" w:lineRule="auto"/>
              <w:rPr>
                <w:rFonts w:ascii="宋体" w:hAnsi="宋体" w:cs="宋体"/>
                <w:color w:val="auto"/>
                <w:sz w:val="24"/>
                <w:highlight w:val="none"/>
              </w:rPr>
            </w:pPr>
            <w:r>
              <w:rPr>
                <w:rFonts w:hint="eastAsia" w:ascii="宋体" w:hAnsi="宋体" w:cs="宋体"/>
                <w:color w:val="auto"/>
                <w:sz w:val="24"/>
                <w:highlight w:val="none"/>
              </w:rPr>
              <w:t>1.6.2</w:t>
            </w:r>
          </w:p>
        </w:tc>
        <w:tc>
          <w:tcPr>
            <w:tcW w:w="4464" w:type="pct"/>
            <w:vAlign w:val="center"/>
          </w:tcPr>
          <w:p w14:paraId="6DA2B647">
            <w:pPr>
              <w:spacing w:line="360" w:lineRule="auto"/>
              <w:rPr>
                <w:rFonts w:hint="eastAsia" w:ascii="宋体" w:hAnsi="宋体" w:cs="宋体"/>
                <w:color w:val="auto"/>
                <w:sz w:val="24"/>
                <w:highlight w:val="none"/>
              </w:rPr>
            </w:pPr>
            <w:r>
              <w:rPr>
                <w:rFonts w:hint="eastAsia" w:ascii="宋体" w:hAnsi="宋体" w:cs="宋体"/>
                <w:color w:val="auto"/>
                <w:sz w:val="24"/>
                <w:highlight w:val="none"/>
              </w:rPr>
              <w:t>本项目养护经费支付包含“固定支付”和“按实结算”两种（具体经费分类详见附件 设施量清单及编制说明）：</w:t>
            </w:r>
          </w:p>
          <w:p w14:paraId="5C0D1124">
            <w:pPr>
              <w:spacing w:line="360" w:lineRule="auto"/>
              <w:rPr>
                <w:rFonts w:hint="eastAsia" w:ascii="宋体" w:hAnsi="宋体" w:cs="宋体"/>
                <w:color w:val="auto"/>
                <w:sz w:val="24"/>
                <w:highlight w:val="none"/>
              </w:rPr>
            </w:pPr>
            <w:r>
              <w:rPr>
                <w:rFonts w:hint="eastAsia" w:ascii="宋体" w:hAnsi="宋体" w:cs="宋体"/>
                <w:color w:val="auto"/>
                <w:sz w:val="24"/>
                <w:highlight w:val="none"/>
              </w:rPr>
              <w:t>①固定部分：第6个月考核完成且收到发票后7个工作日内支付至50%（同步扣除第1-6月考核扣罚费用），并结合中标下浮率结算；第9个月考核完成且收到发票后7个工作日支付至75%（同步扣除第7-9月考核扣罚费用），并结合中标下浮率结算；12个月考核完成且收到发票后7个工作日后支付至100%（同步扣除第10-12月考核扣罚费用），并结合中标下浮率结算。</w:t>
            </w:r>
          </w:p>
          <w:p w14:paraId="43B8E523">
            <w:pPr>
              <w:spacing w:line="360" w:lineRule="auto"/>
              <w:rPr>
                <w:rFonts w:ascii="宋体" w:hAnsi="宋体" w:cs="宋体"/>
                <w:color w:val="auto"/>
                <w:sz w:val="24"/>
                <w:highlight w:val="none"/>
              </w:rPr>
            </w:pPr>
            <w:r>
              <w:rPr>
                <w:rFonts w:hint="eastAsia" w:ascii="宋体" w:hAnsi="宋体" w:cs="宋体"/>
                <w:color w:val="auto"/>
                <w:sz w:val="24"/>
                <w:highlight w:val="none"/>
              </w:rPr>
              <w:t>②按实结算部分：在固定部分支付时同步支付，实际完成量支付进度款至已完成工作量金额（经第三方咨询单位审核金额）的85%，并结合中标下浮率，按实结算，合同期满后支付至审核价的100%，并结合中标下浮率，按实结算。实际发生金额对应核减相关费用（</w:t>
            </w:r>
            <w:r>
              <w:rPr>
                <w:rFonts w:hint="eastAsia" w:ascii="宋体" w:hAnsi="宋体" w:cs="宋体"/>
                <w:color w:val="auto"/>
                <w:sz w:val="24"/>
                <w:highlight w:val="none"/>
                <w:lang w:val="en-US" w:eastAsia="zh-CN"/>
              </w:rPr>
              <w:t>乙方</w:t>
            </w:r>
            <w:r>
              <w:rPr>
                <w:rFonts w:hint="eastAsia" w:ascii="宋体" w:hAnsi="宋体" w:cs="宋体"/>
                <w:color w:val="auto"/>
                <w:sz w:val="24"/>
                <w:highlight w:val="none"/>
              </w:rPr>
              <w:t>投标文件有核减部分内容报价明细的则根据报价明细扣除，否则按照整体中标下浮比率对该部分费用进行扣除），报价明细和招标文件都没有提及的部分则参考公布的市场信息价或市场询价进行核定，</w:t>
            </w:r>
            <w:r>
              <w:rPr>
                <w:rFonts w:hint="eastAsia" w:ascii="宋体" w:hAnsi="宋体" w:cs="宋体"/>
                <w:color w:val="auto"/>
                <w:sz w:val="24"/>
                <w:highlight w:val="none"/>
                <w:lang w:val="en-US" w:eastAsia="zh-CN"/>
              </w:rPr>
              <w:t>乙方</w:t>
            </w:r>
            <w:r>
              <w:rPr>
                <w:rFonts w:hint="eastAsia" w:ascii="宋体" w:hAnsi="宋体" w:cs="宋体"/>
                <w:color w:val="auto"/>
                <w:sz w:val="24"/>
                <w:highlight w:val="none"/>
              </w:rPr>
              <w:t>需提供能证明实际发生金额的相关资料由</w:t>
            </w:r>
            <w:r>
              <w:rPr>
                <w:rFonts w:hint="eastAsia" w:ascii="宋体" w:hAnsi="宋体" w:cs="宋体"/>
                <w:color w:val="auto"/>
                <w:sz w:val="24"/>
                <w:highlight w:val="none"/>
                <w:lang w:val="en-US" w:eastAsia="zh-CN"/>
              </w:rPr>
              <w:t>甲方</w:t>
            </w:r>
            <w:r>
              <w:rPr>
                <w:rFonts w:hint="eastAsia" w:ascii="宋体" w:hAnsi="宋体" w:cs="宋体"/>
                <w:color w:val="auto"/>
                <w:sz w:val="24"/>
                <w:highlight w:val="none"/>
              </w:rPr>
              <w:t>审核确认，实施内容涉及外聘人工、机械、材料的由</w:t>
            </w:r>
            <w:r>
              <w:rPr>
                <w:rFonts w:hint="eastAsia" w:ascii="宋体" w:hAnsi="宋体" w:cs="宋体"/>
                <w:color w:val="auto"/>
                <w:sz w:val="24"/>
                <w:highlight w:val="none"/>
                <w:lang w:val="en-US" w:eastAsia="zh-CN"/>
              </w:rPr>
              <w:t>甲方</w:t>
            </w:r>
            <w:r>
              <w:rPr>
                <w:rFonts w:hint="eastAsia" w:ascii="宋体" w:hAnsi="宋体" w:cs="宋体"/>
                <w:color w:val="auto"/>
                <w:sz w:val="24"/>
                <w:highlight w:val="none"/>
              </w:rPr>
              <w:t>关业务部门审核确认。</w:t>
            </w:r>
          </w:p>
        </w:tc>
      </w:tr>
      <w:tr w14:paraId="1184DB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47A3E7AD">
            <w:pPr>
              <w:spacing w:line="360" w:lineRule="auto"/>
              <w:rPr>
                <w:rFonts w:ascii="宋体" w:hAnsi="宋体" w:cs="宋体"/>
                <w:color w:val="auto"/>
                <w:sz w:val="24"/>
                <w:highlight w:val="none"/>
              </w:rPr>
            </w:pPr>
            <w:r>
              <w:rPr>
                <w:rFonts w:hint="eastAsia" w:ascii="宋体" w:hAnsi="宋体" w:cs="宋体"/>
                <w:color w:val="auto"/>
                <w:sz w:val="24"/>
                <w:highlight w:val="none"/>
              </w:rPr>
              <w:t>1.7.1</w:t>
            </w:r>
          </w:p>
        </w:tc>
        <w:tc>
          <w:tcPr>
            <w:tcW w:w="4464" w:type="pct"/>
            <w:vAlign w:val="center"/>
          </w:tcPr>
          <w:p w14:paraId="1DC5C4A7">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详见招标文件第一部分 招标公告</w:t>
            </w:r>
          </w:p>
        </w:tc>
      </w:tr>
      <w:tr w14:paraId="595FE2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231781C3">
            <w:pPr>
              <w:spacing w:line="360" w:lineRule="auto"/>
              <w:rPr>
                <w:rFonts w:ascii="宋体" w:hAnsi="宋体" w:cs="宋体"/>
                <w:color w:val="auto"/>
                <w:sz w:val="24"/>
                <w:highlight w:val="none"/>
              </w:rPr>
            </w:pPr>
            <w:r>
              <w:rPr>
                <w:rFonts w:hint="eastAsia" w:ascii="宋体" w:hAnsi="宋体" w:cs="宋体"/>
                <w:color w:val="auto"/>
                <w:sz w:val="24"/>
                <w:highlight w:val="none"/>
              </w:rPr>
              <w:t>1.7.2</w:t>
            </w:r>
          </w:p>
        </w:tc>
        <w:tc>
          <w:tcPr>
            <w:tcW w:w="4464" w:type="pct"/>
            <w:vAlign w:val="center"/>
          </w:tcPr>
          <w:p w14:paraId="495D6FA2">
            <w:pPr>
              <w:spacing w:line="360" w:lineRule="auto"/>
              <w:rPr>
                <w:rFonts w:ascii="宋体" w:hAnsi="宋体" w:cs="宋体"/>
                <w:color w:val="auto"/>
                <w:sz w:val="24"/>
                <w:highlight w:val="none"/>
              </w:rPr>
            </w:pPr>
            <w:r>
              <w:rPr>
                <w:rFonts w:hint="eastAsia" w:ascii="宋体" w:hAnsi="宋体" w:cs="宋体"/>
                <w:color w:val="auto"/>
                <w:sz w:val="24"/>
                <w:highlight w:val="none"/>
              </w:rPr>
              <w:t>宁波市范围内甲方指定地点。</w:t>
            </w:r>
          </w:p>
        </w:tc>
      </w:tr>
      <w:tr w14:paraId="0FE04A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59363338">
            <w:pPr>
              <w:spacing w:line="360" w:lineRule="auto"/>
              <w:rPr>
                <w:rFonts w:ascii="宋体" w:hAnsi="宋体" w:cs="宋体"/>
                <w:color w:val="auto"/>
                <w:sz w:val="24"/>
                <w:highlight w:val="none"/>
              </w:rPr>
            </w:pPr>
            <w:r>
              <w:rPr>
                <w:rFonts w:hint="eastAsia" w:ascii="宋体" w:hAnsi="宋体" w:cs="宋体"/>
                <w:color w:val="auto"/>
                <w:sz w:val="24"/>
                <w:highlight w:val="none"/>
              </w:rPr>
              <w:t>1.7.3</w:t>
            </w:r>
          </w:p>
        </w:tc>
        <w:tc>
          <w:tcPr>
            <w:tcW w:w="4464" w:type="pct"/>
            <w:vAlign w:val="center"/>
          </w:tcPr>
          <w:p w14:paraId="6482BAC4">
            <w:pPr>
              <w:spacing w:line="360" w:lineRule="auto"/>
              <w:rPr>
                <w:rFonts w:ascii="宋体" w:hAnsi="宋体" w:cs="宋体"/>
                <w:color w:val="auto"/>
                <w:sz w:val="24"/>
                <w:highlight w:val="none"/>
              </w:rPr>
            </w:pPr>
            <w:r>
              <w:rPr>
                <w:rFonts w:hint="eastAsia" w:ascii="宋体" w:hAnsi="宋体" w:cs="宋体"/>
                <w:color w:val="auto"/>
                <w:sz w:val="24"/>
                <w:highlight w:val="none"/>
              </w:rPr>
              <w:t>/</w:t>
            </w:r>
          </w:p>
        </w:tc>
      </w:tr>
      <w:tr w14:paraId="02363D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44133171">
            <w:pPr>
              <w:spacing w:line="360" w:lineRule="auto"/>
              <w:rPr>
                <w:rFonts w:ascii="宋体" w:hAnsi="宋体" w:cs="宋体"/>
                <w:color w:val="auto"/>
                <w:sz w:val="24"/>
                <w:highlight w:val="none"/>
              </w:rPr>
            </w:pPr>
            <w:r>
              <w:rPr>
                <w:rFonts w:hint="eastAsia" w:ascii="宋体" w:hAnsi="宋体" w:cs="宋体"/>
                <w:color w:val="auto"/>
                <w:sz w:val="24"/>
                <w:highlight w:val="none"/>
              </w:rPr>
              <w:t>1.7.4.1</w:t>
            </w:r>
          </w:p>
        </w:tc>
        <w:tc>
          <w:tcPr>
            <w:tcW w:w="4464" w:type="pct"/>
            <w:vAlign w:val="center"/>
          </w:tcPr>
          <w:p w14:paraId="6061F6E1">
            <w:pPr>
              <w:spacing w:line="360" w:lineRule="auto"/>
              <w:rPr>
                <w:rFonts w:ascii="宋体" w:hAnsi="宋体" w:cs="宋体"/>
                <w:color w:val="auto"/>
                <w:sz w:val="24"/>
                <w:highlight w:val="none"/>
              </w:rPr>
            </w:pPr>
            <w:r>
              <w:rPr>
                <w:rFonts w:hint="eastAsia" w:ascii="宋体" w:hAnsi="宋体" w:cs="宋体"/>
                <w:color w:val="auto"/>
                <w:sz w:val="24"/>
                <w:highlight w:val="none"/>
              </w:rPr>
              <w:t>/</w:t>
            </w:r>
          </w:p>
        </w:tc>
      </w:tr>
      <w:tr w14:paraId="0DEF93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64" w:hRule="atLeast"/>
        </w:trPr>
        <w:tc>
          <w:tcPr>
            <w:tcW w:w="535" w:type="pct"/>
            <w:tcBorders>
              <w:left w:val="single" w:color="auto" w:sz="4" w:space="0"/>
            </w:tcBorders>
            <w:vAlign w:val="center"/>
          </w:tcPr>
          <w:p w14:paraId="5F2D34DC">
            <w:pPr>
              <w:spacing w:line="360" w:lineRule="auto"/>
              <w:rPr>
                <w:rFonts w:ascii="宋体" w:hAnsi="宋体" w:cs="宋体"/>
                <w:color w:val="auto"/>
                <w:sz w:val="24"/>
                <w:highlight w:val="none"/>
              </w:rPr>
            </w:pPr>
            <w:r>
              <w:rPr>
                <w:rFonts w:hint="eastAsia" w:ascii="宋体" w:hAnsi="宋体" w:cs="宋体"/>
                <w:color w:val="auto"/>
                <w:sz w:val="24"/>
                <w:highlight w:val="none"/>
              </w:rPr>
              <w:t>1.7.4.2</w:t>
            </w:r>
          </w:p>
        </w:tc>
        <w:tc>
          <w:tcPr>
            <w:tcW w:w="4464" w:type="pct"/>
            <w:vAlign w:val="center"/>
          </w:tcPr>
          <w:p w14:paraId="7FBD576A">
            <w:pPr>
              <w:spacing w:line="360" w:lineRule="auto"/>
              <w:rPr>
                <w:rFonts w:ascii="宋体" w:hAnsi="宋体" w:cs="宋体"/>
                <w:color w:val="auto"/>
                <w:sz w:val="24"/>
                <w:highlight w:val="none"/>
              </w:rPr>
            </w:pPr>
            <w:r>
              <w:rPr>
                <w:rFonts w:hint="eastAsia" w:ascii="宋体" w:hAnsi="宋体" w:cs="宋体"/>
                <w:color w:val="auto"/>
                <w:sz w:val="24"/>
                <w:highlight w:val="none"/>
              </w:rPr>
              <w:t>/</w:t>
            </w:r>
          </w:p>
        </w:tc>
      </w:tr>
      <w:tr w14:paraId="44689B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3A376E9E">
            <w:pPr>
              <w:spacing w:line="360" w:lineRule="auto"/>
              <w:rPr>
                <w:rFonts w:ascii="宋体" w:hAnsi="宋体" w:cs="宋体"/>
                <w:color w:val="auto"/>
                <w:sz w:val="24"/>
                <w:highlight w:val="none"/>
              </w:rPr>
            </w:pPr>
            <w:r>
              <w:rPr>
                <w:rFonts w:hint="eastAsia" w:ascii="宋体" w:hAnsi="宋体" w:cs="宋体"/>
                <w:color w:val="auto"/>
                <w:sz w:val="24"/>
                <w:highlight w:val="none"/>
              </w:rPr>
              <w:t>1.7.4.3</w:t>
            </w:r>
          </w:p>
        </w:tc>
        <w:tc>
          <w:tcPr>
            <w:tcW w:w="4464" w:type="pct"/>
            <w:vAlign w:val="center"/>
          </w:tcPr>
          <w:p w14:paraId="308E83CB">
            <w:pPr>
              <w:spacing w:line="360" w:lineRule="auto"/>
              <w:rPr>
                <w:rFonts w:ascii="宋体" w:hAnsi="宋体" w:cs="宋体"/>
                <w:color w:val="auto"/>
                <w:sz w:val="24"/>
                <w:highlight w:val="none"/>
              </w:rPr>
            </w:pPr>
            <w:r>
              <w:rPr>
                <w:rFonts w:hint="eastAsia" w:ascii="宋体" w:hAnsi="宋体" w:cs="宋体"/>
                <w:color w:val="auto"/>
                <w:sz w:val="24"/>
                <w:highlight w:val="none"/>
              </w:rPr>
              <w:t>/</w:t>
            </w:r>
          </w:p>
        </w:tc>
      </w:tr>
      <w:tr w14:paraId="3AC5C8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535" w:type="pct"/>
            <w:tcBorders>
              <w:left w:val="single" w:color="auto" w:sz="4" w:space="0"/>
            </w:tcBorders>
            <w:vAlign w:val="center"/>
          </w:tcPr>
          <w:p w14:paraId="683F291A">
            <w:pPr>
              <w:spacing w:line="360" w:lineRule="auto"/>
              <w:rPr>
                <w:rFonts w:ascii="宋体" w:hAnsi="宋体" w:cs="宋体"/>
                <w:color w:val="auto"/>
                <w:sz w:val="24"/>
                <w:highlight w:val="none"/>
              </w:rPr>
            </w:pPr>
            <w:r>
              <w:rPr>
                <w:rFonts w:hint="eastAsia" w:ascii="宋体" w:hAnsi="宋体" w:cs="宋体"/>
                <w:color w:val="auto"/>
                <w:sz w:val="24"/>
                <w:highlight w:val="none"/>
              </w:rPr>
              <w:t>1.8.7</w:t>
            </w:r>
          </w:p>
        </w:tc>
        <w:tc>
          <w:tcPr>
            <w:tcW w:w="4464" w:type="pct"/>
            <w:vAlign w:val="center"/>
          </w:tcPr>
          <w:p w14:paraId="1E6C0BD4">
            <w:pPr>
              <w:pStyle w:val="25"/>
              <w:rPr>
                <w:color w:val="auto"/>
                <w:highlight w:val="none"/>
              </w:rPr>
            </w:pPr>
            <w:r>
              <w:rPr>
                <w:rFonts w:hint="eastAsia"/>
                <w:color w:val="auto"/>
                <w:highlight w:val="none"/>
                <w:lang w:val="en-US"/>
              </w:rPr>
              <w:t>/</w:t>
            </w:r>
          </w:p>
        </w:tc>
      </w:tr>
      <w:tr w14:paraId="25E2B4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4954C98A">
            <w:pPr>
              <w:spacing w:line="360" w:lineRule="auto"/>
              <w:rPr>
                <w:rFonts w:ascii="宋体" w:hAnsi="宋体" w:cs="宋体"/>
                <w:color w:val="auto"/>
                <w:sz w:val="24"/>
                <w:highlight w:val="none"/>
              </w:rPr>
            </w:pPr>
            <w:r>
              <w:rPr>
                <w:rFonts w:hint="eastAsia" w:ascii="宋体" w:hAnsi="宋体" w:cs="宋体"/>
                <w:color w:val="auto"/>
                <w:sz w:val="24"/>
                <w:highlight w:val="none"/>
              </w:rPr>
              <w:t>1.9.1</w:t>
            </w:r>
          </w:p>
        </w:tc>
        <w:tc>
          <w:tcPr>
            <w:tcW w:w="4464" w:type="pct"/>
            <w:vAlign w:val="center"/>
          </w:tcPr>
          <w:p w14:paraId="5BA7F8FA">
            <w:pPr>
              <w:spacing w:line="360" w:lineRule="auto"/>
              <w:rPr>
                <w:rFonts w:ascii="宋体" w:hAnsi="宋体" w:cs="宋体"/>
                <w:color w:val="auto"/>
                <w:sz w:val="24"/>
                <w:highlight w:val="none"/>
              </w:rPr>
            </w:pPr>
            <w:r>
              <w:rPr>
                <w:rFonts w:hint="eastAsia" w:ascii="宋体" w:hAnsi="宋体" w:cs="宋体"/>
                <w:color w:val="auto"/>
                <w:sz w:val="24"/>
                <w:highlight w:val="none"/>
              </w:rPr>
              <w:t>宁波市</w:t>
            </w:r>
          </w:p>
        </w:tc>
      </w:tr>
      <w:tr w14:paraId="5FD762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53F42F2F">
            <w:pPr>
              <w:spacing w:line="360" w:lineRule="auto"/>
              <w:rPr>
                <w:rFonts w:ascii="宋体" w:hAnsi="宋体" w:cs="宋体"/>
                <w:color w:val="auto"/>
                <w:sz w:val="24"/>
                <w:highlight w:val="none"/>
              </w:rPr>
            </w:pPr>
            <w:r>
              <w:rPr>
                <w:rFonts w:hint="eastAsia" w:ascii="宋体" w:hAnsi="宋体" w:cs="宋体"/>
                <w:color w:val="auto"/>
                <w:sz w:val="24"/>
                <w:highlight w:val="none"/>
              </w:rPr>
              <w:t>1.9.2</w:t>
            </w:r>
          </w:p>
        </w:tc>
        <w:tc>
          <w:tcPr>
            <w:tcW w:w="4464" w:type="pct"/>
            <w:vAlign w:val="center"/>
          </w:tcPr>
          <w:p w14:paraId="3B7F19B1">
            <w:pPr>
              <w:spacing w:line="360" w:lineRule="auto"/>
              <w:rPr>
                <w:rFonts w:ascii="宋体" w:hAnsi="宋体" w:cs="宋体"/>
                <w:color w:val="auto"/>
                <w:sz w:val="24"/>
                <w:highlight w:val="none"/>
              </w:rPr>
            </w:pPr>
            <w:r>
              <w:rPr>
                <w:rFonts w:hint="eastAsia" w:ascii="宋体" w:hAnsi="宋体" w:cs="宋体"/>
                <w:color w:val="auto"/>
                <w:sz w:val="24"/>
                <w:highlight w:val="none"/>
              </w:rPr>
              <w:t>宁波市</w:t>
            </w:r>
          </w:p>
        </w:tc>
      </w:tr>
      <w:tr w14:paraId="59578D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26AC283E">
            <w:pPr>
              <w:spacing w:line="360" w:lineRule="auto"/>
              <w:rPr>
                <w:rFonts w:ascii="宋体" w:hAnsi="宋体" w:cs="宋体"/>
                <w:color w:val="auto"/>
                <w:sz w:val="24"/>
                <w:highlight w:val="none"/>
              </w:rPr>
            </w:pPr>
            <w:r>
              <w:rPr>
                <w:rFonts w:hint="eastAsia" w:ascii="宋体" w:hAnsi="宋体" w:cs="宋体"/>
                <w:color w:val="auto"/>
                <w:sz w:val="24"/>
                <w:highlight w:val="none"/>
              </w:rPr>
              <w:t>2.3.2</w:t>
            </w:r>
          </w:p>
        </w:tc>
        <w:tc>
          <w:tcPr>
            <w:tcW w:w="4464" w:type="pct"/>
            <w:vAlign w:val="center"/>
          </w:tcPr>
          <w:p w14:paraId="620CE34F">
            <w:pPr>
              <w:spacing w:line="360" w:lineRule="auto"/>
              <w:ind w:left="-420" w:leftChars="-200" w:right="-420" w:rightChars="-200" w:firstLine="480" w:firstLineChars="200"/>
              <w:rPr>
                <w:rFonts w:ascii="宋体" w:hAnsi="宋体" w:cs="宋体"/>
                <w:color w:val="auto"/>
                <w:sz w:val="24"/>
                <w:highlight w:val="none"/>
              </w:rPr>
            </w:pPr>
            <w:r>
              <w:rPr>
                <w:rFonts w:hint="eastAsia" w:ascii="宋体" w:hAnsi="宋体" w:cs="宋体"/>
                <w:color w:val="auto"/>
                <w:sz w:val="24"/>
                <w:highlight w:val="none"/>
              </w:rPr>
              <w:t>合同涉及技术成果归甲方所有</w:t>
            </w:r>
          </w:p>
        </w:tc>
      </w:tr>
      <w:tr w14:paraId="2C3C82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7397F87A">
            <w:pPr>
              <w:spacing w:line="360" w:lineRule="auto"/>
              <w:rPr>
                <w:highlight w:val="none"/>
              </w:rPr>
            </w:pPr>
            <w:r>
              <w:rPr>
                <w:rFonts w:hint="eastAsia" w:ascii="宋体" w:hAnsi="宋体" w:cs="宋体"/>
                <w:color w:val="auto"/>
                <w:sz w:val="24"/>
                <w:highlight w:val="none"/>
              </w:rPr>
              <w:t>2.</w:t>
            </w:r>
            <w:r>
              <w:rPr>
                <w:rFonts w:ascii="宋体" w:hAnsi="宋体" w:cs="宋体"/>
                <w:color w:val="auto"/>
                <w:sz w:val="24"/>
                <w:highlight w:val="none"/>
              </w:rPr>
              <w:t>5</w:t>
            </w:r>
          </w:p>
        </w:tc>
        <w:tc>
          <w:tcPr>
            <w:tcW w:w="4464" w:type="pct"/>
            <w:vAlign w:val="center"/>
          </w:tcPr>
          <w:p w14:paraId="02E81C17">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（1）合同生效以及具备实施条件后7个工作日内支付年度合同金额（含固定支付和按实结算部分）40%的预付款；预付款从首次支付的养护经费开始抵扣，直至扣完为止。</w:t>
            </w:r>
          </w:p>
          <w:p w14:paraId="7D8F9368">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（2）本项目养护经费支付包含“固定支付”和“按实结算”两种（具体经费分类详见附件 设施量清单及编制说明）：</w:t>
            </w:r>
          </w:p>
          <w:p w14:paraId="6E8430A9">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①固定部分：第6个月考核完成且收到发票后7个工作日内支付至50%（同步扣除第1-6月考核扣罚费用），并结合中标下浮率结算；第9个月考核完成且收到发票后7个工作日支付至75%（同步扣除第7-9月考核扣罚费用），并结合中标下浮率结算；12个月考核完成且收到发票后7个工作日后支付至100%（同步扣除第10-12月考核扣罚费用），并结合中标下浮率结算。</w:t>
            </w:r>
          </w:p>
          <w:p w14:paraId="586A6408">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②按实结算部分：在固定部分支付时同步支付，实际完成量支付进度款至已完成工作量金额（经第三方咨询单位审核金额）的85%，并结合中标下浮率，按实结算，合同期满后支付至审核价的100%，并结合中标下浮率，按实结算。实际发生金额对应核减相关费用（乙方投标文件有核减部分内容报价明细的则根据报价明细扣除，否则按照整体中标下浮比率对该部分费用进行扣除），报价明细和招标文件都没有提及的部分则参考公布的市场信息价或市场询价进行核定，乙方需提供能证明实际发生金额的相关资料由甲方审核确认，实施内容涉及外聘人工、机械、材料的由甲方关业务部门审核确认。</w:t>
            </w:r>
          </w:p>
        </w:tc>
      </w:tr>
      <w:tr w14:paraId="7B3AD8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7F7B6374">
            <w:pPr>
              <w:spacing w:line="360" w:lineRule="auto"/>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11</w:t>
            </w:r>
            <w:r>
              <w:rPr>
                <w:rFonts w:hint="eastAsia" w:ascii="宋体" w:hAnsi="宋体" w:cs="宋体"/>
                <w:color w:val="auto"/>
                <w:sz w:val="24"/>
                <w:highlight w:val="none"/>
              </w:rPr>
              <w:t>.</w:t>
            </w:r>
            <w:r>
              <w:rPr>
                <w:rFonts w:ascii="宋体" w:hAnsi="宋体" w:cs="宋体"/>
                <w:color w:val="auto"/>
                <w:sz w:val="24"/>
                <w:highlight w:val="none"/>
              </w:rPr>
              <w:t>3</w:t>
            </w:r>
          </w:p>
        </w:tc>
        <w:tc>
          <w:tcPr>
            <w:tcW w:w="4464" w:type="pct"/>
            <w:vAlign w:val="center"/>
          </w:tcPr>
          <w:p w14:paraId="0D5F8FB2">
            <w:pPr>
              <w:spacing w:line="360" w:lineRule="auto"/>
              <w:rPr>
                <w:rFonts w:ascii="宋体" w:hAnsi="宋体" w:cs="宋体"/>
                <w:color w:val="auto"/>
                <w:sz w:val="24"/>
                <w:highlight w:val="none"/>
              </w:rPr>
            </w:pPr>
            <w:r>
              <w:rPr>
                <w:rFonts w:hint="eastAsia" w:ascii="宋体" w:hAnsi="宋体" w:cs="宋体"/>
                <w:color w:val="auto"/>
                <w:sz w:val="24"/>
                <w:highlight w:val="none"/>
              </w:rPr>
              <w:t>10个工作日</w:t>
            </w:r>
          </w:p>
        </w:tc>
      </w:tr>
      <w:tr w14:paraId="26FCC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tcPr>
          <w:p w14:paraId="08426EDB">
            <w:pPr>
              <w:spacing w:line="360" w:lineRule="auto"/>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11.4</w:t>
            </w:r>
            <w:r>
              <w:rPr>
                <w:rFonts w:hint="eastAsia" w:ascii="宋体" w:hAnsi="宋体" w:cs="宋体"/>
                <w:color w:val="auto"/>
                <w:sz w:val="24"/>
                <w:highlight w:val="none"/>
              </w:rPr>
              <w:t xml:space="preserve"> </w:t>
            </w:r>
          </w:p>
        </w:tc>
        <w:tc>
          <w:tcPr>
            <w:tcW w:w="4464" w:type="pct"/>
          </w:tcPr>
          <w:p w14:paraId="44C8C81C">
            <w:pPr>
              <w:spacing w:line="360" w:lineRule="auto"/>
              <w:rPr>
                <w:rFonts w:ascii="宋体" w:hAnsi="宋体" w:cs="宋体"/>
                <w:color w:val="auto"/>
                <w:sz w:val="24"/>
                <w:highlight w:val="none"/>
              </w:rPr>
            </w:pPr>
            <w:r>
              <w:rPr>
                <w:rFonts w:hint="eastAsia" w:ascii="宋体" w:hAnsi="宋体" w:cs="宋体"/>
                <w:color w:val="auto"/>
                <w:sz w:val="24"/>
                <w:highlight w:val="none"/>
              </w:rPr>
              <w:t>10个工作日</w:t>
            </w:r>
          </w:p>
        </w:tc>
      </w:tr>
      <w:tr w14:paraId="166B5E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7204D3E1">
            <w:pPr>
              <w:spacing w:line="360" w:lineRule="auto"/>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15</w:t>
            </w:r>
            <w:r>
              <w:rPr>
                <w:rFonts w:hint="eastAsia" w:ascii="宋体" w:hAnsi="宋体" w:cs="宋体"/>
                <w:color w:val="auto"/>
                <w:sz w:val="24"/>
                <w:highlight w:val="none"/>
              </w:rPr>
              <w:t>.</w:t>
            </w:r>
            <w:r>
              <w:rPr>
                <w:rFonts w:ascii="宋体" w:hAnsi="宋体" w:cs="宋体"/>
                <w:color w:val="auto"/>
                <w:sz w:val="24"/>
                <w:highlight w:val="none"/>
              </w:rPr>
              <w:t>1</w:t>
            </w:r>
          </w:p>
        </w:tc>
        <w:tc>
          <w:tcPr>
            <w:tcW w:w="4464" w:type="pct"/>
            <w:vAlign w:val="center"/>
          </w:tcPr>
          <w:p w14:paraId="0B1BD31E">
            <w:pPr>
              <w:spacing w:line="360" w:lineRule="auto"/>
              <w:rPr>
                <w:rFonts w:ascii="宋体" w:hAnsi="宋体" w:cs="宋体"/>
                <w:color w:val="auto"/>
                <w:sz w:val="24"/>
                <w:highlight w:val="none"/>
              </w:rPr>
            </w:pPr>
            <w:r>
              <w:rPr>
                <w:rFonts w:hint="eastAsia" w:ascii="宋体" w:hAnsi="宋体" w:cs="宋体"/>
                <w:color w:val="auto"/>
                <w:sz w:val="24"/>
                <w:highlight w:val="none"/>
              </w:rPr>
              <w:t>/</w:t>
            </w:r>
          </w:p>
        </w:tc>
      </w:tr>
      <w:tr w14:paraId="6B4D2D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535" w:type="pct"/>
            <w:tcBorders>
              <w:left w:val="single" w:color="auto" w:sz="4" w:space="0"/>
            </w:tcBorders>
            <w:vAlign w:val="center"/>
          </w:tcPr>
          <w:p w14:paraId="76006FE2">
            <w:pPr>
              <w:spacing w:line="360" w:lineRule="auto"/>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15</w:t>
            </w:r>
            <w:r>
              <w:rPr>
                <w:rFonts w:hint="eastAsia" w:ascii="宋体" w:hAnsi="宋体" w:cs="宋体"/>
                <w:color w:val="auto"/>
                <w:sz w:val="24"/>
                <w:highlight w:val="none"/>
              </w:rPr>
              <w:t>.</w:t>
            </w:r>
            <w:r>
              <w:rPr>
                <w:rFonts w:ascii="宋体" w:hAnsi="宋体" w:cs="宋体"/>
                <w:color w:val="auto"/>
                <w:sz w:val="24"/>
                <w:highlight w:val="none"/>
              </w:rPr>
              <w:t>3</w:t>
            </w:r>
          </w:p>
        </w:tc>
        <w:tc>
          <w:tcPr>
            <w:tcW w:w="4464" w:type="pct"/>
            <w:vAlign w:val="center"/>
          </w:tcPr>
          <w:p w14:paraId="62D1A7FF">
            <w:pPr>
              <w:spacing w:line="360" w:lineRule="auto"/>
              <w:rPr>
                <w:rFonts w:ascii="宋体" w:hAnsi="宋体" w:cs="宋体"/>
                <w:color w:val="auto"/>
                <w:sz w:val="24"/>
                <w:highlight w:val="none"/>
              </w:rPr>
            </w:pPr>
            <w:r>
              <w:rPr>
                <w:rFonts w:hint="eastAsia" w:ascii="宋体" w:hAnsi="宋体" w:cs="宋体"/>
                <w:color w:val="auto"/>
                <w:sz w:val="24"/>
                <w:highlight w:val="none"/>
              </w:rPr>
              <w:t>/</w:t>
            </w:r>
          </w:p>
        </w:tc>
      </w:tr>
      <w:tr w14:paraId="20A6F1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535" w:type="pct"/>
            <w:tcBorders>
              <w:left w:val="single" w:color="auto" w:sz="4" w:space="0"/>
            </w:tcBorders>
          </w:tcPr>
          <w:p w14:paraId="4E74613C">
            <w:pPr>
              <w:spacing w:line="360" w:lineRule="auto"/>
              <w:rPr>
                <w:rFonts w:ascii="宋体" w:hAnsi="宋体" w:cs="宋体"/>
                <w:color w:val="auto"/>
                <w:sz w:val="24"/>
                <w:highlight w:val="none"/>
              </w:rPr>
            </w:pPr>
            <w:r>
              <w:rPr>
                <w:rFonts w:hint="eastAsia" w:ascii="宋体" w:hAnsi="宋体" w:cs="宋体"/>
                <w:color w:val="auto"/>
                <w:sz w:val="24"/>
                <w:highlight w:val="none"/>
              </w:rPr>
              <w:t>2.19</w:t>
            </w:r>
          </w:p>
        </w:tc>
        <w:tc>
          <w:tcPr>
            <w:tcW w:w="4464" w:type="pct"/>
          </w:tcPr>
          <w:p w14:paraId="7951B2AA">
            <w:pPr>
              <w:spacing w:line="360" w:lineRule="auto"/>
              <w:rPr>
                <w:rFonts w:ascii="宋体" w:hAnsi="宋体" w:cs="宋体"/>
                <w:color w:val="auto"/>
                <w:sz w:val="24"/>
                <w:highlight w:val="none"/>
              </w:rPr>
            </w:pPr>
            <w:r>
              <w:rPr>
                <w:rFonts w:ascii="宋体" w:hAnsi="宋体" w:cs="宋体"/>
                <w:color w:val="auto"/>
                <w:sz w:val="24"/>
                <w:highlight w:val="none"/>
              </w:rPr>
              <w:t>一式</w:t>
            </w:r>
            <w:r>
              <w:rPr>
                <w:rFonts w:hint="eastAsia" w:ascii="宋体" w:hAnsi="宋体" w:cs="宋体"/>
                <w:color w:val="auto"/>
                <w:sz w:val="24"/>
                <w:highlight w:val="none"/>
                <w:u w:val="single"/>
              </w:rPr>
              <w:t xml:space="preserve">  </w:t>
            </w:r>
            <w:r>
              <w:rPr>
                <w:rFonts w:ascii="宋体" w:hAnsi="宋体" w:cs="宋体"/>
                <w:color w:val="auto"/>
                <w:sz w:val="24"/>
                <w:highlight w:val="none"/>
              </w:rPr>
              <w:t>份</w:t>
            </w:r>
            <w:r>
              <w:rPr>
                <w:rFonts w:hint="eastAsia" w:ascii="宋体" w:hAnsi="宋体" w:cs="宋体"/>
                <w:color w:val="auto"/>
                <w:sz w:val="24"/>
                <w:highlight w:val="none"/>
              </w:rPr>
              <w:t>，</w:t>
            </w:r>
            <w:r>
              <w:rPr>
                <w:rFonts w:ascii="宋体" w:hAnsi="宋体" w:cs="宋体"/>
                <w:color w:val="auto"/>
                <w:sz w:val="24"/>
                <w:highlight w:val="none"/>
              </w:rPr>
              <w:t>双方各</w:t>
            </w:r>
            <w:r>
              <w:rPr>
                <w:rFonts w:hint="eastAsia" w:ascii="宋体" w:hAnsi="宋体" w:cs="宋体"/>
                <w:color w:val="auto"/>
                <w:sz w:val="24"/>
                <w:highlight w:val="none"/>
              </w:rPr>
              <w:t>执</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份。</w:t>
            </w:r>
          </w:p>
        </w:tc>
      </w:tr>
    </w:tbl>
    <w:p w14:paraId="62BC4D53">
      <w:pPr>
        <w:pStyle w:val="2"/>
        <w:ind w:firstLine="420"/>
        <w:rPr>
          <w:color w:val="auto"/>
          <w:highlight w:val="none"/>
        </w:rPr>
      </w:pPr>
    </w:p>
    <w:p w14:paraId="599E18DF">
      <w:pPr>
        <w:widowControl/>
        <w:adjustRightInd/>
        <w:jc w:val="center"/>
        <w:rPr>
          <w:rFonts w:ascii="宋体" w:hAnsi="宋体" w:cs="宋体"/>
          <w:b/>
          <w:color w:val="auto"/>
          <w:sz w:val="36"/>
          <w:szCs w:val="20"/>
          <w:highlight w:val="none"/>
        </w:rPr>
        <w:sectPr>
          <w:headerReference r:id="rId15" w:type="first"/>
          <w:footerReference r:id="rId17" w:type="first"/>
          <w:headerReference r:id="rId14" w:type="default"/>
          <w:footerReference r:id="rId16"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320FDF1E">
      <w:pPr>
        <w:widowControl/>
        <w:adjustRightInd/>
        <w:jc w:val="center"/>
        <w:outlineLvl w:val="0"/>
        <w:rPr>
          <w:rFonts w:ascii="宋体" w:hAnsi="宋体" w:cs="宋体"/>
          <w:b/>
          <w:color w:val="auto"/>
          <w:sz w:val="36"/>
          <w:szCs w:val="20"/>
          <w:highlight w:val="none"/>
        </w:rPr>
      </w:pPr>
      <w:bookmarkStart w:id="544" w:name="_Toc22409"/>
      <w:r>
        <w:rPr>
          <w:rFonts w:hint="eastAsia" w:ascii="宋体" w:hAnsi="宋体" w:cs="宋体"/>
          <w:b/>
          <w:color w:val="auto"/>
          <w:sz w:val="36"/>
          <w:szCs w:val="20"/>
          <w:highlight w:val="none"/>
        </w:rPr>
        <w:t>第六部分</w:t>
      </w:r>
      <w:bookmarkEnd w:id="393"/>
      <w:r>
        <w:rPr>
          <w:rFonts w:hint="eastAsia" w:ascii="宋体" w:hAnsi="宋体" w:cs="宋体"/>
          <w:b/>
          <w:color w:val="auto"/>
          <w:sz w:val="36"/>
          <w:szCs w:val="20"/>
          <w:highlight w:val="none"/>
        </w:rPr>
        <w:t xml:space="preserve"> </w:t>
      </w:r>
      <w:bookmarkEnd w:id="394"/>
      <w:r>
        <w:rPr>
          <w:rFonts w:hint="eastAsia" w:ascii="宋体" w:hAnsi="宋体" w:cs="宋体"/>
          <w:b/>
          <w:color w:val="auto"/>
          <w:sz w:val="36"/>
          <w:szCs w:val="20"/>
          <w:highlight w:val="none"/>
        </w:rPr>
        <w:t>应提交的有关格式范例</w:t>
      </w:r>
      <w:bookmarkEnd w:id="544"/>
    </w:p>
    <w:p w14:paraId="10E9941F">
      <w:pPr>
        <w:spacing w:line="360" w:lineRule="auto"/>
        <w:jc w:val="center"/>
        <w:rPr>
          <w:rFonts w:ascii="宋体" w:hAnsi="宋体" w:cs="宋体"/>
          <w:b/>
          <w:color w:val="auto"/>
          <w:kern w:val="0"/>
          <w:sz w:val="36"/>
          <w:szCs w:val="36"/>
          <w:highlight w:val="none"/>
        </w:rPr>
      </w:pPr>
    </w:p>
    <w:p w14:paraId="5FB4317B">
      <w:pPr>
        <w:spacing w:line="360" w:lineRule="auto"/>
        <w:jc w:val="center"/>
        <w:outlineLvl w:val="1"/>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14:paraId="77CDF04A">
      <w:pPr>
        <w:spacing w:line="360" w:lineRule="auto"/>
        <w:jc w:val="center"/>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026B899B">
      <w:pPr>
        <w:spacing w:line="360" w:lineRule="auto"/>
        <w:jc w:val="center"/>
        <w:rPr>
          <w:rFonts w:ascii="宋体" w:hAnsi="宋体" w:cs="宋体"/>
          <w:b/>
          <w:color w:val="auto"/>
          <w:kern w:val="0"/>
          <w:sz w:val="36"/>
          <w:szCs w:val="36"/>
          <w:highlight w:val="none"/>
        </w:rPr>
      </w:pPr>
    </w:p>
    <w:p w14:paraId="19E4304C">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14:paraId="392D211A">
      <w:pPr>
        <w:snapToGrid w:val="0"/>
        <w:spacing w:line="360" w:lineRule="auto"/>
        <w:rPr>
          <w:rFonts w:ascii="宋体" w:hAnsi="宋体" w:cs="宋体"/>
          <w:color w:val="auto"/>
          <w:sz w:val="24"/>
          <w:highlight w:val="none"/>
        </w:rPr>
      </w:pPr>
      <w:r>
        <w:rPr>
          <w:rFonts w:hint="eastAsia" w:ascii="宋体" w:hAnsi="宋体" w:cs="宋体"/>
          <w:snapToGrid w:val="0"/>
          <w:color w:val="auto"/>
          <w:kern w:val="28"/>
          <w:sz w:val="24"/>
          <w:szCs w:val="20"/>
          <w:highlight w:val="none"/>
        </w:rPr>
        <w:t>（2）联合协议</w:t>
      </w:r>
      <w:r>
        <w:rPr>
          <w:rFonts w:hint="eastAsia" w:ascii="宋体" w:hAnsi="宋体" w:cs="宋体"/>
          <w:color w:val="auto"/>
          <w:sz w:val="24"/>
          <w:highlight w:val="none"/>
        </w:rPr>
        <w:t>………………………………………………………………（页码）</w:t>
      </w:r>
    </w:p>
    <w:p w14:paraId="589F6772">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）落实政府采购政策需满足的资格要求………………………………（页码）</w:t>
      </w:r>
    </w:p>
    <w:p w14:paraId="41163CCC">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）本项目的特定资格要求………………………………………………（页码）</w:t>
      </w:r>
    </w:p>
    <w:p w14:paraId="739A55E1">
      <w:pPr>
        <w:snapToGrid w:val="0"/>
        <w:spacing w:line="360" w:lineRule="auto"/>
        <w:ind w:firstLine="480" w:firstLineChars="200"/>
        <w:rPr>
          <w:rFonts w:ascii="宋体" w:hAnsi="宋体" w:cs="宋体"/>
          <w:color w:val="auto"/>
          <w:sz w:val="24"/>
          <w:highlight w:val="none"/>
        </w:rPr>
      </w:pPr>
    </w:p>
    <w:p w14:paraId="63AA9BC9">
      <w:pPr>
        <w:spacing w:line="360" w:lineRule="auto"/>
        <w:ind w:firstLine="480" w:firstLineChars="200"/>
        <w:rPr>
          <w:rFonts w:ascii="宋体" w:hAnsi="宋体" w:cs="宋体"/>
          <w:color w:val="auto"/>
          <w:sz w:val="24"/>
          <w:highlight w:val="none"/>
        </w:rPr>
      </w:pPr>
    </w:p>
    <w:p w14:paraId="5348D125">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color w:val="auto"/>
          <w:kern w:val="0"/>
          <w:sz w:val="24"/>
          <w:highlight w:val="none"/>
        </w:rPr>
        <w:br w:type="page"/>
      </w:r>
      <w:r>
        <w:rPr>
          <w:rFonts w:hint="eastAsia" w:ascii="宋体" w:hAnsi="宋体" w:cs="宋体"/>
          <w:b/>
          <w:color w:val="auto"/>
          <w:kern w:val="0"/>
          <w:sz w:val="32"/>
          <w:szCs w:val="32"/>
          <w:highlight w:val="none"/>
        </w:rPr>
        <w:t xml:space="preserve">  一、 符合参加政府采购活动应当具备的一般条件的承诺函</w:t>
      </w:r>
    </w:p>
    <w:p w14:paraId="260661A5">
      <w:pPr>
        <w:snapToGrid w:val="0"/>
        <w:spacing w:line="360" w:lineRule="auto"/>
        <w:rPr>
          <w:rFonts w:ascii="宋体" w:hAnsi="宋体" w:cs="宋体"/>
          <w:color w:val="auto"/>
          <w:sz w:val="24"/>
          <w:highlight w:val="none"/>
        </w:rPr>
      </w:pPr>
      <w:r>
        <w:rPr>
          <w:rFonts w:hint="eastAsia" w:ascii="宋体" w:hAnsi="宋体" w:cs="宋体"/>
          <w:color w:val="auto"/>
          <w:sz w:val="24"/>
          <w:highlight w:val="none"/>
          <w:lang w:eastAsia="zh-CN"/>
        </w:rPr>
        <w:t>宁波市园林绿化中心</w:t>
      </w:r>
      <w:r>
        <w:rPr>
          <w:rFonts w:hint="eastAsia" w:ascii="宋体" w:hAnsi="宋体" w:cs="宋体"/>
          <w:color w:val="auto"/>
          <w:sz w:val="24"/>
          <w:highlight w:val="none"/>
        </w:rPr>
        <w:t>、宁波中基国际招标有限公司：</w:t>
      </w:r>
    </w:p>
    <w:p w14:paraId="6F3D5E9D">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w:t>
      </w:r>
      <w:r>
        <w:rPr>
          <w:rFonts w:hint="eastAsia" w:ascii="宋体" w:hAnsi="宋体" w:cs="宋体"/>
          <w:color w:val="auto"/>
          <w:sz w:val="24"/>
          <w:highlight w:val="none"/>
          <w:lang w:eastAsia="zh-CN"/>
        </w:rPr>
        <w:t>2024-2027年市管公园综合养管项目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CBNB-20246487G</w:t>
      </w:r>
      <w:r>
        <w:rPr>
          <w:rFonts w:hint="eastAsia" w:ascii="宋体" w:hAnsi="宋体" w:cs="宋体"/>
          <w:color w:val="auto"/>
          <w:sz w:val="24"/>
          <w:highlight w:val="none"/>
        </w:rPr>
        <w:t>】政府采购活动，郑重承诺：</w:t>
      </w:r>
    </w:p>
    <w:p w14:paraId="3814125C">
      <w:pP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14:paraId="575C7A4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2EF2CDF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14:paraId="5B1C037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4BB9C874">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61622C72">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5A75D62D">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14:paraId="2E2E1900">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（二）未被信用中国（www.creditchina.gov.cn)、中国政府采购网（www.ccgp.gov.cn）列入失信被执行人、重大税收违法案件当事人名单（重大税收违法失信主体）、政府采购严重违法失信行为记录名单。</w:t>
      </w:r>
    </w:p>
    <w:p w14:paraId="54423C72">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14:paraId="03980307">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14:paraId="7EE13080">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14:paraId="6047A87F">
      <w:pP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30A48982">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4E71ED39">
      <w:pPr>
        <w:snapToGrid w:val="0"/>
        <w:spacing w:line="360" w:lineRule="auto"/>
        <w:ind w:right="480"/>
        <w:jc w:val="center"/>
        <w:rPr>
          <w:rFonts w:ascii="宋体" w:hAnsi="宋体" w:cs="宋体"/>
          <w:b/>
          <w:color w:val="auto"/>
          <w:kern w:val="0"/>
          <w:sz w:val="32"/>
          <w:szCs w:val="32"/>
          <w:highlight w:val="none"/>
        </w:rPr>
      </w:pPr>
    </w:p>
    <w:p w14:paraId="7D90A94C">
      <w:pPr>
        <w:snapToGrid w:val="0"/>
        <w:spacing w:line="360" w:lineRule="auto"/>
        <w:ind w:right="480"/>
        <w:jc w:val="center"/>
        <w:rPr>
          <w:rFonts w:ascii="宋体" w:hAnsi="宋体" w:cs="宋体"/>
          <w:b/>
          <w:color w:val="auto"/>
          <w:kern w:val="0"/>
          <w:sz w:val="32"/>
          <w:szCs w:val="32"/>
          <w:highlight w:val="none"/>
        </w:rPr>
      </w:pPr>
    </w:p>
    <w:p w14:paraId="641D0B2D">
      <w:pPr>
        <w:snapToGrid w:val="0"/>
        <w:spacing w:line="360" w:lineRule="auto"/>
        <w:ind w:right="480"/>
        <w:jc w:val="center"/>
        <w:rPr>
          <w:rFonts w:ascii="宋体" w:hAnsi="宋体" w:cs="宋体"/>
          <w:b/>
          <w:color w:val="auto"/>
          <w:kern w:val="0"/>
          <w:sz w:val="32"/>
          <w:szCs w:val="32"/>
          <w:highlight w:val="none"/>
        </w:rPr>
      </w:pPr>
    </w:p>
    <w:p w14:paraId="3E0A3493">
      <w:pPr>
        <w:rPr>
          <w:rFonts w:ascii="宋体" w:hAnsi="宋体" w:cs="宋体"/>
          <w:color w:val="auto"/>
          <w:highlight w:val="none"/>
        </w:rPr>
      </w:pPr>
    </w:p>
    <w:p w14:paraId="1591B43B">
      <w:pPr>
        <w:snapToGrid w:val="0"/>
        <w:spacing w:line="360" w:lineRule="auto"/>
        <w:ind w:right="480"/>
        <w:jc w:val="center"/>
        <w:rPr>
          <w:rFonts w:ascii="宋体" w:hAnsi="宋体" w:cs="宋体"/>
          <w:b/>
          <w:color w:val="auto"/>
          <w:kern w:val="0"/>
          <w:sz w:val="32"/>
          <w:szCs w:val="32"/>
          <w:highlight w:val="none"/>
        </w:rPr>
      </w:pPr>
    </w:p>
    <w:p w14:paraId="5F859E69">
      <w:pPr>
        <w:snapToGrid w:val="0"/>
        <w:spacing w:line="360" w:lineRule="auto"/>
        <w:ind w:right="480"/>
        <w:jc w:val="center"/>
        <w:rPr>
          <w:rFonts w:ascii="宋体" w:hAnsi="宋体" w:cs="宋体"/>
          <w:b/>
          <w:color w:val="auto"/>
          <w:kern w:val="0"/>
          <w:sz w:val="32"/>
          <w:szCs w:val="32"/>
          <w:highlight w:val="none"/>
        </w:rPr>
      </w:pPr>
    </w:p>
    <w:p w14:paraId="539511D2">
      <w:pPr>
        <w:snapToGrid w:val="0"/>
        <w:spacing w:line="360" w:lineRule="auto"/>
        <w:ind w:right="480"/>
        <w:jc w:val="center"/>
        <w:rPr>
          <w:rFonts w:ascii="宋体" w:hAnsi="宋体" w:cs="宋体"/>
          <w:b/>
          <w:color w:val="auto"/>
          <w:kern w:val="0"/>
          <w:sz w:val="32"/>
          <w:szCs w:val="32"/>
          <w:highlight w:val="none"/>
        </w:rPr>
      </w:pPr>
    </w:p>
    <w:p w14:paraId="2726D384">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07C85825">
      <w:pPr>
        <w:widowControl/>
        <w:spacing w:line="360" w:lineRule="auto"/>
        <w:ind w:firstLine="643" w:firstLineChars="20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二、联合协议（如果有）</w:t>
      </w:r>
    </w:p>
    <w:p w14:paraId="50A0531A">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[以联合体形式投标的，提供联合协议（附件5）；本项目不接受联合体投标或者投标人不以联合体形式投标的，则不需要提供）]</w:t>
      </w:r>
    </w:p>
    <w:p w14:paraId="4BA79704">
      <w:pPr>
        <w:snapToGrid w:val="0"/>
        <w:spacing w:line="360" w:lineRule="auto"/>
        <w:ind w:right="480"/>
        <w:jc w:val="center"/>
        <w:rPr>
          <w:rFonts w:ascii="宋体" w:hAnsi="宋体" w:cs="宋体"/>
          <w:b/>
          <w:color w:val="auto"/>
          <w:kern w:val="0"/>
          <w:sz w:val="32"/>
          <w:szCs w:val="32"/>
          <w:highlight w:val="none"/>
        </w:rPr>
      </w:pPr>
    </w:p>
    <w:p w14:paraId="35159E69">
      <w:pPr>
        <w:snapToGrid w:val="0"/>
        <w:spacing w:line="360" w:lineRule="auto"/>
        <w:ind w:right="480"/>
        <w:jc w:val="center"/>
        <w:rPr>
          <w:rFonts w:ascii="宋体" w:hAnsi="宋体" w:cs="宋体"/>
          <w:b/>
          <w:color w:val="auto"/>
          <w:kern w:val="0"/>
          <w:sz w:val="32"/>
          <w:szCs w:val="32"/>
          <w:highlight w:val="none"/>
        </w:rPr>
      </w:pPr>
    </w:p>
    <w:p w14:paraId="4F01E911">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三、落实政府采购政策需满足的资格要求</w:t>
      </w:r>
    </w:p>
    <w:p w14:paraId="10322362">
      <w:pPr>
        <w:spacing w:line="360" w:lineRule="auto"/>
        <w:rPr>
          <w:rFonts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（根据招标公告落实政府采购政策需满足的资格要求选择提供相应的材料；未要求的，无需提供）</w:t>
      </w:r>
    </w:p>
    <w:p w14:paraId="7C68E67C">
      <w:pPr>
        <w:snapToGrid w:val="0"/>
        <w:spacing w:before="50" w:after="50"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.专门面向中小企业，服务全部由符合政策要求的中小企业（或小微企业）承接的，提供相应的中小企业声明函（附件</w:t>
      </w:r>
      <w:r>
        <w:rPr>
          <w:rFonts w:ascii="宋体" w:hAnsi="宋体" w:cs="宋体"/>
          <w:color w:val="auto"/>
          <w:sz w:val="24"/>
          <w:highlight w:val="none"/>
        </w:rPr>
        <w:t>7</w:t>
      </w:r>
      <w:r>
        <w:rPr>
          <w:rFonts w:hint="eastAsia" w:ascii="宋体" w:hAnsi="宋体" w:cs="宋体"/>
          <w:color w:val="auto"/>
          <w:sz w:val="24"/>
          <w:highlight w:val="none"/>
        </w:rPr>
        <w:t xml:space="preserve">）。 </w:t>
      </w:r>
    </w:p>
    <w:p w14:paraId="326C4C1A">
      <w:pPr>
        <w:widowControl/>
        <w:spacing w:line="360" w:lineRule="auto"/>
        <w:ind w:firstLine="480"/>
        <w:jc w:val="left"/>
        <w:rPr>
          <w:rFonts w:ascii="宋体" w:hAnsi="宋体" w:cs="宋体"/>
          <w:color w:val="auto"/>
          <w:sz w:val="24"/>
          <w:highlight w:val="none"/>
        </w:rPr>
      </w:pPr>
    </w:p>
    <w:p w14:paraId="46ACD2D7">
      <w:pPr>
        <w:widowControl/>
        <w:spacing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B.</w:t>
      </w:r>
      <w:r>
        <w:rPr>
          <w:rFonts w:hint="eastAsia" w:ascii="宋体" w:hAnsi="宋体" w:cs="宋体"/>
          <w:color w:val="auto"/>
          <w:sz w:val="24"/>
          <w:highlight w:val="none"/>
        </w:rPr>
        <w:t>要求以联合体形式参加的，提供联合协议（附件</w:t>
      </w:r>
      <w:r>
        <w:rPr>
          <w:rFonts w:ascii="宋体" w:hAnsi="宋体" w:cs="宋体"/>
          <w:color w:val="auto"/>
          <w:sz w:val="24"/>
          <w:highlight w:val="none"/>
        </w:rPr>
        <w:t>5</w:t>
      </w:r>
      <w:r>
        <w:rPr>
          <w:rFonts w:hint="eastAsia" w:ascii="宋体" w:hAnsi="宋体" w:cs="宋体"/>
          <w:color w:val="auto"/>
          <w:sz w:val="24"/>
          <w:highlight w:val="none"/>
        </w:rPr>
        <w:t>）和中小企业声明函（附件</w:t>
      </w:r>
      <w:r>
        <w:rPr>
          <w:rFonts w:ascii="宋体" w:hAnsi="宋体" w:cs="宋体"/>
          <w:color w:val="auto"/>
          <w:sz w:val="24"/>
          <w:highlight w:val="none"/>
        </w:rPr>
        <w:t>7</w:t>
      </w:r>
      <w:r>
        <w:rPr>
          <w:rFonts w:hint="eastAsia" w:ascii="宋体" w:hAnsi="宋体" w:cs="宋体"/>
          <w:color w:val="auto"/>
          <w:sz w:val="24"/>
          <w:highlight w:val="none"/>
        </w:rPr>
        <w:t>），联合协议中中小企业合同金额应当达到招标公告载明的比例；如果供应商本身提供所有标的均由中小企业承接的，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视同符合了资格条件，无需再与其他中小企业组成联合体参加政府采购活动，无需提供联合协议。</w:t>
      </w:r>
    </w:p>
    <w:p w14:paraId="0FEC9537">
      <w:pPr>
        <w:snapToGrid w:val="0"/>
        <w:spacing w:before="50" w:after="50" w:line="360" w:lineRule="auto"/>
        <w:jc w:val="center"/>
        <w:rPr>
          <w:rFonts w:ascii="宋体" w:hAnsi="宋体" w:cs="宋体"/>
          <w:color w:val="auto"/>
          <w:sz w:val="24"/>
          <w:highlight w:val="none"/>
        </w:rPr>
      </w:pPr>
      <w:r>
        <w:rPr>
          <w:rFonts w:hint="eastAsia" w:ascii="宋体" w:hAnsi="宋体" w:cs="宋体"/>
          <w:b/>
          <w:color w:val="auto"/>
          <w:sz w:val="24"/>
          <w:highlight w:val="none"/>
        </w:rPr>
        <w:t xml:space="preserve">    </w:t>
      </w:r>
    </w:p>
    <w:p w14:paraId="171D26C1">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C.</w:t>
      </w:r>
      <w:r>
        <w:rPr>
          <w:rFonts w:hint="eastAsia" w:ascii="宋体" w:hAnsi="宋体" w:cs="宋体"/>
          <w:color w:val="auto"/>
          <w:sz w:val="24"/>
          <w:highlight w:val="none"/>
        </w:rPr>
        <w:t>要求合同分包的，提供分包意向协议（附件6）和中小企业声明函（附件</w:t>
      </w:r>
      <w:r>
        <w:rPr>
          <w:rFonts w:ascii="宋体" w:hAnsi="宋体" w:cs="宋体"/>
          <w:color w:val="auto"/>
          <w:sz w:val="24"/>
          <w:highlight w:val="none"/>
        </w:rPr>
        <w:t>7</w:t>
      </w:r>
      <w:r>
        <w:rPr>
          <w:rFonts w:hint="eastAsia" w:ascii="宋体" w:hAnsi="宋体" w:cs="宋体"/>
          <w:color w:val="auto"/>
          <w:sz w:val="24"/>
          <w:highlight w:val="none"/>
        </w:rPr>
        <w:t>），分包意向协议中中小企业合同金额应当达到招标公告载明的比例；如果供应商本身提供所有标的均由中小企业承接的，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视同符合了资格条件，无需再向中小企业分包，无需提供分包意向协议。</w:t>
      </w:r>
    </w:p>
    <w:p w14:paraId="3C1C9D89">
      <w:pPr>
        <w:widowControl/>
        <w:spacing w:line="360" w:lineRule="auto"/>
        <w:ind w:left="150"/>
        <w:jc w:val="center"/>
        <w:rPr>
          <w:rFonts w:ascii="宋体" w:hAnsi="宋体" w:cs="宋体"/>
          <w:b/>
          <w:color w:val="auto"/>
          <w:kern w:val="0"/>
          <w:sz w:val="32"/>
          <w:szCs w:val="32"/>
          <w:highlight w:val="none"/>
        </w:rPr>
      </w:pPr>
    </w:p>
    <w:p w14:paraId="2E971092">
      <w:pPr>
        <w:widowControl/>
        <w:spacing w:line="360" w:lineRule="auto"/>
        <w:ind w:left="15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w:t>
      </w:r>
    </w:p>
    <w:p w14:paraId="4DBEF841">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14:paraId="0D49F5C2">
      <w:pPr>
        <w:rPr>
          <w:rFonts w:ascii="宋体" w:hAnsi="宋体" w:cs="宋体"/>
          <w:color w:val="auto"/>
          <w:highlight w:val="none"/>
        </w:rPr>
      </w:pPr>
    </w:p>
    <w:p w14:paraId="47586837">
      <w:pPr>
        <w:snapToGrid w:val="0"/>
        <w:spacing w:line="360" w:lineRule="auto"/>
        <w:ind w:right="480"/>
        <w:jc w:val="center"/>
        <w:rPr>
          <w:rFonts w:ascii="宋体" w:hAnsi="宋体" w:cs="宋体"/>
          <w:b/>
          <w:color w:val="auto"/>
          <w:kern w:val="0"/>
          <w:sz w:val="32"/>
          <w:szCs w:val="32"/>
          <w:highlight w:val="none"/>
        </w:rPr>
      </w:pPr>
    </w:p>
    <w:p w14:paraId="3C7E8A60">
      <w:pPr>
        <w:widowControl/>
        <w:adjustRightInd/>
        <w:jc w:val="left"/>
        <w:rPr>
          <w:rFonts w:ascii="宋体" w:hAnsi="宋体" w:cs="宋体"/>
          <w:b/>
          <w:color w:val="auto"/>
          <w:kern w:val="0"/>
          <w:sz w:val="36"/>
          <w:szCs w:val="36"/>
          <w:highlight w:val="none"/>
        </w:rPr>
      </w:pPr>
      <w:r>
        <w:rPr>
          <w:rFonts w:ascii="宋体" w:hAnsi="宋体" w:cs="宋体"/>
          <w:b/>
          <w:color w:val="auto"/>
          <w:kern w:val="0"/>
          <w:sz w:val="36"/>
          <w:szCs w:val="36"/>
          <w:highlight w:val="none"/>
        </w:rPr>
        <w:br w:type="page"/>
      </w:r>
    </w:p>
    <w:p w14:paraId="54016AAC">
      <w:pPr>
        <w:spacing w:line="360" w:lineRule="auto"/>
        <w:ind w:right="420" w:firstLine="3614" w:firstLineChars="1000"/>
        <w:outlineLvl w:val="1"/>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14:paraId="2EE3A0E8">
      <w:pPr>
        <w:spacing w:line="360" w:lineRule="auto"/>
        <w:jc w:val="center"/>
        <w:rPr>
          <w:rFonts w:ascii="宋体" w:hAnsi="宋体" w:cs="宋体"/>
          <w:b/>
          <w:color w:val="auto"/>
          <w:kern w:val="0"/>
          <w:sz w:val="24"/>
          <w:highlight w:val="none"/>
        </w:rPr>
      </w:pPr>
    </w:p>
    <w:p w14:paraId="07A7ADA7">
      <w:pPr>
        <w:spacing w:line="360" w:lineRule="auto"/>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14:paraId="63E5BD63">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（1）投标函</w:t>
      </w:r>
      <w:r>
        <w:rPr>
          <w:rFonts w:hint="eastAsia" w:ascii="宋体" w:hAnsi="宋体" w:cs="宋体"/>
          <w:color w:val="auto"/>
          <w:highlight w:val="none"/>
        </w:rPr>
        <w:t>…………………………………………………………………………………（页码）</w:t>
      </w:r>
      <w:r>
        <w:rPr>
          <w:rFonts w:hint="eastAsia" w:ascii="宋体" w:hAnsi="宋体" w:cs="宋体"/>
          <w:color w:val="auto"/>
          <w:sz w:val="24"/>
          <w:highlight w:val="none"/>
        </w:rPr>
        <w:t>（2）授权委托书或法定代表人（单位负责人、自然人本人）身份证明</w:t>
      </w:r>
      <w:r>
        <w:rPr>
          <w:rFonts w:hint="eastAsia" w:ascii="宋体" w:hAnsi="宋体" w:cs="宋体"/>
          <w:color w:val="auto"/>
          <w:highlight w:val="none"/>
        </w:rPr>
        <w:t>………（页码）</w:t>
      </w:r>
    </w:p>
    <w:p w14:paraId="778A3738">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color w:val="auto"/>
          <w:highlight w:val="none"/>
        </w:rPr>
        <w:t>…………………………………………………………………………（页码）</w:t>
      </w:r>
    </w:p>
    <w:p w14:paraId="00220069">
      <w:pPr>
        <w:snapToGrid w:val="0"/>
        <w:spacing w:line="360" w:lineRule="auto"/>
        <w:ind w:firstLine="480" w:firstLineChars="200"/>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）符合性审查资料</w:t>
      </w:r>
      <w:r>
        <w:rPr>
          <w:rFonts w:hint="eastAsia" w:ascii="宋体" w:hAnsi="宋体" w:cs="宋体"/>
          <w:color w:val="auto"/>
          <w:highlight w:val="none"/>
        </w:rPr>
        <w:t>………………………………………………………………………（页码）</w:t>
      </w:r>
    </w:p>
    <w:p w14:paraId="43D2E95B">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）商务技术偏离表</w:t>
      </w:r>
      <w:r>
        <w:rPr>
          <w:rFonts w:hint="eastAsia" w:ascii="宋体" w:hAnsi="宋体" w:cs="宋体"/>
          <w:color w:val="auto"/>
          <w:highlight w:val="none"/>
        </w:rPr>
        <w:t>………………………………………………………………………（页码）</w:t>
      </w:r>
    </w:p>
    <w:p w14:paraId="05490E14">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lang w:val="zh-CN"/>
        </w:rPr>
        <w:t>（</w:t>
      </w:r>
      <w:r>
        <w:rPr>
          <w:rFonts w:hint="eastAsia" w:ascii="宋体" w:hAnsi="宋体" w:cs="宋体"/>
          <w:color w:val="auto"/>
          <w:sz w:val="24"/>
          <w:highlight w:val="none"/>
        </w:rPr>
        <w:t>7</w:t>
      </w:r>
      <w:r>
        <w:rPr>
          <w:rFonts w:hint="eastAsia" w:ascii="宋体" w:hAnsi="宋体" w:cs="宋体"/>
          <w:color w:val="auto"/>
          <w:sz w:val="24"/>
          <w:highlight w:val="none"/>
          <w:lang w:val="zh-CN"/>
        </w:rPr>
        <w:t>）政府采购供应商廉洁自律承诺书</w:t>
      </w:r>
      <w:r>
        <w:rPr>
          <w:rFonts w:hint="eastAsia" w:ascii="宋体" w:hAnsi="宋体" w:cs="宋体"/>
          <w:color w:val="auto"/>
          <w:highlight w:val="none"/>
        </w:rPr>
        <w:t>…………………………………………………（页码）</w:t>
      </w:r>
    </w:p>
    <w:p w14:paraId="3558C6BA">
      <w:pPr>
        <w:snapToGrid w:val="0"/>
        <w:spacing w:line="360" w:lineRule="auto"/>
        <w:jc w:val="center"/>
        <w:rPr>
          <w:rFonts w:ascii="宋体" w:hAnsi="宋体" w:cs="宋体"/>
          <w:b/>
          <w:color w:val="auto"/>
          <w:kern w:val="0"/>
          <w:sz w:val="32"/>
          <w:szCs w:val="32"/>
          <w:highlight w:val="none"/>
          <w:lang w:val="zh-CN"/>
        </w:rPr>
      </w:pPr>
    </w:p>
    <w:p w14:paraId="3862314B">
      <w:pPr>
        <w:snapToGrid w:val="0"/>
        <w:spacing w:line="360" w:lineRule="auto"/>
        <w:jc w:val="center"/>
        <w:rPr>
          <w:rFonts w:ascii="宋体" w:hAnsi="宋体" w:cs="宋体"/>
          <w:b/>
          <w:color w:val="auto"/>
          <w:kern w:val="0"/>
          <w:sz w:val="32"/>
          <w:szCs w:val="32"/>
          <w:highlight w:val="none"/>
          <w:lang w:val="zh-CN"/>
        </w:rPr>
      </w:pPr>
    </w:p>
    <w:p w14:paraId="638E9F07">
      <w:pPr>
        <w:snapToGrid w:val="0"/>
        <w:spacing w:line="360" w:lineRule="auto"/>
        <w:jc w:val="center"/>
        <w:rPr>
          <w:rFonts w:ascii="宋体" w:hAnsi="宋体" w:cs="宋体"/>
          <w:b/>
          <w:color w:val="auto"/>
          <w:kern w:val="0"/>
          <w:sz w:val="32"/>
          <w:szCs w:val="32"/>
          <w:highlight w:val="none"/>
          <w:lang w:val="zh-CN"/>
        </w:rPr>
      </w:pPr>
    </w:p>
    <w:p w14:paraId="53CBF066">
      <w:pPr>
        <w:snapToGrid w:val="0"/>
        <w:spacing w:line="360" w:lineRule="auto"/>
        <w:jc w:val="center"/>
        <w:rPr>
          <w:rFonts w:ascii="宋体" w:hAnsi="宋体" w:cs="宋体"/>
          <w:b/>
          <w:color w:val="auto"/>
          <w:kern w:val="0"/>
          <w:sz w:val="32"/>
          <w:szCs w:val="32"/>
          <w:highlight w:val="none"/>
          <w:lang w:val="zh-CN"/>
        </w:rPr>
      </w:pPr>
    </w:p>
    <w:p w14:paraId="1D9F09FF">
      <w:pPr>
        <w:snapToGrid w:val="0"/>
        <w:spacing w:line="360" w:lineRule="auto"/>
        <w:jc w:val="center"/>
        <w:rPr>
          <w:rFonts w:ascii="宋体" w:hAnsi="宋体" w:cs="宋体"/>
          <w:b/>
          <w:color w:val="auto"/>
          <w:kern w:val="0"/>
          <w:sz w:val="32"/>
          <w:szCs w:val="32"/>
          <w:highlight w:val="none"/>
          <w:lang w:val="zh-CN"/>
        </w:rPr>
      </w:pPr>
    </w:p>
    <w:p w14:paraId="4E574884">
      <w:pPr>
        <w:snapToGrid w:val="0"/>
        <w:spacing w:line="360" w:lineRule="auto"/>
        <w:jc w:val="center"/>
        <w:rPr>
          <w:rFonts w:ascii="宋体" w:hAnsi="宋体" w:cs="宋体"/>
          <w:b/>
          <w:color w:val="auto"/>
          <w:kern w:val="0"/>
          <w:sz w:val="32"/>
          <w:szCs w:val="32"/>
          <w:highlight w:val="none"/>
          <w:lang w:val="zh-CN"/>
        </w:rPr>
      </w:pPr>
    </w:p>
    <w:p w14:paraId="066DBEB7">
      <w:pPr>
        <w:snapToGrid w:val="0"/>
        <w:spacing w:line="360" w:lineRule="auto"/>
        <w:jc w:val="center"/>
        <w:rPr>
          <w:rFonts w:ascii="宋体" w:hAnsi="宋体" w:cs="宋体"/>
          <w:b/>
          <w:color w:val="auto"/>
          <w:kern w:val="0"/>
          <w:sz w:val="32"/>
          <w:szCs w:val="32"/>
          <w:highlight w:val="none"/>
          <w:lang w:val="zh-CN"/>
        </w:rPr>
      </w:pPr>
    </w:p>
    <w:p w14:paraId="36D6F279">
      <w:pPr>
        <w:snapToGrid w:val="0"/>
        <w:spacing w:line="360" w:lineRule="auto"/>
        <w:jc w:val="center"/>
        <w:rPr>
          <w:rFonts w:ascii="宋体" w:hAnsi="宋体" w:cs="宋体"/>
          <w:b/>
          <w:color w:val="auto"/>
          <w:kern w:val="0"/>
          <w:sz w:val="32"/>
          <w:szCs w:val="32"/>
          <w:highlight w:val="none"/>
          <w:lang w:val="zh-CN"/>
        </w:rPr>
      </w:pPr>
    </w:p>
    <w:p w14:paraId="1DAB972D">
      <w:pPr>
        <w:snapToGrid w:val="0"/>
        <w:spacing w:line="360" w:lineRule="auto"/>
        <w:jc w:val="center"/>
        <w:rPr>
          <w:rFonts w:ascii="宋体" w:hAnsi="宋体" w:cs="宋体"/>
          <w:b/>
          <w:color w:val="auto"/>
          <w:kern w:val="0"/>
          <w:sz w:val="32"/>
          <w:szCs w:val="32"/>
          <w:highlight w:val="none"/>
          <w:lang w:val="zh-CN"/>
        </w:rPr>
      </w:pPr>
    </w:p>
    <w:p w14:paraId="168A6673">
      <w:pPr>
        <w:snapToGrid w:val="0"/>
        <w:spacing w:line="360" w:lineRule="auto"/>
        <w:jc w:val="center"/>
        <w:rPr>
          <w:rFonts w:ascii="宋体" w:hAnsi="宋体" w:cs="宋体"/>
          <w:b/>
          <w:color w:val="auto"/>
          <w:kern w:val="0"/>
          <w:sz w:val="32"/>
          <w:szCs w:val="32"/>
          <w:highlight w:val="none"/>
          <w:lang w:val="zh-CN"/>
        </w:rPr>
      </w:pPr>
    </w:p>
    <w:p w14:paraId="10FC63D6">
      <w:pPr>
        <w:snapToGrid w:val="0"/>
        <w:spacing w:line="360" w:lineRule="auto"/>
        <w:jc w:val="center"/>
        <w:rPr>
          <w:rFonts w:ascii="宋体" w:hAnsi="宋体" w:cs="宋体"/>
          <w:b/>
          <w:color w:val="auto"/>
          <w:kern w:val="0"/>
          <w:sz w:val="32"/>
          <w:szCs w:val="32"/>
          <w:highlight w:val="none"/>
          <w:lang w:val="zh-CN"/>
        </w:rPr>
      </w:pPr>
    </w:p>
    <w:p w14:paraId="73D8270A">
      <w:pPr>
        <w:snapToGrid w:val="0"/>
        <w:spacing w:line="360" w:lineRule="auto"/>
        <w:jc w:val="center"/>
        <w:rPr>
          <w:rFonts w:ascii="宋体" w:hAnsi="宋体" w:cs="宋体"/>
          <w:b/>
          <w:color w:val="auto"/>
          <w:kern w:val="0"/>
          <w:sz w:val="32"/>
          <w:szCs w:val="32"/>
          <w:highlight w:val="none"/>
          <w:lang w:val="zh-CN"/>
        </w:rPr>
      </w:pPr>
    </w:p>
    <w:p w14:paraId="606F4B78">
      <w:pPr>
        <w:rPr>
          <w:rFonts w:ascii="宋体" w:hAnsi="宋体" w:cs="宋体"/>
          <w:b/>
          <w:color w:val="auto"/>
          <w:kern w:val="0"/>
          <w:sz w:val="32"/>
          <w:szCs w:val="32"/>
          <w:highlight w:val="none"/>
          <w:lang w:val="zh-CN"/>
        </w:rPr>
      </w:pPr>
    </w:p>
    <w:p w14:paraId="24700FF8">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0DF4C286">
      <w:pPr>
        <w:snapToGrid w:val="0"/>
        <w:spacing w:line="360" w:lineRule="auto"/>
        <w:jc w:val="center"/>
        <w:rPr>
          <w:rFonts w:ascii="宋体" w:hAnsi="宋体" w:cs="宋体"/>
          <w:b/>
          <w:color w:val="auto"/>
          <w:sz w:val="32"/>
          <w:szCs w:val="32"/>
          <w:highlight w:val="none"/>
        </w:rPr>
      </w:pPr>
      <w:r>
        <w:rPr>
          <w:rFonts w:hint="eastAsia" w:ascii="宋体" w:hAnsi="宋体" w:cs="宋体"/>
          <w:b/>
          <w:color w:val="auto"/>
          <w:kern w:val="0"/>
          <w:sz w:val="32"/>
          <w:szCs w:val="32"/>
          <w:highlight w:val="none"/>
        </w:rPr>
        <w:t>一、投标</w:t>
      </w:r>
      <w:r>
        <w:rPr>
          <w:rFonts w:hint="eastAsia" w:ascii="宋体" w:hAnsi="宋体" w:cs="宋体"/>
          <w:b/>
          <w:color w:val="auto"/>
          <w:sz w:val="32"/>
          <w:szCs w:val="32"/>
          <w:highlight w:val="none"/>
        </w:rPr>
        <w:t>函</w:t>
      </w:r>
    </w:p>
    <w:p w14:paraId="3CA20042">
      <w:pPr>
        <w:snapToGrid w:val="0"/>
        <w:spacing w:line="360" w:lineRule="auto"/>
        <w:rPr>
          <w:rFonts w:ascii="宋体" w:hAnsi="宋体" w:cs="宋体"/>
          <w:color w:val="auto"/>
          <w:sz w:val="24"/>
          <w:highlight w:val="none"/>
        </w:rPr>
      </w:pPr>
      <w:r>
        <w:rPr>
          <w:rFonts w:hint="eastAsia" w:ascii="宋体" w:hAnsi="宋体" w:cs="宋体"/>
          <w:color w:val="auto"/>
          <w:sz w:val="24"/>
          <w:highlight w:val="none"/>
          <w:lang w:eastAsia="zh-CN"/>
        </w:rPr>
        <w:t>宁波市园林绿化中心</w:t>
      </w:r>
      <w:r>
        <w:rPr>
          <w:rFonts w:hint="eastAsia" w:ascii="宋体" w:hAnsi="宋体" w:cs="宋体"/>
          <w:color w:val="auto"/>
          <w:sz w:val="24"/>
          <w:highlight w:val="none"/>
        </w:rPr>
        <w:t>、宁波中基国际招标有限公司：</w:t>
      </w:r>
    </w:p>
    <w:p w14:paraId="00FF7D6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我方参加你方组织的</w:t>
      </w:r>
      <w:r>
        <w:rPr>
          <w:rFonts w:hint="eastAsia" w:ascii="宋体" w:hAnsi="宋体" w:cs="宋体"/>
          <w:color w:val="auto"/>
          <w:sz w:val="24"/>
          <w:highlight w:val="none"/>
          <w:lang w:eastAsia="zh-CN"/>
        </w:rPr>
        <w:t>2024-2027年市管公园综合养管项目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CBNB-20246487G</w:t>
      </w:r>
      <w:r>
        <w:rPr>
          <w:rFonts w:hint="eastAsia" w:ascii="宋体" w:hAnsi="宋体" w:cs="宋体"/>
          <w:color w:val="auto"/>
          <w:sz w:val="24"/>
          <w:highlight w:val="none"/>
        </w:rPr>
        <w:t>】招标的有关活动，并对此项目进行投标。为此：</w:t>
      </w:r>
    </w:p>
    <w:p w14:paraId="07082E0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1、我方承诺投标有效期从提交投标文件的截止之日起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本投标文件在投标有效期满之前均具有约束力。</w:t>
      </w:r>
    </w:p>
    <w:p w14:paraId="04373E24">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2、我方的投标文件包括以下内容：</w:t>
      </w:r>
    </w:p>
    <w:p w14:paraId="557E7590">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2.1资格文件：</w:t>
      </w:r>
    </w:p>
    <w:p w14:paraId="0648187E">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2.1.1符合参加政府采购活动应当具备的一般条件的承诺函；</w:t>
      </w:r>
    </w:p>
    <w:p w14:paraId="7A63AF5B">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w:t>
      </w:r>
      <w:bookmarkStart w:id="545" w:name="_Hlk101257010"/>
      <w:r>
        <w:rPr>
          <w:rFonts w:hint="eastAsia" w:ascii="宋体" w:hAnsi="宋体" w:cs="宋体"/>
          <w:color w:val="auto"/>
          <w:sz w:val="24"/>
          <w:highlight w:val="none"/>
        </w:rPr>
        <w:t>（如果有）</w:t>
      </w:r>
      <w:bookmarkEnd w:id="545"/>
      <w:r>
        <w:rPr>
          <w:rFonts w:hint="eastAsia" w:ascii="宋体" w:hAnsi="宋体" w:cs="宋体"/>
          <w:snapToGrid w:val="0"/>
          <w:color w:val="auto"/>
          <w:kern w:val="28"/>
          <w:sz w:val="24"/>
          <w:szCs w:val="20"/>
          <w:highlight w:val="none"/>
        </w:rPr>
        <w:t>；</w:t>
      </w:r>
    </w:p>
    <w:p w14:paraId="2E8DF838">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.1.3</w:t>
      </w:r>
      <w:r>
        <w:rPr>
          <w:rFonts w:hint="eastAsia" w:ascii="宋体" w:hAnsi="宋体" w:cs="宋体"/>
          <w:color w:val="auto"/>
          <w:sz w:val="24"/>
          <w:highlight w:val="none"/>
        </w:rPr>
        <w:t>落实政府采购政策需满足的资格要求（如果有）；</w:t>
      </w:r>
    </w:p>
    <w:p w14:paraId="146DB112">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ascii="宋体" w:hAnsi="宋体" w:cs="宋体"/>
          <w:color w:val="auto"/>
          <w:sz w:val="24"/>
          <w:highlight w:val="none"/>
        </w:rPr>
        <w:t>4</w:t>
      </w:r>
      <w:r>
        <w:rPr>
          <w:rFonts w:hint="eastAsia" w:ascii="宋体" w:hAnsi="宋体" w:cs="宋体"/>
          <w:color w:val="auto"/>
          <w:sz w:val="24"/>
          <w:highlight w:val="none"/>
        </w:rPr>
        <w:t>本项目的特定资格要求（如果有）。</w:t>
      </w:r>
    </w:p>
    <w:p w14:paraId="61111BC5">
      <w:pPr>
        <w:snapToGrid w:val="0"/>
        <w:spacing w:line="360" w:lineRule="auto"/>
        <w:ind w:left="210" w:leftChars="1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1AC58487">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2.2.1投标函；</w:t>
      </w:r>
      <w:r>
        <w:rPr>
          <w:rFonts w:hint="eastAsia" w:ascii="宋体" w:hAnsi="宋体" w:cs="宋体"/>
          <w:color w:val="auto"/>
          <w:sz w:val="24"/>
          <w:highlight w:val="none"/>
          <w:lang w:val="zh-CN"/>
        </w:rPr>
        <w:t xml:space="preserve"> </w:t>
      </w:r>
    </w:p>
    <w:p w14:paraId="607B3714">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2.2.2授权委托书或法定代表人（单位负责人</w:t>
      </w:r>
      <w:r>
        <w:rPr>
          <w:rFonts w:hint="eastAsia" w:ascii="宋体" w:hAnsi="宋体" w:cs="宋体"/>
          <w:color w:val="auto"/>
          <w:sz w:val="24"/>
          <w:highlight w:val="none"/>
          <w:lang w:val="zh-CN"/>
        </w:rPr>
        <w:t>、自然人本人</w:t>
      </w:r>
      <w:r>
        <w:rPr>
          <w:rFonts w:hint="eastAsia" w:ascii="宋体" w:hAnsi="宋体" w:cs="宋体"/>
          <w:color w:val="auto"/>
          <w:sz w:val="24"/>
          <w:highlight w:val="none"/>
        </w:rPr>
        <w:t>）身份证明；</w:t>
      </w:r>
    </w:p>
    <w:p w14:paraId="19A04A89">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3</w:t>
      </w:r>
      <w:r>
        <w:rPr>
          <w:rFonts w:hint="eastAsia" w:ascii="宋体" w:hAnsi="宋体" w:cs="宋体"/>
          <w:color w:val="auto"/>
          <w:sz w:val="24"/>
          <w:highlight w:val="none"/>
        </w:rPr>
        <w:t>分包意向协议（如果有）；</w:t>
      </w:r>
    </w:p>
    <w:p w14:paraId="448FFC44">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6571617F">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07783908">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2.2.6商务技术偏离表；</w:t>
      </w:r>
    </w:p>
    <w:p w14:paraId="21B7E0D5">
      <w:pPr>
        <w:snapToGrid w:val="0"/>
        <w:spacing w:line="360" w:lineRule="auto"/>
        <w:ind w:left="420" w:leftChars="2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7</w:t>
      </w:r>
      <w:r>
        <w:rPr>
          <w:rFonts w:hint="eastAsia" w:ascii="宋体" w:hAnsi="宋体" w:cs="宋体"/>
          <w:color w:val="auto"/>
          <w:sz w:val="24"/>
          <w:highlight w:val="none"/>
          <w:lang w:val="zh-CN"/>
        </w:rPr>
        <w:t>政府采购供应商廉洁自律承诺书；</w:t>
      </w:r>
    </w:p>
    <w:p w14:paraId="38B3790D">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14:paraId="24E722E7">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2.3.1开标一览表（报价表）；</w:t>
      </w:r>
    </w:p>
    <w:p w14:paraId="0C6AEBC3">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2.3.2中小企业声明函（如果有）。</w:t>
      </w:r>
    </w:p>
    <w:p w14:paraId="26C357F7">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3、我方承诺除商务技术偏离表列出的偏离外，我方响应招标文件的全部要求。</w:t>
      </w:r>
    </w:p>
    <w:p w14:paraId="4663C777">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4、如我方中标，我方承诺：</w:t>
      </w:r>
    </w:p>
    <w:p w14:paraId="518EF5A8">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4.1在收到中标通知书后，在中标通知书规定的期限内与你方签订合同； </w:t>
      </w:r>
    </w:p>
    <w:p w14:paraId="30BE12CE">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14:paraId="44B583E9">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4.3按照招标文件要求提交履约保证金； </w:t>
      </w:r>
    </w:p>
    <w:p w14:paraId="43BF3899">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14:paraId="0DBE4C4F">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5、其他补充说明：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5324F3F0">
      <w:pP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69ADFCDE">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7F9F2C06">
      <w:pPr>
        <w:snapToGrid w:val="0"/>
        <w:spacing w:line="360" w:lineRule="auto"/>
        <w:ind w:left="420" w:leftChars="200" w:firstLine="4200" w:firstLineChars="1750"/>
        <w:rPr>
          <w:rFonts w:ascii="宋体" w:hAnsi="宋体" w:cs="宋体"/>
          <w:color w:val="auto"/>
          <w:kern w:val="0"/>
          <w:sz w:val="24"/>
          <w:highlight w:val="none"/>
          <w:u w:val="single"/>
        </w:rPr>
      </w:pPr>
    </w:p>
    <w:p w14:paraId="0E945C70">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0184480D">
      <w:pPr>
        <w:snapToGrid w:val="0"/>
        <w:spacing w:line="360" w:lineRule="auto"/>
        <w:jc w:val="center"/>
        <w:rPr>
          <w:rFonts w:ascii="宋体" w:hAnsi="宋体" w:cs="宋体"/>
          <w:b/>
          <w:color w:val="auto"/>
          <w:kern w:val="0"/>
          <w:sz w:val="32"/>
          <w:szCs w:val="32"/>
          <w:highlight w:val="none"/>
        </w:rPr>
      </w:pPr>
    </w:p>
    <w:p w14:paraId="15996720">
      <w:pPr>
        <w:snapToGrid w:val="0"/>
        <w:spacing w:line="360" w:lineRule="auto"/>
        <w:rPr>
          <w:rFonts w:ascii="宋体" w:hAnsi="宋体" w:cs="宋体"/>
          <w:color w:val="auto"/>
          <w:sz w:val="24"/>
          <w:highlight w:val="none"/>
        </w:rPr>
      </w:pPr>
    </w:p>
    <w:p w14:paraId="78D66360">
      <w:pPr>
        <w:jc w:val="left"/>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29141D6B">
      <w:pPr>
        <w:jc w:val="center"/>
        <w:rPr>
          <w:rFonts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二、授权委托书或法定代表人（单位负责人、自然人本人）身份证明</w:t>
      </w:r>
    </w:p>
    <w:p w14:paraId="00657D49">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14:paraId="517192CE">
      <w:pPr>
        <w:snapToGrid w:val="0"/>
        <w:spacing w:line="360" w:lineRule="auto"/>
        <w:ind w:firstLine="2872" w:firstLineChars="894"/>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r>
        <w:rPr>
          <w:rFonts w:hint="eastAsia" w:ascii="宋体" w:hAnsi="宋体" w:cs="宋体"/>
          <w:color w:val="auto"/>
          <w:highlight w:val="none"/>
        </w:rPr>
        <w:t xml:space="preserve">                               </w:t>
      </w:r>
    </w:p>
    <w:p w14:paraId="19356AD5">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宁波市园林绿化中心</w:t>
      </w:r>
      <w:r>
        <w:rPr>
          <w:rFonts w:hint="eastAsia" w:ascii="宋体" w:hAnsi="宋体" w:cs="宋体"/>
          <w:color w:val="auto"/>
          <w:sz w:val="24"/>
          <w:highlight w:val="none"/>
        </w:rPr>
        <w:t>、宁波中基国际招标有限公司</w:t>
      </w:r>
      <w:r>
        <w:rPr>
          <w:rFonts w:hint="eastAsia" w:ascii="宋体" w:hAnsi="宋体" w:cs="宋体"/>
          <w:color w:val="auto"/>
          <w:kern w:val="0"/>
          <w:sz w:val="24"/>
          <w:highlight w:val="none"/>
          <w:lang w:val="zh-CN"/>
        </w:rPr>
        <w:t>：</w:t>
      </w:r>
    </w:p>
    <w:p w14:paraId="5232E9FE">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2024-2027年市管公园综合养管项目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CBNB-20246487G</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14:paraId="29A9CFC2">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39062F8E">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6CABEE64">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投标人名称（电子签名）：</w:t>
      </w:r>
    </w:p>
    <w:p w14:paraId="32B57292">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签发日期：  年  月   日</w:t>
      </w:r>
    </w:p>
    <w:p w14:paraId="044DBB95">
      <w:pPr>
        <w:snapToGrid w:val="0"/>
        <w:spacing w:line="360" w:lineRule="auto"/>
        <w:rPr>
          <w:rFonts w:ascii="宋体" w:hAnsi="宋体" w:cs="宋体"/>
          <w:color w:val="auto"/>
          <w:sz w:val="24"/>
          <w:highlight w:val="none"/>
        </w:rPr>
      </w:pPr>
    </w:p>
    <w:p w14:paraId="751D578E">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 xml:space="preserve">      </w:t>
      </w:r>
      <w:r>
        <w:rPr>
          <w:rFonts w:hint="eastAsia" w:ascii="宋体" w:hAnsi="宋体" w:cs="宋体"/>
          <w:b/>
          <w:color w:val="auto"/>
          <w:kern w:val="0"/>
          <w:sz w:val="32"/>
          <w:szCs w:val="32"/>
          <w:highlight w:val="none"/>
        </w:rPr>
        <w:t xml:space="preserve"> </w:t>
      </w:r>
      <w:r>
        <w:rPr>
          <w:rFonts w:hint="eastAsia" w:ascii="宋体" w:hAnsi="宋体" w:cs="宋体"/>
          <w:b/>
          <w:color w:val="auto"/>
          <w:kern w:val="0"/>
          <w:sz w:val="32"/>
          <w:szCs w:val="32"/>
          <w:highlight w:val="none"/>
          <w:lang w:val="zh-CN"/>
        </w:rPr>
        <w:t>授权委托书（适用于联合体投标）</w:t>
      </w:r>
    </w:p>
    <w:p w14:paraId="6302E7FA">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宁波市园林绿化中心</w:t>
      </w:r>
      <w:r>
        <w:rPr>
          <w:rFonts w:hint="eastAsia" w:ascii="宋体" w:hAnsi="宋体" w:cs="宋体"/>
          <w:color w:val="auto"/>
          <w:sz w:val="24"/>
          <w:highlight w:val="none"/>
        </w:rPr>
        <w:t>、宁波中基国际招标有限公司</w:t>
      </w:r>
      <w:r>
        <w:rPr>
          <w:rFonts w:hint="eastAsia" w:ascii="宋体" w:hAnsi="宋体" w:cs="宋体"/>
          <w:color w:val="auto"/>
          <w:kern w:val="0"/>
          <w:sz w:val="24"/>
          <w:highlight w:val="none"/>
          <w:lang w:val="zh-CN"/>
        </w:rPr>
        <w:t>：</w:t>
      </w:r>
    </w:p>
    <w:p w14:paraId="0D164B9E">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2024-2027年市管公园综合养管项目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CBNB-20246487G</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14:paraId="39788162">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52B35FCB">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5AFE90F5">
      <w:pPr>
        <w:jc w:val="center"/>
        <w:rPr>
          <w:rFonts w:ascii="宋体" w:hAnsi="宋体" w:cs="宋体"/>
          <w:b/>
          <w:color w:val="auto"/>
          <w:kern w:val="0"/>
          <w:sz w:val="32"/>
          <w:szCs w:val="32"/>
          <w:highlight w:val="none"/>
        </w:rPr>
      </w:pPr>
    </w:p>
    <w:p w14:paraId="6488731C">
      <w:pPr>
        <w:rPr>
          <w:rFonts w:ascii="宋体" w:hAnsi="宋体" w:cs="宋体"/>
          <w:color w:val="auto"/>
          <w:highlight w:val="none"/>
        </w:rPr>
      </w:pPr>
    </w:p>
    <w:p w14:paraId="677A4632">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3169A162">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1EC8CAAC">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0D05ADC7">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64F0233A">
      <w:pPr>
        <w:autoSpaceDE w:val="0"/>
        <w:autoSpaceDN w:val="0"/>
        <w:spacing w:line="360" w:lineRule="auto"/>
        <w:jc w:val="center"/>
        <w:rPr>
          <w:rFonts w:ascii="宋体" w:hAnsi="宋体" w:cs="宋体"/>
          <w:b/>
          <w:color w:val="auto"/>
          <w:kern w:val="0"/>
          <w:sz w:val="32"/>
          <w:szCs w:val="32"/>
          <w:highlight w:val="none"/>
          <w:lang w:val="zh-CN"/>
        </w:rPr>
      </w:pPr>
    </w:p>
    <w:p w14:paraId="587E10CD">
      <w:pPr>
        <w:autoSpaceDE w:val="0"/>
        <w:autoSpaceDN w:val="0"/>
        <w:spacing w:line="360" w:lineRule="auto"/>
        <w:jc w:val="center"/>
        <w:rPr>
          <w:rFonts w:ascii="宋体" w:hAnsi="宋体" w:cs="宋体"/>
          <w:b/>
          <w:color w:val="auto"/>
          <w:kern w:val="0"/>
          <w:sz w:val="32"/>
          <w:szCs w:val="32"/>
          <w:highlight w:val="none"/>
          <w:lang w:val="zh-CN"/>
        </w:rPr>
      </w:pPr>
    </w:p>
    <w:p w14:paraId="14B45663">
      <w:pPr>
        <w:autoSpaceDE w:val="0"/>
        <w:autoSpaceDN w:val="0"/>
        <w:spacing w:line="360" w:lineRule="auto"/>
        <w:jc w:val="center"/>
        <w:rPr>
          <w:rFonts w:ascii="宋体" w:hAnsi="宋体" w:cs="宋体"/>
          <w:b/>
          <w:color w:val="auto"/>
          <w:kern w:val="0"/>
          <w:sz w:val="32"/>
          <w:szCs w:val="32"/>
          <w:highlight w:val="none"/>
          <w:lang w:val="zh-CN"/>
        </w:rPr>
      </w:pPr>
    </w:p>
    <w:p w14:paraId="2E19070D">
      <w:pPr>
        <w:autoSpaceDE w:val="0"/>
        <w:autoSpaceDN w:val="0"/>
        <w:spacing w:line="360" w:lineRule="auto"/>
        <w:jc w:val="center"/>
        <w:rPr>
          <w:rFonts w:ascii="宋体" w:hAnsi="宋体" w:cs="宋体"/>
          <w:b/>
          <w:color w:val="auto"/>
          <w:kern w:val="0"/>
          <w:sz w:val="32"/>
          <w:szCs w:val="32"/>
          <w:highlight w:val="none"/>
          <w:lang w:val="zh-CN"/>
        </w:rPr>
      </w:pPr>
    </w:p>
    <w:p w14:paraId="5700B702">
      <w:pP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的身份证明（适用于法定代表人、单位负责人或者自然人本人代表投标人参加投标）</w:t>
      </w:r>
    </w:p>
    <w:p w14:paraId="4CB4CD8F">
      <w:pPr>
        <w:pStyle w:val="148"/>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524B2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4F462EBD">
            <w:pPr>
              <w:pStyle w:val="148"/>
              <w:adjustRightInd w:val="0"/>
              <w:spacing w:line="360" w:lineRule="auto"/>
              <w:rPr>
                <w:rFonts w:hAnsi="宋体" w:cs="宋体"/>
                <w:bCs/>
                <w:color w:val="auto"/>
                <w:sz w:val="24"/>
                <w:highlight w:val="none"/>
              </w:rPr>
            </w:pPr>
            <w:r>
              <w:rPr>
                <w:rFonts w:hint="eastAsia" w:hAnsi="宋体" w:cs="宋体"/>
                <w:bCs/>
                <w:color w:val="auto"/>
                <w:sz w:val="24"/>
                <w:highlight w:val="none"/>
              </w:rPr>
              <w:t>正面：                                 反面：</w:t>
            </w:r>
          </w:p>
          <w:p w14:paraId="31259995">
            <w:pPr>
              <w:pStyle w:val="148"/>
              <w:adjustRightInd w:val="0"/>
              <w:spacing w:line="360" w:lineRule="auto"/>
              <w:rPr>
                <w:rFonts w:hAnsi="宋体" w:cs="宋体"/>
                <w:bCs/>
                <w:color w:val="auto"/>
                <w:sz w:val="24"/>
                <w:highlight w:val="none"/>
              </w:rPr>
            </w:pPr>
          </w:p>
        </w:tc>
      </w:tr>
    </w:tbl>
    <w:p w14:paraId="750683C1">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3D86B594">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                              </w:t>
      </w:r>
    </w:p>
    <w:p w14:paraId="34C45489">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7F0605AE">
      <w:pPr>
        <w:jc w:val="center"/>
        <w:rPr>
          <w:rFonts w:ascii="宋体" w:hAnsi="宋体" w:cs="宋体"/>
          <w:b/>
          <w:color w:val="auto"/>
          <w:kern w:val="0"/>
          <w:sz w:val="32"/>
          <w:szCs w:val="32"/>
          <w:highlight w:val="none"/>
        </w:rPr>
      </w:pPr>
    </w:p>
    <w:p w14:paraId="55D2ED9C">
      <w:pPr>
        <w:jc w:val="center"/>
        <w:rPr>
          <w:rFonts w:ascii="宋体" w:hAnsi="宋体" w:cs="宋体"/>
          <w:b/>
          <w:color w:val="auto"/>
          <w:kern w:val="0"/>
          <w:sz w:val="32"/>
          <w:szCs w:val="32"/>
          <w:highlight w:val="none"/>
        </w:rPr>
      </w:pPr>
    </w:p>
    <w:p w14:paraId="0035A865">
      <w:pPr>
        <w:jc w:val="center"/>
        <w:rPr>
          <w:rFonts w:ascii="宋体" w:hAnsi="宋体" w:cs="宋体"/>
          <w:b/>
          <w:color w:val="auto"/>
          <w:kern w:val="0"/>
          <w:sz w:val="32"/>
          <w:szCs w:val="32"/>
          <w:highlight w:val="none"/>
        </w:rPr>
      </w:pPr>
    </w:p>
    <w:p w14:paraId="0F0F9753">
      <w:pPr>
        <w:jc w:val="center"/>
        <w:rPr>
          <w:rFonts w:ascii="宋体" w:hAnsi="宋体" w:cs="宋体"/>
          <w:b/>
          <w:color w:val="auto"/>
          <w:kern w:val="0"/>
          <w:sz w:val="32"/>
          <w:szCs w:val="32"/>
          <w:highlight w:val="none"/>
        </w:rPr>
      </w:pPr>
    </w:p>
    <w:p w14:paraId="4480B889">
      <w:pPr>
        <w:jc w:val="center"/>
        <w:rPr>
          <w:rFonts w:ascii="宋体" w:hAnsi="宋体" w:cs="宋体"/>
          <w:b/>
          <w:color w:val="auto"/>
          <w:kern w:val="0"/>
          <w:sz w:val="32"/>
          <w:szCs w:val="32"/>
          <w:highlight w:val="none"/>
        </w:rPr>
      </w:pPr>
    </w:p>
    <w:p w14:paraId="174A6B63">
      <w:pPr>
        <w:jc w:val="center"/>
        <w:rPr>
          <w:rFonts w:ascii="宋体" w:hAnsi="宋体" w:cs="宋体"/>
          <w:b/>
          <w:color w:val="auto"/>
          <w:kern w:val="0"/>
          <w:sz w:val="32"/>
          <w:szCs w:val="32"/>
          <w:highlight w:val="none"/>
        </w:rPr>
      </w:pPr>
    </w:p>
    <w:p w14:paraId="7C315BD4">
      <w:pPr>
        <w:jc w:val="center"/>
        <w:rPr>
          <w:rFonts w:ascii="宋体" w:hAnsi="宋体" w:cs="宋体"/>
          <w:b/>
          <w:color w:val="auto"/>
          <w:kern w:val="0"/>
          <w:sz w:val="32"/>
          <w:szCs w:val="32"/>
          <w:highlight w:val="none"/>
        </w:rPr>
      </w:pPr>
    </w:p>
    <w:p w14:paraId="441C49A2">
      <w:pPr>
        <w:jc w:val="center"/>
        <w:rPr>
          <w:rFonts w:ascii="宋体" w:hAnsi="宋体" w:cs="宋体"/>
          <w:b/>
          <w:color w:val="auto"/>
          <w:kern w:val="0"/>
          <w:sz w:val="32"/>
          <w:szCs w:val="32"/>
          <w:highlight w:val="none"/>
        </w:rPr>
      </w:pPr>
    </w:p>
    <w:p w14:paraId="4ABA2D08">
      <w:pPr>
        <w:jc w:val="center"/>
        <w:rPr>
          <w:rFonts w:ascii="宋体" w:hAnsi="宋体" w:cs="宋体"/>
          <w:b/>
          <w:color w:val="auto"/>
          <w:kern w:val="0"/>
          <w:sz w:val="32"/>
          <w:szCs w:val="32"/>
          <w:highlight w:val="none"/>
        </w:rPr>
      </w:pPr>
    </w:p>
    <w:p w14:paraId="4ACC37B4">
      <w:pPr>
        <w:jc w:val="center"/>
        <w:rPr>
          <w:rFonts w:ascii="宋体" w:hAnsi="宋体" w:cs="宋体"/>
          <w:b/>
          <w:color w:val="auto"/>
          <w:kern w:val="0"/>
          <w:sz w:val="32"/>
          <w:szCs w:val="32"/>
          <w:highlight w:val="none"/>
        </w:rPr>
      </w:pPr>
    </w:p>
    <w:p w14:paraId="25F58469">
      <w:pPr>
        <w:snapToGrid w:val="0"/>
        <w:spacing w:line="360" w:lineRule="auto"/>
        <w:ind w:right="480"/>
        <w:rPr>
          <w:rFonts w:ascii="宋体" w:hAnsi="宋体" w:cs="宋体"/>
          <w:b/>
          <w:color w:val="auto"/>
          <w:kern w:val="0"/>
          <w:sz w:val="32"/>
          <w:szCs w:val="32"/>
          <w:highlight w:val="none"/>
        </w:rPr>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7A77FABB">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三、分包意向协议（如果有）</w:t>
      </w:r>
    </w:p>
    <w:p w14:paraId="72419E9E">
      <w:pPr>
        <w:widowControl/>
        <w:spacing w:line="360" w:lineRule="auto"/>
        <w:ind w:firstLine="120" w:firstLineChars="50"/>
        <w:jc w:val="left"/>
        <w:rPr>
          <w:rFonts w:ascii="宋体" w:hAnsi="宋体" w:cs="宋体"/>
          <w:color w:val="auto"/>
          <w:sz w:val="24"/>
          <w:highlight w:val="none"/>
        </w:rPr>
      </w:pPr>
    </w:p>
    <w:p w14:paraId="4622DBF8">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中标后以分包方式履行合同的，提供分包意向协议（附件6</w:t>
      </w:r>
      <w:r>
        <w:rPr>
          <w:rFonts w:ascii="宋体" w:hAnsi="宋体" w:cs="宋体"/>
          <w:b/>
          <w:color w:val="auto"/>
          <w:sz w:val="24"/>
          <w:highlight w:val="none"/>
        </w:rPr>
        <w:t>)</w:t>
      </w:r>
      <w:r>
        <w:rPr>
          <w:rFonts w:hint="eastAsia" w:ascii="宋体" w:hAnsi="宋体" w:cs="宋体"/>
          <w:b/>
          <w:color w:val="auto"/>
          <w:sz w:val="24"/>
          <w:highlight w:val="none"/>
        </w:rPr>
        <w:t>；采购人不同意分包或者投标人中标后不以分包方式履行合同的，则不需要提供。</w:t>
      </w:r>
      <w:r>
        <w:rPr>
          <w:rFonts w:hint="eastAsia" w:ascii="宋体" w:hAnsi="宋体" w:cs="宋体"/>
          <w:color w:val="auto"/>
          <w:sz w:val="24"/>
          <w:highlight w:val="none"/>
        </w:rPr>
        <w:t>]</w:t>
      </w:r>
    </w:p>
    <w:p w14:paraId="48F72723">
      <w:pPr>
        <w:snapToGrid w:val="0"/>
        <w:spacing w:line="360" w:lineRule="auto"/>
        <w:rPr>
          <w:rFonts w:ascii="宋体" w:hAnsi="宋体" w:cs="宋体"/>
          <w:color w:val="auto"/>
          <w:kern w:val="0"/>
          <w:sz w:val="24"/>
          <w:highlight w:val="none"/>
        </w:rPr>
      </w:pPr>
    </w:p>
    <w:p w14:paraId="3EAC6239">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四、符合性审查资料</w:t>
      </w:r>
    </w:p>
    <w:p w14:paraId="51091A42">
      <w:pPr>
        <w:jc w:val="center"/>
        <w:rPr>
          <w:rFonts w:ascii="宋体" w:hAnsi="宋体" w:cs="宋体"/>
          <w:b/>
          <w:color w:val="auto"/>
          <w:kern w:val="0"/>
          <w:sz w:val="32"/>
          <w:szCs w:val="32"/>
          <w:highlight w:val="none"/>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5C132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17B1C255">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4991" w:type="dxa"/>
            <w:vAlign w:val="center"/>
          </w:tcPr>
          <w:p w14:paraId="0A998246">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14:paraId="732B1144">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14:paraId="77BA793A">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投标文件中的</w:t>
            </w:r>
          </w:p>
          <w:p w14:paraId="3B42B242">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页码位置</w:t>
            </w:r>
          </w:p>
        </w:tc>
      </w:tr>
      <w:tr w14:paraId="57990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2955ED1">
            <w:pPr>
              <w:jc w:val="center"/>
              <w:rPr>
                <w:rFonts w:ascii="宋体" w:hAnsi="宋体" w:cs="宋体"/>
                <w:color w:val="auto"/>
                <w:sz w:val="24"/>
                <w:highlight w:val="none"/>
              </w:rPr>
            </w:pPr>
            <w:r>
              <w:rPr>
                <w:rFonts w:hint="eastAsia" w:ascii="宋体" w:hAnsi="宋体" w:cs="宋体"/>
                <w:color w:val="auto"/>
                <w:sz w:val="24"/>
                <w:highlight w:val="none"/>
              </w:rPr>
              <w:t>1</w:t>
            </w:r>
          </w:p>
        </w:tc>
        <w:tc>
          <w:tcPr>
            <w:tcW w:w="4991" w:type="dxa"/>
          </w:tcPr>
          <w:p w14:paraId="049A21CA">
            <w:pPr>
              <w:spacing w:line="360" w:lineRule="auto"/>
              <w:rPr>
                <w:rFonts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2551" w:type="dxa"/>
            <w:vAlign w:val="center"/>
          </w:tcPr>
          <w:p w14:paraId="0291A114">
            <w:pPr>
              <w:rPr>
                <w:rFonts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418" w:type="dxa"/>
          </w:tcPr>
          <w:p w14:paraId="591A1775">
            <w:pPr>
              <w:rPr>
                <w:rFonts w:ascii="宋体" w:hAnsi="宋体" w:cs="宋体"/>
                <w:color w:val="auto"/>
                <w:sz w:val="24"/>
                <w:highlight w:val="none"/>
              </w:rPr>
            </w:pPr>
          </w:p>
          <w:p w14:paraId="002E9F9B">
            <w:pPr>
              <w:rPr>
                <w:rFonts w:ascii="宋体" w:hAnsi="宋体" w:cs="宋体"/>
                <w:color w:val="auto"/>
                <w:sz w:val="24"/>
                <w:highlight w:val="none"/>
              </w:rPr>
            </w:pPr>
            <w:r>
              <w:rPr>
                <w:rFonts w:hint="eastAsia" w:ascii="宋体" w:hAnsi="宋体" w:cs="宋体"/>
                <w:color w:val="auto"/>
                <w:sz w:val="24"/>
                <w:highlight w:val="none"/>
              </w:rPr>
              <w:t>见投标文件</w:t>
            </w:r>
          </w:p>
          <w:p w14:paraId="46B7FB4A">
            <w:pPr>
              <w:rPr>
                <w:rFonts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4AF5D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5CEBA77">
            <w:pPr>
              <w:jc w:val="center"/>
              <w:rPr>
                <w:rFonts w:ascii="宋体" w:hAnsi="宋体" w:cs="宋体"/>
                <w:color w:val="auto"/>
                <w:sz w:val="24"/>
                <w:highlight w:val="none"/>
              </w:rPr>
            </w:pPr>
            <w:r>
              <w:rPr>
                <w:rFonts w:hint="eastAsia" w:ascii="宋体" w:hAnsi="宋体" w:cs="宋体"/>
                <w:color w:val="auto"/>
                <w:sz w:val="24"/>
                <w:highlight w:val="none"/>
              </w:rPr>
              <w:t>2</w:t>
            </w:r>
          </w:p>
        </w:tc>
        <w:tc>
          <w:tcPr>
            <w:tcW w:w="4991" w:type="dxa"/>
          </w:tcPr>
          <w:p w14:paraId="3B599C7A">
            <w:pPr>
              <w:spacing w:line="360" w:lineRule="auto"/>
              <w:rPr>
                <w:rFonts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2551" w:type="dxa"/>
            <w:vAlign w:val="center"/>
          </w:tcPr>
          <w:p w14:paraId="4A2056A6">
            <w:pPr>
              <w:rPr>
                <w:rFonts w:ascii="宋体" w:hAnsi="宋体" w:cs="宋体"/>
                <w:color w:val="auto"/>
                <w:sz w:val="24"/>
                <w:highlight w:val="none"/>
              </w:rPr>
            </w:pPr>
            <w:r>
              <w:rPr>
                <w:rFonts w:hint="eastAsia" w:ascii="宋体" w:hAnsi="宋体" w:cs="宋体"/>
                <w:color w:val="auto"/>
                <w:sz w:val="24"/>
                <w:highlight w:val="none"/>
              </w:rPr>
              <w:t>投标函</w:t>
            </w:r>
          </w:p>
        </w:tc>
        <w:tc>
          <w:tcPr>
            <w:tcW w:w="1418" w:type="dxa"/>
          </w:tcPr>
          <w:p w14:paraId="195527F4">
            <w:pP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611B4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75CD0906">
            <w:pPr>
              <w:jc w:val="center"/>
              <w:rPr>
                <w:rFonts w:ascii="宋体" w:hAnsi="宋体" w:cs="宋体"/>
                <w:color w:val="auto"/>
                <w:sz w:val="24"/>
                <w:highlight w:val="none"/>
              </w:rPr>
            </w:pPr>
            <w:r>
              <w:rPr>
                <w:rFonts w:hint="eastAsia" w:ascii="宋体" w:hAnsi="宋体" w:cs="宋体"/>
                <w:color w:val="auto"/>
                <w:sz w:val="24"/>
                <w:highlight w:val="none"/>
              </w:rPr>
              <w:t>3</w:t>
            </w:r>
          </w:p>
        </w:tc>
        <w:tc>
          <w:tcPr>
            <w:tcW w:w="4991" w:type="dxa"/>
          </w:tcPr>
          <w:p w14:paraId="49B45C6C">
            <w:pPr>
              <w:spacing w:line="360" w:lineRule="auto"/>
              <w:rPr>
                <w:rFonts w:ascii="宋体" w:hAnsi="宋体" w:cs="宋体"/>
                <w:color w:val="auto"/>
                <w:sz w:val="24"/>
                <w:highlight w:val="none"/>
              </w:rPr>
            </w:pPr>
            <w:r>
              <w:rPr>
                <w:rFonts w:hint="eastAsia" w:ascii="宋体" w:hAnsi="宋体" w:cs="宋体"/>
                <w:color w:val="auto"/>
                <w:sz w:val="24"/>
                <w:highlight w:val="none"/>
              </w:rPr>
              <w:t>投标文件满足招标文件的其他实质性要求。</w:t>
            </w:r>
          </w:p>
        </w:tc>
        <w:tc>
          <w:tcPr>
            <w:tcW w:w="2551" w:type="dxa"/>
            <w:vAlign w:val="center"/>
          </w:tcPr>
          <w:p w14:paraId="53E22D76">
            <w:pPr>
              <w:rPr>
                <w:rFonts w:ascii="宋体" w:hAnsi="宋体" w:cs="宋体"/>
                <w:color w:val="auto"/>
                <w:sz w:val="24"/>
                <w:highlight w:val="none"/>
              </w:rPr>
            </w:pPr>
            <w:r>
              <w:rPr>
                <w:rFonts w:hint="eastAsia" w:ascii="宋体" w:hAnsi="宋体" w:cs="宋体"/>
                <w:color w:val="auto"/>
                <w:kern w:val="0"/>
                <w:sz w:val="24"/>
                <w:highlight w:val="none"/>
              </w:rPr>
              <w:t>招标文件其它实质性要求相应的材料（“▲” 系指实质性要求条款，招标文件无其他实质性要求的，无需提供）</w:t>
            </w:r>
          </w:p>
        </w:tc>
        <w:tc>
          <w:tcPr>
            <w:tcW w:w="1418" w:type="dxa"/>
          </w:tcPr>
          <w:p w14:paraId="214E6C9E">
            <w:pP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bl>
    <w:p w14:paraId="4FC9E3EA">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57922733">
      <w:pPr>
        <w:jc w:val="center"/>
        <w:rPr>
          <w:rFonts w:ascii="宋体" w:hAnsi="宋体" w:cs="宋体"/>
          <w:b/>
          <w:color w:val="auto"/>
          <w:kern w:val="0"/>
          <w:sz w:val="32"/>
          <w:szCs w:val="32"/>
          <w:highlight w:val="none"/>
        </w:rPr>
      </w:pPr>
    </w:p>
    <w:p w14:paraId="22A4F26E">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            </w:t>
      </w:r>
    </w:p>
    <w:p w14:paraId="64CD3192">
      <w:pPr>
        <w:jc w:val="center"/>
        <w:rPr>
          <w:rFonts w:ascii="宋体" w:hAnsi="宋体" w:cs="宋体"/>
          <w:b/>
          <w:color w:val="auto"/>
          <w:kern w:val="0"/>
          <w:sz w:val="32"/>
          <w:szCs w:val="32"/>
          <w:highlight w:val="none"/>
        </w:rPr>
      </w:pPr>
    </w:p>
    <w:p w14:paraId="589E3278">
      <w:pPr>
        <w:jc w:val="center"/>
        <w:rPr>
          <w:rFonts w:ascii="宋体" w:hAnsi="宋体" w:cs="宋体"/>
          <w:b/>
          <w:color w:val="auto"/>
          <w:kern w:val="0"/>
          <w:sz w:val="32"/>
          <w:szCs w:val="32"/>
          <w:highlight w:val="none"/>
        </w:rPr>
      </w:pPr>
    </w:p>
    <w:p w14:paraId="74DF2B95">
      <w:pPr>
        <w:jc w:val="center"/>
        <w:rPr>
          <w:rFonts w:ascii="宋体" w:hAnsi="宋体" w:cs="宋体"/>
          <w:b/>
          <w:color w:val="auto"/>
          <w:kern w:val="0"/>
          <w:sz w:val="32"/>
          <w:szCs w:val="32"/>
          <w:highlight w:val="none"/>
        </w:rPr>
      </w:pPr>
    </w:p>
    <w:p w14:paraId="66B35539">
      <w:pPr>
        <w:jc w:val="center"/>
        <w:rPr>
          <w:rFonts w:ascii="宋体" w:hAnsi="宋体" w:cs="宋体"/>
          <w:b/>
          <w:color w:val="auto"/>
          <w:kern w:val="0"/>
          <w:sz w:val="32"/>
          <w:szCs w:val="32"/>
          <w:highlight w:val="none"/>
        </w:rPr>
      </w:pPr>
    </w:p>
    <w:p w14:paraId="296EB07A">
      <w:pPr>
        <w:jc w:val="center"/>
        <w:rPr>
          <w:rFonts w:ascii="宋体" w:hAnsi="宋体" w:cs="宋体"/>
          <w:b/>
          <w:color w:val="auto"/>
          <w:kern w:val="0"/>
          <w:sz w:val="32"/>
          <w:szCs w:val="32"/>
          <w:highlight w:val="none"/>
        </w:rPr>
      </w:pPr>
    </w:p>
    <w:p w14:paraId="0D1CDAA9">
      <w:pPr>
        <w:jc w:val="center"/>
        <w:rPr>
          <w:rFonts w:ascii="宋体" w:hAnsi="宋体" w:cs="宋体"/>
          <w:b/>
          <w:color w:val="auto"/>
          <w:kern w:val="0"/>
          <w:sz w:val="32"/>
          <w:szCs w:val="32"/>
          <w:highlight w:val="none"/>
        </w:rPr>
      </w:pPr>
    </w:p>
    <w:p w14:paraId="24DBDA58">
      <w:pPr>
        <w:jc w:val="center"/>
        <w:rPr>
          <w:rFonts w:ascii="宋体" w:hAnsi="宋体" w:cs="宋体"/>
          <w:b/>
          <w:color w:val="auto"/>
          <w:kern w:val="0"/>
          <w:sz w:val="32"/>
          <w:szCs w:val="32"/>
          <w:highlight w:val="none"/>
        </w:rPr>
      </w:pPr>
    </w:p>
    <w:p w14:paraId="63B487F9">
      <w:pPr>
        <w:jc w:val="center"/>
        <w:rPr>
          <w:rFonts w:ascii="宋体" w:hAnsi="宋体" w:cs="宋体"/>
          <w:b/>
          <w:color w:val="auto"/>
          <w:kern w:val="0"/>
          <w:sz w:val="32"/>
          <w:szCs w:val="32"/>
          <w:highlight w:val="none"/>
        </w:rPr>
      </w:pPr>
    </w:p>
    <w:p w14:paraId="51062D8E">
      <w:pPr>
        <w:jc w:val="center"/>
        <w:rPr>
          <w:rFonts w:ascii="宋体" w:hAnsi="宋体" w:cs="宋体"/>
          <w:b/>
          <w:color w:val="auto"/>
          <w:kern w:val="0"/>
          <w:sz w:val="32"/>
          <w:szCs w:val="32"/>
          <w:highlight w:val="none"/>
        </w:rPr>
      </w:pPr>
    </w:p>
    <w:p w14:paraId="685D9D6A">
      <w:pPr>
        <w:jc w:val="center"/>
        <w:rPr>
          <w:rFonts w:ascii="宋体" w:hAnsi="宋体" w:cs="宋体"/>
          <w:b/>
          <w:color w:val="auto"/>
          <w:kern w:val="0"/>
          <w:sz w:val="32"/>
          <w:szCs w:val="32"/>
          <w:highlight w:val="none"/>
        </w:rPr>
      </w:pPr>
    </w:p>
    <w:p w14:paraId="203FDCB4">
      <w:pPr>
        <w:jc w:val="center"/>
        <w:rPr>
          <w:rFonts w:ascii="宋体" w:hAnsi="宋体" w:cs="宋体"/>
          <w:b/>
          <w:color w:val="auto"/>
          <w:kern w:val="0"/>
          <w:sz w:val="32"/>
          <w:szCs w:val="32"/>
          <w:highlight w:val="none"/>
        </w:rPr>
      </w:pPr>
    </w:p>
    <w:p w14:paraId="1BB32EB9">
      <w:pPr>
        <w:jc w:val="center"/>
        <w:rPr>
          <w:rFonts w:ascii="宋体" w:hAnsi="宋体" w:cs="宋体"/>
          <w:b/>
          <w:color w:val="auto"/>
          <w:kern w:val="0"/>
          <w:sz w:val="32"/>
          <w:szCs w:val="32"/>
          <w:highlight w:val="none"/>
        </w:rPr>
      </w:pPr>
    </w:p>
    <w:p w14:paraId="53561799">
      <w:pPr>
        <w:jc w:val="center"/>
        <w:rPr>
          <w:rFonts w:ascii="宋体" w:hAnsi="宋体" w:cs="宋体"/>
          <w:color w:val="auto"/>
          <w:highlight w:val="none"/>
        </w:rPr>
      </w:pPr>
      <w:r>
        <w:rPr>
          <w:rFonts w:hint="eastAsia" w:ascii="宋体" w:hAnsi="宋体" w:cs="宋体"/>
          <w:b/>
          <w:color w:val="auto"/>
          <w:kern w:val="0"/>
          <w:sz w:val="32"/>
          <w:szCs w:val="32"/>
          <w:highlight w:val="none"/>
        </w:rPr>
        <w:t>五、评标标准相应的商务技术资料</w:t>
      </w:r>
    </w:p>
    <w:p w14:paraId="6031CEEE">
      <w:pPr>
        <w:snapToGrid w:val="0"/>
        <w:spacing w:line="360" w:lineRule="auto"/>
        <w:jc w:val="left"/>
        <w:rPr>
          <w:rFonts w:ascii="宋体" w:hAnsi="宋体" w:cs="宋体"/>
          <w:b/>
          <w:color w:val="auto"/>
          <w:sz w:val="24"/>
          <w:highlight w:val="none"/>
        </w:rPr>
      </w:pPr>
      <w:r>
        <w:rPr>
          <w:rFonts w:hint="eastAsia" w:ascii="宋体" w:hAnsi="宋体" w:cs="宋体"/>
          <w:b/>
          <w:color w:val="auto"/>
          <w:sz w:val="24"/>
          <w:highlight w:val="none"/>
        </w:rPr>
        <w:t>（按招标文件第四部分评标办法前附表中“投标文件中评标标准相应的商务技术资料目录”提供资料。）</w:t>
      </w:r>
    </w:p>
    <w:p w14:paraId="55A65A68">
      <w:pPr>
        <w:jc w:val="center"/>
        <w:rPr>
          <w:rFonts w:ascii="宋体" w:hAnsi="宋体" w:cs="宋体"/>
          <w:b/>
          <w:color w:val="auto"/>
          <w:kern w:val="0"/>
          <w:sz w:val="32"/>
          <w:szCs w:val="32"/>
          <w:highlight w:val="none"/>
        </w:rPr>
      </w:pPr>
    </w:p>
    <w:p w14:paraId="525D4FA7">
      <w:pPr>
        <w:jc w:val="center"/>
        <w:rPr>
          <w:rFonts w:ascii="宋体" w:hAnsi="宋体" w:cs="宋体"/>
          <w:b/>
          <w:color w:val="auto"/>
          <w:kern w:val="0"/>
          <w:sz w:val="32"/>
          <w:szCs w:val="32"/>
          <w:highlight w:val="none"/>
        </w:rPr>
      </w:pPr>
    </w:p>
    <w:p w14:paraId="1895DF49">
      <w:pPr>
        <w:jc w:val="center"/>
        <w:rPr>
          <w:rFonts w:ascii="宋体" w:hAnsi="宋体" w:cs="宋体"/>
          <w:b/>
          <w:color w:val="auto"/>
          <w:kern w:val="0"/>
          <w:sz w:val="32"/>
          <w:szCs w:val="32"/>
          <w:highlight w:val="none"/>
        </w:rPr>
      </w:pPr>
    </w:p>
    <w:p w14:paraId="0CF113F3">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5FEB3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B364B91">
            <w:pPr>
              <w:jc w:val="center"/>
              <w:rPr>
                <w:rFonts w:ascii="宋体" w:hAnsi="宋体" w:cs="宋体"/>
                <w:b/>
                <w:bCs/>
                <w:color w:val="auto"/>
                <w:sz w:val="24"/>
                <w:highlight w:val="none"/>
              </w:rPr>
            </w:pPr>
            <w:r>
              <w:rPr>
                <w:rFonts w:hint="eastAsia" w:ascii="宋体" w:hAnsi="宋体" w:cs="宋体"/>
                <w:b/>
                <w:bCs/>
                <w:color w:val="auto"/>
                <w:sz w:val="24"/>
                <w:highlight w:val="none"/>
              </w:rPr>
              <w:t>序号</w:t>
            </w:r>
          </w:p>
        </w:tc>
        <w:tc>
          <w:tcPr>
            <w:tcW w:w="3683" w:type="dxa"/>
          </w:tcPr>
          <w:p w14:paraId="555DAC2F">
            <w:pPr>
              <w:jc w:val="center"/>
              <w:rPr>
                <w:rFonts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546" w:type="dxa"/>
          </w:tcPr>
          <w:p w14:paraId="4FD00DE7">
            <w:pPr>
              <w:jc w:val="center"/>
              <w:rPr>
                <w:rFonts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276" w:type="dxa"/>
          </w:tcPr>
          <w:p w14:paraId="090E92F9">
            <w:pPr>
              <w:jc w:val="center"/>
              <w:rPr>
                <w:rFonts w:ascii="宋体" w:hAnsi="宋体" w:cs="宋体"/>
                <w:b/>
                <w:bCs/>
                <w:color w:val="auto"/>
                <w:sz w:val="24"/>
                <w:highlight w:val="none"/>
              </w:rPr>
            </w:pPr>
            <w:r>
              <w:rPr>
                <w:rFonts w:hint="eastAsia" w:ascii="宋体" w:hAnsi="宋体" w:cs="宋体"/>
                <w:b/>
                <w:bCs/>
                <w:color w:val="auto"/>
                <w:sz w:val="24"/>
                <w:highlight w:val="none"/>
              </w:rPr>
              <w:t>偏离说明</w:t>
            </w:r>
          </w:p>
        </w:tc>
      </w:tr>
      <w:tr w14:paraId="200B2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9ABA782">
            <w:pPr>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683" w:type="dxa"/>
          </w:tcPr>
          <w:p w14:paraId="0360D54E">
            <w:pPr>
              <w:jc w:val="center"/>
              <w:rPr>
                <w:rFonts w:ascii="宋体" w:hAnsi="宋体" w:cs="宋体"/>
                <w:b/>
                <w:color w:val="auto"/>
                <w:kern w:val="0"/>
                <w:sz w:val="32"/>
                <w:szCs w:val="32"/>
                <w:highlight w:val="none"/>
              </w:rPr>
            </w:pPr>
          </w:p>
        </w:tc>
        <w:tc>
          <w:tcPr>
            <w:tcW w:w="3546" w:type="dxa"/>
          </w:tcPr>
          <w:p w14:paraId="40697E1B">
            <w:pPr>
              <w:jc w:val="center"/>
              <w:rPr>
                <w:rFonts w:ascii="宋体" w:hAnsi="宋体" w:cs="宋体"/>
                <w:b/>
                <w:color w:val="auto"/>
                <w:kern w:val="0"/>
                <w:sz w:val="32"/>
                <w:szCs w:val="32"/>
                <w:highlight w:val="none"/>
              </w:rPr>
            </w:pPr>
          </w:p>
        </w:tc>
        <w:tc>
          <w:tcPr>
            <w:tcW w:w="1276" w:type="dxa"/>
          </w:tcPr>
          <w:p w14:paraId="099A59E1">
            <w:pPr>
              <w:jc w:val="center"/>
              <w:rPr>
                <w:rFonts w:ascii="宋体" w:hAnsi="宋体" w:cs="宋体"/>
                <w:b/>
                <w:color w:val="auto"/>
                <w:kern w:val="0"/>
                <w:sz w:val="32"/>
                <w:szCs w:val="32"/>
                <w:highlight w:val="none"/>
              </w:rPr>
            </w:pPr>
          </w:p>
        </w:tc>
      </w:tr>
      <w:tr w14:paraId="29BDF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6511B56">
            <w:pPr>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683" w:type="dxa"/>
          </w:tcPr>
          <w:p w14:paraId="10779144">
            <w:pPr>
              <w:jc w:val="center"/>
              <w:rPr>
                <w:rFonts w:ascii="宋体" w:hAnsi="宋体" w:cs="宋体"/>
                <w:b/>
                <w:color w:val="auto"/>
                <w:kern w:val="0"/>
                <w:sz w:val="32"/>
                <w:szCs w:val="32"/>
                <w:highlight w:val="none"/>
              </w:rPr>
            </w:pPr>
          </w:p>
        </w:tc>
        <w:tc>
          <w:tcPr>
            <w:tcW w:w="3546" w:type="dxa"/>
          </w:tcPr>
          <w:p w14:paraId="030E1C8D">
            <w:pPr>
              <w:jc w:val="center"/>
              <w:rPr>
                <w:rFonts w:ascii="宋体" w:hAnsi="宋体" w:cs="宋体"/>
                <w:b/>
                <w:color w:val="auto"/>
                <w:kern w:val="0"/>
                <w:sz w:val="32"/>
                <w:szCs w:val="32"/>
                <w:highlight w:val="none"/>
              </w:rPr>
            </w:pPr>
          </w:p>
        </w:tc>
        <w:tc>
          <w:tcPr>
            <w:tcW w:w="1276" w:type="dxa"/>
          </w:tcPr>
          <w:p w14:paraId="43AE7621">
            <w:pPr>
              <w:jc w:val="center"/>
              <w:rPr>
                <w:rFonts w:ascii="宋体" w:hAnsi="宋体" w:cs="宋体"/>
                <w:b/>
                <w:color w:val="auto"/>
                <w:kern w:val="0"/>
                <w:sz w:val="32"/>
                <w:szCs w:val="32"/>
                <w:highlight w:val="none"/>
              </w:rPr>
            </w:pPr>
          </w:p>
        </w:tc>
      </w:tr>
      <w:tr w14:paraId="612C4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E6EF358">
            <w:pPr>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683" w:type="dxa"/>
          </w:tcPr>
          <w:p w14:paraId="79DD03F0">
            <w:pPr>
              <w:jc w:val="center"/>
              <w:rPr>
                <w:rFonts w:ascii="宋体" w:hAnsi="宋体" w:cs="宋体"/>
                <w:b/>
                <w:color w:val="auto"/>
                <w:kern w:val="0"/>
                <w:sz w:val="32"/>
                <w:szCs w:val="32"/>
                <w:highlight w:val="none"/>
              </w:rPr>
            </w:pPr>
          </w:p>
        </w:tc>
        <w:tc>
          <w:tcPr>
            <w:tcW w:w="3546" w:type="dxa"/>
          </w:tcPr>
          <w:p w14:paraId="2BB95A75">
            <w:pPr>
              <w:jc w:val="center"/>
              <w:rPr>
                <w:rFonts w:ascii="宋体" w:hAnsi="宋体" w:cs="宋体"/>
                <w:b/>
                <w:color w:val="auto"/>
                <w:kern w:val="0"/>
                <w:sz w:val="32"/>
                <w:szCs w:val="32"/>
                <w:highlight w:val="none"/>
              </w:rPr>
            </w:pPr>
          </w:p>
        </w:tc>
        <w:tc>
          <w:tcPr>
            <w:tcW w:w="1276" w:type="dxa"/>
          </w:tcPr>
          <w:p w14:paraId="3600159B">
            <w:pPr>
              <w:jc w:val="center"/>
              <w:rPr>
                <w:rFonts w:ascii="宋体" w:hAnsi="宋体" w:cs="宋体"/>
                <w:b/>
                <w:color w:val="auto"/>
                <w:kern w:val="0"/>
                <w:sz w:val="32"/>
                <w:szCs w:val="32"/>
                <w:highlight w:val="none"/>
              </w:rPr>
            </w:pPr>
          </w:p>
        </w:tc>
      </w:tr>
    </w:tbl>
    <w:p w14:paraId="29C07443">
      <w:pPr>
        <w:jc w:val="left"/>
        <w:rPr>
          <w:rFonts w:ascii="宋体" w:hAnsi="宋体" w:cs="宋体"/>
          <w:color w:val="auto"/>
          <w:kern w:val="0"/>
          <w:sz w:val="24"/>
          <w:highlight w:val="none"/>
        </w:rPr>
      </w:pPr>
      <w:r>
        <w:rPr>
          <w:rFonts w:hint="eastAsia" w:ascii="宋体" w:hAnsi="宋体" w:cs="宋体"/>
          <w:color w:val="auto"/>
          <w:kern w:val="0"/>
          <w:sz w:val="24"/>
          <w:highlight w:val="none"/>
        </w:rPr>
        <w:t>投标人保证：除商务技术偏离表列出的偏离外，投标人响应招标文件的全部要求</w:t>
      </w:r>
    </w:p>
    <w:p w14:paraId="0A985377">
      <w:pPr>
        <w:jc w:val="center"/>
        <w:rPr>
          <w:rFonts w:ascii="宋体" w:hAnsi="宋体" w:cs="宋体"/>
          <w:b/>
          <w:color w:val="auto"/>
          <w:kern w:val="0"/>
          <w:sz w:val="32"/>
          <w:szCs w:val="32"/>
          <w:highlight w:val="none"/>
        </w:rPr>
      </w:pPr>
    </w:p>
    <w:p w14:paraId="6AD2E978">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405C646E">
      <w:pPr>
        <w:ind w:firstLine="1911" w:firstLineChars="595"/>
        <w:rPr>
          <w:rFonts w:ascii="宋体" w:hAnsi="宋体" w:cs="宋体"/>
          <w:b/>
          <w:bCs/>
          <w:color w:val="auto"/>
          <w:sz w:val="32"/>
          <w:szCs w:val="32"/>
          <w:highlight w:val="none"/>
        </w:rPr>
      </w:pPr>
    </w:p>
    <w:p w14:paraId="09048A10">
      <w:pPr>
        <w:ind w:firstLine="1911" w:firstLineChars="595"/>
        <w:rPr>
          <w:rFonts w:ascii="宋体" w:hAnsi="宋体" w:cs="宋体"/>
          <w:b/>
          <w:bCs/>
          <w:color w:val="auto"/>
          <w:sz w:val="32"/>
          <w:szCs w:val="32"/>
          <w:highlight w:val="none"/>
        </w:rPr>
      </w:pPr>
    </w:p>
    <w:p w14:paraId="0352A01F">
      <w:pPr>
        <w:ind w:firstLine="1911" w:firstLineChars="595"/>
        <w:rPr>
          <w:rFonts w:ascii="宋体" w:hAnsi="宋体" w:cs="宋体"/>
          <w:b/>
          <w:bCs/>
          <w:color w:val="auto"/>
          <w:sz w:val="32"/>
          <w:szCs w:val="32"/>
          <w:highlight w:val="none"/>
        </w:rPr>
      </w:pPr>
    </w:p>
    <w:p w14:paraId="26B81A06">
      <w:pPr>
        <w:widowControl/>
        <w:adjustRightInd/>
        <w:jc w:val="left"/>
        <w:rPr>
          <w:rFonts w:ascii="宋体" w:hAnsi="宋体" w:cs="宋体"/>
          <w:b/>
          <w:bCs/>
          <w:color w:val="auto"/>
          <w:sz w:val="32"/>
          <w:szCs w:val="32"/>
          <w:highlight w:val="none"/>
        </w:rPr>
      </w:pPr>
      <w:r>
        <w:rPr>
          <w:rFonts w:ascii="宋体" w:hAnsi="宋体" w:cs="宋体"/>
          <w:b/>
          <w:bCs/>
          <w:color w:val="auto"/>
          <w:sz w:val="32"/>
          <w:szCs w:val="32"/>
          <w:highlight w:val="none"/>
        </w:rPr>
        <w:br w:type="page"/>
      </w:r>
    </w:p>
    <w:p w14:paraId="45E33673">
      <w:pPr>
        <w:ind w:firstLine="1911" w:firstLineChars="595"/>
        <w:rPr>
          <w:rFonts w:ascii="宋体" w:hAnsi="宋体" w:cs="宋体"/>
          <w:b/>
          <w:color w:val="auto"/>
          <w:kern w:val="0"/>
          <w:sz w:val="32"/>
          <w:szCs w:val="32"/>
          <w:highlight w:val="none"/>
        </w:rPr>
      </w:pPr>
      <w:r>
        <w:rPr>
          <w:rFonts w:hint="eastAsia" w:ascii="宋体" w:hAnsi="宋体" w:cs="宋体"/>
          <w:b/>
          <w:bCs/>
          <w:color w:val="auto"/>
          <w:sz w:val="32"/>
          <w:szCs w:val="32"/>
          <w:highlight w:val="none"/>
        </w:rPr>
        <w:t>七</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政府采购供应商廉洁自律承诺书</w:t>
      </w:r>
    </w:p>
    <w:p w14:paraId="16B2AFC1">
      <w:pPr>
        <w:snapToGrid w:val="0"/>
        <w:spacing w:line="360" w:lineRule="auto"/>
        <w:rPr>
          <w:rFonts w:ascii="宋体" w:hAnsi="宋体" w:cs="宋体"/>
          <w:color w:val="auto"/>
          <w:sz w:val="24"/>
          <w:highlight w:val="none"/>
        </w:rPr>
      </w:pPr>
    </w:p>
    <w:p w14:paraId="6BC3C2B5">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宁波市园林绿化中心</w:t>
      </w:r>
      <w:r>
        <w:rPr>
          <w:rFonts w:hint="eastAsia" w:ascii="宋体" w:hAnsi="宋体" w:cs="宋体"/>
          <w:color w:val="auto"/>
          <w:sz w:val="24"/>
          <w:highlight w:val="none"/>
        </w:rPr>
        <w:t>、宁波中基国际招标有限公司</w:t>
      </w:r>
      <w:r>
        <w:rPr>
          <w:rFonts w:hint="eastAsia" w:ascii="宋体" w:hAnsi="宋体" w:cs="宋体"/>
          <w:color w:val="auto"/>
          <w:kern w:val="0"/>
          <w:sz w:val="24"/>
          <w:highlight w:val="none"/>
          <w:lang w:val="zh-CN"/>
        </w:rPr>
        <w:t>：</w:t>
      </w:r>
    </w:p>
    <w:p w14:paraId="294969E5">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14:paraId="3EF0CF7D">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14:paraId="1D765841">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14:paraId="4A27469E">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14:paraId="3A8C869E">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14:paraId="54288BB1">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14:paraId="147DB029">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14:paraId="126A9A5B">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招标投标</w:t>
      </w:r>
    </w:p>
    <w:p w14:paraId="7DAD054E">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 xml:space="preserve">等法律法规，诚实守信，合法经营，坚决抵制各种违法违纪行为。 </w:t>
      </w:r>
    </w:p>
    <w:p w14:paraId="5BB4CA8F">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w:t>
      </w:r>
      <w:r>
        <w:rPr>
          <w:rFonts w:hint="eastAsia" w:ascii="宋体" w:hAnsi="宋体" w:cs="宋体"/>
          <w:color w:val="auto"/>
          <w:kern w:val="0"/>
          <w:sz w:val="24"/>
          <w:highlight w:val="none"/>
        </w:rPr>
        <w:t>区</w:t>
      </w:r>
      <w:r>
        <w:rPr>
          <w:rFonts w:hint="eastAsia" w:ascii="宋体" w:hAnsi="宋体" w:cs="宋体"/>
          <w:color w:val="auto"/>
          <w:kern w:val="0"/>
          <w:sz w:val="24"/>
          <w:highlight w:val="none"/>
          <w:lang w:val="zh-CN"/>
        </w:rPr>
        <w:t>财政局。由此引起的相应损失均由我单位承担。</w:t>
      </w:r>
    </w:p>
    <w:p w14:paraId="19102D7C">
      <w:pPr>
        <w:autoSpaceDE w:val="0"/>
        <w:autoSpaceDN w:val="0"/>
        <w:spacing w:line="360" w:lineRule="auto"/>
        <w:ind w:left="2"/>
        <w:jc w:val="left"/>
        <w:rPr>
          <w:rFonts w:ascii="宋体" w:hAnsi="宋体" w:cs="宋体"/>
          <w:color w:val="auto"/>
          <w:kern w:val="0"/>
          <w:sz w:val="24"/>
          <w:highlight w:val="none"/>
          <w:lang w:val="zh-CN"/>
        </w:rPr>
      </w:pPr>
    </w:p>
    <w:p w14:paraId="097FEF13">
      <w:pPr>
        <w:autoSpaceDE w:val="0"/>
        <w:autoSpaceDN w:val="0"/>
        <w:spacing w:line="360" w:lineRule="auto"/>
        <w:ind w:left="2"/>
        <w:jc w:val="left"/>
        <w:rPr>
          <w:rFonts w:ascii="宋体" w:hAnsi="宋体" w:cs="宋体"/>
          <w:color w:val="auto"/>
          <w:kern w:val="0"/>
          <w:sz w:val="24"/>
          <w:highlight w:val="none"/>
          <w:lang w:val="zh-CN"/>
        </w:rPr>
      </w:pPr>
    </w:p>
    <w:p w14:paraId="12861BCE">
      <w:pPr>
        <w:autoSpaceDE w:val="0"/>
        <w:autoSpaceDN w:val="0"/>
        <w:spacing w:line="360" w:lineRule="auto"/>
        <w:ind w:left="2"/>
        <w:jc w:val="left"/>
        <w:rPr>
          <w:rFonts w:ascii="宋体" w:hAnsi="宋体" w:cs="宋体"/>
          <w:color w:val="auto"/>
          <w:kern w:val="0"/>
          <w:sz w:val="24"/>
          <w:highlight w:val="none"/>
          <w:lang w:val="zh-CN"/>
        </w:rPr>
      </w:pPr>
    </w:p>
    <w:p w14:paraId="0E788A6F">
      <w:pP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14:paraId="21FCB660">
      <w:pPr>
        <w:spacing w:line="360" w:lineRule="auto"/>
        <w:ind w:left="4620" w:leftChars="2200"/>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14:paraId="745A97D8">
      <w:pPr>
        <w:spacing w:line="360" w:lineRule="auto"/>
        <w:jc w:val="center"/>
        <w:rPr>
          <w:rFonts w:ascii="宋体" w:hAnsi="宋体" w:cs="宋体"/>
          <w:b/>
          <w:bCs/>
          <w:color w:val="auto"/>
          <w:sz w:val="24"/>
          <w:highlight w:val="none"/>
        </w:rPr>
      </w:pPr>
    </w:p>
    <w:p w14:paraId="2162FE47">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4A332BD0">
      <w:pPr>
        <w:spacing w:line="360" w:lineRule="auto"/>
        <w:jc w:val="center"/>
        <w:rPr>
          <w:rFonts w:ascii="宋体" w:hAnsi="宋体" w:cs="宋体"/>
          <w:b/>
          <w:bCs/>
          <w:color w:val="auto"/>
          <w:sz w:val="24"/>
          <w:highlight w:val="none"/>
        </w:rPr>
        <w:sectPr>
          <w:headerReference r:id="rId19" w:type="first"/>
          <w:footerReference r:id="rId21" w:type="first"/>
          <w:headerReference r:id="rId18" w:type="default"/>
          <w:footerReference r:id="rId20"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720A292D">
      <w:pPr>
        <w:spacing w:line="360" w:lineRule="auto"/>
        <w:jc w:val="center"/>
        <w:outlineLvl w:val="1"/>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14:paraId="1C3F0D7C">
      <w:pPr>
        <w:spacing w:line="360" w:lineRule="auto"/>
        <w:jc w:val="center"/>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1DA32D77">
      <w:pPr>
        <w:spacing w:line="360" w:lineRule="auto"/>
        <w:jc w:val="center"/>
        <w:rPr>
          <w:rFonts w:ascii="宋体" w:hAnsi="宋体" w:cs="宋体"/>
          <w:b/>
          <w:color w:val="auto"/>
          <w:kern w:val="0"/>
          <w:sz w:val="36"/>
          <w:szCs w:val="36"/>
          <w:highlight w:val="none"/>
        </w:rPr>
      </w:pPr>
    </w:p>
    <w:p w14:paraId="66465964">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（1）开标一览表（报价表）………………………………………………………（页码）</w:t>
      </w:r>
    </w:p>
    <w:p w14:paraId="00A2A703">
      <w:pPr>
        <w:pStyle w:val="25"/>
        <w:rPr>
          <w:color w:val="auto"/>
          <w:highlight w:val="none"/>
        </w:rPr>
      </w:pPr>
      <w:r>
        <w:rPr>
          <w:rFonts w:hint="eastAsia" w:ascii="宋体" w:hAnsi="宋体" w:cs="宋体"/>
          <w:color w:val="auto"/>
          <w:sz w:val="24"/>
          <w:highlight w:val="none"/>
        </w:rPr>
        <w:t>（2）中小企业声明函………………………………………………………………（页码）</w:t>
      </w:r>
    </w:p>
    <w:p w14:paraId="4AF60EB8">
      <w:pPr>
        <w:snapToGrid w:val="0"/>
        <w:spacing w:line="360" w:lineRule="auto"/>
        <w:ind w:right="480"/>
        <w:jc w:val="center"/>
        <w:rPr>
          <w:rFonts w:ascii="宋体" w:hAnsi="宋体" w:cs="宋体"/>
          <w:b/>
          <w:color w:val="auto"/>
          <w:kern w:val="0"/>
          <w:sz w:val="32"/>
          <w:szCs w:val="32"/>
          <w:highlight w:val="none"/>
        </w:rPr>
      </w:pPr>
    </w:p>
    <w:p w14:paraId="19FA833C">
      <w:pPr>
        <w:snapToGrid w:val="0"/>
        <w:spacing w:line="360" w:lineRule="auto"/>
        <w:ind w:right="480"/>
        <w:jc w:val="center"/>
        <w:rPr>
          <w:rFonts w:ascii="宋体" w:hAnsi="宋体" w:cs="宋体"/>
          <w:b/>
          <w:color w:val="auto"/>
          <w:kern w:val="0"/>
          <w:sz w:val="32"/>
          <w:szCs w:val="32"/>
          <w:highlight w:val="none"/>
        </w:rPr>
      </w:pPr>
    </w:p>
    <w:p w14:paraId="77EB3E17">
      <w:pPr>
        <w:snapToGrid w:val="0"/>
        <w:spacing w:line="360" w:lineRule="auto"/>
        <w:ind w:right="480"/>
        <w:jc w:val="center"/>
        <w:rPr>
          <w:rFonts w:ascii="宋体" w:hAnsi="宋体" w:cs="宋体"/>
          <w:b/>
          <w:color w:val="auto"/>
          <w:kern w:val="0"/>
          <w:sz w:val="32"/>
          <w:szCs w:val="32"/>
          <w:highlight w:val="none"/>
        </w:rPr>
      </w:pPr>
    </w:p>
    <w:p w14:paraId="1112B44C">
      <w:pPr>
        <w:snapToGrid w:val="0"/>
        <w:spacing w:line="360" w:lineRule="auto"/>
        <w:ind w:right="480"/>
        <w:jc w:val="center"/>
        <w:rPr>
          <w:rFonts w:ascii="宋体" w:hAnsi="宋体" w:cs="宋体"/>
          <w:b/>
          <w:color w:val="auto"/>
          <w:kern w:val="0"/>
          <w:sz w:val="32"/>
          <w:szCs w:val="32"/>
          <w:highlight w:val="none"/>
        </w:rPr>
      </w:pPr>
    </w:p>
    <w:p w14:paraId="11E20886">
      <w:pPr>
        <w:snapToGrid w:val="0"/>
        <w:spacing w:line="360" w:lineRule="auto"/>
        <w:ind w:right="480"/>
        <w:jc w:val="center"/>
        <w:rPr>
          <w:rFonts w:ascii="宋体" w:hAnsi="宋体" w:cs="宋体"/>
          <w:b/>
          <w:color w:val="auto"/>
          <w:kern w:val="0"/>
          <w:sz w:val="32"/>
          <w:szCs w:val="32"/>
          <w:highlight w:val="none"/>
        </w:rPr>
      </w:pPr>
    </w:p>
    <w:p w14:paraId="1FD56C34">
      <w:pPr>
        <w:snapToGrid w:val="0"/>
        <w:spacing w:line="360" w:lineRule="auto"/>
        <w:ind w:right="480"/>
        <w:jc w:val="center"/>
        <w:rPr>
          <w:rFonts w:ascii="宋体" w:hAnsi="宋体" w:cs="宋体"/>
          <w:b/>
          <w:color w:val="auto"/>
          <w:kern w:val="0"/>
          <w:sz w:val="32"/>
          <w:szCs w:val="32"/>
          <w:highlight w:val="none"/>
        </w:rPr>
      </w:pPr>
    </w:p>
    <w:p w14:paraId="2936DBD1">
      <w:pPr>
        <w:snapToGrid w:val="0"/>
        <w:spacing w:line="360" w:lineRule="auto"/>
        <w:ind w:right="480"/>
        <w:jc w:val="center"/>
        <w:rPr>
          <w:rFonts w:ascii="宋体" w:hAnsi="宋体" w:cs="宋体"/>
          <w:b/>
          <w:color w:val="auto"/>
          <w:kern w:val="0"/>
          <w:sz w:val="32"/>
          <w:szCs w:val="32"/>
          <w:highlight w:val="none"/>
        </w:rPr>
      </w:pPr>
    </w:p>
    <w:p w14:paraId="2A8B3257">
      <w:pPr>
        <w:snapToGrid w:val="0"/>
        <w:spacing w:line="360" w:lineRule="auto"/>
        <w:ind w:right="480"/>
        <w:jc w:val="center"/>
        <w:rPr>
          <w:rFonts w:ascii="宋体" w:hAnsi="宋体" w:cs="宋体"/>
          <w:b/>
          <w:color w:val="auto"/>
          <w:kern w:val="0"/>
          <w:sz w:val="32"/>
          <w:szCs w:val="32"/>
          <w:highlight w:val="none"/>
        </w:rPr>
      </w:pPr>
    </w:p>
    <w:p w14:paraId="6415552E">
      <w:pPr>
        <w:snapToGrid w:val="0"/>
        <w:spacing w:line="360" w:lineRule="auto"/>
        <w:ind w:right="480"/>
        <w:jc w:val="center"/>
        <w:rPr>
          <w:rFonts w:ascii="宋体" w:hAnsi="宋体" w:cs="宋体"/>
          <w:b/>
          <w:color w:val="auto"/>
          <w:kern w:val="0"/>
          <w:sz w:val="32"/>
          <w:szCs w:val="32"/>
          <w:highlight w:val="none"/>
        </w:rPr>
      </w:pPr>
    </w:p>
    <w:p w14:paraId="11AD1480">
      <w:pPr>
        <w:snapToGrid w:val="0"/>
        <w:spacing w:line="360" w:lineRule="auto"/>
        <w:ind w:right="480"/>
        <w:jc w:val="center"/>
        <w:rPr>
          <w:rFonts w:ascii="宋体" w:hAnsi="宋体" w:cs="宋体"/>
          <w:b/>
          <w:color w:val="auto"/>
          <w:kern w:val="0"/>
          <w:sz w:val="32"/>
          <w:szCs w:val="32"/>
          <w:highlight w:val="none"/>
        </w:rPr>
      </w:pPr>
    </w:p>
    <w:p w14:paraId="59F8AA05">
      <w:pPr>
        <w:snapToGrid w:val="0"/>
        <w:spacing w:line="360" w:lineRule="auto"/>
        <w:ind w:right="480"/>
        <w:jc w:val="center"/>
        <w:rPr>
          <w:rFonts w:ascii="宋体" w:hAnsi="宋体" w:cs="宋体"/>
          <w:b/>
          <w:color w:val="auto"/>
          <w:kern w:val="0"/>
          <w:sz w:val="32"/>
          <w:szCs w:val="32"/>
          <w:highlight w:val="none"/>
        </w:rPr>
      </w:pPr>
    </w:p>
    <w:p w14:paraId="697D32AF">
      <w:pPr>
        <w:snapToGrid w:val="0"/>
        <w:spacing w:line="360" w:lineRule="auto"/>
        <w:ind w:right="480"/>
        <w:jc w:val="center"/>
        <w:rPr>
          <w:rFonts w:ascii="宋体" w:hAnsi="宋体" w:cs="宋体"/>
          <w:b/>
          <w:color w:val="auto"/>
          <w:kern w:val="0"/>
          <w:sz w:val="32"/>
          <w:szCs w:val="32"/>
          <w:highlight w:val="none"/>
        </w:rPr>
      </w:pPr>
    </w:p>
    <w:p w14:paraId="2DD91E10">
      <w:pPr>
        <w:snapToGrid w:val="0"/>
        <w:spacing w:line="360" w:lineRule="auto"/>
        <w:ind w:right="480"/>
        <w:jc w:val="center"/>
        <w:rPr>
          <w:rFonts w:ascii="宋体" w:hAnsi="宋体" w:cs="宋体"/>
          <w:b/>
          <w:color w:val="auto"/>
          <w:kern w:val="0"/>
          <w:sz w:val="32"/>
          <w:szCs w:val="32"/>
          <w:highlight w:val="none"/>
        </w:rPr>
      </w:pPr>
    </w:p>
    <w:p w14:paraId="7B33D44D">
      <w:pPr>
        <w:snapToGrid w:val="0"/>
        <w:spacing w:line="360" w:lineRule="auto"/>
        <w:ind w:right="480"/>
        <w:jc w:val="center"/>
        <w:rPr>
          <w:rFonts w:ascii="宋体" w:hAnsi="宋体" w:cs="宋体"/>
          <w:b/>
          <w:color w:val="auto"/>
          <w:kern w:val="0"/>
          <w:sz w:val="32"/>
          <w:szCs w:val="32"/>
          <w:highlight w:val="none"/>
        </w:rPr>
      </w:pPr>
    </w:p>
    <w:p w14:paraId="37723A47">
      <w:pPr>
        <w:snapToGrid w:val="0"/>
        <w:spacing w:line="360" w:lineRule="auto"/>
        <w:ind w:right="480"/>
        <w:jc w:val="center"/>
        <w:rPr>
          <w:rFonts w:ascii="宋体" w:hAnsi="宋体" w:cs="宋体"/>
          <w:b/>
          <w:color w:val="auto"/>
          <w:kern w:val="0"/>
          <w:sz w:val="32"/>
          <w:szCs w:val="32"/>
          <w:highlight w:val="none"/>
        </w:rPr>
      </w:pPr>
    </w:p>
    <w:p w14:paraId="726B8DB6">
      <w:pPr>
        <w:pStyle w:val="691"/>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headerReference r:id="rId23" w:type="first"/>
          <w:footerReference r:id="rId25" w:type="first"/>
          <w:headerReference r:id="rId22" w:type="default"/>
          <w:footerReference r:id="rId24"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08BF9087">
      <w:pPr>
        <w:pStyle w:val="691"/>
        <w:keepNext w:val="0"/>
        <w:tabs>
          <w:tab w:val="clear" w:pos="720"/>
        </w:tabs>
        <w:snapToGrid w:val="0"/>
        <w:spacing w:before="120" w:after="120"/>
        <w:ind w:firstLine="643"/>
        <w:outlineLvl w:val="9"/>
        <w:rPr>
          <w:rFonts w:ascii="宋体" w:hAnsi="宋体" w:eastAsia="宋体" w:cs="宋体"/>
          <w:color w:val="auto"/>
          <w:kern w:val="2"/>
          <w:sz w:val="32"/>
          <w:szCs w:val="32"/>
          <w:highlight w:val="none"/>
        </w:rPr>
      </w:pPr>
      <w:bookmarkStart w:id="546" w:name="_Toc7970"/>
      <w:r>
        <w:rPr>
          <w:rFonts w:hint="eastAsia" w:ascii="宋体" w:hAnsi="宋体" w:eastAsia="宋体" w:cs="宋体"/>
          <w:color w:val="auto"/>
          <w:kern w:val="2"/>
          <w:sz w:val="32"/>
          <w:szCs w:val="32"/>
          <w:highlight w:val="none"/>
        </w:rPr>
        <w:t>一、开标一览表（报价表）</w:t>
      </w:r>
      <w:bookmarkEnd w:id="546"/>
    </w:p>
    <w:p w14:paraId="02AEAAC4">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宁波市园林绿化中心</w:t>
      </w:r>
      <w:r>
        <w:rPr>
          <w:rFonts w:hint="eastAsia" w:ascii="宋体" w:hAnsi="宋体" w:cs="宋体"/>
          <w:color w:val="auto"/>
          <w:sz w:val="24"/>
          <w:highlight w:val="none"/>
        </w:rPr>
        <w:t>、宁波中基国际招标有限公司</w:t>
      </w:r>
      <w:r>
        <w:rPr>
          <w:rFonts w:hint="eastAsia" w:ascii="宋体" w:hAnsi="宋体" w:cs="宋体"/>
          <w:color w:val="auto"/>
          <w:kern w:val="0"/>
          <w:sz w:val="24"/>
          <w:highlight w:val="none"/>
          <w:lang w:val="zh-CN"/>
        </w:rPr>
        <w:t>：</w:t>
      </w:r>
    </w:p>
    <w:p w14:paraId="47747A67">
      <w:pP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lang w:eastAsia="zh-CN"/>
        </w:rPr>
        <w:t>2024-2027年市管公园综合养管项目</w:t>
      </w:r>
      <w:r>
        <w:rPr>
          <w:rFonts w:hint="eastAsia" w:ascii="宋体" w:hAnsi="宋体" w:cs="宋体"/>
          <w:color w:val="auto"/>
          <w:kern w:val="0"/>
          <w:sz w:val="24"/>
          <w:highlight w:val="none"/>
          <w:lang w:val="zh-CN"/>
        </w:rPr>
        <w:t>【招标编号：</w:t>
      </w:r>
      <w:r>
        <w:rPr>
          <w:rFonts w:hint="eastAsia" w:ascii="宋体" w:hAnsi="宋体" w:cs="宋体"/>
          <w:color w:val="auto"/>
          <w:sz w:val="24"/>
          <w:highlight w:val="none"/>
          <w:lang w:eastAsia="zh-CN"/>
        </w:rPr>
        <w:t>CBNB-20246487G</w:t>
      </w:r>
      <w:r>
        <w:rPr>
          <w:rFonts w:hint="eastAsia" w:ascii="宋体" w:hAnsi="宋体" w:cs="宋体"/>
          <w:color w:val="auto"/>
          <w:sz w:val="24"/>
          <w:highlight w:val="none"/>
        </w:rPr>
        <w:t>】的实施</w:t>
      </w:r>
      <w:r>
        <w:rPr>
          <w:rFonts w:hint="eastAsia" w:ascii="宋体" w:hAnsi="宋体" w:cs="宋体"/>
          <w:color w:val="auto"/>
          <w:kern w:val="0"/>
          <w:sz w:val="24"/>
          <w:highlight w:val="none"/>
          <w:lang w:val="zh-CN"/>
        </w:rPr>
        <w:t>。</w:t>
      </w:r>
    </w:p>
    <w:p w14:paraId="5C7FD228">
      <w:pPr>
        <w:snapToGrid w:val="0"/>
        <w:spacing w:line="360" w:lineRule="auto"/>
        <w:ind w:left="480"/>
        <w:jc w:val="center"/>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w:t>
      </w:r>
    </w:p>
    <w:tbl>
      <w:tblPr>
        <w:tblStyle w:val="62"/>
        <w:tblW w:w="877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47"/>
        <w:gridCol w:w="2050"/>
        <w:gridCol w:w="1332"/>
        <w:gridCol w:w="4050"/>
      </w:tblGrid>
      <w:tr w14:paraId="088FF9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6" w:hRule="atLeast"/>
          <w:jc w:val="center"/>
        </w:trPr>
        <w:tc>
          <w:tcPr>
            <w:tcW w:w="1347" w:type="dxa"/>
            <w:tcBorders>
              <w:top w:val="single" w:color="auto" w:sz="4" w:space="0"/>
              <w:left w:val="single" w:color="auto" w:sz="4" w:space="0"/>
              <w:bottom w:val="single" w:color="auto" w:sz="4" w:space="0"/>
              <w:right w:val="single" w:color="auto" w:sz="4" w:space="0"/>
            </w:tcBorders>
            <w:vAlign w:val="center"/>
          </w:tcPr>
          <w:p w14:paraId="325FBA88">
            <w:pPr>
              <w:adjustRightInd/>
              <w:snapToGrid w:val="0"/>
              <w:spacing w:before="50" w:after="50"/>
              <w:jc w:val="center"/>
              <w:rPr>
                <w:rFonts w:ascii="宋体" w:hAnsi="宋体"/>
                <w:color w:val="auto"/>
                <w:sz w:val="24"/>
                <w:highlight w:val="none"/>
              </w:rPr>
            </w:pPr>
            <w:r>
              <w:rPr>
                <w:rFonts w:hint="eastAsia" w:ascii="宋体" w:hAnsi="宋体" w:cs="宋体"/>
                <w:color w:val="auto"/>
                <w:sz w:val="24"/>
                <w:highlight w:val="none"/>
              </w:rPr>
              <w:t>序号</w:t>
            </w:r>
          </w:p>
        </w:tc>
        <w:tc>
          <w:tcPr>
            <w:tcW w:w="2050" w:type="dxa"/>
            <w:tcBorders>
              <w:top w:val="single" w:color="auto" w:sz="4" w:space="0"/>
              <w:left w:val="single" w:color="auto" w:sz="4" w:space="0"/>
              <w:bottom w:val="single" w:color="auto" w:sz="4" w:space="0"/>
              <w:right w:val="single" w:color="auto" w:sz="4" w:space="0"/>
            </w:tcBorders>
            <w:vAlign w:val="center"/>
          </w:tcPr>
          <w:p w14:paraId="2011D215">
            <w:pPr>
              <w:adjustRightInd/>
              <w:snapToGrid w:val="0"/>
              <w:spacing w:before="50" w:after="50"/>
              <w:jc w:val="center"/>
              <w:rPr>
                <w:rFonts w:ascii="宋体" w:hAnsi="宋体"/>
                <w:color w:val="auto"/>
                <w:sz w:val="24"/>
                <w:highlight w:val="none"/>
              </w:rPr>
            </w:pPr>
            <w:r>
              <w:rPr>
                <w:rFonts w:hint="eastAsia" w:ascii="宋体" w:hAnsi="宋体" w:cs="宋体"/>
                <w:color w:val="auto"/>
                <w:sz w:val="24"/>
                <w:highlight w:val="none"/>
              </w:rPr>
              <w:t>项目名称</w:t>
            </w:r>
          </w:p>
        </w:tc>
        <w:tc>
          <w:tcPr>
            <w:tcW w:w="1332" w:type="dxa"/>
            <w:tcBorders>
              <w:top w:val="single" w:color="auto" w:sz="4" w:space="0"/>
              <w:left w:val="single" w:color="auto" w:sz="4" w:space="0"/>
              <w:bottom w:val="single" w:color="auto" w:sz="4" w:space="0"/>
              <w:right w:val="single" w:color="auto" w:sz="4" w:space="0"/>
            </w:tcBorders>
            <w:vAlign w:val="center"/>
          </w:tcPr>
          <w:p w14:paraId="0564313C">
            <w:pPr>
              <w:adjustRightInd/>
              <w:snapToGrid w:val="0"/>
              <w:spacing w:before="50" w:after="50"/>
              <w:jc w:val="center"/>
              <w:rPr>
                <w:rFonts w:ascii="宋体" w:hAnsi="宋体"/>
                <w:color w:val="auto"/>
                <w:sz w:val="24"/>
                <w:highlight w:val="none"/>
              </w:rPr>
            </w:pPr>
            <w:r>
              <w:rPr>
                <w:rFonts w:hint="eastAsia" w:ascii="宋体" w:hAnsi="宋体"/>
                <w:color w:val="auto"/>
                <w:sz w:val="24"/>
                <w:highlight w:val="none"/>
              </w:rPr>
              <w:t>数量</w:t>
            </w:r>
          </w:p>
        </w:tc>
        <w:tc>
          <w:tcPr>
            <w:tcW w:w="4050" w:type="dxa"/>
            <w:tcBorders>
              <w:top w:val="single" w:color="auto" w:sz="4" w:space="0"/>
              <w:left w:val="single" w:color="auto" w:sz="4" w:space="0"/>
              <w:bottom w:val="single" w:color="auto" w:sz="4" w:space="0"/>
              <w:right w:val="single" w:color="auto" w:sz="4" w:space="0"/>
            </w:tcBorders>
            <w:vAlign w:val="center"/>
          </w:tcPr>
          <w:p w14:paraId="4B027796">
            <w:pPr>
              <w:adjustRightInd/>
              <w:snapToGrid w:val="0"/>
              <w:spacing w:before="50" w:after="50"/>
              <w:jc w:val="center"/>
              <w:rPr>
                <w:rFonts w:ascii="宋体" w:hAnsi="宋体" w:cs="宋体"/>
                <w:color w:val="auto"/>
                <w:sz w:val="24"/>
                <w:highlight w:val="none"/>
              </w:rPr>
            </w:pPr>
            <w:r>
              <w:rPr>
                <w:rFonts w:hint="eastAsia" w:ascii="宋体" w:hAnsi="宋体"/>
                <w:color w:val="auto"/>
                <w:sz w:val="24"/>
                <w:highlight w:val="none"/>
              </w:rPr>
              <w:t>合同履约期限</w:t>
            </w:r>
          </w:p>
        </w:tc>
      </w:tr>
      <w:tr w14:paraId="0F886F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53" w:hRule="atLeast"/>
          <w:jc w:val="center"/>
        </w:trPr>
        <w:tc>
          <w:tcPr>
            <w:tcW w:w="1347" w:type="dxa"/>
            <w:tcBorders>
              <w:top w:val="single" w:color="auto" w:sz="4" w:space="0"/>
              <w:left w:val="single" w:color="auto" w:sz="4" w:space="0"/>
              <w:right w:val="single" w:color="auto" w:sz="4" w:space="0"/>
            </w:tcBorders>
            <w:vAlign w:val="center"/>
          </w:tcPr>
          <w:p w14:paraId="475F2D7B">
            <w:pPr>
              <w:adjustRightInd/>
              <w:snapToGrid w:val="0"/>
              <w:spacing w:before="50" w:after="50"/>
              <w:jc w:val="center"/>
              <w:rPr>
                <w:rFonts w:ascii="宋体" w:hAnsi="宋体"/>
                <w:color w:val="auto"/>
                <w:sz w:val="24"/>
                <w:highlight w:val="none"/>
              </w:rPr>
            </w:pPr>
            <w:r>
              <w:rPr>
                <w:rFonts w:hint="eastAsia" w:ascii="宋体" w:hAnsi="宋体" w:cs="宋体"/>
                <w:color w:val="auto"/>
                <w:sz w:val="24"/>
                <w:highlight w:val="none"/>
              </w:rPr>
              <w:t>1</w:t>
            </w:r>
          </w:p>
        </w:tc>
        <w:tc>
          <w:tcPr>
            <w:tcW w:w="2050" w:type="dxa"/>
            <w:tcBorders>
              <w:top w:val="single" w:color="auto" w:sz="4" w:space="0"/>
              <w:left w:val="single" w:color="auto" w:sz="4" w:space="0"/>
              <w:bottom w:val="single" w:color="auto" w:sz="4" w:space="0"/>
              <w:right w:val="single" w:color="auto" w:sz="4" w:space="0"/>
            </w:tcBorders>
            <w:vAlign w:val="center"/>
          </w:tcPr>
          <w:p w14:paraId="79694341">
            <w:pPr>
              <w:adjustRightInd/>
              <w:snapToGrid w:val="0"/>
              <w:spacing w:before="50" w:after="50"/>
              <w:jc w:val="center"/>
              <w:rPr>
                <w:rFonts w:hint="eastAsia" w:eastAsia="宋体"/>
                <w:color w:val="auto"/>
                <w:sz w:val="24"/>
                <w:highlight w:val="none"/>
                <w:lang w:eastAsia="zh-CN"/>
              </w:rPr>
            </w:pPr>
            <w:r>
              <w:rPr>
                <w:rFonts w:hint="eastAsia" w:cs="宋体"/>
                <w:color w:val="auto"/>
                <w:sz w:val="24"/>
                <w:highlight w:val="none"/>
                <w:lang w:eastAsia="zh-CN"/>
              </w:rPr>
              <w:t>2024-2027年市管公园综合养管项目</w:t>
            </w:r>
          </w:p>
        </w:tc>
        <w:tc>
          <w:tcPr>
            <w:tcW w:w="1332" w:type="dxa"/>
            <w:tcBorders>
              <w:top w:val="single" w:color="auto" w:sz="4" w:space="0"/>
              <w:left w:val="single" w:color="auto" w:sz="4" w:space="0"/>
              <w:bottom w:val="single" w:color="auto" w:sz="4" w:space="0"/>
              <w:right w:val="single" w:color="auto" w:sz="4" w:space="0"/>
            </w:tcBorders>
            <w:vAlign w:val="center"/>
          </w:tcPr>
          <w:p w14:paraId="6C5F22C4">
            <w:pPr>
              <w:adjustRightInd/>
              <w:snapToGrid w:val="0"/>
              <w:spacing w:before="50" w:after="50"/>
              <w:jc w:val="center"/>
              <w:rPr>
                <w:rFonts w:ascii="宋体" w:hAnsi="宋体"/>
                <w:color w:val="auto"/>
                <w:sz w:val="24"/>
                <w:highlight w:val="none"/>
              </w:rPr>
            </w:pPr>
          </w:p>
        </w:tc>
        <w:tc>
          <w:tcPr>
            <w:tcW w:w="4050" w:type="dxa"/>
            <w:tcBorders>
              <w:top w:val="single" w:color="auto" w:sz="4" w:space="0"/>
              <w:left w:val="single" w:color="auto" w:sz="4" w:space="0"/>
              <w:bottom w:val="single" w:color="auto" w:sz="4" w:space="0"/>
              <w:right w:val="single" w:color="auto" w:sz="4" w:space="0"/>
            </w:tcBorders>
            <w:vAlign w:val="center"/>
          </w:tcPr>
          <w:p w14:paraId="49735BDC">
            <w:pPr>
              <w:adjustRightInd/>
              <w:snapToGrid w:val="0"/>
              <w:spacing w:before="50" w:after="50"/>
              <w:jc w:val="center"/>
              <w:rPr>
                <w:rFonts w:ascii="宋体" w:hAnsi="宋体"/>
                <w:color w:val="auto"/>
                <w:sz w:val="24"/>
                <w:highlight w:val="none"/>
              </w:rPr>
            </w:pPr>
          </w:p>
        </w:tc>
      </w:tr>
      <w:tr w14:paraId="63A1DF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53" w:hRule="atLeast"/>
          <w:jc w:val="center"/>
        </w:trPr>
        <w:tc>
          <w:tcPr>
            <w:tcW w:w="3397" w:type="dxa"/>
            <w:gridSpan w:val="2"/>
            <w:tcBorders>
              <w:top w:val="single" w:color="auto" w:sz="4" w:space="0"/>
              <w:left w:val="single" w:color="auto" w:sz="4" w:space="0"/>
              <w:right w:val="single" w:color="auto" w:sz="4" w:space="0"/>
            </w:tcBorders>
            <w:vAlign w:val="center"/>
          </w:tcPr>
          <w:p w14:paraId="0FBDD12E">
            <w:pPr>
              <w:adjustRightInd/>
              <w:snapToGrid w:val="0"/>
              <w:spacing w:before="50" w:after="50"/>
              <w:jc w:val="center"/>
              <w:rPr>
                <w:rFonts w:hint="eastAsia" w:ascii="宋体" w:hAnsi="宋体" w:cs="宋体"/>
                <w:color w:val="auto"/>
                <w:sz w:val="24"/>
                <w:highlight w:val="none"/>
              </w:rPr>
            </w:pPr>
            <w:r>
              <w:rPr>
                <w:rFonts w:hint="eastAsia" w:ascii="宋体" w:hAnsi="宋体" w:cs="宋体"/>
                <w:color w:val="auto"/>
                <w:sz w:val="24"/>
                <w:highlight w:val="none"/>
              </w:rPr>
              <w:t>投标下浮率</w:t>
            </w:r>
          </w:p>
        </w:tc>
        <w:tc>
          <w:tcPr>
            <w:tcW w:w="5382" w:type="dxa"/>
            <w:gridSpan w:val="2"/>
            <w:tcBorders>
              <w:top w:val="single" w:color="auto" w:sz="4" w:space="0"/>
              <w:left w:val="single" w:color="auto" w:sz="4" w:space="0"/>
              <w:bottom w:val="single" w:color="auto" w:sz="4" w:space="0"/>
              <w:right w:val="single" w:color="auto" w:sz="4" w:space="0"/>
            </w:tcBorders>
            <w:vAlign w:val="center"/>
          </w:tcPr>
          <w:p w14:paraId="4D472362">
            <w:pPr>
              <w:adjustRightInd/>
              <w:snapToGrid w:val="0"/>
              <w:spacing w:before="50" w:after="50"/>
              <w:jc w:val="left"/>
              <w:rPr>
                <w:rFonts w:hint="eastAsia" w:ascii="宋体" w:hAnsi="宋体"/>
                <w:color w:val="auto"/>
                <w:sz w:val="24"/>
                <w:highlight w:val="none"/>
              </w:rPr>
            </w:pPr>
            <w:r>
              <w:rPr>
                <w:rFonts w:hint="eastAsia" w:ascii="宋体" w:hAnsi="宋体"/>
                <w:color w:val="auto"/>
                <w:sz w:val="24"/>
                <w:highlight w:val="none"/>
              </w:rPr>
              <w:t>下浮   %</w:t>
            </w:r>
          </w:p>
        </w:tc>
      </w:tr>
      <w:tr w14:paraId="3FC454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2" w:hRule="atLeast"/>
          <w:jc w:val="center"/>
        </w:trPr>
        <w:tc>
          <w:tcPr>
            <w:tcW w:w="1347" w:type="dxa"/>
            <w:tcBorders>
              <w:top w:val="single" w:color="auto" w:sz="4" w:space="0"/>
              <w:left w:val="single" w:color="auto" w:sz="4" w:space="0"/>
              <w:bottom w:val="single" w:color="auto" w:sz="4" w:space="0"/>
              <w:right w:val="single" w:color="auto" w:sz="4" w:space="0"/>
            </w:tcBorders>
            <w:vAlign w:val="center"/>
          </w:tcPr>
          <w:p w14:paraId="0A939B38">
            <w:pPr>
              <w:adjustRightInd/>
              <w:snapToGrid w:val="0"/>
              <w:spacing w:before="50" w:after="50"/>
              <w:jc w:val="center"/>
              <w:rPr>
                <w:color w:val="auto"/>
                <w:sz w:val="24"/>
                <w:highlight w:val="none"/>
              </w:rPr>
            </w:pPr>
            <w:r>
              <w:rPr>
                <w:rFonts w:hint="eastAsia"/>
                <w:color w:val="auto"/>
                <w:sz w:val="24"/>
                <w:highlight w:val="none"/>
              </w:rPr>
              <w:t>投标声明</w:t>
            </w:r>
          </w:p>
        </w:tc>
        <w:tc>
          <w:tcPr>
            <w:tcW w:w="7432" w:type="dxa"/>
            <w:gridSpan w:val="3"/>
            <w:tcBorders>
              <w:top w:val="single" w:color="auto" w:sz="4" w:space="0"/>
              <w:left w:val="single" w:color="auto" w:sz="4" w:space="0"/>
              <w:bottom w:val="single" w:color="auto" w:sz="4" w:space="0"/>
              <w:right w:val="single" w:color="auto" w:sz="4" w:space="0"/>
            </w:tcBorders>
            <w:vAlign w:val="center"/>
          </w:tcPr>
          <w:p w14:paraId="08BD0B98">
            <w:pPr>
              <w:adjustRightInd/>
              <w:snapToGrid w:val="0"/>
              <w:spacing w:before="50" w:after="50"/>
              <w:rPr>
                <w:color w:val="auto"/>
                <w:sz w:val="24"/>
                <w:highlight w:val="none"/>
              </w:rPr>
            </w:pPr>
          </w:p>
        </w:tc>
      </w:tr>
    </w:tbl>
    <w:p w14:paraId="6A881E42">
      <w:pPr>
        <w:snapToGrid w:val="0"/>
        <w:spacing w:line="360" w:lineRule="auto"/>
        <w:ind w:left="480"/>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14:paraId="6835A048">
      <w:pPr>
        <w:spacing w:line="360" w:lineRule="auto"/>
        <w:ind w:left="-2" w:leftChars="-1"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color w:val="auto"/>
          <w:kern w:val="0"/>
          <w:sz w:val="24"/>
          <w:highlight w:val="none"/>
          <w:lang w:val="zh-CN"/>
        </w:rPr>
        <w:t>。</w:t>
      </w:r>
    </w:p>
    <w:p w14:paraId="1D545749">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b/>
          <w:color w:val="auto"/>
          <w:kern w:val="0"/>
          <w:sz w:val="24"/>
          <w:highlight w:val="none"/>
          <w:lang w:val="zh-CN"/>
        </w:rPr>
        <w:t>采购人将以合同形式有偿取得货物或服务，不接受投标人给予的赠品、回扣或者与采购无关的其他商品、服务</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不得出现“0元”“免费赠送”等形式的无偿报价，</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b/>
          <w:color w:val="auto"/>
          <w:kern w:val="0"/>
          <w:sz w:val="24"/>
          <w:highlight w:val="none"/>
          <w:lang w:val="zh-CN"/>
        </w:rPr>
        <w:t>；采购内容未包含在《开标一览表（报价表）》名称栏中，投标人不能作出合理解释的，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14:paraId="7D8C2A58">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449C5961">
      <w:pPr>
        <w:snapToGrid w:val="0"/>
        <w:spacing w:line="360" w:lineRule="auto"/>
        <w:ind w:firstLine="480" w:firstLineChars="200"/>
        <w:jc w:val="left"/>
        <w:rPr>
          <w:rFonts w:ascii="宋体" w:hAnsi="宋体" w:cs="宋体"/>
          <w:color w:val="auto"/>
          <w:sz w:val="32"/>
          <w:szCs w:val="32"/>
          <w:highlight w:val="none"/>
        </w:rPr>
      </w:pPr>
      <w:r>
        <w:rPr>
          <w:rFonts w:ascii="宋体" w:hAnsi="宋体" w:cs="宋体"/>
          <w:color w:val="auto"/>
          <w:kern w:val="0"/>
          <w:sz w:val="24"/>
          <w:szCs w:val="22"/>
          <w:highlight w:val="none"/>
          <w:lang w:val="zh-CN"/>
        </w:rPr>
        <w:t>4</w:t>
      </w:r>
      <w:r>
        <w:rPr>
          <w:rFonts w:hint="eastAsia" w:ascii="宋体" w:hAnsi="宋体" w:cs="宋体"/>
          <w:color w:val="auto"/>
          <w:kern w:val="0"/>
          <w:sz w:val="24"/>
          <w:szCs w:val="22"/>
          <w:highlight w:val="none"/>
          <w:lang w:val="zh-CN"/>
        </w:rPr>
        <w:t>、</w:t>
      </w:r>
      <w:r>
        <w:rPr>
          <w:rFonts w:hint="eastAsia" w:ascii="宋体" w:hAnsi="宋体" w:cs="宋体"/>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CD44C0C">
      <w:pPr>
        <w:pStyle w:val="691"/>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pgSz w:w="11906" w:h="16838"/>
          <w:pgMar w:top="1247" w:right="1418" w:bottom="1276"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5F895801">
      <w:pPr>
        <w:pStyle w:val="691"/>
        <w:keepNext w:val="0"/>
        <w:tabs>
          <w:tab w:val="clear" w:pos="720"/>
        </w:tabs>
        <w:snapToGrid w:val="0"/>
        <w:spacing w:before="120" w:after="120"/>
        <w:ind w:firstLine="643"/>
        <w:outlineLvl w:val="9"/>
        <w:rPr>
          <w:rFonts w:ascii="宋体" w:hAnsi="宋体" w:eastAsia="宋体" w:cs="宋体"/>
          <w:color w:val="auto"/>
          <w:sz w:val="32"/>
          <w:szCs w:val="32"/>
          <w:highlight w:val="none"/>
        </w:rPr>
      </w:pPr>
      <w:bookmarkStart w:id="547" w:name="_Toc19767"/>
      <w:r>
        <w:rPr>
          <w:rFonts w:hint="eastAsia" w:ascii="宋体" w:hAnsi="宋体" w:eastAsia="宋体" w:cs="宋体"/>
          <w:color w:val="auto"/>
          <w:kern w:val="2"/>
          <w:sz w:val="32"/>
          <w:szCs w:val="32"/>
          <w:highlight w:val="none"/>
        </w:rPr>
        <w:t>二、</w:t>
      </w:r>
      <w:r>
        <w:rPr>
          <w:rFonts w:hint="eastAsia" w:ascii="宋体" w:hAnsi="宋体" w:eastAsia="宋体" w:cs="宋体"/>
          <w:color w:val="auto"/>
          <w:sz w:val="32"/>
          <w:szCs w:val="32"/>
          <w:highlight w:val="none"/>
        </w:rPr>
        <w:t>中小企业声明函（如果有）</w:t>
      </w:r>
      <w:bookmarkEnd w:id="547"/>
    </w:p>
    <w:p w14:paraId="15A89028">
      <w:pPr>
        <w:widowControl/>
        <w:spacing w:line="360" w:lineRule="auto"/>
        <w:ind w:firstLine="120" w:firstLineChars="50"/>
        <w:jc w:val="left"/>
        <w:rPr>
          <w:rFonts w:ascii="宋体" w:hAnsi="宋体" w:cs="宋体"/>
          <w:b/>
          <w:color w:val="auto"/>
          <w:sz w:val="24"/>
          <w:highlight w:val="none"/>
        </w:rPr>
      </w:pPr>
      <w:r>
        <w:rPr>
          <w:rFonts w:hint="eastAsia" w:ascii="宋体" w:hAnsi="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auto"/>
          <w:sz w:val="24"/>
          <w:highlight w:val="none"/>
        </w:rPr>
        <w:t>7</w:t>
      </w:r>
      <w:r>
        <w:rPr>
          <w:rFonts w:hint="eastAsia" w:ascii="宋体" w:hAnsi="宋体" w:cs="宋体"/>
          <w:b/>
          <w:color w:val="auto"/>
          <w:sz w:val="24"/>
          <w:highlight w:val="none"/>
        </w:rPr>
        <w:t>）。]</w:t>
      </w:r>
    </w:p>
    <w:p w14:paraId="7D1750F8">
      <w:pPr>
        <w:spacing w:line="360" w:lineRule="auto"/>
        <w:ind w:right="420" w:firstLine="3614" w:firstLineChars="1000"/>
        <w:rPr>
          <w:rFonts w:ascii="宋体" w:hAnsi="宋体" w:cs="宋体"/>
          <w:b/>
          <w:color w:val="auto"/>
          <w:kern w:val="0"/>
          <w:sz w:val="36"/>
          <w:szCs w:val="36"/>
          <w:highlight w:val="none"/>
        </w:rPr>
        <w:sectPr>
          <w:headerReference r:id="rId27" w:type="first"/>
          <w:footerReference r:id="rId30" w:type="first"/>
          <w:headerReference r:id="rId26" w:type="default"/>
          <w:footerReference r:id="rId28" w:type="default"/>
          <w:footerReference r:id="rId29" w:type="even"/>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76760FD1">
      <w:pPr>
        <w:spacing w:line="360" w:lineRule="auto"/>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14:paraId="24EEAE45">
      <w:pPr>
        <w:spacing w:line="360" w:lineRule="auto"/>
        <w:jc w:val="center"/>
        <w:rPr>
          <w:rFonts w:ascii="宋体" w:hAnsi="宋体" w:cs="宋体"/>
          <w:b/>
          <w:color w:val="auto"/>
          <w:spacing w:val="6"/>
          <w:sz w:val="32"/>
          <w:szCs w:val="32"/>
          <w:highlight w:val="none"/>
        </w:rPr>
      </w:pPr>
      <w:bookmarkStart w:id="548" w:name="OLE_LINK13"/>
      <w:bookmarkStart w:id="549" w:name="OLE_LINK14"/>
      <w:r>
        <w:rPr>
          <w:rFonts w:hint="eastAsia" w:ascii="宋体" w:hAnsi="宋体" w:cs="宋体"/>
          <w:b/>
          <w:color w:val="auto"/>
          <w:spacing w:val="6"/>
          <w:sz w:val="32"/>
          <w:szCs w:val="32"/>
          <w:highlight w:val="none"/>
        </w:rPr>
        <w:t>残疾人福利性单位声明函</w:t>
      </w:r>
    </w:p>
    <w:bookmarkEnd w:id="548"/>
    <w:bookmarkEnd w:id="549"/>
    <w:p w14:paraId="39E08C17">
      <w:pPr>
        <w:spacing w:line="360" w:lineRule="auto"/>
        <w:rPr>
          <w:rFonts w:ascii="宋体" w:hAnsi="宋体" w:cs="宋体"/>
          <w:b/>
          <w:color w:val="auto"/>
          <w:spacing w:val="6"/>
          <w:sz w:val="30"/>
          <w:szCs w:val="30"/>
          <w:highlight w:val="none"/>
        </w:rPr>
      </w:pPr>
    </w:p>
    <w:p w14:paraId="5916602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auto"/>
          <w:sz w:val="24"/>
          <w:highlight w:val="none"/>
          <w:u w:val="single"/>
        </w:rPr>
        <w:t>采购人）</w:t>
      </w:r>
      <w:r>
        <w:rPr>
          <w:rFonts w:hint="eastAsia" w:ascii="宋体" w:hAnsi="宋体" w:cs="宋体"/>
          <w:color w:val="auto"/>
          <w:sz w:val="24"/>
          <w:highlight w:val="none"/>
        </w:rPr>
        <w:t>_单位的_</w:t>
      </w:r>
      <w:r>
        <w:rPr>
          <w:rFonts w:hint="eastAsia" w:ascii="宋体" w:hAnsi="宋体" w:cs="宋体"/>
          <w:color w:val="auto"/>
          <w:sz w:val="24"/>
          <w:highlight w:val="none"/>
          <w:u w:val="single"/>
          <w:lang w:eastAsia="zh-CN"/>
        </w:rPr>
        <w:t>2024-2027年市管公园综合养管项目</w:t>
      </w:r>
      <w:r>
        <w:rPr>
          <w:rFonts w:hint="eastAsia" w:ascii="宋体" w:hAnsi="宋体" w:cs="宋体"/>
          <w:color w:val="auto"/>
          <w:sz w:val="24"/>
          <w:highlight w:val="none"/>
        </w:rPr>
        <w:t>采购活动提供本单位制造的货物（由本单位承担工程/提供服务），或者提供其他残疾人福利性单位制造的货物（不包括使用非残疾人福利性单位注册商标的货物）。</w:t>
      </w:r>
    </w:p>
    <w:p w14:paraId="15027E8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6184D1E2">
      <w:pPr>
        <w:spacing w:line="360" w:lineRule="auto"/>
        <w:ind w:firstLine="480" w:firstLineChars="200"/>
        <w:rPr>
          <w:rFonts w:ascii="宋体" w:hAnsi="宋体" w:cs="宋体"/>
          <w:color w:val="auto"/>
          <w:sz w:val="24"/>
          <w:highlight w:val="none"/>
        </w:rPr>
      </w:pPr>
    </w:p>
    <w:p w14:paraId="0815B9B4">
      <w:pPr>
        <w:spacing w:line="360" w:lineRule="auto"/>
        <w:ind w:firstLine="480" w:firstLineChars="200"/>
        <w:rPr>
          <w:rFonts w:ascii="宋体" w:hAnsi="宋体" w:cs="宋体"/>
          <w:color w:val="auto"/>
          <w:sz w:val="24"/>
          <w:highlight w:val="none"/>
        </w:rPr>
      </w:pPr>
    </w:p>
    <w:p w14:paraId="6CDD800C">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投标人名称（电子签名）</w:t>
      </w:r>
      <w:r>
        <w:rPr>
          <w:rFonts w:hint="eastAsia" w:ascii="宋体" w:hAnsi="宋体" w:cs="宋体"/>
          <w:color w:val="auto"/>
          <w:sz w:val="24"/>
          <w:highlight w:val="none"/>
        </w:rPr>
        <w:t>：</w:t>
      </w:r>
    </w:p>
    <w:p w14:paraId="10471ABB">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日  期：</w:t>
      </w:r>
    </w:p>
    <w:p w14:paraId="00508E1B">
      <w:pPr>
        <w:spacing w:line="360" w:lineRule="auto"/>
        <w:ind w:firstLine="480" w:firstLineChars="200"/>
        <w:rPr>
          <w:rFonts w:ascii="宋体" w:hAnsi="宋体" w:cs="宋体"/>
          <w:color w:val="auto"/>
          <w:sz w:val="24"/>
          <w:highlight w:val="none"/>
        </w:rPr>
      </w:pPr>
    </w:p>
    <w:p w14:paraId="6EC5C728">
      <w:pPr>
        <w:rPr>
          <w:rFonts w:ascii="宋体" w:hAnsi="宋体" w:cs="宋体"/>
          <w:color w:val="auto"/>
          <w:highlight w:val="none"/>
        </w:rPr>
      </w:pPr>
      <w:r>
        <w:rPr>
          <w:rFonts w:ascii="宋体" w:hAnsi="宋体" w:cs="宋体"/>
          <w:color w:val="auto"/>
          <w:highlight w:val="none"/>
        </w:rPr>
        <w:br w:type="page"/>
      </w:r>
    </w:p>
    <w:p w14:paraId="755EEE5D">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14:paraId="33CC5762">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14:paraId="2AD29F8C">
      <w:pPr>
        <w:snapToGrid w:val="0"/>
        <w:spacing w:before="240"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14:paraId="40872838">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14:paraId="578749AE">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32551ED3">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77D34697">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14:paraId="27D7F7F9">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6C415C28">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2AE6D1C7">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14:paraId="50B154A7">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14:paraId="32F9C902">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2D1EC221">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14:paraId="31459F77">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14:paraId="7D21A56A">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14:paraId="2F453E05">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14:paraId="237EB21E">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3666A133">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14:paraId="6F39EFCE">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7DC51282">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7A9EDD76">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14:paraId="78301F4F">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14:paraId="70B032D5">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14:paraId="49E20458">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14:paraId="6D3235A0">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7830F5F1">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2F36C7CB">
      <w:pPr>
        <w:spacing w:line="360" w:lineRule="auto"/>
        <w:jc w:val="center"/>
        <w:rPr>
          <w:rFonts w:ascii="宋体" w:hAnsi="宋体" w:cs="宋体"/>
          <w:b/>
          <w:bCs/>
          <w:color w:val="auto"/>
          <w:sz w:val="24"/>
          <w:highlight w:val="none"/>
        </w:rPr>
      </w:pPr>
    </w:p>
    <w:p w14:paraId="005D1B90">
      <w:pPr>
        <w:spacing w:line="360" w:lineRule="auto"/>
        <w:rPr>
          <w:rFonts w:ascii="宋体" w:hAnsi="宋体" w:cs="宋体"/>
          <w:b/>
          <w:color w:val="auto"/>
          <w:sz w:val="24"/>
          <w:highlight w:val="none"/>
        </w:rPr>
      </w:pPr>
    </w:p>
    <w:p w14:paraId="5856597C">
      <w:pPr>
        <w:spacing w:line="360" w:lineRule="auto"/>
        <w:rPr>
          <w:rFonts w:ascii="宋体" w:hAnsi="宋体" w:cs="宋体"/>
          <w:b/>
          <w:color w:val="auto"/>
          <w:sz w:val="24"/>
          <w:highlight w:val="none"/>
        </w:rPr>
      </w:pPr>
    </w:p>
    <w:p w14:paraId="71ACFA53">
      <w:pPr>
        <w:spacing w:line="360" w:lineRule="auto"/>
        <w:rPr>
          <w:rFonts w:ascii="宋体" w:hAnsi="宋体" w:cs="宋体"/>
          <w:b/>
          <w:color w:val="auto"/>
          <w:sz w:val="24"/>
          <w:highlight w:val="none"/>
        </w:rPr>
      </w:pPr>
    </w:p>
    <w:p w14:paraId="425FF792">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14:paraId="14183424">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14:paraId="603D5FD7">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14:paraId="030BA3BD">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14:paraId="5B69BE3C">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14:paraId="71115C01">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14:paraId="77C2731B">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311E838B">
      <w:pPr>
        <w:widowControl/>
        <w:spacing w:line="360" w:lineRule="auto"/>
        <w:ind w:firstLine="600" w:firstLineChars="200"/>
        <w:jc w:val="left"/>
        <w:rPr>
          <w:rFonts w:ascii="宋体" w:hAnsi="宋体" w:cs="宋体"/>
          <w:color w:val="auto"/>
          <w:sz w:val="30"/>
          <w:szCs w:val="30"/>
          <w:highlight w:val="none"/>
        </w:rPr>
      </w:pPr>
    </w:p>
    <w:p w14:paraId="55A974BE">
      <w:pPr>
        <w:spacing w:line="360" w:lineRule="auto"/>
        <w:jc w:val="center"/>
        <w:rPr>
          <w:rFonts w:ascii="宋体" w:hAnsi="宋体" w:cs="宋体"/>
          <w:b/>
          <w:color w:val="auto"/>
          <w:spacing w:val="6"/>
          <w:sz w:val="32"/>
          <w:szCs w:val="32"/>
          <w:highlight w:val="none"/>
        </w:rPr>
      </w:pPr>
    </w:p>
    <w:p w14:paraId="523F0B16">
      <w:pPr>
        <w:spacing w:line="360" w:lineRule="auto"/>
        <w:jc w:val="center"/>
        <w:rPr>
          <w:rFonts w:ascii="宋体" w:hAnsi="宋体" w:cs="宋体"/>
          <w:b/>
          <w:color w:val="auto"/>
          <w:spacing w:val="6"/>
          <w:sz w:val="32"/>
          <w:szCs w:val="32"/>
          <w:highlight w:val="none"/>
        </w:rPr>
      </w:pPr>
    </w:p>
    <w:p w14:paraId="754897F0">
      <w:pPr>
        <w:spacing w:line="360" w:lineRule="auto"/>
        <w:jc w:val="center"/>
        <w:rPr>
          <w:rFonts w:ascii="宋体" w:hAnsi="宋体" w:cs="宋体"/>
          <w:b/>
          <w:color w:val="auto"/>
          <w:spacing w:val="6"/>
          <w:sz w:val="32"/>
          <w:szCs w:val="32"/>
          <w:highlight w:val="none"/>
        </w:rPr>
      </w:pPr>
    </w:p>
    <w:p w14:paraId="0A073B95">
      <w:pPr>
        <w:spacing w:line="360" w:lineRule="auto"/>
        <w:jc w:val="center"/>
        <w:rPr>
          <w:rFonts w:ascii="宋体" w:hAnsi="宋体" w:cs="宋体"/>
          <w:b/>
          <w:color w:val="auto"/>
          <w:spacing w:val="6"/>
          <w:sz w:val="32"/>
          <w:szCs w:val="32"/>
          <w:highlight w:val="none"/>
        </w:rPr>
      </w:pPr>
    </w:p>
    <w:p w14:paraId="3ADAB38C">
      <w:pPr>
        <w:spacing w:line="360" w:lineRule="auto"/>
        <w:jc w:val="center"/>
        <w:rPr>
          <w:rFonts w:ascii="宋体" w:hAnsi="宋体" w:cs="宋体"/>
          <w:b/>
          <w:color w:val="auto"/>
          <w:spacing w:val="6"/>
          <w:sz w:val="32"/>
          <w:szCs w:val="32"/>
          <w:highlight w:val="none"/>
        </w:rPr>
      </w:pPr>
    </w:p>
    <w:p w14:paraId="051FD7FF">
      <w:pPr>
        <w:spacing w:line="360" w:lineRule="auto"/>
        <w:jc w:val="center"/>
        <w:rPr>
          <w:rFonts w:ascii="宋体" w:hAnsi="宋体" w:cs="宋体"/>
          <w:b/>
          <w:color w:val="auto"/>
          <w:spacing w:val="6"/>
          <w:sz w:val="32"/>
          <w:szCs w:val="32"/>
          <w:highlight w:val="none"/>
        </w:rPr>
      </w:pPr>
    </w:p>
    <w:p w14:paraId="16B85741">
      <w:pPr>
        <w:spacing w:line="360" w:lineRule="auto"/>
        <w:jc w:val="center"/>
        <w:rPr>
          <w:rFonts w:ascii="宋体" w:hAnsi="宋体" w:cs="宋体"/>
          <w:b/>
          <w:color w:val="auto"/>
          <w:spacing w:val="6"/>
          <w:sz w:val="32"/>
          <w:szCs w:val="32"/>
          <w:highlight w:val="none"/>
        </w:rPr>
      </w:pPr>
    </w:p>
    <w:p w14:paraId="4587DB68">
      <w:pPr>
        <w:spacing w:line="360" w:lineRule="auto"/>
        <w:jc w:val="center"/>
        <w:rPr>
          <w:rFonts w:ascii="宋体" w:hAnsi="宋体" w:cs="宋体"/>
          <w:b/>
          <w:color w:val="auto"/>
          <w:spacing w:val="6"/>
          <w:sz w:val="32"/>
          <w:szCs w:val="32"/>
          <w:highlight w:val="none"/>
        </w:rPr>
      </w:pPr>
    </w:p>
    <w:p w14:paraId="16A8332E">
      <w:pPr>
        <w:spacing w:line="360" w:lineRule="auto"/>
        <w:jc w:val="center"/>
        <w:rPr>
          <w:rFonts w:ascii="宋体" w:hAnsi="宋体" w:cs="宋体"/>
          <w:b/>
          <w:color w:val="auto"/>
          <w:spacing w:val="6"/>
          <w:sz w:val="32"/>
          <w:szCs w:val="32"/>
          <w:highlight w:val="none"/>
        </w:rPr>
      </w:pPr>
    </w:p>
    <w:p w14:paraId="50D581DE">
      <w:pPr>
        <w:spacing w:line="360" w:lineRule="auto"/>
        <w:jc w:val="center"/>
        <w:rPr>
          <w:rFonts w:ascii="宋体" w:hAnsi="宋体" w:cs="宋体"/>
          <w:b/>
          <w:color w:val="auto"/>
          <w:spacing w:val="6"/>
          <w:sz w:val="32"/>
          <w:szCs w:val="32"/>
          <w:highlight w:val="none"/>
        </w:rPr>
      </w:pPr>
    </w:p>
    <w:p w14:paraId="14AFBB82">
      <w:pPr>
        <w:spacing w:line="360" w:lineRule="auto"/>
        <w:jc w:val="center"/>
        <w:rPr>
          <w:rFonts w:ascii="宋体" w:hAnsi="宋体" w:cs="宋体"/>
          <w:b/>
          <w:color w:val="auto"/>
          <w:spacing w:val="6"/>
          <w:sz w:val="32"/>
          <w:szCs w:val="32"/>
          <w:highlight w:val="none"/>
        </w:rPr>
      </w:pPr>
    </w:p>
    <w:p w14:paraId="28B41B17">
      <w:pPr>
        <w:spacing w:line="360" w:lineRule="auto"/>
        <w:jc w:val="center"/>
        <w:rPr>
          <w:rFonts w:ascii="宋体" w:hAnsi="宋体" w:cs="宋体"/>
          <w:b/>
          <w:color w:val="auto"/>
          <w:spacing w:val="6"/>
          <w:sz w:val="32"/>
          <w:szCs w:val="32"/>
          <w:highlight w:val="none"/>
        </w:rPr>
      </w:pPr>
    </w:p>
    <w:p w14:paraId="29BCA839">
      <w:pPr>
        <w:spacing w:line="360" w:lineRule="auto"/>
        <w:jc w:val="left"/>
        <w:rPr>
          <w:rFonts w:ascii="宋体" w:hAnsi="宋体" w:cs="宋体"/>
          <w:b/>
          <w:color w:val="auto"/>
          <w:spacing w:val="6"/>
          <w:sz w:val="32"/>
          <w:szCs w:val="32"/>
          <w:highlight w:val="none"/>
        </w:rPr>
      </w:pPr>
    </w:p>
    <w:p w14:paraId="580EE30F">
      <w:pPr>
        <w:spacing w:line="360" w:lineRule="auto"/>
        <w:jc w:val="left"/>
        <w:rPr>
          <w:rFonts w:ascii="宋体" w:hAnsi="宋体" w:cs="宋体"/>
          <w:b/>
          <w:color w:val="auto"/>
          <w:spacing w:val="6"/>
          <w:sz w:val="32"/>
          <w:szCs w:val="32"/>
          <w:highlight w:val="none"/>
        </w:rPr>
      </w:pPr>
    </w:p>
    <w:p w14:paraId="0229C205">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附件3：投诉书范本及制作说明</w:t>
      </w:r>
    </w:p>
    <w:p w14:paraId="47FA8A37">
      <w:pPr>
        <w:spacing w:line="360" w:lineRule="auto"/>
        <w:jc w:val="center"/>
        <w:rPr>
          <w:rFonts w:ascii="宋体" w:hAnsi="宋体" w:cs="宋体"/>
          <w:b/>
          <w:color w:val="auto"/>
          <w:sz w:val="24"/>
          <w:highlight w:val="none"/>
        </w:rPr>
      </w:pPr>
    </w:p>
    <w:p w14:paraId="38353632">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14:paraId="48F1D81F">
      <w:pP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14:paraId="2A7DA2FE">
      <w:pP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14:paraId="13902718">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091C2822">
      <w:pP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6CD667DF">
      <w:pP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2559678A">
      <w:pP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1AD6F53D">
      <w:pPr>
        <w:spacing w:line="360" w:lineRule="auto"/>
        <w:rPr>
          <w:rFonts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14:paraId="47F19782">
      <w:pP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00B6DCD9">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6800281B">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61A64940">
      <w:pP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14:paraId="1A200623">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49CA6C01">
      <w:pP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2A79A577">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0D7F82ED">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7C439E57">
      <w:pP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14:paraId="545BC90A">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14:paraId="76D1175D">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06EFB119">
      <w:pPr>
        <w:spacing w:line="360" w:lineRule="auto"/>
        <w:rPr>
          <w:rFonts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49B5CED8">
      <w:pP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14:paraId="41E6EE89">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76DF9B0A">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70CB7F8D">
      <w:pP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14:paraId="1E99EA55">
      <w:pP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14:paraId="7416221C">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32492A25">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日，就质疑事项作出了答复/没有在法定期限内作出答复。</w:t>
      </w:r>
    </w:p>
    <w:p w14:paraId="1B1C0F82">
      <w:pP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14:paraId="63F83537">
      <w:pP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14:paraId="25887446">
      <w:pPr>
        <w:spacing w:line="360" w:lineRule="auto"/>
        <w:rPr>
          <w:rFonts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7ECB10D7">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2857F920">
      <w:pP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58EF936E">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1D929376">
      <w:pP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14:paraId="511F2498">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1D18CF93">
      <w:pP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14:paraId="4E2C2AB0">
      <w:pPr>
        <w:spacing w:line="360" w:lineRule="auto"/>
        <w:rPr>
          <w:rFonts w:ascii="宋体" w:hAnsi="宋体" w:cs="宋体"/>
          <w:color w:val="auto"/>
          <w:sz w:val="24"/>
          <w:highlight w:val="non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0D3F126C">
      <w:pPr>
        <w:spacing w:line="360" w:lineRule="auto"/>
        <w:rPr>
          <w:rFonts w:ascii="宋体" w:hAnsi="宋体" w:cs="宋体"/>
          <w:color w:val="auto"/>
          <w:sz w:val="24"/>
          <w:highlight w:val="none"/>
          <w:u w:val="single"/>
        </w:rPr>
      </w:pPr>
      <w:r>
        <w:rPr>
          <w:rFonts w:hint="eastAsia" w:ascii="宋体" w:hAnsi="宋体" w:cs="宋体"/>
          <w:color w:val="auto"/>
          <w:sz w:val="24"/>
          <w:highlight w:val="none"/>
        </w:rPr>
        <w:t xml:space="preserve">                                                                                                    </w:t>
      </w:r>
    </w:p>
    <w:p w14:paraId="42B2700F">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7F46BC4C">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31DED7DD">
      <w:pPr>
        <w:spacing w:line="360" w:lineRule="auto"/>
        <w:rPr>
          <w:rFonts w:ascii="宋体" w:hAnsi="宋体" w:cs="宋体"/>
          <w:b/>
          <w:color w:val="auto"/>
          <w:sz w:val="24"/>
          <w:highlight w:val="none"/>
        </w:rPr>
      </w:pPr>
    </w:p>
    <w:p w14:paraId="787FECD6">
      <w:pPr>
        <w:spacing w:line="360" w:lineRule="auto"/>
        <w:rPr>
          <w:rFonts w:ascii="宋体" w:hAnsi="宋体" w:cs="宋体"/>
          <w:b/>
          <w:color w:val="auto"/>
          <w:sz w:val="24"/>
          <w:highlight w:val="none"/>
        </w:rPr>
      </w:pPr>
    </w:p>
    <w:p w14:paraId="6FB1FEB7">
      <w:pP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14:paraId="18097E9D">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14:paraId="65E20852">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14:paraId="523169DF">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14:paraId="318E4EF7">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14:paraId="27E4794A">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14:paraId="767CD1A6">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14:paraId="7AF00B12">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7C0E607B">
      <w:pPr>
        <w:spacing w:line="360" w:lineRule="auto"/>
        <w:rPr>
          <w:rFonts w:ascii="宋体" w:hAnsi="宋体" w:cs="宋体"/>
          <w:b/>
          <w:color w:val="auto"/>
          <w:sz w:val="24"/>
          <w:highlight w:val="none"/>
        </w:rPr>
      </w:pPr>
    </w:p>
    <w:p w14:paraId="1A330BF1">
      <w:pPr>
        <w:autoSpaceDE w:val="0"/>
        <w:autoSpaceDN w:val="0"/>
        <w:jc w:val="center"/>
        <w:rPr>
          <w:rFonts w:ascii="宋体" w:hAnsi="宋体" w:cs="宋体"/>
          <w:b/>
          <w:color w:val="auto"/>
          <w:spacing w:val="6"/>
          <w:sz w:val="32"/>
          <w:szCs w:val="32"/>
          <w:highlight w:val="none"/>
        </w:rPr>
      </w:pPr>
    </w:p>
    <w:p w14:paraId="74F203FE">
      <w:pPr>
        <w:autoSpaceDE w:val="0"/>
        <w:autoSpaceDN w:val="0"/>
        <w:jc w:val="center"/>
        <w:rPr>
          <w:rFonts w:ascii="宋体" w:hAnsi="宋体" w:cs="宋体"/>
          <w:b/>
          <w:color w:val="auto"/>
          <w:spacing w:val="6"/>
          <w:sz w:val="32"/>
          <w:szCs w:val="32"/>
          <w:highlight w:val="none"/>
        </w:rPr>
      </w:pPr>
    </w:p>
    <w:p w14:paraId="4C202F9B">
      <w:pPr>
        <w:autoSpaceDE w:val="0"/>
        <w:autoSpaceDN w:val="0"/>
        <w:jc w:val="center"/>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附件4：</w:t>
      </w:r>
      <w:r>
        <w:rPr>
          <w:rFonts w:hint="eastAsia" w:ascii="宋体" w:hAnsi="宋体" w:cs="宋体"/>
          <w:b/>
          <w:bCs/>
          <w:color w:val="auto"/>
          <w:sz w:val="32"/>
          <w:szCs w:val="32"/>
          <w:highlight w:val="none"/>
        </w:rPr>
        <w:t>业务专用章使用说明函</w:t>
      </w:r>
    </w:p>
    <w:p w14:paraId="524C7121">
      <w:pPr>
        <w:spacing w:line="360" w:lineRule="auto"/>
        <w:rPr>
          <w:rFonts w:ascii="宋体" w:hAnsi="宋体" w:cs="宋体"/>
          <w:color w:val="auto"/>
          <w:sz w:val="24"/>
          <w:highlight w:val="none"/>
          <w:u w:val="single"/>
        </w:rPr>
      </w:pPr>
    </w:p>
    <w:p w14:paraId="66F82546">
      <w:pPr>
        <w:spacing w:line="360" w:lineRule="auto"/>
        <w:rPr>
          <w:rFonts w:ascii="宋体" w:hAnsi="宋体" w:cs="宋体"/>
          <w:color w:val="auto"/>
          <w:sz w:val="24"/>
          <w:highlight w:val="none"/>
        </w:rPr>
      </w:pPr>
      <w:r>
        <w:rPr>
          <w:rFonts w:hint="eastAsia" w:ascii="宋体" w:hAnsi="宋体" w:cs="宋体"/>
          <w:color w:val="auto"/>
          <w:sz w:val="24"/>
          <w:highlight w:val="none"/>
          <w:u w:val="single"/>
          <w:lang w:eastAsia="zh-CN"/>
        </w:rPr>
        <w:t>宁波市园林绿化中心</w:t>
      </w:r>
      <w:r>
        <w:rPr>
          <w:rFonts w:hint="eastAsia" w:ascii="宋体" w:hAnsi="宋体" w:cs="宋体"/>
          <w:color w:val="auto"/>
          <w:sz w:val="24"/>
          <w:highlight w:val="none"/>
          <w:u w:val="single"/>
        </w:rPr>
        <w:t>、宁波中基国际招标有限公司：</w:t>
      </w:r>
    </w:p>
    <w:p w14:paraId="7D8D7CDD">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投标人全称）是中华人民共和国依法登记注册的合法企业，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w:t>
      </w:r>
      <w:r>
        <w:rPr>
          <w:rFonts w:hint="eastAsia" w:ascii="宋体" w:hAnsi="宋体" w:cs="宋体"/>
          <w:color w:val="auto"/>
          <w:sz w:val="24"/>
          <w:highlight w:val="none"/>
          <w:lang w:eastAsia="zh-CN"/>
        </w:rPr>
        <w:t>2024-2027年市管公园综合养管项目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CBNB-20246487G</w:t>
      </w:r>
      <w:r>
        <w:rPr>
          <w:rFonts w:hint="eastAsia" w:ascii="宋体" w:hAnsi="宋体" w:cs="宋体"/>
          <w:color w:val="auto"/>
          <w:sz w:val="24"/>
          <w:highlight w:val="none"/>
        </w:rPr>
        <w:t>】</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14:paraId="2531CD9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特此说明。</w:t>
      </w:r>
    </w:p>
    <w:p w14:paraId="0864880C">
      <w:pPr>
        <w:spacing w:line="360" w:lineRule="auto"/>
        <w:ind w:firstLine="494"/>
        <w:rPr>
          <w:rFonts w:ascii="宋体" w:hAnsi="宋体" w:cs="宋体"/>
          <w:color w:val="auto"/>
          <w:sz w:val="24"/>
          <w:highlight w:val="none"/>
        </w:rPr>
      </w:pPr>
    </w:p>
    <w:p w14:paraId="5921AE5B">
      <w:pPr>
        <w:spacing w:line="360" w:lineRule="auto"/>
        <w:ind w:firstLine="494"/>
        <w:rPr>
          <w:rFonts w:ascii="宋体" w:hAnsi="宋体" w:cs="宋体"/>
          <w:color w:val="auto"/>
          <w:sz w:val="24"/>
          <w:highlight w:val="none"/>
        </w:rPr>
      </w:pPr>
    </w:p>
    <w:p w14:paraId="3C0ED8BC">
      <w:pPr>
        <w:spacing w:line="360" w:lineRule="auto"/>
        <w:ind w:firstLine="494"/>
        <w:rPr>
          <w:rFonts w:ascii="宋体" w:hAnsi="宋体" w:cs="宋体"/>
          <w:color w:val="auto"/>
          <w:sz w:val="24"/>
          <w:highlight w:val="none"/>
        </w:rPr>
      </w:pPr>
    </w:p>
    <w:p w14:paraId="096B9B8D">
      <w:pPr>
        <w:spacing w:line="360" w:lineRule="auto"/>
        <w:ind w:firstLine="494"/>
        <w:rPr>
          <w:rFonts w:ascii="宋体" w:hAnsi="宋体" w:cs="宋体"/>
          <w:color w:val="auto"/>
          <w:sz w:val="24"/>
          <w:highlight w:val="none"/>
        </w:rPr>
      </w:pPr>
    </w:p>
    <w:p w14:paraId="1D30626D">
      <w:pPr>
        <w:spacing w:line="360" w:lineRule="auto"/>
        <w:ind w:right="480" w:firstLine="4080" w:firstLineChars="1700"/>
        <w:rPr>
          <w:rFonts w:ascii="宋体" w:hAnsi="宋体" w:cs="宋体"/>
          <w:color w:val="auto"/>
          <w:sz w:val="24"/>
          <w:highlight w:val="none"/>
        </w:rPr>
      </w:pPr>
      <w:r>
        <w:rPr>
          <w:rFonts w:hint="eastAsia" w:ascii="宋体" w:hAnsi="宋体" w:cs="宋体"/>
          <w:color w:val="auto"/>
          <w:sz w:val="24"/>
          <w:highlight w:val="none"/>
        </w:rPr>
        <w:t>投标单位（法定名称章）：</w:t>
      </w:r>
    </w:p>
    <w:p w14:paraId="177C6F69">
      <w:pPr>
        <w:ind w:right="1440" w:firstLine="494"/>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7FE72B69">
      <w:pPr>
        <w:rPr>
          <w:rFonts w:ascii="宋体" w:hAnsi="宋体" w:cs="宋体"/>
          <w:color w:val="auto"/>
          <w:sz w:val="24"/>
          <w:highlight w:val="none"/>
        </w:rPr>
      </w:pPr>
      <w:r>
        <w:rPr>
          <w:rFonts w:hint="eastAsia" w:ascii="宋体" w:hAnsi="宋体" w:cs="宋体"/>
          <w:b/>
          <w:bCs/>
          <w:color w:val="auto"/>
          <w:sz w:val="24"/>
          <w:highlight w:val="none"/>
        </w:rPr>
        <w:t>附：</w:t>
      </w:r>
    </w:p>
    <w:p w14:paraId="48E55BAC">
      <w:pPr>
        <w:spacing w:line="360" w:lineRule="auto"/>
        <w:rPr>
          <w:rFonts w:ascii="宋体" w:hAnsi="宋体" w:cs="宋体"/>
          <w:bCs/>
          <w:color w:val="auto"/>
          <w:sz w:val="24"/>
          <w:highlight w:val="none"/>
        </w:rPr>
      </w:pPr>
      <w:r>
        <w:rPr>
          <w:rFonts w:hint="eastAsia" w:ascii="宋体" w:hAnsi="宋体" w:cs="宋体"/>
          <w:b/>
          <w:bCs/>
          <w:color w:val="auto"/>
          <w:sz w:val="24"/>
          <w:highlight w:val="none"/>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txbx>
                        <w:txbxContent>
                          <w:p w14:paraId="467C2311">
                            <w:pPr>
                              <w:jc w:val="center"/>
                            </w:pPr>
                          </w:p>
                        </w:txbxContent>
                      </wps:txbx>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ILD+2LwIAAH8EAAAOAAAAAAAAAAEAIAAAACcBAABkcnMvZTJvRG9jLnht&#10;bFBLBQYAAAAABgAGAFkBAADIBQAAAAA=&#10;">
                <v:fill on="t" focussize="0,0"/>
                <v:stroke color="#000000" miterlimit="2" joinstyle="miter"/>
                <v:imagedata o:title=""/>
                <o:lock v:ext="edit" aspectratio="f"/>
                <v:textbox>
                  <w:txbxContent>
                    <w:p w14:paraId="467C2311">
                      <w:pPr>
                        <w:jc w:val="center"/>
                      </w:pPr>
                    </w:p>
                  </w:txbxContent>
                </v:textbox>
              </v:rect>
            </w:pict>
          </mc:Fallback>
        </mc:AlternateContent>
      </w:r>
      <w:r>
        <w:rPr>
          <w:rFonts w:hint="eastAsia" w:ascii="宋体" w:hAnsi="宋体" w:cs="宋体"/>
          <w:b/>
          <w:bCs/>
          <w:color w:val="auto"/>
          <w:sz w:val="24"/>
          <w:highlight w:val="none"/>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txbx>
                        <w:txbxContent>
                          <w:p w14:paraId="5379448C">
                            <w:pPr>
                              <w:jc w:val="center"/>
                            </w:pPr>
                          </w:p>
                        </w:txbxContent>
                      </wps:txbx>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mMR6bYAAAACgEAAA8AAAAAAAAAAQAgAAAAIgAAAGRycy9kb3ducmV2LnhtbFBL&#10;AQIUABQAAAAIAIdO4kBKL3uDLwIAAH8EAAAOAAAAAAAAAAEAIAAAACcBAABkcnMvZTJvRG9jLnht&#10;bFBLBQYAAAAABgAGAFkBAADIBQAAAAA=&#10;">
                <v:fill on="t" focussize="0,0"/>
                <v:stroke color="#000000" miterlimit="2" joinstyle="miter"/>
                <v:imagedata o:title=""/>
                <o:lock v:ext="edit" aspectratio="f"/>
                <v:textbox>
                  <w:txbxContent>
                    <w:p w14:paraId="5379448C">
                      <w:pPr>
                        <w:jc w:val="center"/>
                      </w:pPr>
                    </w:p>
                  </w:txbxContent>
                </v:textbox>
              </v:rect>
            </w:pict>
          </mc:Fallback>
        </mc:AlternateContent>
      </w:r>
      <w:r>
        <w:rPr>
          <w:rFonts w:hint="eastAsia" w:ascii="宋体" w:hAnsi="宋体" w:cs="宋体"/>
          <w:color w:val="auto"/>
          <w:sz w:val="24"/>
          <w:highlight w:val="none"/>
        </w:rPr>
        <w:t>投标单位法定名称章（印模）                投标单位“XX专用章”（印模）</w:t>
      </w:r>
    </w:p>
    <w:p w14:paraId="623EF0D1">
      <w:pPr>
        <w:autoSpaceDE w:val="0"/>
        <w:autoSpaceDN w:val="0"/>
        <w:jc w:val="center"/>
        <w:rPr>
          <w:rFonts w:ascii="宋体" w:hAnsi="宋体" w:cs="宋体"/>
          <w:b/>
          <w:color w:val="auto"/>
          <w:spacing w:val="6"/>
          <w:sz w:val="32"/>
          <w:szCs w:val="32"/>
          <w:highlight w:val="none"/>
        </w:rPr>
      </w:pPr>
    </w:p>
    <w:p w14:paraId="1B70D8EE">
      <w:pPr>
        <w:autoSpaceDE w:val="0"/>
        <w:autoSpaceDN w:val="0"/>
        <w:jc w:val="center"/>
        <w:rPr>
          <w:rFonts w:ascii="宋体" w:hAnsi="宋体" w:cs="宋体"/>
          <w:b/>
          <w:color w:val="auto"/>
          <w:spacing w:val="6"/>
          <w:sz w:val="32"/>
          <w:szCs w:val="32"/>
          <w:highlight w:val="none"/>
        </w:rPr>
      </w:pPr>
    </w:p>
    <w:p w14:paraId="4B17CD77">
      <w:pPr>
        <w:autoSpaceDE w:val="0"/>
        <w:autoSpaceDN w:val="0"/>
        <w:jc w:val="center"/>
        <w:rPr>
          <w:rFonts w:ascii="宋体" w:hAnsi="宋体" w:cs="宋体"/>
          <w:b/>
          <w:color w:val="auto"/>
          <w:spacing w:val="6"/>
          <w:sz w:val="32"/>
          <w:szCs w:val="32"/>
          <w:highlight w:val="none"/>
        </w:rPr>
      </w:pPr>
    </w:p>
    <w:p w14:paraId="43A382A1">
      <w:pPr>
        <w:autoSpaceDE w:val="0"/>
        <w:autoSpaceDN w:val="0"/>
        <w:jc w:val="center"/>
        <w:rPr>
          <w:rFonts w:ascii="宋体" w:hAnsi="宋体" w:cs="宋体"/>
          <w:b/>
          <w:color w:val="auto"/>
          <w:spacing w:val="6"/>
          <w:sz w:val="32"/>
          <w:szCs w:val="32"/>
          <w:highlight w:val="none"/>
        </w:rPr>
      </w:pPr>
    </w:p>
    <w:p w14:paraId="3EEE85AB">
      <w:pPr>
        <w:autoSpaceDE w:val="0"/>
        <w:autoSpaceDN w:val="0"/>
        <w:jc w:val="center"/>
        <w:rPr>
          <w:rFonts w:ascii="宋体" w:hAnsi="宋体" w:cs="宋体"/>
          <w:b/>
          <w:color w:val="auto"/>
          <w:spacing w:val="6"/>
          <w:sz w:val="32"/>
          <w:szCs w:val="32"/>
          <w:highlight w:val="none"/>
        </w:rPr>
      </w:pPr>
    </w:p>
    <w:p w14:paraId="04476AC8">
      <w:pPr>
        <w:autoSpaceDE w:val="0"/>
        <w:autoSpaceDN w:val="0"/>
        <w:jc w:val="center"/>
        <w:rPr>
          <w:rFonts w:ascii="宋体" w:hAnsi="宋体" w:cs="宋体"/>
          <w:b/>
          <w:color w:val="auto"/>
          <w:spacing w:val="6"/>
          <w:sz w:val="32"/>
          <w:szCs w:val="32"/>
          <w:highlight w:val="none"/>
        </w:rPr>
      </w:pPr>
    </w:p>
    <w:p w14:paraId="7B4B65A1">
      <w:pPr>
        <w:autoSpaceDE w:val="0"/>
        <w:autoSpaceDN w:val="0"/>
        <w:jc w:val="center"/>
        <w:rPr>
          <w:rFonts w:ascii="宋体" w:hAnsi="宋体" w:cs="宋体"/>
          <w:b/>
          <w:color w:val="auto"/>
          <w:spacing w:val="6"/>
          <w:sz w:val="32"/>
          <w:szCs w:val="32"/>
          <w:highlight w:val="none"/>
        </w:rPr>
      </w:pPr>
    </w:p>
    <w:p w14:paraId="45EF4CD9">
      <w:pPr>
        <w:autoSpaceDE w:val="0"/>
        <w:autoSpaceDN w:val="0"/>
        <w:jc w:val="center"/>
        <w:rPr>
          <w:rFonts w:ascii="宋体" w:hAnsi="宋体" w:cs="宋体"/>
          <w:b/>
          <w:color w:val="auto"/>
          <w:spacing w:val="6"/>
          <w:sz w:val="32"/>
          <w:szCs w:val="32"/>
          <w:highlight w:val="none"/>
        </w:rPr>
      </w:pPr>
    </w:p>
    <w:p w14:paraId="3231A03D">
      <w:pPr>
        <w:autoSpaceDE w:val="0"/>
        <w:autoSpaceDN w:val="0"/>
        <w:jc w:val="center"/>
        <w:rPr>
          <w:rFonts w:ascii="宋体" w:hAnsi="宋体" w:cs="宋体"/>
          <w:b/>
          <w:color w:val="auto"/>
          <w:spacing w:val="6"/>
          <w:sz w:val="32"/>
          <w:szCs w:val="32"/>
          <w:highlight w:val="none"/>
        </w:rPr>
      </w:pPr>
    </w:p>
    <w:p w14:paraId="06C4956A">
      <w:pPr>
        <w:autoSpaceDE w:val="0"/>
        <w:autoSpaceDN w:val="0"/>
        <w:jc w:val="center"/>
        <w:rPr>
          <w:rFonts w:ascii="宋体" w:hAnsi="宋体" w:cs="宋体"/>
          <w:b/>
          <w:color w:val="auto"/>
          <w:spacing w:val="6"/>
          <w:sz w:val="32"/>
          <w:szCs w:val="32"/>
          <w:highlight w:val="none"/>
        </w:rPr>
      </w:pPr>
    </w:p>
    <w:p w14:paraId="3C0278C1">
      <w:pPr>
        <w:autoSpaceDE w:val="0"/>
        <w:autoSpaceDN w:val="0"/>
        <w:jc w:val="center"/>
        <w:rPr>
          <w:rFonts w:ascii="宋体" w:hAnsi="宋体" w:cs="宋体"/>
          <w:b/>
          <w:color w:val="auto"/>
          <w:spacing w:val="6"/>
          <w:sz w:val="32"/>
          <w:szCs w:val="32"/>
          <w:highlight w:val="none"/>
        </w:rPr>
      </w:pPr>
    </w:p>
    <w:p w14:paraId="401797A1">
      <w:pPr>
        <w:autoSpaceDE w:val="0"/>
        <w:autoSpaceDN w:val="0"/>
        <w:jc w:val="center"/>
        <w:rPr>
          <w:rFonts w:ascii="宋体" w:hAnsi="宋体" w:cs="宋体"/>
          <w:b/>
          <w:color w:val="auto"/>
          <w:spacing w:val="6"/>
          <w:sz w:val="32"/>
          <w:szCs w:val="32"/>
          <w:highlight w:val="none"/>
        </w:rPr>
      </w:pPr>
    </w:p>
    <w:p w14:paraId="25D81A34">
      <w:pPr>
        <w:autoSpaceDE w:val="0"/>
        <w:autoSpaceDN w:val="0"/>
        <w:jc w:val="center"/>
        <w:rPr>
          <w:rFonts w:ascii="宋体" w:hAnsi="宋体" w:cs="宋体"/>
          <w:b/>
          <w:color w:val="auto"/>
          <w:spacing w:val="6"/>
          <w:sz w:val="32"/>
          <w:szCs w:val="32"/>
          <w:highlight w:val="none"/>
        </w:rPr>
      </w:pPr>
    </w:p>
    <w:p w14:paraId="376F35E9">
      <w:pPr>
        <w:autoSpaceDE w:val="0"/>
        <w:autoSpaceDN w:val="0"/>
        <w:jc w:val="center"/>
        <w:rPr>
          <w:rFonts w:ascii="宋体" w:hAnsi="宋体" w:cs="宋体"/>
          <w:b/>
          <w:color w:val="auto"/>
          <w:spacing w:val="6"/>
          <w:sz w:val="32"/>
          <w:szCs w:val="32"/>
          <w:highlight w:val="none"/>
        </w:rPr>
      </w:pPr>
    </w:p>
    <w:p w14:paraId="61F6BFC8">
      <w:pPr>
        <w:autoSpaceDE w:val="0"/>
        <w:autoSpaceDN w:val="0"/>
        <w:jc w:val="center"/>
        <w:rPr>
          <w:rFonts w:ascii="宋体" w:hAnsi="宋体" w:cs="宋体"/>
          <w:b/>
          <w:color w:val="auto"/>
          <w:spacing w:val="6"/>
          <w:sz w:val="32"/>
          <w:szCs w:val="32"/>
          <w:highlight w:val="none"/>
        </w:rPr>
      </w:pPr>
    </w:p>
    <w:p w14:paraId="47B853CB">
      <w:pPr>
        <w:autoSpaceDE w:val="0"/>
        <w:autoSpaceDN w:val="0"/>
        <w:jc w:val="center"/>
        <w:rPr>
          <w:rFonts w:ascii="宋体" w:hAnsi="宋体" w:cs="宋体"/>
          <w:b/>
          <w:color w:val="auto"/>
          <w:spacing w:val="6"/>
          <w:sz w:val="32"/>
          <w:szCs w:val="32"/>
          <w:highlight w:val="none"/>
        </w:rPr>
      </w:pPr>
    </w:p>
    <w:p w14:paraId="75CEA1BF">
      <w:pPr>
        <w:autoSpaceDE w:val="0"/>
        <w:autoSpaceDN w:val="0"/>
        <w:jc w:val="center"/>
        <w:rPr>
          <w:rFonts w:ascii="宋体" w:hAnsi="宋体" w:cs="宋体"/>
          <w:b/>
          <w:color w:val="auto"/>
          <w:spacing w:val="6"/>
          <w:sz w:val="32"/>
          <w:szCs w:val="32"/>
          <w:highlight w:val="none"/>
        </w:rPr>
      </w:pPr>
    </w:p>
    <w:p w14:paraId="6C52D33F">
      <w:pPr>
        <w:autoSpaceDE w:val="0"/>
        <w:autoSpaceDN w:val="0"/>
        <w:jc w:val="center"/>
        <w:rPr>
          <w:rFonts w:ascii="宋体" w:hAnsi="宋体" w:cs="宋体"/>
          <w:b/>
          <w:color w:val="auto"/>
          <w:kern w:val="0"/>
          <w:sz w:val="32"/>
          <w:szCs w:val="32"/>
          <w:highlight w:val="none"/>
          <w:lang w:val="zh-CN"/>
        </w:rPr>
      </w:pPr>
      <w:r>
        <w:rPr>
          <w:rFonts w:hint="eastAsia" w:ascii="宋体" w:hAnsi="宋体" w:cs="宋体"/>
          <w:b/>
          <w:color w:val="auto"/>
          <w:spacing w:val="6"/>
          <w:sz w:val="32"/>
          <w:szCs w:val="32"/>
          <w:highlight w:val="none"/>
        </w:rPr>
        <w:t>附件</w:t>
      </w:r>
      <w:r>
        <w:rPr>
          <w:rFonts w:ascii="宋体" w:hAnsi="宋体" w:cs="宋体"/>
          <w:b/>
          <w:color w:val="auto"/>
          <w:spacing w:val="6"/>
          <w:sz w:val="32"/>
          <w:szCs w:val="32"/>
          <w:highlight w:val="none"/>
        </w:rPr>
        <w:t>5</w:t>
      </w:r>
      <w:r>
        <w:rPr>
          <w:rFonts w:hint="eastAsia" w:ascii="宋体" w:hAnsi="宋体" w:cs="宋体"/>
          <w:b/>
          <w:color w:val="auto"/>
          <w:spacing w:val="6"/>
          <w:sz w:val="32"/>
          <w:szCs w:val="32"/>
          <w:highlight w:val="none"/>
        </w:rPr>
        <w:t>：</w:t>
      </w:r>
      <w:r>
        <w:rPr>
          <w:rFonts w:hint="eastAsia" w:ascii="宋体" w:hAnsi="宋体" w:cs="宋体"/>
          <w:b/>
          <w:color w:val="auto"/>
          <w:kern w:val="0"/>
          <w:sz w:val="32"/>
          <w:szCs w:val="32"/>
          <w:highlight w:val="none"/>
          <w:lang w:val="zh-CN"/>
        </w:rPr>
        <w:t>联合协议</w:t>
      </w:r>
    </w:p>
    <w:p w14:paraId="10DEE9D6">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14:paraId="1AF2F1C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lang w:eastAsia="zh-CN"/>
        </w:rPr>
        <w:t>2024-2027年市管公园综合养管项目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CBNB-20246487G</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投标。 </w:t>
      </w:r>
    </w:p>
    <w:p w14:paraId="45A3603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4B5CE65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BBE551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1FD86EC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459E5C3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6554601A">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p w14:paraId="3C3AB21D">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3C96F447">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w:t>
      </w:r>
      <w:bookmarkStart w:id="550" w:name="_Hlk101131882"/>
      <w:r>
        <w:rPr>
          <w:rFonts w:hint="eastAsia" w:ascii="宋体" w:hAnsi="宋体" w:cs="宋体"/>
          <w:color w:val="auto"/>
          <w:kern w:val="0"/>
          <w:sz w:val="24"/>
          <w:highlight w:val="none"/>
          <w:u w:val="single"/>
        </w:rPr>
        <w:t>联合体成员X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w:t>
      </w:r>
      <w:bookmarkEnd w:id="550"/>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提供的服务由小微企业承接，其合同份额占到合同总金额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w:t>
      </w:r>
      <w:bookmarkStart w:id="551" w:name="_Hlk101133598"/>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bookmarkEnd w:id="551"/>
      <w:r>
        <w:rPr>
          <w:rFonts w:hint="eastAsia" w:ascii="宋体" w:hAnsi="宋体" w:cs="宋体"/>
          <w:b/>
          <w:color w:val="auto"/>
          <w:kern w:val="0"/>
          <w:sz w:val="24"/>
          <w:highlight w:val="none"/>
          <w:lang w:val="zh-CN"/>
        </w:rPr>
        <w:t>）</w:t>
      </w:r>
    </w:p>
    <w:p w14:paraId="35E57B8A">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552"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bookmarkEnd w:id="552"/>
    </w:p>
    <w:p w14:paraId="5154570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联合体各成员方共同与采购人签订合同，并就采购合同约定的事项对采购人承担连带责任。</w:t>
      </w:r>
    </w:p>
    <w:p w14:paraId="45C9604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3793D14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14:paraId="18510F6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14:paraId="4FCC235A">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14:paraId="383D0FDD">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05CBC5B8">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5662A043">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02B168F8">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57F6EE47">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32A2D683">
      <w:pPr>
        <w:autoSpaceDE w:val="0"/>
        <w:autoSpaceDN w:val="0"/>
        <w:jc w:val="center"/>
        <w:rPr>
          <w:rFonts w:ascii="宋体" w:hAnsi="宋体" w:cs="宋体"/>
          <w:b/>
          <w:color w:val="auto"/>
          <w:spacing w:val="6"/>
          <w:sz w:val="32"/>
          <w:szCs w:val="32"/>
          <w:highlight w:val="none"/>
        </w:rPr>
      </w:pPr>
    </w:p>
    <w:p w14:paraId="6DB22059">
      <w:pPr>
        <w:autoSpaceDE w:val="0"/>
        <w:autoSpaceDN w:val="0"/>
        <w:jc w:val="center"/>
        <w:rPr>
          <w:rFonts w:ascii="宋体" w:hAnsi="宋体" w:cs="宋体"/>
          <w:b/>
          <w:color w:val="auto"/>
          <w:spacing w:val="6"/>
          <w:sz w:val="32"/>
          <w:szCs w:val="32"/>
          <w:highlight w:val="none"/>
        </w:rPr>
      </w:pPr>
    </w:p>
    <w:p w14:paraId="3AB8CE3C">
      <w:pPr>
        <w:autoSpaceDE w:val="0"/>
        <w:autoSpaceDN w:val="0"/>
        <w:jc w:val="center"/>
        <w:rPr>
          <w:rFonts w:ascii="宋体" w:hAnsi="宋体" w:cs="宋体"/>
          <w:b/>
          <w:color w:val="auto"/>
          <w:spacing w:val="6"/>
          <w:sz w:val="32"/>
          <w:szCs w:val="32"/>
          <w:highlight w:val="none"/>
        </w:rPr>
      </w:pPr>
    </w:p>
    <w:p w14:paraId="7766610A">
      <w:pPr>
        <w:autoSpaceDE w:val="0"/>
        <w:autoSpaceDN w:val="0"/>
        <w:jc w:val="center"/>
        <w:rPr>
          <w:rFonts w:ascii="宋体" w:hAnsi="宋体" w:cs="宋体"/>
          <w:b/>
          <w:color w:val="auto"/>
          <w:spacing w:val="6"/>
          <w:sz w:val="32"/>
          <w:szCs w:val="32"/>
          <w:highlight w:val="none"/>
        </w:rPr>
      </w:pPr>
    </w:p>
    <w:p w14:paraId="2B0EFBA0">
      <w:pPr>
        <w:autoSpaceDE w:val="0"/>
        <w:autoSpaceDN w:val="0"/>
        <w:jc w:val="center"/>
        <w:rPr>
          <w:rFonts w:ascii="宋体" w:hAnsi="宋体" w:cs="宋体"/>
          <w:b/>
          <w:color w:val="auto"/>
          <w:spacing w:val="6"/>
          <w:sz w:val="32"/>
          <w:szCs w:val="32"/>
          <w:highlight w:val="none"/>
        </w:rPr>
      </w:pPr>
    </w:p>
    <w:p w14:paraId="2CABA3F9">
      <w:pPr>
        <w:autoSpaceDE w:val="0"/>
        <w:autoSpaceDN w:val="0"/>
        <w:jc w:val="center"/>
        <w:rPr>
          <w:rFonts w:ascii="宋体" w:hAnsi="宋体" w:cs="宋体"/>
          <w:b/>
          <w:color w:val="auto"/>
          <w:spacing w:val="6"/>
          <w:sz w:val="32"/>
          <w:szCs w:val="32"/>
          <w:highlight w:val="none"/>
        </w:rPr>
      </w:pPr>
    </w:p>
    <w:p w14:paraId="7584AD7A">
      <w:pPr>
        <w:autoSpaceDE w:val="0"/>
        <w:autoSpaceDN w:val="0"/>
        <w:jc w:val="center"/>
        <w:rPr>
          <w:rFonts w:ascii="宋体" w:hAnsi="宋体" w:cs="宋体"/>
          <w:b/>
          <w:color w:val="auto"/>
          <w:spacing w:val="6"/>
          <w:sz w:val="32"/>
          <w:szCs w:val="32"/>
          <w:highlight w:val="none"/>
        </w:rPr>
      </w:pPr>
    </w:p>
    <w:p w14:paraId="357A044E">
      <w:pPr>
        <w:autoSpaceDE w:val="0"/>
        <w:autoSpaceDN w:val="0"/>
        <w:jc w:val="center"/>
        <w:rPr>
          <w:rFonts w:ascii="宋体" w:hAnsi="宋体" w:cs="宋体"/>
          <w:b/>
          <w:color w:val="auto"/>
          <w:spacing w:val="6"/>
          <w:sz w:val="32"/>
          <w:szCs w:val="32"/>
          <w:highlight w:val="none"/>
        </w:rPr>
      </w:pPr>
    </w:p>
    <w:p w14:paraId="69A75574">
      <w:pPr>
        <w:autoSpaceDE w:val="0"/>
        <w:autoSpaceDN w:val="0"/>
        <w:jc w:val="center"/>
        <w:rPr>
          <w:rFonts w:ascii="宋体" w:hAnsi="宋体" w:cs="宋体"/>
          <w:b/>
          <w:color w:val="auto"/>
          <w:spacing w:val="6"/>
          <w:sz w:val="32"/>
          <w:szCs w:val="32"/>
          <w:highlight w:val="none"/>
        </w:rPr>
      </w:pPr>
    </w:p>
    <w:p w14:paraId="6A7F7BC2">
      <w:pPr>
        <w:autoSpaceDE w:val="0"/>
        <w:autoSpaceDN w:val="0"/>
        <w:jc w:val="center"/>
        <w:rPr>
          <w:rFonts w:ascii="宋体" w:hAnsi="宋体" w:cs="宋体"/>
          <w:b/>
          <w:color w:val="auto"/>
          <w:spacing w:val="6"/>
          <w:sz w:val="32"/>
          <w:szCs w:val="32"/>
          <w:highlight w:val="none"/>
        </w:rPr>
      </w:pPr>
    </w:p>
    <w:p w14:paraId="0DF21645">
      <w:pPr>
        <w:autoSpaceDE w:val="0"/>
        <w:autoSpaceDN w:val="0"/>
        <w:jc w:val="center"/>
        <w:rPr>
          <w:rFonts w:ascii="宋体" w:hAnsi="宋体" w:cs="宋体"/>
          <w:b/>
          <w:color w:val="auto"/>
          <w:spacing w:val="6"/>
          <w:sz w:val="32"/>
          <w:szCs w:val="32"/>
          <w:highlight w:val="none"/>
        </w:rPr>
      </w:pPr>
    </w:p>
    <w:p w14:paraId="119A6A55">
      <w:pPr>
        <w:autoSpaceDE w:val="0"/>
        <w:autoSpaceDN w:val="0"/>
        <w:jc w:val="center"/>
        <w:rPr>
          <w:rFonts w:ascii="宋体" w:hAnsi="宋体" w:cs="宋体"/>
          <w:b/>
          <w:color w:val="auto"/>
          <w:spacing w:val="6"/>
          <w:sz w:val="32"/>
          <w:szCs w:val="32"/>
          <w:highlight w:val="none"/>
        </w:rPr>
      </w:pPr>
    </w:p>
    <w:p w14:paraId="738D7BBF">
      <w:pPr>
        <w:autoSpaceDE w:val="0"/>
        <w:autoSpaceDN w:val="0"/>
        <w:jc w:val="center"/>
        <w:rPr>
          <w:rFonts w:ascii="宋体" w:hAnsi="宋体" w:cs="宋体"/>
          <w:b/>
          <w:color w:val="auto"/>
          <w:spacing w:val="6"/>
          <w:sz w:val="32"/>
          <w:szCs w:val="32"/>
          <w:highlight w:val="none"/>
        </w:rPr>
      </w:pPr>
    </w:p>
    <w:p w14:paraId="7F2F09B5">
      <w:pPr>
        <w:autoSpaceDE w:val="0"/>
        <w:autoSpaceDN w:val="0"/>
        <w:jc w:val="center"/>
        <w:rPr>
          <w:rFonts w:ascii="宋体" w:hAnsi="宋体" w:cs="宋体"/>
          <w:b/>
          <w:color w:val="auto"/>
          <w:spacing w:val="6"/>
          <w:sz w:val="32"/>
          <w:szCs w:val="32"/>
          <w:highlight w:val="none"/>
        </w:rPr>
      </w:pPr>
    </w:p>
    <w:p w14:paraId="27304EE1">
      <w:pPr>
        <w:autoSpaceDE w:val="0"/>
        <w:autoSpaceDN w:val="0"/>
        <w:jc w:val="center"/>
        <w:rPr>
          <w:rFonts w:ascii="宋体" w:hAnsi="宋体" w:cs="宋体"/>
          <w:b/>
          <w:color w:val="auto"/>
          <w:spacing w:val="6"/>
          <w:sz w:val="32"/>
          <w:szCs w:val="32"/>
          <w:highlight w:val="none"/>
        </w:rPr>
      </w:pPr>
    </w:p>
    <w:p w14:paraId="6D284D93">
      <w:pPr>
        <w:autoSpaceDE w:val="0"/>
        <w:autoSpaceDN w:val="0"/>
        <w:jc w:val="center"/>
        <w:rPr>
          <w:rFonts w:ascii="宋体" w:hAnsi="宋体" w:cs="宋体"/>
          <w:b/>
          <w:color w:val="auto"/>
          <w:spacing w:val="6"/>
          <w:sz w:val="32"/>
          <w:szCs w:val="32"/>
          <w:highlight w:val="none"/>
        </w:rPr>
      </w:pPr>
    </w:p>
    <w:p w14:paraId="03F211A1">
      <w:pPr>
        <w:autoSpaceDE w:val="0"/>
        <w:autoSpaceDN w:val="0"/>
        <w:jc w:val="center"/>
        <w:rPr>
          <w:rFonts w:ascii="宋体" w:hAnsi="宋体" w:cs="宋体"/>
          <w:b/>
          <w:color w:val="auto"/>
          <w:spacing w:val="6"/>
          <w:sz w:val="32"/>
          <w:szCs w:val="32"/>
          <w:highlight w:val="none"/>
        </w:rPr>
      </w:pPr>
    </w:p>
    <w:p w14:paraId="4931FE10">
      <w:pPr>
        <w:autoSpaceDE w:val="0"/>
        <w:autoSpaceDN w:val="0"/>
        <w:jc w:val="center"/>
        <w:rPr>
          <w:rFonts w:ascii="宋体" w:hAnsi="宋体" w:cs="宋体"/>
          <w:b/>
          <w:color w:val="auto"/>
          <w:spacing w:val="6"/>
          <w:sz w:val="32"/>
          <w:szCs w:val="32"/>
          <w:highlight w:val="none"/>
        </w:rPr>
      </w:pPr>
    </w:p>
    <w:p w14:paraId="075A7872">
      <w:pPr>
        <w:autoSpaceDE w:val="0"/>
        <w:autoSpaceDN w:val="0"/>
        <w:jc w:val="center"/>
        <w:rPr>
          <w:rFonts w:ascii="宋体" w:hAnsi="宋体" w:cs="宋体"/>
          <w:b/>
          <w:color w:val="auto"/>
          <w:spacing w:val="6"/>
          <w:sz w:val="32"/>
          <w:szCs w:val="32"/>
          <w:highlight w:val="none"/>
        </w:rPr>
      </w:pPr>
    </w:p>
    <w:p w14:paraId="5BF1F939">
      <w:pPr>
        <w:autoSpaceDE w:val="0"/>
        <w:autoSpaceDN w:val="0"/>
        <w:jc w:val="center"/>
        <w:rPr>
          <w:rFonts w:ascii="宋体" w:hAnsi="宋体" w:cs="宋体"/>
          <w:b/>
          <w:color w:val="auto"/>
          <w:spacing w:val="6"/>
          <w:sz w:val="32"/>
          <w:szCs w:val="32"/>
          <w:highlight w:val="none"/>
        </w:rPr>
      </w:pPr>
    </w:p>
    <w:p w14:paraId="22CD53C5">
      <w:pPr>
        <w:autoSpaceDE w:val="0"/>
        <w:autoSpaceDN w:val="0"/>
        <w:jc w:val="center"/>
        <w:rPr>
          <w:rFonts w:ascii="宋体" w:hAnsi="宋体" w:cs="宋体"/>
          <w:b/>
          <w:color w:val="auto"/>
          <w:spacing w:val="6"/>
          <w:sz w:val="32"/>
          <w:szCs w:val="32"/>
          <w:highlight w:val="none"/>
        </w:rPr>
      </w:pPr>
    </w:p>
    <w:p w14:paraId="5B308464">
      <w:pPr>
        <w:autoSpaceDE w:val="0"/>
        <w:autoSpaceDN w:val="0"/>
        <w:jc w:val="center"/>
        <w:rPr>
          <w:rFonts w:ascii="宋体" w:hAnsi="宋体" w:cs="宋体"/>
          <w:b/>
          <w:color w:val="auto"/>
          <w:spacing w:val="6"/>
          <w:sz w:val="32"/>
          <w:szCs w:val="32"/>
          <w:highlight w:val="none"/>
        </w:rPr>
      </w:pPr>
    </w:p>
    <w:p w14:paraId="63FB7A29">
      <w:pPr>
        <w:autoSpaceDE w:val="0"/>
        <w:autoSpaceDN w:val="0"/>
        <w:jc w:val="center"/>
        <w:rPr>
          <w:rFonts w:ascii="宋体" w:hAnsi="宋体" w:cs="宋体"/>
          <w:b/>
          <w:color w:val="auto"/>
          <w:spacing w:val="6"/>
          <w:sz w:val="32"/>
          <w:szCs w:val="32"/>
          <w:highlight w:val="none"/>
        </w:rPr>
      </w:pPr>
    </w:p>
    <w:p w14:paraId="243EE69E">
      <w:pPr>
        <w:snapToGrid w:val="0"/>
        <w:spacing w:line="360" w:lineRule="auto"/>
        <w:ind w:firstLine="3666" w:firstLineChars="1100"/>
        <w:rPr>
          <w:rFonts w:ascii="宋体" w:hAnsi="宋体" w:cs="宋体"/>
          <w:b/>
          <w:color w:val="auto"/>
          <w:spacing w:val="6"/>
          <w:sz w:val="32"/>
          <w:szCs w:val="32"/>
          <w:highlight w:val="none"/>
        </w:rPr>
      </w:pPr>
    </w:p>
    <w:p w14:paraId="573D6181">
      <w:pPr>
        <w:widowControl/>
        <w:adjustRightInd/>
        <w:jc w:val="left"/>
        <w:rPr>
          <w:rFonts w:ascii="宋体" w:hAnsi="宋体" w:cs="宋体"/>
          <w:b/>
          <w:color w:val="auto"/>
          <w:spacing w:val="6"/>
          <w:sz w:val="32"/>
          <w:szCs w:val="32"/>
          <w:highlight w:val="none"/>
        </w:rPr>
      </w:pPr>
      <w:r>
        <w:rPr>
          <w:rFonts w:ascii="宋体" w:hAnsi="宋体" w:cs="宋体"/>
          <w:b/>
          <w:color w:val="auto"/>
          <w:spacing w:val="6"/>
          <w:sz w:val="32"/>
          <w:szCs w:val="32"/>
          <w:highlight w:val="none"/>
        </w:rPr>
        <w:br w:type="page"/>
      </w:r>
    </w:p>
    <w:p w14:paraId="5B161F08">
      <w:pPr>
        <w:snapToGrid w:val="0"/>
        <w:spacing w:line="360" w:lineRule="auto"/>
        <w:ind w:firstLine="3666" w:firstLineChars="1100"/>
        <w:rPr>
          <w:rFonts w:ascii="宋体" w:hAnsi="宋体" w:cs="宋体"/>
          <w:b/>
          <w:color w:val="auto"/>
          <w:kern w:val="0"/>
          <w:sz w:val="32"/>
          <w:szCs w:val="32"/>
          <w:highlight w:val="none"/>
        </w:rPr>
      </w:pPr>
      <w:r>
        <w:rPr>
          <w:rFonts w:hint="eastAsia" w:ascii="宋体" w:hAnsi="宋体" w:cs="宋体"/>
          <w:b/>
          <w:color w:val="auto"/>
          <w:spacing w:val="6"/>
          <w:sz w:val="32"/>
          <w:szCs w:val="32"/>
          <w:highlight w:val="none"/>
        </w:rPr>
        <w:t>附件</w:t>
      </w:r>
      <w:r>
        <w:rPr>
          <w:rFonts w:ascii="宋体" w:hAnsi="宋体" w:cs="宋体"/>
          <w:b/>
          <w:color w:val="auto"/>
          <w:spacing w:val="6"/>
          <w:sz w:val="32"/>
          <w:szCs w:val="32"/>
          <w:highlight w:val="none"/>
        </w:rPr>
        <w:t>6</w:t>
      </w:r>
      <w:r>
        <w:rPr>
          <w:rFonts w:hint="eastAsia" w:ascii="宋体" w:hAnsi="宋体" w:cs="宋体"/>
          <w:b/>
          <w:color w:val="auto"/>
          <w:spacing w:val="6"/>
          <w:sz w:val="32"/>
          <w:szCs w:val="32"/>
          <w:highlight w:val="none"/>
        </w:rPr>
        <w:t>：</w:t>
      </w:r>
      <w:r>
        <w:rPr>
          <w:rFonts w:hint="eastAsia" w:ascii="宋体" w:hAnsi="宋体" w:cs="宋体"/>
          <w:b/>
          <w:color w:val="auto"/>
          <w:kern w:val="0"/>
          <w:sz w:val="32"/>
          <w:szCs w:val="32"/>
          <w:highlight w:val="none"/>
        </w:rPr>
        <w:t>分包意向协议</w:t>
      </w:r>
    </w:p>
    <w:p w14:paraId="17CE8929">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rPr>
        <w:t>）</w:t>
      </w:r>
    </w:p>
    <w:p w14:paraId="0AC957DC">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lang w:eastAsia="zh-CN"/>
        </w:rPr>
        <w:t>2024-2027年市管公园综合养管项目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CBNB-20246487G</w:t>
      </w:r>
      <w:r>
        <w:rPr>
          <w:rFonts w:hint="eastAsia" w:ascii="宋体" w:hAnsi="宋体" w:cs="宋体"/>
          <w:color w:val="auto"/>
          <w:sz w:val="24"/>
          <w:highlight w:val="none"/>
        </w:rPr>
        <w:t>】</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14:paraId="34C4D52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7D9C5A2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（分包供应商2名称），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1F1163A8">
      <w:pPr>
        <w:ind w:left="664" w:leftChars="316" w:firstLine="228" w:firstLineChars="95"/>
        <w:rPr>
          <w:rFonts w:ascii="宋体" w:hAnsi="宋体" w:cs="宋体"/>
          <w:color w:val="auto"/>
          <w:kern w:val="0"/>
          <w:sz w:val="24"/>
          <w:highlight w:val="none"/>
        </w:rPr>
      </w:pPr>
      <w:r>
        <w:rPr>
          <w:rFonts w:hint="eastAsia" w:ascii="宋体" w:hAnsi="宋体" w:cs="宋体"/>
          <w:color w:val="auto"/>
          <w:kern w:val="0"/>
          <w:sz w:val="24"/>
          <w:highlight w:val="none"/>
        </w:rPr>
        <w:t>……</w:t>
      </w:r>
    </w:p>
    <w:p w14:paraId="575E1F83">
      <w:pPr>
        <w:rPr>
          <w:color w:val="auto"/>
          <w:highlight w:val="none"/>
        </w:rPr>
      </w:pPr>
      <w:r>
        <w:rPr>
          <w:rFonts w:hint="eastAsia"/>
          <w:color w:val="auto"/>
          <w:highlight w:val="none"/>
          <w:lang w:val="zh-CN"/>
        </w:rPr>
        <w:t xml:space="preserve"> </w:t>
      </w:r>
    </w:p>
    <w:p w14:paraId="5A033EF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14:paraId="5F5C1856">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……）提供的服务全部由小微企业承接，</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5D90337B">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p>
    <w:p w14:paraId="15DC5CC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7E802740">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14:paraId="57B7AE8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22AB17E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13C0AC8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71C24D12">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088D6179">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41A4816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6DA53C3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6B7D31AA">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1C90D3DD">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八、其他</w:t>
      </w:r>
    </w:p>
    <w:p w14:paraId="173CBF60">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  。                                           投标人名称（电子签名）：</w:t>
      </w:r>
    </w:p>
    <w:p w14:paraId="7F10BC81">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分包供应商名称（电子签名/公章）：</w:t>
      </w:r>
    </w:p>
    <w:p w14:paraId="6B234610">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772DAC58">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05418D85">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3E18E4B8">
      <w:pPr>
        <w:autoSpaceDE w:val="0"/>
        <w:autoSpaceDN w:val="0"/>
        <w:jc w:val="center"/>
        <w:rPr>
          <w:rFonts w:ascii="宋体" w:hAnsi="宋体" w:cs="宋体"/>
          <w:b/>
          <w:color w:val="auto"/>
          <w:spacing w:val="6"/>
          <w:sz w:val="32"/>
          <w:szCs w:val="32"/>
          <w:highlight w:val="none"/>
        </w:rPr>
      </w:pPr>
    </w:p>
    <w:p w14:paraId="6A833A4A">
      <w:pPr>
        <w:autoSpaceDE w:val="0"/>
        <w:autoSpaceDN w:val="0"/>
        <w:jc w:val="center"/>
        <w:rPr>
          <w:rFonts w:ascii="宋体" w:hAnsi="宋体" w:cs="宋体"/>
          <w:b/>
          <w:color w:val="auto"/>
          <w:spacing w:val="6"/>
          <w:sz w:val="32"/>
          <w:szCs w:val="32"/>
          <w:highlight w:val="none"/>
        </w:rPr>
      </w:pPr>
    </w:p>
    <w:p w14:paraId="72DA4166">
      <w:pPr>
        <w:autoSpaceDE w:val="0"/>
        <w:autoSpaceDN w:val="0"/>
        <w:jc w:val="center"/>
        <w:rPr>
          <w:rFonts w:ascii="宋体" w:hAnsi="宋体" w:cs="宋体"/>
          <w:b/>
          <w:color w:val="auto"/>
          <w:spacing w:val="6"/>
          <w:sz w:val="32"/>
          <w:szCs w:val="32"/>
          <w:highlight w:val="none"/>
        </w:rPr>
      </w:pPr>
    </w:p>
    <w:p w14:paraId="7C144500">
      <w:pPr>
        <w:autoSpaceDE w:val="0"/>
        <w:autoSpaceDN w:val="0"/>
        <w:jc w:val="center"/>
        <w:rPr>
          <w:rFonts w:ascii="宋体" w:hAnsi="宋体" w:cs="宋体"/>
          <w:b/>
          <w:color w:val="auto"/>
          <w:spacing w:val="6"/>
          <w:sz w:val="32"/>
          <w:szCs w:val="32"/>
          <w:highlight w:val="none"/>
        </w:rPr>
      </w:pPr>
    </w:p>
    <w:p w14:paraId="6D2FE9D5">
      <w:pPr>
        <w:autoSpaceDE w:val="0"/>
        <w:autoSpaceDN w:val="0"/>
        <w:jc w:val="center"/>
        <w:rPr>
          <w:rFonts w:ascii="宋体" w:hAnsi="宋体" w:cs="宋体"/>
          <w:b/>
          <w:color w:val="auto"/>
          <w:spacing w:val="6"/>
          <w:sz w:val="32"/>
          <w:szCs w:val="32"/>
          <w:highlight w:val="none"/>
        </w:rPr>
      </w:pPr>
    </w:p>
    <w:p w14:paraId="34F715E8">
      <w:pPr>
        <w:autoSpaceDE w:val="0"/>
        <w:autoSpaceDN w:val="0"/>
        <w:jc w:val="center"/>
        <w:rPr>
          <w:rFonts w:ascii="宋体" w:hAnsi="宋体" w:cs="宋体"/>
          <w:b/>
          <w:color w:val="auto"/>
          <w:spacing w:val="6"/>
          <w:sz w:val="32"/>
          <w:szCs w:val="32"/>
          <w:highlight w:val="none"/>
        </w:rPr>
      </w:pPr>
    </w:p>
    <w:p w14:paraId="12ECBEE3">
      <w:pPr>
        <w:autoSpaceDE w:val="0"/>
        <w:autoSpaceDN w:val="0"/>
        <w:jc w:val="center"/>
        <w:rPr>
          <w:rFonts w:ascii="宋体" w:hAnsi="宋体" w:cs="宋体"/>
          <w:b/>
          <w:color w:val="auto"/>
          <w:spacing w:val="6"/>
          <w:sz w:val="32"/>
          <w:szCs w:val="32"/>
          <w:highlight w:val="none"/>
        </w:rPr>
      </w:pPr>
    </w:p>
    <w:p w14:paraId="1246228C">
      <w:pPr>
        <w:autoSpaceDE w:val="0"/>
        <w:autoSpaceDN w:val="0"/>
        <w:jc w:val="center"/>
        <w:rPr>
          <w:rFonts w:ascii="宋体" w:hAnsi="宋体" w:cs="宋体"/>
          <w:b/>
          <w:color w:val="auto"/>
          <w:spacing w:val="6"/>
          <w:sz w:val="32"/>
          <w:szCs w:val="32"/>
          <w:highlight w:val="none"/>
        </w:rPr>
      </w:pPr>
    </w:p>
    <w:p w14:paraId="5C3177AD">
      <w:pPr>
        <w:autoSpaceDE w:val="0"/>
        <w:autoSpaceDN w:val="0"/>
        <w:jc w:val="center"/>
        <w:rPr>
          <w:rFonts w:ascii="宋体" w:hAnsi="宋体" w:cs="宋体"/>
          <w:b/>
          <w:color w:val="auto"/>
          <w:spacing w:val="6"/>
          <w:sz w:val="32"/>
          <w:szCs w:val="32"/>
          <w:highlight w:val="none"/>
        </w:rPr>
      </w:pPr>
    </w:p>
    <w:p w14:paraId="51A807E3">
      <w:pPr>
        <w:autoSpaceDE w:val="0"/>
        <w:autoSpaceDN w:val="0"/>
        <w:jc w:val="center"/>
        <w:rPr>
          <w:rFonts w:ascii="宋体" w:hAnsi="宋体" w:cs="宋体"/>
          <w:b/>
          <w:color w:val="auto"/>
          <w:spacing w:val="6"/>
          <w:sz w:val="32"/>
          <w:szCs w:val="32"/>
          <w:highlight w:val="none"/>
        </w:rPr>
      </w:pPr>
    </w:p>
    <w:p w14:paraId="3EB37637">
      <w:pPr>
        <w:autoSpaceDE w:val="0"/>
        <w:autoSpaceDN w:val="0"/>
        <w:jc w:val="center"/>
        <w:rPr>
          <w:rFonts w:ascii="宋体" w:hAnsi="宋体" w:cs="宋体"/>
          <w:b/>
          <w:color w:val="auto"/>
          <w:spacing w:val="6"/>
          <w:sz w:val="32"/>
          <w:szCs w:val="32"/>
          <w:highlight w:val="none"/>
        </w:rPr>
      </w:pPr>
    </w:p>
    <w:p w14:paraId="48D1D63D">
      <w:pPr>
        <w:autoSpaceDE w:val="0"/>
        <w:autoSpaceDN w:val="0"/>
        <w:jc w:val="center"/>
        <w:rPr>
          <w:rFonts w:ascii="宋体" w:hAnsi="宋体" w:cs="宋体"/>
          <w:b/>
          <w:color w:val="auto"/>
          <w:spacing w:val="6"/>
          <w:sz w:val="32"/>
          <w:szCs w:val="32"/>
          <w:highlight w:val="none"/>
        </w:rPr>
      </w:pPr>
    </w:p>
    <w:p w14:paraId="7A9BB42C">
      <w:pPr>
        <w:autoSpaceDE w:val="0"/>
        <w:autoSpaceDN w:val="0"/>
        <w:jc w:val="center"/>
        <w:rPr>
          <w:rFonts w:ascii="宋体" w:hAnsi="宋体" w:cs="宋体"/>
          <w:b/>
          <w:color w:val="auto"/>
          <w:spacing w:val="6"/>
          <w:sz w:val="32"/>
          <w:szCs w:val="32"/>
          <w:highlight w:val="none"/>
        </w:rPr>
      </w:pPr>
    </w:p>
    <w:p w14:paraId="0970DA9A">
      <w:pPr>
        <w:autoSpaceDE w:val="0"/>
        <w:autoSpaceDN w:val="0"/>
        <w:jc w:val="center"/>
        <w:rPr>
          <w:rFonts w:ascii="宋体" w:hAnsi="宋体" w:cs="宋体"/>
          <w:b/>
          <w:color w:val="auto"/>
          <w:spacing w:val="6"/>
          <w:sz w:val="32"/>
          <w:szCs w:val="32"/>
          <w:highlight w:val="none"/>
        </w:rPr>
      </w:pPr>
    </w:p>
    <w:p w14:paraId="528C546F">
      <w:pPr>
        <w:autoSpaceDE w:val="0"/>
        <w:autoSpaceDN w:val="0"/>
        <w:jc w:val="center"/>
        <w:rPr>
          <w:rFonts w:ascii="宋体" w:hAnsi="宋体" w:cs="宋体"/>
          <w:b/>
          <w:color w:val="auto"/>
          <w:spacing w:val="6"/>
          <w:sz w:val="32"/>
          <w:szCs w:val="32"/>
          <w:highlight w:val="none"/>
        </w:rPr>
      </w:pPr>
    </w:p>
    <w:p w14:paraId="7F9C5D47">
      <w:pPr>
        <w:autoSpaceDE w:val="0"/>
        <w:autoSpaceDN w:val="0"/>
        <w:jc w:val="center"/>
        <w:rPr>
          <w:rFonts w:ascii="宋体" w:hAnsi="宋体" w:cs="宋体"/>
          <w:b/>
          <w:color w:val="auto"/>
          <w:spacing w:val="6"/>
          <w:sz w:val="32"/>
          <w:szCs w:val="32"/>
          <w:highlight w:val="none"/>
        </w:rPr>
      </w:pPr>
    </w:p>
    <w:p w14:paraId="7ABFBED3">
      <w:pPr>
        <w:autoSpaceDE w:val="0"/>
        <w:autoSpaceDN w:val="0"/>
        <w:jc w:val="center"/>
        <w:rPr>
          <w:rFonts w:ascii="宋体" w:hAnsi="宋体" w:cs="宋体"/>
          <w:b/>
          <w:color w:val="auto"/>
          <w:spacing w:val="6"/>
          <w:sz w:val="32"/>
          <w:szCs w:val="32"/>
          <w:highlight w:val="none"/>
        </w:rPr>
      </w:pPr>
    </w:p>
    <w:p w14:paraId="2194193C">
      <w:pPr>
        <w:autoSpaceDE w:val="0"/>
        <w:autoSpaceDN w:val="0"/>
        <w:jc w:val="center"/>
        <w:rPr>
          <w:rFonts w:ascii="宋体" w:hAnsi="宋体" w:cs="宋体"/>
          <w:b/>
          <w:color w:val="auto"/>
          <w:spacing w:val="6"/>
          <w:sz w:val="32"/>
          <w:szCs w:val="32"/>
          <w:highlight w:val="none"/>
        </w:rPr>
      </w:pPr>
    </w:p>
    <w:p w14:paraId="35CB40AF">
      <w:pPr>
        <w:autoSpaceDE w:val="0"/>
        <w:autoSpaceDN w:val="0"/>
        <w:jc w:val="center"/>
        <w:rPr>
          <w:rFonts w:ascii="宋体" w:hAnsi="宋体" w:cs="宋体"/>
          <w:b/>
          <w:color w:val="auto"/>
          <w:spacing w:val="6"/>
          <w:sz w:val="32"/>
          <w:szCs w:val="32"/>
          <w:highlight w:val="none"/>
        </w:rPr>
      </w:pPr>
    </w:p>
    <w:p w14:paraId="6007BD26">
      <w:pPr>
        <w:autoSpaceDE w:val="0"/>
        <w:autoSpaceDN w:val="0"/>
        <w:jc w:val="center"/>
        <w:rPr>
          <w:rFonts w:ascii="宋体" w:hAnsi="宋体" w:cs="宋体"/>
          <w:b/>
          <w:color w:val="auto"/>
          <w:spacing w:val="6"/>
          <w:sz w:val="32"/>
          <w:szCs w:val="32"/>
          <w:highlight w:val="none"/>
        </w:rPr>
      </w:pPr>
    </w:p>
    <w:p w14:paraId="69FE2925">
      <w:pPr>
        <w:autoSpaceDE w:val="0"/>
        <w:autoSpaceDN w:val="0"/>
        <w:jc w:val="center"/>
        <w:rPr>
          <w:rFonts w:ascii="宋体" w:hAnsi="宋体" w:cs="宋体"/>
          <w:b/>
          <w:color w:val="auto"/>
          <w:spacing w:val="6"/>
          <w:sz w:val="32"/>
          <w:szCs w:val="32"/>
          <w:highlight w:val="none"/>
        </w:rPr>
      </w:pPr>
    </w:p>
    <w:p w14:paraId="49C1F95E">
      <w:pPr>
        <w:autoSpaceDE w:val="0"/>
        <w:autoSpaceDN w:val="0"/>
        <w:jc w:val="center"/>
        <w:rPr>
          <w:rFonts w:ascii="宋体" w:hAnsi="宋体" w:cs="宋体"/>
          <w:b/>
          <w:color w:val="auto"/>
          <w:spacing w:val="6"/>
          <w:sz w:val="32"/>
          <w:szCs w:val="32"/>
          <w:highlight w:val="none"/>
        </w:rPr>
      </w:pPr>
    </w:p>
    <w:p w14:paraId="5E43C0D8">
      <w:pPr>
        <w:autoSpaceDE w:val="0"/>
        <w:autoSpaceDN w:val="0"/>
        <w:jc w:val="center"/>
        <w:rPr>
          <w:rFonts w:ascii="宋体" w:hAnsi="宋体" w:cs="宋体"/>
          <w:b/>
          <w:color w:val="auto"/>
          <w:spacing w:val="6"/>
          <w:sz w:val="32"/>
          <w:szCs w:val="32"/>
          <w:highlight w:val="none"/>
        </w:rPr>
      </w:pPr>
    </w:p>
    <w:p w14:paraId="071D46BB">
      <w:pPr>
        <w:autoSpaceDE w:val="0"/>
        <w:autoSpaceDN w:val="0"/>
        <w:jc w:val="center"/>
        <w:rPr>
          <w:rFonts w:ascii="宋体" w:hAnsi="宋体" w:cs="宋体"/>
          <w:b/>
          <w:color w:val="auto"/>
          <w:spacing w:val="6"/>
          <w:sz w:val="32"/>
          <w:szCs w:val="32"/>
          <w:highlight w:val="none"/>
        </w:rPr>
      </w:pPr>
    </w:p>
    <w:p w14:paraId="4A5CC91F">
      <w:pPr>
        <w:autoSpaceDE w:val="0"/>
        <w:autoSpaceDN w:val="0"/>
        <w:jc w:val="center"/>
        <w:rPr>
          <w:rFonts w:ascii="宋体" w:hAnsi="宋体" w:cs="宋体"/>
          <w:b/>
          <w:color w:val="auto"/>
          <w:spacing w:val="6"/>
          <w:sz w:val="32"/>
          <w:szCs w:val="32"/>
          <w:highlight w:val="none"/>
        </w:rPr>
      </w:pPr>
    </w:p>
    <w:p w14:paraId="565158AA">
      <w:pPr>
        <w:autoSpaceDE w:val="0"/>
        <w:autoSpaceDN w:val="0"/>
        <w:jc w:val="center"/>
        <w:rPr>
          <w:rFonts w:ascii="宋体" w:hAnsi="宋体" w:cs="宋体"/>
          <w:b/>
          <w:color w:val="auto"/>
          <w:spacing w:val="6"/>
          <w:sz w:val="32"/>
          <w:szCs w:val="32"/>
          <w:highlight w:val="none"/>
        </w:rPr>
      </w:pPr>
    </w:p>
    <w:p w14:paraId="292013B2">
      <w:pPr>
        <w:autoSpaceDE w:val="0"/>
        <w:autoSpaceDN w:val="0"/>
        <w:jc w:val="center"/>
        <w:rPr>
          <w:rFonts w:ascii="宋体" w:hAnsi="宋体" w:cs="宋体"/>
          <w:b/>
          <w:color w:val="auto"/>
          <w:spacing w:val="6"/>
          <w:sz w:val="32"/>
          <w:szCs w:val="32"/>
          <w:highlight w:val="none"/>
        </w:rPr>
      </w:pPr>
    </w:p>
    <w:p w14:paraId="5A69B7EC">
      <w:pPr>
        <w:spacing w:line="360" w:lineRule="auto"/>
        <w:jc w:val="left"/>
        <w:outlineLvl w:val="1"/>
        <w:rPr>
          <w:rFonts w:ascii="宋体" w:hAnsi="宋体" w:cs="宋体"/>
          <w:b/>
          <w:color w:val="auto"/>
          <w:sz w:val="36"/>
          <w:szCs w:val="20"/>
          <w:highlight w:val="none"/>
        </w:rPr>
      </w:pPr>
      <w:bookmarkStart w:id="553" w:name="_Toc25251"/>
      <w:r>
        <w:rPr>
          <w:rFonts w:hint="eastAsia" w:ascii="宋体" w:hAnsi="宋体" w:cs="宋体"/>
          <w:b/>
          <w:color w:val="auto"/>
          <w:sz w:val="36"/>
          <w:szCs w:val="20"/>
          <w:highlight w:val="none"/>
        </w:rPr>
        <w:t>附件</w:t>
      </w:r>
      <w:r>
        <w:rPr>
          <w:rFonts w:ascii="宋体" w:hAnsi="宋体" w:cs="宋体"/>
          <w:b/>
          <w:color w:val="auto"/>
          <w:sz w:val="36"/>
          <w:szCs w:val="20"/>
          <w:highlight w:val="none"/>
        </w:rPr>
        <w:t>7</w:t>
      </w:r>
      <w:r>
        <w:rPr>
          <w:rFonts w:hint="eastAsia" w:ascii="宋体" w:hAnsi="宋体" w:cs="宋体"/>
          <w:b/>
          <w:color w:val="auto"/>
          <w:sz w:val="36"/>
          <w:szCs w:val="20"/>
          <w:highlight w:val="none"/>
        </w:rPr>
        <w:t>：中小企业声明函</w:t>
      </w:r>
      <w:bookmarkEnd w:id="553"/>
    </w:p>
    <w:p w14:paraId="232EAB51">
      <w:pPr>
        <w:spacing w:line="360" w:lineRule="auto"/>
        <w:jc w:val="center"/>
        <w:rPr>
          <w:rFonts w:ascii="宋体" w:hAnsi="宋体" w:cs="宋体"/>
          <w:color w:val="auto"/>
          <w:sz w:val="24"/>
          <w:highlight w:val="none"/>
          <w:u w:val="single"/>
        </w:rPr>
      </w:pPr>
    </w:p>
    <w:p w14:paraId="60ACF62C">
      <w:pPr>
        <w:spacing w:line="360" w:lineRule="auto"/>
        <w:jc w:val="center"/>
        <w:rPr>
          <w:rFonts w:ascii="宋体" w:hAnsi="宋体" w:cs="宋体"/>
          <w:b/>
          <w:color w:val="auto"/>
          <w:sz w:val="32"/>
          <w:szCs w:val="32"/>
          <w:highlight w:val="none"/>
        </w:rPr>
      </w:pPr>
      <w:bookmarkStart w:id="554" w:name="_Toc13008"/>
      <w:r>
        <w:rPr>
          <w:rFonts w:hint="eastAsia" w:ascii="宋体" w:hAnsi="宋体" w:cs="宋体"/>
          <w:b/>
          <w:color w:val="auto"/>
          <w:sz w:val="32"/>
          <w:szCs w:val="32"/>
          <w:highlight w:val="none"/>
        </w:rPr>
        <w:t>中小企业声明函（服务）</w:t>
      </w:r>
      <w:bookmarkEnd w:id="554"/>
    </w:p>
    <w:p w14:paraId="715BD248">
      <w:pPr>
        <w:spacing w:line="360" w:lineRule="auto"/>
        <w:ind w:firstLine="360" w:firstLineChars="150"/>
        <w:jc w:val="left"/>
        <w:rPr>
          <w:rFonts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lang w:eastAsia="zh-CN"/>
        </w:rPr>
        <w:t>宁波市园林绿化中心</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2024-2027年市管公园综合养管项目</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2A2642F5">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highlight w:val="non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标项1</w:t>
      </w:r>
      <w:r>
        <w:rPr>
          <w:rFonts w:hint="eastAsia" w:ascii="宋体" w:hAnsi="宋体" w:cs="宋体"/>
          <w:color w:val="auto"/>
          <w:sz w:val="24"/>
          <w:highlight w:val="none"/>
          <w:u w:val="single"/>
        </w:rPr>
        <w:t>：日湖公园综合养管）</w:t>
      </w:r>
      <w:r>
        <w:rPr>
          <w:rFonts w:hint="eastAsia" w:ascii="宋体" w:hAnsi="宋体" w:cs="宋体"/>
          <w:color w:val="auto"/>
          <w:sz w:val="24"/>
          <w:highlight w:val="none"/>
        </w:rPr>
        <w:t>，属于</w:t>
      </w:r>
      <w:r>
        <w:rPr>
          <w:rFonts w:hint="eastAsia" w:ascii="宋体" w:hAnsi="宋体" w:cs="宋体"/>
          <w:color w:val="auto"/>
          <w:sz w:val="24"/>
          <w:highlight w:val="none"/>
          <w:u w:val="single"/>
        </w:rPr>
        <w:t xml:space="preserve"> （采购文件中明确的所属行业：其他未列明行业）</w:t>
      </w:r>
      <w:r>
        <w:rPr>
          <w:rFonts w:hint="eastAsia" w:ascii="宋体" w:hAnsi="宋体" w:cs="宋体"/>
          <w:color w:val="auto"/>
          <w:sz w:val="24"/>
          <w:highlight w:val="none"/>
        </w:rPr>
        <w:t xml:space="preserve"> ；承建（承接）企业为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 </w:t>
      </w:r>
      <w:r>
        <w:rPr>
          <w:rFonts w:hint="eastAsia" w:ascii="宋体" w:hAnsi="宋体" w:cs="宋体"/>
          <w:color w:val="auto"/>
          <w:sz w:val="24"/>
          <w:highlight w:val="none"/>
        </w:rPr>
        <w:t>；</w:t>
      </w:r>
    </w:p>
    <w:p w14:paraId="711EF364">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标项2</w:t>
      </w:r>
      <w:r>
        <w:rPr>
          <w:rFonts w:hint="eastAsia" w:ascii="宋体" w:hAnsi="宋体" w:cs="宋体"/>
          <w:color w:val="auto"/>
          <w:sz w:val="24"/>
          <w:highlight w:val="none"/>
          <w:u w:val="single"/>
          <w:lang w:eastAsia="zh-CN"/>
        </w:rPr>
        <w:t>：绿岛公园（含园林博物馆）、青林湾公园、福民公园、临时盆景园综合养管</w:t>
      </w:r>
      <w:r>
        <w:rPr>
          <w:rFonts w:hint="eastAsia" w:ascii="宋体" w:hAnsi="宋体" w:cs="宋体"/>
          <w:color w:val="auto"/>
          <w:sz w:val="24"/>
          <w:highlight w:val="none"/>
          <w:u w:val="single"/>
        </w:rPr>
        <w:t>），</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 xml:space="preserve">（采购文件中明确的所属行业：其他未列明行业） </w:t>
      </w:r>
      <w:r>
        <w:rPr>
          <w:rFonts w:hint="eastAsia" w:ascii="宋体" w:hAnsi="宋体" w:cs="宋体"/>
          <w:color w:val="auto"/>
          <w:sz w:val="24"/>
          <w:highlight w:val="none"/>
        </w:rPr>
        <w:t xml:space="preserve">；承建（承接）企业为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 </w:t>
      </w:r>
      <w:r>
        <w:rPr>
          <w:rFonts w:hint="eastAsia" w:ascii="宋体" w:hAnsi="宋体" w:cs="宋体"/>
          <w:color w:val="auto"/>
          <w:sz w:val="24"/>
          <w:highlight w:val="none"/>
        </w:rPr>
        <w:t>；</w:t>
      </w:r>
    </w:p>
    <w:p w14:paraId="7C6ABC01">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标项3</w:t>
      </w:r>
      <w:r>
        <w:rPr>
          <w:rFonts w:hint="eastAsia" w:ascii="宋体" w:hAnsi="宋体" w:cs="宋体"/>
          <w:color w:val="auto"/>
          <w:sz w:val="24"/>
          <w:highlight w:val="none"/>
          <w:u w:val="single"/>
          <w:lang w:eastAsia="zh-CN"/>
        </w:rPr>
        <w:t>：儿童公园综合养管</w:t>
      </w:r>
      <w:r>
        <w:rPr>
          <w:rFonts w:hint="eastAsia" w:ascii="宋体" w:hAnsi="宋体" w:cs="宋体"/>
          <w:color w:val="auto"/>
          <w:sz w:val="24"/>
          <w:highlight w:val="none"/>
          <w:u w:val="single"/>
        </w:rPr>
        <w:t>），</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 xml:space="preserve">（采购文件中明确的所属行业：其他未列明行业） </w:t>
      </w:r>
      <w:r>
        <w:rPr>
          <w:rFonts w:hint="eastAsia" w:ascii="宋体" w:hAnsi="宋体" w:cs="宋体"/>
          <w:color w:val="auto"/>
          <w:sz w:val="24"/>
          <w:highlight w:val="none"/>
        </w:rPr>
        <w:t>；承建（</w:t>
      </w:r>
      <w:bookmarkStart w:id="555" w:name="_GoBack"/>
      <w:bookmarkEnd w:id="555"/>
      <w:r>
        <w:rPr>
          <w:rFonts w:hint="eastAsia" w:ascii="宋体" w:hAnsi="宋体" w:cs="宋体"/>
          <w:color w:val="auto"/>
          <w:sz w:val="24"/>
          <w:highlight w:val="none"/>
        </w:rPr>
        <w:t xml:space="preserve">承接）企业为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 </w:t>
      </w:r>
      <w:r>
        <w:rPr>
          <w:rFonts w:hint="eastAsia" w:ascii="宋体" w:hAnsi="宋体" w:cs="宋体"/>
          <w:color w:val="auto"/>
          <w:sz w:val="24"/>
          <w:highlight w:val="none"/>
        </w:rPr>
        <w:t>；</w:t>
      </w:r>
    </w:p>
    <w:p w14:paraId="5C33A388">
      <w:pPr>
        <w:spacing w:line="360" w:lineRule="auto"/>
        <w:ind w:firstLine="480" w:firstLineChars="200"/>
        <w:jc w:val="left"/>
        <w:rPr>
          <w:rFonts w:hint="eastAsia" w:ascii="宋体" w:hAnsi="宋体" w:cs="宋体"/>
          <w:color w:val="auto"/>
          <w:sz w:val="24"/>
          <w:highlight w:val="none"/>
        </w:rPr>
      </w:pPr>
    </w:p>
    <w:p w14:paraId="217A7A89">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14:paraId="7AF6EAF4">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14:paraId="2C9AD96F">
      <w:pPr>
        <w:spacing w:line="360" w:lineRule="auto"/>
        <w:ind w:right="1760"/>
        <w:jc w:val="right"/>
        <w:rPr>
          <w:rFonts w:ascii="宋体" w:hAnsi="宋体" w:cs="宋体"/>
          <w:color w:val="auto"/>
          <w:sz w:val="24"/>
          <w:highlight w:val="none"/>
        </w:rPr>
      </w:pPr>
      <w:r>
        <w:rPr>
          <w:rFonts w:hint="eastAsia" w:ascii="宋体" w:hAnsi="宋体" w:cs="宋体"/>
          <w:color w:val="auto"/>
          <w:sz w:val="24"/>
          <w:highlight w:val="none"/>
        </w:rPr>
        <w:t>投标人名称（电子签名）：</w:t>
      </w:r>
    </w:p>
    <w:p w14:paraId="15577324">
      <w:pPr>
        <w:spacing w:line="360" w:lineRule="auto"/>
        <w:ind w:right="1120" w:firstLine="4680" w:firstLineChars="1950"/>
        <w:rPr>
          <w:rFonts w:ascii="宋体" w:hAnsi="宋体" w:cs="宋体"/>
          <w:color w:val="auto"/>
          <w:sz w:val="24"/>
          <w:highlight w:val="none"/>
        </w:rPr>
      </w:pPr>
      <w:r>
        <w:rPr>
          <w:rFonts w:hint="eastAsia" w:ascii="宋体" w:hAnsi="宋体" w:cs="宋体"/>
          <w:color w:val="auto"/>
          <w:sz w:val="24"/>
          <w:highlight w:val="none"/>
        </w:rPr>
        <w:t>日 期：</w:t>
      </w:r>
    </w:p>
    <w:p w14:paraId="56A8E293">
      <w:pPr>
        <w:spacing w:line="360" w:lineRule="auto"/>
        <w:ind w:firstLine="310" w:firstLineChars="147"/>
        <w:jc w:val="left"/>
        <w:rPr>
          <w:rFonts w:ascii="宋体" w:hAnsi="宋体" w:cs="宋体"/>
          <w:b/>
          <w:color w:val="auto"/>
          <w:szCs w:val="21"/>
          <w:highlight w:val="none"/>
        </w:rPr>
      </w:pPr>
      <w:r>
        <w:rPr>
          <w:rFonts w:hint="eastAsia" w:ascii="宋体" w:hAnsi="宋体" w:cs="宋体"/>
          <w:b/>
          <w:color w:val="auto"/>
          <w:szCs w:val="21"/>
          <w:highlight w:val="none"/>
        </w:rPr>
        <w:t>从业人员、营业收入、资产总额填报上一年度数据，无上一年度数据的新成立企业可不填报。</w:t>
      </w:r>
    </w:p>
    <w:p w14:paraId="0EF92B74">
      <w:pPr>
        <w:spacing w:line="360" w:lineRule="auto"/>
        <w:ind w:right="420"/>
        <w:rPr>
          <w:rFonts w:ascii="宋体" w:hAnsi="宋体" w:cs="宋体"/>
          <w:color w:val="auto"/>
          <w:sz w:val="24"/>
          <w:highlight w:val="none"/>
        </w:rPr>
      </w:pPr>
    </w:p>
    <w:p w14:paraId="783C4AC3">
      <w:pPr>
        <w:spacing w:line="360" w:lineRule="auto"/>
        <w:ind w:right="420"/>
        <w:rPr>
          <w:rFonts w:ascii="宋体" w:hAnsi="宋体" w:cs="宋体"/>
          <w:color w:val="auto"/>
          <w:sz w:val="24"/>
          <w:highlight w:val="none"/>
        </w:rPr>
      </w:pPr>
      <w:r>
        <w:rPr>
          <w:rFonts w:hint="eastAsia" w:ascii="宋体" w:hAnsi="宋体" w:cs="宋体"/>
          <w:color w:val="auto"/>
          <w:sz w:val="24"/>
          <w:highlight w:val="none"/>
        </w:rPr>
        <w:t xml:space="preserve">   注：</w:t>
      </w:r>
    </w:p>
    <w:p w14:paraId="652749B5">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32FBA6B">
      <w:pPr>
        <w:spacing w:line="360" w:lineRule="auto"/>
        <w:ind w:right="420" w:firstLine="720" w:firstLineChars="300"/>
        <w:rPr>
          <w:rFonts w:ascii="宋体" w:hAnsi="宋体" w:cs="宋体"/>
          <w:color w:val="auto"/>
          <w:sz w:val="24"/>
          <w:highlight w:val="none"/>
        </w:rPr>
      </w:pPr>
      <w:r>
        <w:rPr>
          <w:rFonts w:hint="eastAsia" w:ascii="宋体" w:hAnsi="宋体" w:cs="宋体"/>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94C3BB1">
      <w:pPr>
        <w:spacing w:line="360" w:lineRule="auto"/>
        <w:ind w:right="420" w:firstLine="720" w:firstLineChars="300"/>
        <w:rPr>
          <w:color w:val="auto"/>
          <w:highlight w:val="none"/>
        </w:rPr>
      </w:pPr>
      <w:r>
        <w:rPr>
          <w:rFonts w:hint="eastAsia" w:ascii="宋体" w:hAnsi="宋体" w:cs="宋体"/>
          <w:color w:val="auto"/>
          <w:sz w:val="24"/>
          <w:highlight w:val="none"/>
        </w:rPr>
        <w:t>3、本采购文件中明确的所属行业为其他未列明行业：从业人员300人以下的为中小微型企业。其中，从业人员100人及以上的为中型企业；从业人员10人及以上的为小型企业；从业人员10人以下的为微型企业。</w:t>
      </w:r>
    </w:p>
    <w:p w14:paraId="2A32D15B">
      <w:pPr>
        <w:pStyle w:val="25"/>
        <w:rPr>
          <w:color w:val="auto"/>
          <w:highlight w:val="none"/>
        </w:rPr>
      </w:pPr>
    </w:p>
    <w:p w14:paraId="7D66B555">
      <w:pPr>
        <w:rPr>
          <w:rFonts w:ascii="宋体" w:hAnsi="宋体" w:cs="宋体"/>
          <w:color w:val="auto"/>
          <w:highlight w:val="none"/>
        </w:rPr>
      </w:pPr>
    </w:p>
    <w:p w14:paraId="14D31070">
      <w:pPr>
        <w:spacing w:line="360" w:lineRule="auto"/>
        <w:ind w:right="420"/>
        <w:rPr>
          <w:rFonts w:ascii="宋体" w:hAnsi="宋体" w:cs="宋体"/>
          <w:color w:val="auto"/>
          <w:highlight w:val="none"/>
        </w:rPr>
      </w:pPr>
    </w:p>
    <w:p w14:paraId="2AF73558">
      <w:pPr>
        <w:spacing w:line="360" w:lineRule="auto"/>
        <w:rPr>
          <w:rFonts w:ascii="宋体" w:hAnsi="宋体" w:cs="宋体"/>
          <w:bCs/>
          <w:color w:val="auto"/>
          <w:sz w:val="24"/>
          <w:highlight w:val="none"/>
        </w:rPr>
      </w:pPr>
    </w:p>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Segoe UI Symbol">
    <w:panose1 w:val="020B0502040204020203"/>
    <w:charset w:val="00"/>
    <w:family w:val="swiss"/>
    <w:pitch w:val="default"/>
    <w:sig w:usb0="800001E3" w:usb1="1200FFEF" w:usb2="00040000" w:usb3="04000000" w:csb0="00000001" w:csb1="40000000"/>
  </w:font>
  <w:font w:name="MS Mincho">
    <w:altName w:val="Yu Gothic UI"/>
    <w:panose1 w:val="02020609040205080304"/>
    <w:charset w:val="80"/>
    <w:family w:val="modern"/>
    <w:pitch w:val="default"/>
    <w:sig w:usb0="00000000" w:usb1="00000000" w:usb2="00000012" w:usb3="00000000" w:csb0="4002009F" w:csb1="DFD70000"/>
  </w:font>
  <w:font w:name="方正书宋简体">
    <w:altName w:val="宋体"/>
    <w:panose1 w:val="02010601030101010101"/>
    <w:charset w:val="86"/>
    <w:family w:val="auto"/>
    <w:pitch w:val="default"/>
    <w:sig w:usb0="00000000" w:usb1="00000000" w:usb2="00000010" w:usb3="00000000" w:csb0="00040000"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E004E">
    <w:pPr>
      <w:pStyle w:val="42"/>
      <w:jc w:val="center"/>
      <w:rPr>
        <w:rFonts w:ascii="仿宋_GB2312" w:eastAsia="仿宋_GB231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AFCBA">
    <w:pPr>
      <w:pStyle w:val="42"/>
      <w:ind w:right="360"/>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E94C8A">
                          <w:pPr>
                            <w:pStyle w:val="42"/>
                          </w:pPr>
                          <w:r>
                            <w:fldChar w:fldCharType="begin"/>
                          </w:r>
                          <w:r>
                            <w:instrText xml:space="preserve"> PAGE  \* MERGEFORMAT </w:instrText>
                          </w:r>
                          <w:r>
                            <w:fldChar w:fldCharType="separate"/>
                          </w:r>
                          <w:r>
                            <w:t>168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29E94C8A">
                    <w:pPr>
                      <w:pStyle w:val="42"/>
                    </w:pPr>
                    <w:r>
                      <w:fldChar w:fldCharType="begin"/>
                    </w:r>
                    <w:r>
                      <w:instrText xml:space="preserve"> PAGE  \* MERGEFORMAT </w:instrText>
                    </w:r>
                    <w:r>
                      <w:fldChar w:fldCharType="separate"/>
                    </w:r>
                    <w:r>
                      <w:t>168</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E9C2A">
    <w:pPr>
      <w:pStyle w:val="42"/>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B34D76">
                          <w:pPr>
                            <w:pStyle w:val="42"/>
                          </w:pPr>
                          <w:r>
                            <w:fldChar w:fldCharType="begin"/>
                          </w:r>
                          <w:r>
                            <w:instrText xml:space="preserve"> PAGE  \* MERGEFORMAT </w:instrText>
                          </w:r>
                          <w:r>
                            <w:fldChar w:fldCharType="separate"/>
                          </w:r>
                          <w:r>
                            <w:t>167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1DB34D76">
                    <w:pPr>
                      <w:pStyle w:val="42"/>
                    </w:pPr>
                    <w:r>
                      <w:fldChar w:fldCharType="begin"/>
                    </w:r>
                    <w:r>
                      <w:instrText xml:space="preserve"> PAGE  \* MERGEFORMAT </w:instrText>
                    </w:r>
                    <w:r>
                      <w:fldChar w:fldCharType="separate"/>
                    </w:r>
                    <w:r>
                      <w:t>167</w:t>
                    </w:r>
                    <w:r>
                      <w:fldChar w:fldCharType="end"/>
                    </w:r>
                  </w:p>
                </w:txbxContent>
              </v:textbox>
            </v:shape>
          </w:pict>
        </mc:Fallback>
      </mc:AlternateContent>
    </w:r>
  </w:p>
  <w:p w14:paraId="2CF053FA">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C47A7">
    <w:pPr>
      <w:pStyle w:val="42"/>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FC7FF4">
                          <w:pPr>
                            <w:pStyle w:val="42"/>
                          </w:pPr>
                          <w:r>
                            <w:fldChar w:fldCharType="begin"/>
                          </w:r>
                          <w:r>
                            <w:instrText xml:space="preserve"> PAGE  \* MERGEFORMAT </w:instrText>
                          </w:r>
                          <w:r>
                            <w:fldChar w:fldCharType="separate"/>
                          </w:r>
                          <w:r>
                            <w:t>188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46FC7FF4">
                    <w:pPr>
                      <w:pStyle w:val="42"/>
                    </w:pPr>
                    <w:r>
                      <w:fldChar w:fldCharType="begin"/>
                    </w:r>
                    <w:r>
                      <w:instrText xml:space="preserve"> PAGE  \* MERGEFORMAT </w:instrText>
                    </w:r>
                    <w:r>
                      <w:fldChar w:fldCharType="separate"/>
                    </w:r>
                    <w:r>
                      <w:t>188</w:t>
                    </w:r>
                    <w:r>
                      <w:fldChar w:fldCharType="end"/>
                    </w:r>
                  </w:p>
                </w:txbxContent>
              </v:textbox>
            </v:shape>
          </w:pict>
        </mc:Fallback>
      </mc:AlternateContent>
    </w:r>
  </w:p>
  <w:p w14:paraId="7C8B227F">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8CA45">
    <w:pPr>
      <w:pStyle w:val="42"/>
      <w:jc w:val="center"/>
      <w:rPr>
        <w:rFonts w:ascii="仿宋_GB2312" w:eastAsia="仿宋_GB2312"/>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B8706F">
                          <w:pPr>
                            <w:pStyle w:val="42"/>
                          </w:pPr>
                          <w:r>
                            <w:fldChar w:fldCharType="begin"/>
                          </w:r>
                          <w:r>
                            <w:instrText xml:space="preserve"> PAGE  \* MERGEFORMAT </w:instrText>
                          </w:r>
                          <w:r>
                            <w:fldChar w:fldCharType="separate"/>
                          </w:r>
                          <w:r>
                            <w:t>187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14:paraId="47B8706F">
                    <w:pPr>
                      <w:pStyle w:val="42"/>
                    </w:pPr>
                    <w:r>
                      <w:fldChar w:fldCharType="begin"/>
                    </w:r>
                    <w:r>
                      <w:instrText xml:space="preserve"> PAGE  \* MERGEFORMAT </w:instrText>
                    </w:r>
                    <w:r>
                      <w:fldChar w:fldCharType="separate"/>
                    </w:r>
                    <w:r>
                      <w:t>187</w:t>
                    </w:r>
                    <w:r>
                      <w:fldChar w:fldCharType="end"/>
                    </w:r>
                  </w:p>
                </w:txbxContent>
              </v:textbox>
            </v:shape>
          </w:pict>
        </mc:Fallback>
      </mc:AlternateContent>
    </w:r>
  </w:p>
  <w:p w14:paraId="06E574DD">
    <w:pPr>
      <w:rPr>
        <w:rFonts w:ascii="仿宋_GB2312" w:eastAsia="仿宋_GB231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B43B0">
    <w:pPr>
      <w:pStyle w:val="42"/>
      <w:jc w:val="center"/>
      <w:rPr>
        <w:rFonts w:ascii="仿宋_GB2312" w:eastAsia="仿宋_GB2312"/>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4D9D00">
                          <w:pPr>
                            <w:pStyle w:val="4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14:paraId="0B4D9D00">
                    <w:pPr>
                      <w:pStyle w:val="42"/>
                    </w:pPr>
                    <w:r>
                      <w:fldChar w:fldCharType="begin"/>
                    </w:r>
                    <w:r>
                      <w:instrText xml:space="preserve"> PAGE  \* MERGEFORMAT </w:instrText>
                    </w:r>
                    <w:r>
                      <w:fldChar w:fldCharType="separate"/>
                    </w:r>
                    <w:r>
                      <w:t>1</w:t>
                    </w:r>
                    <w:r>
                      <w:fldChar w:fldCharType="end"/>
                    </w:r>
                  </w:p>
                </w:txbxContent>
              </v:textbox>
            </v:shape>
          </w:pict>
        </mc:Fallback>
      </mc:AlternateContent>
    </w:r>
  </w:p>
  <w:p w14:paraId="55B36DB9">
    <w:pPr>
      <w:rPr>
        <w:rFonts w:ascii="仿宋_GB2312" w:eastAsia="仿宋_GB231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84DC6">
    <w:pPr>
      <w:pStyle w:val="42"/>
      <w:jc w:val="center"/>
      <w:rPr>
        <w:rFonts w:ascii="仿宋_GB2312" w:eastAsia="仿宋_GB2312"/>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09ADD8">
                          <w:pPr>
                            <w:pStyle w:val="42"/>
                          </w:pPr>
                          <w:r>
                            <w:fldChar w:fldCharType="begin"/>
                          </w:r>
                          <w:r>
                            <w:instrText xml:space="preserve"> PAGE  \* MERGEFORMAT </w:instrText>
                          </w:r>
                          <w:r>
                            <w:fldChar w:fldCharType="separate"/>
                          </w:r>
                          <w:r>
                            <w:t>190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14:paraId="2509ADD8">
                    <w:pPr>
                      <w:pStyle w:val="42"/>
                    </w:pPr>
                    <w:r>
                      <w:fldChar w:fldCharType="begin"/>
                    </w:r>
                    <w:r>
                      <w:instrText xml:space="preserve"> PAGE  \* MERGEFORMAT </w:instrText>
                    </w:r>
                    <w:r>
                      <w:fldChar w:fldCharType="separate"/>
                    </w:r>
                    <w:r>
                      <w:t>190</w:t>
                    </w:r>
                    <w:r>
                      <w:fldChar w:fldCharType="end"/>
                    </w:r>
                  </w:p>
                </w:txbxContent>
              </v:textbox>
            </v:shape>
          </w:pict>
        </mc:Fallback>
      </mc:AlternateContent>
    </w:r>
  </w:p>
  <w:p w14:paraId="41EA98DF">
    <w:pPr>
      <w:rPr>
        <w:rFonts w:ascii="仿宋_GB2312" w:eastAsia="仿宋_GB231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5B7A4">
    <w:pPr>
      <w:pStyle w:val="42"/>
      <w:jc w:val="center"/>
      <w:rPr>
        <w:rFonts w:ascii="仿宋_GB2312" w:eastAsia="仿宋_GB2312"/>
        <w:szCs w:val="24"/>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703B97">
                          <w:pPr>
                            <w:pStyle w:val="42"/>
                          </w:pPr>
                          <w:r>
                            <w:fldChar w:fldCharType="begin"/>
                          </w:r>
                          <w:r>
                            <w:instrText xml:space="preserve"> PAGE  \* MERGEFORMAT </w:instrText>
                          </w:r>
                          <w:r>
                            <w:fldChar w:fldCharType="separate"/>
                          </w:r>
                          <w:r>
                            <w:t>193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14:paraId="3D703B97">
                    <w:pPr>
                      <w:pStyle w:val="42"/>
                    </w:pPr>
                    <w:r>
                      <w:fldChar w:fldCharType="begin"/>
                    </w:r>
                    <w:r>
                      <w:instrText xml:space="preserve"> PAGE  \* MERGEFORMAT </w:instrText>
                    </w:r>
                    <w:r>
                      <w:fldChar w:fldCharType="separate"/>
                    </w:r>
                    <w:r>
                      <w:t>193</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8B11E">
    <w:pPr>
      <w:pStyle w:val="42"/>
      <w:framePr w:wrap="around" w:vAnchor="text" w:hAnchor="margin" w:xAlign="right" w:y="1"/>
      <w:rPr>
        <w:rStyle w:val="72"/>
      </w:rPr>
    </w:pPr>
    <w:r>
      <w:fldChar w:fldCharType="begin"/>
    </w:r>
    <w:r>
      <w:rPr>
        <w:rStyle w:val="72"/>
      </w:rPr>
      <w:instrText xml:space="preserve">PAGE  </w:instrText>
    </w:r>
    <w:r>
      <w:fldChar w:fldCharType="end"/>
    </w:r>
  </w:p>
  <w:p w14:paraId="3F4DE5C0">
    <w:pPr>
      <w:pStyle w:val="42"/>
      <w:ind w:right="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BB0BC">
    <w:pPr>
      <w:pStyle w:val="42"/>
      <w:jc w:val="center"/>
      <w:rPr>
        <w:rFonts w:ascii="仿宋_GB2312" w:eastAsia="仿宋_GB2312"/>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B2B3A4">
                          <w:pPr>
                            <w:pStyle w:val="42"/>
                          </w:pPr>
                          <w:r>
                            <w:fldChar w:fldCharType="begin"/>
                          </w:r>
                          <w:r>
                            <w:instrText xml:space="preserve"> PAGE  \* MERGEFORMAT </w:instrText>
                          </w:r>
                          <w:r>
                            <w:fldChar w:fldCharType="separate"/>
                          </w:r>
                          <w:r>
                            <w:t>192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14:paraId="02B2B3A4">
                    <w:pPr>
                      <w:pStyle w:val="42"/>
                    </w:pPr>
                    <w:r>
                      <w:fldChar w:fldCharType="begin"/>
                    </w:r>
                    <w:r>
                      <w:instrText xml:space="preserve"> PAGE  \* MERGEFORMAT </w:instrText>
                    </w:r>
                    <w:r>
                      <w:fldChar w:fldCharType="separate"/>
                    </w:r>
                    <w:r>
                      <w:t>192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95151">
    <w:pPr>
      <w:pStyle w:val="42"/>
      <w:framePr w:wrap="around" w:vAnchor="text" w:hAnchor="margin" w:xAlign="right" w:y="1"/>
      <w:rPr>
        <w:rStyle w:val="72"/>
      </w:rPr>
    </w:pPr>
    <w:r>
      <w:fldChar w:fldCharType="begin"/>
    </w:r>
    <w:r>
      <w:rPr>
        <w:rStyle w:val="72"/>
      </w:rPr>
      <w:instrText xml:space="preserve">PAGE  </w:instrText>
    </w:r>
    <w:r>
      <w:fldChar w:fldCharType="end"/>
    </w:r>
  </w:p>
  <w:p w14:paraId="52872B00">
    <w:pPr>
      <w:pStyle w:val="4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B44B1">
    <w:pPr>
      <w:pStyle w:val="42"/>
      <w:jc w:val="cente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0CCF1">
    <w:pPr>
      <w:pStyle w:val="42"/>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CAC888">
                          <w:pPr>
                            <w:pStyle w:val="4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14CAC888">
                    <w:pPr>
                      <w:pStyle w:val="4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F9C93">
    <w:pPr>
      <w:pStyle w:val="42"/>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AE5F09">
                          <w:pPr>
                            <w:pStyle w:val="4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4CAE5F09">
                    <w:pPr>
                      <w:pStyle w:val="4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7F2FF">
    <w:pPr>
      <w:widowControl w:val="0"/>
      <w:tabs>
        <w:tab w:val="center" w:pos="4153"/>
        <w:tab w:val="right" w:pos="8306"/>
      </w:tabs>
      <w:adjustRightInd w:val="0"/>
      <w:snapToGrid w:val="0"/>
      <w:jc w:val="left"/>
      <w:rPr>
        <w:rFonts w:ascii="Times New Roman" w:hAnsi="Times New Roman" w:eastAsia="宋体" w:cs="Times New Roman"/>
        <w:kern w:val="2"/>
        <w:sz w:val="18"/>
        <w:szCs w:val="24"/>
        <w:lang w:val="en-US" w:eastAsia="zh-CN" w:bidi="ar-S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BED5E8">
                          <w:pPr>
                            <w:pStyle w:val="4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70BED5E8">
                    <w:pPr>
                      <w:pStyle w:val="4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30016">
    <w:pPr>
      <w:widowControl w:val="0"/>
      <w:tabs>
        <w:tab w:val="center" w:pos="4153"/>
        <w:tab w:val="right" w:pos="8306"/>
      </w:tabs>
      <w:adjustRightInd w:val="0"/>
      <w:snapToGrid w:val="0"/>
      <w:jc w:val="left"/>
      <w:rPr>
        <w:rFonts w:ascii="Times New Roman" w:hAnsi="Times New Roman" w:eastAsia="宋体" w:cs="Times New Roman"/>
        <w:kern w:val="2"/>
        <w:sz w:val="18"/>
        <w:szCs w:val="24"/>
        <w:lang w:val="en-US" w:eastAsia="zh-CN" w:bidi="ar-S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968A98">
                          <w:pPr>
                            <w:pStyle w:val="42"/>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0C968A98">
                    <w:pPr>
                      <w:pStyle w:val="42"/>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F928F">
    <w:pPr>
      <w:widowControl w:val="0"/>
      <w:tabs>
        <w:tab w:val="center" w:pos="4153"/>
        <w:tab w:val="right" w:pos="8306"/>
      </w:tabs>
      <w:adjustRightInd w:val="0"/>
      <w:snapToGrid w:val="0"/>
      <w:jc w:val="left"/>
      <w:rPr>
        <w:rFonts w:ascii="Times New Roman" w:hAnsi="Times New Roman" w:eastAsia="宋体" w:cs="Times New Roman"/>
        <w:kern w:val="2"/>
        <w:sz w:val="18"/>
        <w:szCs w:val="24"/>
        <w:lang w:val="en-US" w:eastAsia="zh-CN" w:bidi="ar-S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97C505">
                          <w:pPr>
                            <w:pStyle w:val="42"/>
                          </w:pPr>
                          <w:r>
                            <w:fldChar w:fldCharType="begin"/>
                          </w:r>
                          <w:r>
                            <w:instrText xml:space="preserve"> PAGE  \* MERGEFORMAT </w:instrText>
                          </w:r>
                          <w:r>
                            <w:fldChar w:fldCharType="separate"/>
                          </w:r>
                          <w:r>
                            <w:t>101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3797C505">
                    <w:pPr>
                      <w:pStyle w:val="42"/>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49CEB">
    <w:pPr>
      <w:widowControl w:val="0"/>
      <w:tabs>
        <w:tab w:val="center" w:pos="4153"/>
        <w:tab w:val="right" w:pos="8306"/>
      </w:tabs>
      <w:adjustRightInd w:val="0"/>
      <w:snapToGrid w:val="0"/>
      <w:jc w:val="left"/>
      <w:rPr>
        <w:rFonts w:ascii="Times New Roman" w:hAnsi="Times New Roman" w:eastAsia="宋体" w:cs="Times New Roman"/>
        <w:kern w:val="2"/>
        <w:sz w:val="18"/>
        <w:szCs w:val="24"/>
        <w:lang w:val="en-US" w:eastAsia="zh-CN" w:bidi="ar-SA"/>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B33B7C">
                          <w:pPr>
                            <w:pStyle w:val="42"/>
                          </w:pPr>
                          <w:r>
                            <w:fldChar w:fldCharType="begin"/>
                          </w:r>
                          <w:r>
                            <w:instrText xml:space="preserve"> PAGE  \* MERGEFORMAT </w:instrText>
                          </w:r>
                          <w:r>
                            <w:fldChar w:fldCharType="separate"/>
                          </w:r>
                          <w:r>
                            <w:t>137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00B33B7C">
                    <w:pPr>
                      <w:pStyle w:val="42"/>
                    </w:pPr>
                    <w:r>
                      <w:fldChar w:fldCharType="begin"/>
                    </w:r>
                    <w:r>
                      <w:instrText xml:space="preserve"> PAGE  \* MERGEFORMAT </w:instrText>
                    </w:r>
                    <w:r>
                      <w:fldChar w:fldCharType="separate"/>
                    </w:r>
                    <w:r>
                      <w:t>137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66817">
    <w:pPr>
      <w:pStyle w:val="43"/>
      <w:pBdr>
        <w:bottom w:val="single" w:color="auto" w:sz="6" w:space="4"/>
      </w:pBdr>
      <w:jc w:val="right"/>
    </w:pPr>
    <w:r>
      <w:t></w:t>
    </w:r>
    <w:r>
      <w:rPr>
        <w:rFonts w:hint="eastAsia"/>
      </w:rPr>
      <w:t xml:space="preserve">             </w:t>
    </w:r>
    <w:r>
      <w:t>政府采购公开招标文件</w:t>
    </w:r>
  </w:p>
  <w:p w14:paraId="1A6A5F29">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F4339">
    <w:pPr>
      <w:pStyle w:val="43"/>
    </w:pPr>
    <w:r>
      <w:t></w:t>
    </w:r>
    <w:r>
      <w:rPr>
        <w:rFonts w:hint="eastAsia"/>
      </w:rPr>
      <w:t xml:space="preserve">                                            </w:t>
    </w:r>
    <w:r>
      <w:t>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F3B20">
    <w:pPr>
      <w:pStyle w:val="43"/>
      <w:pBdr>
        <w:bottom w:val="single" w:color="auto" w:sz="6" w:space="0"/>
      </w:pBdr>
      <w:tabs>
        <w:tab w:val="center" w:pos="4535"/>
        <w:tab w:val="right" w:pos="9070"/>
        <w:tab w:val="clear" w:pos="4153"/>
        <w:tab w:val="clear" w:pos="8306"/>
      </w:tabs>
      <w:jc w:val="right"/>
    </w:pPr>
    <w:r>
      <w:rPr>
        <w:lang w:val="zh-CN"/>
      </w:rPr>
      <w:t></w:t>
    </w:r>
    <w:r>
      <w:tab/>
    </w:r>
    <w:r>
      <w:rPr>
        <w:lang w:val="zh-CN"/>
      </w:rPr>
      <w:t>政府采购公开招标文件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6A982">
    <w:pPr>
      <w:pStyle w:val="43"/>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88561">
    <w:pPr>
      <w:pStyle w:val="43"/>
    </w:pPr>
    <w:r>
      <w:t></w:t>
    </w:r>
    <w:r>
      <w:rPr>
        <w:rFonts w:hint="eastAsia"/>
      </w:rPr>
      <w:t xml:space="preserve">         </w:t>
    </w:r>
  </w:p>
  <w:p w14:paraId="75468D6B">
    <w:pPr>
      <w:pStyle w:val="43"/>
    </w:pPr>
    <w:r>
      <w:rPr>
        <w:rFonts w:hint="eastAsia"/>
      </w:rPr>
      <w:t xml:space="preserve">                                                                  宁波市政府采购公开招标文件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6FC78">
    <w:pPr>
      <w:pStyle w:val="43"/>
      <w:rPr>
        <w:rFonts w:ascii="仿宋_GB2312" w:eastAsia="仿宋_GB2312"/>
        <w:b/>
        <w:i/>
        <w:u w:val="single"/>
      </w:rPr>
    </w:pPr>
    <w:r>
      <w:t></w:t>
    </w:r>
    <w:r>
      <w:rPr>
        <w:rFonts w:hint="eastAsia"/>
      </w:rPr>
      <w:t xml:space="preserve">                                                   </w:t>
    </w:r>
    <w:r>
      <w:t>政府采购公开招标文件</w:t>
    </w:r>
  </w:p>
  <w:p w14:paraId="5CDEF5A8">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22DF8">
    <w:pPr>
      <w:pStyle w:val="43"/>
      <w:jc w:val="right"/>
    </w:pPr>
    <w:r>
      <w:t></w:t>
    </w:r>
    <w:r>
      <w:rPr>
        <w:rFonts w:hint="eastAsia"/>
      </w:rPr>
      <w:t xml:space="preserve">                 </w:t>
    </w:r>
    <w:r>
      <w:t xml:space="preserve">                                </w:t>
    </w:r>
    <w:r>
      <w:rPr>
        <w:rFonts w:hint="eastAsia"/>
      </w:rPr>
      <w:t xml:space="preserve">         宁波市政府采购公开招标文件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44F88">
    <w:pPr>
      <w:pStyle w:val="43"/>
      <w:jc w:val="right"/>
      <w:rPr>
        <w:rFonts w:ascii="仿宋_GB2312"/>
        <w:b/>
        <w:i/>
        <w:u w:val="single"/>
      </w:rPr>
    </w:pPr>
    <w:r>
      <w:rPr>
        <w:rFonts w:hint="eastAsia"/>
      </w:rPr>
      <w:t xml:space="preserve">                                  宁波市政府采购公开招标文件</w:t>
    </w:r>
  </w:p>
  <w:p w14:paraId="43C79355">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77A7C">
    <w:pPr>
      <w:pStyle w:val="43"/>
      <w:jc w:val="right"/>
    </w:pPr>
    <w:r>
      <w:rPr>
        <w:rFonts w:hint="eastAsia"/>
      </w:rPr>
      <w:t xml:space="preserve">                                                                                                        政</w:t>
    </w:r>
    <w:r>
      <w:t>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A2431">
    <w:pPr>
      <w:pStyle w:val="43"/>
      <w:jc w:val="right"/>
      <w:rPr>
        <w:rFonts w:ascii="仿宋_GB2312" w:eastAsia="仿宋_GB2312"/>
        <w:b/>
        <w:i/>
        <w:iCs/>
        <w:u w:val="single"/>
      </w:rPr>
    </w:pPr>
    <w:r>
      <w:t>政府采购公开招标文件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864CEA"/>
    <w:multiLevelType w:val="singleLevel"/>
    <w:tmpl w:val="89864CEA"/>
    <w:lvl w:ilvl="0" w:tentative="0">
      <w:start w:val="1"/>
      <w:numFmt w:val="decimal"/>
      <w:suff w:val="nothing"/>
      <w:lvlText w:val="%1、"/>
      <w:lvlJc w:val="left"/>
    </w:lvl>
  </w:abstractNum>
  <w:abstractNum w:abstractNumId="1">
    <w:nsid w:val="A09F89EB"/>
    <w:multiLevelType w:val="singleLevel"/>
    <w:tmpl w:val="A09F89EB"/>
    <w:lvl w:ilvl="0" w:tentative="0">
      <w:start w:val="1"/>
      <w:numFmt w:val="lowerLetter"/>
      <w:lvlText w:val="%1."/>
      <w:lvlJc w:val="left"/>
      <w:pPr>
        <w:tabs>
          <w:tab w:val="left" w:pos="312"/>
        </w:tabs>
      </w:pPr>
    </w:lvl>
  </w:abstractNum>
  <w:abstractNum w:abstractNumId="2">
    <w:nsid w:val="B3777765"/>
    <w:multiLevelType w:val="singleLevel"/>
    <w:tmpl w:val="B3777765"/>
    <w:lvl w:ilvl="0" w:tentative="0">
      <w:start w:val="2"/>
      <w:numFmt w:val="decimal"/>
      <w:suff w:val="nothing"/>
      <w:lvlText w:val="%1）"/>
      <w:lvlJc w:val="left"/>
    </w:lvl>
  </w:abstractNum>
  <w:abstractNum w:abstractNumId="3">
    <w:nsid w:val="BE4CEE81"/>
    <w:multiLevelType w:val="singleLevel"/>
    <w:tmpl w:val="BE4CEE81"/>
    <w:lvl w:ilvl="0" w:tentative="0">
      <w:start w:val="1"/>
      <w:numFmt w:val="lowerLetter"/>
      <w:suff w:val="nothing"/>
      <w:lvlText w:val="%1、"/>
      <w:lvlJc w:val="left"/>
    </w:lvl>
  </w:abstractNum>
  <w:abstractNum w:abstractNumId="4">
    <w:nsid w:val="C498AAEB"/>
    <w:multiLevelType w:val="singleLevel"/>
    <w:tmpl w:val="C498AAEB"/>
    <w:lvl w:ilvl="0" w:tentative="0">
      <w:start w:val="2"/>
      <w:numFmt w:val="decimal"/>
      <w:suff w:val="nothing"/>
      <w:lvlText w:val="（%1）"/>
      <w:lvlJc w:val="left"/>
    </w:lvl>
  </w:abstractNum>
  <w:abstractNum w:abstractNumId="5">
    <w:nsid w:val="C9D30057"/>
    <w:multiLevelType w:val="singleLevel"/>
    <w:tmpl w:val="C9D30057"/>
    <w:lvl w:ilvl="0" w:tentative="0">
      <w:start w:val="2"/>
      <w:numFmt w:val="decimal"/>
      <w:suff w:val="nothing"/>
      <w:lvlText w:val="%1）"/>
      <w:lvlJc w:val="left"/>
    </w:lvl>
  </w:abstractNum>
  <w:abstractNum w:abstractNumId="6">
    <w:nsid w:val="CA5BD9E2"/>
    <w:multiLevelType w:val="singleLevel"/>
    <w:tmpl w:val="CA5BD9E2"/>
    <w:lvl w:ilvl="0" w:tentative="0">
      <w:start w:val="2"/>
      <w:numFmt w:val="decimal"/>
      <w:suff w:val="nothing"/>
      <w:lvlText w:val="%1）"/>
      <w:lvlJc w:val="left"/>
    </w:lvl>
  </w:abstractNum>
  <w:abstractNum w:abstractNumId="7">
    <w:nsid w:val="DE0C64CB"/>
    <w:multiLevelType w:val="singleLevel"/>
    <w:tmpl w:val="DE0C64CB"/>
    <w:lvl w:ilvl="0" w:tentative="0">
      <w:start w:val="1"/>
      <w:numFmt w:val="decimalEnclosedCircleChinese"/>
      <w:suff w:val="nothing"/>
      <w:lvlText w:val="%1　"/>
      <w:lvlJc w:val="left"/>
      <w:pPr>
        <w:ind w:left="0" w:firstLine="400"/>
      </w:pPr>
      <w:rPr>
        <w:rFonts w:hint="eastAsia"/>
      </w:rPr>
    </w:lvl>
  </w:abstractNum>
  <w:abstractNum w:abstractNumId="8">
    <w:nsid w:val="F3C15914"/>
    <w:multiLevelType w:val="singleLevel"/>
    <w:tmpl w:val="F3C15914"/>
    <w:lvl w:ilvl="0" w:tentative="0">
      <w:start w:val="1"/>
      <w:numFmt w:val="decimal"/>
      <w:lvlText w:val="%1."/>
      <w:lvlJc w:val="left"/>
      <w:pPr>
        <w:tabs>
          <w:tab w:val="left" w:pos="312"/>
        </w:tabs>
      </w:pPr>
    </w:lvl>
  </w:abstractNum>
  <w:abstractNum w:abstractNumId="9">
    <w:nsid w:val="FC228663"/>
    <w:multiLevelType w:val="singleLevel"/>
    <w:tmpl w:val="FC228663"/>
    <w:lvl w:ilvl="0" w:tentative="0">
      <w:start w:val="1"/>
      <w:numFmt w:val="decimal"/>
      <w:suff w:val="nothing"/>
      <w:lvlText w:val="%1）"/>
      <w:lvlJc w:val="left"/>
    </w:lvl>
  </w:abstractNum>
  <w:abstractNum w:abstractNumId="10">
    <w:nsid w:val="00000025"/>
    <w:multiLevelType w:val="singleLevel"/>
    <w:tmpl w:val="00000025"/>
    <w:lvl w:ilvl="0" w:tentative="0">
      <w:start w:val="1"/>
      <w:numFmt w:val="decimal"/>
      <w:suff w:val="nothing"/>
      <w:lvlText w:val="（%1）"/>
      <w:lvlJc w:val="left"/>
    </w:lvl>
  </w:abstractNum>
  <w:abstractNum w:abstractNumId="11">
    <w:nsid w:val="0B9D0D81"/>
    <w:multiLevelType w:val="singleLevel"/>
    <w:tmpl w:val="0B9D0D81"/>
    <w:lvl w:ilvl="0" w:tentative="0">
      <w:start w:val="1"/>
      <w:numFmt w:val="decimalFullWidth"/>
      <w:lvlText w:val="%1"/>
      <w:lvlJc w:val="left"/>
      <w:pPr>
        <w:tabs>
          <w:tab w:val="left" w:pos="397"/>
        </w:tabs>
        <w:ind w:left="454" w:leftChars="0" w:hanging="454" w:firstLineChars="0"/>
      </w:pPr>
      <w:rPr>
        <w:rFonts w:hint="eastAsia"/>
      </w:rPr>
    </w:lvl>
  </w:abstractNum>
  <w:abstractNum w:abstractNumId="12">
    <w:nsid w:val="0F04C49A"/>
    <w:multiLevelType w:val="singleLevel"/>
    <w:tmpl w:val="0F04C49A"/>
    <w:lvl w:ilvl="0" w:tentative="0">
      <w:start w:val="7"/>
      <w:numFmt w:val="decimal"/>
      <w:suff w:val="nothing"/>
      <w:lvlText w:val="%1）"/>
      <w:lvlJc w:val="left"/>
    </w:lvl>
  </w:abstractNum>
  <w:abstractNum w:abstractNumId="13">
    <w:nsid w:val="1AAE355E"/>
    <w:multiLevelType w:val="singleLevel"/>
    <w:tmpl w:val="1AAE355E"/>
    <w:lvl w:ilvl="0" w:tentative="0">
      <w:start w:val="1"/>
      <w:numFmt w:val="decimal"/>
      <w:suff w:val="nothing"/>
      <w:lvlText w:val="%1）"/>
      <w:lvlJc w:val="left"/>
    </w:lvl>
  </w:abstractNum>
  <w:abstractNum w:abstractNumId="14">
    <w:nsid w:val="2F217B4C"/>
    <w:multiLevelType w:val="singleLevel"/>
    <w:tmpl w:val="2F217B4C"/>
    <w:lvl w:ilvl="0" w:tentative="0">
      <w:start w:val="1"/>
      <w:numFmt w:val="decimalFullWidth"/>
      <w:lvlText w:val="%1"/>
      <w:lvlJc w:val="left"/>
      <w:pPr>
        <w:tabs>
          <w:tab w:val="left" w:pos="397"/>
        </w:tabs>
        <w:ind w:left="454" w:leftChars="0" w:hanging="454" w:firstLineChars="0"/>
      </w:pPr>
      <w:rPr>
        <w:rFonts w:hint="eastAsia"/>
      </w:rPr>
    </w:lvl>
  </w:abstractNum>
  <w:num w:numId="1">
    <w:abstractNumId w:val="10"/>
  </w:num>
  <w:num w:numId="2">
    <w:abstractNumId w:val="4"/>
  </w:num>
  <w:num w:numId="3">
    <w:abstractNumId w:val="8"/>
  </w:num>
  <w:num w:numId="4">
    <w:abstractNumId w:val="0"/>
  </w:num>
  <w:num w:numId="5">
    <w:abstractNumId w:val="1"/>
  </w:num>
  <w:num w:numId="6">
    <w:abstractNumId w:val="3"/>
  </w:num>
  <w:num w:numId="7">
    <w:abstractNumId w:val="14"/>
  </w:num>
  <w:num w:numId="8">
    <w:abstractNumId w:val="11"/>
  </w:num>
  <w:num w:numId="9">
    <w:abstractNumId w:val="9"/>
  </w:num>
  <w:num w:numId="10">
    <w:abstractNumId w:val="12"/>
  </w:num>
  <w:num w:numId="11">
    <w:abstractNumId w:val="7"/>
  </w:num>
  <w:num w:numId="12">
    <w:abstractNumId w:val="2"/>
  </w:num>
  <w:num w:numId="13">
    <w:abstractNumId w:val="6"/>
  </w:num>
  <w:num w:numId="14">
    <w:abstractNumId w:val="1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hkOWU0ZmU2YjMzZjczNDY5ODc0NjNiNjQ0NTM0ZWEifQ=="/>
    <w:docVar w:name="KSO_WPS_MARK_KEY" w:val="2caabb78-dd7d-4915-b9aa-db80bf10b0a9"/>
  </w:docVars>
  <w:rsids>
    <w:rsidRoot w:val="00172A27"/>
    <w:rsid w:val="00000451"/>
    <w:rsid w:val="0000108B"/>
    <w:rsid w:val="0000133D"/>
    <w:rsid w:val="00001509"/>
    <w:rsid w:val="00001E3F"/>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370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0A63"/>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1604"/>
    <w:rsid w:val="000F1F4E"/>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18E"/>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492"/>
    <w:rsid w:val="001E257C"/>
    <w:rsid w:val="001E286C"/>
    <w:rsid w:val="001E2F34"/>
    <w:rsid w:val="001E35EE"/>
    <w:rsid w:val="001E4B2C"/>
    <w:rsid w:val="001E507F"/>
    <w:rsid w:val="001E56C2"/>
    <w:rsid w:val="001E59FB"/>
    <w:rsid w:val="001E7880"/>
    <w:rsid w:val="001E7F81"/>
    <w:rsid w:val="001F0FD1"/>
    <w:rsid w:val="001F1526"/>
    <w:rsid w:val="001F19D1"/>
    <w:rsid w:val="001F1CB9"/>
    <w:rsid w:val="001F1F18"/>
    <w:rsid w:val="001F2F92"/>
    <w:rsid w:val="001F456F"/>
    <w:rsid w:val="001F5DA1"/>
    <w:rsid w:val="001F612E"/>
    <w:rsid w:val="001F6A92"/>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5D36"/>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3E9B"/>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3AD1"/>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3E74"/>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1DF"/>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808"/>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4A88"/>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3D0"/>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6B29"/>
    <w:rsid w:val="00436CCE"/>
    <w:rsid w:val="00436EAD"/>
    <w:rsid w:val="004375E1"/>
    <w:rsid w:val="00437A2F"/>
    <w:rsid w:val="00440262"/>
    <w:rsid w:val="004406BF"/>
    <w:rsid w:val="00440814"/>
    <w:rsid w:val="004408AE"/>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31F"/>
    <w:rsid w:val="004B75B2"/>
    <w:rsid w:val="004B75C6"/>
    <w:rsid w:val="004C02C5"/>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6A54"/>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C22"/>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BF0"/>
    <w:rsid w:val="00763F8B"/>
    <w:rsid w:val="007640F3"/>
    <w:rsid w:val="0076417E"/>
    <w:rsid w:val="0076497F"/>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6E73"/>
    <w:rsid w:val="00830052"/>
    <w:rsid w:val="008300D0"/>
    <w:rsid w:val="0083050D"/>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C87"/>
    <w:rsid w:val="008D4D7C"/>
    <w:rsid w:val="008D5432"/>
    <w:rsid w:val="008D54C0"/>
    <w:rsid w:val="008D5558"/>
    <w:rsid w:val="008D5806"/>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0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D31"/>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4F45"/>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9F5E86"/>
    <w:rsid w:val="009F5FD3"/>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11F"/>
    <w:rsid w:val="00A53D28"/>
    <w:rsid w:val="00A5468F"/>
    <w:rsid w:val="00A54909"/>
    <w:rsid w:val="00A54DC0"/>
    <w:rsid w:val="00A550C9"/>
    <w:rsid w:val="00A55228"/>
    <w:rsid w:val="00A55410"/>
    <w:rsid w:val="00A55A04"/>
    <w:rsid w:val="00A564DE"/>
    <w:rsid w:val="00A6054E"/>
    <w:rsid w:val="00A60799"/>
    <w:rsid w:val="00A6170B"/>
    <w:rsid w:val="00A61767"/>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3E8"/>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6D85"/>
    <w:rsid w:val="00BB777D"/>
    <w:rsid w:val="00BB7EC0"/>
    <w:rsid w:val="00BB7F88"/>
    <w:rsid w:val="00BC0207"/>
    <w:rsid w:val="00BC089F"/>
    <w:rsid w:val="00BC0A0C"/>
    <w:rsid w:val="00BC0A5A"/>
    <w:rsid w:val="00BC0E64"/>
    <w:rsid w:val="00BC25D1"/>
    <w:rsid w:val="00BC2860"/>
    <w:rsid w:val="00BC2DBD"/>
    <w:rsid w:val="00BC3BCB"/>
    <w:rsid w:val="00BC3CF1"/>
    <w:rsid w:val="00BC4202"/>
    <w:rsid w:val="00BC428A"/>
    <w:rsid w:val="00BC4C40"/>
    <w:rsid w:val="00BC57CD"/>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72D"/>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47300"/>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E21"/>
    <w:rsid w:val="00EA2EAA"/>
    <w:rsid w:val="00EA380C"/>
    <w:rsid w:val="00EA613D"/>
    <w:rsid w:val="00EA6744"/>
    <w:rsid w:val="00EA6768"/>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77A3B"/>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207BD"/>
    <w:rsid w:val="01236AFB"/>
    <w:rsid w:val="01276F46"/>
    <w:rsid w:val="019F7441"/>
    <w:rsid w:val="01AE427A"/>
    <w:rsid w:val="01B37585"/>
    <w:rsid w:val="01D55165"/>
    <w:rsid w:val="01D9415D"/>
    <w:rsid w:val="01DF6BF8"/>
    <w:rsid w:val="01EC2C57"/>
    <w:rsid w:val="025F0711"/>
    <w:rsid w:val="026B2E25"/>
    <w:rsid w:val="02824D4D"/>
    <w:rsid w:val="02A136AB"/>
    <w:rsid w:val="02DC4B10"/>
    <w:rsid w:val="02DD76CE"/>
    <w:rsid w:val="02F36323"/>
    <w:rsid w:val="02F5619C"/>
    <w:rsid w:val="0326446A"/>
    <w:rsid w:val="032D5555"/>
    <w:rsid w:val="035F4B52"/>
    <w:rsid w:val="036634D2"/>
    <w:rsid w:val="03736735"/>
    <w:rsid w:val="037B196F"/>
    <w:rsid w:val="03DD35E4"/>
    <w:rsid w:val="04076900"/>
    <w:rsid w:val="041A5A3B"/>
    <w:rsid w:val="042311BA"/>
    <w:rsid w:val="042B157A"/>
    <w:rsid w:val="048F763B"/>
    <w:rsid w:val="049F330E"/>
    <w:rsid w:val="04AA775C"/>
    <w:rsid w:val="04AF1889"/>
    <w:rsid w:val="04E804B4"/>
    <w:rsid w:val="04F66F48"/>
    <w:rsid w:val="05251E14"/>
    <w:rsid w:val="056D2E71"/>
    <w:rsid w:val="05A16594"/>
    <w:rsid w:val="05A7762D"/>
    <w:rsid w:val="060B66D9"/>
    <w:rsid w:val="060E5941"/>
    <w:rsid w:val="06110FAF"/>
    <w:rsid w:val="06493CA7"/>
    <w:rsid w:val="065A6178"/>
    <w:rsid w:val="066F1CF3"/>
    <w:rsid w:val="06930BB8"/>
    <w:rsid w:val="06992BB4"/>
    <w:rsid w:val="06F723B4"/>
    <w:rsid w:val="07245D42"/>
    <w:rsid w:val="07264C62"/>
    <w:rsid w:val="073605FB"/>
    <w:rsid w:val="0779354C"/>
    <w:rsid w:val="07E73DCE"/>
    <w:rsid w:val="08061376"/>
    <w:rsid w:val="08452D77"/>
    <w:rsid w:val="086401F8"/>
    <w:rsid w:val="08751CAA"/>
    <w:rsid w:val="087E4C40"/>
    <w:rsid w:val="08A871D0"/>
    <w:rsid w:val="08D66AD6"/>
    <w:rsid w:val="08D72270"/>
    <w:rsid w:val="08DA33A3"/>
    <w:rsid w:val="08E80F13"/>
    <w:rsid w:val="09335624"/>
    <w:rsid w:val="0944690F"/>
    <w:rsid w:val="09535675"/>
    <w:rsid w:val="095F057D"/>
    <w:rsid w:val="09642282"/>
    <w:rsid w:val="09733572"/>
    <w:rsid w:val="09772C16"/>
    <w:rsid w:val="098353B5"/>
    <w:rsid w:val="09A92330"/>
    <w:rsid w:val="09B06B87"/>
    <w:rsid w:val="09C13146"/>
    <w:rsid w:val="09DD68B6"/>
    <w:rsid w:val="09E04166"/>
    <w:rsid w:val="0A0F49F4"/>
    <w:rsid w:val="0A1C0718"/>
    <w:rsid w:val="0A27015B"/>
    <w:rsid w:val="0A3E7710"/>
    <w:rsid w:val="0A5B7E63"/>
    <w:rsid w:val="0A767C7A"/>
    <w:rsid w:val="0AA374A5"/>
    <w:rsid w:val="0AAB7649"/>
    <w:rsid w:val="0ABC5606"/>
    <w:rsid w:val="0AFE019F"/>
    <w:rsid w:val="0AFE0859"/>
    <w:rsid w:val="0B30404E"/>
    <w:rsid w:val="0B4C6C14"/>
    <w:rsid w:val="0B547599"/>
    <w:rsid w:val="0B631A88"/>
    <w:rsid w:val="0B683D45"/>
    <w:rsid w:val="0B7F3F11"/>
    <w:rsid w:val="0B884417"/>
    <w:rsid w:val="0BDB3789"/>
    <w:rsid w:val="0BF6188C"/>
    <w:rsid w:val="0BF73C91"/>
    <w:rsid w:val="0C170175"/>
    <w:rsid w:val="0C3C0BEA"/>
    <w:rsid w:val="0C571A41"/>
    <w:rsid w:val="0C5C1171"/>
    <w:rsid w:val="0C5E1CBC"/>
    <w:rsid w:val="0C615B50"/>
    <w:rsid w:val="0C8445DA"/>
    <w:rsid w:val="0C87121B"/>
    <w:rsid w:val="0CC007F7"/>
    <w:rsid w:val="0CC617AC"/>
    <w:rsid w:val="0CE618DF"/>
    <w:rsid w:val="0CFE707A"/>
    <w:rsid w:val="0D063BDA"/>
    <w:rsid w:val="0D08375F"/>
    <w:rsid w:val="0D184CFB"/>
    <w:rsid w:val="0D4A7419"/>
    <w:rsid w:val="0D827401"/>
    <w:rsid w:val="0D84094E"/>
    <w:rsid w:val="0D8A00E9"/>
    <w:rsid w:val="0D8D589E"/>
    <w:rsid w:val="0DA01C73"/>
    <w:rsid w:val="0DC44CF6"/>
    <w:rsid w:val="0DD63300"/>
    <w:rsid w:val="0DEE4501"/>
    <w:rsid w:val="0DF50604"/>
    <w:rsid w:val="0DF702FE"/>
    <w:rsid w:val="0E05778A"/>
    <w:rsid w:val="0E060E51"/>
    <w:rsid w:val="0E3C02DF"/>
    <w:rsid w:val="0E5604B2"/>
    <w:rsid w:val="0E592082"/>
    <w:rsid w:val="0E6D5D79"/>
    <w:rsid w:val="0E9D0089"/>
    <w:rsid w:val="0EB803EE"/>
    <w:rsid w:val="0EF94D4B"/>
    <w:rsid w:val="0F0D1356"/>
    <w:rsid w:val="0F4958DC"/>
    <w:rsid w:val="0F515DF7"/>
    <w:rsid w:val="0F596BA8"/>
    <w:rsid w:val="0F6248D2"/>
    <w:rsid w:val="0F693536"/>
    <w:rsid w:val="0F6B16B8"/>
    <w:rsid w:val="0F7B0511"/>
    <w:rsid w:val="0F7B76D9"/>
    <w:rsid w:val="0F816ACD"/>
    <w:rsid w:val="0F9832DB"/>
    <w:rsid w:val="0FA9345E"/>
    <w:rsid w:val="0FBD5D8C"/>
    <w:rsid w:val="0FBF3FD2"/>
    <w:rsid w:val="0FBF7FF3"/>
    <w:rsid w:val="0FDD3B4C"/>
    <w:rsid w:val="10646583"/>
    <w:rsid w:val="107D4B15"/>
    <w:rsid w:val="108A3C80"/>
    <w:rsid w:val="10BD1C05"/>
    <w:rsid w:val="10C26171"/>
    <w:rsid w:val="10CA380B"/>
    <w:rsid w:val="10E45A6E"/>
    <w:rsid w:val="10F33360"/>
    <w:rsid w:val="10FC16EA"/>
    <w:rsid w:val="110F1D40"/>
    <w:rsid w:val="11266F33"/>
    <w:rsid w:val="118963A1"/>
    <w:rsid w:val="11C6522A"/>
    <w:rsid w:val="11E104CC"/>
    <w:rsid w:val="11E20309"/>
    <w:rsid w:val="12255233"/>
    <w:rsid w:val="12530213"/>
    <w:rsid w:val="127723A9"/>
    <w:rsid w:val="12862074"/>
    <w:rsid w:val="12883966"/>
    <w:rsid w:val="128E7A56"/>
    <w:rsid w:val="12964DB1"/>
    <w:rsid w:val="129E45B4"/>
    <w:rsid w:val="12D81596"/>
    <w:rsid w:val="12EE37B7"/>
    <w:rsid w:val="13072A44"/>
    <w:rsid w:val="1326697D"/>
    <w:rsid w:val="135F4BE2"/>
    <w:rsid w:val="13782309"/>
    <w:rsid w:val="139B1A0A"/>
    <w:rsid w:val="139D25C7"/>
    <w:rsid w:val="13BF3CE4"/>
    <w:rsid w:val="13E521CB"/>
    <w:rsid w:val="13F552E3"/>
    <w:rsid w:val="13FE0FC9"/>
    <w:rsid w:val="141008D8"/>
    <w:rsid w:val="14125FE6"/>
    <w:rsid w:val="141F028C"/>
    <w:rsid w:val="146D271E"/>
    <w:rsid w:val="14982588"/>
    <w:rsid w:val="149A5AD9"/>
    <w:rsid w:val="14A7619D"/>
    <w:rsid w:val="150536C3"/>
    <w:rsid w:val="150C1963"/>
    <w:rsid w:val="151447A0"/>
    <w:rsid w:val="154A6454"/>
    <w:rsid w:val="15762120"/>
    <w:rsid w:val="157B6F93"/>
    <w:rsid w:val="158B65C1"/>
    <w:rsid w:val="16A8729C"/>
    <w:rsid w:val="16B33777"/>
    <w:rsid w:val="16BC70A7"/>
    <w:rsid w:val="16C6339E"/>
    <w:rsid w:val="172F2D79"/>
    <w:rsid w:val="17557BEF"/>
    <w:rsid w:val="17D349C1"/>
    <w:rsid w:val="17FE77DF"/>
    <w:rsid w:val="1830729E"/>
    <w:rsid w:val="18491A32"/>
    <w:rsid w:val="1870062C"/>
    <w:rsid w:val="18817102"/>
    <w:rsid w:val="18830A15"/>
    <w:rsid w:val="18852B28"/>
    <w:rsid w:val="188B5321"/>
    <w:rsid w:val="19932372"/>
    <w:rsid w:val="199E0BE3"/>
    <w:rsid w:val="19A20DD5"/>
    <w:rsid w:val="19A757E8"/>
    <w:rsid w:val="19AE03F1"/>
    <w:rsid w:val="19F240D5"/>
    <w:rsid w:val="1A071A03"/>
    <w:rsid w:val="1A1F16AE"/>
    <w:rsid w:val="1A3B5C77"/>
    <w:rsid w:val="1A7F763F"/>
    <w:rsid w:val="1A984BAD"/>
    <w:rsid w:val="1AB8220E"/>
    <w:rsid w:val="1AE4166C"/>
    <w:rsid w:val="1AF06CFB"/>
    <w:rsid w:val="1AF11B8D"/>
    <w:rsid w:val="1B11359C"/>
    <w:rsid w:val="1B2A271F"/>
    <w:rsid w:val="1B4344D5"/>
    <w:rsid w:val="1B530544"/>
    <w:rsid w:val="1B713184"/>
    <w:rsid w:val="1BA209CF"/>
    <w:rsid w:val="1BB4777D"/>
    <w:rsid w:val="1BD75AB8"/>
    <w:rsid w:val="1C0459C2"/>
    <w:rsid w:val="1C1B3B4A"/>
    <w:rsid w:val="1C88086E"/>
    <w:rsid w:val="1CB001EC"/>
    <w:rsid w:val="1CE6434E"/>
    <w:rsid w:val="1D266CE1"/>
    <w:rsid w:val="1D3963AF"/>
    <w:rsid w:val="1D622F76"/>
    <w:rsid w:val="1D6A673C"/>
    <w:rsid w:val="1D9247AE"/>
    <w:rsid w:val="1DB567EC"/>
    <w:rsid w:val="1DF51A98"/>
    <w:rsid w:val="1E3D060F"/>
    <w:rsid w:val="1E3F7D2E"/>
    <w:rsid w:val="1E4134E4"/>
    <w:rsid w:val="1E5062B3"/>
    <w:rsid w:val="1E523514"/>
    <w:rsid w:val="1E714A66"/>
    <w:rsid w:val="1E802593"/>
    <w:rsid w:val="1E8B6156"/>
    <w:rsid w:val="1EA703CC"/>
    <w:rsid w:val="1EB7330C"/>
    <w:rsid w:val="1F0A0FF3"/>
    <w:rsid w:val="1F204CD0"/>
    <w:rsid w:val="1F5771FF"/>
    <w:rsid w:val="1FD52DD5"/>
    <w:rsid w:val="1FE868A9"/>
    <w:rsid w:val="20034907"/>
    <w:rsid w:val="20173E4B"/>
    <w:rsid w:val="20325F9E"/>
    <w:rsid w:val="204E48BC"/>
    <w:rsid w:val="208921B3"/>
    <w:rsid w:val="20973DEB"/>
    <w:rsid w:val="20B26522"/>
    <w:rsid w:val="20B44310"/>
    <w:rsid w:val="20F052F3"/>
    <w:rsid w:val="211116EB"/>
    <w:rsid w:val="216133FC"/>
    <w:rsid w:val="216C6661"/>
    <w:rsid w:val="21D56769"/>
    <w:rsid w:val="21E52EF3"/>
    <w:rsid w:val="21FB5D7B"/>
    <w:rsid w:val="22015E94"/>
    <w:rsid w:val="220B1C3D"/>
    <w:rsid w:val="221D1D20"/>
    <w:rsid w:val="22334A87"/>
    <w:rsid w:val="22496CD1"/>
    <w:rsid w:val="228367B7"/>
    <w:rsid w:val="22B1477A"/>
    <w:rsid w:val="22BE6801"/>
    <w:rsid w:val="22E57078"/>
    <w:rsid w:val="23002E9A"/>
    <w:rsid w:val="233500BF"/>
    <w:rsid w:val="23377FF7"/>
    <w:rsid w:val="235B390E"/>
    <w:rsid w:val="236B425F"/>
    <w:rsid w:val="23836192"/>
    <w:rsid w:val="23901F29"/>
    <w:rsid w:val="239C0061"/>
    <w:rsid w:val="23B908A4"/>
    <w:rsid w:val="23E073EA"/>
    <w:rsid w:val="23E95BEF"/>
    <w:rsid w:val="23FD0064"/>
    <w:rsid w:val="24265234"/>
    <w:rsid w:val="245375B0"/>
    <w:rsid w:val="24642C0A"/>
    <w:rsid w:val="249206AE"/>
    <w:rsid w:val="24B22173"/>
    <w:rsid w:val="24B95AD9"/>
    <w:rsid w:val="24BE24DA"/>
    <w:rsid w:val="24CF5825"/>
    <w:rsid w:val="24D663E6"/>
    <w:rsid w:val="24D77F2B"/>
    <w:rsid w:val="258B00E2"/>
    <w:rsid w:val="25A917A6"/>
    <w:rsid w:val="25BE27CC"/>
    <w:rsid w:val="25F74A5C"/>
    <w:rsid w:val="2628662C"/>
    <w:rsid w:val="262D45DE"/>
    <w:rsid w:val="26871DC8"/>
    <w:rsid w:val="26A53EF9"/>
    <w:rsid w:val="26A94201"/>
    <w:rsid w:val="26AC274F"/>
    <w:rsid w:val="26CE7DE5"/>
    <w:rsid w:val="26FF276F"/>
    <w:rsid w:val="27044A29"/>
    <w:rsid w:val="271D34C8"/>
    <w:rsid w:val="276142BF"/>
    <w:rsid w:val="27783712"/>
    <w:rsid w:val="278A4A4A"/>
    <w:rsid w:val="27907362"/>
    <w:rsid w:val="27B54BA0"/>
    <w:rsid w:val="27CD2FC0"/>
    <w:rsid w:val="281E2337"/>
    <w:rsid w:val="28333E1D"/>
    <w:rsid w:val="28432A8E"/>
    <w:rsid w:val="28454BD6"/>
    <w:rsid w:val="28455253"/>
    <w:rsid w:val="28551971"/>
    <w:rsid w:val="285B1C53"/>
    <w:rsid w:val="289A52F5"/>
    <w:rsid w:val="289F7086"/>
    <w:rsid w:val="28C32028"/>
    <w:rsid w:val="28CC490F"/>
    <w:rsid w:val="28CE2768"/>
    <w:rsid w:val="28DE40AA"/>
    <w:rsid w:val="28E53925"/>
    <w:rsid w:val="29345E77"/>
    <w:rsid w:val="294C65AD"/>
    <w:rsid w:val="29806583"/>
    <w:rsid w:val="298B3C4C"/>
    <w:rsid w:val="29925ABA"/>
    <w:rsid w:val="29F26D24"/>
    <w:rsid w:val="2A15033F"/>
    <w:rsid w:val="2A1662C1"/>
    <w:rsid w:val="2A1C7367"/>
    <w:rsid w:val="2A2815FA"/>
    <w:rsid w:val="2A6D6092"/>
    <w:rsid w:val="2A7D76B4"/>
    <w:rsid w:val="2AE412F9"/>
    <w:rsid w:val="2B0C75AB"/>
    <w:rsid w:val="2B437463"/>
    <w:rsid w:val="2B7807EE"/>
    <w:rsid w:val="2BA50BF7"/>
    <w:rsid w:val="2BBF00EC"/>
    <w:rsid w:val="2BC37CFD"/>
    <w:rsid w:val="2BD5237F"/>
    <w:rsid w:val="2BE536CE"/>
    <w:rsid w:val="2BE758D9"/>
    <w:rsid w:val="2C09049E"/>
    <w:rsid w:val="2C0A653C"/>
    <w:rsid w:val="2C107FEF"/>
    <w:rsid w:val="2C191F85"/>
    <w:rsid w:val="2C703D70"/>
    <w:rsid w:val="2CE82D6F"/>
    <w:rsid w:val="2D1149BF"/>
    <w:rsid w:val="2D343236"/>
    <w:rsid w:val="2D3E0EB4"/>
    <w:rsid w:val="2D5C23F2"/>
    <w:rsid w:val="2D963DBE"/>
    <w:rsid w:val="2DD15014"/>
    <w:rsid w:val="2DE33AEA"/>
    <w:rsid w:val="2DF72DE4"/>
    <w:rsid w:val="2E0220AF"/>
    <w:rsid w:val="2E0401E9"/>
    <w:rsid w:val="2E4B082A"/>
    <w:rsid w:val="2E5D4E86"/>
    <w:rsid w:val="2E5D790B"/>
    <w:rsid w:val="2E8539AE"/>
    <w:rsid w:val="2E933897"/>
    <w:rsid w:val="2E9A3C18"/>
    <w:rsid w:val="2EBB0FEE"/>
    <w:rsid w:val="2EC63002"/>
    <w:rsid w:val="2F0A6B38"/>
    <w:rsid w:val="2F8969B2"/>
    <w:rsid w:val="2F946CCB"/>
    <w:rsid w:val="2FD25781"/>
    <w:rsid w:val="2FDC745C"/>
    <w:rsid w:val="2FF73CD3"/>
    <w:rsid w:val="2FFD7934"/>
    <w:rsid w:val="30464AB7"/>
    <w:rsid w:val="30733ACD"/>
    <w:rsid w:val="30836420"/>
    <w:rsid w:val="308C3862"/>
    <w:rsid w:val="309379D8"/>
    <w:rsid w:val="30A270F7"/>
    <w:rsid w:val="30DF1478"/>
    <w:rsid w:val="30EC586F"/>
    <w:rsid w:val="310976CB"/>
    <w:rsid w:val="314550B7"/>
    <w:rsid w:val="31954BEE"/>
    <w:rsid w:val="319C6071"/>
    <w:rsid w:val="31AC537E"/>
    <w:rsid w:val="31E3679B"/>
    <w:rsid w:val="31E732FD"/>
    <w:rsid w:val="324D1F46"/>
    <w:rsid w:val="32517576"/>
    <w:rsid w:val="32673721"/>
    <w:rsid w:val="327A6D4B"/>
    <w:rsid w:val="32BE5C2C"/>
    <w:rsid w:val="32E16410"/>
    <w:rsid w:val="32FB6478"/>
    <w:rsid w:val="33263B3F"/>
    <w:rsid w:val="336963EB"/>
    <w:rsid w:val="33816EEB"/>
    <w:rsid w:val="33EB55CD"/>
    <w:rsid w:val="33EC4C02"/>
    <w:rsid w:val="340D2360"/>
    <w:rsid w:val="3410665D"/>
    <w:rsid w:val="34211214"/>
    <w:rsid w:val="342E63AB"/>
    <w:rsid w:val="34474DD2"/>
    <w:rsid w:val="34950E68"/>
    <w:rsid w:val="34986E94"/>
    <w:rsid w:val="34AF62C9"/>
    <w:rsid w:val="34CB4388"/>
    <w:rsid w:val="34FA6E12"/>
    <w:rsid w:val="35457E70"/>
    <w:rsid w:val="354D7158"/>
    <w:rsid w:val="357839D6"/>
    <w:rsid w:val="358D5588"/>
    <w:rsid w:val="363A3B40"/>
    <w:rsid w:val="365302AE"/>
    <w:rsid w:val="36607A0A"/>
    <w:rsid w:val="366A4AD4"/>
    <w:rsid w:val="366E227C"/>
    <w:rsid w:val="366F2E0D"/>
    <w:rsid w:val="36740CFD"/>
    <w:rsid w:val="367B6A5C"/>
    <w:rsid w:val="36841C0F"/>
    <w:rsid w:val="36A74ADA"/>
    <w:rsid w:val="36AD60D5"/>
    <w:rsid w:val="36B224F9"/>
    <w:rsid w:val="36BB77F4"/>
    <w:rsid w:val="36EC0CC9"/>
    <w:rsid w:val="36F6277F"/>
    <w:rsid w:val="373F410B"/>
    <w:rsid w:val="37AD78F4"/>
    <w:rsid w:val="37EE7094"/>
    <w:rsid w:val="38296C89"/>
    <w:rsid w:val="383002EB"/>
    <w:rsid w:val="383A5B98"/>
    <w:rsid w:val="38586797"/>
    <w:rsid w:val="38BC0149"/>
    <w:rsid w:val="38CA7D80"/>
    <w:rsid w:val="38D87D1C"/>
    <w:rsid w:val="3911492F"/>
    <w:rsid w:val="39292604"/>
    <w:rsid w:val="39636459"/>
    <w:rsid w:val="396B7F6C"/>
    <w:rsid w:val="398A0421"/>
    <w:rsid w:val="39AD6CE3"/>
    <w:rsid w:val="39B417A9"/>
    <w:rsid w:val="39C17AE2"/>
    <w:rsid w:val="39FC5695"/>
    <w:rsid w:val="3A006D8E"/>
    <w:rsid w:val="3A2F368C"/>
    <w:rsid w:val="3A3651E5"/>
    <w:rsid w:val="3A744481"/>
    <w:rsid w:val="3A8C7BEF"/>
    <w:rsid w:val="3A906246"/>
    <w:rsid w:val="3ACA0CE8"/>
    <w:rsid w:val="3B2349B7"/>
    <w:rsid w:val="3B504F02"/>
    <w:rsid w:val="3B616CFF"/>
    <w:rsid w:val="3B6259F6"/>
    <w:rsid w:val="3B976654"/>
    <w:rsid w:val="3BC01EFC"/>
    <w:rsid w:val="3BCA786A"/>
    <w:rsid w:val="3BD31E2F"/>
    <w:rsid w:val="3BF15831"/>
    <w:rsid w:val="3C105946"/>
    <w:rsid w:val="3C265C15"/>
    <w:rsid w:val="3C471448"/>
    <w:rsid w:val="3C5F759A"/>
    <w:rsid w:val="3C6C525A"/>
    <w:rsid w:val="3C6F3555"/>
    <w:rsid w:val="3CCE23CB"/>
    <w:rsid w:val="3CD17D17"/>
    <w:rsid w:val="3CFD7B0F"/>
    <w:rsid w:val="3D1E08E7"/>
    <w:rsid w:val="3D3C7F39"/>
    <w:rsid w:val="3D440F09"/>
    <w:rsid w:val="3D4504A0"/>
    <w:rsid w:val="3D8734BB"/>
    <w:rsid w:val="3D9A11D4"/>
    <w:rsid w:val="3D9F2E1A"/>
    <w:rsid w:val="3DA16D89"/>
    <w:rsid w:val="3DA364BE"/>
    <w:rsid w:val="3DB0734E"/>
    <w:rsid w:val="3DE041CB"/>
    <w:rsid w:val="3E0D48F6"/>
    <w:rsid w:val="3E1868B4"/>
    <w:rsid w:val="3E377251"/>
    <w:rsid w:val="3E42664B"/>
    <w:rsid w:val="3E5A7334"/>
    <w:rsid w:val="3E7B5D6B"/>
    <w:rsid w:val="3E843E66"/>
    <w:rsid w:val="3E8F51FE"/>
    <w:rsid w:val="3E926F87"/>
    <w:rsid w:val="3E9A59DE"/>
    <w:rsid w:val="3EAF4836"/>
    <w:rsid w:val="3EC33DFA"/>
    <w:rsid w:val="3EE75167"/>
    <w:rsid w:val="3F060E16"/>
    <w:rsid w:val="3F1D1096"/>
    <w:rsid w:val="3F2F0234"/>
    <w:rsid w:val="3F6363FE"/>
    <w:rsid w:val="3F756B8F"/>
    <w:rsid w:val="3F95482B"/>
    <w:rsid w:val="4019356B"/>
    <w:rsid w:val="40257C17"/>
    <w:rsid w:val="40592157"/>
    <w:rsid w:val="406E1CAE"/>
    <w:rsid w:val="409174C7"/>
    <w:rsid w:val="40A0133A"/>
    <w:rsid w:val="40C31A53"/>
    <w:rsid w:val="40FF545D"/>
    <w:rsid w:val="41003C24"/>
    <w:rsid w:val="410067C8"/>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5E061E1"/>
    <w:rsid w:val="460E7DA5"/>
    <w:rsid w:val="46395C97"/>
    <w:rsid w:val="46422483"/>
    <w:rsid w:val="4659254A"/>
    <w:rsid w:val="465B0637"/>
    <w:rsid w:val="465E3F0D"/>
    <w:rsid w:val="466A16E6"/>
    <w:rsid w:val="46893F2B"/>
    <w:rsid w:val="46A24123"/>
    <w:rsid w:val="46C4686E"/>
    <w:rsid w:val="46F45AF4"/>
    <w:rsid w:val="477B778F"/>
    <w:rsid w:val="478203EC"/>
    <w:rsid w:val="47B025FA"/>
    <w:rsid w:val="47B929E1"/>
    <w:rsid w:val="4809698F"/>
    <w:rsid w:val="480F6B9A"/>
    <w:rsid w:val="4811697D"/>
    <w:rsid w:val="487A3E25"/>
    <w:rsid w:val="488B5503"/>
    <w:rsid w:val="48937E21"/>
    <w:rsid w:val="489A0361"/>
    <w:rsid w:val="48B94FF3"/>
    <w:rsid w:val="48E37AAB"/>
    <w:rsid w:val="48FD4B4C"/>
    <w:rsid w:val="490A68E0"/>
    <w:rsid w:val="491055FE"/>
    <w:rsid w:val="49540830"/>
    <w:rsid w:val="495F5B3E"/>
    <w:rsid w:val="496F77D7"/>
    <w:rsid w:val="497654FD"/>
    <w:rsid w:val="49B64211"/>
    <w:rsid w:val="49E56AF9"/>
    <w:rsid w:val="49F6167F"/>
    <w:rsid w:val="4A064FA0"/>
    <w:rsid w:val="4A16615C"/>
    <w:rsid w:val="4A41147B"/>
    <w:rsid w:val="4A4424D7"/>
    <w:rsid w:val="4AB27A19"/>
    <w:rsid w:val="4AB82D0F"/>
    <w:rsid w:val="4AC53A65"/>
    <w:rsid w:val="4AEB7664"/>
    <w:rsid w:val="4AFD7C19"/>
    <w:rsid w:val="4B0567D1"/>
    <w:rsid w:val="4B236AAE"/>
    <w:rsid w:val="4B27210C"/>
    <w:rsid w:val="4B707271"/>
    <w:rsid w:val="4B8A5F81"/>
    <w:rsid w:val="4B9739F7"/>
    <w:rsid w:val="4BCA1FA1"/>
    <w:rsid w:val="4BD44D46"/>
    <w:rsid w:val="4BEE2503"/>
    <w:rsid w:val="4C245A30"/>
    <w:rsid w:val="4C335550"/>
    <w:rsid w:val="4CB6685F"/>
    <w:rsid w:val="4CC367FE"/>
    <w:rsid w:val="4D077F3C"/>
    <w:rsid w:val="4D123355"/>
    <w:rsid w:val="4D2A3B31"/>
    <w:rsid w:val="4D312C52"/>
    <w:rsid w:val="4D694039"/>
    <w:rsid w:val="4D905305"/>
    <w:rsid w:val="4D964A72"/>
    <w:rsid w:val="4D9C1254"/>
    <w:rsid w:val="4E140605"/>
    <w:rsid w:val="4E793892"/>
    <w:rsid w:val="4E800872"/>
    <w:rsid w:val="4EC569ED"/>
    <w:rsid w:val="4ED50EA1"/>
    <w:rsid w:val="4EEC050C"/>
    <w:rsid w:val="4F104EC3"/>
    <w:rsid w:val="4F216E37"/>
    <w:rsid w:val="4F310701"/>
    <w:rsid w:val="4F47354A"/>
    <w:rsid w:val="4F911C54"/>
    <w:rsid w:val="4F932417"/>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30013E"/>
    <w:rsid w:val="52324173"/>
    <w:rsid w:val="5244713B"/>
    <w:rsid w:val="52615633"/>
    <w:rsid w:val="526F4DE4"/>
    <w:rsid w:val="528A0F5A"/>
    <w:rsid w:val="52977FD4"/>
    <w:rsid w:val="52A25790"/>
    <w:rsid w:val="52A96B6F"/>
    <w:rsid w:val="52B45975"/>
    <w:rsid w:val="52D94AA4"/>
    <w:rsid w:val="52EA3A62"/>
    <w:rsid w:val="52F50BB8"/>
    <w:rsid w:val="53097272"/>
    <w:rsid w:val="53544462"/>
    <w:rsid w:val="5397158E"/>
    <w:rsid w:val="54013861"/>
    <w:rsid w:val="541B11D1"/>
    <w:rsid w:val="542C7307"/>
    <w:rsid w:val="54435396"/>
    <w:rsid w:val="54487265"/>
    <w:rsid w:val="544D6070"/>
    <w:rsid w:val="54605E1E"/>
    <w:rsid w:val="54B3506A"/>
    <w:rsid w:val="54B65C0D"/>
    <w:rsid w:val="54CA0D16"/>
    <w:rsid w:val="54DD4057"/>
    <w:rsid w:val="54E7490F"/>
    <w:rsid w:val="550764A4"/>
    <w:rsid w:val="550B2BF6"/>
    <w:rsid w:val="551D5098"/>
    <w:rsid w:val="55214EB5"/>
    <w:rsid w:val="55364EFD"/>
    <w:rsid w:val="555001B2"/>
    <w:rsid w:val="555D4828"/>
    <w:rsid w:val="557A4C8B"/>
    <w:rsid w:val="558931E1"/>
    <w:rsid w:val="55923347"/>
    <w:rsid w:val="55925180"/>
    <w:rsid w:val="55983B1B"/>
    <w:rsid w:val="55A8376B"/>
    <w:rsid w:val="55DC29B6"/>
    <w:rsid w:val="55DD4241"/>
    <w:rsid w:val="56574DB7"/>
    <w:rsid w:val="565F7C32"/>
    <w:rsid w:val="566B6D1E"/>
    <w:rsid w:val="56CF10D2"/>
    <w:rsid w:val="57032A2C"/>
    <w:rsid w:val="570F5219"/>
    <w:rsid w:val="5731646B"/>
    <w:rsid w:val="575D12B5"/>
    <w:rsid w:val="57610A87"/>
    <w:rsid w:val="577B1140"/>
    <w:rsid w:val="577B7F21"/>
    <w:rsid w:val="577F181B"/>
    <w:rsid w:val="57921984"/>
    <w:rsid w:val="579737F0"/>
    <w:rsid w:val="57AB7B30"/>
    <w:rsid w:val="57AD5795"/>
    <w:rsid w:val="57AF5251"/>
    <w:rsid w:val="57B26373"/>
    <w:rsid w:val="57B63F04"/>
    <w:rsid w:val="57CD20C2"/>
    <w:rsid w:val="57D675AB"/>
    <w:rsid w:val="57D95FDD"/>
    <w:rsid w:val="58917D2F"/>
    <w:rsid w:val="5894085C"/>
    <w:rsid w:val="58AE4F0C"/>
    <w:rsid w:val="58B85899"/>
    <w:rsid w:val="58E363A9"/>
    <w:rsid w:val="59533FC9"/>
    <w:rsid w:val="595E1678"/>
    <w:rsid w:val="596D5BD4"/>
    <w:rsid w:val="597E3DD8"/>
    <w:rsid w:val="59D61C0D"/>
    <w:rsid w:val="59F80043"/>
    <w:rsid w:val="5A09252F"/>
    <w:rsid w:val="5A0B2778"/>
    <w:rsid w:val="5A2A7C7B"/>
    <w:rsid w:val="5A3E2560"/>
    <w:rsid w:val="5A5D3B6E"/>
    <w:rsid w:val="5A637A76"/>
    <w:rsid w:val="5A6D33BA"/>
    <w:rsid w:val="5A7469E7"/>
    <w:rsid w:val="5A792B1F"/>
    <w:rsid w:val="5A874767"/>
    <w:rsid w:val="5AA85BE2"/>
    <w:rsid w:val="5AAD6F28"/>
    <w:rsid w:val="5AC3658A"/>
    <w:rsid w:val="5AD63A24"/>
    <w:rsid w:val="5B2E1A1D"/>
    <w:rsid w:val="5B843A1C"/>
    <w:rsid w:val="5B873E3F"/>
    <w:rsid w:val="5BA83AF9"/>
    <w:rsid w:val="5C02690E"/>
    <w:rsid w:val="5C196DA7"/>
    <w:rsid w:val="5C2A048C"/>
    <w:rsid w:val="5C560286"/>
    <w:rsid w:val="5C5B5E3F"/>
    <w:rsid w:val="5C80234E"/>
    <w:rsid w:val="5C8A680C"/>
    <w:rsid w:val="5CDD2672"/>
    <w:rsid w:val="5D0C4701"/>
    <w:rsid w:val="5D0F0395"/>
    <w:rsid w:val="5D221076"/>
    <w:rsid w:val="5D397964"/>
    <w:rsid w:val="5D4F6922"/>
    <w:rsid w:val="5D5A391C"/>
    <w:rsid w:val="5D5F10C0"/>
    <w:rsid w:val="5D891B7B"/>
    <w:rsid w:val="5DAD38EE"/>
    <w:rsid w:val="5E006862"/>
    <w:rsid w:val="5E0207B9"/>
    <w:rsid w:val="5E1834A1"/>
    <w:rsid w:val="5E261785"/>
    <w:rsid w:val="5E4A7017"/>
    <w:rsid w:val="5E552BBA"/>
    <w:rsid w:val="5E611C10"/>
    <w:rsid w:val="5E7A0F3F"/>
    <w:rsid w:val="5EF62DCD"/>
    <w:rsid w:val="5EFC7377"/>
    <w:rsid w:val="5F06174D"/>
    <w:rsid w:val="5F3A3602"/>
    <w:rsid w:val="5F45733B"/>
    <w:rsid w:val="5F6277C6"/>
    <w:rsid w:val="5F6D0B1D"/>
    <w:rsid w:val="5F8D0B82"/>
    <w:rsid w:val="5F9D4AAC"/>
    <w:rsid w:val="5FCC5339"/>
    <w:rsid w:val="5FE34A5B"/>
    <w:rsid w:val="5FFE1E36"/>
    <w:rsid w:val="601E438A"/>
    <w:rsid w:val="60232584"/>
    <w:rsid w:val="607330CE"/>
    <w:rsid w:val="60825176"/>
    <w:rsid w:val="60954C31"/>
    <w:rsid w:val="609F2AC4"/>
    <w:rsid w:val="60D36795"/>
    <w:rsid w:val="60FA2EE8"/>
    <w:rsid w:val="61054A27"/>
    <w:rsid w:val="610A52BC"/>
    <w:rsid w:val="611D2366"/>
    <w:rsid w:val="61421856"/>
    <w:rsid w:val="615227C4"/>
    <w:rsid w:val="615B5579"/>
    <w:rsid w:val="61654E3F"/>
    <w:rsid w:val="6182292A"/>
    <w:rsid w:val="619F7F92"/>
    <w:rsid w:val="61F94C26"/>
    <w:rsid w:val="62000E56"/>
    <w:rsid w:val="624F3E49"/>
    <w:rsid w:val="625540F2"/>
    <w:rsid w:val="62632286"/>
    <w:rsid w:val="62827EE8"/>
    <w:rsid w:val="62885958"/>
    <w:rsid w:val="62F40B65"/>
    <w:rsid w:val="62FC2CFE"/>
    <w:rsid w:val="63024505"/>
    <w:rsid w:val="635600A5"/>
    <w:rsid w:val="635B1DB5"/>
    <w:rsid w:val="63711FED"/>
    <w:rsid w:val="63880DDC"/>
    <w:rsid w:val="638D750D"/>
    <w:rsid w:val="63AC6CC0"/>
    <w:rsid w:val="64055776"/>
    <w:rsid w:val="64240056"/>
    <w:rsid w:val="643E143A"/>
    <w:rsid w:val="64491666"/>
    <w:rsid w:val="648B6EEF"/>
    <w:rsid w:val="64946278"/>
    <w:rsid w:val="64C0351D"/>
    <w:rsid w:val="64C158BF"/>
    <w:rsid w:val="64CE2EAA"/>
    <w:rsid w:val="653C3090"/>
    <w:rsid w:val="656C3D14"/>
    <w:rsid w:val="65854376"/>
    <w:rsid w:val="658767BE"/>
    <w:rsid w:val="65892531"/>
    <w:rsid w:val="65CF4B8E"/>
    <w:rsid w:val="66195831"/>
    <w:rsid w:val="662E75B1"/>
    <w:rsid w:val="66342C2E"/>
    <w:rsid w:val="663E784C"/>
    <w:rsid w:val="668B6A45"/>
    <w:rsid w:val="67011F07"/>
    <w:rsid w:val="67041C7D"/>
    <w:rsid w:val="670B254D"/>
    <w:rsid w:val="672F3F24"/>
    <w:rsid w:val="673E055F"/>
    <w:rsid w:val="67551CE3"/>
    <w:rsid w:val="67793017"/>
    <w:rsid w:val="679F4931"/>
    <w:rsid w:val="67A22552"/>
    <w:rsid w:val="67AC60A4"/>
    <w:rsid w:val="67B13D35"/>
    <w:rsid w:val="67B22DCC"/>
    <w:rsid w:val="67BE71AA"/>
    <w:rsid w:val="67CA6B60"/>
    <w:rsid w:val="67D90273"/>
    <w:rsid w:val="67DE5875"/>
    <w:rsid w:val="67E55852"/>
    <w:rsid w:val="67EB1AB4"/>
    <w:rsid w:val="67FA1285"/>
    <w:rsid w:val="683E759B"/>
    <w:rsid w:val="68551F4F"/>
    <w:rsid w:val="687C10C9"/>
    <w:rsid w:val="68840C16"/>
    <w:rsid w:val="68872541"/>
    <w:rsid w:val="68876EFB"/>
    <w:rsid w:val="68884654"/>
    <w:rsid w:val="689F444F"/>
    <w:rsid w:val="68B96DBB"/>
    <w:rsid w:val="68CA2805"/>
    <w:rsid w:val="68E937A3"/>
    <w:rsid w:val="69105EF6"/>
    <w:rsid w:val="691664E5"/>
    <w:rsid w:val="693E15D3"/>
    <w:rsid w:val="693F1811"/>
    <w:rsid w:val="69627681"/>
    <w:rsid w:val="6977531D"/>
    <w:rsid w:val="69CC2BFF"/>
    <w:rsid w:val="69E84DCE"/>
    <w:rsid w:val="69FD55B8"/>
    <w:rsid w:val="6A0B1C62"/>
    <w:rsid w:val="6A2406C8"/>
    <w:rsid w:val="6ADE0BD1"/>
    <w:rsid w:val="6AE96859"/>
    <w:rsid w:val="6B147746"/>
    <w:rsid w:val="6B24787C"/>
    <w:rsid w:val="6B573233"/>
    <w:rsid w:val="6B5B6274"/>
    <w:rsid w:val="6B935D53"/>
    <w:rsid w:val="6C0F2D84"/>
    <w:rsid w:val="6C196F71"/>
    <w:rsid w:val="6C226FCB"/>
    <w:rsid w:val="6C31226F"/>
    <w:rsid w:val="6C406564"/>
    <w:rsid w:val="6C4E249B"/>
    <w:rsid w:val="6C53684F"/>
    <w:rsid w:val="6C552F0B"/>
    <w:rsid w:val="6C8C67B7"/>
    <w:rsid w:val="6C9D744C"/>
    <w:rsid w:val="6CB25226"/>
    <w:rsid w:val="6CF7007F"/>
    <w:rsid w:val="6D167928"/>
    <w:rsid w:val="6D26299B"/>
    <w:rsid w:val="6D3C2A7C"/>
    <w:rsid w:val="6D4772EC"/>
    <w:rsid w:val="6D552636"/>
    <w:rsid w:val="6D9078AF"/>
    <w:rsid w:val="6DAA3FEF"/>
    <w:rsid w:val="6DC0172B"/>
    <w:rsid w:val="6DCB690C"/>
    <w:rsid w:val="6DD41A5B"/>
    <w:rsid w:val="6DF43C2E"/>
    <w:rsid w:val="6DF51CA3"/>
    <w:rsid w:val="6E8335BD"/>
    <w:rsid w:val="6E8E12EF"/>
    <w:rsid w:val="6E972936"/>
    <w:rsid w:val="6ED446C5"/>
    <w:rsid w:val="6ED742CE"/>
    <w:rsid w:val="6F2A7D94"/>
    <w:rsid w:val="6F8331F1"/>
    <w:rsid w:val="6FAE1A09"/>
    <w:rsid w:val="6FD75BF8"/>
    <w:rsid w:val="701C49B6"/>
    <w:rsid w:val="70607002"/>
    <w:rsid w:val="707723D0"/>
    <w:rsid w:val="70812E3F"/>
    <w:rsid w:val="70F326B5"/>
    <w:rsid w:val="70F5661B"/>
    <w:rsid w:val="71360107"/>
    <w:rsid w:val="713B688E"/>
    <w:rsid w:val="71D43752"/>
    <w:rsid w:val="71F1796A"/>
    <w:rsid w:val="72154626"/>
    <w:rsid w:val="721C74D8"/>
    <w:rsid w:val="72262B5D"/>
    <w:rsid w:val="72283FF7"/>
    <w:rsid w:val="722E7212"/>
    <w:rsid w:val="723A0474"/>
    <w:rsid w:val="724D243E"/>
    <w:rsid w:val="725923E4"/>
    <w:rsid w:val="726151E3"/>
    <w:rsid w:val="72864BF7"/>
    <w:rsid w:val="729023FC"/>
    <w:rsid w:val="73572EBD"/>
    <w:rsid w:val="73C0646E"/>
    <w:rsid w:val="73ED2A40"/>
    <w:rsid w:val="742222F5"/>
    <w:rsid w:val="743C3A55"/>
    <w:rsid w:val="74476126"/>
    <w:rsid w:val="74706664"/>
    <w:rsid w:val="747F3682"/>
    <w:rsid w:val="748B6871"/>
    <w:rsid w:val="749C4185"/>
    <w:rsid w:val="75067759"/>
    <w:rsid w:val="752E6DCD"/>
    <w:rsid w:val="7551380D"/>
    <w:rsid w:val="75600BE5"/>
    <w:rsid w:val="7564475C"/>
    <w:rsid w:val="7583797F"/>
    <w:rsid w:val="75D20F1D"/>
    <w:rsid w:val="75DA2C18"/>
    <w:rsid w:val="75F54412"/>
    <w:rsid w:val="761D08E0"/>
    <w:rsid w:val="762D4C0F"/>
    <w:rsid w:val="765A32D4"/>
    <w:rsid w:val="765D347C"/>
    <w:rsid w:val="76826699"/>
    <w:rsid w:val="76C87133"/>
    <w:rsid w:val="76CD08D5"/>
    <w:rsid w:val="76DB4B92"/>
    <w:rsid w:val="76FD013A"/>
    <w:rsid w:val="77052AA4"/>
    <w:rsid w:val="77136511"/>
    <w:rsid w:val="77340A39"/>
    <w:rsid w:val="77351FD0"/>
    <w:rsid w:val="77472422"/>
    <w:rsid w:val="777538C5"/>
    <w:rsid w:val="777C54EB"/>
    <w:rsid w:val="777F31F2"/>
    <w:rsid w:val="77D1700D"/>
    <w:rsid w:val="77EC04CC"/>
    <w:rsid w:val="78775729"/>
    <w:rsid w:val="78931961"/>
    <w:rsid w:val="78A42DB0"/>
    <w:rsid w:val="78A656AB"/>
    <w:rsid w:val="78B2245C"/>
    <w:rsid w:val="78DE0702"/>
    <w:rsid w:val="78E172CC"/>
    <w:rsid w:val="78EA1D1F"/>
    <w:rsid w:val="7904172F"/>
    <w:rsid w:val="790F7E27"/>
    <w:rsid w:val="792A231A"/>
    <w:rsid w:val="792F0F5E"/>
    <w:rsid w:val="79316829"/>
    <w:rsid w:val="797E66A9"/>
    <w:rsid w:val="798518A4"/>
    <w:rsid w:val="79A97383"/>
    <w:rsid w:val="79DC062F"/>
    <w:rsid w:val="79E27E8B"/>
    <w:rsid w:val="79F850CE"/>
    <w:rsid w:val="79FD443C"/>
    <w:rsid w:val="7A1D1975"/>
    <w:rsid w:val="7A3E5150"/>
    <w:rsid w:val="7A4670D6"/>
    <w:rsid w:val="7A534B63"/>
    <w:rsid w:val="7A615382"/>
    <w:rsid w:val="7A67303B"/>
    <w:rsid w:val="7AAB1D04"/>
    <w:rsid w:val="7AB62133"/>
    <w:rsid w:val="7ABA4368"/>
    <w:rsid w:val="7ACF4159"/>
    <w:rsid w:val="7AD05746"/>
    <w:rsid w:val="7B257FFD"/>
    <w:rsid w:val="7B273D20"/>
    <w:rsid w:val="7B343476"/>
    <w:rsid w:val="7B5A2978"/>
    <w:rsid w:val="7B5A7E4C"/>
    <w:rsid w:val="7B667AF9"/>
    <w:rsid w:val="7B6C7E99"/>
    <w:rsid w:val="7B7468F8"/>
    <w:rsid w:val="7BB03CB1"/>
    <w:rsid w:val="7BCC5E22"/>
    <w:rsid w:val="7BEE0103"/>
    <w:rsid w:val="7C0A0FE4"/>
    <w:rsid w:val="7C254906"/>
    <w:rsid w:val="7C590818"/>
    <w:rsid w:val="7C7C10F6"/>
    <w:rsid w:val="7C853BEA"/>
    <w:rsid w:val="7C881368"/>
    <w:rsid w:val="7CAF7E14"/>
    <w:rsid w:val="7CE27788"/>
    <w:rsid w:val="7CF77FE5"/>
    <w:rsid w:val="7D0C32F1"/>
    <w:rsid w:val="7D0F408D"/>
    <w:rsid w:val="7D491C6C"/>
    <w:rsid w:val="7D5429C0"/>
    <w:rsid w:val="7D556D38"/>
    <w:rsid w:val="7D6E6D43"/>
    <w:rsid w:val="7D8E0949"/>
    <w:rsid w:val="7D93677B"/>
    <w:rsid w:val="7DB57A34"/>
    <w:rsid w:val="7DBF6D54"/>
    <w:rsid w:val="7DE60973"/>
    <w:rsid w:val="7DEF0916"/>
    <w:rsid w:val="7E1C6AC3"/>
    <w:rsid w:val="7E1E5218"/>
    <w:rsid w:val="7E9A4E1F"/>
    <w:rsid w:val="7EA7723A"/>
    <w:rsid w:val="7EF56FBB"/>
    <w:rsid w:val="7F0768EB"/>
    <w:rsid w:val="7F143BEC"/>
    <w:rsid w:val="7F6B6C6F"/>
    <w:rsid w:val="7F715AF2"/>
    <w:rsid w:val="7F886E69"/>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5"/>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1"/>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6"/>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5"/>
    <w:autoRedefine/>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6"/>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1"/>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semiHidden/>
    <w:unhideWhenUsed/>
    <w:qFormat/>
    <w:uiPriority w:val="1"/>
  </w:style>
  <w:style w:type="table" w:default="1" w:styleId="62">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120"/>
    <w:autoRedefine/>
    <w:qFormat/>
    <w:uiPriority w:val="0"/>
    <w:pPr>
      <w:adjustRightInd/>
      <w:spacing w:after="120" w:line="240" w:lineRule="auto"/>
      <w:ind w:left="420" w:leftChars="200" w:firstLine="210"/>
    </w:pPr>
    <w:rPr>
      <w:sz w:val="21"/>
    </w:rPr>
  </w:style>
  <w:style w:type="paragraph" w:styleId="3">
    <w:name w:val="Body Text Indent"/>
    <w:basedOn w:val="1"/>
    <w:next w:val="1"/>
    <w:link w:val="263"/>
    <w:autoRedefine/>
    <w:qFormat/>
    <w:uiPriority w:val="0"/>
    <w:pPr>
      <w:spacing w:line="480" w:lineRule="exact"/>
      <w:ind w:firstLine="480" w:firstLineChars="200"/>
    </w:pPr>
    <w:rPr>
      <w:rFonts w:ascii="宋体" w:hAnsi="宋体"/>
      <w:sz w:val="24"/>
    </w:rPr>
  </w:style>
  <w:style w:type="paragraph" w:styleId="7">
    <w:name w:val="Normal Indent"/>
    <w:basedOn w:val="1"/>
    <w:link w:val="192"/>
    <w:autoRedefine/>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autoRedefine/>
    <w:qFormat/>
    <w:uiPriority w:val="0"/>
    <w:pPr>
      <w:ind w:left="2520" w:leftChars="1200"/>
    </w:pPr>
  </w:style>
  <w:style w:type="paragraph" w:styleId="15">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autoRedefine/>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8"/>
    <w:autoRedefine/>
    <w:qFormat/>
    <w:uiPriority w:val="0"/>
    <w:rPr>
      <w:b/>
      <w:sz w:val="28"/>
      <w:szCs w:val="20"/>
    </w:rPr>
  </w:style>
  <w:style w:type="paragraph" w:styleId="19">
    <w:name w:val="index 5"/>
    <w:basedOn w:val="1"/>
    <w:next w:val="1"/>
    <w:autoRedefine/>
    <w:qFormat/>
    <w:uiPriority w:val="0"/>
    <w:pPr>
      <w:adjustRightInd/>
      <w:ind w:left="800" w:leftChars="800" w:firstLine="200" w:firstLineChars="200"/>
    </w:pPr>
  </w:style>
  <w:style w:type="paragraph" w:styleId="20">
    <w:name w:val="Document Map"/>
    <w:basedOn w:val="1"/>
    <w:link w:val="201"/>
    <w:autoRedefine/>
    <w:qFormat/>
    <w:uiPriority w:val="0"/>
    <w:pPr>
      <w:shd w:val="clear" w:color="auto" w:fill="000080"/>
    </w:pPr>
  </w:style>
  <w:style w:type="paragraph" w:styleId="21">
    <w:name w:val="annotation text"/>
    <w:basedOn w:val="1"/>
    <w:link w:val="342"/>
    <w:autoRedefine/>
    <w:qFormat/>
    <w:uiPriority w:val="99"/>
    <w:pPr>
      <w:jc w:val="left"/>
    </w:pPr>
  </w:style>
  <w:style w:type="paragraph" w:styleId="22">
    <w:name w:val="Salutation"/>
    <w:basedOn w:val="1"/>
    <w:next w:val="1"/>
    <w:link w:val="296"/>
    <w:autoRedefine/>
    <w:qFormat/>
    <w:uiPriority w:val="0"/>
    <w:rPr>
      <w:rFonts w:ascii="仿宋_GB2312" w:eastAsia="仿宋_GB2312"/>
      <w:sz w:val="28"/>
      <w:szCs w:val="20"/>
    </w:rPr>
  </w:style>
  <w:style w:type="paragraph" w:styleId="23">
    <w:name w:val="Body Text 3"/>
    <w:basedOn w:val="1"/>
    <w:link w:val="328"/>
    <w:autoRedefine/>
    <w:qFormat/>
    <w:uiPriority w:val="0"/>
    <w:pPr>
      <w:jc w:val="center"/>
    </w:pPr>
    <w:rPr>
      <w:szCs w:val="20"/>
    </w:rPr>
  </w:style>
  <w:style w:type="paragraph" w:styleId="24">
    <w:name w:val="List Bullet 3"/>
    <w:basedOn w:val="1"/>
    <w:autoRedefine/>
    <w:unhideWhenUsed/>
    <w:qFormat/>
    <w:uiPriority w:val="0"/>
    <w:pPr>
      <w:snapToGrid w:val="0"/>
      <w:spacing w:line="360" w:lineRule="auto"/>
      <w:ind w:left="360" w:right="238" w:hanging="360"/>
      <w:contextualSpacing/>
    </w:pPr>
    <w:rPr>
      <w:sz w:val="24"/>
    </w:rPr>
  </w:style>
  <w:style w:type="paragraph" w:styleId="25">
    <w:name w:val="Body Text"/>
    <w:basedOn w:val="1"/>
    <w:next w:val="26"/>
    <w:link w:val="428"/>
    <w:autoRedefine/>
    <w:qFormat/>
    <w:uiPriority w:val="0"/>
    <w:pPr>
      <w:autoSpaceDE w:val="0"/>
      <w:autoSpaceDN w:val="0"/>
      <w:spacing w:line="360" w:lineRule="auto"/>
    </w:pPr>
    <w:rPr>
      <w:rFonts w:ascii="宋体" w:hAnsi="Arial" w:cs="Arial"/>
      <w:snapToGrid w:val="0"/>
      <w:sz w:val="24"/>
      <w:szCs w:val="21"/>
      <w:lang w:val="zh-CN"/>
    </w:rPr>
  </w:style>
  <w:style w:type="paragraph" w:styleId="26">
    <w:name w:val="Body Text First Indent"/>
    <w:basedOn w:val="25"/>
    <w:next w:val="27"/>
    <w:link w:val="319"/>
    <w:autoRedefine/>
    <w:qFormat/>
    <w:uiPriority w:val="0"/>
    <w:pPr>
      <w:ind w:firstLine="420"/>
    </w:pPr>
    <w:rPr>
      <w:rFonts w:hAnsi="Calibri" w:cs="Times New Roman"/>
      <w:snapToGrid/>
      <w:szCs w:val="20"/>
    </w:rPr>
  </w:style>
  <w:style w:type="paragraph" w:styleId="27">
    <w:name w:val="toc 6"/>
    <w:basedOn w:val="1"/>
    <w:next w:val="1"/>
    <w:autoRedefine/>
    <w:qFormat/>
    <w:uiPriority w:val="0"/>
    <w:pPr>
      <w:ind w:left="2100" w:leftChars="1000"/>
    </w:pPr>
  </w:style>
  <w:style w:type="paragraph" w:styleId="28">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9">
    <w:name w:val="List 2"/>
    <w:basedOn w:val="1"/>
    <w:autoRedefine/>
    <w:qFormat/>
    <w:uiPriority w:val="0"/>
    <w:pPr>
      <w:adjustRightInd/>
      <w:spacing w:line="360" w:lineRule="auto"/>
      <w:ind w:left="100" w:leftChars="200" w:hanging="200" w:hangingChars="200"/>
    </w:pPr>
    <w:rPr>
      <w:rFonts w:eastAsia="微软雅黑"/>
    </w:rPr>
  </w:style>
  <w:style w:type="paragraph" w:styleId="30">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18"/>
    <w:autoRedefine/>
    <w:qFormat/>
    <w:uiPriority w:val="0"/>
    <w:pPr>
      <w:widowControl/>
      <w:adjustRightInd/>
      <w:ind w:firstLine="200" w:firstLineChars="200"/>
      <w:jc w:val="left"/>
    </w:pPr>
    <w:rPr>
      <w:rFonts w:ascii="宋体" w:hAnsi="宋体"/>
      <w:i/>
      <w:iCs/>
      <w:kern w:val="0"/>
      <w:sz w:val="24"/>
    </w:rPr>
  </w:style>
  <w:style w:type="paragraph" w:styleId="33">
    <w:name w:val="toc 5"/>
    <w:basedOn w:val="1"/>
    <w:next w:val="1"/>
    <w:autoRedefine/>
    <w:qFormat/>
    <w:uiPriority w:val="0"/>
    <w:pPr>
      <w:ind w:left="1680" w:leftChars="800"/>
    </w:pPr>
  </w:style>
  <w:style w:type="paragraph" w:styleId="34">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24"/>
    <w:autoRedefine/>
    <w:qFormat/>
    <w:uiPriority w:val="0"/>
    <w:rPr>
      <w:rFonts w:ascii="宋体" w:hAnsi="Courier New" w:cs="Arial"/>
      <w:snapToGrid w:val="0"/>
      <w:szCs w:val="21"/>
    </w:rPr>
  </w:style>
  <w:style w:type="paragraph" w:styleId="36">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autoRedefine/>
    <w:qFormat/>
    <w:uiPriority w:val="0"/>
    <w:pPr>
      <w:ind w:left="2940" w:leftChars="1400"/>
    </w:pPr>
  </w:style>
  <w:style w:type="paragraph" w:styleId="38">
    <w:name w:val="Date"/>
    <w:basedOn w:val="1"/>
    <w:next w:val="1"/>
    <w:link w:val="180"/>
    <w:autoRedefine/>
    <w:qFormat/>
    <w:uiPriority w:val="0"/>
    <w:pPr>
      <w:ind w:left="100" w:leftChars="2500"/>
    </w:pPr>
    <w:rPr>
      <w:rFonts w:ascii="宋体"/>
      <w:sz w:val="24"/>
      <w:szCs w:val="21"/>
      <w:lang w:val="zh-CN"/>
    </w:rPr>
  </w:style>
  <w:style w:type="paragraph" w:styleId="39">
    <w:name w:val="Body Text Indent 2"/>
    <w:basedOn w:val="1"/>
    <w:link w:val="306"/>
    <w:autoRedefine/>
    <w:qFormat/>
    <w:uiPriority w:val="0"/>
    <w:pPr>
      <w:spacing w:line="360" w:lineRule="auto"/>
      <w:ind w:firstLine="601"/>
      <w:textAlignment w:val="baseline"/>
    </w:pPr>
    <w:rPr>
      <w:rFonts w:ascii="宋体"/>
      <w:kern w:val="0"/>
      <w:sz w:val="28"/>
      <w:szCs w:val="20"/>
    </w:rPr>
  </w:style>
  <w:style w:type="paragraph" w:styleId="40">
    <w:name w:val="endnote text"/>
    <w:basedOn w:val="1"/>
    <w:link w:val="930"/>
    <w:autoRedefine/>
    <w:qFormat/>
    <w:uiPriority w:val="0"/>
    <w:rPr>
      <w:lang w:val="zh-CN"/>
    </w:rPr>
  </w:style>
  <w:style w:type="paragraph" w:styleId="41">
    <w:name w:val="Balloon Text"/>
    <w:basedOn w:val="1"/>
    <w:link w:val="187"/>
    <w:autoRedefine/>
    <w:qFormat/>
    <w:uiPriority w:val="0"/>
    <w:rPr>
      <w:sz w:val="18"/>
      <w:szCs w:val="18"/>
    </w:rPr>
  </w:style>
  <w:style w:type="paragraph" w:styleId="42">
    <w:name w:val="footer"/>
    <w:basedOn w:val="1"/>
    <w:link w:val="381"/>
    <w:autoRedefine/>
    <w:qFormat/>
    <w:uiPriority w:val="99"/>
    <w:pPr>
      <w:tabs>
        <w:tab w:val="center" w:pos="4153"/>
        <w:tab w:val="right" w:pos="8306"/>
      </w:tabs>
      <w:snapToGrid w:val="0"/>
      <w:jc w:val="left"/>
    </w:pPr>
    <w:rPr>
      <w:sz w:val="18"/>
      <w:szCs w:val="18"/>
    </w:rPr>
  </w:style>
  <w:style w:type="paragraph" w:styleId="43">
    <w:name w:val="header"/>
    <w:basedOn w:val="1"/>
    <w:link w:val="390"/>
    <w:autoRedefine/>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3"/>
    <w:autoRedefine/>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autoRedefine/>
    <w:qFormat/>
    <w:uiPriority w:val="0"/>
  </w:style>
  <w:style w:type="paragraph" w:styleId="46">
    <w:name w:val="toc 4"/>
    <w:basedOn w:val="1"/>
    <w:next w:val="1"/>
    <w:autoRedefine/>
    <w:qFormat/>
    <w:uiPriority w:val="0"/>
    <w:pPr>
      <w:ind w:left="1260" w:leftChars="600"/>
    </w:pPr>
  </w:style>
  <w:style w:type="paragraph" w:styleId="47">
    <w:name w:val="index heading"/>
    <w:basedOn w:val="1"/>
    <w:next w:val="48"/>
    <w:autoRedefine/>
    <w:qFormat/>
    <w:uiPriority w:val="0"/>
    <w:pPr>
      <w:adjustRightInd/>
      <w:ind w:firstLine="200" w:firstLineChars="200"/>
    </w:pPr>
  </w:style>
  <w:style w:type="paragraph" w:styleId="48">
    <w:name w:val="index 1"/>
    <w:basedOn w:val="1"/>
    <w:next w:val="1"/>
    <w:autoRedefine/>
    <w:qFormat/>
    <w:uiPriority w:val="0"/>
    <w:pPr>
      <w:adjustRightInd/>
      <w:spacing w:line="360" w:lineRule="auto"/>
      <w:ind w:firstLine="200" w:firstLineChars="200"/>
      <w:jc w:val="center"/>
    </w:pPr>
    <w:rPr>
      <w:sz w:val="24"/>
      <w:szCs w:val="20"/>
    </w:rPr>
  </w:style>
  <w:style w:type="paragraph" w:styleId="49">
    <w:name w:val="Subtitle"/>
    <w:link w:val="13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autoRedefine/>
    <w:qFormat/>
    <w:uiPriority w:val="0"/>
    <w:pPr>
      <w:tabs>
        <w:tab w:val="left" w:pos="902"/>
      </w:tabs>
      <w:adjustRightInd/>
      <w:spacing w:line="400" w:lineRule="exact"/>
      <w:ind w:left="902" w:hanging="420"/>
    </w:pPr>
    <w:rPr>
      <w:sz w:val="24"/>
      <w:szCs w:val="20"/>
    </w:rPr>
  </w:style>
  <w:style w:type="paragraph" w:styleId="51">
    <w:name w:val="List"/>
    <w:basedOn w:val="1"/>
    <w:autoRedefine/>
    <w:qFormat/>
    <w:uiPriority w:val="0"/>
    <w:pPr>
      <w:ind w:left="200" w:hanging="200" w:hangingChars="200"/>
    </w:pPr>
  </w:style>
  <w:style w:type="paragraph" w:styleId="52">
    <w:name w:val="footnote text"/>
    <w:basedOn w:val="7"/>
    <w:link w:val="308"/>
    <w:autoRedefine/>
    <w:qFormat/>
    <w:uiPriority w:val="0"/>
    <w:pPr>
      <w:adjustRightInd/>
      <w:snapToGrid/>
      <w:spacing w:before="60" w:after="60" w:line="300" w:lineRule="exact"/>
      <w:ind w:firstLine="0"/>
    </w:pPr>
    <w:rPr>
      <w:rFonts w:ascii="Calibri"/>
      <w:snapToGrid/>
      <w:color w:val="0000FF"/>
      <w:kern w:val="0"/>
      <w:sz w:val="21"/>
    </w:rPr>
  </w:style>
  <w:style w:type="paragraph" w:styleId="53">
    <w:name w:val="List 5"/>
    <w:basedOn w:val="1"/>
    <w:autoRedefine/>
    <w:qFormat/>
    <w:uiPriority w:val="0"/>
    <w:pPr>
      <w:adjustRightInd/>
      <w:ind w:left="100" w:leftChars="800" w:hanging="200" w:hangingChars="200"/>
    </w:pPr>
  </w:style>
  <w:style w:type="paragraph" w:styleId="54">
    <w:name w:val="Body Text Indent 3"/>
    <w:basedOn w:val="1"/>
    <w:link w:val="373"/>
    <w:autoRedefine/>
    <w:qFormat/>
    <w:uiPriority w:val="0"/>
    <w:pPr>
      <w:spacing w:line="360" w:lineRule="auto"/>
      <w:ind w:firstLine="420"/>
    </w:pPr>
    <w:rPr>
      <w:sz w:val="24"/>
      <w:szCs w:val="20"/>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ind w:left="3360" w:leftChars="1600"/>
    </w:pPr>
  </w:style>
  <w:style w:type="paragraph" w:styleId="57">
    <w:name w:val="Body Text 2"/>
    <w:basedOn w:val="1"/>
    <w:link w:val="300"/>
    <w:autoRedefine/>
    <w:qFormat/>
    <w:uiPriority w:val="0"/>
    <w:pPr>
      <w:spacing w:after="120" w:line="480" w:lineRule="auto"/>
    </w:pPr>
  </w:style>
  <w:style w:type="paragraph" w:styleId="58">
    <w:name w:val="HTML Preformatted"/>
    <w:basedOn w:val="1"/>
    <w:link w:val="299"/>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4"/>
    <w:autoRedefine/>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95"/>
    <w:autoRedefine/>
    <w:qFormat/>
    <w:uiPriority w:val="0"/>
    <w:rPr>
      <w:b/>
      <w:bCs/>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Default"/>
    <w:link w:val="233"/>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自动更正"/>
    <w:autoRedefine/>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1">
    <w:name w:val="表格非标题文字 Char"/>
    <w:link w:val="82"/>
    <w:autoRedefine/>
    <w:qFormat/>
    <w:uiPriority w:val="0"/>
    <w:rPr>
      <w:rFonts w:ascii="Futura Bk" w:hAnsi="Futura Bk"/>
      <w:kern w:val="2"/>
      <w:sz w:val="18"/>
      <w:szCs w:val="21"/>
      <w:lang w:val="en-US" w:eastAsia="zh-CN" w:bidi="ar-SA"/>
    </w:rPr>
  </w:style>
  <w:style w:type="paragraph" w:customStyle="1" w:styleId="82">
    <w:name w:val="表格非标题文字"/>
    <w:link w:val="81"/>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autoRedefine/>
    <w:qFormat/>
    <w:locked/>
    <w:uiPriority w:val="0"/>
    <w:rPr>
      <w:rFonts w:ascii="宋体" w:hAnsi="宋体"/>
      <w:sz w:val="24"/>
    </w:rPr>
  </w:style>
  <w:style w:type="paragraph" w:customStyle="1" w:styleId="84">
    <w:name w:val="*正文"/>
    <w:basedOn w:val="1"/>
    <w:link w:val="83"/>
    <w:autoRedefine/>
    <w:qFormat/>
    <w:uiPriority w:val="0"/>
    <w:pPr>
      <w:snapToGrid w:val="0"/>
      <w:spacing w:line="360" w:lineRule="auto"/>
      <w:ind w:firstLine="482"/>
      <w:jc w:val="left"/>
    </w:pPr>
    <w:rPr>
      <w:rFonts w:ascii="宋体" w:hAnsi="宋体"/>
      <w:kern w:val="0"/>
      <w:sz w:val="24"/>
      <w:szCs w:val="20"/>
    </w:rPr>
  </w:style>
  <w:style w:type="character" w:customStyle="1" w:styleId="85">
    <w:name w:val="Char Char71"/>
    <w:autoRedefine/>
    <w:semiHidden/>
    <w:qFormat/>
    <w:uiPriority w:val="0"/>
    <w:rPr>
      <w:rFonts w:eastAsia="宋体"/>
      <w:kern w:val="2"/>
      <w:sz w:val="21"/>
      <w:szCs w:val="24"/>
      <w:lang w:val="en-US" w:eastAsia="zh-CN" w:bidi="ar-SA"/>
    </w:rPr>
  </w:style>
  <w:style w:type="character" w:customStyle="1" w:styleId="86">
    <w:name w:val="Char Char6"/>
    <w:autoRedefine/>
    <w:qFormat/>
    <w:uiPriority w:val="0"/>
    <w:rPr>
      <w:rFonts w:eastAsia="宋体"/>
      <w:kern w:val="2"/>
      <w:sz w:val="21"/>
      <w:szCs w:val="24"/>
      <w:lang w:val="en-US" w:eastAsia="zh-CN" w:bidi="ar-SA"/>
    </w:rPr>
  </w:style>
  <w:style w:type="character" w:customStyle="1" w:styleId="87">
    <w:name w:val="正文缩进 Char"/>
    <w:autoRedefine/>
    <w:qFormat/>
    <w:uiPriority w:val="0"/>
    <w:rPr>
      <w:rFonts w:eastAsia="宋体"/>
      <w:kern w:val="2"/>
      <w:sz w:val="21"/>
      <w:lang w:val="en-US" w:eastAsia="zh-CN"/>
    </w:rPr>
  </w:style>
  <w:style w:type="character" w:customStyle="1" w:styleId="88">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89">
    <w:name w:val="Char Char28"/>
    <w:autoRedefine/>
    <w:qFormat/>
    <w:uiPriority w:val="6"/>
    <w:rPr>
      <w:rFonts w:ascii="仿宋_GB2312" w:hAnsi="仿宋_GB2312" w:eastAsia="仿宋_GB2312"/>
      <w:kern w:val="1"/>
      <w:sz w:val="28"/>
    </w:rPr>
  </w:style>
  <w:style w:type="character" w:customStyle="1" w:styleId="90">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
    <w:autoRedefine/>
    <w:qFormat/>
    <w:uiPriority w:val="6"/>
    <w:rPr>
      <w:rFonts w:ascii="Times New Roman" w:hAnsi="Times New Roman" w:eastAsia="黑体" w:cs="Times New Roman"/>
      <w:b/>
      <w:kern w:val="0"/>
      <w:sz w:val="24"/>
      <w:szCs w:val="24"/>
    </w:rPr>
  </w:style>
  <w:style w:type="character" w:customStyle="1" w:styleId="92">
    <w:name w:val="U_正文 Char"/>
    <w:link w:val="93"/>
    <w:autoRedefine/>
    <w:qFormat/>
    <w:uiPriority w:val="0"/>
    <w:rPr>
      <w:sz w:val="24"/>
      <w:szCs w:val="24"/>
    </w:rPr>
  </w:style>
  <w:style w:type="paragraph" w:customStyle="1" w:styleId="93">
    <w:name w:val="U_正文"/>
    <w:basedOn w:val="1"/>
    <w:link w:val="92"/>
    <w:autoRedefine/>
    <w:qFormat/>
    <w:uiPriority w:val="0"/>
    <w:pPr>
      <w:adjustRightInd/>
      <w:spacing w:beforeLines="20" w:afterLines="20" w:line="300" w:lineRule="auto"/>
      <w:ind w:firstLine="200" w:firstLineChars="200"/>
    </w:pPr>
    <w:rPr>
      <w:kern w:val="0"/>
      <w:sz w:val="24"/>
    </w:rPr>
  </w:style>
  <w:style w:type="character" w:customStyle="1" w:styleId="94">
    <w:name w:val="HTML 地址 Char1"/>
    <w:autoRedefine/>
    <w:qFormat/>
    <w:uiPriority w:val="0"/>
    <w:rPr>
      <w:rFonts w:ascii="Times New Roman" w:hAnsi="Times New Roman" w:eastAsia="宋体" w:cs="Times New Roman"/>
      <w:i/>
      <w:iCs/>
      <w:szCs w:val="24"/>
    </w:rPr>
  </w:style>
  <w:style w:type="character" w:customStyle="1" w:styleId="95">
    <w:name w:val="批注主题 字符"/>
    <w:link w:val="61"/>
    <w:autoRedefine/>
    <w:qFormat/>
    <w:uiPriority w:val="0"/>
    <w:rPr>
      <w:b/>
      <w:bCs/>
      <w:kern w:val="2"/>
      <w:sz w:val="21"/>
      <w:szCs w:val="24"/>
    </w:rPr>
  </w:style>
  <w:style w:type="character" w:customStyle="1" w:styleId="96">
    <w:name w:val="Char Char51"/>
    <w:autoRedefine/>
    <w:qFormat/>
    <w:uiPriority w:val="0"/>
    <w:rPr>
      <w:rFonts w:ascii="宋体" w:hAnsi="Courier New" w:eastAsia="宋体"/>
      <w:kern w:val="2"/>
      <w:sz w:val="21"/>
      <w:lang w:val="en-US" w:eastAsia="zh-CN"/>
    </w:rPr>
  </w:style>
  <w:style w:type="character" w:customStyle="1" w:styleId="97">
    <w:name w:val="表正文 Char"/>
    <w:autoRedefine/>
    <w:qFormat/>
    <w:uiPriority w:val="0"/>
    <w:rPr>
      <w:rFonts w:ascii="宋体" w:eastAsia="宋体"/>
      <w:snapToGrid w:val="0"/>
      <w:color w:val="000000"/>
      <w:kern w:val="28"/>
      <w:sz w:val="28"/>
      <w:lang w:val="en-US" w:eastAsia="zh-CN" w:bidi="ar-SA"/>
    </w:rPr>
  </w:style>
  <w:style w:type="character" w:customStyle="1" w:styleId="98">
    <w:name w:val="Char Char34"/>
    <w:autoRedefine/>
    <w:qFormat/>
    <w:uiPriority w:val="6"/>
    <w:rPr>
      <w:b/>
      <w:kern w:val="1"/>
      <w:sz w:val="28"/>
      <w:szCs w:val="28"/>
    </w:rPr>
  </w:style>
  <w:style w:type="character" w:customStyle="1" w:styleId="99">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autoRedefine/>
    <w:qFormat/>
    <w:uiPriority w:val="0"/>
    <w:rPr>
      <w:rFonts w:ascii="宋体" w:hAnsi="宋体" w:eastAsia="宋体"/>
      <w:kern w:val="2"/>
      <w:sz w:val="24"/>
      <w:lang w:bidi="ar-SA"/>
    </w:rPr>
  </w:style>
  <w:style w:type="paragraph" w:customStyle="1" w:styleId="101">
    <w:name w:val="哈哈正文"/>
    <w:basedOn w:val="1"/>
    <w:link w:val="100"/>
    <w:autoRedefine/>
    <w:qFormat/>
    <w:uiPriority w:val="0"/>
    <w:pPr>
      <w:adjustRightInd/>
      <w:spacing w:line="360" w:lineRule="auto"/>
      <w:ind w:firstLine="200" w:firstLineChars="200"/>
    </w:pPr>
    <w:rPr>
      <w:rFonts w:ascii="宋体" w:hAnsi="宋体"/>
      <w:sz w:val="24"/>
      <w:szCs w:val="20"/>
    </w:rPr>
  </w:style>
  <w:style w:type="character" w:customStyle="1" w:styleId="102">
    <w:name w:val="未处理的提及1"/>
    <w:autoRedefine/>
    <w:qFormat/>
    <w:uiPriority w:val="0"/>
    <w:rPr>
      <w:color w:val="808080"/>
      <w:shd w:val="clear" w:color="auto" w:fill="E6E6E6"/>
    </w:rPr>
  </w:style>
  <w:style w:type="character" w:customStyle="1" w:styleId="103">
    <w:name w:val="txt"/>
    <w:autoRedefine/>
    <w:qFormat/>
    <w:uiPriority w:val="0"/>
    <w:rPr>
      <w:rFonts w:ascii="仿宋_GB2312" w:eastAsia="微软雅黑"/>
      <w:b/>
      <w:kern w:val="2"/>
      <w:sz w:val="32"/>
      <w:szCs w:val="32"/>
      <w:lang w:val="en-US" w:eastAsia="zh-CN" w:bidi="ar-SA"/>
    </w:rPr>
  </w:style>
  <w:style w:type="character" w:customStyle="1" w:styleId="104">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5">
    <w:name w:val="Char Char32"/>
    <w:autoRedefine/>
    <w:qFormat/>
    <w:uiPriority w:val="6"/>
    <w:rPr>
      <w:b/>
      <w:kern w:val="1"/>
      <w:sz w:val="24"/>
      <w:szCs w:val="24"/>
    </w:rPr>
  </w:style>
  <w:style w:type="character" w:customStyle="1" w:styleId="106">
    <w:name w:val="PI Char1"/>
    <w:autoRedefine/>
    <w:qFormat/>
    <w:uiPriority w:val="0"/>
    <w:rPr>
      <w:rFonts w:ascii="宋体" w:hAnsi="宋体"/>
      <w:kern w:val="2"/>
      <w:sz w:val="24"/>
      <w:szCs w:val="24"/>
    </w:rPr>
  </w:style>
  <w:style w:type="character" w:customStyle="1" w:styleId="107">
    <w:name w:val="tw4winTerm"/>
    <w:autoRedefine/>
    <w:qFormat/>
    <w:uiPriority w:val="0"/>
    <w:rPr>
      <w:color w:val="0000FF"/>
    </w:rPr>
  </w:style>
  <w:style w:type="character" w:customStyle="1" w:styleId="108">
    <w:name w:val="Footer Char"/>
    <w:autoRedefine/>
    <w:qFormat/>
    <w:locked/>
    <w:uiPriority w:val="0"/>
    <w:rPr>
      <w:rFonts w:eastAsia="宋体"/>
      <w:kern w:val="2"/>
      <w:sz w:val="18"/>
      <w:lang w:val="en-US" w:eastAsia="zh-CN" w:bidi="ar-SA"/>
    </w:rPr>
  </w:style>
  <w:style w:type="character" w:customStyle="1" w:styleId="109">
    <w:name w:val="普通文字 Char Char1"/>
    <w:autoRedefine/>
    <w:qFormat/>
    <w:uiPriority w:val="0"/>
    <w:rPr>
      <w:rFonts w:ascii="宋体" w:hAnsi="Courier New"/>
      <w:kern w:val="2"/>
      <w:sz w:val="21"/>
    </w:rPr>
  </w:style>
  <w:style w:type="character" w:customStyle="1" w:styleId="110">
    <w:name w:val="Char Char101"/>
    <w:autoRedefine/>
    <w:qFormat/>
    <w:uiPriority w:val="6"/>
    <w:rPr>
      <w:rFonts w:ascii="宋体" w:hAnsi="宋体"/>
      <w:kern w:val="2"/>
      <w:sz w:val="21"/>
      <w:szCs w:val="24"/>
      <w:lang w:val="en-US" w:eastAsia="zh-CN"/>
    </w:rPr>
  </w:style>
  <w:style w:type="character" w:customStyle="1" w:styleId="111">
    <w:name w:val="标题 4 Char"/>
    <w:autoRedefine/>
    <w:qFormat/>
    <w:uiPriority w:val="0"/>
    <w:rPr>
      <w:rFonts w:ascii="Arial" w:hAnsi="Arial" w:eastAsia="黑体"/>
      <w:b/>
      <w:kern w:val="2"/>
      <w:sz w:val="28"/>
    </w:rPr>
  </w:style>
  <w:style w:type="character" w:customStyle="1" w:styleId="112">
    <w:name w:val="链接"/>
    <w:autoRedefine/>
    <w:qFormat/>
    <w:uiPriority w:val="0"/>
    <w:rPr>
      <w:color w:val="0000FF"/>
      <w:sz w:val="21"/>
      <w:szCs w:val="21"/>
      <w:u w:val="single"/>
    </w:rPr>
  </w:style>
  <w:style w:type="character" w:customStyle="1" w:styleId="113">
    <w:name w:val="h4 Char"/>
    <w:autoRedefine/>
    <w:qFormat/>
    <w:uiPriority w:val="0"/>
    <w:rPr>
      <w:rFonts w:ascii="Arial" w:hAnsi="Arial" w:eastAsia="黑体"/>
      <w:b/>
      <w:bCs/>
      <w:kern w:val="2"/>
      <w:sz w:val="28"/>
      <w:szCs w:val="28"/>
      <w:lang w:val="zh-CN" w:eastAsia="zh-CN" w:bidi="ar-SA"/>
    </w:rPr>
  </w:style>
  <w:style w:type="character" w:customStyle="1" w:styleId="114">
    <w:name w:val="5正文 Char"/>
    <w:link w:val="115"/>
    <w:autoRedefine/>
    <w:qFormat/>
    <w:uiPriority w:val="0"/>
    <w:rPr>
      <w:rFonts w:ascii="仿宋_GB2312" w:hAnsi="微软雅黑" w:eastAsia="仿宋_GB2312"/>
      <w:sz w:val="28"/>
      <w:szCs w:val="21"/>
    </w:rPr>
  </w:style>
  <w:style w:type="paragraph" w:customStyle="1" w:styleId="115">
    <w:name w:val="5正文"/>
    <w:basedOn w:val="1"/>
    <w:link w:val="114"/>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autoRedefine/>
    <w:qFormat/>
    <w:uiPriority w:val="9"/>
    <w:rPr>
      <w:b/>
      <w:bCs/>
      <w:kern w:val="2"/>
      <w:sz w:val="32"/>
      <w:szCs w:val="32"/>
    </w:rPr>
  </w:style>
  <w:style w:type="character" w:customStyle="1" w:styleId="117">
    <w:name w:val="样式6 Char"/>
    <w:autoRedefine/>
    <w:qFormat/>
    <w:uiPriority w:val="0"/>
    <w:rPr>
      <w:rFonts w:ascii="仿宋_GB2312" w:hAnsi="宋体" w:eastAsia="仿宋_GB2312"/>
      <w:b/>
      <w:bCs/>
      <w:kern w:val="2"/>
      <w:sz w:val="24"/>
      <w:szCs w:val="24"/>
      <w:lang w:val="en-US" w:eastAsia="zh-CN" w:bidi="ar-SA"/>
    </w:rPr>
  </w:style>
  <w:style w:type="character" w:customStyle="1" w:styleId="118">
    <w:name w:val="Char Char14"/>
    <w:autoRedefine/>
    <w:qFormat/>
    <w:uiPriority w:val="6"/>
    <w:rPr>
      <w:rFonts w:ascii="黑体" w:hAnsi="黑体" w:eastAsia="黑体"/>
    </w:rPr>
  </w:style>
  <w:style w:type="character" w:customStyle="1" w:styleId="119">
    <w:name w:val="Heading 2 Hidden Char"/>
    <w:autoRedefine/>
    <w:qFormat/>
    <w:uiPriority w:val="0"/>
    <w:rPr>
      <w:rFonts w:ascii="仿宋_GB2312" w:eastAsia="仿宋_GB2312"/>
      <w:b/>
      <w:bCs/>
      <w:kern w:val="2"/>
      <w:sz w:val="24"/>
      <w:szCs w:val="24"/>
      <w:lang w:val="zh-CN" w:eastAsia="zh-CN" w:bidi="ar-SA"/>
    </w:rPr>
  </w:style>
  <w:style w:type="character" w:customStyle="1" w:styleId="120">
    <w:name w:val="正文首行缩进 2 字符"/>
    <w:link w:val="2"/>
    <w:autoRedefine/>
    <w:qFormat/>
    <w:uiPriority w:val="0"/>
    <w:rPr>
      <w:rFonts w:ascii="宋体" w:hAnsi="宋体"/>
      <w:kern w:val="2"/>
      <w:sz w:val="21"/>
      <w:szCs w:val="24"/>
    </w:rPr>
  </w:style>
  <w:style w:type="character" w:customStyle="1" w:styleId="121">
    <w:name w:val="font11"/>
    <w:autoRedefine/>
    <w:qFormat/>
    <w:uiPriority w:val="0"/>
    <w:rPr>
      <w:rFonts w:hint="default" w:ascii="Times New Roman" w:hAnsi="Times New Roman" w:cs="Times New Roman"/>
      <w:color w:val="000000"/>
      <w:sz w:val="22"/>
      <w:szCs w:val="22"/>
      <w:u w:val="none"/>
    </w:rPr>
  </w:style>
  <w:style w:type="character" w:customStyle="1" w:styleId="122">
    <w:name w:val="表正文 Char1"/>
    <w:autoRedefine/>
    <w:qFormat/>
    <w:uiPriority w:val="0"/>
    <w:rPr>
      <w:rFonts w:ascii="宋体" w:eastAsia="宋体"/>
      <w:snapToGrid w:val="0"/>
      <w:color w:val="000000"/>
      <w:kern w:val="28"/>
      <w:sz w:val="28"/>
    </w:rPr>
  </w:style>
  <w:style w:type="character" w:customStyle="1" w:styleId="123">
    <w:name w:val="blue1"/>
    <w:basedOn w:val="69"/>
    <w:autoRedefine/>
    <w:qFormat/>
    <w:uiPriority w:val="0"/>
    <w:rPr>
      <w:rFonts w:ascii="Arial" w:hAnsi="Arial" w:eastAsia="黑体" w:cs="Arial"/>
      <w:snapToGrid w:val="0"/>
      <w:kern w:val="0"/>
      <w:szCs w:val="21"/>
    </w:rPr>
  </w:style>
  <w:style w:type="character" w:customStyle="1" w:styleId="124">
    <w:name w:val="纯文本 字符1"/>
    <w:link w:val="35"/>
    <w:autoRedefine/>
    <w:qFormat/>
    <w:uiPriority w:val="0"/>
    <w:rPr>
      <w:rFonts w:ascii="宋体" w:hAnsi="Courier New" w:eastAsia="宋体" w:cs="Arial"/>
      <w:snapToGrid w:val="0"/>
      <w:kern w:val="2"/>
      <w:sz w:val="21"/>
      <w:szCs w:val="21"/>
      <w:lang w:val="en-US" w:eastAsia="zh-CN" w:bidi="ar-SA"/>
    </w:rPr>
  </w:style>
  <w:style w:type="character" w:customStyle="1" w:styleId="125">
    <w:name w:val="标书1 Char"/>
    <w:autoRedefine/>
    <w:qFormat/>
    <w:uiPriority w:val="0"/>
    <w:rPr>
      <w:rFonts w:eastAsia="宋体"/>
      <w:b/>
      <w:bCs/>
      <w:kern w:val="44"/>
      <w:sz w:val="44"/>
      <w:szCs w:val="44"/>
      <w:lang w:val="en-US" w:eastAsia="zh-CN" w:bidi="ar-SA"/>
    </w:rPr>
  </w:style>
  <w:style w:type="character" w:customStyle="1" w:styleId="126">
    <w:name w:val="样式5 Char"/>
    <w:autoRedefine/>
    <w:qFormat/>
    <w:uiPriority w:val="0"/>
    <w:rPr>
      <w:rFonts w:ascii="仿宋_GB2312" w:hAnsi="仿宋" w:eastAsia="仿宋_GB2312"/>
      <w:kern w:val="2"/>
      <w:sz w:val="24"/>
      <w:szCs w:val="24"/>
    </w:rPr>
  </w:style>
  <w:style w:type="character" w:customStyle="1" w:styleId="127">
    <w:name w:val="样式4 Char"/>
    <w:autoRedefine/>
    <w:qFormat/>
    <w:uiPriority w:val="0"/>
    <w:rPr>
      <w:rFonts w:ascii="仿宋_GB2312" w:hAnsi="仿宋" w:eastAsia="仿宋_GB2312"/>
      <w:b/>
      <w:kern w:val="2"/>
      <w:sz w:val="32"/>
      <w:szCs w:val="32"/>
      <w:lang w:bidi="ar-SA"/>
    </w:rPr>
  </w:style>
  <w:style w:type="character" w:customStyle="1" w:styleId="128">
    <w:name w:val="插图说明 Char"/>
    <w:autoRedefine/>
    <w:qFormat/>
    <w:uiPriority w:val="0"/>
    <w:rPr>
      <w:rFonts w:eastAsia="黑体"/>
      <w:sz w:val="24"/>
      <w:lang w:val="en-US" w:eastAsia="zh-CN"/>
    </w:rPr>
  </w:style>
  <w:style w:type="character" w:customStyle="1" w:styleId="129">
    <w:name w:val="正文2 Char Char"/>
    <w:link w:val="130"/>
    <w:autoRedefine/>
    <w:qFormat/>
    <w:uiPriority w:val="0"/>
    <w:rPr>
      <w:rFonts w:eastAsia="宋体"/>
      <w:kern w:val="2"/>
      <w:sz w:val="24"/>
      <w:lang w:val="en-US" w:eastAsia="zh-CN" w:bidi="ar-SA"/>
    </w:rPr>
  </w:style>
  <w:style w:type="paragraph" w:customStyle="1" w:styleId="130">
    <w:name w:val="正文2"/>
    <w:basedOn w:val="1"/>
    <w:link w:val="129"/>
    <w:autoRedefine/>
    <w:qFormat/>
    <w:uiPriority w:val="0"/>
    <w:pPr>
      <w:spacing w:before="156" w:line="360" w:lineRule="auto"/>
      <w:ind w:firstLine="510" w:firstLineChars="200"/>
    </w:pPr>
    <w:rPr>
      <w:sz w:val="24"/>
      <w:szCs w:val="20"/>
    </w:rPr>
  </w:style>
  <w:style w:type="character" w:customStyle="1" w:styleId="131">
    <w:name w:val="Char Char24"/>
    <w:autoRedefine/>
    <w:qFormat/>
    <w:uiPriority w:val="6"/>
    <w:rPr>
      <w:kern w:val="1"/>
      <w:sz w:val="21"/>
    </w:rPr>
  </w:style>
  <w:style w:type="character" w:customStyle="1" w:styleId="132">
    <w:name w:val="副标题 字符"/>
    <w:link w:val="49"/>
    <w:autoRedefine/>
    <w:qFormat/>
    <w:uiPriority w:val="0"/>
    <w:rPr>
      <w:rFonts w:ascii="Arial" w:hAnsi="Arial" w:eastAsia="隶书"/>
      <w:b/>
      <w:bCs/>
      <w:kern w:val="28"/>
      <w:sz w:val="44"/>
      <w:szCs w:val="32"/>
      <w:lang w:val="en-US" w:eastAsia="zh-CN" w:bidi="ar-SA"/>
    </w:rPr>
  </w:style>
  <w:style w:type="character" w:customStyle="1" w:styleId="133">
    <w:name w:val="普通文字 Char1 Char"/>
    <w:autoRedefine/>
    <w:qFormat/>
    <w:uiPriority w:val="0"/>
    <w:rPr>
      <w:rFonts w:ascii="宋体" w:hAnsi="Courier New" w:eastAsia="宋体"/>
      <w:kern w:val="2"/>
      <w:sz w:val="21"/>
      <w:szCs w:val="24"/>
      <w:lang w:val="en-US" w:eastAsia="zh-CN" w:bidi="ar-SA"/>
    </w:rPr>
  </w:style>
  <w:style w:type="character" w:customStyle="1" w:styleId="134">
    <w:name w:val="h3 Char1"/>
    <w:autoRedefine/>
    <w:qFormat/>
    <w:uiPriority w:val="0"/>
    <w:rPr>
      <w:rFonts w:eastAsia="宋体"/>
      <w:b/>
      <w:bCs/>
      <w:kern w:val="2"/>
      <w:sz w:val="32"/>
      <w:szCs w:val="32"/>
      <w:lang w:bidi="ar-SA"/>
    </w:rPr>
  </w:style>
  <w:style w:type="character" w:customStyle="1" w:styleId="135">
    <w:name w:val="标题 Char1"/>
    <w:autoRedefine/>
    <w:qFormat/>
    <w:uiPriority w:val="0"/>
    <w:rPr>
      <w:rFonts w:ascii="Cambria" w:hAnsi="Cambria" w:eastAsia="宋体" w:cs="Times New Roman"/>
      <w:b/>
      <w:bCs/>
      <w:sz w:val="32"/>
      <w:szCs w:val="32"/>
      <w:lang w:bidi="ar-SA"/>
    </w:rPr>
  </w:style>
  <w:style w:type="character" w:customStyle="1" w:styleId="136">
    <w:name w:val="gf正文1 Char"/>
    <w:autoRedefine/>
    <w:qFormat/>
    <w:uiPriority w:val="0"/>
    <w:rPr>
      <w:rFonts w:ascii="宋体" w:hAnsi="宋体" w:eastAsia="宋体" w:cs="宋体"/>
      <w:kern w:val="2"/>
      <w:sz w:val="24"/>
      <w:szCs w:val="24"/>
      <w:lang w:val="en-US" w:eastAsia="zh-CN" w:bidi="ar-SA"/>
    </w:rPr>
  </w:style>
  <w:style w:type="character" w:customStyle="1" w:styleId="137">
    <w:name w:val="正文文本缩进 Char1"/>
    <w:autoRedefine/>
    <w:qFormat/>
    <w:uiPriority w:val="0"/>
    <w:rPr>
      <w:rFonts w:ascii="Calibri" w:hAnsi="Calibri"/>
      <w:sz w:val="28"/>
    </w:rPr>
  </w:style>
  <w:style w:type="character" w:customStyle="1" w:styleId="138">
    <w:name w:val="No Spacing Char"/>
    <w:link w:val="139"/>
    <w:autoRedefine/>
    <w:qFormat/>
    <w:uiPriority w:val="1"/>
    <w:rPr>
      <w:sz w:val="22"/>
      <w:szCs w:val="22"/>
      <w:lang w:val="en-US" w:eastAsia="zh-CN" w:bidi="ar-SA"/>
    </w:rPr>
  </w:style>
  <w:style w:type="paragraph" w:customStyle="1" w:styleId="139">
    <w:name w:val="无间隔1"/>
    <w:link w:val="138"/>
    <w:autoRedefine/>
    <w:qFormat/>
    <w:uiPriority w:val="1"/>
    <w:rPr>
      <w:rFonts w:ascii="Times New Roman" w:hAnsi="Times New Roman" w:eastAsia="宋体" w:cs="Times New Roman"/>
      <w:sz w:val="22"/>
      <w:szCs w:val="22"/>
      <w:lang w:val="en-US" w:eastAsia="zh-CN" w:bidi="ar-SA"/>
    </w:rPr>
  </w:style>
  <w:style w:type="character" w:customStyle="1" w:styleId="140">
    <w:name w:val="样式7 Char"/>
    <w:autoRedefine/>
    <w:qFormat/>
    <w:uiPriority w:val="0"/>
    <w:rPr>
      <w:rFonts w:ascii="仿宋_GB2312" w:hAnsi="仿宋" w:eastAsia="仿宋_GB2312"/>
      <w:b/>
      <w:kern w:val="2"/>
      <w:sz w:val="24"/>
      <w:szCs w:val="24"/>
    </w:rPr>
  </w:style>
  <w:style w:type="character" w:customStyle="1" w:styleId="141">
    <w:name w:val="font12gray1"/>
    <w:autoRedefine/>
    <w:qFormat/>
    <w:uiPriority w:val="0"/>
    <w:rPr>
      <w:rFonts w:ascii="仿宋_GB2312" w:eastAsia="微软雅黑"/>
      <w:b/>
      <w:spacing w:val="300"/>
      <w:kern w:val="2"/>
      <w:sz w:val="18"/>
      <w:szCs w:val="18"/>
      <w:lang w:val="en-US" w:eastAsia="zh-CN" w:bidi="ar-SA"/>
    </w:rPr>
  </w:style>
  <w:style w:type="character" w:customStyle="1" w:styleId="142">
    <w:name w:val="Char Char7"/>
    <w:autoRedefine/>
    <w:semiHidden/>
    <w:qFormat/>
    <w:uiPriority w:val="0"/>
    <w:rPr>
      <w:rFonts w:eastAsia="宋体"/>
      <w:kern w:val="2"/>
      <w:sz w:val="21"/>
      <w:szCs w:val="24"/>
      <w:lang w:val="en-US" w:eastAsia="zh-CN" w:bidi="ar-SA"/>
    </w:rPr>
  </w:style>
  <w:style w:type="character" w:customStyle="1" w:styleId="143">
    <w:name w:val="表名 Char"/>
    <w:autoRedefine/>
    <w:qFormat/>
    <w:uiPriority w:val="0"/>
    <w:rPr>
      <w:rFonts w:eastAsia="宋体"/>
      <w:b/>
      <w:bCs/>
      <w:kern w:val="2"/>
      <w:sz w:val="24"/>
      <w:szCs w:val="24"/>
      <w:lang w:val="en-US" w:eastAsia="zh-CN" w:bidi="ar-SA"/>
    </w:rPr>
  </w:style>
  <w:style w:type="character" w:customStyle="1" w:styleId="144">
    <w:name w:val="Document Map Char"/>
    <w:autoRedefine/>
    <w:qFormat/>
    <w:locked/>
    <w:uiPriority w:val="0"/>
    <w:rPr>
      <w:rFonts w:eastAsia="宋体"/>
      <w:kern w:val="2"/>
      <w:sz w:val="21"/>
      <w:szCs w:val="24"/>
      <w:lang w:val="en-US" w:eastAsia="zh-CN" w:bidi="ar-SA"/>
    </w:rPr>
  </w:style>
  <w:style w:type="character" w:customStyle="1" w:styleId="145">
    <w:name w:val="font41"/>
    <w:autoRedefine/>
    <w:qFormat/>
    <w:uiPriority w:val="0"/>
    <w:rPr>
      <w:rFonts w:hint="eastAsia" w:ascii="仿宋_GB2312" w:eastAsia="仿宋_GB2312" w:cs="仿宋_GB2312"/>
      <w:color w:val="000000"/>
      <w:sz w:val="22"/>
      <w:szCs w:val="22"/>
      <w:u w:val="none"/>
    </w:rPr>
  </w:style>
  <w:style w:type="character" w:customStyle="1" w:styleId="146">
    <w:name w:val="标题 6 字符"/>
    <w:link w:val="10"/>
    <w:autoRedefine/>
    <w:qFormat/>
    <w:uiPriority w:val="0"/>
    <w:rPr>
      <w:rFonts w:ascii="Arial" w:hAnsi="Arial" w:eastAsia="黑体"/>
      <w:b/>
      <w:bCs/>
      <w:kern w:val="2"/>
      <w:sz w:val="24"/>
      <w:szCs w:val="24"/>
    </w:rPr>
  </w:style>
  <w:style w:type="character" w:customStyle="1" w:styleId="147">
    <w:name w:val="纯文本 Char_0"/>
    <w:link w:val="148"/>
    <w:autoRedefine/>
    <w:qFormat/>
    <w:uiPriority w:val="0"/>
    <w:rPr>
      <w:rFonts w:ascii="宋体" w:hAnsi="Courier New"/>
      <w:kern w:val="2"/>
      <w:sz w:val="21"/>
      <w:szCs w:val="21"/>
      <w:lang w:val="en-US" w:eastAsia="zh-CN"/>
    </w:rPr>
  </w:style>
  <w:style w:type="paragraph" w:customStyle="1" w:styleId="148">
    <w:name w:val="纯文本_0_0"/>
    <w:basedOn w:val="149"/>
    <w:link w:val="147"/>
    <w:autoRedefine/>
    <w:qFormat/>
    <w:uiPriority w:val="0"/>
    <w:rPr>
      <w:rFonts w:ascii="宋体" w:hAnsi="Courier New"/>
      <w:szCs w:val="21"/>
    </w:rPr>
  </w:style>
  <w:style w:type="paragraph" w:customStyle="1" w:styleId="149">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autoRedefine/>
    <w:qFormat/>
    <w:locked/>
    <w:uiPriority w:val="0"/>
    <w:rPr>
      <w:rFonts w:eastAsia="宋体"/>
      <w:kern w:val="2"/>
      <w:sz w:val="18"/>
      <w:szCs w:val="18"/>
      <w:lang w:val="en-US" w:eastAsia="zh-CN" w:bidi="ar-SA"/>
    </w:rPr>
  </w:style>
  <w:style w:type="character" w:customStyle="1" w:styleId="151">
    <w:name w:val="正文 项目2 Char"/>
    <w:basedOn w:val="152"/>
    <w:autoRedefine/>
    <w:qFormat/>
    <w:uiPriority w:val="0"/>
    <w:rPr>
      <w:rFonts w:ascii="仿宋_GB2312" w:hAnsi="仿宋_GB2312" w:eastAsia="仿宋_GB2312"/>
      <w:kern w:val="2"/>
      <w:sz w:val="24"/>
      <w:lang w:bidi="ar-SA"/>
    </w:rPr>
  </w:style>
  <w:style w:type="character" w:customStyle="1" w:styleId="152">
    <w:name w:val="正文 项目 Char"/>
    <w:autoRedefine/>
    <w:qFormat/>
    <w:uiPriority w:val="0"/>
    <w:rPr>
      <w:rFonts w:ascii="仿宋_GB2312" w:hAnsi="仿宋_GB2312" w:eastAsia="仿宋_GB2312"/>
      <w:kern w:val="2"/>
      <w:sz w:val="24"/>
      <w:lang w:bidi="ar-SA"/>
    </w:rPr>
  </w:style>
  <w:style w:type="character" w:customStyle="1" w:styleId="153">
    <w:name w:val="h Char Char1"/>
    <w:autoRedefine/>
    <w:qFormat/>
    <w:uiPriority w:val="0"/>
    <w:rPr>
      <w:rFonts w:eastAsia="宋体"/>
      <w:kern w:val="2"/>
      <w:sz w:val="18"/>
      <w:szCs w:val="18"/>
      <w:lang w:val="en-US" w:eastAsia="zh-CN" w:bidi="ar-SA"/>
    </w:rPr>
  </w:style>
  <w:style w:type="character" w:customStyle="1" w:styleId="154">
    <w:name w:val="Char Char27"/>
    <w:autoRedefine/>
    <w:qFormat/>
    <w:uiPriority w:val="6"/>
    <w:rPr>
      <w:rFonts w:ascii="宋体" w:hAnsi="宋体" w:eastAsia="宋体"/>
      <w:color w:val="000000"/>
      <w:kern w:val="1"/>
      <w:sz w:val="28"/>
      <w:lang w:val="en-US" w:eastAsia="zh-CN" w:bidi="ar-SA"/>
    </w:rPr>
  </w:style>
  <w:style w:type="character" w:customStyle="1" w:styleId="155">
    <w:name w:val="px14"/>
    <w:autoRedefine/>
    <w:qFormat/>
    <w:uiPriority w:val="0"/>
    <w:rPr>
      <w:rFonts w:ascii="仿宋_GB2312" w:eastAsia="微软雅黑" w:cs="Times New Roman"/>
      <w:b/>
      <w:kern w:val="2"/>
      <w:sz w:val="32"/>
      <w:szCs w:val="32"/>
      <w:lang w:val="en-US" w:eastAsia="zh-CN" w:bidi="ar-SA"/>
    </w:rPr>
  </w:style>
  <w:style w:type="character" w:customStyle="1" w:styleId="156">
    <w:name w:val="HTML 预设格式 Char1"/>
    <w:autoRedefine/>
    <w:qFormat/>
    <w:uiPriority w:val="0"/>
    <w:rPr>
      <w:rFonts w:ascii="Courier New" w:hAnsi="Courier New" w:eastAsia="宋体" w:cs="Courier New"/>
      <w:sz w:val="20"/>
      <w:szCs w:val="20"/>
    </w:rPr>
  </w:style>
  <w:style w:type="character" w:customStyle="1" w:styleId="157">
    <w:name w:val="普通文字 Char1"/>
    <w:autoRedefine/>
    <w:qFormat/>
    <w:uiPriority w:val="0"/>
    <w:rPr>
      <w:rFonts w:ascii="宋体" w:hAnsi="Courier New" w:eastAsia="宋体"/>
      <w:kern w:val="2"/>
      <w:sz w:val="21"/>
      <w:lang w:val="en-US" w:eastAsia="zh-CN"/>
    </w:rPr>
  </w:style>
  <w:style w:type="character" w:customStyle="1" w:styleId="158">
    <w:name w:val="hei16b1"/>
    <w:autoRedefine/>
    <w:qFormat/>
    <w:uiPriority w:val="0"/>
    <w:rPr>
      <w:rFonts w:hint="default" w:ascii="Arial" w:hAnsi="Arial" w:cs="Arial"/>
      <w:b/>
      <w:bCs/>
      <w:color w:val="000000"/>
      <w:sz w:val="24"/>
      <w:szCs w:val="24"/>
    </w:rPr>
  </w:style>
  <w:style w:type="character" w:customStyle="1" w:styleId="159">
    <w:name w:val="正文（绿盟科技） Char"/>
    <w:link w:val="160"/>
    <w:autoRedefine/>
    <w:qFormat/>
    <w:uiPriority w:val="0"/>
    <w:rPr>
      <w:rFonts w:ascii="Arial" w:hAnsi="Arial"/>
      <w:sz w:val="21"/>
      <w:szCs w:val="21"/>
    </w:rPr>
  </w:style>
  <w:style w:type="paragraph" w:customStyle="1" w:styleId="160">
    <w:name w:val="正文（绿盟科技）"/>
    <w:link w:val="159"/>
    <w:autoRedefine/>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autoRedefine/>
    <w:qFormat/>
    <w:uiPriority w:val="6"/>
    <w:rPr>
      <w:rFonts w:ascii="宋体" w:hAnsi="宋体"/>
      <w:i/>
      <w:sz w:val="24"/>
      <w:szCs w:val="24"/>
    </w:rPr>
  </w:style>
  <w:style w:type="character" w:customStyle="1" w:styleId="162">
    <w:name w:val="页脚 Char"/>
    <w:autoRedefine/>
    <w:qFormat/>
    <w:uiPriority w:val="0"/>
    <w:rPr>
      <w:rFonts w:eastAsia="仿宋_GB2312"/>
      <w:kern w:val="2"/>
      <w:sz w:val="18"/>
      <w:lang w:val="en-US" w:eastAsia="zh-CN"/>
    </w:rPr>
  </w:style>
  <w:style w:type="character" w:customStyle="1" w:styleId="163">
    <w:name w:val="批注主题 Char"/>
    <w:autoRedefine/>
    <w:qFormat/>
    <w:uiPriority w:val="0"/>
    <w:rPr>
      <w:rFonts w:eastAsia="宋体"/>
      <w:b/>
      <w:bCs/>
      <w:kern w:val="2"/>
      <w:sz w:val="21"/>
      <w:szCs w:val="24"/>
      <w:lang w:val="en-US" w:eastAsia="zh-CN" w:bidi="ar-SA"/>
    </w:rPr>
  </w:style>
  <w:style w:type="character" w:customStyle="1" w:styleId="164">
    <w:name w:val="Comment Text Char"/>
    <w:autoRedefine/>
    <w:qFormat/>
    <w:locked/>
    <w:uiPriority w:val="0"/>
    <w:rPr>
      <w:rFonts w:ascii="宋体" w:hAnsi="宋体" w:eastAsia="宋体"/>
      <w:kern w:val="2"/>
      <w:sz w:val="24"/>
      <w:lang w:val="en-US" w:eastAsia="zh-CN" w:bidi="ar-SA"/>
    </w:rPr>
  </w:style>
  <w:style w:type="character" w:customStyle="1" w:styleId="165">
    <w:name w:val="标题 2 字符"/>
    <w:autoRedefine/>
    <w:qFormat/>
    <w:uiPriority w:val="1"/>
    <w:rPr>
      <w:rFonts w:ascii="仿宋_GB2312" w:hAnsi="Times New Roman" w:eastAsia="仿宋_GB2312" w:cs="Times New Roman"/>
      <w:b/>
      <w:kern w:val="2"/>
      <w:sz w:val="24"/>
      <w:lang w:val="zh-CN"/>
    </w:rPr>
  </w:style>
  <w:style w:type="character" w:customStyle="1" w:styleId="166">
    <w:name w:val="Char Char72"/>
    <w:autoRedefine/>
    <w:qFormat/>
    <w:uiPriority w:val="0"/>
    <w:rPr>
      <w:rFonts w:eastAsia="宋体"/>
      <w:kern w:val="2"/>
      <w:sz w:val="21"/>
      <w:szCs w:val="24"/>
      <w:lang w:val="en-US" w:eastAsia="zh-CN" w:bidi="ar-SA"/>
    </w:rPr>
  </w:style>
  <w:style w:type="character" w:customStyle="1" w:styleId="167">
    <w:name w:val="正文文本缩进 Char2"/>
    <w:autoRedefine/>
    <w:qFormat/>
    <w:uiPriority w:val="0"/>
    <w:rPr>
      <w:rFonts w:ascii="Times New Roman" w:hAnsi="Times New Roman" w:eastAsia="宋体" w:cs="Times New Roman"/>
      <w:snapToGrid w:val="0"/>
      <w:kern w:val="0"/>
      <w:szCs w:val="24"/>
    </w:rPr>
  </w:style>
  <w:style w:type="character" w:customStyle="1" w:styleId="168">
    <w:name w:val="样式2 Char"/>
    <w:autoRedefine/>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autoRedefine/>
    <w:qFormat/>
    <w:uiPriority w:val="0"/>
    <w:rPr>
      <w:sz w:val="32"/>
    </w:rPr>
  </w:style>
  <w:style w:type="paragraph" w:customStyle="1" w:styleId="170">
    <w:name w:val="表格名称"/>
    <w:basedOn w:val="5"/>
    <w:link w:val="169"/>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autoRedefine/>
    <w:qFormat/>
    <w:uiPriority w:val="0"/>
    <w:rPr>
      <w:rFonts w:eastAsia="宋体"/>
      <w:b/>
      <w:sz w:val="24"/>
      <w:lang w:val="en-GB" w:eastAsia="zh-CN" w:bidi="ar-SA"/>
    </w:rPr>
  </w:style>
  <w:style w:type="character" w:customStyle="1" w:styleId="172">
    <w:name w:val="c7 style3"/>
    <w:autoRedefine/>
    <w:qFormat/>
    <w:uiPriority w:val="0"/>
  </w:style>
  <w:style w:type="character" w:customStyle="1" w:styleId="173">
    <w:name w:val="正文文本 3 Char1"/>
    <w:autoRedefine/>
    <w:semiHidden/>
    <w:qFormat/>
    <w:uiPriority w:val="99"/>
    <w:rPr>
      <w:rFonts w:ascii="Times New Roman" w:hAnsi="Times New Roman" w:eastAsia="宋体" w:cs="Times New Roman"/>
      <w:sz w:val="16"/>
      <w:szCs w:val="16"/>
    </w:rPr>
  </w:style>
  <w:style w:type="character" w:customStyle="1" w:styleId="174">
    <w:name w:val="tw4winInternal"/>
    <w:autoRedefine/>
    <w:qFormat/>
    <w:uiPriority w:val="0"/>
    <w:rPr>
      <w:rFonts w:ascii="Courier New" w:hAnsi="Courier New" w:cs="Courier New"/>
      <w:color w:val="FF0000"/>
      <w:lang w:val="en-US" w:eastAsia="zh-CN"/>
    </w:rPr>
  </w:style>
  <w:style w:type="character" w:customStyle="1" w:styleId="175">
    <w:name w:val="Char Char10"/>
    <w:autoRedefine/>
    <w:semiHidden/>
    <w:qFormat/>
    <w:uiPriority w:val="0"/>
    <w:rPr>
      <w:rFonts w:ascii="宋体" w:hAnsi="宋体"/>
      <w:kern w:val="2"/>
      <w:sz w:val="21"/>
      <w:szCs w:val="24"/>
      <w:lang w:val="en-US" w:eastAsia="zh-CN"/>
    </w:rPr>
  </w:style>
  <w:style w:type="character" w:customStyle="1" w:styleId="176">
    <w:name w:val="shadow11"/>
    <w:autoRedefine/>
    <w:qFormat/>
    <w:uiPriority w:val="0"/>
    <w:rPr>
      <w:color w:val="000000"/>
      <w:sz w:val="21"/>
    </w:rPr>
  </w:style>
  <w:style w:type="character" w:customStyle="1" w:styleId="177">
    <w:name w:val="正文非缩进 Char3"/>
    <w:autoRedefine/>
    <w:qFormat/>
    <w:uiPriority w:val="0"/>
    <w:rPr>
      <w:rFonts w:ascii="宋体" w:eastAsia="宋体"/>
      <w:snapToGrid w:val="0"/>
      <w:color w:val="000000"/>
      <w:kern w:val="28"/>
      <w:sz w:val="28"/>
      <w:lang w:val="en-US" w:eastAsia="zh-CN" w:bidi="ar-SA"/>
    </w:rPr>
  </w:style>
  <w:style w:type="character" w:customStyle="1" w:styleId="178">
    <w:name w:val="Char Char"/>
    <w:autoRedefine/>
    <w:qFormat/>
    <w:uiPriority w:val="0"/>
    <w:rPr>
      <w:rFonts w:ascii="宋体" w:hAnsi="Courier New" w:eastAsia="宋体"/>
      <w:kern w:val="2"/>
      <w:sz w:val="21"/>
      <w:lang w:val="en-US" w:eastAsia="zh-CN" w:bidi="ar-SA"/>
    </w:rPr>
  </w:style>
  <w:style w:type="character" w:customStyle="1" w:styleId="179">
    <w:name w:val="签名 Char1"/>
    <w:autoRedefine/>
    <w:qFormat/>
    <w:uiPriority w:val="0"/>
    <w:rPr>
      <w:rFonts w:ascii="Times New Roman" w:hAnsi="Times New Roman" w:eastAsia="宋体" w:cs="Times New Roman"/>
      <w:szCs w:val="24"/>
    </w:rPr>
  </w:style>
  <w:style w:type="character" w:customStyle="1" w:styleId="180">
    <w:name w:val="日期 字符"/>
    <w:link w:val="38"/>
    <w:autoRedefine/>
    <w:qFormat/>
    <w:uiPriority w:val="0"/>
    <w:rPr>
      <w:rFonts w:ascii="宋体"/>
      <w:kern w:val="2"/>
      <w:sz w:val="24"/>
      <w:szCs w:val="21"/>
      <w:lang w:val="zh-CN"/>
    </w:rPr>
  </w:style>
  <w:style w:type="character" w:customStyle="1" w:styleId="181">
    <w:name w:val="标题 9 字符"/>
    <w:link w:val="13"/>
    <w:autoRedefine/>
    <w:qFormat/>
    <w:uiPriority w:val="0"/>
    <w:rPr>
      <w:rFonts w:ascii="Arial" w:hAnsi="Arial" w:eastAsia="黑体"/>
      <w:kern w:val="2"/>
      <w:sz w:val="21"/>
      <w:szCs w:val="21"/>
    </w:rPr>
  </w:style>
  <w:style w:type="character" w:customStyle="1" w:styleId="182">
    <w:name w:val="Char Char18"/>
    <w:autoRedefine/>
    <w:qFormat/>
    <w:uiPriority w:val="6"/>
    <w:rPr>
      <w:rFonts w:ascii="宋体" w:hAnsi="宋体"/>
      <w:sz w:val="28"/>
    </w:rPr>
  </w:style>
  <w:style w:type="character" w:customStyle="1" w:styleId="183">
    <w:name w:val="批注文字 Char"/>
    <w:autoRedefine/>
    <w:qFormat/>
    <w:uiPriority w:val="99"/>
    <w:rPr>
      <w:kern w:val="2"/>
      <w:sz w:val="21"/>
      <w:szCs w:val="24"/>
    </w:rPr>
  </w:style>
  <w:style w:type="character" w:customStyle="1" w:styleId="184">
    <w:name w:val="Char Char22"/>
    <w:autoRedefine/>
    <w:qFormat/>
    <w:uiPriority w:val="6"/>
    <w:rPr>
      <w:rFonts w:ascii="宋体" w:hAnsi="宋体"/>
      <w:kern w:val="1"/>
      <w:sz w:val="24"/>
      <w:szCs w:val="24"/>
    </w:rPr>
  </w:style>
  <w:style w:type="character" w:customStyle="1" w:styleId="185">
    <w:name w:val="pt141"/>
    <w:autoRedefine/>
    <w:qFormat/>
    <w:uiPriority w:val="0"/>
    <w:rPr>
      <w:color w:val="330066"/>
      <w:sz w:val="22"/>
      <w:szCs w:val="22"/>
    </w:rPr>
  </w:style>
  <w:style w:type="character" w:customStyle="1" w:styleId="186">
    <w:name w:val="正文文本缩进 2 Char1"/>
    <w:autoRedefine/>
    <w:semiHidden/>
    <w:qFormat/>
    <w:uiPriority w:val="99"/>
    <w:rPr>
      <w:rFonts w:ascii="Times New Roman" w:hAnsi="Times New Roman" w:eastAsia="宋体" w:cs="Times New Roman"/>
      <w:szCs w:val="24"/>
    </w:rPr>
  </w:style>
  <w:style w:type="character" w:customStyle="1" w:styleId="187">
    <w:name w:val="批注框文本 字符1"/>
    <w:link w:val="41"/>
    <w:autoRedefine/>
    <w:qFormat/>
    <w:uiPriority w:val="0"/>
    <w:rPr>
      <w:kern w:val="2"/>
      <w:sz w:val="18"/>
      <w:szCs w:val="18"/>
    </w:rPr>
  </w:style>
  <w:style w:type="character" w:customStyle="1" w:styleId="188">
    <w:name w:val="Char Char611"/>
    <w:autoRedefine/>
    <w:qFormat/>
    <w:uiPriority w:val="0"/>
    <w:rPr>
      <w:rFonts w:eastAsia="宋体"/>
      <w:kern w:val="2"/>
      <w:sz w:val="21"/>
      <w:szCs w:val="24"/>
      <w:lang w:val="en-US" w:eastAsia="zh-CN" w:bidi="ar-SA"/>
    </w:rPr>
  </w:style>
  <w:style w:type="character" w:customStyle="1" w:styleId="189">
    <w:name w:val="highlight1"/>
    <w:autoRedefine/>
    <w:qFormat/>
    <w:uiPriority w:val="0"/>
    <w:rPr>
      <w:rFonts w:ascii="仿宋_GB2312" w:eastAsia="微软雅黑"/>
      <w:b/>
      <w:kern w:val="2"/>
      <w:sz w:val="23"/>
      <w:szCs w:val="23"/>
      <w:lang w:val="en-US" w:eastAsia="zh-CN" w:bidi="ar-SA"/>
    </w:rPr>
  </w:style>
  <w:style w:type="character" w:customStyle="1" w:styleId="190">
    <w:name w:val="my正文 Char"/>
    <w:link w:val="191"/>
    <w:autoRedefine/>
    <w:qFormat/>
    <w:locked/>
    <w:uiPriority w:val="0"/>
    <w:rPr>
      <w:rFonts w:ascii="Tahoma" w:hAnsi="Tahoma"/>
      <w:sz w:val="24"/>
      <w:szCs w:val="24"/>
    </w:rPr>
  </w:style>
  <w:style w:type="paragraph" w:customStyle="1" w:styleId="191">
    <w:name w:val="my正文"/>
    <w:basedOn w:val="1"/>
    <w:link w:val="190"/>
    <w:autoRedefine/>
    <w:qFormat/>
    <w:uiPriority w:val="0"/>
    <w:pPr>
      <w:adjustRightInd/>
      <w:spacing w:line="360" w:lineRule="auto"/>
      <w:ind w:firstLine="480" w:firstLineChars="200"/>
    </w:pPr>
    <w:rPr>
      <w:rFonts w:ascii="Tahoma" w:hAnsi="Tahoma"/>
      <w:kern w:val="0"/>
      <w:sz w:val="24"/>
    </w:rPr>
  </w:style>
  <w:style w:type="character" w:customStyle="1" w:styleId="192">
    <w:name w:val="正文缩进 字符2"/>
    <w:link w:val="7"/>
    <w:autoRedefine/>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autoRedefine/>
    <w:qFormat/>
    <w:uiPriority w:val="0"/>
    <w:rPr>
      <w:color w:val="0000FF"/>
      <w:sz w:val="21"/>
    </w:rPr>
  </w:style>
  <w:style w:type="character" w:customStyle="1" w:styleId="194">
    <w:name w:val="页眉 Char"/>
    <w:autoRedefine/>
    <w:qFormat/>
    <w:uiPriority w:val="0"/>
    <w:rPr>
      <w:rFonts w:eastAsia="仿宋_GB2312"/>
      <w:kern w:val="2"/>
      <w:sz w:val="18"/>
      <w:lang w:val="en-US" w:eastAsia="zh-CN"/>
    </w:rPr>
  </w:style>
  <w:style w:type="character" w:customStyle="1" w:styleId="195">
    <w:name w:val="FA正文 Char Char"/>
    <w:autoRedefine/>
    <w:qFormat/>
    <w:uiPriority w:val="0"/>
    <w:rPr>
      <w:rFonts w:hAnsi="宋体"/>
      <w:kern w:val="2"/>
      <w:sz w:val="24"/>
      <w:lang w:bidi="ar-SA"/>
    </w:rPr>
  </w:style>
  <w:style w:type="character" w:customStyle="1" w:styleId="196">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autoRedefine/>
    <w:qFormat/>
    <w:uiPriority w:val="0"/>
    <w:rPr>
      <w:rFonts w:ascii="宋体" w:hAnsi="宋体"/>
      <w:b/>
      <w:bCs/>
      <w:snapToGrid/>
      <w:sz w:val="28"/>
    </w:rPr>
  </w:style>
  <w:style w:type="paragraph" w:customStyle="1" w:styleId="198">
    <w:name w:val="3级"/>
    <w:basedOn w:val="199"/>
    <w:link w:val="197"/>
    <w:autoRedefine/>
    <w:qFormat/>
    <w:uiPriority w:val="0"/>
    <w:pPr>
      <w:ind w:left="0" w:right="466" w:firstLine="288"/>
    </w:pPr>
    <w:rPr>
      <w:rFonts w:hAnsi="宋体"/>
      <w:snapToGrid/>
    </w:rPr>
  </w:style>
  <w:style w:type="paragraph" w:customStyle="1" w:styleId="199">
    <w:name w:val="样式 标题 3h33rd level3BOD 0H3l3CTHeading 3 - oldLevel 3 He..."/>
    <w:basedOn w:val="6"/>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autoRedefine/>
    <w:qFormat/>
    <w:uiPriority w:val="0"/>
    <w:rPr>
      <w:rFonts w:ascii="仿宋_GB2312" w:eastAsia="微软雅黑"/>
      <w:b/>
      <w:kern w:val="2"/>
      <w:sz w:val="32"/>
      <w:szCs w:val="32"/>
      <w:lang w:val="en-US" w:eastAsia="zh-CN" w:bidi="ar-SA"/>
    </w:rPr>
  </w:style>
  <w:style w:type="character" w:customStyle="1" w:styleId="201">
    <w:name w:val="文档结构图 字符"/>
    <w:link w:val="20"/>
    <w:autoRedefine/>
    <w:qFormat/>
    <w:uiPriority w:val="0"/>
    <w:rPr>
      <w:kern w:val="2"/>
      <w:sz w:val="21"/>
      <w:szCs w:val="24"/>
      <w:shd w:val="clear" w:color="auto" w:fill="000080"/>
    </w:rPr>
  </w:style>
  <w:style w:type="character" w:customStyle="1" w:styleId="202">
    <w:name w:val="H6 Char"/>
    <w:autoRedefine/>
    <w:qFormat/>
    <w:uiPriority w:val="0"/>
    <w:rPr>
      <w:rFonts w:ascii="Arial" w:hAnsi="Arial" w:eastAsia="黑体"/>
      <w:b/>
      <w:bCs/>
      <w:kern w:val="2"/>
      <w:sz w:val="24"/>
      <w:szCs w:val="24"/>
    </w:rPr>
  </w:style>
  <w:style w:type="character" w:customStyle="1" w:styleId="203">
    <w:name w:val="Char Char91"/>
    <w:autoRedefine/>
    <w:qFormat/>
    <w:uiPriority w:val="0"/>
    <w:rPr>
      <w:rFonts w:eastAsia="宋体"/>
      <w:kern w:val="2"/>
      <w:sz w:val="18"/>
      <w:szCs w:val="18"/>
      <w:lang w:val="en-US" w:eastAsia="zh-CN" w:bidi="ar-SA"/>
    </w:rPr>
  </w:style>
  <w:style w:type="character" w:customStyle="1" w:styleId="204">
    <w:name w:val="副标题 Char1"/>
    <w:autoRedefine/>
    <w:qFormat/>
    <w:uiPriority w:val="0"/>
    <w:rPr>
      <w:rFonts w:ascii="Cambria" w:hAnsi="Cambria" w:eastAsia="宋体" w:cs="Times New Roman"/>
      <w:b/>
      <w:bCs/>
      <w:snapToGrid w:val="0"/>
      <w:kern w:val="28"/>
      <w:sz w:val="32"/>
      <w:szCs w:val="32"/>
    </w:rPr>
  </w:style>
  <w:style w:type="character" w:customStyle="1" w:styleId="205">
    <w:name w:val="font61"/>
    <w:autoRedefine/>
    <w:qFormat/>
    <w:uiPriority w:val="0"/>
    <w:rPr>
      <w:rFonts w:hint="eastAsia" w:ascii="仿宋" w:hAnsi="仿宋" w:eastAsia="仿宋" w:cs="仿宋"/>
      <w:color w:val="000000"/>
      <w:sz w:val="20"/>
      <w:szCs w:val="20"/>
      <w:u w:val="none"/>
    </w:rPr>
  </w:style>
  <w:style w:type="character" w:customStyle="1" w:styleId="206">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autoRedefine/>
    <w:qFormat/>
    <w:uiPriority w:val="0"/>
    <w:rPr>
      <w:rFonts w:eastAsia="宋体"/>
      <w:b/>
      <w:bCs/>
      <w:kern w:val="2"/>
      <w:sz w:val="21"/>
      <w:szCs w:val="24"/>
      <w:lang w:val="en-US" w:eastAsia="zh-CN" w:bidi="ar-SA"/>
    </w:rPr>
  </w:style>
  <w:style w:type="character" w:customStyle="1" w:styleId="208">
    <w:name w:val="标题 2 Char"/>
    <w:autoRedefine/>
    <w:qFormat/>
    <w:uiPriority w:val="0"/>
    <w:rPr>
      <w:rFonts w:ascii="Arial" w:hAnsi="Arial" w:eastAsia="黑体"/>
      <w:b/>
      <w:kern w:val="2"/>
      <w:sz w:val="32"/>
      <w:lang w:val="en-US" w:eastAsia="zh-CN"/>
    </w:rPr>
  </w:style>
  <w:style w:type="character" w:customStyle="1" w:styleId="209">
    <w:name w:val="maywed421"/>
    <w:autoRedefine/>
    <w:qFormat/>
    <w:uiPriority w:val="0"/>
    <w:rPr>
      <w:color w:val="366FB6"/>
      <w:u w:val="none"/>
    </w:rPr>
  </w:style>
  <w:style w:type="character" w:customStyle="1" w:styleId="210">
    <w:name w:val="正文文本缩进 Char"/>
    <w:autoRedefine/>
    <w:qFormat/>
    <w:uiPriority w:val="0"/>
    <w:rPr>
      <w:rFonts w:ascii="宋体" w:hAnsi="宋体"/>
      <w:kern w:val="2"/>
      <w:sz w:val="24"/>
      <w:szCs w:val="24"/>
    </w:rPr>
  </w:style>
  <w:style w:type="character" w:customStyle="1" w:styleId="211">
    <w:name w:val="Char Char102"/>
    <w:autoRedefine/>
    <w:semiHidden/>
    <w:qFormat/>
    <w:uiPriority w:val="0"/>
    <w:rPr>
      <w:rFonts w:ascii="宋体" w:hAnsi="宋体"/>
      <w:kern w:val="2"/>
      <w:sz w:val="21"/>
      <w:szCs w:val="24"/>
      <w:lang w:val="en-US" w:eastAsia="zh-CN"/>
    </w:rPr>
  </w:style>
  <w:style w:type="character" w:customStyle="1" w:styleId="212">
    <w:name w:val="页眉 Char1"/>
    <w:autoRedefine/>
    <w:qFormat/>
    <w:uiPriority w:val="0"/>
    <w:rPr>
      <w:rFonts w:eastAsia="宋体"/>
      <w:kern w:val="2"/>
      <w:sz w:val="18"/>
      <w:szCs w:val="18"/>
      <w:lang w:val="en-US" w:eastAsia="zh-CN" w:bidi="ar-SA"/>
    </w:rPr>
  </w:style>
  <w:style w:type="character" w:customStyle="1" w:styleId="213">
    <w:name w:val="md"/>
    <w:basedOn w:val="69"/>
    <w:autoRedefine/>
    <w:qFormat/>
    <w:uiPriority w:val="0"/>
    <w:rPr>
      <w:rFonts w:ascii="Arial" w:hAnsi="Arial" w:eastAsia="黑体" w:cs="Arial"/>
      <w:snapToGrid w:val="0"/>
      <w:kern w:val="0"/>
      <w:szCs w:val="21"/>
    </w:rPr>
  </w:style>
  <w:style w:type="character" w:customStyle="1" w:styleId="214">
    <w:name w:val="big1"/>
    <w:autoRedefine/>
    <w:qFormat/>
    <w:uiPriority w:val="0"/>
    <w:rPr>
      <w:rFonts w:hint="eastAsia" w:ascii="宋体" w:hAnsi="宋体" w:eastAsia="宋体"/>
      <w:color w:val="333333"/>
      <w:sz w:val="22"/>
      <w:szCs w:val="22"/>
    </w:rPr>
  </w:style>
  <w:style w:type="character" w:customStyle="1" w:styleId="215">
    <w:name w:val="Char Char311"/>
    <w:autoRedefine/>
    <w:qFormat/>
    <w:uiPriority w:val="0"/>
    <w:rPr>
      <w:rFonts w:eastAsia="宋体"/>
      <w:kern w:val="2"/>
      <w:sz w:val="21"/>
      <w:szCs w:val="24"/>
      <w:lang w:val="en-US" w:eastAsia="zh-CN" w:bidi="ar-SA"/>
    </w:rPr>
  </w:style>
  <w:style w:type="character" w:customStyle="1" w:styleId="216">
    <w:name w:val="Char Char81"/>
    <w:autoRedefine/>
    <w:qFormat/>
    <w:uiPriority w:val="6"/>
    <w:rPr>
      <w:rFonts w:eastAsia="宋体"/>
      <w:b/>
      <w:sz w:val="24"/>
      <w:lang w:val="en-GB" w:eastAsia="zh-CN"/>
    </w:rPr>
  </w:style>
  <w:style w:type="character" w:customStyle="1" w:styleId="217">
    <w:name w:val="样式3 Char"/>
    <w:basedOn w:val="168"/>
    <w:autoRedefine/>
    <w:qFormat/>
    <w:uiPriority w:val="0"/>
    <w:rPr>
      <w:rFonts w:ascii="仿宋_GB2312" w:hAnsi="仿宋" w:eastAsia="仿宋_GB2312" w:cs="仿宋_GB2312"/>
      <w:sz w:val="32"/>
      <w:szCs w:val="30"/>
      <w:lang w:val="zh-CN"/>
    </w:rPr>
  </w:style>
  <w:style w:type="character" w:customStyle="1" w:styleId="218">
    <w:name w:val="HTML 地址 字符"/>
    <w:link w:val="32"/>
    <w:autoRedefine/>
    <w:qFormat/>
    <w:uiPriority w:val="0"/>
    <w:rPr>
      <w:rFonts w:ascii="宋体" w:hAnsi="宋体"/>
      <w:i/>
      <w:iCs/>
      <w:sz w:val="24"/>
      <w:szCs w:val="24"/>
    </w:rPr>
  </w:style>
  <w:style w:type="character" w:customStyle="1" w:styleId="219">
    <w:name w:val="正文首行缩进 2 Char1"/>
    <w:autoRedefine/>
    <w:qFormat/>
    <w:uiPriority w:val="0"/>
    <w:rPr>
      <w:rFonts w:ascii="Times New Roman" w:hAnsi="Times New Roman" w:eastAsia="宋体" w:cs="Times New Roman"/>
      <w:kern w:val="2"/>
      <w:sz w:val="24"/>
      <w:szCs w:val="24"/>
    </w:rPr>
  </w:style>
  <w:style w:type="character" w:customStyle="1" w:styleId="220">
    <w:name w:val="副标题 Char2"/>
    <w:autoRedefine/>
    <w:qFormat/>
    <w:uiPriority w:val="0"/>
    <w:rPr>
      <w:rFonts w:ascii="Cambria" w:hAnsi="Cambria" w:eastAsia="宋体" w:cs="Times New Roman"/>
      <w:b/>
      <w:bCs/>
      <w:snapToGrid w:val="0"/>
      <w:kern w:val="28"/>
      <w:sz w:val="32"/>
      <w:szCs w:val="32"/>
    </w:rPr>
  </w:style>
  <w:style w:type="character" w:customStyle="1" w:styleId="221">
    <w:name w:val="标题4-dyf Char"/>
    <w:link w:val="222"/>
    <w:autoRedefine/>
    <w:qFormat/>
    <w:uiPriority w:val="0"/>
    <w:rPr>
      <w:rFonts w:ascii="Cambria" w:hAnsi="Cambria"/>
      <w:b/>
      <w:bCs/>
      <w:color w:val="000000"/>
      <w:kern w:val="2"/>
      <w:sz w:val="21"/>
      <w:szCs w:val="21"/>
    </w:rPr>
  </w:style>
  <w:style w:type="paragraph" w:customStyle="1" w:styleId="222">
    <w:name w:val="标题4-dyf"/>
    <w:basedOn w:val="8"/>
    <w:link w:val="221"/>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autoRedefine/>
    <w:qFormat/>
    <w:uiPriority w:val="0"/>
    <w:rPr>
      <w:rFonts w:ascii="宋体" w:hAnsi="宋体" w:eastAsia="宋体"/>
      <w:color w:val="333333"/>
      <w:sz w:val="21"/>
      <w:szCs w:val="21"/>
      <w:u w:val="none"/>
    </w:rPr>
  </w:style>
  <w:style w:type="character" w:customStyle="1" w:styleId="224">
    <w:name w:val="冯 Char"/>
    <w:link w:val="225"/>
    <w:autoRedefine/>
    <w:qFormat/>
    <w:uiPriority w:val="0"/>
    <w:rPr>
      <w:rFonts w:ascii="宋体" w:hAnsi="宋体"/>
      <w:color w:val="000000"/>
      <w:sz w:val="24"/>
      <w:szCs w:val="24"/>
    </w:rPr>
  </w:style>
  <w:style w:type="paragraph" w:customStyle="1" w:styleId="225">
    <w:name w:val="冯"/>
    <w:basedOn w:val="1"/>
    <w:link w:val="224"/>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
    <w:autoRedefine/>
    <w:qFormat/>
    <w:locked/>
    <w:uiPriority w:val="0"/>
    <w:rPr>
      <w:rFonts w:eastAsia="宋体"/>
      <w:kern w:val="2"/>
      <w:sz w:val="18"/>
      <w:szCs w:val="18"/>
      <w:lang w:val="en-US" w:eastAsia="zh-CN" w:bidi="ar-SA"/>
    </w:rPr>
  </w:style>
  <w:style w:type="character" w:customStyle="1" w:styleId="227">
    <w:name w:val="Char Char12"/>
    <w:autoRedefine/>
    <w:qFormat/>
    <w:uiPriority w:val="0"/>
    <w:rPr>
      <w:rFonts w:ascii="仿宋_GB2312" w:eastAsia="仿宋_GB2312"/>
      <w:b/>
      <w:bCs/>
      <w:kern w:val="2"/>
      <w:sz w:val="24"/>
      <w:szCs w:val="24"/>
      <w:lang w:val="zh-CN" w:eastAsia="zh-CN" w:bidi="ar-SA"/>
    </w:rPr>
  </w:style>
  <w:style w:type="character" w:customStyle="1" w:styleId="228">
    <w:name w:val="题注 字符"/>
    <w:link w:val="18"/>
    <w:autoRedefine/>
    <w:qFormat/>
    <w:uiPriority w:val="0"/>
    <w:rPr>
      <w:b/>
      <w:kern w:val="2"/>
      <w:sz w:val="28"/>
    </w:rPr>
  </w:style>
  <w:style w:type="character" w:customStyle="1" w:styleId="229">
    <w:name w:val="普通文字 Char3"/>
    <w:autoRedefine/>
    <w:qFormat/>
    <w:uiPriority w:val="0"/>
    <w:rPr>
      <w:rFonts w:ascii="宋体" w:hAnsi="Courier New" w:eastAsia="宋体"/>
      <w:kern w:val="2"/>
      <w:sz w:val="21"/>
      <w:lang w:val="en-US" w:eastAsia="zh-CN" w:bidi="ar-SA"/>
    </w:rPr>
  </w:style>
  <w:style w:type="character" w:customStyle="1" w:styleId="230">
    <w:name w:val="公文正文 Char"/>
    <w:autoRedefine/>
    <w:qFormat/>
    <w:uiPriority w:val="0"/>
    <w:rPr>
      <w:rFonts w:ascii="仿宋_GB2312" w:eastAsia="仿宋_GB2312"/>
      <w:kern w:val="2"/>
      <w:sz w:val="24"/>
      <w:szCs w:val="24"/>
      <w:lang w:val="en-US" w:eastAsia="zh-CN" w:bidi="ar-SA"/>
    </w:rPr>
  </w:style>
  <w:style w:type="character" w:customStyle="1" w:styleId="231">
    <w:name w:val="正文首行缩进 Char Char Char Char Char"/>
    <w:autoRedefine/>
    <w:qFormat/>
    <w:uiPriority w:val="0"/>
    <w:rPr>
      <w:rFonts w:ascii="宋体"/>
      <w:kern w:val="2"/>
      <w:sz w:val="24"/>
      <w:lang w:val="zh-CN"/>
    </w:rPr>
  </w:style>
  <w:style w:type="character" w:customStyle="1" w:styleId="232">
    <w:name w:val="PI Char"/>
    <w:autoRedefine/>
    <w:qFormat/>
    <w:uiPriority w:val="0"/>
    <w:rPr>
      <w:rFonts w:ascii="宋体" w:hAnsi="宋体" w:eastAsia="宋体"/>
      <w:kern w:val="2"/>
      <w:sz w:val="24"/>
      <w:szCs w:val="24"/>
      <w:lang w:val="en-US" w:eastAsia="zh-CN" w:bidi="ar-SA"/>
    </w:rPr>
  </w:style>
  <w:style w:type="character" w:customStyle="1" w:styleId="233">
    <w:name w:val="Default Char"/>
    <w:link w:val="79"/>
    <w:autoRedefine/>
    <w:qFormat/>
    <w:uiPriority w:val="0"/>
    <w:rPr>
      <w:rFonts w:ascii="仿宋_GB2312" w:eastAsia="仿宋_GB2312" w:cs="仿宋_GB2312"/>
      <w:color w:val="000000"/>
      <w:sz w:val="24"/>
      <w:szCs w:val="24"/>
      <w:lang w:val="en-US" w:eastAsia="zh-CN" w:bidi="ar-SA"/>
    </w:rPr>
  </w:style>
  <w:style w:type="character" w:customStyle="1" w:styleId="234">
    <w:name w:val="style91"/>
    <w:autoRedefine/>
    <w:qFormat/>
    <w:uiPriority w:val="0"/>
    <w:rPr>
      <w:color w:val="333333"/>
    </w:rPr>
  </w:style>
  <w:style w:type="character" w:customStyle="1" w:styleId="235">
    <w:name w:val="列出段落 Char2"/>
    <w:autoRedefine/>
    <w:qFormat/>
    <w:uiPriority w:val="34"/>
    <w:rPr>
      <w:rFonts w:ascii="Calibri" w:hAnsi="Calibri"/>
      <w:kern w:val="2"/>
      <w:sz w:val="28"/>
    </w:rPr>
  </w:style>
  <w:style w:type="character" w:customStyle="1" w:styleId="236">
    <w:name w:val="mdeck"/>
    <w:autoRedefine/>
    <w:qFormat/>
    <w:uiPriority w:val="0"/>
    <w:rPr>
      <w:rFonts w:ascii="仿宋_GB2312" w:eastAsia="微软雅黑"/>
      <w:b/>
      <w:kern w:val="2"/>
      <w:sz w:val="32"/>
      <w:szCs w:val="32"/>
      <w:lang w:val="en-US" w:eastAsia="zh-CN" w:bidi="ar-SA"/>
    </w:rPr>
  </w:style>
  <w:style w:type="character" w:customStyle="1" w:styleId="237">
    <w:name w:val="unnamed11"/>
    <w:autoRedefine/>
    <w:qFormat/>
    <w:uiPriority w:val="0"/>
    <w:rPr>
      <w:sz w:val="20"/>
      <w:szCs w:val="20"/>
    </w:rPr>
  </w:style>
  <w:style w:type="character" w:customStyle="1" w:styleId="238">
    <w:name w:val="正文文本 Char2"/>
    <w:autoRedefine/>
    <w:semiHidden/>
    <w:qFormat/>
    <w:uiPriority w:val="99"/>
    <w:rPr>
      <w:rFonts w:ascii="Times New Roman" w:hAnsi="Times New Roman" w:eastAsia="宋体" w:cs="Times New Roman"/>
      <w:snapToGrid w:val="0"/>
      <w:kern w:val="0"/>
      <w:szCs w:val="24"/>
    </w:rPr>
  </w:style>
  <w:style w:type="character" w:customStyle="1" w:styleId="239">
    <w:name w:val="标书正文格式 Char"/>
    <w:autoRedefine/>
    <w:qFormat/>
    <w:uiPriority w:val="0"/>
    <w:rPr>
      <w:rFonts w:eastAsia="楷体_GB2312"/>
      <w:kern w:val="2"/>
      <w:sz w:val="24"/>
      <w:szCs w:val="24"/>
      <w:lang w:bidi="ar-SA"/>
    </w:rPr>
  </w:style>
  <w:style w:type="character" w:customStyle="1" w:styleId="240">
    <w:name w:val="Char Char11"/>
    <w:autoRedefine/>
    <w:qFormat/>
    <w:locked/>
    <w:uiPriority w:val="0"/>
    <w:rPr>
      <w:rFonts w:ascii="宋体" w:hAnsi="宋体" w:eastAsia="宋体"/>
      <w:b/>
      <w:kern w:val="2"/>
      <w:sz w:val="24"/>
      <w:szCs w:val="24"/>
      <w:lang w:val="en-US" w:eastAsia="zh-CN" w:bidi="ar-SA"/>
    </w:rPr>
  </w:style>
  <w:style w:type="character" w:customStyle="1" w:styleId="241">
    <w:name w:val="ca-131"/>
    <w:autoRedefine/>
    <w:qFormat/>
    <w:uiPriority w:val="0"/>
    <w:rPr>
      <w:rFonts w:hint="eastAsia" w:ascii="仿宋_GB2312" w:eastAsia="仿宋_GB2312"/>
      <w:b/>
      <w:bCs/>
      <w:color w:val="000000"/>
      <w:spacing w:val="-20"/>
      <w:sz w:val="24"/>
      <w:szCs w:val="24"/>
    </w:rPr>
  </w:style>
  <w:style w:type="character" w:customStyle="1" w:styleId="242">
    <w:name w:val="tw4winMark"/>
    <w:autoRedefine/>
    <w:qFormat/>
    <w:uiPriority w:val="0"/>
    <w:rPr>
      <w:rFonts w:ascii="Courier New" w:hAnsi="Courier New" w:cs="Courier New"/>
      <w:vanish/>
      <w:color w:val="800080"/>
      <w:sz w:val="24"/>
      <w:szCs w:val="24"/>
      <w:vertAlign w:val="subscript"/>
    </w:rPr>
  </w:style>
  <w:style w:type="character" w:customStyle="1" w:styleId="243">
    <w:name w:val="正文样式 Char"/>
    <w:link w:val="244"/>
    <w:autoRedefine/>
    <w:qFormat/>
    <w:uiPriority w:val="0"/>
    <w:rPr>
      <w:rFonts w:ascii="Calibri" w:hAnsi="Calibri"/>
      <w:sz w:val="24"/>
      <w:szCs w:val="24"/>
    </w:rPr>
  </w:style>
  <w:style w:type="paragraph" w:customStyle="1" w:styleId="244">
    <w:name w:val="正文样式"/>
    <w:basedOn w:val="1"/>
    <w:link w:val="243"/>
    <w:autoRedefine/>
    <w:qFormat/>
    <w:uiPriority w:val="0"/>
    <w:pPr>
      <w:adjustRightInd/>
      <w:spacing w:line="360" w:lineRule="auto"/>
      <w:ind w:firstLine="480" w:firstLineChars="200"/>
    </w:pPr>
    <w:rPr>
      <w:kern w:val="0"/>
      <w:sz w:val="24"/>
    </w:rPr>
  </w:style>
  <w:style w:type="character" w:customStyle="1" w:styleId="245">
    <w:name w:val="表正文 Char3"/>
    <w:autoRedefine/>
    <w:qFormat/>
    <w:uiPriority w:val="0"/>
    <w:rPr>
      <w:rFonts w:eastAsia="宋体"/>
    </w:rPr>
  </w:style>
  <w:style w:type="character" w:customStyle="1" w:styleId="246">
    <w:name w:val="H5 Char"/>
    <w:autoRedefine/>
    <w:qFormat/>
    <w:uiPriority w:val="0"/>
    <w:rPr>
      <w:b/>
      <w:bCs/>
      <w:kern w:val="2"/>
      <w:sz w:val="28"/>
      <w:szCs w:val="28"/>
    </w:rPr>
  </w:style>
  <w:style w:type="character" w:customStyle="1" w:styleId="247">
    <w:name w:val="Char Char3"/>
    <w:autoRedefine/>
    <w:qFormat/>
    <w:uiPriority w:val="0"/>
    <w:rPr>
      <w:rFonts w:eastAsia="宋体"/>
      <w:kern w:val="2"/>
      <w:sz w:val="21"/>
      <w:szCs w:val="24"/>
      <w:lang w:val="en-US" w:eastAsia="zh-CN" w:bidi="ar-SA"/>
    </w:rPr>
  </w:style>
  <w:style w:type="character" w:customStyle="1" w:styleId="248">
    <w:name w:val="正文 编号 Char"/>
    <w:autoRedefine/>
    <w:qFormat/>
    <w:uiPriority w:val="0"/>
    <w:rPr>
      <w:rFonts w:ascii="仿宋_GB2312" w:hAnsi="仿宋_GB2312" w:eastAsia="仿宋_GB2312"/>
      <w:kern w:val="2"/>
      <w:sz w:val="24"/>
      <w:lang w:bidi="ar-SA"/>
    </w:rPr>
  </w:style>
  <w:style w:type="character" w:customStyle="1" w:styleId="249">
    <w:name w:val="question-title2"/>
    <w:autoRedefine/>
    <w:qFormat/>
    <w:uiPriority w:val="6"/>
    <w:rPr>
      <w:rFonts w:ascii="Arial" w:hAnsi="Arial" w:eastAsia="黑体" w:cs="Arial"/>
      <w:snapToGrid w:val="0"/>
      <w:kern w:val="0"/>
      <w:szCs w:val="21"/>
    </w:rPr>
  </w:style>
  <w:style w:type="character" w:customStyle="1" w:styleId="250">
    <w:name w:val="gf正文1 Char Char"/>
    <w:link w:val="251"/>
    <w:autoRedefine/>
    <w:qFormat/>
    <w:uiPriority w:val="0"/>
    <w:rPr>
      <w:rFonts w:ascii="宋体" w:hAnsi="宋体" w:cs="宋体"/>
      <w:kern w:val="2"/>
      <w:sz w:val="24"/>
      <w:szCs w:val="24"/>
    </w:rPr>
  </w:style>
  <w:style w:type="paragraph" w:customStyle="1" w:styleId="251">
    <w:name w:val="gf正文1"/>
    <w:basedOn w:val="1"/>
    <w:link w:val="250"/>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autoRedefine/>
    <w:qFormat/>
    <w:uiPriority w:val="6"/>
    <w:rPr>
      <w:rFonts w:ascii="宋体" w:hAnsi="宋体"/>
      <w:kern w:val="1"/>
      <w:sz w:val="21"/>
    </w:rPr>
  </w:style>
  <w:style w:type="character" w:customStyle="1" w:styleId="253">
    <w:name w:val="正文缩进 Char3"/>
    <w:autoRedefine/>
    <w:qFormat/>
    <w:uiPriority w:val="0"/>
    <w:rPr>
      <w:rFonts w:ascii="宋体" w:eastAsia="宋体"/>
      <w:snapToGrid w:val="0"/>
      <w:color w:val="000000"/>
      <w:kern w:val="28"/>
      <w:sz w:val="28"/>
      <w:lang w:val="en-US" w:eastAsia="zh-CN" w:bidi="ar-SA"/>
    </w:rPr>
  </w:style>
  <w:style w:type="character" w:customStyle="1" w:styleId="254">
    <w:name w:val="列出段落 Char1"/>
    <w:link w:val="255"/>
    <w:autoRedefine/>
    <w:qFormat/>
    <w:uiPriority w:val="0"/>
    <w:rPr>
      <w:rFonts w:ascii="Calibri" w:hAnsi="Calibri"/>
      <w:sz w:val="24"/>
      <w:lang w:eastAsia="en-US"/>
    </w:rPr>
  </w:style>
  <w:style w:type="paragraph" w:customStyle="1" w:styleId="255">
    <w:name w:val="列表1"/>
    <w:basedOn w:val="1"/>
    <w:next w:val="256"/>
    <w:link w:val="254"/>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styleId="256">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7">
    <w:name w:val="Char Char8"/>
    <w:autoRedefine/>
    <w:qFormat/>
    <w:uiPriority w:val="0"/>
    <w:rPr>
      <w:rFonts w:eastAsia="宋体"/>
      <w:b/>
      <w:sz w:val="24"/>
      <w:lang w:val="en-GB" w:eastAsia="zh-CN"/>
    </w:rPr>
  </w:style>
  <w:style w:type="character" w:customStyle="1" w:styleId="258">
    <w:name w:val="Normal Indent Char Char"/>
    <w:autoRedefine/>
    <w:qFormat/>
    <w:uiPriority w:val="0"/>
    <w:rPr>
      <w:rFonts w:eastAsia="宋体"/>
      <w:kern w:val="2"/>
      <w:sz w:val="21"/>
      <w:lang w:val="en-US" w:eastAsia="zh-CN" w:bidi="ar-SA"/>
    </w:rPr>
  </w:style>
  <w:style w:type="character" w:customStyle="1" w:styleId="259">
    <w:name w:val="列表段落 字符"/>
    <w:autoRedefine/>
    <w:qFormat/>
    <w:uiPriority w:val="99"/>
  </w:style>
  <w:style w:type="character" w:customStyle="1" w:styleId="260">
    <w:name w:val="Ò³Ã¼ Char Char1"/>
    <w:autoRedefine/>
    <w:qFormat/>
    <w:uiPriority w:val="0"/>
    <w:rPr>
      <w:rFonts w:eastAsia="宋体"/>
      <w:kern w:val="2"/>
      <w:sz w:val="18"/>
      <w:szCs w:val="18"/>
      <w:lang w:val="en-US" w:eastAsia="zh-CN" w:bidi="ar-SA"/>
    </w:rPr>
  </w:style>
  <w:style w:type="character" w:customStyle="1" w:styleId="261">
    <w:name w:val="方案正文 Char"/>
    <w:autoRedefine/>
    <w:qFormat/>
    <w:uiPriority w:val="0"/>
    <w:rPr>
      <w:rFonts w:ascii="仿宋_GB2312" w:eastAsia="仿宋_GB2312"/>
      <w:b/>
      <w:color w:val="000000"/>
      <w:kern w:val="2"/>
      <w:sz w:val="24"/>
      <w:lang w:val="en-US" w:eastAsia="zh-CN" w:bidi="ar-SA"/>
    </w:rPr>
  </w:style>
  <w:style w:type="character" w:customStyle="1" w:styleId="262">
    <w:name w:val="Char Char30"/>
    <w:autoRedefine/>
    <w:qFormat/>
    <w:uiPriority w:val="6"/>
    <w:rPr>
      <w:rFonts w:ascii="Arial" w:hAnsi="Arial" w:eastAsia="黑体"/>
      <w:kern w:val="1"/>
      <w:sz w:val="21"/>
      <w:szCs w:val="21"/>
    </w:rPr>
  </w:style>
  <w:style w:type="character" w:customStyle="1" w:styleId="263">
    <w:name w:val="正文文本缩进 字符1"/>
    <w:link w:val="3"/>
    <w:autoRedefine/>
    <w:qFormat/>
    <w:uiPriority w:val="0"/>
    <w:rPr>
      <w:rFonts w:ascii="宋体" w:hAnsi="宋体"/>
      <w:kern w:val="2"/>
      <w:sz w:val="24"/>
      <w:szCs w:val="24"/>
    </w:rPr>
  </w:style>
  <w:style w:type="character" w:customStyle="1" w:styleId="264">
    <w:name w:val="font01"/>
    <w:autoRedefine/>
    <w:qFormat/>
    <w:uiPriority w:val="0"/>
    <w:rPr>
      <w:rFonts w:hint="eastAsia" w:ascii="微软雅黑" w:hAnsi="微软雅黑" w:eastAsia="微软雅黑" w:cs="微软雅黑"/>
      <w:color w:val="000000"/>
      <w:sz w:val="20"/>
      <w:szCs w:val="20"/>
      <w:u w:val="none"/>
    </w:rPr>
  </w:style>
  <w:style w:type="character" w:customStyle="1" w:styleId="265">
    <w:name w:val="Char Char20"/>
    <w:autoRedefine/>
    <w:qFormat/>
    <w:uiPriority w:val="6"/>
    <w:rPr>
      <w:kern w:val="1"/>
      <w:sz w:val="24"/>
    </w:rPr>
  </w:style>
  <w:style w:type="character" w:customStyle="1" w:styleId="266">
    <w:name w:val="tw4winExternal"/>
    <w:autoRedefine/>
    <w:qFormat/>
    <w:uiPriority w:val="0"/>
    <w:rPr>
      <w:rFonts w:ascii="Courier New" w:hAnsi="Courier New" w:cs="Courier New"/>
      <w:color w:val="808080"/>
      <w:lang w:val="en-US" w:eastAsia="zh-CN"/>
    </w:rPr>
  </w:style>
  <w:style w:type="character" w:customStyle="1" w:styleId="267">
    <w:name w:val="标题 4 Char1"/>
    <w:autoRedefine/>
    <w:qFormat/>
    <w:uiPriority w:val="9"/>
    <w:rPr>
      <w:rFonts w:ascii="Cambria" w:hAnsi="Cambria" w:eastAsia="宋体" w:cs="Times New Roman"/>
      <w:b/>
      <w:bCs/>
      <w:kern w:val="2"/>
      <w:sz w:val="28"/>
      <w:szCs w:val="28"/>
    </w:rPr>
  </w:style>
  <w:style w:type="character" w:customStyle="1" w:styleId="268">
    <w:name w:val="批注文字 Char2"/>
    <w:autoRedefine/>
    <w:qFormat/>
    <w:uiPriority w:val="99"/>
    <w:rPr>
      <w:rFonts w:ascii="Times New Roman" w:hAnsi="Times New Roman" w:eastAsia="宋体" w:cs="Times New Roman"/>
      <w:snapToGrid w:val="0"/>
      <w:kern w:val="0"/>
      <w:szCs w:val="24"/>
    </w:rPr>
  </w:style>
  <w:style w:type="character" w:customStyle="1" w:styleId="269">
    <w:name w:val="正文文本 2 Char"/>
    <w:autoRedefine/>
    <w:qFormat/>
    <w:uiPriority w:val="0"/>
    <w:rPr>
      <w:rFonts w:eastAsia="宋体"/>
      <w:kern w:val="2"/>
      <w:sz w:val="21"/>
      <w:szCs w:val="24"/>
      <w:lang w:val="en-US" w:eastAsia="zh-CN" w:bidi="ar-SA"/>
    </w:rPr>
  </w:style>
  <w:style w:type="character" w:customStyle="1" w:styleId="270">
    <w:name w:val="Ò³Ã¼ Char Char"/>
    <w:autoRedefine/>
    <w:qFormat/>
    <w:uiPriority w:val="0"/>
    <w:rPr>
      <w:rFonts w:eastAsia="宋体"/>
      <w:kern w:val="2"/>
      <w:sz w:val="18"/>
      <w:lang w:val="en-US" w:eastAsia="zh-CN" w:bidi="ar-SA"/>
    </w:rPr>
  </w:style>
  <w:style w:type="character" w:customStyle="1" w:styleId="271">
    <w:name w:val="message1"/>
    <w:autoRedefine/>
    <w:qFormat/>
    <w:uiPriority w:val="0"/>
    <w:rPr>
      <w:rFonts w:hint="default" w:ascii="Tahoma" w:hAnsi="Tahoma" w:cs="Tahoma"/>
      <w:sz w:val="18"/>
      <w:szCs w:val="18"/>
    </w:rPr>
  </w:style>
  <w:style w:type="character" w:customStyle="1" w:styleId="272">
    <w:name w:val="Char Char23"/>
    <w:autoRedefine/>
    <w:qFormat/>
    <w:uiPriority w:val="6"/>
    <w:rPr>
      <w:color w:val="0000FF"/>
      <w:sz w:val="21"/>
    </w:rPr>
  </w:style>
  <w:style w:type="character" w:customStyle="1" w:styleId="273">
    <w:name w:val="批注框文本 字符"/>
    <w:autoRedefine/>
    <w:qFormat/>
    <w:uiPriority w:val="0"/>
    <w:rPr>
      <w:rFonts w:ascii="Arial" w:hAnsi="Arial" w:eastAsia="黑体" w:cs="Arial"/>
      <w:snapToGrid w:val="0"/>
      <w:kern w:val="0"/>
      <w:sz w:val="18"/>
      <w:szCs w:val="18"/>
    </w:rPr>
  </w:style>
  <w:style w:type="character" w:customStyle="1" w:styleId="274">
    <w:name w:val="纯文本 Char2"/>
    <w:autoRedefine/>
    <w:semiHidden/>
    <w:qFormat/>
    <w:uiPriority w:val="99"/>
    <w:rPr>
      <w:rFonts w:ascii="宋体" w:hAnsi="Courier New" w:eastAsia="宋体" w:cs="Courier New"/>
    </w:rPr>
  </w:style>
  <w:style w:type="character" w:customStyle="1" w:styleId="275">
    <w:name w:val="Char Char25"/>
    <w:autoRedefine/>
    <w:qFormat/>
    <w:uiPriority w:val="6"/>
    <w:rPr>
      <w:rFonts w:ascii="宋体" w:hAnsi="宋体"/>
      <w:kern w:val="1"/>
      <w:sz w:val="24"/>
      <w:lang w:val="zh-CN"/>
    </w:rPr>
  </w:style>
  <w:style w:type="character" w:customStyle="1" w:styleId="276">
    <w:name w:val="Char Char411"/>
    <w:autoRedefine/>
    <w:qFormat/>
    <w:uiPriority w:val="0"/>
    <w:rPr>
      <w:rFonts w:eastAsia="宋体"/>
      <w:b/>
      <w:sz w:val="24"/>
      <w:lang w:val="en-GB" w:eastAsia="zh-CN" w:bidi="ar-SA"/>
    </w:rPr>
  </w:style>
  <w:style w:type="character" w:customStyle="1" w:styleId="277">
    <w:name w:val="Heading 7 Char"/>
    <w:autoRedefine/>
    <w:qFormat/>
    <w:locked/>
    <w:uiPriority w:val="0"/>
    <w:rPr>
      <w:rFonts w:ascii="宋体" w:hAnsi="宋体" w:eastAsia="宋体"/>
      <w:b/>
      <w:bCs/>
      <w:kern w:val="2"/>
      <w:sz w:val="24"/>
      <w:szCs w:val="24"/>
      <w:lang w:val="en-US" w:eastAsia="zh-CN" w:bidi="ar-SA"/>
    </w:rPr>
  </w:style>
  <w:style w:type="character" w:customStyle="1" w:styleId="278">
    <w:name w:val="此正文 Char"/>
    <w:link w:val="279"/>
    <w:autoRedefine/>
    <w:qFormat/>
    <w:uiPriority w:val="0"/>
    <w:rPr>
      <w:kern w:val="2"/>
      <w:sz w:val="24"/>
      <w:szCs w:val="24"/>
    </w:rPr>
  </w:style>
  <w:style w:type="paragraph" w:customStyle="1" w:styleId="279">
    <w:name w:val="此正文"/>
    <w:basedOn w:val="1"/>
    <w:link w:val="278"/>
    <w:autoRedefine/>
    <w:qFormat/>
    <w:uiPriority w:val="0"/>
    <w:pPr>
      <w:adjustRightInd/>
      <w:spacing w:line="360" w:lineRule="auto"/>
      <w:ind w:firstLine="200" w:firstLineChars="200"/>
    </w:pPr>
    <w:rPr>
      <w:sz w:val="24"/>
    </w:rPr>
  </w:style>
  <w:style w:type="character" w:customStyle="1" w:styleId="280">
    <w:name w:val="Char Char2"/>
    <w:autoRedefine/>
    <w:qFormat/>
    <w:uiPriority w:val="0"/>
    <w:rPr>
      <w:rFonts w:eastAsia="宋体"/>
      <w:b/>
      <w:bCs/>
      <w:kern w:val="2"/>
      <w:sz w:val="21"/>
      <w:szCs w:val="24"/>
      <w:lang w:val="en-US" w:eastAsia="zh-CN" w:bidi="ar-SA"/>
    </w:rPr>
  </w:style>
  <w:style w:type="character" w:customStyle="1" w:styleId="281">
    <w:name w:val="标题 1 字符1"/>
    <w:link w:val="4"/>
    <w:autoRedefine/>
    <w:qFormat/>
    <w:uiPriority w:val="9"/>
    <w:rPr>
      <w:b/>
      <w:bCs/>
      <w:kern w:val="44"/>
      <w:sz w:val="44"/>
      <w:szCs w:val="44"/>
    </w:rPr>
  </w:style>
  <w:style w:type="character" w:customStyle="1" w:styleId="282">
    <w:name w:val="Footer-Even Char1"/>
    <w:autoRedefine/>
    <w:qFormat/>
    <w:uiPriority w:val="0"/>
    <w:rPr>
      <w:rFonts w:eastAsia="宋体"/>
      <w:kern w:val="2"/>
      <w:sz w:val="18"/>
      <w:szCs w:val="18"/>
      <w:lang w:val="en-US" w:eastAsia="zh-CN" w:bidi="ar-SA"/>
    </w:rPr>
  </w:style>
  <w:style w:type="character" w:customStyle="1" w:styleId="283">
    <w:name w:val="Char Char29"/>
    <w:autoRedefine/>
    <w:qFormat/>
    <w:uiPriority w:val="6"/>
    <w:rPr>
      <w:rFonts w:ascii="Arial" w:hAnsi="Arial" w:eastAsia="微软雅黑"/>
      <w:b/>
      <w:kern w:val="1"/>
      <w:sz w:val="44"/>
      <w:szCs w:val="32"/>
      <w:lang w:val="en-US" w:eastAsia="zh-CN" w:bidi="ar-SA"/>
    </w:rPr>
  </w:style>
  <w:style w:type="character" w:customStyle="1" w:styleId="284">
    <w:name w:val="标题 字符"/>
    <w:link w:val="60"/>
    <w:autoRedefine/>
    <w:qFormat/>
    <w:uiPriority w:val="10"/>
    <w:rPr>
      <w:b/>
      <w:sz w:val="24"/>
      <w:lang w:val="en-GB"/>
    </w:rPr>
  </w:style>
  <w:style w:type="character" w:customStyle="1" w:styleId="285">
    <w:name w:val="font81"/>
    <w:basedOn w:val="69"/>
    <w:autoRedefine/>
    <w:qFormat/>
    <w:uiPriority w:val="0"/>
    <w:rPr>
      <w:rFonts w:ascii="微软雅黑" w:hAnsi="微软雅黑" w:eastAsia="微软雅黑" w:cs="微软雅黑"/>
      <w:color w:val="000000"/>
      <w:sz w:val="20"/>
      <w:szCs w:val="20"/>
      <w:u w:val="none"/>
    </w:rPr>
  </w:style>
  <w:style w:type="character" w:customStyle="1" w:styleId="286">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7">
    <w:name w:val="t21"/>
    <w:autoRedefine/>
    <w:qFormat/>
    <w:uiPriority w:val="0"/>
    <w:rPr>
      <w:rFonts w:ascii="仿宋_GB2312" w:eastAsia="微软雅黑"/>
      <w:b/>
      <w:kern w:val="2"/>
      <w:sz w:val="23"/>
      <w:szCs w:val="23"/>
      <w:lang w:val="en-US" w:eastAsia="zh-CN" w:bidi="ar-SA"/>
    </w:rPr>
  </w:style>
  <w:style w:type="character" w:customStyle="1" w:styleId="288">
    <w:name w:val="样式8 Char"/>
    <w:autoRedefine/>
    <w:qFormat/>
    <w:uiPriority w:val="0"/>
    <w:rPr>
      <w:rFonts w:ascii="仿宋_GB2312" w:hAnsi="宋体" w:eastAsia="仿宋_GB2312"/>
      <w:b/>
      <w:bCs/>
      <w:kern w:val="2"/>
      <w:sz w:val="24"/>
      <w:szCs w:val="24"/>
    </w:rPr>
  </w:style>
  <w:style w:type="character" w:customStyle="1" w:styleId="289">
    <w:name w:val="表格 Char Char"/>
    <w:autoRedefine/>
    <w:qFormat/>
    <w:uiPriority w:val="0"/>
    <w:rPr>
      <w:rFonts w:ascii="宋体" w:hAnsi="宋体" w:eastAsia="宋体"/>
      <w:lang w:bidi="ar-SA"/>
    </w:rPr>
  </w:style>
  <w:style w:type="character" w:customStyle="1" w:styleId="290">
    <w:name w:val="正文文本 字符1"/>
    <w:autoRedefine/>
    <w:qFormat/>
    <w:uiPriority w:val="0"/>
    <w:rPr>
      <w:rFonts w:ascii="Calibri" w:hAnsi="Calibri" w:eastAsia="黑体" w:cs="Arial"/>
      <w:snapToGrid w:val="0"/>
      <w:kern w:val="2"/>
      <w:sz w:val="28"/>
      <w:szCs w:val="21"/>
    </w:rPr>
  </w:style>
  <w:style w:type="character" w:customStyle="1" w:styleId="291">
    <w:name w:val="标题 5 字符"/>
    <w:link w:val="9"/>
    <w:autoRedefine/>
    <w:qFormat/>
    <w:uiPriority w:val="9"/>
    <w:rPr>
      <w:b/>
      <w:bCs/>
      <w:kern w:val="2"/>
      <w:sz w:val="28"/>
      <w:szCs w:val="28"/>
    </w:rPr>
  </w:style>
  <w:style w:type="character" w:customStyle="1" w:styleId="292">
    <w:name w:val="标题 6 Char1"/>
    <w:autoRedefine/>
    <w:qFormat/>
    <w:uiPriority w:val="0"/>
    <w:rPr>
      <w:rFonts w:ascii="Arial" w:hAnsi="Arial" w:eastAsia="黑体" w:cs="Times New Roman"/>
      <w:b/>
      <w:sz w:val="24"/>
      <w:szCs w:val="20"/>
      <w:lang w:bidi="ar-SA"/>
    </w:rPr>
  </w:style>
  <w:style w:type="character" w:customStyle="1" w:styleId="293">
    <w:name w:val="带编号样式 Char"/>
    <w:autoRedefine/>
    <w:qFormat/>
    <w:uiPriority w:val="0"/>
    <w:rPr>
      <w:rFonts w:ascii="仿宋_GB2312" w:eastAsia="仿宋_GB2312"/>
      <w:color w:val="000000"/>
      <w:sz w:val="24"/>
      <w:lang w:bidi="ar-SA"/>
    </w:rPr>
  </w:style>
  <w:style w:type="character" w:customStyle="1" w:styleId="294">
    <w:name w:val="unnamed31"/>
    <w:autoRedefine/>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autoRedefine/>
    <w:qFormat/>
    <w:uiPriority w:val="0"/>
    <w:rPr>
      <w:rFonts w:ascii="宋体" w:eastAsia="宋体"/>
      <w:kern w:val="2"/>
      <w:sz w:val="24"/>
      <w:szCs w:val="24"/>
      <w:lang w:val="zh-CN" w:bidi="ar-SA"/>
    </w:rPr>
  </w:style>
  <w:style w:type="character" w:customStyle="1" w:styleId="296">
    <w:name w:val="称呼 字符"/>
    <w:link w:val="22"/>
    <w:autoRedefine/>
    <w:qFormat/>
    <w:uiPriority w:val="0"/>
    <w:rPr>
      <w:rFonts w:ascii="仿宋_GB2312" w:eastAsia="仿宋_GB2312"/>
      <w:kern w:val="2"/>
      <w:sz w:val="28"/>
    </w:rPr>
  </w:style>
  <w:style w:type="character" w:customStyle="1" w:styleId="297">
    <w:name w:val="文本正文 Char Char"/>
    <w:autoRedefine/>
    <w:qFormat/>
    <w:locked/>
    <w:uiPriority w:val="0"/>
    <w:rPr>
      <w:sz w:val="24"/>
      <w:lang w:bidi="ar-SA"/>
    </w:rPr>
  </w:style>
  <w:style w:type="character" w:customStyle="1" w:styleId="298">
    <w:name w:val="正文缩进 字符"/>
    <w:autoRedefine/>
    <w:qFormat/>
    <w:uiPriority w:val="0"/>
    <w:rPr>
      <w:rFonts w:ascii="宋体" w:eastAsia="宋体"/>
      <w:snapToGrid w:val="0"/>
      <w:color w:val="000000"/>
      <w:kern w:val="28"/>
      <w:sz w:val="28"/>
      <w:lang w:val="en-US" w:eastAsia="zh-CN" w:bidi="ar-SA"/>
    </w:rPr>
  </w:style>
  <w:style w:type="character" w:customStyle="1" w:styleId="299">
    <w:name w:val="HTML 预设格式 字符"/>
    <w:link w:val="58"/>
    <w:autoRedefine/>
    <w:qFormat/>
    <w:uiPriority w:val="0"/>
    <w:rPr>
      <w:rFonts w:ascii="黑体" w:hAnsi="Courier New" w:eastAsia="黑体"/>
    </w:rPr>
  </w:style>
  <w:style w:type="character" w:customStyle="1" w:styleId="300">
    <w:name w:val="正文文本 2 字符1"/>
    <w:link w:val="57"/>
    <w:autoRedefine/>
    <w:qFormat/>
    <w:uiPriority w:val="0"/>
    <w:rPr>
      <w:kern w:val="2"/>
      <w:sz w:val="21"/>
      <w:szCs w:val="24"/>
    </w:rPr>
  </w:style>
  <w:style w:type="character" w:customStyle="1" w:styleId="301">
    <w:name w:val="样式 样式 标题 4h4H4Fab-4T5Ref Heading 1rh1Heading sqlsect 1.2.3.... +... Char"/>
    <w:link w:val="302"/>
    <w:autoRedefine/>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autoRedefine/>
    <w:qFormat/>
    <w:uiPriority w:val="0"/>
    <w:pPr>
      <w:tabs>
        <w:tab w:val="left" w:pos="2356"/>
      </w:tabs>
    </w:pPr>
  </w:style>
  <w:style w:type="paragraph" w:customStyle="1" w:styleId="303">
    <w:name w:val="样式 标题 4h4H4Fab-4T5Ref Heading 1rh1Heading sqlsect 1.2.3...."/>
    <w:basedOn w:val="8"/>
    <w:link w:val="411"/>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autoRedefine/>
    <w:qFormat/>
    <w:uiPriority w:val="0"/>
    <w:rPr>
      <w:rFonts w:ascii="宋体" w:eastAsia="宋体"/>
      <w:snapToGrid w:val="0"/>
      <w:color w:val="000000"/>
      <w:kern w:val="28"/>
      <w:sz w:val="28"/>
      <w:lang w:val="en-US" w:eastAsia="zh-CN" w:bidi="ar-SA"/>
    </w:rPr>
  </w:style>
  <w:style w:type="character" w:customStyle="1" w:styleId="305">
    <w:name w:val="标题 7 字符"/>
    <w:link w:val="11"/>
    <w:autoRedefine/>
    <w:qFormat/>
    <w:uiPriority w:val="0"/>
    <w:rPr>
      <w:b/>
      <w:bCs/>
      <w:kern w:val="2"/>
      <w:sz w:val="24"/>
      <w:szCs w:val="24"/>
    </w:rPr>
  </w:style>
  <w:style w:type="character" w:customStyle="1" w:styleId="306">
    <w:name w:val="正文文本缩进 2 字符"/>
    <w:link w:val="39"/>
    <w:autoRedefine/>
    <w:qFormat/>
    <w:uiPriority w:val="0"/>
    <w:rPr>
      <w:rFonts w:ascii="宋体"/>
      <w:sz w:val="28"/>
    </w:rPr>
  </w:style>
  <w:style w:type="character" w:customStyle="1" w:styleId="307">
    <w:name w:val="Char Char5"/>
    <w:autoRedefine/>
    <w:qFormat/>
    <w:uiPriority w:val="0"/>
    <w:rPr>
      <w:rFonts w:ascii="宋体" w:hAnsi="Courier New" w:eastAsia="宋体"/>
      <w:kern w:val="2"/>
      <w:sz w:val="21"/>
      <w:lang w:val="en-US" w:eastAsia="zh-CN"/>
    </w:rPr>
  </w:style>
  <w:style w:type="character" w:customStyle="1" w:styleId="308">
    <w:name w:val="脚注文本 字符"/>
    <w:link w:val="52"/>
    <w:autoRedefine/>
    <w:qFormat/>
    <w:uiPriority w:val="0"/>
    <w:rPr>
      <w:color w:val="0000FF"/>
      <w:sz w:val="21"/>
    </w:rPr>
  </w:style>
  <w:style w:type="character" w:customStyle="1" w:styleId="309">
    <w:name w:val="称呼 Char1"/>
    <w:autoRedefine/>
    <w:qFormat/>
    <w:uiPriority w:val="0"/>
    <w:rPr>
      <w:rFonts w:ascii="Times New Roman" w:hAnsi="Times New Roman" w:eastAsia="宋体" w:cs="Times New Roman"/>
      <w:szCs w:val="24"/>
    </w:rPr>
  </w:style>
  <w:style w:type="character" w:customStyle="1" w:styleId="310">
    <w:name w:val="正文1 Char"/>
    <w:autoRedefine/>
    <w:qFormat/>
    <w:uiPriority w:val="0"/>
    <w:rPr>
      <w:rFonts w:ascii="宋体" w:eastAsia="宋体"/>
      <w:snapToGrid w:val="0"/>
      <w:color w:val="000000"/>
      <w:kern w:val="28"/>
      <w:sz w:val="28"/>
      <w:lang w:val="en-US" w:eastAsia="zh-CN" w:bidi="ar-SA"/>
    </w:rPr>
  </w:style>
  <w:style w:type="character" w:customStyle="1" w:styleId="311">
    <w:name w:val="正文缩进 Char1"/>
    <w:autoRedefine/>
    <w:qFormat/>
    <w:uiPriority w:val="0"/>
    <w:rPr>
      <w:rFonts w:ascii="宋体" w:eastAsia="宋体"/>
      <w:snapToGrid w:val="0"/>
      <w:color w:val="000000"/>
      <w:kern w:val="28"/>
      <w:sz w:val="28"/>
      <w:lang w:val="en-US" w:eastAsia="zh-CN" w:bidi="ar-SA"/>
    </w:rPr>
  </w:style>
  <w:style w:type="character" w:customStyle="1" w:styleId="312">
    <w:name w:val="font21"/>
    <w:autoRedefine/>
    <w:qFormat/>
    <w:uiPriority w:val="0"/>
    <w:rPr>
      <w:rFonts w:hint="eastAsia" w:ascii="宋体" w:hAnsi="宋体" w:eastAsia="宋体"/>
      <w:kern w:val="2"/>
      <w:sz w:val="28"/>
      <w:szCs w:val="28"/>
      <w:lang w:val="en-US" w:eastAsia="zh-CN" w:bidi="ar-SA"/>
    </w:rPr>
  </w:style>
  <w:style w:type="character" w:customStyle="1" w:styleId="313">
    <w:name w:val="Char Char26"/>
    <w:autoRedefine/>
    <w:qFormat/>
    <w:uiPriority w:val="6"/>
    <w:rPr>
      <w:kern w:val="1"/>
      <w:sz w:val="21"/>
      <w:szCs w:val="24"/>
    </w:rPr>
  </w:style>
  <w:style w:type="character" w:customStyle="1" w:styleId="314">
    <w:name w:val="Item List Char"/>
    <w:link w:val="315"/>
    <w:autoRedefine/>
    <w:qFormat/>
    <w:uiPriority w:val="0"/>
    <w:rPr>
      <w:rFonts w:ascii="Arial"/>
      <w:bCs/>
      <w:sz w:val="21"/>
      <w:szCs w:val="21"/>
      <w:lang w:val="en-US" w:eastAsia="zh-CN" w:bidi="ar-SA"/>
    </w:rPr>
  </w:style>
  <w:style w:type="paragraph" w:customStyle="1" w:styleId="315">
    <w:name w:val="Item List"/>
    <w:link w:val="314"/>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autoRedefine/>
    <w:qFormat/>
    <w:uiPriority w:val="0"/>
    <w:rPr>
      <w:rFonts w:ascii="Times New Roman" w:hAnsi="Times New Roman" w:eastAsia="宋体" w:cs="Times New Roman"/>
      <w:sz w:val="18"/>
      <w:szCs w:val="18"/>
    </w:rPr>
  </w:style>
  <w:style w:type="character" w:customStyle="1" w:styleId="317">
    <w:name w:val="纯文本 Char1"/>
    <w:link w:val="318"/>
    <w:autoRedefine/>
    <w:qFormat/>
    <w:uiPriority w:val="0"/>
    <w:rPr>
      <w:rFonts w:ascii="宋体" w:hAnsi="Courier New"/>
    </w:rPr>
  </w:style>
  <w:style w:type="paragraph" w:customStyle="1" w:styleId="318">
    <w:name w:val="纯文本1"/>
    <w:basedOn w:val="1"/>
    <w:link w:val="317"/>
    <w:autoRedefine/>
    <w:qFormat/>
    <w:uiPriority w:val="0"/>
    <w:pPr>
      <w:adjustRightInd/>
    </w:pPr>
    <w:rPr>
      <w:rFonts w:ascii="宋体" w:hAnsi="Courier New"/>
      <w:kern w:val="0"/>
      <w:sz w:val="20"/>
      <w:szCs w:val="20"/>
    </w:rPr>
  </w:style>
  <w:style w:type="character" w:customStyle="1" w:styleId="319">
    <w:name w:val="正文首行缩进 字符"/>
    <w:link w:val="26"/>
    <w:autoRedefine/>
    <w:qFormat/>
    <w:uiPriority w:val="0"/>
    <w:rPr>
      <w:rFonts w:ascii="宋体"/>
      <w:kern w:val="2"/>
      <w:sz w:val="24"/>
      <w:lang w:val="zh-CN"/>
    </w:rPr>
  </w:style>
  <w:style w:type="character" w:customStyle="1" w:styleId="320">
    <w:name w:val="h3 Char"/>
    <w:autoRedefine/>
    <w:qFormat/>
    <w:uiPriority w:val="0"/>
    <w:rPr>
      <w:rFonts w:eastAsia="宋体"/>
      <w:b/>
      <w:kern w:val="2"/>
      <w:sz w:val="32"/>
      <w:lang w:val="en-US" w:eastAsia="zh-CN" w:bidi="ar-SA"/>
    </w:rPr>
  </w:style>
  <w:style w:type="character" w:customStyle="1" w:styleId="321">
    <w:name w:val="dandyren_title1"/>
    <w:autoRedefine/>
    <w:qFormat/>
    <w:uiPriority w:val="0"/>
    <w:rPr>
      <w:b/>
      <w:bCs/>
      <w:color w:val="FF6633"/>
      <w:sz w:val="18"/>
      <w:szCs w:val="18"/>
    </w:rPr>
  </w:style>
  <w:style w:type="character" w:customStyle="1" w:styleId="322">
    <w:name w:val="Char Char31"/>
    <w:autoRedefine/>
    <w:qFormat/>
    <w:uiPriority w:val="6"/>
    <w:rPr>
      <w:rFonts w:ascii="Arial" w:hAnsi="Arial" w:eastAsia="黑体"/>
      <w:kern w:val="1"/>
      <w:sz w:val="24"/>
      <w:szCs w:val="24"/>
    </w:rPr>
  </w:style>
  <w:style w:type="character" w:customStyle="1" w:styleId="323">
    <w:name w:val="h Char1"/>
    <w:autoRedefine/>
    <w:qFormat/>
    <w:uiPriority w:val="0"/>
    <w:rPr>
      <w:sz w:val="18"/>
      <w:szCs w:val="18"/>
    </w:rPr>
  </w:style>
  <w:style w:type="character" w:customStyle="1" w:styleId="324">
    <w:name w:val="solutionfonts"/>
    <w:autoRedefine/>
    <w:qFormat/>
    <w:uiPriority w:val="0"/>
  </w:style>
  <w:style w:type="character" w:customStyle="1" w:styleId="325">
    <w:name w:val="标题 4 字符1"/>
    <w:link w:val="8"/>
    <w:autoRedefine/>
    <w:qFormat/>
    <w:uiPriority w:val="9"/>
    <w:rPr>
      <w:rFonts w:ascii="Arial" w:hAnsi="Arial" w:eastAsia="黑体"/>
      <w:b/>
      <w:bCs/>
      <w:kern w:val="2"/>
      <w:sz w:val="28"/>
      <w:szCs w:val="28"/>
      <w:lang w:val="zh-CN"/>
    </w:rPr>
  </w:style>
  <w:style w:type="character" w:customStyle="1" w:styleId="326">
    <w:name w:val="首行缩进 Char"/>
    <w:autoRedefine/>
    <w:qFormat/>
    <w:uiPriority w:val="0"/>
    <w:rPr>
      <w:rFonts w:ascii="宋体" w:eastAsia="宋体"/>
      <w:kern w:val="2"/>
      <w:sz w:val="24"/>
      <w:lang w:val="en-US" w:eastAsia="zh-CN" w:bidi="ar-SA"/>
    </w:rPr>
  </w:style>
  <w:style w:type="character" w:customStyle="1" w:styleId="327">
    <w:name w:val="Char Char52"/>
    <w:autoRedefine/>
    <w:qFormat/>
    <w:uiPriority w:val="0"/>
    <w:rPr>
      <w:rFonts w:ascii="宋体" w:hAnsi="Courier New" w:eastAsia="宋体"/>
      <w:kern w:val="2"/>
      <w:sz w:val="21"/>
      <w:lang w:val="en-US" w:eastAsia="zh-CN"/>
    </w:rPr>
  </w:style>
  <w:style w:type="character" w:customStyle="1" w:styleId="328">
    <w:name w:val="正文文本 3 字符"/>
    <w:link w:val="23"/>
    <w:autoRedefine/>
    <w:qFormat/>
    <w:uiPriority w:val="0"/>
    <w:rPr>
      <w:kern w:val="2"/>
      <w:sz w:val="21"/>
    </w:rPr>
  </w:style>
  <w:style w:type="character" w:customStyle="1" w:styleId="329">
    <w:name w:val="font31"/>
    <w:autoRedefine/>
    <w:qFormat/>
    <w:uiPriority w:val="0"/>
    <w:rPr>
      <w:rFonts w:hint="eastAsia" w:ascii="仿宋" w:hAnsi="仿宋" w:eastAsia="仿宋" w:cs="仿宋"/>
      <w:color w:val="000000"/>
      <w:sz w:val="20"/>
      <w:szCs w:val="20"/>
      <w:u w:val="none"/>
    </w:rPr>
  </w:style>
  <w:style w:type="character" w:customStyle="1" w:styleId="330">
    <w:name w:val="正文说明 Char"/>
    <w:link w:val="331"/>
    <w:autoRedefine/>
    <w:qFormat/>
    <w:uiPriority w:val="0"/>
    <w:rPr>
      <w:sz w:val="24"/>
      <w:szCs w:val="24"/>
    </w:rPr>
  </w:style>
  <w:style w:type="paragraph" w:customStyle="1" w:styleId="331">
    <w:name w:val="正文说明"/>
    <w:basedOn w:val="1"/>
    <w:link w:val="330"/>
    <w:autoRedefine/>
    <w:qFormat/>
    <w:uiPriority w:val="0"/>
    <w:pPr>
      <w:adjustRightInd/>
      <w:spacing w:line="360" w:lineRule="auto"/>
    </w:pPr>
    <w:rPr>
      <w:kern w:val="0"/>
      <w:sz w:val="24"/>
    </w:rPr>
  </w:style>
  <w:style w:type="character" w:customStyle="1" w:styleId="332">
    <w:name w:val="脚注文本 Char1"/>
    <w:autoRedefine/>
    <w:qFormat/>
    <w:uiPriority w:val="0"/>
    <w:rPr>
      <w:rFonts w:ascii="Times New Roman" w:hAnsi="Times New Roman" w:eastAsia="宋体" w:cs="Times New Roman"/>
      <w:sz w:val="18"/>
      <w:szCs w:val="18"/>
    </w:rPr>
  </w:style>
  <w:style w:type="character" w:customStyle="1" w:styleId="333">
    <w:name w:val="Char Char1211"/>
    <w:autoRedefine/>
    <w:qFormat/>
    <w:uiPriority w:val="0"/>
    <w:rPr>
      <w:rFonts w:ascii="仿宋_GB2312" w:eastAsia="仿宋_GB2312"/>
      <w:b/>
      <w:bCs/>
      <w:kern w:val="2"/>
      <w:sz w:val="24"/>
      <w:szCs w:val="24"/>
      <w:lang w:val="zh-CN" w:eastAsia="zh-CN" w:bidi="ar-SA"/>
    </w:rPr>
  </w:style>
  <w:style w:type="character" w:customStyle="1" w:styleId="334">
    <w:name w:val="标题 Char"/>
    <w:autoRedefine/>
    <w:qFormat/>
    <w:uiPriority w:val="0"/>
    <w:rPr>
      <w:rFonts w:eastAsia="宋体"/>
      <w:b/>
      <w:sz w:val="24"/>
      <w:lang w:val="en-GB" w:eastAsia="zh-CN" w:bidi="ar-SA"/>
    </w:rPr>
  </w:style>
  <w:style w:type="character" w:customStyle="1" w:styleId="335">
    <w:name w:val="Char Char35"/>
    <w:autoRedefine/>
    <w:qFormat/>
    <w:uiPriority w:val="6"/>
    <w:rPr>
      <w:rFonts w:ascii="Arial" w:hAnsi="Arial" w:eastAsia="黑体"/>
      <w:b/>
      <w:kern w:val="1"/>
      <w:sz w:val="28"/>
      <w:szCs w:val="28"/>
      <w:lang w:val="zh-CN"/>
    </w:rPr>
  </w:style>
  <w:style w:type="character" w:customStyle="1" w:styleId="336">
    <w:name w:val="纯文本 Char Char Char"/>
    <w:autoRedefine/>
    <w:qFormat/>
    <w:uiPriority w:val="0"/>
    <w:rPr>
      <w:rFonts w:ascii="宋体" w:hAnsi="Courier New" w:eastAsia="宋体"/>
      <w:kern w:val="2"/>
      <w:sz w:val="21"/>
      <w:lang w:val="en-US" w:eastAsia="zh-CN" w:bidi="ar-SA"/>
    </w:rPr>
  </w:style>
  <w:style w:type="character" w:customStyle="1" w:styleId="337">
    <w:name w:val="Table Text Char"/>
    <w:link w:val="338"/>
    <w:autoRedefine/>
    <w:qFormat/>
    <w:uiPriority w:val="0"/>
    <w:rPr>
      <w:sz w:val="24"/>
      <w:szCs w:val="24"/>
    </w:rPr>
  </w:style>
  <w:style w:type="paragraph" w:customStyle="1" w:styleId="338">
    <w:name w:val="Table Text"/>
    <w:basedOn w:val="1"/>
    <w:link w:val="337"/>
    <w:autoRedefine/>
    <w:qFormat/>
    <w:uiPriority w:val="0"/>
    <w:pPr>
      <w:widowControl/>
      <w:spacing w:before="60" w:after="60"/>
      <w:jc w:val="left"/>
    </w:pPr>
    <w:rPr>
      <w:kern w:val="0"/>
      <w:sz w:val="24"/>
    </w:rPr>
  </w:style>
  <w:style w:type="character" w:customStyle="1" w:styleId="339">
    <w:name w:val="正文1 Char1"/>
    <w:autoRedefine/>
    <w:qFormat/>
    <w:uiPriority w:val="0"/>
    <w:rPr>
      <w:rFonts w:ascii="仿宋_GB2312" w:hAnsi="Courier New" w:eastAsia="仿宋_GB2312"/>
      <w:kern w:val="28"/>
      <w:sz w:val="24"/>
      <w:szCs w:val="24"/>
      <w:lang w:val="en-US" w:eastAsia="zh-CN"/>
    </w:rPr>
  </w:style>
  <w:style w:type="character" w:customStyle="1" w:styleId="340">
    <w:name w:val="页脚 Char1"/>
    <w:autoRedefine/>
    <w:qFormat/>
    <w:uiPriority w:val="0"/>
    <w:rPr>
      <w:rFonts w:eastAsia="宋体"/>
      <w:kern w:val="2"/>
      <w:sz w:val="18"/>
      <w:szCs w:val="18"/>
      <w:lang w:val="en-US" w:eastAsia="zh-CN" w:bidi="ar-SA"/>
    </w:rPr>
  </w:style>
  <w:style w:type="character" w:customStyle="1" w:styleId="341">
    <w:name w:val="Bold"/>
    <w:autoRedefine/>
    <w:qFormat/>
    <w:uiPriority w:val="0"/>
    <w:rPr>
      <w:rFonts w:ascii="Arial" w:hAnsi="Arial" w:eastAsia="黑体" w:cs="Times New Roman"/>
      <w:b/>
      <w:kern w:val="2"/>
      <w:sz w:val="32"/>
      <w:szCs w:val="32"/>
      <w:lang w:val="en-US" w:eastAsia="zh-CN" w:bidi="ar-SA"/>
    </w:rPr>
  </w:style>
  <w:style w:type="character" w:customStyle="1" w:styleId="342">
    <w:name w:val="批注文字 字符1"/>
    <w:link w:val="21"/>
    <w:autoRedefine/>
    <w:qFormat/>
    <w:uiPriority w:val="99"/>
    <w:rPr>
      <w:kern w:val="2"/>
      <w:sz w:val="21"/>
      <w:szCs w:val="24"/>
    </w:rPr>
  </w:style>
  <w:style w:type="character" w:customStyle="1" w:styleId="343">
    <w:name w:val="签名 字符"/>
    <w:link w:val="44"/>
    <w:autoRedefine/>
    <w:qFormat/>
    <w:uiPriority w:val="0"/>
    <w:rPr>
      <w:rFonts w:eastAsia="仿宋_GB2312"/>
      <w:sz w:val="24"/>
    </w:rPr>
  </w:style>
  <w:style w:type="character" w:customStyle="1" w:styleId="344">
    <w:name w:val="hui3"/>
    <w:autoRedefine/>
    <w:qFormat/>
    <w:uiPriority w:val="0"/>
    <w:rPr>
      <w:color w:val="333333"/>
    </w:rPr>
  </w:style>
  <w:style w:type="character" w:customStyle="1" w:styleId="345">
    <w:name w:val="Char Char17"/>
    <w:autoRedefine/>
    <w:qFormat/>
    <w:uiPriority w:val="6"/>
    <w:rPr>
      <w:rFonts w:eastAsia="仿宋_GB2312"/>
      <w:sz w:val="24"/>
    </w:rPr>
  </w:style>
  <w:style w:type="character" w:customStyle="1" w:styleId="346">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7">
    <w:name w:val="Char Char37"/>
    <w:autoRedefine/>
    <w:qFormat/>
    <w:uiPriority w:val="6"/>
    <w:rPr>
      <w:b/>
      <w:kern w:val="1"/>
      <w:sz w:val="44"/>
      <w:szCs w:val="44"/>
    </w:rPr>
  </w:style>
  <w:style w:type="character" w:customStyle="1" w:styleId="348">
    <w:name w:val="列出段落 Char"/>
    <w:autoRedefine/>
    <w:qFormat/>
    <w:uiPriority w:val="0"/>
    <w:rPr>
      <w:rFonts w:eastAsia="楷体_GB2312" w:cs="Lucida Sans"/>
      <w:kern w:val="2"/>
      <w:sz w:val="24"/>
      <w:szCs w:val="24"/>
      <w:lang w:val="en-US" w:eastAsia="zh-CN" w:bidi="ar-SA"/>
    </w:rPr>
  </w:style>
  <w:style w:type="character" w:customStyle="1" w:styleId="349">
    <w:name w:val="正文文本缩进 3 Char1"/>
    <w:autoRedefine/>
    <w:semiHidden/>
    <w:qFormat/>
    <w:uiPriority w:val="99"/>
    <w:rPr>
      <w:rFonts w:ascii="Times New Roman" w:hAnsi="Times New Roman" w:eastAsia="宋体" w:cs="Times New Roman"/>
      <w:sz w:val="16"/>
      <w:szCs w:val="16"/>
    </w:rPr>
  </w:style>
  <w:style w:type="character" w:customStyle="1" w:styleId="350">
    <w:name w:val="公文正文 Char Char"/>
    <w:link w:val="351"/>
    <w:autoRedefine/>
    <w:qFormat/>
    <w:uiPriority w:val="0"/>
    <w:rPr>
      <w:rFonts w:ascii="仿宋_GB2312" w:eastAsia="仿宋_GB2312"/>
      <w:kern w:val="2"/>
      <w:sz w:val="24"/>
      <w:szCs w:val="24"/>
    </w:rPr>
  </w:style>
  <w:style w:type="paragraph" w:customStyle="1" w:styleId="351">
    <w:name w:val="公文正文"/>
    <w:basedOn w:val="1"/>
    <w:link w:val="350"/>
    <w:autoRedefine/>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autoRedefine/>
    <w:qFormat/>
    <w:uiPriority w:val="0"/>
    <w:rPr>
      <w:rFonts w:eastAsia="宋体"/>
      <w:sz w:val="24"/>
      <w:szCs w:val="24"/>
      <w:lang w:val="en-US" w:eastAsia="zh-CN" w:bidi="ar-SA"/>
    </w:rPr>
  </w:style>
  <w:style w:type="character" w:customStyle="1" w:styleId="353">
    <w:name w:val="标题 1 Char Char"/>
    <w:autoRedefine/>
    <w:qFormat/>
    <w:uiPriority w:val="0"/>
    <w:rPr>
      <w:rFonts w:hint="eastAsia" w:ascii="宋体" w:hAnsi="宋体" w:eastAsia="宋体"/>
      <w:b/>
      <w:spacing w:val="-2"/>
      <w:sz w:val="24"/>
      <w:lang w:val="en-US" w:eastAsia="zh-CN" w:bidi="ar-SA"/>
    </w:rPr>
  </w:style>
  <w:style w:type="character" w:customStyle="1" w:styleId="354">
    <w:name w:val="正文（缩进2汉字） Char"/>
    <w:link w:val="355"/>
    <w:autoRedefine/>
    <w:qFormat/>
    <w:uiPriority w:val="0"/>
    <w:rPr>
      <w:rFonts w:ascii="宋体"/>
    </w:rPr>
  </w:style>
  <w:style w:type="paragraph" w:customStyle="1" w:styleId="355">
    <w:name w:val="正文（缩进2汉字）"/>
    <w:basedOn w:val="1"/>
    <w:link w:val="354"/>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字符"/>
    <w:link w:val="12"/>
    <w:autoRedefine/>
    <w:qFormat/>
    <w:uiPriority w:val="0"/>
    <w:rPr>
      <w:rFonts w:ascii="Arial" w:hAnsi="Arial" w:eastAsia="黑体"/>
      <w:kern w:val="2"/>
      <w:sz w:val="24"/>
      <w:szCs w:val="24"/>
    </w:rPr>
  </w:style>
  <w:style w:type="character" w:customStyle="1" w:styleId="357">
    <w:name w:val="标书表格字体格式 Char"/>
    <w:autoRedefine/>
    <w:qFormat/>
    <w:uiPriority w:val="0"/>
    <w:rPr>
      <w:kern w:val="2"/>
      <w:sz w:val="21"/>
      <w:szCs w:val="24"/>
      <w:lang w:bidi="ar-SA"/>
    </w:rPr>
  </w:style>
  <w:style w:type="character" w:customStyle="1" w:styleId="358">
    <w:name w:val="tw4winError"/>
    <w:autoRedefine/>
    <w:qFormat/>
    <w:uiPriority w:val="0"/>
    <w:rPr>
      <w:rFonts w:ascii="Courier New" w:hAnsi="Courier New" w:cs="Courier New"/>
      <w:color w:val="00FF00"/>
      <w:sz w:val="40"/>
      <w:szCs w:val="40"/>
    </w:rPr>
  </w:style>
  <w:style w:type="character" w:customStyle="1" w:styleId="359">
    <w:name w:val="Body Text(ch) Char Char"/>
    <w:autoRedefine/>
    <w:qFormat/>
    <w:uiPriority w:val="0"/>
    <w:rPr>
      <w:rFonts w:ascii="宋体"/>
      <w:kern w:val="2"/>
      <w:sz w:val="24"/>
      <w:szCs w:val="21"/>
      <w:lang w:val="zh-CN"/>
    </w:rPr>
  </w:style>
  <w:style w:type="character" w:customStyle="1" w:styleId="360">
    <w:name w:val="正文首行缩进两字 Char"/>
    <w:autoRedefine/>
    <w:qFormat/>
    <w:uiPriority w:val="0"/>
    <w:rPr>
      <w:sz w:val="24"/>
      <w:szCs w:val="24"/>
      <w:lang w:val="en-US" w:eastAsia="zh-CN" w:bidi="ar-SA"/>
    </w:rPr>
  </w:style>
  <w:style w:type="character" w:customStyle="1" w:styleId="361">
    <w:name w:val="正文文本 Char"/>
    <w:autoRedefine/>
    <w:qFormat/>
    <w:uiPriority w:val="0"/>
    <w:rPr>
      <w:rFonts w:eastAsia="宋体"/>
      <w:kern w:val="2"/>
      <w:sz w:val="24"/>
      <w:szCs w:val="24"/>
      <w:lang w:val="en-US" w:eastAsia="zh-CN" w:bidi="ar-SA"/>
    </w:rPr>
  </w:style>
  <w:style w:type="character" w:customStyle="1" w:styleId="362">
    <w:name w:val="文档结构图 字符1"/>
    <w:autoRedefine/>
    <w:qFormat/>
    <w:uiPriority w:val="0"/>
    <w:rPr>
      <w:rFonts w:ascii="宋体" w:hAnsi="Calibri" w:eastAsia="黑体" w:cs="Arial"/>
      <w:snapToGrid w:val="0"/>
      <w:kern w:val="2"/>
      <w:sz w:val="18"/>
      <w:szCs w:val="18"/>
    </w:rPr>
  </w:style>
  <w:style w:type="character" w:customStyle="1" w:styleId="363">
    <w:name w:val="content"/>
    <w:autoRedefine/>
    <w:qFormat/>
    <w:uiPriority w:val="0"/>
  </w:style>
  <w:style w:type="character" w:customStyle="1" w:styleId="364">
    <w:name w:val="tw4winPopup"/>
    <w:autoRedefine/>
    <w:qFormat/>
    <w:uiPriority w:val="0"/>
    <w:rPr>
      <w:rFonts w:ascii="Courier New" w:hAnsi="Courier New" w:cs="Courier New"/>
      <w:color w:val="008000"/>
      <w:lang w:val="en-US" w:eastAsia="zh-CN"/>
    </w:rPr>
  </w:style>
  <w:style w:type="character" w:customStyle="1" w:styleId="365">
    <w:name w:val="param-name"/>
    <w:autoRedefine/>
    <w:qFormat/>
    <w:uiPriority w:val="99"/>
    <w:rPr>
      <w:rFonts w:ascii="Arial" w:hAnsi="Arial" w:eastAsia="黑体" w:cs="Arial"/>
      <w:snapToGrid w:val="0"/>
      <w:kern w:val="0"/>
      <w:szCs w:val="21"/>
    </w:rPr>
  </w:style>
  <w:style w:type="character" w:customStyle="1" w:styleId="366">
    <w:name w:val="标准正文格式 Char"/>
    <w:autoRedefine/>
    <w:qFormat/>
    <w:uiPriority w:val="0"/>
    <w:rPr>
      <w:rFonts w:ascii="宋体" w:eastAsia="仿宋_GB2312" w:cs="宋体"/>
      <w:color w:val="000000"/>
      <w:sz w:val="24"/>
      <w:lang w:val="en-US" w:eastAsia="zh-CN" w:bidi="ar-SA"/>
    </w:rPr>
  </w:style>
  <w:style w:type="character" w:customStyle="1" w:styleId="367">
    <w:name w:val="Char Char212"/>
    <w:autoRedefine/>
    <w:qFormat/>
    <w:uiPriority w:val="0"/>
    <w:rPr>
      <w:rFonts w:eastAsia="宋体"/>
      <w:b/>
      <w:bCs/>
      <w:kern w:val="2"/>
      <w:sz w:val="21"/>
      <w:szCs w:val="24"/>
      <w:lang w:val="en-US" w:eastAsia="zh-CN" w:bidi="ar-SA"/>
    </w:rPr>
  </w:style>
  <w:style w:type="character" w:customStyle="1" w:styleId="368">
    <w:name w:val="文档结构图 Char"/>
    <w:autoRedefine/>
    <w:qFormat/>
    <w:uiPriority w:val="0"/>
    <w:rPr>
      <w:rFonts w:eastAsia="宋体"/>
      <w:kern w:val="2"/>
      <w:sz w:val="21"/>
      <w:szCs w:val="24"/>
      <w:lang w:val="en-US" w:eastAsia="zh-CN" w:bidi="ar-SA"/>
    </w:rPr>
  </w:style>
  <w:style w:type="character" w:customStyle="1" w:styleId="369">
    <w:name w:val="zbggmain style9"/>
    <w:autoRedefine/>
    <w:qFormat/>
    <w:uiPriority w:val="0"/>
  </w:style>
  <w:style w:type="character" w:customStyle="1" w:styleId="370">
    <w:name w:val="Char Char16"/>
    <w:autoRedefine/>
    <w:qFormat/>
    <w:uiPriority w:val="6"/>
    <w:rPr>
      <w:kern w:val="1"/>
      <w:sz w:val="18"/>
      <w:szCs w:val="18"/>
    </w:rPr>
  </w:style>
  <w:style w:type="character" w:customStyle="1" w:styleId="371">
    <w:name w:val="font51"/>
    <w:autoRedefine/>
    <w:qFormat/>
    <w:uiPriority w:val="0"/>
    <w:rPr>
      <w:rFonts w:hint="eastAsia" w:ascii="仿宋" w:hAnsi="仿宋" w:eastAsia="仿宋" w:cs="仿宋"/>
      <w:color w:val="000000"/>
      <w:sz w:val="20"/>
      <w:szCs w:val="20"/>
      <w:u w:val="none"/>
    </w:rPr>
  </w:style>
  <w:style w:type="character" w:customStyle="1" w:styleId="372">
    <w:name w:val="Char Char82"/>
    <w:autoRedefine/>
    <w:qFormat/>
    <w:uiPriority w:val="0"/>
    <w:rPr>
      <w:rFonts w:eastAsia="宋体"/>
      <w:b/>
      <w:sz w:val="24"/>
      <w:lang w:val="en-GB" w:eastAsia="zh-CN"/>
    </w:rPr>
  </w:style>
  <w:style w:type="character" w:customStyle="1" w:styleId="373">
    <w:name w:val="正文文本缩进 3 字符"/>
    <w:link w:val="54"/>
    <w:autoRedefine/>
    <w:qFormat/>
    <w:uiPriority w:val="0"/>
    <w:rPr>
      <w:kern w:val="2"/>
      <w:sz w:val="24"/>
    </w:rPr>
  </w:style>
  <w:style w:type="character" w:customStyle="1" w:styleId="374">
    <w:name w:val="日期 Char1"/>
    <w:autoRedefine/>
    <w:semiHidden/>
    <w:qFormat/>
    <w:uiPriority w:val="99"/>
    <w:rPr>
      <w:rFonts w:ascii="Times New Roman" w:hAnsi="Times New Roman" w:eastAsia="宋体" w:cs="Times New Roman"/>
      <w:szCs w:val="24"/>
    </w:rPr>
  </w:style>
  <w:style w:type="character" w:customStyle="1" w:styleId="375">
    <w:name w:val="页眉 字符"/>
    <w:autoRedefine/>
    <w:qFormat/>
    <w:uiPriority w:val="99"/>
    <w:rPr>
      <w:kern w:val="2"/>
      <w:sz w:val="18"/>
      <w:szCs w:val="18"/>
    </w:rPr>
  </w:style>
  <w:style w:type="character" w:customStyle="1" w:styleId="376">
    <w:name w:val="Char Char33"/>
    <w:autoRedefine/>
    <w:qFormat/>
    <w:uiPriority w:val="6"/>
    <w:rPr>
      <w:rFonts w:ascii="Arial" w:hAnsi="Arial" w:eastAsia="黑体"/>
      <w:b/>
      <w:kern w:val="1"/>
      <w:sz w:val="24"/>
      <w:szCs w:val="24"/>
    </w:rPr>
  </w:style>
  <w:style w:type="character" w:customStyle="1" w:styleId="377">
    <w:name w:val="b11_01b Char"/>
    <w:link w:val="378"/>
    <w:autoRedefine/>
    <w:qFormat/>
    <w:uiPriority w:val="0"/>
    <w:rPr>
      <w:rFonts w:ascii="Verdana" w:hAnsi="Verdana"/>
      <w:b/>
      <w:bCs/>
      <w:color w:val="4A82CA"/>
      <w:sz w:val="17"/>
      <w:szCs w:val="17"/>
    </w:rPr>
  </w:style>
  <w:style w:type="paragraph" w:customStyle="1" w:styleId="378">
    <w:name w:val="b11_01b"/>
    <w:basedOn w:val="1"/>
    <w:next w:val="1"/>
    <w:link w:val="377"/>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autoRedefine/>
    <w:qFormat/>
    <w:uiPriority w:val="6"/>
    <w:rPr>
      <w:rFonts w:ascii="仿宋_GB2312" w:eastAsia="仿宋_GB2312"/>
      <w:b/>
      <w:bCs/>
      <w:kern w:val="2"/>
      <w:sz w:val="24"/>
      <w:szCs w:val="24"/>
      <w:lang w:val="zh-CN" w:eastAsia="zh-CN" w:bidi="ar-SA"/>
    </w:rPr>
  </w:style>
  <w:style w:type="character" w:customStyle="1" w:styleId="380">
    <w:name w:val="Footer-Even Char"/>
    <w:autoRedefine/>
    <w:qFormat/>
    <w:uiPriority w:val="0"/>
    <w:rPr>
      <w:rFonts w:eastAsia="宋体"/>
      <w:kern w:val="2"/>
      <w:sz w:val="18"/>
      <w:lang w:val="en-US" w:eastAsia="zh-CN" w:bidi="ar-SA"/>
    </w:rPr>
  </w:style>
  <w:style w:type="character" w:customStyle="1" w:styleId="381">
    <w:name w:val="页脚 字符2"/>
    <w:link w:val="42"/>
    <w:autoRedefine/>
    <w:qFormat/>
    <w:locked/>
    <w:uiPriority w:val="99"/>
    <w:rPr>
      <w:kern w:val="2"/>
      <w:sz w:val="18"/>
      <w:szCs w:val="18"/>
    </w:rPr>
  </w:style>
  <w:style w:type="character" w:customStyle="1" w:styleId="382">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3">
    <w:name w:val="Char Char61"/>
    <w:autoRedefine/>
    <w:qFormat/>
    <w:uiPriority w:val="6"/>
    <w:rPr>
      <w:rFonts w:eastAsia="宋体"/>
      <w:kern w:val="2"/>
      <w:sz w:val="21"/>
      <w:szCs w:val="24"/>
      <w:lang w:val="en-US" w:eastAsia="zh-CN" w:bidi="ar-SA"/>
    </w:rPr>
  </w:style>
  <w:style w:type="character" w:customStyle="1" w:styleId="384">
    <w:name w:val="正文文字缩进 2 Char Char"/>
    <w:autoRedefine/>
    <w:qFormat/>
    <w:uiPriority w:val="0"/>
    <w:rPr>
      <w:rFonts w:ascii="宋体"/>
      <w:sz w:val="28"/>
    </w:rPr>
  </w:style>
  <w:style w:type="character" w:customStyle="1" w:styleId="385">
    <w:name w:val="f141"/>
    <w:autoRedefine/>
    <w:qFormat/>
    <w:uiPriority w:val="0"/>
    <w:rPr>
      <w:rFonts w:ascii="Tahoma" w:hAnsi="Tahoma" w:eastAsia="宋体"/>
      <w:b/>
      <w:kern w:val="2"/>
      <w:sz w:val="21"/>
      <w:szCs w:val="21"/>
      <w:lang w:val="en-US" w:eastAsia="zh-CN" w:bidi="ar-SA"/>
    </w:rPr>
  </w:style>
  <w:style w:type="character" w:customStyle="1" w:styleId="386">
    <w:name w:val="段落 Char Char"/>
    <w:link w:val="387"/>
    <w:autoRedefine/>
    <w:qFormat/>
    <w:uiPriority w:val="0"/>
    <w:rPr>
      <w:rFonts w:ascii="宋体" w:hAnsi="宋体"/>
      <w:sz w:val="24"/>
    </w:rPr>
  </w:style>
  <w:style w:type="paragraph" w:customStyle="1" w:styleId="387">
    <w:name w:val="段落"/>
    <w:basedOn w:val="1"/>
    <w:link w:val="386"/>
    <w:autoRedefine/>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autoRedefine/>
    <w:qFormat/>
    <w:uiPriority w:val="0"/>
    <w:rPr>
      <w:rFonts w:eastAsia="宋体"/>
      <w:b/>
      <w:bCs/>
      <w:kern w:val="2"/>
      <w:sz w:val="32"/>
      <w:szCs w:val="32"/>
      <w:lang w:val="en-US" w:eastAsia="zh-CN" w:bidi="ar-SA"/>
    </w:rPr>
  </w:style>
  <w:style w:type="character" w:customStyle="1" w:styleId="389">
    <w:name w:val="apple-converted-space"/>
    <w:autoRedefine/>
    <w:qFormat/>
    <w:uiPriority w:val="0"/>
  </w:style>
  <w:style w:type="character" w:customStyle="1" w:styleId="390">
    <w:name w:val="页眉 字符2"/>
    <w:link w:val="43"/>
    <w:autoRedefine/>
    <w:qFormat/>
    <w:uiPriority w:val="99"/>
    <w:rPr>
      <w:kern w:val="2"/>
      <w:sz w:val="18"/>
      <w:szCs w:val="18"/>
    </w:rPr>
  </w:style>
  <w:style w:type="character" w:customStyle="1" w:styleId="391">
    <w:name w:val="Char Char9"/>
    <w:autoRedefine/>
    <w:qFormat/>
    <w:uiPriority w:val="0"/>
    <w:rPr>
      <w:rFonts w:eastAsia="宋体"/>
      <w:kern w:val="2"/>
      <w:sz w:val="18"/>
      <w:szCs w:val="18"/>
      <w:lang w:val="en-US" w:eastAsia="zh-CN" w:bidi="ar-SA"/>
    </w:rPr>
  </w:style>
  <w:style w:type="character" w:customStyle="1" w:styleId="392">
    <w:name w:val="Char Char41"/>
    <w:autoRedefine/>
    <w:qFormat/>
    <w:uiPriority w:val="0"/>
    <w:rPr>
      <w:rFonts w:eastAsia="宋体"/>
      <w:b/>
      <w:sz w:val="24"/>
      <w:lang w:val="en-GB" w:eastAsia="zh-CN" w:bidi="ar-SA"/>
    </w:rPr>
  </w:style>
  <w:style w:type="character" w:customStyle="1" w:styleId="393">
    <w:name w:val="large1"/>
    <w:autoRedefine/>
    <w:qFormat/>
    <w:uiPriority w:val="0"/>
    <w:rPr>
      <w:rFonts w:hint="eastAsia" w:ascii="宋体" w:hAnsi="宋体" w:eastAsia="宋体"/>
      <w:sz w:val="21"/>
      <w:szCs w:val="21"/>
    </w:rPr>
  </w:style>
  <w:style w:type="character" w:customStyle="1" w:styleId="394">
    <w:name w:val="正文段 Char"/>
    <w:link w:val="395"/>
    <w:autoRedefine/>
    <w:qFormat/>
    <w:uiPriority w:val="0"/>
    <w:rPr>
      <w:sz w:val="24"/>
    </w:rPr>
  </w:style>
  <w:style w:type="paragraph" w:customStyle="1" w:styleId="395">
    <w:name w:val="正文段"/>
    <w:basedOn w:val="1"/>
    <w:link w:val="394"/>
    <w:autoRedefine/>
    <w:qFormat/>
    <w:uiPriority w:val="0"/>
    <w:pPr>
      <w:widowControl/>
      <w:snapToGrid w:val="0"/>
      <w:spacing w:after="156" w:afterLines="50"/>
      <w:ind w:firstLine="200" w:firstLineChars="200"/>
    </w:pPr>
    <w:rPr>
      <w:kern w:val="0"/>
      <w:sz w:val="24"/>
      <w:szCs w:val="20"/>
    </w:rPr>
  </w:style>
  <w:style w:type="character" w:customStyle="1" w:styleId="396">
    <w:name w:val="Char Char13"/>
    <w:autoRedefine/>
    <w:qFormat/>
    <w:uiPriority w:val="6"/>
    <w:rPr>
      <w:rFonts w:ascii="宋体" w:hAnsi="宋体"/>
      <w:kern w:val="1"/>
      <w:sz w:val="21"/>
      <w:szCs w:val="24"/>
    </w:rPr>
  </w:style>
  <w:style w:type="character" w:customStyle="1" w:styleId="397">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autoRedefine/>
    <w:qFormat/>
    <w:uiPriority w:val="0"/>
    <w:rPr>
      <w:rFonts w:ascii="宋体" w:hAnsi="宋体"/>
      <w:kern w:val="2"/>
      <w:sz w:val="24"/>
      <w:szCs w:val="22"/>
    </w:rPr>
  </w:style>
  <w:style w:type="paragraph" w:customStyle="1" w:styleId="399">
    <w:name w:val="冯广丽"/>
    <w:basedOn w:val="1"/>
    <w:link w:val="398"/>
    <w:autoRedefine/>
    <w:qFormat/>
    <w:uiPriority w:val="0"/>
    <w:pPr>
      <w:adjustRightInd/>
      <w:spacing w:line="360" w:lineRule="auto"/>
      <w:ind w:firstLine="480" w:firstLineChars="200"/>
    </w:pPr>
    <w:rPr>
      <w:rFonts w:ascii="宋体" w:hAnsi="宋体"/>
      <w:sz w:val="24"/>
      <w:szCs w:val="22"/>
    </w:rPr>
  </w:style>
  <w:style w:type="character" w:customStyle="1" w:styleId="400">
    <w:name w:val="批注文字 字符"/>
    <w:autoRedefine/>
    <w:qFormat/>
    <w:uiPriority w:val="0"/>
    <w:rPr>
      <w:rFonts w:ascii="Arial" w:hAnsi="Arial" w:eastAsia="黑体" w:cs="Arial"/>
      <w:snapToGrid w:val="0"/>
      <w:kern w:val="0"/>
      <w:szCs w:val="21"/>
    </w:rPr>
  </w:style>
  <w:style w:type="character" w:customStyle="1" w:styleId="401">
    <w:name w:val="Char Char161"/>
    <w:autoRedefine/>
    <w:qFormat/>
    <w:uiPriority w:val="0"/>
    <w:rPr>
      <w:rFonts w:eastAsia="宋体"/>
      <w:b/>
      <w:kern w:val="2"/>
      <w:sz w:val="32"/>
      <w:lang w:val="en-US" w:eastAsia="zh-CN"/>
    </w:rPr>
  </w:style>
  <w:style w:type="character" w:customStyle="1" w:styleId="402">
    <w:name w:val="javascript"/>
    <w:autoRedefine/>
    <w:qFormat/>
    <w:uiPriority w:val="0"/>
  </w:style>
  <w:style w:type="character" w:customStyle="1" w:styleId="403">
    <w:name w:val="图名 Char"/>
    <w:autoRedefine/>
    <w:qFormat/>
    <w:uiPriority w:val="0"/>
    <w:rPr>
      <w:rFonts w:ascii="Arial" w:hAnsi="Arial" w:eastAsia="黑体"/>
      <w:kern w:val="2"/>
      <w:sz w:val="24"/>
      <w:szCs w:val="24"/>
      <w:lang w:val="en-US" w:eastAsia="zh-CN" w:bidi="ar-SA"/>
    </w:rPr>
  </w:style>
  <w:style w:type="character" w:customStyle="1" w:styleId="404">
    <w:name w:val="Used by Word for text of Help footnotes Char Char"/>
    <w:autoRedefine/>
    <w:qFormat/>
    <w:uiPriority w:val="0"/>
    <w:rPr>
      <w:rFonts w:ascii="Times New Roman" w:hAnsi="Times New Roman" w:eastAsia="宋体" w:cs="Times New Roman"/>
      <w:sz w:val="20"/>
      <w:szCs w:val="20"/>
    </w:rPr>
  </w:style>
  <w:style w:type="character" w:customStyle="1" w:styleId="405">
    <w:name w:val="编号，小四 Char"/>
    <w:link w:val="406"/>
    <w:autoRedefine/>
    <w:qFormat/>
    <w:uiPriority w:val="0"/>
    <w:rPr>
      <w:rFonts w:ascii="Arial" w:hAnsi="Arial"/>
      <w:sz w:val="24"/>
    </w:rPr>
  </w:style>
  <w:style w:type="paragraph" w:customStyle="1" w:styleId="406">
    <w:name w:val="编号，小四"/>
    <w:basedOn w:val="1"/>
    <w:link w:val="405"/>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autoRedefine/>
    <w:qFormat/>
    <w:uiPriority w:val="99"/>
    <w:rPr>
      <w:rFonts w:ascii="宋体" w:eastAsia="宋体" w:cs="宋体"/>
      <w:color w:val="000000"/>
      <w:sz w:val="14"/>
      <w:szCs w:val="14"/>
    </w:rPr>
  </w:style>
  <w:style w:type="character" w:customStyle="1" w:styleId="408">
    <w:name w:val="标题 2 Char Char"/>
    <w:autoRedefine/>
    <w:qFormat/>
    <w:uiPriority w:val="0"/>
    <w:rPr>
      <w:rFonts w:ascii="楷体_GB2312" w:hAnsi="Arial" w:eastAsia="楷体_GB2312"/>
      <w:b/>
      <w:bCs/>
      <w:kern w:val="2"/>
      <w:sz w:val="24"/>
      <w:szCs w:val="32"/>
      <w:lang w:val="en-US" w:eastAsia="zh-CN" w:bidi="ar-SA"/>
    </w:rPr>
  </w:style>
  <w:style w:type="character" w:customStyle="1" w:styleId="409">
    <w:name w:val="未用 Char"/>
    <w:autoRedefine/>
    <w:qFormat/>
    <w:uiPriority w:val="0"/>
    <w:rPr>
      <w:rFonts w:ascii="Arial" w:hAnsi="Arial" w:eastAsia="黑体"/>
      <w:kern w:val="2"/>
      <w:sz w:val="21"/>
      <w:szCs w:val="21"/>
      <w:lang w:val="en-US" w:eastAsia="zh-CN" w:bidi="ar-SA"/>
    </w:rPr>
  </w:style>
  <w:style w:type="character" w:customStyle="1" w:styleId="410">
    <w:name w:val="myp1111"/>
    <w:autoRedefine/>
    <w:qFormat/>
    <w:uiPriority w:val="0"/>
    <w:rPr>
      <w:rFonts w:hint="default" w:ascii="ˎ̥" w:hAnsi="ˎ̥"/>
      <w:color w:val="000000"/>
      <w:sz w:val="20"/>
      <w:szCs w:val="20"/>
      <w:u w:val="none"/>
    </w:rPr>
  </w:style>
  <w:style w:type="character" w:customStyle="1" w:styleId="411">
    <w:name w:val="样式 标题 4h4H4Fab-4T5Ref Heading 1rh1Heading sqlsect 1.2.3.... Char"/>
    <w:link w:val="303"/>
    <w:autoRedefine/>
    <w:qFormat/>
    <w:uiPriority w:val="0"/>
    <w:rPr>
      <w:rFonts w:ascii="微软雅黑" w:hAnsi="微软雅黑" w:eastAsia="微软雅黑"/>
      <w:b/>
      <w:bCs/>
      <w:kern w:val="2"/>
      <w:sz w:val="24"/>
      <w:szCs w:val="28"/>
    </w:rPr>
  </w:style>
  <w:style w:type="character" w:customStyle="1" w:styleId="412">
    <w:name w:val="h Char Char"/>
    <w:autoRedefine/>
    <w:qFormat/>
    <w:uiPriority w:val="0"/>
    <w:rPr>
      <w:rFonts w:eastAsia="宋体"/>
      <w:kern w:val="2"/>
      <w:sz w:val="18"/>
      <w:lang w:val="en-US" w:eastAsia="zh-CN" w:bidi="ar-SA"/>
    </w:rPr>
  </w:style>
  <w:style w:type="character" w:customStyle="1" w:styleId="413">
    <w:name w:val="仿宋正文 Char"/>
    <w:link w:val="414"/>
    <w:autoRedefine/>
    <w:qFormat/>
    <w:uiPriority w:val="0"/>
    <w:rPr>
      <w:rFonts w:ascii="仿宋_GB2312" w:eastAsia="仿宋_GB2312"/>
      <w:kern w:val="2"/>
      <w:sz w:val="24"/>
      <w:lang w:val="en-US" w:eastAsia="zh-CN" w:bidi="ar-SA"/>
    </w:rPr>
  </w:style>
  <w:style w:type="paragraph" w:customStyle="1" w:styleId="414">
    <w:name w:val="仿宋正文"/>
    <w:basedOn w:val="1"/>
    <w:link w:val="413"/>
    <w:autoRedefine/>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autoRedefine/>
    <w:qFormat/>
    <w:uiPriority w:val="0"/>
    <w:rPr>
      <w:rFonts w:ascii="宋体" w:eastAsia="宋体"/>
      <w:kern w:val="2"/>
      <w:sz w:val="24"/>
      <w:lang w:val="zh-CN" w:bidi="ar-SA"/>
    </w:rPr>
  </w:style>
  <w:style w:type="character" w:customStyle="1" w:styleId="416">
    <w:name w:val="样式 宋体"/>
    <w:autoRedefine/>
    <w:qFormat/>
    <w:uiPriority w:val="0"/>
    <w:rPr>
      <w:rFonts w:ascii="宋体" w:hAnsi="宋体"/>
      <w:sz w:val="24"/>
    </w:rPr>
  </w:style>
  <w:style w:type="character" w:customStyle="1" w:styleId="417">
    <w:name w:val="tw4winJump"/>
    <w:autoRedefine/>
    <w:qFormat/>
    <w:uiPriority w:val="0"/>
    <w:rPr>
      <w:rFonts w:ascii="Courier New" w:hAnsi="Courier New" w:cs="Courier New"/>
      <w:color w:val="008080"/>
      <w:lang w:val="en-US" w:eastAsia="zh-CN"/>
    </w:rPr>
  </w:style>
  <w:style w:type="character" w:customStyle="1" w:styleId="418">
    <w:name w:val="标题 1 字符"/>
    <w:autoRedefine/>
    <w:qFormat/>
    <w:uiPriority w:val="9"/>
    <w:rPr>
      <w:rFonts w:ascii="Arial" w:hAnsi="Arial" w:eastAsia="黑体" w:cs="Arial"/>
      <w:b/>
      <w:bCs/>
      <w:snapToGrid w:val="0"/>
      <w:kern w:val="44"/>
      <w:sz w:val="44"/>
      <w:szCs w:val="44"/>
    </w:rPr>
  </w:style>
  <w:style w:type="character" w:customStyle="1" w:styleId="419">
    <w:name w:val="style36"/>
    <w:basedOn w:val="69"/>
    <w:autoRedefine/>
    <w:qFormat/>
    <w:uiPriority w:val="0"/>
    <w:rPr>
      <w:rFonts w:ascii="Arial" w:hAnsi="Arial" w:eastAsia="黑体" w:cs="Arial"/>
      <w:snapToGrid w:val="0"/>
      <w:kern w:val="0"/>
      <w:szCs w:val="21"/>
    </w:rPr>
  </w:style>
  <w:style w:type="character" w:customStyle="1" w:styleId="420">
    <w:name w:val="pt9"/>
    <w:autoRedefine/>
    <w:qFormat/>
    <w:uiPriority w:val="0"/>
    <w:rPr>
      <w:rFonts w:ascii="仿宋_GB2312" w:eastAsia="微软雅黑"/>
      <w:b/>
      <w:kern w:val="2"/>
      <w:sz w:val="32"/>
      <w:szCs w:val="32"/>
      <w:lang w:val="en-US" w:eastAsia="zh-CN" w:bidi="ar-SA"/>
    </w:rPr>
  </w:style>
  <w:style w:type="character" w:customStyle="1" w:styleId="421">
    <w:name w:val="DO_NOT_TRANSLATE"/>
    <w:autoRedefine/>
    <w:qFormat/>
    <w:uiPriority w:val="0"/>
    <w:rPr>
      <w:rFonts w:ascii="Courier New" w:hAnsi="Courier New" w:cs="Courier New"/>
      <w:color w:val="800000"/>
      <w:lang w:val="en-US" w:eastAsia="zh-CN"/>
    </w:rPr>
  </w:style>
  <w:style w:type="character" w:customStyle="1" w:styleId="422">
    <w:name w:val="标书1 Char1"/>
    <w:autoRedefine/>
    <w:qFormat/>
    <w:uiPriority w:val="0"/>
    <w:rPr>
      <w:rFonts w:eastAsia="宋体"/>
      <w:b/>
      <w:bCs/>
      <w:kern w:val="44"/>
      <w:sz w:val="44"/>
      <w:szCs w:val="44"/>
      <w:lang w:val="en-US" w:eastAsia="zh-CN" w:bidi="ar-SA"/>
    </w:rPr>
  </w:style>
  <w:style w:type="character" w:customStyle="1" w:styleId="423">
    <w:name w:val="页脚 字符"/>
    <w:autoRedefine/>
    <w:qFormat/>
    <w:uiPriority w:val="99"/>
    <w:rPr>
      <w:kern w:val="2"/>
      <w:sz w:val="18"/>
      <w:szCs w:val="18"/>
    </w:rPr>
  </w:style>
  <w:style w:type="character" w:customStyle="1" w:styleId="424">
    <w:name w:val="正文2 Char"/>
    <w:autoRedefine/>
    <w:qFormat/>
    <w:uiPriority w:val="0"/>
    <w:rPr>
      <w:rFonts w:eastAsia="宋体"/>
      <w:kern w:val="2"/>
      <w:sz w:val="24"/>
      <w:lang w:val="en-US" w:eastAsia="zh-CN" w:bidi="ar-SA"/>
    </w:rPr>
  </w:style>
  <w:style w:type="character" w:customStyle="1" w:styleId="425">
    <w:name w:val="Char Char21"/>
    <w:autoRedefine/>
    <w:qFormat/>
    <w:uiPriority w:val="6"/>
    <w:rPr>
      <w:rFonts w:ascii="宋体" w:hAnsi="宋体"/>
      <w:kern w:val="1"/>
      <w:sz w:val="24"/>
      <w:szCs w:val="21"/>
      <w:lang w:val="zh-CN"/>
    </w:rPr>
  </w:style>
  <w:style w:type="character" w:customStyle="1" w:styleId="426">
    <w:name w:val="样式 正文缩进 + 首行缩进:  2 字符 Char Char"/>
    <w:link w:val="427"/>
    <w:autoRedefine/>
    <w:qFormat/>
    <w:uiPriority w:val="0"/>
    <w:rPr>
      <w:rFonts w:cs="宋体"/>
      <w:kern w:val="2"/>
      <w:sz w:val="24"/>
    </w:rPr>
  </w:style>
  <w:style w:type="paragraph" w:customStyle="1" w:styleId="427">
    <w:name w:val="样式 正文缩进 + 首行缩进:  2 字符"/>
    <w:basedOn w:val="7"/>
    <w:link w:val="426"/>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字符"/>
    <w:link w:val="25"/>
    <w:autoRedefine/>
    <w:qFormat/>
    <w:uiPriority w:val="0"/>
    <w:rPr>
      <w:rFonts w:ascii="宋体" w:hAnsi="Arial" w:eastAsia="宋体" w:cs="Arial"/>
      <w:snapToGrid w:val="0"/>
      <w:kern w:val="2"/>
      <w:sz w:val="24"/>
      <w:szCs w:val="21"/>
      <w:lang w:val="zh-CN" w:eastAsia="zh-CN" w:bidi="ar-SA"/>
    </w:rPr>
  </w:style>
  <w:style w:type="character" w:customStyle="1" w:styleId="429">
    <w:name w:val="gray6"/>
    <w:basedOn w:val="69"/>
    <w:autoRedefine/>
    <w:qFormat/>
    <w:uiPriority w:val="0"/>
    <w:rPr>
      <w:rFonts w:ascii="Arial" w:hAnsi="Arial" w:eastAsia="黑体" w:cs="Arial"/>
      <w:snapToGrid w:val="0"/>
      <w:kern w:val="0"/>
      <w:szCs w:val="21"/>
    </w:rPr>
  </w:style>
  <w:style w:type="character" w:customStyle="1" w:styleId="430">
    <w:name w:val="hui"/>
    <w:basedOn w:val="69"/>
    <w:autoRedefine/>
    <w:qFormat/>
    <w:uiPriority w:val="0"/>
    <w:rPr>
      <w:rFonts w:ascii="Arial" w:hAnsi="Arial" w:eastAsia="黑体" w:cs="Arial"/>
      <w:snapToGrid w:val="0"/>
      <w:kern w:val="0"/>
      <w:szCs w:val="21"/>
    </w:rPr>
  </w:style>
  <w:style w:type="character" w:customStyle="1" w:styleId="431">
    <w:name w:val="哈哈正文 Char Char"/>
    <w:autoRedefine/>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3"/>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8"/>
    <w:autoRedefine/>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autoRedefine/>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autoRedefine/>
    <w:qFormat/>
    <w:uiPriority w:val="0"/>
    <w:pPr>
      <w:spacing w:before="120" w:line="360" w:lineRule="auto"/>
      <w:ind w:firstLine="567"/>
    </w:pPr>
    <w:rPr>
      <w:rFonts w:ascii="Arial" w:hAnsi="Arial"/>
      <w:sz w:val="20"/>
      <w:szCs w:val="20"/>
    </w:rPr>
  </w:style>
  <w:style w:type="paragraph" w:customStyle="1" w:styleId="442">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autoRedefine/>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autoRedefine/>
    <w:qFormat/>
    <w:uiPriority w:val="0"/>
    <w:pPr>
      <w:adjustRightInd/>
      <w:ind w:firstLine="200" w:firstLineChars="200"/>
    </w:pPr>
    <w:rPr>
      <w:rFonts w:ascii="Tahoma" w:hAnsi="Tahoma"/>
      <w:sz w:val="24"/>
      <w:szCs w:val="20"/>
    </w:rPr>
  </w:style>
  <w:style w:type="paragraph" w:customStyle="1" w:styleId="451">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autoRedefine/>
    <w:qFormat/>
    <w:uiPriority w:val="0"/>
    <w:pPr>
      <w:tabs>
        <w:tab w:val="left" w:pos="360"/>
      </w:tabs>
    </w:pPr>
    <w:rPr>
      <w:sz w:val="24"/>
      <w:szCs w:val="20"/>
    </w:rPr>
  </w:style>
  <w:style w:type="paragraph" w:customStyle="1" w:styleId="454">
    <w:name w:val="Char Char11 Char Char Char"/>
    <w:basedOn w:val="1"/>
    <w:autoRedefine/>
    <w:qFormat/>
    <w:uiPriority w:val="0"/>
    <w:pPr>
      <w:spacing w:line="360" w:lineRule="auto"/>
    </w:pPr>
    <w:rPr>
      <w:szCs w:val="20"/>
    </w:rPr>
  </w:style>
  <w:style w:type="paragraph" w:customStyle="1" w:styleId="455">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7">
    <w:name w:val="样式3"/>
    <w:basedOn w:val="35"/>
    <w:next w:val="1"/>
    <w:autoRedefine/>
    <w:qFormat/>
    <w:uiPriority w:val="0"/>
    <w:pPr>
      <w:tabs>
        <w:tab w:val="left" w:pos="2790"/>
        <w:tab w:val="left" w:pos="4230"/>
      </w:tabs>
      <w:spacing w:before="312" w:beforeLines="100"/>
      <w:jc w:val="left"/>
    </w:pPr>
  </w:style>
  <w:style w:type="paragraph" w:customStyle="1" w:styleId="458">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autoRedefine/>
    <w:qFormat/>
    <w:uiPriority w:val="0"/>
    <w:pPr>
      <w:tabs>
        <w:tab w:val="left" w:pos="840"/>
      </w:tabs>
      <w:ind w:left="840" w:hanging="420"/>
    </w:pPr>
    <w:rPr>
      <w:rFonts w:ascii="Tahoma" w:hAnsi="Tahoma"/>
      <w:sz w:val="24"/>
    </w:rPr>
  </w:style>
  <w:style w:type="paragraph" w:customStyle="1" w:styleId="460">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autoRedefine/>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autoRedefine/>
    <w:qFormat/>
    <w:uiPriority w:val="0"/>
    <w:pPr>
      <w:adjustRightInd/>
      <w:spacing w:before="156" w:line="360" w:lineRule="auto"/>
      <w:ind w:firstLine="510" w:firstLineChars="200"/>
    </w:pPr>
    <w:rPr>
      <w:sz w:val="24"/>
      <w:szCs w:val="20"/>
    </w:rPr>
  </w:style>
  <w:style w:type="paragraph" w:customStyle="1" w:styleId="464">
    <w:name w:val="Test2"/>
    <w:basedOn w:val="5"/>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autoRedefine/>
    <w:qFormat/>
    <w:uiPriority w:val="0"/>
    <w:rPr>
      <w:rFonts w:ascii="仿宋_GB2312" w:eastAsia="仿宋_GB2312"/>
      <w:b/>
      <w:sz w:val="32"/>
      <w:szCs w:val="32"/>
    </w:rPr>
  </w:style>
  <w:style w:type="paragraph" w:customStyle="1" w:styleId="467">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69">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0">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autoRedefine/>
    <w:qFormat/>
    <w:uiPriority w:val="0"/>
    <w:pPr>
      <w:keepNext/>
      <w:tabs>
        <w:tab w:val="left" w:pos="360"/>
      </w:tabs>
      <w:spacing w:before="0" w:after="0"/>
      <w:outlineLvl w:val="5"/>
    </w:pPr>
  </w:style>
  <w:style w:type="paragraph" w:customStyle="1" w:styleId="472">
    <w:name w:val="5级标题"/>
    <w:basedOn w:val="473"/>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5">
    <w:name w:val="Char2 Char Char"/>
    <w:basedOn w:val="1"/>
    <w:autoRedefine/>
    <w:qFormat/>
    <w:uiPriority w:val="0"/>
    <w:pPr>
      <w:adjustRightInd/>
    </w:pPr>
    <w:rPr>
      <w:rFonts w:ascii="Tahoma" w:hAnsi="Tahoma"/>
      <w:sz w:val="24"/>
      <w:szCs w:val="20"/>
    </w:rPr>
  </w:style>
  <w:style w:type="paragraph" w:customStyle="1" w:styleId="476">
    <w:name w:val="_Style 11"/>
    <w:basedOn w:val="1"/>
    <w:autoRedefine/>
    <w:qFormat/>
    <w:uiPriority w:val="34"/>
    <w:pPr>
      <w:adjustRightInd/>
      <w:ind w:firstLine="420" w:firstLineChars="200"/>
    </w:pPr>
    <w:rPr>
      <w:rFonts w:eastAsia="仿宋_GB2312"/>
      <w:sz w:val="28"/>
    </w:rPr>
  </w:style>
  <w:style w:type="paragraph" w:customStyle="1" w:styleId="477">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autoRedefine/>
    <w:qFormat/>
    <w:uiPriority w:val="0"/>
    <w:rPr>
      <w:rFonts w:ascii="Tahoma" w:hAnsi="Tahoma"/>
      <w:sz w:val="24"/>
      <w:szCs w:val="20"/>
    </w:rPr>
  </w:style>
  <w:style w:type="paragraph" w:customStyle="1" w:styleId="479">
    <w:name w:val="数字标题6"/>
    <w:basedOn w:val="10"/>
    <w:next w:val="1"/>
    <w:autoRedefine/>
    <w:qFormat/>
    <w:uiPriority w:val="0"/>
    <w:pPr>
      <w:tabs>
        <w:tab w:val="left" w:pos="1080"/>
      </w:tabs>
      <w:ind w:left="1080" w:hanging="1080"/>
    </w:pPr>
    <w:rPr>
      <w:rFonts w:ascii="Times New Roman" w:hAnsi="Times New Roman" w:eastAsia="宋体"/>
      <w:i/>
    </w:rPr>
  </w:style>
  <w:style w:type="paragraph" w:customStyle="1" w:styleId="480">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1">
    <w:name w:val="No Spacing"/>
    <w:basedOn w:val="1"/>
    <w:link w:val="931"/>
    <w:autoRedefine/>
    <w:qFormat/>
    <w:uiPriority w:val="99"/>
    <w:rPr>
      <w:szCs w:val="22"/>
    </w:rPr>
  </w:style>
  <w:style w:type="paragraph" w:customStyle="1" w:styleId="482">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autoRedefine/>
    <w:qFormat/>
    <w:uiPriority w:val="6"/>
    <w:rPr>
      <w:rFonts w:ascii="Tahoma" w:hAnsi="Tahoma" w:cs="仿宋_GB2312"/>
      <w:sz w:val="24"/>
      <w:szCs w:val="20"/>
    </w:rPr>
  </w:style>
  <w:style w:type="paragraph" w:customStyle="1" w:styleId="484">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autoRedefine/>
    <w:qFormat/>
    <w:uiPriority w:val="0"/>
    <w:pPr>
      <w:tabs>
        <w:tab w:val="left" w:pos="1260"/>
      </w:tabs>
      <w:ind w:left="1260" w:hanging="420"/>
    </w:pPr>
    <w:rPr>
      <w:rFonts w:ascii="Arial" w:hAnsi="Arial" w:eastAsia="黑体"/>
      <w:lang w:val="en-US"/>
    </w:rPr>
  </w:style>
  <w:style w:type="paragraph" w:customStyle="1" w:styleId="488">
    <w:name w:val="五级无标题条"/>
    <w:basedOn w:val="1"/>
    <w:autoRedefine/>
    <w:qFormat/>
    <w:uiPriority w:val="0"/>
    <w:pPr>
      <w:adjustRightInd/>
    </w:pPr>
  </w:style>
  <w:style w:type="paragraph" w:customStyle="1" w:styleId="489">
    <w:name w:val="Char5"/>
    <w:basedOn w:val="1"/>
    <w:autoRedefine/>
    <w:qFormat/>
    <w:uiPriority w:val="0"/>
    <w:rPr>
      <w:rFonts w:ascii="仿宋_GB2312" w:eastAsia="仿宋_GB2312"/>
      <w:b/>
      <w:sz w:val="32"/>
      <w:szCs w:val="32"/>
    </w:rPr>
  </w:style>
  <w:style w:type="paragraph" w:customStyle="1" w:styleId="490">
    <w:name w:val="TOC 标题1"/>
    <w:basedOn w:val="4"/>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autoRedefine/>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autoRedefine/>
    <w:qFormat/>
    <w:uiPriority w:val="0"/>
    <w:rPr>
      <w:rFonts w:ascii="仿宋_GB2312" w:eastAsia="仿宋_GB2312"/>
      <w:b/>
      <w:sz w:val="32"/>
      <w:szCs w:val="32"/>
    </w:rPr>
  </w:style>
  <w:style w:type="paragraph" w:customStyle="1" w:styleId="494">
    <w:name w:val="数字标题3"/>
    <w:basedOn w:val="6"/>
    <w:next w:val="1"/>
    <w:autoRedefine/>
    <w:qFormat/>
    <w:uiPriority w:val="0"/>
    <w:pPr>
      <w:spacing w:line="240" w:lineRule="auto"/>
    </w:pPr>
    <w:rPr>
      <w:sz w:val="28"/>
      <w:szCs w:val="28"/>
    </w:rPr>
  </w:style>
  <w:style w:type="paragraph" w:customStyle="1" w:styleId="495">
    <w:name w:val="FA正文"/>
    <w:basedOn w:val="1"/>
    <w:autoRedefine/>
    <w:qFormat/>
    <w:uiPriority w:val="0"/>
    <w:pPr>
      <w:spacing w:line="360" w:lineRule="auto"/>
      <w:ind w:firstLine="480" w:firstLineChars="200"/>
    </w:pPr>
    <w:rPr>
      <w:rFonts w:hAnsi="宋体"/>
      <w:sz w:val="24"/>
      <w:szCs w:val="20"/>
    </w:rPr>
  </w:style>
  <w:style w:type="paragraph" w:customStyle="1" w:styleId="496">
    <w:name w:val="MM Topic 5"/>
    <w:basedOn w:val="9"/>
    <w:autoRedefine/>
    <w:qFormat/>
    <w:uiPriority w:val="0"/>
    <w:pPr>
      <w:tabs>
        <w:tab w:val="left" w:pos="2520"/>
      </w:tabs>
      <w:adjustRightInd/>
      <w:ind w:left="2520" w:hanging="420"/>
    </w:pPr>
  </w:style>
  <w:style w:type="paragraph" w:customStyle="1" w:styleId="497">
    <w:name w:val="Char Char Char Char Char Char Char Char Char Char1"/>
    <w:basedOn w:val="1"/>
    <w:autoRedefine/>
    <w:qFormat/>
    <w:uiPriority w:val="0"/>
    <w:rPr>
      <w:rFonts w:ascii="仿宋_GB2312" w:eastAsia="仿宋_GB2312"/>
      <w:b/>
      <w:sz w:val="32"/>
      <w:szCs w:val="32"/>
    </w:rPr>
  </w:style>
  <w:style w:type="paragraph" w:customStyle="1" w:styleId="498">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autoRedefine/>
    <w:qFormat/>
    <w:uiPriority w:val="0"/>
    <w:rPr>
      <w:rFonts w:ascii="仿宋_GB2312" w:eastAsia="仿宋_GB2312"/>
      <w:b/>
      <w:sz w:val="32"/>
      <w:szCs w:val="32"/>
    </w:rPr>
  </w:style>
  <w:style w:type="paragraph" w:customStyle="1" w:styleId="501">
    <w:name w:val="Char2 Char Char Char1"/>
    <w:basedOn w:val="1"/>
    <w:autoRedefine/>
    <w:qFormat/>
    <w:uiPriority w:val="6"/>
    <w:rPr>
      <w:rFonts w:ascii="仿宋_GB2312" w:eastAsia="仿宋_GB2312"/>
      <w:b/>
      <w:sz w:val="32"/>
      <w:szCs w:val="32"/>
    </w:rPr>
  </w:style>
  <w:style w:type="paragraph" w:customStyle="1" w:styleId="502">
    <w:name w:val="默认段落样式"/>
    <w:basedOn w:val="130"/>
    <w:autoRedefine/>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4">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6"/>
    <w:autoRedefine/>
    <w:qFormat/>
    <w:uiPriority w:val="0"/>
    <w:pPr>
      <w:tabs>
        <w:tab w:val="left" w:pos="1680"/>
      </w:tabs>
      <w:adjustRightInd/>
      <w:ind w:left="1680" w:hanging="420"/>
    </w:pPr>
  </w:style>
  <w:style w:type="paragraph" w:customStyle="1" w:styleId="506">
    <w:name w:val="标准小四"/>
    <w:basedOn w:val="1"/>
    <w:autoRedefine/>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autoRedefine/>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autoRedefine/>
    <w:qFormat/>
    <w:uiPriority w:val="0"/>
    <w:pPr>
      <w:adjustRightInd/>
      <w:snapToGrid w:val="0"/>
      <w:spacing w:line="300" w:lineRule="auto"/>
    </w:pPr>
    <w:rPr>
      <w:rFonts w:eastAsia="仿宋"/>
      <w:szCs w:val="21"/>
    </w:rPr>
  </w:style>
  <w:style w:type="paragraph" w:customStyle="1" w:styleId="509">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autoRedefine/>
    <w:qFormat/>
    <w:uiPriority w:val="6"/>
    <w:pPr>
      <w:adjustRightInd/>
    </w:pPr>
    <w:rPr>
      <w:rFonts w:ascii="Tahoma" w:hAnsi="Tahoma"/>
      <w:sz w:val="24"/>
      <w:szCs w:val="20"/>
    </w:rPr>
  </w:style>
  <w:style w:type="paragraph" w:customStyle="1" w:styleId="511">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2">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7"/>
    <w:autoRedefine/>
    <w:qFormat/>
    <w:uiPriority w:val="0"/>
    <w:pPr>
      <w:adjustRightInd/>
      <w:ind w:firstLine="200" w:firstLineChars="200"/>
    </w:pPr>
    <w:rPr>
      <w:rFonts w:ascii="Arial" w:hAnsi="Arial"/>
      <w:spacing w:val="-5"/>
      <w:kern w:val="0"/>
      <w:sz w:val="24"/>
      <w:szCs w:val="20"/>
    </w:rPr>
  </w:style>
  <w:style w:type="paragraph" w:customStyle="1" w:styleId="514">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autoRedefine/>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18">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autoRedefine/>
    <w:qFormat/>
    <w:uiPriority w:val="0"/>
    <w:pPr>
      <w:adjustRightInd/>
      <w:ind w:firstLine="420" w:firstLineChars="200"/>
    </w:pPr>
    <w:rPr>
      <w:rFonts w:eastAsia="仿宋_GB2312"/>
      <w:sz w:val="28"/>
    </w:rPr>
  </w:style>
  <w:style w:type="paragraph" w:customStyle="1" w:styleId="520">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6"/>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autoRedefine/>
    <w:qFormat/>
    <w:uiPriority w:val="0"/>
    <w:pPr>
      <w:adjustRightInd/>
      <w:ind w:firstLine="200" w:firstLineChars="200"/>
      <w:jc w:val="right"/>
    </w:pPr>
  </w:style>
  <w:style w:type="paragraph" w:customStyle="1" w:styleId="523">
    <w:name w:val="Char Char11 Char Char Char Char Char Char Char Char Char"/>
    <w:basedOn w:val="1"/>
    <w:autoRedefine/>
    <w:qFormat/>
    <w:uiPriority w:val="0"/>
    <w:pPr>
      <w:spacing w:line="360" w:lineRule="auto"/>
    </w:pPr>
    <w:rPr>
      <w:szCs w:val="20"/>
    </w:rPr>
  </w:style>
  <w:style w:type="paragraph" w:customStyle="1" w:styleId="524">
    <w:name w:val="正文1.25"/>
    <w:basedOn w:val="1"/>
    <w:autoRedefine/>
    <w:qFormat/>
    <w:uiPriority w:val="0"/>
    <w:pPr>
      <w:adjustRightInd/>
      <w:spacing w:line="300" w:lineRule="auto"/>
      <w:ind w:firstLine="480" w:firstLineChars="200"/>
    </w:pPr>
    <w:rPr>
      <w:sz w:val="24"/>
      <w:szCs w:val="20"/>
    </w:rPr>
  </w:style>
  <w:style w:type="paragraph" w:customStyle="1" w:styleId="525">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autoRedefine/>
    <w:qFormat/>
    <w:uiPriority w:val="6"/>
    <w:rPr>
      <w:rFonts w:ascii="仿宋_GB2312" w:eastAsia="仿宋_GB2312"/>
      <w:b/>
      <w:sz w:val="32"/>
      <w:szCs w:val="20"/>
    </w:rPr>
  </w:style>
  <w:style w:type="paragraph" w:customStyle="1" w:styleId="529">
    <w:name w:val="列出段落2"/>
    <w:basedOn w:val="1"/>
    <w:autoRedefine/>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autoRedefine/>
    <w:qFormat/>
    <w:uiPriority w:val="0"/>
    <w:rPr>
      <w:rFonts w:eastAsia="仿宋_GB2312"/>
      <w:sz w:val="28"/>
      <w:szCs w:val="20"/>
    </w:rPr>
  </w:style>
  <w:style w:type="paragraph" w:customStyle="1" w:styleId="531">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8"/>
    <w:autoRedefine/>
    <w:qFormat/>
    <w:uiPriority w:val="0"/>
    <w:pPr>
      <w:widowControl/>
      <w:jc w:val="left"/>
    </w:pPr>
    <w:rPr>
      <w:rFonts w:cs="宋体"/>
      <w:sz w:val="24"/>
      <w:szCs w:val="20"/>
    </w:rPr>
  </w:style>
  <w:style w:type="paragraph" w:customStyle="1" w:styleId="533">
    <w:name w:val="彩色列表 - 强调文字颜色 11"/>
    <w:basedOn w:val="1"/>
    <w:autoRedefine/>
    <w:qFormat/>
    <w:uiPriority w:val="0"/>
    <w:pPr>
      <w:adjustRightInd/>
      <w:ind w:firstLine="420" w:firstLineChars="200"/>
    </w:pPr>
    <w:rPr>
      <w:rFonts w:ascii="Calibri" w:hAnsi="Calibri"/>
      <w:szCs w:val="22"/>
    </w:rPr>
  </w:style>
  <w:style w:type="paragraph" w:customStyle="1" w:styleId="534">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autoRedefine/>
    <w:qFormat/>
    <w:uiPriority w:val="6"/>
    <w:rPr>
      <w:szCs w:val="20"/>
    </w:rPr>
  </w:style>
  <w:style w:type="paragraph" w:customStyle="1" w:styleId="538">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autoRedefine/>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autoRedefine/>
    <w:qFormat/>
    <w:uiPriority w:val="0"/>
    <w:pPr>
      <w:spacing w:after="68"/>
    </w:pPr>
    <w:rPr>
      <w:rFonts w:ascii="FHLHE E+ Futura Bk" w:eastAsia="FHLHE E+ Futura Bk" w:cs="Times New Roman"/>
      <w:color w:val="auto"/>
    </w:rPr>
  </w:style>
  <w:style w:type="paragraph" w:customStyle="1" w:styleId="544">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autoRedefine/>
    <w:qFormat/>
    <w:uiPriority w:val="0"/>
    <w:rPr>
      <w:rFonts w:ascii="宋体" w:eastAsia="宋体" w:cs="Times New Roman"/>
      <w:color w:val="auto"/>
    </w:rPr>
  </w:style>
  <w:style w:type="paragraph" w:customStyle="1" w:styleId="548">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autoRedefine/>
    <w:qFormat/>
    <w:uiPriority w:val="0"/>
    <w:rPr>
      <w:rFonts w:ascii="仿宋_GB2312" w:eastAsia="仿宋_GB2312"/>
      <w:b/>
      <w:sz w:val="32"/>
      <w:szCs w:val="32"/>
    </w:rPr>
  </w:style>
  <w:style w:type="paragraph" w:customStyle="1" w:styleId="550">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autoRedefine/>
    <w:qFormat/>
    <w:uiPriority w:val="0"/>
    <w:pPr>
      <w:spacing w:line="360" w:lineRule="auto"/>
    </w:pPr>
    <w:rPr>
      <w:szCs w:val="20"/>
    </w:rPr>
  </w:style>
  <w:style w:type="paragraph" w:customStyle="1" w:styleId="553">
    <w:name w:val="Char"/>
    <w:basedOn w:val="1"/>
    <w:autoRedefine/>
    <w:qFormat/>
    <w:uiPriority w:val="0"/>
    <w:rPr>
      <w:rFonts w:ascii="仿宋_GB2312" w:eastAsia="仿宋_GB2312"/>
      <w:b/>
      <w:sz w:val="32"/>
      <w:szCs w:val="32"/>
    </w:rPr>
  </w:style>
  <w:style w:type="paragraph" w:customStyle="1" w:styleId="554">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autoRedefine/>
    <w:qFormat/>
    <w:uiPriority w:val="0"/>
    <w:rPr>
      <w:szCs w:val="20"/>
    </w:rPr>
  </w:style>
  <w:style w:type="paragraph" w:customStyle="1" w:styleId="557">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58">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0">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7"/>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autoRedefine/>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2">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3">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3"/>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autoRedefine/>
    <w:qFormat/>
    <w:uiPriority w:val="0"/>
    <w:rPr>
      <w:szCs w:val="20"/>
    </w:rPr>
  </w:style>
  <w:style w:type="paragraph" w:customStyle="1" w:styleId="580">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autoRedefine/>
    <w:qFormat/>
    <w:uiPriority w:val="0"/>
    <w:rPr>
      <w:rFonts w:ascii="Tahoma" w:hAnsi="Tahoma"/>
      <w:sz w:val="24"/>
      <w:szCs w:val="20"/>
    </w:rPr>
  </w:style>
  <w:style w:type="paragraph" w:customStyle="1" w:styleId="582">
    <w:name w:val="标题五"/>
    <w:basedOn w:val="1"/>
    <w:autoRedefine/>
    <w:qFormat/>
    <w:uiPriority w:val="0"/>
    <w:pPr>
      <w:adjustRightInd/>
      <w:spacing w:before="156" w:beforeLines="50" w:line="360" w:lineRule="auto"/>
    </w:pPr>
    <w:rPr>
      <w:b/>
      <w:sz w:val="24"/>
    </w:rPr>
  </w:style>
  <w:style w:type="paragraph" w:customStyle="1" w:styleId="583">
    <w:name w:val="Char Char1101"/>
    <w:basedOn w:val="1"/>
    <w:autoRedefine/>
    <w:qFormat/>
    <w:uiPriority w:val="0"/>
    <w:pPr>
      <w:spacing w:line="360" w:lineRule="auto"/>
    </w:pPr>
    <w:rPr>
      <w:rFonts w:ascii="Tahoma" w:hAnsi="Tahoma"/>
      <w:sz w:val="24"/>
      <w:szCs w:val="20"/>
    </w:rPr>
  </w:style>
  <w:style w:type="paragraph" w:customStyle="1" w:styleId="584">
    <w:name w:val="Char Char Char Char Char Char Char Char1"/>
    <w:basedOn w:val="1"/>
    <w:autoRedefine/>
    <w:qFormat/>
    <w:uiPriority w:val="0"/>
    <w:pPr>
      <w:tabs>
        <w:tab w:val="left" w:pos="360"/>
      </w:tabs>
    </w:pPr>
    <w:rPr>
      <w:sz w:val="24"/>
      <w:szCs w:val="20"/>
    </w:rPr>
  </w:style>
  <w:style w:type="paragraph" w:customStyle="1" w:styleId="585">
    <w:name w:val="Char Char Char 字元 字元"/>
    <w:basedOn w:val="1"/>
    <w:autoRedefine/>
    <w:qFormat/>
    <w:uiPriority w:val="0"/>
    <w:pPr>
      <w:adjustRightInd/>
      <w:spacing w:line="360" w:lineRule="auto"/>
      <w:ind w:firstLine="200" w:firstLineChars="200"/>
    </w:pPr>
    <w:rPr>
      <w:szCs w:val="20"/>
    </w:rPr>
  </w:style>
  <w:style w:type="paragraph" w:customStyle="1" w:styleId="586">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autoRedefine/>
    <w:qFormat/>
    <w:uiPriority w:val="0"/>
    <w:rPr>
      <w:rFonts w:ascii="仿宋_GB2312" w:eastAsia="仿宋_GB2312"/>
      <w:b/>
      <w:sz w:val="32"/>
      <w:szCs w:val="32"/>
    </w:rPr>
  </w:style>
  <w:style w:type="paragraph" w:customStyle="1" w:styleId="588">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autoRedefine/>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5"/>
    <w:autoRedefine/>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autoRedefine/>
    <w:qFormat/>
    <w:uiPriority w:val="0"/>
    <w:pPr>
      <w:adjustRightInd/>
    </w:pPr>
    <w:rPr>
      <w:sz w:val="18"/>
      <w:szCs w:val="20"/>
    </w:rPr>
  </w:style>
  <w:style w:type="paragraph" w:customStyle="1" w:styleId="593">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598">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3"/>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autoRedefine/>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7"/>
    <w:autoRedefine/>
    <w:qFormat/>
    <w:uiPriority w:val="0"/>
    <w:pPr>
      <w:snapToGrid w:val="0"/>
      <w:spacing w:line="360" w:lineRule="auto"/>
    </w:pPr>
    <w:rPr>
      <w:rFonts w:ascii="宋体"/>
      <w:b/>
      <w:sz w:val="24"/>
      <w:szCs w:val="20"/>
    </w:rPr>
  </w:style>
  <w:style w:type="paragraph" w:customStyle="1" w:styleId="603">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6"/>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autoRedefine/>
    <w:qFormat/>
    <w:uiPriority w:val="7"/>
    <w:pPr>
      <w:adjustRightInd/>
    </w:pPr>
    <w:rPr>
      <w:rFonts w:ascii="宋体" w:hAnsi="Courier New"/>
    </w:rPr>
  </w:style>
  <w:style w:type="paragraph" w:customStyle="1" w:styleId="606">
    <w:name w:val="Char3"/>
    <w:basedOn w:val="1"/>
    <w:autoRedefine/>
    <w:qFormat/>
    <w:uiPriority w:val="0"/>
    <w:pPr>
      <w:adjustRightInd/>
    </w:pPr>
    <w:rPr>
      <w:rFonts w:ascii="仿宋_GB2312" w:eastAsia="仿宋_GB2312"/>
      <w:b/>
      <w:sz w:val="32"/>
      <w:szCs w:val="32"/>
    </w:rPr>
  </w:style>
  <w:style w:type="paragraph" w:customStyle="1" w:styleId="607">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6"/>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autoRedefine/>
    <w:qFormat/>
    <w:uiPriority w:val="0"/>
    <w:pPr>
      <w:widowControl/>
      <w:adjustRightInd/>
      <w:spacing w:after="160" w:line="240" w:lineRule="exact"/>
      <w:jc w:val="left"/>
    </w:pPr>
    <w:rPr>
      <w:szCs w:val="20"/>
    </w:rPr>
  </w:style>
  <w:style w:type="paragraph" w:customStyle="1" w:styleId="615">
    <w:name w:val="表格标题2"/>
    <w:basedOn w:val="616"/>
    <w:autoRedefine/>
    <w:qFormat/>
    <w:uiPriority w:val="0"/>
    <w:rPr>
      <w:b/>
    </w:rPr>
  </w:style>
  <w:style w:type="paragraph" w:customStyle="1" w:styleId="616">
    <w:name w:val="表格内文"/>
    <w:basedOn w:val="1"/>
    <w:autoRedefine/>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autoRedefine/>
    <w:qFormat/>
    <w:uiPriority w:val="0"/>
    <w:rPr>
      <w:rFonts w:ascii="仿宋_GB2312" w:eastAsia="仿宋_GB2312"/>
      <w:b/>
      <w:sz w:val="32"/>
      <w:szCs w:val="32"/>
    </w:rPr>
  </w:style>
  <w:style w:type="paragraph" w:customStyle="1" w:styleId="618">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autoRedefine/>
    <w:qFormat/>
    <w:uiPriority w:val="0"/>
    <w:pPr>
      <w:spacing w:line="360" w:lineRule="auto"/>
    </w:pPr>
    <w:rPr>
      <w:szCs w:val="20"/>
    </w:rPr>
  </w:style>
  <w:style w:type="paragraph" w:customStyle="1" w:styleId="621">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3">
    <w:name w:val="MM Topic 1"/>
    <w:basedOn w:val="4"/>
    <w:autoRedefine/>
    <w:qFormat/>
    <w:uiPriority w:val="0"/>
    <w:pPr>
      <w:tabs>
        <w:tab w:val="left" w:pos="840"/>
      </w:tabs>
      <w:adjustRightInd/>
      <w:ind w:left="840" w:hanging="420"/>
    </w:pPr>
  </w:style>
  <w:style w:type="paragraph" w:customStyle="1" w:styleId="624">
    <w:name w:val="样式 标题 2标题2H2Heading 2 HiddenHeading 2 CCBSheading 22nd lev..."/>
    <w:basedOn w:val="5"/>
    <w:autoRedefine/>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autoRedefine/>
    <w:qFormat/>
    <w:uiPriority w:val="0"/>
    <w:pPr>
      <w:spacing w:line="360" w:lineRule="auto"/>
      <w:ind w:firstLine="200" w:firstLineChars="200"/>
    </w:pPr>
    <w:rPr>
      <w:kern w:val="0"/>
      <w:sz w:val="24"/>
      <w:szCs w:val="20"/>
    </w:rPr>
  </w:style>
  <w:style w:type="paragraph" w:customStyle="1" w:styleId="626">
    <w:name w:val="表格"/>
    <w:basedOn w:val="1"/>
    <w:autoRedefine/>
    <w:qFormat/>
    <w:uiPriority w:val="0"/>
    <w:pPr>
      <w:snapToGrid w:val="0"/>
      <w:ind w:firstLine="42" w:firstLineChars="21"/>
    </w:pPr>
    <w:rPr>
      <w:rFonts w:ascii="宋体" w:hAnsi="宋体"/>
      <w:kern w:val="0"/>
      <w:sz w:val="20"/>
      <w:szCs w:val="20"/>
    </w:rPr>
  </w:style>
  <w:style w:type="paragraph" w:customStyle="1" w:styleId="627">
    <w:name w:val="标书标题4"/>
    <w:basedOn w:val="8"/>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1"/>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autoRedefine/>
    <w:qFormat/>
    <w:uiPriority w:val="0"/>
    <w:pPr>
      <w:adjustRightInd/>
      <w:spacing w:line="300" w:lineRule="auto"/>
      <w:jc w:val="center"/>
    </w:pPr>
  </w:style>
  <w:style w:type="paragraph" w:customStyle="1" w:styleId="632">
    <w:name w:val="_Style 6"/>
    <w:basedOn w:val="1"/>
    <w:autoRedefine/>
    <w:qFormat/>
    <w:uiPriority w:val="34"/>
    <w:pPr>
      <w:adjustRightInd/>
      <w:ind w:firstLine="420" w:firstLineChars="200"/>
    </w:pPr>
    <w:rPr>
      <w:rFonts w:eastAsia="仿宋_GB2312"/>
      <w:sz w:val="28"/>
    </w:rPr>
  </w:style>
  <w:style w:type="paragraph" w:customStyle="1" w:styleId="633">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autoRedefine/>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autoRedefine/>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autoRedefine/>
    <w:qFormat/>
    <w:uiPriority w:val="0"/>
    <w:rPr>
      <w:rFonts w:ascii="仿宋_GB2312" w:eastAsia="仿宋_GB2312"/>
      <w:b/>
      <w:sz w:val="32"/>
      <w:szCs w:val="20"/>
    </w:rPr>
  </w:style>
  <w:style w:type="paragraph" w:customStyle="1" w:styleId="643">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autoRedefine/>
    <w:qFormat/>
    <w:uiPriority w:val="0"/>
    <w:pPr>
      <w:adjustRightInd/>
      <w:ind w:firstLine="200" w:firstLineChars="200"/>
    </w:pPr>
    <w:rPr>
      <w:rFonts w:ascii="Tahoma" w:hAnsi="Tahoma"/>
      <w:sz w:val="24"/>
      <w:szCs w:val="20"/>
    </w:rPr>
  </w:style>
  <w:style w:type="paragraph" w:customStyle="1" w:styleId="645">
    <w:name w:val="a1"/>
    <w:basedOn w:val="1"/>
    <w:autoRedefine/>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autoRedefine/>
    <w:qFormat/>
    <w:uiPriority w:val="0"/>
    <w:pPr>
      <w:spacing w:after="156" w:afterLines="50"/>
      <w:jc w:val="left"/>
      <w:outlineLvl w:val="3"/>
    </w:pPr>
    <w:rPr>
      <w:sz w:val="24"/>
      <w:szCs w:val="24"/>
    </w:rPr>
  </w:style>
  <w:style w:type="paragraph" w:customStyle="1" w:styleId="647">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autoRedefine/>
    <w:qFormat/>
    <w:uiPriority w:val="0"/>
    <w:pPr>
      <w:adjustRightInd/>
    </w:pPr>
    <w:rPr>
      <w:rFonts w:ascii="Tahoma" w:hAnsi="Tahoma"/>
      <w:sz w:val="24"/>
      <w:szCs w:val="20"/>
    </w:rPr>
  </w:style>
  <w:style w:type="paragraph" w:customStyle="1" w:styleId="652">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autoRedefine/>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autoRedefine/>
    <w:qFormat/>
    <w:uiPriority w:val="0"/>
    <w:pPr>
      <w:tabs>
        <w:tab w:val="left" w:pos="1260"/>
        <w:tab w:val="left" w:pos="1680"/>
        <w:tab w:val="left" w:pos="2100"/>
      </w:tabs>
      <w:ind w:left="0"/>
      <w:outlineLvl w:val="3"/>
    </w:pPr>
  </w:style>
  <w:style w:type="paragraph" w:customStyle="1" w:styleId="655">
    <w:name w:val="一级条标题"/>
    <w:basedOn w:val="656"/>
    <w:next w:val="638"/>
    <w:autoRedefine/>
    <w:qFormat/>
    <w:uiPriority w:val="0"/>
    <w:pPr>
      <w:tabs>
        <w:tab w:val="left" w:pos="1260"/>
        <w:tab w:val="left" w:pos="1680"/>
      </w:tabs>
      <w:spacing w:before="0" w:beforeLines="0" w:after="0" w:afterLines="0"/>
      <w:ind w:left="1680"/>
      <w:outlineLvl w:val="2"/>
    </w:pPr>
  </w:style>
  <w:style w:type="paragraph" w:customStyle="1" w:styleId="656">
    <w:name w:val="章标题"/>
    <w:next w:val="638"/>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autoRedefine/>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autoRedefine/>
    <w:qFormat/>
    <w:uiPriority w:val="0"/>
    <w:pPr>
      <w:tabs>
        <w:tab w:val="left" w:pos="840"/>
      </w:tabs>
      <w:spacing w:after="0"/>
      <w:ind w:left="900"/>
    </w:pPr>
  </w:style>
  <w:style w:type="paragraph" w:customStyle="1" w:styleId="664">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autoRedefine/>
    <w:qFormat/>
    <w:uiPriority w:val="6"/>
    <w:pPr>
      <w:widowControl/>
      <w:adjustRightInd/>
      <w:ind w:left="720" w:hanging="720"/>
    </w:pPr>
    <w:rPr>
      <w:color w:val="000000"/>
      <w:kern w:val="0"/>
      <w:sz w:val="24"/>
      <w:szCs w:val="20"/>
      <w:lang w:val="en-GB"/>
    </w:rPr>
  </w:style>
  <w:style w:type="paragraph" w:customStyle="1" w:styleId="666">
    <w:name w:val="表1"/>
    <w:basedOn w:val="1"/>
    <w:autoRedefine/>
    <w:qFormat/>
    <w:uiPriority w:val="0"/>
    <w:pPr>
      <w:tabs>
        <w:tab w:val="left" w:pos="703"/>
      </w:tabs>
      <w:adjustRightInd/>
      <w:spacing w:line="360" w:lineRule="auto"/>
      <w:ind w:left="703"/>
      <w:jc w:val="center"/>
    </w:pPr>
  </w:style>
  <w:style w:type="paragraph" w:customStyle="1" w:styleId="667">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autoRedefine/>
    <w:qFormat/>
    <w:uiPriority w:val="0"/>
    <w:pPr>
      <w:jc w:val="left"/>
      <w:outlineLvl w:val="1"/>
    </w:pPr>
    <w:rPr>
      <w:rFonts w:ascii="Times New Roman" w:hAnsi="Times New Roman" w:eastAsia="仿宋"/>
      <w:sz w:val="30"/>
    </w:rPr>
  </w:style>
  <w:style w:type="paragraph" w:customStyle="1" w:styleId="671">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autoRedefine/>
    <w:qFormat/>
    <w:uiPriority w:val="0"/>
    <w:pPr>
      <w:tabs>
        <w:tab w:val="left" w:pos="840"/>
      </w:tabs>
      <w:adjustRightInd/>
      <w:ind w:left="840" w:hanging="420"/>
    </w:pPr>
  </w:style>
  <w:style w:type="paragraph" w:customStyle="1" w:styleId="677">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8"/>
    <w:autoRedefine/>
    <w:qFormat/>
    <w:uiPriority w:val="0"/>
    <w:pPr>
      <w:tabs>
        <w:tab w:val="left" w:pos="2100"/>
      </w:tabs>
      <w:adjustRightInd/>
      <w:ind w:left="2100" w:hanging="420"/>
    </w:pPr>
    <w:rPr>
      <w:lang w:val="en-US"/>
    </w:rPr>
  </w:style>
  <w:style w:type="paragraph" w:customStyle="1" w:styleId="685">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autoRedefine/>
    <w:qFormat/>
    <w:uiPriority w:val="6"/>
    <w:pPr>
      <w:spacing w:line="360" w:lineRule="auto"/>
    </w:pPr>
    <w:rPr>
      <w:szCs w:val="20"/>
    </w:rPr>
  </w:style>
  <w:style w:type="paragraph" w:customStyle="1" w:styleId="688">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5"/>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4">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autoRedefine/>
    <w:qFormat/>
    <w:uiPriority w:val="0"/>
    <w:pPr>
      <w:adjustRightInd/>
      <w:spacing w:line="360" w:lineRule="auto"/>
      <w:jc w:val="center"/>
    </w:pPr>
    <w:rPr>
      <w:sz w:val="24"/>
    </w:rPr>
  </w:style>
  <w:style w:type="paragraph" w:customStyle="1" w:styleId="698">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autoRedefine/>
    <w:qFormat/>
    <w:uiPriority w:val="6"/>
    <w:rPr>
      <w:rFonts w:ascii="仿宋_GB2312" w:eastAsia="仿宋_GB2312"/>
      <w:b/>
      <w:sz w:val="32"/>
      <w:szCs w:val="32"/>
    </w:rPr>
  </w:style>
  <w:style w:type="paragraph" w:customStyle="1" w:styleId="700">
    <w:name w:val="正文缩进1"/>
    <w:basedOn w:val="1"/>
    <w:next w:val="3"/>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autoRedefine/>
    <w:qFormat/>
    <w:uiPriority w:val="0"/>
    <w:pPr>
      <w:widowControl/>
      <w:adjustRightInd/>
      <w:spacing w:after="160" w:line="240" w:lineRule="exact"/>
      <w:jc w:val="left"/>
    </w:pPr>
    <w:rPr>
      <w:szCs w:val="20"/>
    </w:rPr>
  </w:style>
  <w:style w:type="paragraph" w:customStyle="1" w:styleId="703">
    <w:name w:val="Char Char1121"/>
    <w:basedOn w:val="1"/>
    <w:autoRedefine/>
    <w:qFormat/>
    <w:uiPriority w:val="0"/>
    <w:pPr>
      <w:spacing w:line="360" w:lineRule="auto"/>
    </w:pPr>
    <w:rPr>
      <w:szCs w:val="20"/>
    </w:rPr>
  </w:style>
  <w:style w:type="paragraph" w:customStyle="1" w:styleId="704">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autoRedefine/>
    <w:qFormat/>
    <w:uiPriority w:val="0"/>
    <w:rPr>
      <w:rFonts w:ascii="Times New Roman" w:hAnsi="Times New Roman" w:eastAsia="宋体" w:cs="Times New Roman"/>
      <w:lang w:val="en-US" w:eastAsia="en-US" w:bidi="ar-SA"/>
    </w:rPr>
  </w:style>
  <w:style w:type="paragraph" w:customStyle="1" w:styleId="707">
    <w:name w:val="带编号样式"/>
    <w:basedOn w:val="625"/>
    <w:autoRedefine/>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1">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autoRedefine/>
    <w:qFormat/>
    <w:uiPriority w:val="0"/>
    <w:pPr>
      <w:spacing w:line="240" w:lineRule="atLeast"/>
      <w:ind w:left="420" w:firstLine="420"/>
    </w:pPr>
    <w:rPr>
      <w:sz w:val="24"/>
    </w:rPr>
  </w:style>
  <w:style w:type="paragraph" w:customStyle="1" w:styleId="714">
    <w:name w:val="WW-正文文字缩进 2"/>
    <w:basedOn w:val="1"/>
    <w:autoRedefine/>
    <w:qFormat/>
    <w:uiPriority w:val="0"/>
    <w:pPr>
      <w:suppressAutoHyphens/>
      <w:adjustRightInd/>
      <w:ind w:firstLine="420"/>
    </w:pPr>
    <w:rPr>
      <w:kern w:val="1"/>
      <w:szCs w:val="20"/>
    </w:rPr>
  </w:style>
  <w:style w:type="paragraph" w:customStyle="1" w:styleId="715">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autoRedefine/>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autoRedefine/>
    <w:qFormat/>
    <w:uiPriority w:val="0"/>
    <w:pPr>
      <w:adjustRightInd/>
      <w:spacing w:line="400" w:lineRule="exact"/>
      <w:ind w:firstLine="200" w:firstLineChars="200"/>
    </w:pPr>
    <w:rPr>
      <w:rFonts w:ascii="Arial" w:hAnsi="Arial"/>
    </w:rPr>
  </w:style>
  <w:style w:type="paragraph" w:customStyle="1" w:styleId="718">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9"/>
    <w:autoRedefine/>
    <w:qFormat/>
    <w:uiPriority w:val="0"/>
    <w:pPr>
      <w:spacing w:after="120" w:line="480" w:lineRule="auto"/>
      <w:ind w:left="420" w:leftChars="200"/>
    </w:pPr>
    <w:rPr>
      <w:sz w:val="24"/>
      <w:szCs w:val="20"/>
    </w:rPr>
  </w:style>
  <w:style w:type="paragraph" w:customStyle="1" w:styleId="721">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autoRedefine/>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5">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autoRedefine/>
    <w:qFormat/>
    <w:uiPriority w:val="0"/>
    <w:rPr>
      <w:rFonts w:ascii="仿宋_GB2312" w:eastAsia="仿宋_GB2312"/>
      <w:b/>
      <w:sz w:val="32"/>
      <w:szCs w:val="20"/>
    </w:rPr>
  </w:style>
  <w:style w:type="paragraph" w:customStyle="1" w:styleId="730">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autoRedefine/>
    <w:qFormat/>
    <w:uiPriority w:val="0"/>
    <w:rPr>
      <w:rFonts w:ascii="仿宋_GB2312" w:eastAsia="仿宋_GB2312"/>
      <w:b/>
      <w:sz w:val="32"/>
      <w:szCs w:val="32"/>
    </w:rPr>
  </w:style>
  <w:style w:type="paragraph" w:customStyle="1" w:styleId="734">
    <w:name w:val="Char3 Char Char Char1"/>
    <w:basedOn w:val="1"/>
    <w:autoRedefine/>
    <w:qFormat/>
    <w:uiPriority w:val="6"/>
    <w:pPr>
      <w:widowControl/>
      <w:adjustRightInd/>
      <w:spacing w:after="160" w:line="240" w:lineRule="exact"/>
      <w:jc w:val="left"/>
    </w:pPr>
    <w:rPr>
      <w:szCs w:val="20"/>
    </w:rPr>
  </w:style>
  <w:style w:type="paragraph" w:customStyle="1" w:styleId="735">
    <w:name w:val="Char1 Char Char Char21"/>
    <w:basedOn w:val="1"/>
    <w:autoRedefine/>
    <w:qFormat/>
    <w:uiPriority w:val="0"/>
    <w:rPr>
      <w:rFonts w:ascii="Tahoma" w:hAnsi="Tahoma"/>
      <w:sz w:val="24"/>
      <w:szCs w:val="20"/>
    </w:rPr>
  </w:style>
  <w:style w:type="paragraph" w:customStyle="1" w:styleId="736">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autoRedefine/>
    <w:qFormat/>
    <w:uiPriority w:val="0"/>
    <w:pPr>
      <w:spacing w:line="360" w:lineRule="auto"/>
      <w:ind w:firstLine="200" w:firstLineChars="200"/>
    </w:pPr>
    <w:rPr>
      <w:sz w:val="24"/>
    </w:rPr>
  </w:style>
  <w:style w:type="paragraph" w:customStyle="1" w:styleId="738">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autoRedefine/>
    <w:qFormat/>
    <w:uiPriority w:val="0"/>
    <w:pPr>
      <w:adjustRightInd/>
      <w:ind w:firstLine="200" w:firstLineChars="200"/>
    </w:pPr>
    <w:rPr>
      <w:rFonts w:ascii="Tahoma" w:hAnsi="Tahoma"/>
      <w:sz w:val="24"/>
      <w:szCs w:val="20"/>
    </w:rPr>
  </w:style>
  <w:style w:type="paragraph" w:customStyle="1" w:styleId="744">
    <w:name w:val="_标题2"/>
    <w:basedOn w:val="711"/>
    <w:next w:val="711"/>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autoRedefine/>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autoRedefine/>
    <w:qFormat/>
    <w:uiPriority w:val="0"/>
    <w:pPr>
      <w:adjustRightInd/>
      <w:spacing w:line="360" w:lineRule="auto"/>
    </w:pPr>
    <w:rPr>
      <w:rFonts w:ascii="宋体" w:hAnsi="宋体"/>
      <w:szCs w:val="20"/>
    </w:rPr>
  </w:style>
  <w:style w:type="paragraph" w:customStyle="1" w:styleId="750">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autoRedefine/>
    <w:qFormat/>
    <w:uiPriority w:val="0"/>
    <w:pPr>
      <w:adjustRightInd/>
    </w:pPr>
    <w:rPr>
      <w:rFonts w:ascii="Tahoma" w:hAnsi="Tahoma"/>
      <w:sz w:val="24"/>
    </w:rPr>
  </w:style>
  <w:style w:type="paragraph" w:customStyle="1" w:styleId="752">
    <w:name w:val="Char Char Char Char11"/>
    <w:basedOn w:val="1"/>
    <w:autoRedefine/>
    <w:qFormat/>
    <w:uiPriority w:val="0"/>
    <w:rPr>
      <w:rFonts w:ascii="Tahoma" w:hAnsi="Tahoma"/>
      <w:sz w:val="24"/>
      <w:szCs w:val="20"/>
    </w:rPr>
  </w:style>
  <w:style w:type="paragraph" w:customStyle="1" w:styleId="753">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autoRedefine/>
    <w:qFormat/>
    <w:uiPriority w:val="0"/>
    <w:rPr>
      <w:rFonts w:ascii="Tahoma" w:hAnsi="Tahoma"/>
      <w:sz w:val="24"/>
      <w:szCs w:val="20"/>
    </w:rPr>
  </w:style>
  <w:style w:type="paragraph" w:customStyle="1" w:styleId="755">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autoRedefine/>
    <w:qFormat/>
    <w:uiPriority w:val="0"/>
    <w:pPr>
      <w:adjustRightInd/>
    </w:pPr>
    <w:rPr>
      <w:szCs w:val="20"/>
    </w:rPr>
  </w:style>
  <w:style w:type="paragraph" w:customStyle="1" w:styleId="757">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autoRedefine/>
    <w:qFormat/>
    <w:uiPriority w:val="34"/>
    <w:pPr>
      <w:adjustRightInd/>
      <w:ind w:firstLine="420" w:firstLineChars="200"/>
    </w:pPr>
    <w:rPr>
      <w:rFonts w:eastAsia="仿宋_GB2312"/>
      <w:sz w:val="28"/>
    </w:rPr>
  </w:style>
  <w:style w:type="paragraph" w:customStyle="1" w:styleId="760">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autoRedefine/>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autoRedefine/>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5"/>
    <w:autoRedefine/>
    <w:qFormat/>
    <w:uiPriority w:val="0"/>
    <w:pPr>
      <w:autoSpaceDE/>
      <w:autoSpaceDN/>
      <w:snapToGrid w:val="0"/>
      <w:ind w:firstLine="480" w:firstLineChars="200"/>
    </w:pPr>
    <w:rPr>
      <w:rFonts w:ascii="Times New Roman"/>
      <w:szCs w:val="24"/>
      <w:lang w:val="en-US"/>
    </w:rPr>
  </w:style>
  <w:style w:type="paragraph" w:customStyle="1" w:styleId="768">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autoRedefine/>
    <w:qFormat/>
    <w:uiPriority w:val="0"/>
    <w:rPr>
      <w:rFonts w:ascii="宋体" w:hAnsi="Times New Roman" w:eastAsia="宋体" w:cs="Times New Roman"/>
      <w:kern w:val="2"/>
      <w:lang w:val="en-US" w:eastAsia="zh-CN" w:bidi="ar-SA"/>
    </w:rPr>
  </w:style>
  <w:style w:type="paragraph" w:customStyle="1" w:styleId="770">
    <w:name w:val="MM Title"/>
    <w:basedOn w:val="60"/>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autoRedefine/>
    <w:qFormat/>
    <w:uiPriority w:val="0"/>
    <w:pPr>
      <w:tabs>
        <w:tab w:val="left" w:pos="360"/>
      </w:tabs>
    </w:pPr>
    <w:rPr>
      <w:sz w:val="24"/>
      <w:szCs w:val="20"/>
    </w:rPr>
  </w:style>
  <w:style w:type="paragraph" w:customStyle="1" w:styleId="774">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3"/>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7"/>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autoRedefine/>
    <w:qFormat/>
    <w:uiPriority w:val="0"/>
    <w:pPr>
      <w:widowControl/>
      <w:adjustRightInd/>
    </w:pPr>
    <w:rPr>
      <w:kern w:val="0"/>
      <w:szCs w:val="21"/>
    </w:rPr>
  </w:style>
  <w:style w:type="paragraph" w:customStyle="1" w:styleId="783">
    <w:name w:val="Char6"/>
    <w:basedOn w:val="1"/>
    <w:autoRedefine/>
    <w:qFormat/>
    <w:uiPriority w:val="0"/>
    <w:rPr>
      <w:rFonts w:ascii="仿宋_GB2312" w:eastAsia="仿宋_GB2312"/>
      <w:b/>
      <w:sz w:val="32"/>
      <w:szCs w:val="32"/>
    </w:rPr>
  </w:style>
  <w:style w:type="paragraph" w:customStyle="1" w:styleId="784">
    <w:name w:val="Char111"/>
    <w:basedOn w:val="1"/>
    <w:autoRedefine/>
    <w:qFormat/>
    <w:uiPriority w:val="0"/>
    <w:rPr>
      <w:rFonts w:ascii="仿宋_GB2312" w:eastAsia="仿宋_GB2312"/>
      <w:b/>
      <w:sz w:val="32"/>
      <w:szCs w:val="32"/>
    </w:rPr>
  </w:style>
  <w:style w:type="paragraph" w:customStyle="1" w:styleId="785">
    <w:name w:val="标题3"/>
    <w:basedOn w:val="6"/>
    <w:next w:val="54"/>
    <w:autoRedefine/>
    <w:qFormat/>
    <w:uiPriority w:val="0"/>
    <w:pPr>
      <w:tabs>
        <w:tab w:val="clear" w:pos="900"/>
      </w:tabs>
      <w:spacing w:after="0" w:line="360" w:lineRule="auto"/>
    </w:pPr>
    <w:rPr>
      <w:rFonts w:ascii="仿宋" w:hAnsi="仿宋" w:eastAsia="仿宋" w:cs="仿宋"/>
    </w:rPr>
  </w:style>
  <w:style w:type="paragraph" w:customStyle="1" w:styleId="786">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autoRedefine/>
    <w:qFormat/>
    <w:uiPriority w:val="0"/>
    <w:pPr>
      <w:adjustRightInd/>
      <w:ind w:firstLine="200" w:firstLineChars="200"/>
    </w:pPr>
    <w:rPr>
      <w:rFonts w:ascii="Tahoma" w:hAnsi="Tahoma"/>
      <w:sz w:val="24"/>
      <w:szCs w:val="20"/>
    </w:rPr>
  </w:style>
  <w:style w:type="paragraph" w:customStyle="1" w:styleId="789">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autoRedefine/>
    <w:qFormat/>
    <w:uiPriority w:val="0"/>
    <w:rPr>
      <w:rFonts w:ascii="仿宋_GB2312" w:eastAsia="仿宋_GB2312"/>
      <w:b/>
      <w:sz w:val="32"/>
      <w:szCs w:val="32"/>
    </w:rPr>
  </w:style>
  <w:style w:type="paragraph" w:customStyle="1" w:styleId="792">
    <w:name w:val="五级条标题"/>
    <w:basedOn w:val="793"/>
    <w:next w:val="638"/>
    <w:autoRedefine/>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autoRedefine/>
    <w:qFormat/>
    <w:uiPriority w:val="0"/>
    <w:pPr>
      <w:tabs>
        <w:tab w:val="left" w:pos="2940"/>
        <w:tab w:val="clear" w:pos="2520"/>
      </w:tabs>
      <w:ind w:left="2940"/>
      <w:outlineLvl w:val="5"/>
    </w:pPr>
  </w:style>
  <w:style w:type="paragraph" w:customStyle="1" w:styleId="794">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autoRedefine/>
    <w:qFormat/>
    <w:uiPriority w:val="0"/>
    <w:rPr>
      <w:rFonts w:ascii="仿宋_GB2312" w:eastAsia="仿宋_GB2312"/>
      <w:b/>
      <w:sz w:val="32"/>
      <w:szCs w:val="32"/>
    </w:rPr>
  </w:style>
  <w:style w:type="paragraph" w:customStyle="1" w:styleId="796">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autoRedefine/>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0">
    <w:name w:val="单元格左对齐"/>
    <w:basedOn w:val="1"/>
    <w:autoRedefine/>
    <w:qFormat/>
    <w:uiPriority w:val="0"/>
    <w:pPr>
      <w:adjustRightInd/>
      <w:spacing w:line="360" w:lineRule="auto"/>
    </w:pPr>
    <w:rPr>
      <w:sz w:val="24"/>
    </w:rPr>
  </w:style>
  <w:style w:type="paragraph" w:customStyle="1" w:styleId="801">
    <w:name w:val="正文主体"/>
    <w:basedOn w:val="622"/>
    <w:autoRedefine/>
    <w:qFormat/>
    <w:uiPriority w:val="0"/>
  </w:style>
  <w:style w:type="paragraph" w:customStyle="1" w:styleId="802">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autoRedefine/>
    <w:qFormat/>
    <w:uiPriority w:val="0"/>
    <w:pPr>
      <w:adjustRightInd/>
      <w:spacing w:line="360" w:lineRule="auto"/>
      <w:ind w:firstLine="480" w:firstLineChars="200"/>
    </w:pPr>
    <w:rPr>
      <w:sz w:val="24"/>
      <w:szCs w:val="20"/>
    </w:rPr>
  </w:style>
  <w:style w:type="paragraph" w:customStyle="1" w:styleId="806">
    <w:name w:val="P1"/>
    <w:basedOn w:val="1"/>
    <w:autoRedefine/>
    <w:qFormat/>
    <w:uiPriority w:val="0"/>
    <w:pPr>
      <w:adjustRightInd/>
      <w:spacing w:line="288" w:lineRule="auto"/>
      <w:ind w:firstLine="425" w:firstLineChars="200"/>
    </w:pPr>
  </w:style>
  <w:style w:type="paragraph" w:customStyle="1" w:styleId="807">
    <w:name w:val="列表内容"/>
    <w:basedOn w:val="1"/>
    <w:next w:val="1"/>
    <w:autoRedefine/>
    <w:qFormat/>
    <w:uiPriority w:val="0"/>
    <w:pPr>
      <w:widowControl/>
      <w:tabs>
        <w:tab w:val="left" w:pos="840"/>
      </w:tabs>
      <w:ind w:left="840" w:hanging="420"/>
      <w:jc w:val="left"/>
    </w:pPr>
    <w:rPr>
      <w:kern w:val="0"/>
      <w:sz w:val="18"/>
    </w:rPr>
  </w:style>
  <w:style w:type="paragraph" w:customStyle="1" w:styleId="808">
    <w:name w:val="Char Char11 Char Char Char1"/>
    <w:basedOn w:val="1"/>
    <w:autoRedefine/>
    <w:qFormat/>
    <w:uiPriority w:val="6"/>
    <w:pPr>
      <w:spacing w:line="360" w:lineRule="auto"/>
    </w:pPr>
    <w:rPr>
      <w:szCs w:val="20"/>
    </w:rPr>
  </w:style>
  <w:style w:type="paragraph" w:customStyle="1" w:styleId="809">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0">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autoRedefine/>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5"/>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autoRedefine/>
    <w:qFormat/>
    <w:uiPriority w:val="0"/>
    <w:pPr>
      <w:spacing w:line="360" w:lineRule="auto"/>
    </w:pPr>
    <w:rPr>
      <w:szCs w:val="20"/>
    </w:rPr>
  </w:style>
  <w:style w:type="paragraph" w:customStyle="1" w:styleId="815">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autoRedefine/>
    <w:qFormat/>
    <w:uiPriority w:val="0"/>
    <w:rPr>
      <w:rFonts w:ascii="仿宋_GB2312" w:eastAsia="仿宋_GB2312"/>
      <w:b/>
      <w:sz w:val="32"/>
      <w:szCs w:val="32"/>
    </w:rPr>
  </w:style>
  <w:style w:type="paragraph" w:customStyle="1" w:styleId="818">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1">
    <w:name w:val="Char Char4 Char Char"/>
    <w:basedOn w:val="1"/>
    <w:autoRedefine/>
    <w:qFormat/>
    <w:uiPriority w:val="0"/>
    <w:pPr>
      <w:widowControl/>
      <w:adjustRightInd/>
      <w:spacing w:after="160" w:line="240" w:lineRule="exact"/>
      <w:jc w:val="left"/>
    </w:pPr>
  </w:style>
  <w:style w:type="paragraph" w:customStyle="1" w:styleId="822">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autoRedefine/>
    <w:qFormat/>
    <w:uiPriority w:val="0"/>
    <w:pPr>
      <w:spacing w:line="360" w:lineRule="auto"/>
    </w:pPr>
    <w:rPr>
      <w:szCs w:val="20"/>
    </w:rPr>
  </w:style>
  <w:style w:type="paragraph" w:customStyle="1" w:styleId="824">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autoRedefine/>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autoRedefine/>
    <w:qFormat/>
    <w:uiPriority w:val="0"/>
    <w:pPr>
      <w:adjustRightInd/>
      <w:ind w:firstLine="200" w:firstLineChars="200"/>
    </w:pPr>
    <w:rPr>
      <w:rFonts w:ascii="Tahoma" w:hAnsi="Tahoma"/>
      <w:sz w:val="24"/>
      <w:szCs w:val="20"/>
    </w:rPr>
  </w:style>
  <w:style w:type="paragraph" w:customStyle="1" w:styleId="831">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autoRedefine/>
    <w:qFormat/>
    <w:uiPriority w:val="0"/>
    <w:pPr>
      <w:tabs>
        <w:tab w:val="left" w:pos="0"/>
      </w:tabs>
      <w:ind w:left="900" w:firstLine="0" w:firstLineChars="0"/>
    </w:pPr>
  </w:style>
  <w:style w:type="paragraph" w:customStyle="1" w:styleId="834">
    <w:name w:val="Bulleted List"/>
    <w:basedOn w:val="1"/>
    <w:autoRedefine/>
    <w:qFormat/>
    <w:uiPriority w:val="0"/>
    <w:pPr>
      <w:tabs>
        <w:tab w:val="left" w:pos="1260"/>
      </w:tabs>
      <w:adjustRightInd/>
      <w:ind w:left="1260" w:hanging="420"/>
    </w:pPr>
  </w:style>
  <w:style w:type="paragraph" w:customStyle="1" w:styleId="835">
    <w:name w:val="样式 正文文本缩进 2 + 仿宋_GB2312 黑色 行距: 1.5 倍行距"/>
    <w:basedOn w:val="39"/>
    <w:autoRedefine/>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autoRedefine/>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autoRedefine/>
    <w:qFormat/>
    <w:uiPriority w:val="0"/>
    <w:rPr>
      <w:rFonts w:ascii="Tahoma" w:hAnsi="Tahoma" w:cs="仿宋_GB2312"/>
      <w:sz w:val="24"/>
      <w:szCs w:val="20"/>
    </w:rPr>
  </w:style>
  <w:style w:type="paragraph" w:customStyle="1" w:styleId="838">
    <w:name w:val="正文1"/>
    <w:basedOn w:val="34"/>
    <w:autoRedefine/>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3"/>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autoRedefine/>
    <w:qFormat/>
    <w:uiPriority w:val="0"/>
    <w:rPr>
      <w:rFonts w:ascii="仿宋_GB2312" w:eastAsia="仿宋_GB2312"/>
      <w:b/>
      <w:sz w:val="32"/>
      <w:szCs w:val="20"/>
    </w:rPr>
  </w:style>
  <w:style w:type="paragraph" w:customStyle="1" w:styleId="843">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autoRedefine/>
    <w:qFormat/>
    <w:uiPriority w:val="0"/>
    <w:rPr>
      <w:rFonts w:ascii="仿宋_GB2312" w:eastAsia="仿宋_GB2312"/>
      <w:b/>
      <w:sz w:val="32"/>
      <w:szCs w:val="20"/>
    </w:rPr>
  </w:style>
  <w:style w:type="paragraph" w:customStyle="1" w:styleId="845">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7">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2">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autoRedefine/>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autoRedefine/>
    <w:qFormat/>
    <w:uiPriority w:val="0"/>
    <w:pPr>
      <w:snapToGrid w:val="0"/>
      <w:ind w:left="0" w:firstLine="0"/>
      <w:jc w:val="left"/>
    </w:pPr>
    <w:rPr>
      <w:rFonts w:eastAsia="黑体" w:cs="宋体"/>
      <w:sz w:val="28"/>
      <w:szCs w:val="20"/>
    </w:rPr>
  </w:style>
  <w:style w:type="paragraph" w:customStyle="1" w:styleId="856">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autoRedefine/>
    <w:qFormat/>
    <w:uiPriority w:val="0"/>
    <w:pPr>
      <w:widowControl/>
      <w:spacing w:after="160" w:line="240" w:lineRule="exact"/>
      <w:jc w:val="left"/>
    </w:pPr>
    <w:rPr>
      <w:rFonts w:eastAsia="仿宋_GB2312"/>
      <w:sz w:val="28"/>
    </w:rPr>
  </w:style>
  <w:style w:type="paragraph" w:customStyle="1" w:styleId="859">
    <w:name w:val="Char21"/>
    <w:basedOn w:val="1"/>
    <w:autoRedefine/>
    <w:qFormat/>
    <w:uiPriority w:val="0"/>
    <w:pPr>
      <w:adjustRightInd/>
      <w:ind w:firstLine="200" w:firstLineChars="200"/>
    </w:pPr>
    <w:rPr>
      <w:rFonts w:ascii="仿宋_GB2312" w:eastAsia="仿宋_GB2312"/>
      <w:b/>
      <w:sz w:val="32"/>
      <w:szCs w:val="32"/>
    </w:rPr>
  </w:style>
  <w:style w:type="paragraph" w:customStyle="1" w:styleId="860">
    <w:name w:val="列表段落1"/>
    <w:basedOn w:val="1"/>
    <w:autoRedefine/>
    <w:qFormat/>
    <w:uiPriority w:val="34"/>
    <w:pPr>
      <w:adjustRightInd/>
      <w:ind w:right="238" w:firstLine="420"/>
    </w:pPr>
    <w:rPr>
      <w:rFonts w:ascii="Calibri" w:hAnsi="Calibri"/>
      <w:sz w:val="24"/>
    </w:rPr>
  </w:style>
  <w:style w:type="paragraph" w:customStyle="1" w:styleId="861">
    <w:name w:val="Char Char110"/>
    <w:basedOn w:val="1"/>
    <w:autoRedefine/>
    <w:qFormat/>
    <w:uiPriority w:val="6"/>
    <w:pPr>
      <w:spacing w:line="360" w:lineRule="auto"/>
    </w:pPr>
    <w:rPr>
      <w:rFonts w:ascii="Tahoma" w:hAnsi="Tahoma"/>
      <w:sz w:val="24"/>
      <w:szCs w:val="20"/>
    </w:rPr>
  </w:style>
  <w:style w:type="paragraph" w:customStyle="1" w:styleId="862">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4">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autoRedefine/>
    <w:qFormat/>
    <w:uiPriority w:val="0"/>
    <w:rPr>
      <w:rFonts w:ascii="Tahoma" w:hAnsi="Tahoma" w:cs="仿宋_GB2312"/>
      <w:sz w:val="24"/>
      <w:szCs w:val="20"/>
    </w:rPr>
  </w:style>
  <w:style w:type="paragraph" w:customStyle="1" w:styleId="867">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autoRedefine/>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1">
    <w:name w:val="_Style 12"/>
    <w:basedOn w:val="20"/>
    <w:autoRedefine/>
    <w:qFormat/>
    <w:uiPriority w:val="0"/>
    <w:pPr>
      <w:snapToGrid w:val="0"/>
      <w:spacing w:line="360" w:lineRule="auto"/>
    </w:pPr>
  </w:style>
  <w:style w:type="paragraph" w:customStyle="1" w:styleId="872">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autoRedefine/>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autoRedefine/>
    <w:qFormat/>
    <w:uiPriority w:val="0"/>
    <w:pPr>
      <w:outlineLvl w:val="2"/>
    </w:pPr>
  </w:style>
  <w:style w:type="paragraph" w:customStyle="1" w:styleId="879">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autoRedefine/>
    <w:qFormat/>
    <w:uiPriority w:val="0"/>
    <w:pPr>
      <w:adjustRightInd/>
      <w:ind w:firstLine="200" w:firstLineChars="200"/>
    </w:pPr>
    <w:rPr>
      <w:rFonts w:ascii="Tahoma" w:hAnsi="Tahoma"/>
      <w:sz w:val="24"/>
      <w:szCs w:val="20"/>
    </w:rPr>
  </w:style>
  <w:style w:type="paragraph" w:customStyle="1" w:styleId="881">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2">
    <w:name w:val="MM Empty"/>
    <w:basedOn w:val="1"/>
    <w:autoRedefine/>
    <w:qFormat/>
    <w:uiPriority w:val="0"/>
    <w:pPr>
      <w:adjustRightInd/>
    </w:pPr>
  </w:style>
  <w:style w:type="paragraph" w:customStyle="1" w:styleId="883">
    <w:name w:val="Char24"/>
    <w:basedOn w:val="1"/>
    <w:autoRedefine/>
    <w:qFormat/>
    <w:uiPriority w:val="0"/>
    <w:rPr>
      <w:rFonts w:ascii="仿宋_GB2312" w:eastAsia="仿宋_GB2312"/>
      <w:b/>
      <w:sz w:val="32"/>
      <w:szCs w:val="32"/>
    </w:rPr>
  </w:style>
  <w:style w:type="paragraph" w:customStyle="1" w:styleId="884">
    <w:name w:val="正文箭头"/>
    <w:basedOn w:val="536"/>
    <w:autoRedefine/>
    <w:qFormat/>
    <w:uiPriority w:val="0"/>
  </w:style>
  <w:style w:type="paragraph" w:customStyle="1" w:styleId="885">
    <w:name w:val="U_编号2"/>
    <w:basedOn w:val="1"/>
    <w:autoRedefine/>
    <w:qFormat/>
    <w:uiPriority w:val="0"/>
    <w:pPr>
      <w:tabs>
        <w:tab w:val="left" w:pos="785"/>
      </w:tabs>
      <w:adjustRightInd/>
      <w:spacing w:beforeLines="10" w:afterLines="10" w:line="300" w:lineRule="auto"/>
    </w:pPr>
    <w:rPr>
      <w:sz w:val="24"/>
    </w:rPr>
  </w:style>
  <w:style w:type="paragraph" w:customStyle="1" w:styleId="886">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autoRedefine/>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autoRedefine/>
    <w:qFormat/>
    <w:uiPriority w:val="34"/>
    <w:pPr>
      <w:adjustRightInd/>
      <w:ind w:firstLine="420" w:firstLineChars="200"/>
    </w:pPr>
    <w:rPr>
      <w:rFonts w:eastAsia="仿宋_GB2312"/>
      <w:sz w:val="28"/>
    </w:rPr>
  </w:style>
  <w:style w:type="paragraph" w:customStyle="1" w:styleId="891">
    <w:name w:val="表格 内容"/>
    <w:basedOn w:val="727"/>
    <w:autoRedefine/>
    <w:qFormat/>
    <w:uiPriority w:val="0"/>
    <w:rPr>
      <w:b w:val="0"/>
      <w:sz w:val="20"/>
    </w:rPr>
  </w:style>
  <w:style w:type="paragraph" w:customStyle="1" w:styleId="892">
    <w:name w:val="正文首行缩进1"/>
    <w:basedOn w:val="25"/>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autoRedefine/>
    <w:qFormat/>
    <w:uiPriority w:val="0"/>
    <w:pPr>
      <w:tabs>
        <w:tab w:val="left" w:pos="1080"/>
      </w:tabs>
      <w:ind w:left="1080" w:hanging="1080"/>
    </w:pPr>
  </w:style>
  <w:style w:type="paragraph" w:customStyle="1" w:styleId="895">
    <w:name w:val="数字标题1"/>
    <w:basedOn w:val="4"/>
    <w:next w:val="1"/>
    <w:autoRedefine/>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7">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autoRedefine/>
    <w:qFormat/>
    <w:uiPriority w:val="0"/>
    <w:pPr>
      <w:widowControl/>
    </w:pPr>
    <w:rPr>
      <w:kern w:val="0"/>
      <w:sz w:val="24"/>
      <w:szCs w:val="20"/>
    </w:rPr>
  </w:style>
  <w:style w:type="paragraph" w:customStyle="1" w:styleId="903">
    <w:name w:val="Char Char113"/>
    <w:basedOn w:val="1"/>
    <w:autoRedefine/>
    <w:qFormat/>
    <w:uiPriority w:val="0"/>
    <w:pPr>
      <w:widowControl/>
      <w:spacing w:after="160" w:line="240" w:lineRule="exact"/>
      <w:jc w:val="left"/>
    </w:pPr>
    <w:rPr>
      <w:rFonts w:eastAsia="仿宋_GB2312"/>
      <w:sz w:val="28"/>
    </w:rPr>
  </w:style>
  <w:style w:type="paragraph" w:customStyle="1" w:styleId="90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autoRedefine/>
    <w:qFormat/>
    <w:uiPriority w:val="34"/>
    <w:pPr>
      <w:adjustRightInd/>
      <w:ind w:firstLine="420" w:firstLineChars="200"/>
    </w:pPr>
    <w:rPr>
      <w:rFonts w:eastAsia="仿宋_GB2312"/>
      <w:sz w:val="28"/>
    </w:rPr>
  </w:style>
  <w:style w:type="paragraph" w:customStyle="1" w:styleId="906">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8">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autoRedefine/>
    <w:qFormat/>
    <w:uiPriority w:val="6"/>
    <w:pPr>
      <w:widowControl/>
      <w:spacing w:after="160" w:line="240" w:lineRule="exact"/>
      <w:jc w:val="left"/>
    </w:pPr>
    <w:rPr>
      <w:rFonts w:eastAsia="仿宋_GB2312"/>
      <w:sz w:val="28"/>
    </w:rPr>
  </w:style>
  <w:style w:type="paragraph" w:customStyle="1" w:styleId="912">
    <w:name w:val="正文 图"/>
    <w:basedOn w:val="441"/>
    <w:autoRedefine/>
    <w:qFormat/>
    <w:uiPriority w:val="0"/>
    <w:pPr>
      <w:adjustRightInd/>
      <w:spacing w:before="0"/>
      <w:ind w:firstLine="0"/>
      <w:jc w:val="center"/>
    </w:pPr>
    <w:rPr>
      <w:rFonts w:ascii="微软雅黑" w:hAnsi="微软雅黑"/>
    </w:rPr>
  </w:style>
  <w:style w:type="paragraph" w:customStyle="1" w:styleId="913">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autoRedefine/>
    <w:qFormat/>
    <w:uiPriority w:val="0"/>
    <w:pPr>
      <w:ind w:left="0"/>
    </w:pPr>
  </w:style>
  <w:style w:type="paragraph" w:customStyle="1" w:styleId="916">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autoRedefine/>
    <w:qFormat/>
    <w:uiPriority w:val="0"/>
    <w:pPr>
      <w:adjustRightInd/>
      <w:spacing w:line="360" w:lineRule="auto"/>
      <w:ind w:firstLine="480"/>
    </w:pPr>
    <w:rPr>
      <w:sz w:val="24"/>
    </w:rPr>
  </w:style>
  <w:style w:type="table" w:customStyle="1" w:styleId="919">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autoRedefine/>
    <w:qFormat/>
    <w:uiPriority w:val="34"/>
    <w:pPr>
      <w:ind w:firstLine="420" w:firstLineChars="200"/>
    </w:pPr>
  </w:style>
  <w:style w:type="character" w:customStyle="1" w:styleId="926">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autoRedefine/>
    <w:qFormat/>
    <w:uiPriority w:val="0"/>
    <w:rPr>
      <w:rFonts w:ascii="宋体" w:eastAsia="宋体"/>
      <w:snapToGrid w:val="0"/>
      <w:color w:val="000000"/>
      <w:kern w:val="28"/>
      <w:sz w:val="28"/>
      <w:lang w:val="en-US" w:eastAsia="zh-CN" w:bidi="ar-SA"/>
    </w:rPr>
  </w:style>
  <w:style w:type="character" w:customStyle="1" w:styleId="928">
    <w:name w:val="页脚 字符1"/>
    <w:autoRedefine/>
    <w:qFormat/>
    <w:locked/>
    <w:uiPriority w:val="99"/>
    <w:rPr>
      <w:kern w:val="2"/>
      <w:sz w:val="18"/>
      <w:szCs w:val="18"/>
    </w:rPr>
  </w:style>
  <w:style w:type="character" w:customStyle="1" w:styleId="929">
    <w:name w:val="页眉 字符1"/>
    <w:autoRedefine/>
    <w:qFormat/>
    <w:uiPriority w:val="99"/>
    <w:rPr>
      <w:kern w:val="2"/>
      <w:sz w:val="18"/>
      <w:szCs w:val="18"/>
    </w:rPr>
  </w:style>
  <w:style w:type="character" w:customStyle="1" w:styleId="930">
    <w:name w:val="尾注文本 字符"/>
    <w:link w:val="40"/>
    <w:autoRedefine/>
    <w:qFormat/>
    <w:uiPriority w:val="0"/>
    <w:rPr>
      <w:kern w:val="2"/>
      <w:sz w:val="21"/>
      <w:szCs w:val="24"/>
      <w:lang w:val="zh-CN"/>
    </w:rPr>
  </w:style>
  <w:style w:type="character" w:customStyle="1" w:styleId="931">
    <w:name w:val="无间隔 字符"/>
    <w:link w:val="481"/>
    <w:autoRedefine/>
    <w:qFormat/>
    <w:uiPriority w:val="99"/>
    <w:rPr>
      <w:kern w:val="2"/>
      <w:sz w:val="21"/>
      <w:szCs w:val="22"/>
    </w:rPr>
  </w:style>
  <w:style w:type="character" w:customStyle="1" w:styleId="932">
    <w:name w:val="标准文本 Char Char"/>
    <w:link w:val="933"/>
    <w:autoRedefine/>
    <w:qFormat/>
    <w:uiPriority w:val="0"/>
    <w:rPr>
      <w:rFonts w:cs="宋体"/>
      <w:kern w:val="2"/>
      <w:sz w:val="24"/>
    </w:rPr>
  </w:style>
  <w:style w:type="paragraph" w:customStyle="1" w:styleId="933">
    <w:name w:val="标准文本"/>
    <w:basedOn w:val="1"/>
    <w:link w:val="932"/>
    <w:autoRedefine/>
    <w:qFormat/>
    <w:uiPriority w:val="0"/>
    <w:pPr>
      <w:adjustRightInd/>
      <w:spacing w:line="360" w:lineRule="auto"/>
      <w:ind w:firstLine="480" w:firstLineChars="200"/>
    </w:pPr>
    <w:rPr>
      <w:rFonts w:cs="宋体"/>
      <w:sz w:val="24"/>
      <w:szCs w:val="20"/>
    </w:rPr>
  </w:style>
  <w:style w:type="character" w:customStyle="1" w:styleId="934">
    <w:name w:val="Char Char213"/>
    <w:autoRedefine/>
    <w:qFormat/>
    <w:uiPriority w:val="0"/>
    <w:rPr>
      <w:rFonts w:eastAsia="Century Gothic"/>
      <w:b/>
      <w:bCs/>
      <w:kern w:val="44"/>
      <w:sz w:val="32"/>
      <w:szCs w:val="44"/>
      <w:lang w:val="en-US" w:eastAsia="zh-CN" w:bidi="ar-SA"/>
    </w:rPr>
  </w:style>
  <w:style w:type="character" w:customStyle="1" w:styleId="935">
    <w:name w:val="apple-style-span"/>
    <w:autoRedefine/>
    <w:qFormat/>
    <w:uiPriority w:val="0"/>
    <w:rPr>
      <w:rFonts w:ascii="Arial" w:hAnsi="Arial" w:eastAsia="黑体" w:cs="Arial"/>
      <w:snapToGrid w:val="0"/>
      <w:kern w:val="0"/>
      <w:szCs w:val="21"/>
    </w:rPr>
  </w:style>
  <w:style w:type="character" w:customStyle="1" w:styleId="936">
    <w:name w:val="15"/>
    <w:autoRedefine/>
    <w:qFormat/>
    <w:uiPriority w:val="0"/>
    <w:rPr>
      <w:rFonts w:hint="default" w:ascii="Calibri" w:hAnsi="Calibri"/>
      <w:color w:val="0000FF"/>
      <w:u w:val="single"/>
    </w:rPr>
  </w:style>
  <w:style w:type="character" w:customStyle="1" w:styleId="937">
    <w:name w:val="16"/>
    <w:autoRedefine/>
    <w:qFormat/>
    <w:uiPriority w:val="0"/>
    <w:rPr>
      <w:rFonts w:hint="eastAsia" w:ascii="宋体" w:hAnsi="宋体" w:eastAsia="宋体"/>
      <w:color w:val="000000"/>
      <w:sz w:val="20"/>
      <w:szCs w:val="20"/>
    </w:rPr>
  </w:style>
  <w:style w:type="character" w:customStyle="1" w:styleId="938">
    <w:name w:val="edui-unclickable"/>
    <w:autoRedefine/>
    <w:qFormat/>
    <w:uiPriority w:val="0"/>
    <w:rPr>
      <w:color w:val="808080"/>
    </w:rPr>
  </w:style>
  <w:style w:type="character" w:customStyle="1" w:styleId="939">
    <w:name w:val="tpc_content1"/>
    <w:autoRedefine/>
    <w:qFormat/>
    <w:uiPriority w:val="0"/>
    <w:rPr>
      <w:sz w:val="20"/>
      <w:szCs w:val="20"/>
    </w:rPr>
  </w:style>
  <w:style w:type="character" w:customStyle="1" w:styleId="940">
    <w:name w:val="正文文本缩进 字符"/>
    <w:autoRedefine/>
    <w:qFormat/>
    <w:uiPriority w:val="0"/>
    <w:rPr>
      <w:rFonts w:ascii="Century Gothic" w:hAnsi="Century Gothic" w:eastAsia="Century Gothic"/>
      <w:kern w:val="2"/>
      <w:sz w:val="24"/>
      <w:lang w:val="en-US" w:eastAsia="zh-CN" w:bidi="ar-SA"/>
    </w:rPr>
  </w:style>
  <w:style w:type="character" w:customStyle="1" w:styleId="941">
    <w:name w:val="正文文本 2 字符"/>
    <w:autoRedefine/>
    <w:qFormat/>
    <w:uiPriority w:val="0"/>
    <w:rPr>
      <w:rFonts w:ascii="Arial" w:hAnsi="Arial" w:eastAsia="宋体"/>
      <w:kern w:val="2"/>
      <w:sz w:val="24"/>
      <w:szCs w:val="24"/>
      <w:lang w:val="en-US" w:eastAsia="zh-CN" w:bidi="ar-SA"/>
    </w:rPr>
  </w:style>
  <w:style w:type="character" w:customStyle="1" w:styleId="942">
    <w:name w:val="edui-clickable2"/>
    <w:autoRedefine/>
    <w:qFormat/>
    <w:uiPriority w:val="0"/>
    <w:rPr>
      <w:color w:val="0000FF"/>
      <w:u w:val="single"/>
    </w:rPr>
  </w:style>
  <w:style w:type="character" w:customStyle="1" w:styleId="943">
    <w:name w:val="style1"/>
    <w:autoRedefine/>
    <w:qFormat/>
    <w:uiPriority w:val="0"/>
    <w:rPr>
      <w:rFonts w:ascii="Arial" w:hAnsi="Arial" w:eastAsia="黑体" w:cs="Arial"/>
      <w:snapToGrid w:val="0"/>
      <w:kern w:val="0"/>
      <w:szCs w:val="21"/>
    </w:rPr>
  </w:style>
  <w:style w:type="character" w:customStyle="1" w:styleId="944">
    <w:name w:val="zbggtop11 style5"/>
    <w:autoRedefine/>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6">
    <w:name w:val="bulletintext1"/>
    <w:autoRedefine/>
    <w:qFormat/>
    <w:uiPriority w:val="0"/>
    <w:rPr>
      <w:color w:val="000000"/>
      <w:sz w:val="18"/>
    </w:rPr>
  </w:style>
  <w:style w:type="paragraph" w:customStyle="1" w:styleId="947">
    <w:name w:val="_Style 947"/>
    <w:basedOn w:val="1"/>
    <w:next w:val="256"/>
    <w:autoRedefine/>
    <w:qFormat/>
    <w:uiPriority w:val="34"/>
    <w:pPr>
      <w:adjustRightInd/>
      <w:ind w:firstLine="420" w:firstLineChars="200"/>
    </w:pPr>
  </w:style>
  <w:style w:type="paragraph" w:customStyle="1" w:styleId="948">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0">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4">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autoRedefine/>
    <w:qFormat/>
    <w:uiPriority w:val="0"/>
    <w:pPr>
      <w:adjustRightInd/>
      <w:jc w:val="left"/>
    </w:pPr>
    <w:rPr>
      <w:rFonts w:ascii="Calibri" w:hAnsi="Calibri"/>
      <w:kern w:val="0"/>
      <w:sz w:val="22"/>
      <w:szCs w:val="22"/>
      <w:lang w:eastAsia="en-US"/>
    </w:rPr>
  </w:style>
  <w:style w:type="paragraph" w:customStyle="1" w:styleId="956">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autoRedefine/>
    <w:qFormat/>
    <w:uiPriority w:val="0"/>
    <w:rPr>
      <w:color w:val="000000"/>
      <w:shd w:val="clear" w:color="auto" w:fill="EFD200"/>
    </w:rPr>
  </w:style>
  <w:style w:type="character" w:customStyle="1" w:styleId="960">
    <w:name w:val="font71"/>
    <w:basedOn w:val="69"/>
    <w:autoRedefine/>
    <w:qFormat/>
    <w:uiPriority w:val="0"/>
    <w:rPr>
      <w:rFonts w:hint="eastAsia" w:ascii="宋体" w:hAnsi="宋体" w:eastAsia="宋体" w:cs="宋体"/>
      <w:color w:val="000000"/>
      <w:sz w:val="22"/>
      <w:szCs w:val="22"/>
      <w:u w:val="none"/>
    </w:rPr>
  </w:style>
  <w:style w:type="character" w:customStyle="1" w:styleId="961">
    <w:name w:val="font91"/>
    <w:autoRedefine/>
    <w:qFormat/>
    <w:uiPriority w:val="0"/>
    <w:rPr>
      <w:rFonts w:hint="eastAsia" w:ascii="仿宋" w:hAnsi="仿宋" w:eastAsia="仿宋" w:cs="仿宋"/>
      <w:color w:val="000000"/>
      <w:sz w:val="22"/>
      <w:szCs w:val="22"/>
      <w:u w:val="none"/>
    </w:rPr>
  </w:style>
  <w:style w:type="paragraph" w:customStyle="1" w:styleId="962">
    <w:name w:val="修订4"/>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963">
    <w:name w:val="BodyText1I2"/>
    <w:basedOn w:val="964"/>
    <w:next w:val="1"/>
    <w:autoRedefine/>
    <w:qFormat/>
    <w:uiPriority w:val="0"/>
    <w:pPr>
      <w:ind w:firstLine="420"/>
    </w:pPr>
    <w:rPr>
      <w:rFonts w:ascii="Calibri" w:hAnsi="Calibri"/>
    </w:rPr>
  </w:style>
  <w:style w:type="paragraph" w:customStyle="1" w:styleId="964">
    <w:name w:val="BodyTextIndent"/>
    <w:basedOn w:val="1"/>
    <w:next w:val="1"/>
    <w:autoRedefine/>
    <w:qFormat/>
    <w:uiPriority w:val="0"/>
    <w:pPr>
      <w:spacing w:line="200" w:lineRule="exact"/>
      <w:ind w:firstLine="301"/>
      <w:textAlignment w:val="baseline"/>
    </w:pPr>
    <w:rPr>
      <w:rFonts w:ascii="宋体" w:hAnsi="Courier New"/>
      <w:spacing w:val="-4"/>
      <w:kern w:val="0"/>
      <w:sz w:val="18"/>
      <w:szCs w:val="20"/>
    </w:rPr>
  </w:style>
  <w:style w:type="paragraph" w:customStyle="1" w:styleId="965">
    <w:name w:val="正文+缩进"/>
    <w:basedOn w:val="1"/>
    <w:autoRedefine/>
    <w:qFormat/>
    <w:uiPriority w:val="0"/>
    <w:rPr>
      <w:rFonts w:ascii="宋体"/>
      <w:lang w:val="en-GB"/>
    </w:rPr>
  </w:style>
  <w:style w:type="paragraph" w:customStyle="1" w:styleId="966">
    <w:name w:val="WPSOffice手动目录 1"/>
    <w:autoRedefine/>
    <w:qFormat/>
    <w:uiPriority w:val="0"/>
    <w:rPr>
      <w:rFonts w:ascii="Times New Roman" w:hAnsi="Times New Roman" w:eastAsia="宋体" w:cs="Times New Roman"/>
      <w:lang w:val="en-US" w:eastAsia="zh-CN" w:bidi="ar-SA"/>
    </w:rPr>
  </w:style>
  <w:style w:type="paragraph" w:customStyle="1" w:styleId="967">
    <w:name w:val="列表段落2"/>
    <w:basedOn w:val="1"/>
    <w:autoRedefine/>
    <w:qFormat/>
    <w:uiPriority w:val="99"/>
    <w:pPr>
      <w:widowControl w:val="0"/>
      <w:ind w:firstLine="420" w:firstLineChars="200"/>
    </w:pPr>
    <w:rPr>
      <w:rFonts w:ascii="Calibri" w:hAnsi="Calibri"/>
      <w:szCs w:val="22"/>
    </w:rPr>
  </w:style>
  <w:style w:type="paragraph" w:customStyle="1" w:styleId="968">
    <w:name w:val="_Style 194"/>
    <w:basedOn w:val="1"/>
    <w:next w:val="256"/>
    <w:autoRedefine/>
    <w:qFormat/>
    <w:uiPriority w:val="99"/>
    <w:pPr>
      <w:widowControl w:val="0"/>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23.png"/><Relationship Id="rId53" Type="http://schemas.openxmlformats.org/officeDocument/2006/relationships/image" Target="media/image22.png"/><Relationship Id="rId52" Type="http://schemas.openxmlformats.org/officeDocument/2006/relationships/image" Target="media/image21.png"/><Relationship Id="rId51" Type="http://schemas.openxmlformats.org/officeDocument/2006/relationships/image" Target="media/image20.png"/><Relationship Id="rId50" Type="http://schemas.openxmlformats.org/officeDocument/2006/relationships/image" Target="media/image19.png"/><Relationship Id="rId5" Type="http://schemas.openxmlformats.org/officeDocument/2006/relationships/footer" Target="footer1.xml"/><Relationship Id="rId49" Type="http://schemas.openxmlformats.org/officeDocument/2006/relationships/image" Target="media/image18.png"/><Relationship Id="rId48" Type="http://schemas.openxmlformats.org/officeDocument/2006/relationships/image" Target="media/image17.png"/><Relationship Id="rId47" Type="http://schemas.openxmlformats.org/officeDocument/2006/relationships/image" Target="media/image16.png"/><Relationship Id="rId46" Type="http://schemas.openxmlformats.org/officeDocument/2006/relationships/image" Target="media/image15.png"/><Relationship Id="rId45" Type="http://schemas.openxmlformats.org/officeDocument/2006/relationships/image" Target="media/image14.png"/><Relationship Id="rId44" Type="http://schemas.openxmlformats.org/officeDocument/2006/relationships/image" Target="media/image13.png"/><Relationship Id="rId43" Type="http://schemas.openxmlformats.org/officeDocument/2006/relationships/image" Target="media/image12.emf"/><Relationship Id="rId42" Type="http://schemas.openxmlformats.org/officeDocument/2006/relationships/image" Target="media/image11.png"/><Relationship Id="rId41" Type="http://schemas.openxmlformats.org/officeDocument/2006/relationships/image" Target="media/image10.png"/><Relationship Id="rId40" Type="http://schemas.openxmlformats.org/officeDocument/2006/relationships/image" Target="media/image9.png"/><Relationship Id="rId4" Type="http://schemas.openxmlformats.org/officeDocument/2006/relationships/header" Target="header2.xml"/><Relationship Id="rId39" Type="http://schemas.openxmlformats.org/officeDocument/2006/relationships/image" Target="media/image8.jpeg"/><Relationship Id="rId38" Type="http://schemas.openxmlformats.org/officeDocument/2006/relationships/image" Target="media/image7.emf"/><Relationship Id="rId37" Type="http://schemas.openxmlformats.org/officeDocument/2006/relationships/image" Target="media/image6.png"/><Relationship Id="rId36" Type="http://schemas.openxmlformats.org/officeDocument/2006/relationships/image" Target="media/image5.png"/><Relationship Id="rId35" Type="http://schemas.openxmlformats.org/officeDocument/2006/relationships/image" Target="media/image4.png"/><Relationship Id="rId34" Type="http://schemas.openxmlformats.org/officeDocument/2006/relationships/image" Target="media/image3.png"/><Relationship Id="rId33" Type="http://schemas.openxmlformats.org/officeDocument/2006/relationships/image" Target="media/image2.png"/><Relationship Id="rId32" Type="http://schemas.openxmlformats.org/officeDocument/2006/relationships/image" Target="media/image1.png"/><Relationship Id="rId31" Type="http://schemas.openxmlformats.org/officeDocument/2006/relationships/theme" Target="theme/theme1.xml"/><Relationship Id="rId30" Type="http://schemas.openxmlformats.org/officeDocument/2006/relationships/footer" Target="footer18.xml"/><Relationship Id="rId3" Type="http://schemas.openxmlformats.org/officeDocument/2006/relationships/header" Target="header1.xml"/><Relationship Id="rId29" Type="http://schemas.openxmlformats.org/officeDocument/2006/relationships/footer" Target="footer17.xml"/><Relationship Id="rId28" Type="http://schemas.openxmlformats.org/officeDocument/2006/relationships/footer" Target="footer16.xml"/><Relationship Id="rId27" Type="http://schemas.openxmlformats.org/officeDocument/2006/relationships/header" Target="header10.xml"/><Relationship Id="rId26" Type="http://schemas.openxmlformats.org/officeDocument/2006/relationships/header" Target="header9.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header" Target="header8.xml"/><Relationship Id="rId22" Type="http://schemas.openxmlformats.org/officeDocument/2006/relationships/header" Target="header7.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header" Target="header5.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header" Target="header3.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206</Pages>
  <Words>120048</Words>
  <Characters>126030</Characters>
  <Lines>337</Lines>
  <Paragraphs>95</Paragraphs>
  <TotalTime>1</TotalTime>
  <ScaleCrop>false</ScaleCrop>
  <LinksUpToDate>false</LinksUpToDate>
  <CharactersWithSpaces>131233</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2023-12-04T00:08:00Z</dcterms:created>
  <dc:creator>玥</dc:creator>
  <cp:lastModifiedBy>张嘉城（中基招标）</cp:lastModifiedBy>
  <cp:lastPrinted>2023-05-09T04:38:00Z</cp:lastPrinted>
  <dcterms:modified xsi:type="dcterms:W3CDTF">2024-07-23T10:16:43Z</dcterms:modified>
  <dc:title>杭州市市民卡扩大发卡工程</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4AADA2B6AF134717ABCC49196F603536_13</vt:lpwstr>
  </property>
</Properties>
</file>