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6DBE2E4">
      <w:pPr>
        <w:shd w:val="clear"/>
        <w:spacing w:line="360" w:lineRule="auto"/>
        <w:jc w:val="center"/>
        <w:rPr>
          <w:rFonts w:ascii="宋体" w:hAnsi="宋体" w:cs="宋体"/>
          <w:b/>
          <w:color w:val="auto"/>
          <w:sz w:val="24"/>
          <w:highlight w:val="none"/>
        </w:rPr>
      </w:pPr>
    </w:p>
    <w:p w14:paraId="64FBDD92">
      <w:pPr>
        <w:shd w:val="clear"/>
        <w:spacing w:line="360" w:lineRule="auto"/>
        <w:jc w:val="center"/>
        <w:rPr>
          <w:rFonts w:ascii="宋体" w:hAnsi="宋体" w:cs="宋体"/>
          <w:b/>
          <w:color w:val="auto"/>
          <w:sz w:val="24"/>
          <w:highlight w:val="none"/>
        </w:rPr>
      </w:pPr>
    </w:p>
    <w:p w14:paraId="17500A23">
      <w:pPr>
        <w:shd w:val="clear"/>
        <w:adjustRightInd/>
        <w:spacing w:line="360" w:lineRule="auto"/>
        <w:jc w:val="center"/>
        <w:rPr>
          <w:rFonts w:ascii="宋体" w:hAnsi="宋体" w:cs="宋体"/>
          <w:b/>
          <w:color w:val="auto"/>
          <w:sz w:val="44"/>
          <w:szCs w:val="44"/>
          <w:highlight w:val="none"/>
        </w:rPr>
      </w:pPr>
    </w:p>
    <w:p w14:paraId="7AB0087A">
      <w:pPr>
        <w:shd w:val="clear"/>
        <w:spacing w:line="360" w:lineRule="auto"/>
        <w:jc w:val="center"/>
        <w:rPr>
          <w:rFonts w:ascii="宋体" w:hAnsi="宋体" w:cs="宋体"/>
          <w:b/>
          <w:color w:val="auto"/>
          <w:sz w:val="44"/>
          <w:szCs w:val="44"/>
          <w:highlight w:val="none"/>
        </w:rPr>
      </w:pPr>
    </w:p>
    <w:p w14:paraId="044EEE22">
      <w:pPr>
        <w:shd w:val="clear"/>
        <w:adjustRightInd/>
        <w:spacing w:line="360" w:lineRule="auto"/>
        <w:jc w:val="center"/>
        <w:rPr>
          <w:rFonts w:ascii="宋体" w:hAnsi="宋体" w:cs="宋体"/>
          <w:b/>
          <w:color w:val="auto"/>
          <w:sz w:val="48"/>
          <w:szCs w:val="48"/>
          <w:highlight w:val="none"/>
        </w:rPr>
      </w:pPr>
    </w:p>
    <w:p w14:paraId="7C49A672">
      <w:pPr>
        <w:shd w:val="clear"/>
        <w:adjustRightInd/>
        <w:spacing w:line="360" w:lineRule="auto"/>
        <w:jc w:val="center"/>
        <w:rPr>
          <w:rFonts w:hint="eastAsia" w:ascii="宋体" w:hAnsi="宋体" w:cs="宋体"/>
          <w:color w:val="auto"/>
          <w:sz w:val="48"/>
          <w:szCs w:val="48"/>
          <w:highlight w:val="none"/>
          <w:lang w:eastAsia="zh-CN"/>
        </w:rPr>
      </w:pPr>
      <w:r>
        <w:rPr>
          <w:rFonts w:hint="eastAsia" w:ascii="宋体" w:hAnsi="宋体" w:cs="宋体"/>
          <w:color w:val="auto"/>
          <w:sz w:val="48"/>
          <w:szCs w:val="48"/>
          <w:highlight w:val="none"/>
          <w:lang w:eastAsia="zh-CN"/>
        </w:rPr>
        <w:t>宁波市海曙区各集中管理办公区等</w:t>
      </w:r>
    </w:p>
    <w:p w14:paraId="51538D7A">
      <w:pPr>
        <w:shd w:val="clear"/>
        <w:adjustRightInd/>
        <w:spacing w:line="360" w:lineRule="auto"/>
        <w:jc w:val="center"/>
        <w:rPr>
          <w:rFonts w:hint="eastAsia" w:ascii="宋体" w:hAnsi="宋体" w:eastAsia="宋体" w:cs="宋体"/>
          <w:color w:val="auto"/>
          <w:sz w:val="48"/>
          <w:szCs w:val="48"/>
          <w:highlight w:val="none"/>
          <w:lang w:eastAsia="zh-CN"/>
        </w:rPr>
      </w:pPr>
      <w:r>
        <w:rPr>
          <w:rFonts w:hint="eastAsia" w:ascii="宋体" w:hAnsi="宋体" w:cs="宋体"/>
          <w:color w:val="auto"/>
          <w:sz w:val="48"/>
          <w:szCs w:val="48"/>
          <w:highlight w:val="none"/>
          <w:lang w:eastAsia="zh-CN"/>
        </w:rPr>
        <w:t>食堂原材料采购项目（</w:t>
      </w:r>
      <w:r>
        <w:rPr>
          <w:rFonts w:hint="eastAsia" w:ascii="宋体" w:hAnsi="宋体" w:cs="宋体"/>
          <w:color w:val="auto"/>
          <w:sz w:val="48"/>
          <w:szCs w:val="48"/>
          <w:highlight w:val="none"/>
          <w:lang w:val="en-US" w:eastAsia="zh-CN"/>
        </w:rPr>
        <w:t>蔬果类</w:t>
      </w:r>
      <w:r>
        <w:rPr>
          <w:rFonts w:hint="eastAsia" w:ascii="宋体" w:hAnsi="宋体" w:cs="宋体"/>
          <w:color w:val="auto"/>
          <w:sz w:val="48"/>
          <w:szCs w:val="48"/>
          <w:highlight w:val="none"/>
          <w:lang w:eastAsia="zh-CN"/>
        </w:rPr>
        <w:t>）</w:t>
      </w:r>
    </w:p>
    <w:p w14:paraId="44AA9B69">
      <w:pPr>
        <w:pStyle w:val="5"/>
        <w:bidi w:val="0"/>
        <w:jc w:val="center"/>
        <w:rPr>
          <w:color w:val="auto"/>
          <w:highlight w:val="none"/>
        </w:rPr>
      </w:pPr>
      <w:r>
        <w:rPr>
          <w:rFonts w:hint="eastAsia"/>
          <w:color w:val="auto"/>
          <w:highlight w:val="none"/>
        </w:rPr>
        <w:t>招标文件</w:t>
      </w:r>
    </w:p>
    <w:p w14:paraId="0A17C7A2">
      <w:pPr>
        <w:shd w:val="clear"/>
        <w:adjustRightInd/>
        <w:spacing w:line="360" w:lineRule="auto"/>
        <w:jc w:val="center"/>
        <w:rPr>
          <w:rFonts w:ascii="宋体" w:hAnsi="宋体" w:cs="宋体"/>
          <w:b/>
          <w:color w:val="auto"/>
          <w:sz w:val="44"/>
          <w:szCs w:val="44"/>
          <w:highlight w:val="none"/>
        </w:rPr>
      </w:pPr>
      <w:r>
        <w:rPr>
          <w:rFonts w:hint="eastAsia" w:ascii="宋体" w:hAnsi="宋体" w:cs="宋体"/>
          <w:b/>
          <w:color w:val="auto"/>
          <w:sz w:val="44"/>
          <w:szCs w:val="44"/>
          <w:highlight w:val="none"/>
        </w:rPr>
        <w:t xml:space="preserve"> （电子招投标）</w:t>
      </w:r>
    </w:p>
    <w:p w14:paraId="22E624C8">
      <w:pPr>
        <w:shd w:val="clear"/>
        <w:snapToGrid w:val="0"/>
        <w:spacing w:line="360" w:lineRule="auto"/>
        <w:jc w:val="center"/>
        <w:rPr>
          <w:rFonts w:ascii="宋体" w:hAnsi="宋体" w:cs="宋体"/>
          <w:color w:val="auto"/>
          <w:sz w:val="30"/>
          <w:szCs w:val="30"/>
          <w:highlight w:val="none"/>
        </w:rPr>
      </w:pPr>
      <w:r>
        <w:rPr>
          <w:rFonts w:hint="eastAsia" w:ascii="宋体" w:hAnsi="宋体" w:cs="宋体"/>
          <w:color w:val="auto"/>
          <w:sz w:val="30"/>
          <w:szCs w:val="30"/>
          <w:highlight w:val="none"/>
        </w:rPr>
        <w:t>编号</w:t>
      </w:r>
      <w:r>
        <w:rPr>
          <w:rFonts w:hint="eastAsia" w:ascii="宋体" w:hAnsi="宋体" w:cs="宋体"/>
          <w:color w:val="auto"/>
          <w:sz w:val="30"/>
          <w:szCs w:val="30"/>
          <w:highlight w:val="none"/>
          <w:lang w:eastAsia="zh-CN"/>
        </w:rPr>
        <w:t xml:space="preserve">：2025NBHSWT112   </w:t>
      </w:r>
    </w:p>
    <w:p w14:paraId="2FD932FF">
      <w:pPr>
        <w:shd w:val="clear"/>
        <w:adjustRightInd/>
        <w:spacing w:line="360" w:lineRule="auto"/>
        <w:rPr>
          <w:rFonts w:ascii="宋体" w:hAnsi="宋体" w:cs="宋体"/>
          <w:color w:val="auto"/>
          <w:sz w:val="28"/>
          <w:szCs w:val="20"/>
          <w:highlight w:val="none"/>
        </w:rPr>
      </w:pPr>
    </w:p>
    <w:p w14:paraId="3C99CA33">
      <w:pPr>
        <w:shd w:val="clear"/>
        <w:spacing w:line="360" w:lineRule="auto"/>
        <w:jc w:val="center"/>
        <w:rPr>
          <w:rFonts w:ascii="宋体" w:hAnsi="宋体" w:cs="宋体"/>
          <w:b/>
          <w:color w:val="auto"/>
          <w:sz w:val="44"/>
          <w:szCs w:val="44"/>
          <w:highlight w:val="none"/>
        </w:rPr>
      </w:pPr>
      <w:r>
        <w:rPr>
          <w:rFonts w:hint="eastAsia" w:ascii="宋体" w:hAnsi="宋体" w:cs="宋体"/>
          <w:b/>
          <w:color w:val="auto"/>
          <w:sz w:val="44"/>
          <w:szCs w:val="44"/>
          <w:highlight w:val="none"/>
        </w:rPr>
        <w:t xml:space="preserve"> </w:t>
      </w:r>
    </w:p>
    <w:p w14:paraId="2728BA10">
      <w:pPr>
        <w:shd w:val="clear"/>
        <w:spacing w:line="360" w:lineRule="auto"/>
        <w:jc w:val="center"/>
        <w:rPr>
          <w:rFonts w:ascii="宋体" w:hAnsi="宋体" w:cs="宋体"/>
          <w:b/>
          <w:color w:val="auto"/>
          <w:sz w:val="44"/>
          <w:szCs w:val="44"/>
          <w:highlight w:val="none"/>
        </w:rPr>
      </w:pPr>
    </w:p>
    <w:p w14:paraId="71DCFD01">
      <w:pPr>
        <w:shd w:val="clear"/>
        <w:spacing w:line="360" w:lineRule="auto"/>
        <w:jc w:val="center"/>
        <w:rPr>
          <w:rFonts w:ascii="宋体" w:hAnsi="宋体" w:cs="宋体"/>
          <w:color w:val="auto"/>
          <w:sz w:val="24"/>
          <w:highlight w:val="none"/>
        </w:rPr>
      </w:pPr>
    </w:p>
    <w:p w14:paraId="47661E75">
      <w:pPr>
        <w:shd w:val="clear"/>
        <w:spacing w:line="360" w:lineRule="auto"/>
        <w:jc w:val="center"/>
        <w:rPr>
          <w:rFonts w:ascii="宋体" w:hAnsi="宋体" w:cs="宋体"/>
          <w:color w:val="auto"/>
          <w:sz w:val="24"/>
          <w:highlight w:val="none"/>
        </w:rPr>
      </w:pPr>
    </w:p>
    <w:p w14:paraId="053334DD">
      <w:pPr>
        <w:shd w:val="clear"/>
        <w:spacing w:line="360" w:lineRule="auto"/>
        <w:rPr>
          <w:rFonts w:ascii="宋体" w:hAnsi="宋体" w:cs="宋体"/>
          <w:color w:val="auto"/>
          <w:sz w:val="32"/>
          <w:szCs w:val="32"/>
          <w:highlight w:val="none"/>
        </w:rPr>
      </w:pPr>
    </w:p>
    <w:p w14:paraId="639587D6">
      <w:pPr>
        <w:shd w:val="clear"/>
        <w:snapToGrid w:val="0"/>
        <w:spacing w:line="360" w:lineRule="auto"/>
        <w:jc w:val="center"/>
        <w:rPr>
          <w:rFonts w:hint="eastAsia" w:ascii="宋体" w:hAnsi="宋体" w:cs="宋体"/>
          <w:color w:val="auto"/>
          <w:sz w:val="32"/>
          <w:szCs w:val="32"/>
          <w:highlight w:val="none"/>
          <w:lang w:eastAsia="zh-CN"/>
        </w:rPr>
      </w:pPr>
      <w:r>
        <w:rPr>
          <w:rFonts w:hint="eastAsia" w:ascii="宋体" w:hAnsi="宋体" w:cs="宋体"/>
          <w:color w:val="auto"/>
          <w:sz w:val="32"/>
          <w:szCs w:val="32"/>
          <w:highlight w:val="none"/>
          <w:lang w:eastAsia="zh-CN"/>
        </w:rPr>
        <w:t>宁波市海曙区机关事务管理局</w:t>
      </w:r>
    </w:p>
    <w:p w14:paraId="401A950C">
      <w:pPr>
        <w:shd w:val="clear"/>
        <w:snapToGrid w:val="0"/>
        <w:spacing w:line="360" w:lineRule="auto"/>
        <w:jc w:val="center"/>
        <w:rPr>
          <w:rFonts w:hint="eastAsia" w:ascii="宋体" w:hAnsi="宋体" w:cs="宋体"/>
          <w:color w:val="auto"/>
          <w:sz w:val="32"/>
          <w:szCs w:val="32"/>
          <w:highlight w:val="none"/>
          <w:lang w:eastAsia="zh-CN"/>
        </w:rPr>
      </w:pPr>
      <w:r>
        <w:rPr>
          <w:rFonts w:hint="eastAsia" w:ascii="宋体" w:hAnsi="宋体" w:cs="宋体"/>
          <w:color w:val="auto"/>
          <w:sz w:val="32"/>
          <w:szCs w:val="32"/>
          <w:highlight w:val="none"/>
          <w:lang w:eastAsia="zh-CN"/>
        </w:rPr>
        <w:t>宁波市海曙区人民政府鼓楼街道办事处</w:t>
      </w:r>
    </w:p>
    <w:p w14:paraId="16029478">
      <w:pPr>
        <w:shd w:val="clear"/>
        <w:snapToGrid w:val="0"/>
        <w:spacing w:line="360" w:lineRule="auto"/>
        <w:jc w:val="center"/>
        <w:rPr>
          <w:rFonts w:hint="eastAsia" w:ascii="宋体" w:hAnsi="宋体" w:cs="宋体"/>
          <w:bCs/>
          <w:color w:val="auto"/>
          <w:sz w:val="32"/>
          <w:szCs w:val="32"/>
          <w:highlight w:val="none"/>
        </w:rPr>
      </w:pPr>
      <w:r>
        <w:rPr>
          <w:rFonts w:hint="eastAsia" w:ascii="宋体" w:hAnsi="宋体" w:cs="宋体"/>
          <w:bCs/>
          <w:color w:val="auto"/>
          <w:sz w:val="32"/>
          <w:szCs w:val="32"/>
          <w:highlight w:val="none"/>
        </w:rPr>
        <w:t>宁波中基国际招标有限公司</w:t>
      </w:r>
    </w:p>
    <w:p w14:paraId="70BBFFFD">
      <w:pPr>
        <w:shd w:val="clear"/>
        <w:snapToGrid w:val="0"/>
        <w:spacing w:line="360" w:lineRule="auto"/>
        <w:jc w:val="center"/>
        <w:rPr>
          <w:rFonts w:ascii="宋体" w:hAnsi="宋体" w:cs="宋体"/>
          <w:bCs/>
          <w:color w:val="auto"/>
          <w:sz w:val="32"/>
          <w:szCs w:val="32"/>
          <w:highlight w:val="none"/>
        </w:rPr>
      </w:pPr>
      <w:r>
        <w:rPr>
          <w:rFonts w:hint="eastAsia" w:ascii="宋体" w:hAnsi="宋体" w:cs="宋体"/>
          <w:bCs/>
          <w:color w:val="auto"/>
          <w:sz w:val="32"/>
          <w:szCs w:val="32"/>
          <w:highlight w:val="none"/>
        </w:rPr>
        <w:t>二〇二</w:t>
      </w:r>
      <w:r>
        <w:rPr>
          <w:rFonts w:hint="eastAsia" w:ascii="宋体" w:hAnsi="宋体" w:cs="宋体"/>
          <w:bCs/>
          <w:color w:val="auto"/>
          <w:sz w:val="32"/>
          <w:szCs w:val="32"/>
          <w:highlight w:val="none"/>
          <w:lang w:val="en-US" w:eastAsia="zh-CN"/>
        </w:rPr>
        <w:t>五</w:t>
      </w:r>
      <w:r>
        <w:rPr>
          <w:rFonts w:hint="eastAsia" w:ascii="宋体" w:hAnsi="宋体" w:cs="宋体"/>
          <w:bCs/>
          <w:color w:val="auto"/>
          <w:sz w:val="32"/>
          <w:szCs w:val="32"/>
          <w:highlight w:val="none"/>
        </w:rPr>
        <w:t>年</w:t>
      </w:r>
      <w:r>
        <w:rPr>
          <w:rFonts w:hint="eastAsia" w:ascii="宋体" w:hAnsi="宋体" w:cs="宋体"/>
          <w:bCs/>
          <w:color w:val="auto"/>
          <w:sz w:val="32"/>
          <w:szCs w:val="32"/>
          <w:highlight w:val="none"/>
          <w:lang w:val="en-US" w:eastAsia="zh-CN"/>
        </w:rPr>
        <w:t>四</w:t>
      </w:r>
      <w:r>
        <w:rPr>
          <w:rFonts w:hint="eastAsia" w:ascii="宋体" w:hAnsi="宋体" w:cs="宋体"/>
          <w:bCs/>
          <w:color w:val="auto"/>
          <w:sz w:val="32"/>
          <w:szCs w:val="32"/>
          <w:highlight w:val="none"/>
        </w:rPr>
        <w:t>月</w:t>
      </w:r>
    </w:p>
    <w:p w14:paraId="2BEBBC6F">
      <w:pPr>
        <w:shd w:val="clear"/>
        <w:spacing w:line="360" w:lineRule="auto"/>
        <w:jc w:val="center"/>
        <w:rPr>
          <w:rFonts w:ascii="宋体" w:hAnsi="宋体" w:cs="宋体"/>
          <w:color w:val="auto"/>
          <w:sz w:val="24"/>
          <w:highlight w:val="none"/>
        </w:rPr>
      </w:pPr>
      <w:r>
        <w:rPr>
          <w:rFonts w:hint="eastAsia" w:ascii="宋体" w:hAnsi="宋体" w:cs="宋体"/>
          <w:color w:val="auto"/>
          <w:sz w:val="24"/>
          <w:highlight w:val="none"/>
        </w:rPr>
        <w:br w:type="page"/>
      </w:r>
      <w:bookmarkStart w:id="0" w:name="_Hlt67893495"/>
      <w:bookmarkEnd w:id="0"/>
    </w:p>
    <w:p w14:paraId="39A2DA6D">
      <w:pPr>
        <w:pStyle w:val="634"/>
        <w:shd w:val="clear"/>
        <w:rPr>
          <w:color w:val="auto"/>
          <w:highlight w:val="none"/>
        </w:rPr>
      </w:pPr>
    </w:p>
    <w:p w14:paraId="37F1AE10">
      <w:pPr>
        <w:shd w:val="clear"/>
        <w:spacing w:line="360" w:lineRule="auto"/>
        <w:jc w:val="center"/>
        <w:rPr>
          <w:rFonts w:ascii="宋体" w:hAnsi="宋体" w:cs="宋体"/>
          <w:b/>
          <w:color w:val="auto"/>
          <w:sz w:val="48"/>
          <w:szCs w:val="48"/>
          <w:highlight w:val="none"/>
        </w:rPr>
      </w:pPr>
      <w:r>
        <w:rPr>
          <w:rFonts w:hint="eastAsia" w:ascii="宋体" w:hAnsi="宋体" w:cs="宋体"/>
          <w:b/>
          <w:color w:val="auto"/>
          <w:sz w:val="48"/>
          <w:szCs w:val="48"/>
          <w:highlight w:val="none"/>
        </w:rPr>
        <w:t>目  录</w:t>
      </w:r>
    </w:p>
    <w:p w14:paraId="135F04B6">
      <w:pPr>
        <w:shd w:val="clear"/>
        <w:spacing w:line="360" w:lineRule="auto"/>
        <w:rPr>
          <w:rFonts w:ascii="宋体" w:hAnsi="宋体" w:cs="宋体"/>
          <w:color w:val="auto"/>
          <w:sz w:val="32"/>
          <w:szCs w:val="32"/>
          <w:highlight w:val="none"/>
        </w:rPr>
      </w:pPr>
    </w:p>
    <w:p w14:paraId="48ABE297">
      <w:pPr>
        <w:shd w:val="clear"/>
        <w:spacing w:line="360" w:lineRule="auto"/>
        <w:rPr>
          <w:rFonts w:ascii="宋体" w:hAnsi="宋体" w:cs="宋体"/>
          <w:color w:val="auto"/>
          <w:sz w:val="32"/>
          <w:szCs w:val="32"/>
          <w:highlight w:val="none"/>
        </w:rPr>
      </w:pPr>
    </w:p>
    <w:p w14:paraId="25D1275C">
      <w:pPr>
        <w:shd w:val="clea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第一部分      招标公告</w:t>
      </w:r>
    </w:p>
    <w:p w14:paraId="156D212F">
      <w:pPr>
        <w:shd w:val="clea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第二部分      投标人须知</w:t>
      </w:r>
    </w:p>
    <w:p w14:paraId="3CAA220B">
      <w:pPr>
        <w:shd w:val="clea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第三部分      采购需求</w:t>
      </w:r>
    </w:p>
    <w:p w14:paraId="6700A6D4">
      <w:pPr>
        <w:shd w:val="clea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第四部分      评标办法</w:t>
      </w:r>
    </w:p>
    <w:p w14:paraId="169F20EA">
      <w:pPr>
        <w:shd w:val="clea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第五部分      拟签订的合同文本</w:t>
      </w:r>
    </w:p>
    <w:p w14:paraId="0FE2FE45">
      <w:pPr>
        <w:shd w:val="clea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第六部分      应提交的有关格式范例</w:t>
      </w:r>
    </w:p>
    <w:p w14:paraId="051DE24D">
      <w:pPr>
        <w:shd w:val="clear"/>
        <w:spacing w:line="360" w:lineRule="auto"/>
        <w:ind w:firstLine="549" w:firstLineChars="229"/>
        <w:rPr>
          <w:rFonts w:ascii="宋体" w:hAnsi="宋体" w:cs="宋体"/>
          <w:color w:val="auto"/>
          <w:sz w:val="24"/>
          <w:highlight w:val="none"/>
        </w:rPr>
      </w:pPr>
      <w:bookmarkStart w:id="1" w:name="_Hlt91233176"/>
      <w:bookmarkEnd w:id="1"/>
      <w:bookmarkStart w:id="2" w:name="_Toc91899869"/>
    </w:p>
    <w:p w14:paraId="1EBDB51F">
      <w:pPr>
        <w:shd w:val="clear"/>
        <w:spacing w:line="360" w:lineRule="auto"/>
        <w:ind w:firstLine="549" w:firstLineChars="229"/>
        <w:rPr>
          <w:rFonts w:ascii="宋体" w:hAnsi="宋体" w:cs="宋体"/>
          <w:color w:val="auto"/>
          <w:sz w:val="24"/>
          <w:highlight w:val="none"/>
        </w:rPr>
      </w:pPr>
    </w:p>
    <w:p w14:paraId="6E2D247A">
      <w:pPr>
        <w:shd w:val="clear"/>
        <w:spacing w:line="360" w:lineRule="auto"/>
        <w:ind w:firstLine="549" w:firstLineChars="229"/>
        <w:rPr>
          <w:rFonts w:ascii="宋体" w:hAnsi="宋体" w:cs="宋体"/>
          <w:color w:val="auto"/>
          <w:sz w:val="24"/>
          <w:highlight w:val="none"/>
        </w:rPr>
      </w:pPr>
    </w:p>
    <w:p w14:paraId="102A0E8D">
      <w:pPr>
        <w:shd w:val="clear"/>
        <w:spacing w:line="360" w:lineRule="auto"/>
        <w:ind w:firstLine="549" w:firstLineChars="229"/>
        <w:rPr>
          <w:rFonts w:ascii="宋体" w:hAnsi="宋体" w:cs="宋体"/>
          <w:color w:val="auto"/>
          <w:sz w:val="24"/>
          <w:highlight w:val="none"/>
        </w:rPr>
      </w:pPr>
    </w:p>
    <w:p w14:paraId="561AA6E8">
      <w:pPr>
        <w:shd w:val="clear"/>
        <w:spacing w:line="360" w:lineRule="auto"/>
        <w:ind w:firstLine="549" w:firstLineChars="229"/>
        <w:rPr>
          <w:rFonts w:ascii="宋体" w:hAnsi="宋体" w:cs="宋体"/>
          <w:color w:val="auto"/>
          <w:sz w:val="24"/>
          <w:highlight w:val="none"/>
        </w:rPr>
      </w:pPr>
    </w:p>
    <w:p w14:paraId="1D3AB6BF">
      <w:pPr>
        <w:shd w:val="clear"/>
        <w:spacing w:line="360" w:lineRule="auto"/>
        <w:ind w:firstLine="549" w:firstLineChars="229"/>
        <w:rPr>
          <w:rFonts w:ascii="宋体" w:hAnsi="宋体" w:cs="宋体"/>
          <w:color w:val="auto"/>
          <w:sz w:val="24"/>
          <w:highlight w:val="none"/>
        </w:rPr>
      </w:pPr>
    </w:p>
    <w:p w14:paraId="5030316C">
      <w:pPr>
        <w:shd w:val="clear"/>
        <w:spacing w:line="360" w:lineRule="auto"/>
        <w:ind w:firstLine="549" w:firstLineChars="229"/>
        <w:rPr>
          <w:rFonts w:ascii="宋体" w:hAnsi="宋体" w:cs="宋体"/>
          <w:color w:val="auto"/>
          <w:sz w:val="24"/>
          <w:highlight w:val="none"/>
        </w:rPr>
      </w:pPr>
    </w:p>
    <w:p w14:paraId="64B72F06">
      <w:pPr>
        <w:shd w:val="clear"/>
        <w:spacing w:line="360" w:lineRule="auto"/>
        <w:ind w:firstLine="549" w:firstLineChars="229"/>
        <w:rPr>
          <w:rFonts w:ascii="宋体" w:hAnsi="宋体" w:cs="宋体"/>
          <w:color w:val="auto"/>
          <w:sz w:val="24"/>
          <w:highlight w:val="none"/>
        </w:rPr>
      </w:pPr>
    </w:p>
    <w:p w14:paraId="503DE8DD">
      <w:pPr>
        <w:shd w:val="clear"/>
        <w:spacing w:line="360" w:lineRule="auto"/>
        <w:ind w:firstLine="549" w:firstLineChars="229"/>
        <w:rPr>
          <w:rFonts w:ascii="宋体" w:hAnsi="宋体" w:cs="宋体"/>
          <w:color w:val="auto"/>
          <w:sz w:val="24"/>
          <w:highlight w:val="none"/>
        </w:rPr>
      </w:pPr>
    </w:p>
    <w:p w14:paraId="1D1D6896">
      <w:pPr>
        <w:shd w:val="clear"/>
        <w:spacing w:line="360" w:lineRule="auto"/>
        <w:ind w:firstLine="549" w:firstLineChars="229"/>
        <w:rPr>
          <w:rFonts w:ascii="宋体" w:hAnsi="宋体" w:cs="宋体"/>
          <w:color w:val="auto"/>
          <w:sz w:val="24"/>
          <w:highlight w:val="none"/>
        </w:rPr>
      </w:pPr>
    </w:p>
    <w:p w14:paraId="4180530E">
      <w:pPr>
        <w:shd w:val="clear"/>
        <w:spacing w:line="360" w:lineRule="auto"/>
        <w:ind w:firstLine="549" w:firstLineChars="229"/>
        <w:rPr>
          <w:rFonts w:ascii="宋体" w:hAnsi="宋体" w:cs="宋体"/>
          <w:color w:val="auto"/>
          <w:sz w:val="24"/>
          <w:highlight w:val="none"/>
        </w:rPr>
      </w:pPr>
    </w:p>
    <w:p w14:paraId="4784BFF2">
      <w:pPr>
        <w:shd w:val="clear"/>
        <w:spacing w:line="360" w:lineRule="auto"/>
        <w:ind w:firstLine="549" w:firstLineChars="229"/>
        <w:rPr>
          <w:rFonts w:ascii="宋体" w:hAnsi="宋体" w:cs="宋体"/>
          <w:color w:val="auto"/>
          <w:sz w:val="24"/>
          <w:highlight w:val="none"/>
        </w:rPr>
      </w:pPr>
    </w:p>
    <w:p w14:paraId="2EAC3564">
      <w:pPr>
        <w:shd w:val="clear"/>
        <w:spacing w:line="360" w:lineRule="auto"/>
        <w:ind w:firstLine="549" w:firstLineChars="229"/>
        <w:rPr>
          <w:rFonts w:ascii="宋体" w:hAnsi="宋体" w:cs="宋体"/>
          <w:color w:val="auto"/>
          <w:sz w:val="24"/>
          <w:highlight w:val="none"/>
        </w:rPr>
      </w:pPr>
    </w:p>
    <w:p w14:paraId="72F78CA8">
      <w:pPr>
        <w:shd w:val="clear"/>
        <w:spacing w:line="360" w:lineRule="auto"/>
        <w:rPr>
          <w:rFonts w:ascii="宋体" w:hAnsi="宋体" w:cs="宋体"/>
          <w:color w:val="auto"/>
          <w:sz w:val="24"/>
          <w:highlight w:val="none"/>
        </w:rPr>
      </w:pPr>
    </w:p>
    <w:p w14:paraId="5D0FF1A0">
      <w:pPr>
        <w:shd w:val="clear"/>
        <w:adjustRightInd/>
        <w:spacing w:line="360" w:lineRule="auto"/>
        <w:jc w:val="center"/>
        <w:outlineLvl w:val="0"/>
        <w:rPr>
          <w:rFonts w:ascii="宋体" w:hAnsi="宋体" w:cs="宋体"/>
          <w:b/>
          <w:color w:val="auto"/>
          <w:sz w:val="36"/>
          <w:szCs w:val="20"/>
          <w:highlight w:val="none"/>
        </w:rPr>
      </w:pPr>
      <w:bookmarkStart w:id="3" w:name="第一部分"/>
      <w:r>
        <w:rPr>
          <w:rFonts w:hint="eastAsia" w:ascii="宋体" w:hAnsi="宋体" w:cs="宋体"/>
          <w:b/>
          <w:color w:val="auto"/>
          <w:sz w:val="36"/>
          <w:szCs w:val="36"/>
          <w:highlight w:val="none"/>
        </w:rPr>
        <w:br w:type="page"/>
      </w:r>
      <w:bookmarkEnd w:id="2"/>
      <w:bookmarkEnd w:id="3"/>
      <w:bookmarkStart w:id="4" w:name="_Hlt74728647"/>
      <w:bookmarkEnd w:id="4"/>
      <w:bookmarkStart w:id="5" w:name="_Hlt74729822"/>
      <w:bookmarkEnd w:id="5"/>
      <w:bookmarkStart w:id="6" w:name="_Hlt74649545"/>
      <w:bookmarkEnd w:id="6"/>
      <w:bookmarkStart w:id="7" w:name="_Hlt74707423"/>
      <w:bookmarkEnd w:id="7"/>
      <w:bookmarkStart w:id="8" w:name="第二部分"/>
      <w:bookmarkStart w:id="9" w:name="_Toc91899870"/>
      <w:bookmarkStart w:id="10" w:name="_Toc91899871"/>
      <w:r>
        <w:rPr>
          <w:rFonts w:hint="eastAsia" w:ascii="宋体" w:hAnsi="宋体" w:cs="宋体"/>
          <w:b/>
          <w:color w:val="auto"/>
          <w:sz w:val="36"/>
          <w:szCs w:val="20"/>
          <w:highlight w:val="none"/>
        </w:rPr>
        <w:t>第一部分 招标公告</w:t>
      </w:r>
    </w:p>
    <w:p w14:paraId="473563DA">
      <w:pPr>
        <w:pBdr>
          <w:top w:val="single" w:color="auto" w:sz="4" w:space="1"/>
          <w:left w:val="single" w:color="auto" w:sz="4" w:space="4"/>
          <w:bottom w:val="single" w:color="auto" w:sz="4" w:space="1"/>
          <w:right w:val="single" w:color="auto" w:sz="4" w:space="4"/>
        </w:pBdr>
        <w:shd w:val="clea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项目概况</w:t>
      </w:r>
    </w:p>
    <w:p w14:paraId="356B50C8">
      <w:pPr>
        <w:pBdr>
          <w:top w:val="single" w:color="auto" w:sz="4" w:space="1"/>
          <w:left w:val="single" w:color="auto" w:sz="4" w:space="4"/>
          <w:bottom w:val="single" w:color="auto" w:sz="4" w:space="1"/>
          <w:right w:val="single" w:color="auto" w:sz="4" w:space="4"/>
        </w:pBdr>
        <w:shd w:val="clear"/>
        <w:spacing w:line="360" w:lineRule="auto"/>
        <w:ind w:firstLine="480" w:firstLineChars="200"/>
        <w:rPr>
          <w:rFonts w:ascii="宋体" w:hAnsi="宋体" w:cs="宋体"/>
          <w:color w:val="auto"/>
          <w:sz w:val="24"/>
          <w:highlight w:val="none"/>
          <w:u w:val="single"/>
        </w:rPr>
      </w:pPr>
      <w:r>
        <w:rPr>
          <w:rFonts w:hint="eastAsia" w:ascii="宋体" w:hAnsi="宋体" w:cs="宋体"/>
          <w:color w:val="auto"/>
          <w:sz w:val="24"/>
          <w:highlight w:val="none"/>
          <w:u w:val="single"/>
          <w:lang w:val="en-US" w:eastAsia="zh-CN"/>
        </w:rPr>
        <w:t>宁波市海曙区各集中管理办公区等食堂原材料采购项目（蔬果类）</w:t>
      </w:r>
      <w:r>
        <w:rPr>
          <w:rFonts w:hint="eastAsia" w:ascii="宋体" w:hAnsi="宋体" w:cs="宋体"/>
          <w:color w:val="auto"/>
          <w:sz w:val="24"/>
          <w:highlight w:val="none"/>
        </w:rPr>
        <w:t>招标项目的潜在投标人应在政采云平台（</w:t>
      </w:r>
      <w:r>
        <w:rPr>
          <w:color w:val="auto"/>
          <w:highlight w:val="none"/>
        </w:rPr>
        <w:fldChar w:fldCharType="begin"/>
      </w:r>
      <w:r>
        <w:rPr>
          <w:color w:val="auto"/>
          <w:highlight w:val="none"/>
        </w:rPr>
        <w:instrText xml:space="preserve"> HYPERLINK "https://www.zcygov.cn/）获取（下载）招标文件，并于202%20年%20月%20日%20点%20分00秒" </w:instrText>
      </w:r>
      <w:r>
        <w:rPr>
          <w:color w:val="auto"/>
          <w:highlight w:val="none"/>
        </w:rPr>
        <w:fldChar w:fldCharType="separate"/>
      </w:r>
      <w:r>
        <w:rPr>
          <w:rStyle w:val="77"/>
          <w:rFonts w:hint="eastAsia" w:ascii="宋体" w:hAnsi="宋体" w:eastAsia="宋体" w:cs="宋体"/>
          <w:snapToGrid/>
          <w:color w:val="auto"/>
          <w:kern w:val="2"/>
          <w:sz w:val="24"/>
          <w:szCs w:val="24"/>
          <w:highlight w:val="none"/>
        </w:rPr>
        <w:t>https://www.zcygov.cn/）获取（下载）招标文件，并于</w:t>
      </w:r>
      <w:r>
        <w:rPr>
          <w:rStyle w:val="77"/>
          <w:rFonts w:hint="eastAsia" w:ascii="宋体" w:hAnsi="宋体" w:cs="宋体"/>
          <w:snapToGrid/>
          <w:color w:val="auto"/>
          <w:kern w:val="2"/>
          <w:sz w:val="24"/>
          <w:szCs w:val="24"/>
          <w:highlight w:val="none"/>
          <w:lang w:eastAsia="zh-CN"/>
        </w:rPr>
        <w:t>2025</w:t>
      </w:r>
      <w:r>
        <w:rPr>
          <w:rStyle w:val="77"/>
          <w:rFonts w:hint="eastAsia" w:ascii="宋体" w:hAnsi="宋体" w:eastAsia="宋体" w:cs="宋体"/>
          <w:snapToGrid/>
          <w:color w:val="auto"/>
          <w:kern w:val="2"/>
          <w:sz w:val="24"/>
          <w:szCs w:val="24"/>
          <w:highlight w:val="none"/>
        </w:rPr>
        <w:t>年</w:t>
      </w:r>
      <w:r>
        <w:rPr>
          <w:rStyle w:val="77"/>
          <w:rFonts w:hint="eastAsia" w:ascii="宋体" w:hAnsi="宋体" w:cs="宋体"/>
          <w:snapToGrid/>
          <w:color w:val="auto"/>
          <w:kern w:val="2"/>
          <w:sz w:val="24"/>
          <w:szCs w:val="24"/>
          <w:highlight w:val="none"/>
          <w:lang w:val="en-US" w:eastAsia="zh-CN"/>
        </w:rPr>
        <w:t>04</w:t>
      </w:r>
      <w:r>
        <w:rPr>
          <w:rStyle w:val="77"/>
          <w:rFonts w:hint="eastAsia" w:ascii="宋体" w:hAnsi="宋体" w:eastAsia="宋体" w:cs="宋体"/>
          <w:snapToGrid/>
          <w:color w:val="auto"/>
          <w:kern w:val="2"/>
          <w:sz w:val="24"/>
          <w:szCs w:val="24"/>
          <w:highlight w:val="none"/>
        </w:rPr>
        <w:t>月</w:t>
      </w:r>
      <w:r>
        <w:rPr>
          <w:rStyle w:val="77"/>
          <w:rFonts w:hint="eastAsia" w:ascii="宋体" w:hAnsi="宋体" w:cs="宋体"/>
          <w:snapToGrid/>
          <w:color w:val="auto"/>
          <w:kern w:val="2"/>
          <w:sz w:val="24"/>
          <w:szCs w:val="24"/>
          <w:highlight w:val="none"/>
          <w:lang w:val="en-US" w:eastAsia="zh-CN"/>
        </w:rPr>
        <w:t>24</w:t>
      </w:r>
      <w:r>
        <w:rPr>
          <w:rStyle w:val="77"/>
          <w:rFonts w:hint="eastAsia" w:ascii="宋体" w:hAnsi="宋体" w:eastAsia="宋体" w:cs="宋体"/>
          <w:snapToGrid/>
          <w:color w:val="auto"/>
          <w:kern w:val="2"/>
          <w:sz w:val="24"/>
          <w:szCs w:val="24"/>
          <w:highlight w:val="none"/>
        </w:rPr>
        <w:t>日</w:t>
      </w:r>
      <w:r>
        <w:rPr>
          <w:rStyle w:val="77"/>
          <w:rFonts w:hint="eastAsia" w:ascii="宋体" w:hAnsi="宋体" w:cs="宋体"/>
          <w:snapToGrid/>
          <w:color w:val="auto"/>
          <w:kern w:val="2"/>
          <w:sz w:val="24"/>
          <w:szCs w:val="24"/>
          <w:highlight w:val="none"/>
          <w:lang w:val="en-US" w:eastAsia="zh-CN"/>
        </w:rPr>
        <w:t>09</w:t>
      </w:r>
      <w:r>
        <w:rPr>
          <w:rStyle w:val="77"/>
          <w:rFonts w:hint="eastAsia" w:ascii="宋体" w:hAnsi="宋体" w:eastAsia="宋体" w:cs="宋体"/>
          <w:snapToGrid/>
          <w:color w:val="auto"/>
          <w:kern w:val="2"/>
          <w:sz w:val="24"/>
          <w:szCs w:val="24"/>
          <w:highlight w:val="none"/>
        </w:rPr>
        <w:t>点</w:t>
      </w:r>
      <w:r>
        <w:rPr>
          <w:rStyle w:val="77"/>
          <w:rFonts w:hint="eastAsia" w:ascii="宋体" w:hAnsi="宋体" w:cs="宋体"/>
          <w:snapToGrid/>
          <w:color w:val="auto"/>
          <w:kern w:val="2"/>
          <w:sz w:val="24"/>
          <w:szCs w:val="24"/>
          <w:highlight w:val="none"/>
          <w:lang w:val="en-US" w:eastAsia="zh-CN"/>
        </w:rPr>
        <w:t>00</w:t>
      </w:r>
      <w:r>
        <w:rPr>
          <w:rStyle w:val="77"/>
          <w:rFonts w:hint="eastAsia" w:ascii="宋体" w:hAnsi="宋体" w:eastAsia="宋体" w:cs="宋体"/>
          <w:snapToGrid/>
          <w:color w:val="auto"/>
          <w:kern w:val="2"/>
          <w:sz w:val="24"/>
          <w:szCs w:val="24"/>
          <w:highlight w:val="none"/>
        </w:rPr>
        <w:t>分</w:t>
      </w:r>
      <w:r>
        <w:rPr>
          <w:rStyle w:val="77"/>
          <w:rFonts w:hint="eastAsia" w:ascii="宋体" w:hAnsi="宋体" w:eastAsia="宋体" w:cs="宋体"/>
          <w:bCs/>
          <w:snapToGrid/>
          <w:color w:val="auto"/>
          <w:kern w:val="2"/>
          <w:sz w:val="24"/>
          <w:szCs w:val="24"/>
          <w:highlight w:val="none"/>
        </w:rPr>
        <w:t>00秒</w:t>
      </w:r>
      <w:r>
        <w:rPr>
          <w:rStyle w:val="77"/>
          <w:rFonts w:hint="eastAsia" w:ascii="宋体" w:hAnsi="宋体" w:eastAsia="宋体" w:cs="宋体"/>
          <w:bCs/>
          <w:snapToGrid/>
          <w:color w:val="auto"/>
          <w:kern w:val="2"/>
          <w:sz w:val="24"/>
          <w:szCs w:val="24"/>
          <w:highlight w:val="none"/>
        </w:rPr>
        <w:fldChar w:fldCharType="end"/>
      </w:r>
      <w:r>
        <w:rPr>
          <w:rFonts w:hint="eastAsia" w:ascii="宋体" w:hAnsi="宋体" w:cs="宋体"/>
          <w:bCs/>
          <w:color w:val="auto"/>
          <w:sz w:val="24"/>
          <w:highlight w:val="none"/>
        </w:rPr>
        <w:t>（北京时间）前</w:t>
      </w:r>
      <w:r>
        <w:rPr>
          <w:rFonts w:hint="eastAsia" w:ascii="宋体" w:hAnsi="宋体" w:cs="宋体"/>
          <w:color w:val="auto"/>
          <w:sz w:val="24"/>
          <w:highlight w:val="none"/>
        </w:rPr>
        <w:t>递交（上传）投标文件。</w:t>
      </w:r>
    </w:p>
    <w:p w14:paraId="080832B9">
      <w:pPr>
        <w:shd w:val="clear"/>
        <w:spacing w:line="360" w:lineRule="auto"/>
        <w:rPr>
          <w:rFonts w:ascii="宋体" w:hAnsi="宋体" w:cs="宋体"/>
          <w:b/>
          <w:color w:val="auto"/>
          <w:sz w:val="24"/>
          <w:highlight w:val="none"/>
        </w:rPr>
      </w:pPr>
      <w:r>
        <w:rPr>
          <w:rFonts w:hint="eastAsia" w:ascii="宋体" w:hAnsi="宋体" w:cs="宋体"/>
          <w:b/>
          <w:color w:val="auto"/>
          <w:sz w:val="24"/>
          <w:highlight w:val="none"/>
        </w:rPr>
        <w:t xml:space="preserve">一、项目基本情况                                            </w:t>
      </w:r>
    </w:p>
    <w:p w14:paraId="6CDC8709">
      <w:pPr>
        <w:shd w:val="clear"/>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b/>
          <w:color w:val="auto"/>
          <w:sz w:val="24"/>
          <w:highlight w:val="none"/>
        </w:rPr>
        <w:t>项目编号：</w:t>
      </w:r>
      <w:r>
        <w:rPr>
          <w:rFonts w:hint="eastAsia" w:ascii="宋体" w:hAnsi="宋体" w:cs="宋体"/>
          <w:color w:val="auto"/>
          <w:sz w:val="24"/>
          <w:highlight w:val="none"/>
          <w:lang w:eastAsia="zh-CN"/>
        </w:rPr>
        <w:t xml:space="preserve">2025NBHSWT112  </w:t>
      </w:r>
    </w:p>
    <w:p w14:paraId="1FADFD6E">
      <w:pPr>
        <w:shd w:val="clear"/>
        <w:spacing w:line="360" w:lineRule="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 xml:space="preserve">   </w:t>
      </w:r>
      <w:r>
        <w:rPr>
          <w:rFonts w:hint="eastAsia" w:ascii="宋体" w:hAnsi="宋体" w:cs="宋体"/>
          <w:b/>
          <w:color w:val="auto"/>
          <w:sz w:val="24"/>
          <w:highlight w:val="none"/>
        </w:rPr>
        <w:t xml:space="preserve"> 项目名称：</w:t>
      </w:r>
      <w:r>
        <w:rPr>
          <w:rFonts w:hint="eastAsia" w:ascii="宋体" w:hAnsi="宋体" w:cs="宋体"/>
          <w:color w:val="auto"/>
          <w:sz w:val="24"/>
          <w:highlight w:val="none"/>
          <w:lang w:eastAsia="zh-CN"/>
        </w:rPr>
        <w:t>宁波市海曙区各集中管理办公区等食堂原材料采购项目（蔬果类）</w:t>
      </w:r>
    </w:p>
    <w:p w14:paraId="481634BC">
      <w:pPr>
        <w:shd w:val="clear"/>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b/>
          <w:color w:val="auto"/>
          <w:sz w:val="24"/>
          <w:highlight w:val="none"/>
        </w:rPr>
        <w:t xml:space="preserve"> 预算金额（元）：</w:t>
      </w:r>
      <w:r>
        <w:rPr>
          <w:rFonts w:hint="eastAsia" w:ascii="宋体" w:hAnsi="宋体" w:cs="宋体"/>
          <w:color w:val="auto"/>
          <w:sz w:val="24"/>
          <w:highlight w:val="none"/>
          <w:lang w:val="en-US" w:eastAsia="zh-CN"/>
        </w:rPr>
        <w:t>5700000</w:t>
      </w:r>
    </w:p>
    <w:p w14:paraId="022FE2FA">
      <w:pPr>
        <w:shd w:val="clear"/>
        <w:spacing w:line="360" w:lineRule="auto"/>
        <w:ind w:firstLine="480"/>
        <w:rPr>
          <w:rFonts w:hint="default" w:ascii="宋体" w:hAnsi="宋体" w:cs="宋体"/>
          <w:color w:val="auto"/>
          <w:sz w:val="24"/>
          <w:highlight w:val="none"/>
          <w:lang w:val="en-US"/>
        </w:rPr>
      </w:pPr>
      <w:r>
        <w:rPr>
          <w:rFonts w:hint="eastAsia" w:ascii="宋体" w:hAnsi="宋体" w:cs="宋体"/>
          <w:b/>
          <w:color w:val="auto"/>
          <w:sz w:val="24"/>
          <w:highlight w:val="none"/>
        </w:rPr>
        <w:t>最高限价（元）：</w:t>
      </w:r>
      <w:r>
        <w:rPr>
          <w:rFonts w:hint="eastAsia" w:ascii="宋体" w:hAnsi="宋体" w:cs="宋体"/>
          <w:color w:val="auto"/>
          <w:sz w:val="24"/>
          <w:highlight w:val="none"/>
          <w:lang w:val="en-US" w:eastAsia="zh-CN"/>
        </w:rPr>
        <w:t>3500000，1200000</w:t>
      </w: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1000000</w:t>
      </w:r>
    </w:p>
    <w:p w14:paraId="6DCA0EC5">
      <w:pPr>
        <w:shd w:val="clear"/>
        <w:spacing w:line="360" w:lineRule="auto"/>
        <w:ind w:firstLine="480"/>
        <w:rPr>
          <w:rFonts w:hint="default" w:ascii="宋体" w:hAnsi="宋体" w:eastAsia="宋体" w:cs="宋体"/>
          <w:b/>
          <w:bCs/>
          <w:snapToGrid w:val="0"/>
          <w:color w:val="auto"/>
          <w:kern w:val="28"/>
          <w:sz w:val="24"/>
          <w:szCs w:val="20"/>
          <w:highlight w:val="none"/>
          <w:lang w:val="en-US" w:eastAsia="zh-CN"/>
        </w:rPr>
      </w:pPr>
      <w:r>
        <w:rPr>
          <w:rFonts w:hint="eastAsia" w:ascii="宋体" w:hAnsi="宋体" w:cs="宋体"/>
          <w:b/>
          <w:bCs/>
          <w:snapToGrid w:val="0"/>
          <w:color w:val="auto"/>
          <w:kern w:val="28"/>
          <w:sz w:val="24"/>
          <w:szCs w:val="20"/>
          <w:highlight w:val="none"/>
          <w:lang w:val="en-US" w:eastAsia="zh-CN"/>
        </w:rPr>
        <w:t>采购需求：</w:t>
      </w:r>
    </w:p>
    <w:p w14:paraId="197D64AB">
      <w:pPr>
        <w:spacing w:line="360" w:lineRule="auto"/>
        <w:ind w:firstLine="480"/>
        <w:rPr>
          <w:rFonts w:hint="eastAsia" w:ascii="宋体" w:hAnsi="宋体" w:eastAsia="宋体" w:cs="宋体"/>
          <w:b/>
          <w:bCs/>
          <w:snapToGrid w:val="0"/>
          <w:color w:val="auto"/>
          <w:kern w:val="28"/>
          <w:sz w:val="24"/>
          <w:szCs w:val="20"/>
          <w:highlight w:val="none"/>
          <w:lang w:val="en-US" w:eastAsia="zh-CN"/>
        </w:rPr>
      </w:pPr>
      <w:r>
        <w:rPr>
          <w:rFonts w:hint="eastAsia" w:ascii="宋体" w:hAnsi="宋体" w:eastAsia="宋体" w:cs="宋体"/>
          <w:b/>
          <w:bCs/>
          <w:snapToGrid w:val="0"/>
          <w:color w:val="auto"/>
          <w:kern w:val="28"/>
          <w:sz w:val="24"/>
          <w:szCs w:val="20"/>
          <w:highlight w:val="none"/>
          <w:lang w:val="en-US" w:eastAsia="zh-CN"/>
        </w:rPr>
        <w:t>标项</w:t>
      </w:r>
      <w:r>
        <w:rPr>
          <w:rFonts w:hint="eastAsia" w:ascii="宋体" w:hAnsi="宋体" w:cs="宋体"/>
          <w:b/>
          <w:bCs/>
          <w:snapToGrid w:val="0"/>
          <w:color w:val="auto"/>
          <w:kern w:val="28"/>
          <w:sz w:val="24"/>
          <w:szCs w:val="20"/>
          <w:highlight w:val="none"/>
          <w:lang w:val="en-US" w:eastAsia="zh-CN"/>
        </w:rPr>
        <w:t>一</w:t>
      </w:r>
      <w:r>
        <w:rPr>
          <w:rFonts w:hint="eastAsia" w:ascii="宋体" w:hAnsi="宋体" w:eastAsia="宋体" w:cs="宋体"/>
          <w:b/>
          <w:bCs/>
          <w:snapToGrid w:val="0"/>
          <w:color w:val="auto"/>
          <w:kern w:val="28"/>
          <w:sz w:val="24"/>
          <w:szCs w:val="20"/>
          <w:highlight w:val="none"/>
          <w:lang w:val="en-US" w:eastAsia="zh-CN"/>
        </w:rPr>
        <w:t>：</w:t>
      </w:r>
    </w:p>
    <w:p w14:paraId="419074E1">
      <w:pPr>
        <w:spacing w:line="360" w:lineRule="auto"/>
        <w:ind w:leftChars="100" w:firstLine="480"/>
        <w:rPr>
          <w:rFonts w:hint="eastAsia" w:ascii="宋体" w:hAnsi="宋体" w:eastAsia="宋体" w:cs="宋体"/>
          <w:snapToGrid w:val="0"/>
          <w:color w:val="auto"/>
          <w:kern w:val="28"/>
          <w:sz w:val="24"/>
          <w:szCs w:val="20"/>
          <w:highlight w:val="none"/>
          <w:lang w:val="en-US"/>
        </w:rPr>
      </w:pPr>
      <w:r>
        <w:rPr>
          <w:rFonts w:hint="eastAsia" w:ascii="宋体" w:hAnsi="宋体" w:eastAsia="宋体" w:cs="宋体"/>
          <w:snapToGrid w:val="0"/>
          <w:color w:val="auto"/>
          <w:kern w:val="28"/>
          <w:sz w:val="24"/>
          <w:szCs w:val="20"/>
          <w:highlight w:val="none"/>
        </w:rPr>
        <w:t>标项名称</w:t>
      </w:r>
      <w:r>
        <w:rPr>
          <w:rFonts w:hint="eastAsia" w:ascii="宋体" w:hAnsi="宋体" w:eastAsia="宋体" w:cs="宋体"/>
          <w:snapToGrid w:val="0"/>
          <w:color w:val="auto"/>
          <w:kern w:val="28"/>
          <w:sz w:val="24"/>
          <w:szCs w:val="20"/>
          <w:highlight w:val="none"/>
          <w:lang w:eastAsia="zh-CN"/>
        </w:rPr>
        <w:t>：</w:t>
      </w:r>
      <w:r>
        <w:rPr>
          <w:rFonts w:hint="eastAsia" w:ascii="宋体" w:hAnsi="宋体" w:cs="宋体"/>
          <w:snapToGrid w:val="0"/>
          <w:color w:val="auto"/>
          <w:kern w:val="28"/>
          <w:sz w:val="24"/>
          <w:szCs w:val="20"/>
          <w:highlight w:val="none"/>
          <w:lang w:val="en-US" w:eastAsia="zh-CN"/>
        </w:rPr>
        <w:t>蔬菜及豆制品类</w:t>
      </w:r>
    </w:p>
    <w:p w14:paraId="74C183EB">
      <w:pPr>
        <w:spacing w:line="360" w:lineRule="auto"/>
        <w:ind w:leftChars="100" w:firstLine="480"/>
        <w:rPr>
          <w:rFonts w:hint="eastAsia" w:ascii="宋体" w:hAnsi="宋体" w:eastAsia="宋体" w:cs="宋体"/>
          <w:snapToGrid w:val="0"/>
          <w:color w:val="auto"/>
          <w:kern w:val="28"/>
          <w:sz w:val="24"/>
          <w:szCs w:val="20"/>
          <w:highlight w:val="none"/>
          <w:lang w:val="en-US" w:eastAsia="zh-CN"/>
        </w:rPr>
      </w:pPr>
      <w:r>
        <w:rPr>
          <w:rFonts w:hint="eastAsia" w:ascii="宋体" w:hAnsi="宋体" w:eastAsia="宋体" w:cs="宋体"/>
          <w:snapToGrid w:val="0"/>
          <w:color w:val="auto"/>
          <w:kern w:val="28"/>
          <w:sz w:val="24"/>
          <w:szCs w:val="20"/>
          <w:highlight w:val="none"/>
        </w:rPr>
        <w:t>数量</w:t>
      </w:r>
      <w:r>
        <w:rPr>
          <w:rFonts w:hint="eastAsia" w:ascii="宋体" w:hAnsi="宋体" w:eastAsia="宋体" w:cs="宋体"/>
          <w:snapToGrid w:val="0"/>
          <w:color w:val="auto"/>
          <w:kern w:val="28"/>
          <w:sz w:val="24"/>
          <w:szCs w:val="20"/>
          <w:highlight w:val="none"/>
          <w:lang w:eastAsia="zh-CN"/>
        </w:rPr>
        <w:t>：</w:t>
      </w:r>
      <w:r>
        <w:rPr>
          <w:rFonts w:hint="eastAsia" w:ascii="宋体" w:hAnsi="宋体" w:eastAsia="宋体" w:cs="宋体"/>
          <w:snapToGrid w:val="0"/>
          <w:color w:val="auto"/>
          <w:kern w:val="28"/>
          <w:sz w:val="24"/>
          <w:szCs w:val="20"/>
          <w:highlight w:val="none"/>
          <w:lang w:val="en-US" w:eastAsia="zh-CN"/>
        </w:rPr>
        <w:t>1项</w:t>
      </w:r>
    </w:p>
    <w:p w14:paraId="260C7EE9">
      <w:pPr>
        <w:spacing w:line="360" w:lineRule="auto"/>
        <w:ind w:leftChars="100" w:firstLine="480"/>
        <w:rPr>
          <w:rFonts w:hint="eastAsia" w:ascii="宋体" w:hAnsi="宋体" w:eastAsia="宋体" w:cs="宋体"/>
          <w:snapToGrid w:val="0"/>
          <w:color w:val="auto"/>
          <w:kern w:val="28"/>
          <w:sz w:val="24"/>
          <w:szCs w:val="20"/>
          <w:highlight w:val="none"/>
          <w:lang w:val="en-US" w:eastAsia="zh-CN"/>
        </w:rPr>
      </w:pPr>
      <w:r>
        <w:rPr>
          <w:rFonts w:hint="eastAsia" w:ascii="宋体" w:hAnsi="宋体" w:eastAsia="宋体" w:cs="宋体"/>
          <w:snapToGrid w:val="0"/>
          <w:color w:val="auto"/>
          <w:kern w:val="28"/>
          <w:sz w:val="24"/>
          <w:szCs w:val="20"/>
          <w:highlight w:val="none"/>
        </w:rPr>
        <w:t>预算金额（元）</w:t>
      </w:r>
      <w:r>
        <w:rPr>
          <w:rFonts w:hint="eastAsia" w:ascii="宋体" w:hAnsi="宋体" w:cs="宋体"/>
          <w:snapToGrid w:val="0"/>
          <w:color w:val="auto"/>
          <w:kern w:val="28"/>
          <w:sz w:val="24"/>
          <w:szCs w:val="20"/>
          <w:highlight w:val="none"/>
          <w:lang w:eastAsia="zh-CN"/>
        </w:rPr>
        <w:t>：</w:t>
      </w:r>
      <w:r>
        <w:rPr>
          <w:rFonts w:hint="eastAsia" w:ascii="宋体" w:hAnsi="宋体" w:eastAsia="宋体" w:cs="宋体"/>
          <w:snapToGrid w:val="0"/>
          <w:color w:val="auto"/>
          <w:kern w:val="28"/>
          <w:sz w:val="24"/>
          <w:szCs w:val="20"/>
          <w:highlight w:val="none"/>
          <w:lang w:val="en-US" w:eastAsia="zh-CN"/>
        </w:rPr>
        <w:t xml:space="preserve"> </w:t>
      </w:r>
      <w:r>
        <w:rPr>
          <w:rFonts w:hint="eastAsia" w:ascii="宋体" w:hAnsi="宋体" w:cs="宋体"/>
          <w:snapToGrid w:val="0"/>
          <w:color w:val="auto"/>
          <w:kern w:val="28"/>
          <w:sz w:val="24"/>
          <w:szCs w:val="20"/>
          <w:highlight w:val="none"/>
          <w:lang w:val="en-US" w:eastAsia="zh-CN"/>
        </w:rPr>
        <w:t>3500000</w:t>
      </w:r>
    </w:p>
    <w:p w14:paraId="4AF7C0D6">
      <w:pPr>
        <w:spacing w:line="360" w:lineRule="auto"/>
        <w:ind w:leftChars="100" w:firstLine="480"/>
        <w:rPr>
          <w:rFonts w:hint="eastAsia" w:ascii="宋体" w:hAnsi="宋体" w:eastAsia="宋体" w:cs="宋体"/>
          <w:snapToGrid w:val="0"/>
          <w:color w:val="auto"/>
          <w:kern w:val="28"/>
          <w:sz w:val="24"/>
          <w:szCs w:val="20"/>
          <w:highlight w:val="none"/>
        </w:rPr>
      </w:pPr>
      <w:r>
        <w:rPr>
          <w:rFonts w:hint="eastAsia" w:ascii="宋体" w:hAnsi="宋体" w:eastAsia="宋体" w:cs="宋体"/>
          <w:snapToGrid w:val="0"/>
          <w:color w:val="auto"/>
          <w:kern w:val="28"/>
          <w:sz w:val="24"/>
          <w:szCs w:val="20"/>
          <w:highlight w:val="none"/>
        </w:rPr>
        <w:t>简要规格描述或项目基本概况介绍、用途：蔬菜类</w:t>
      </w:r>
      <w:r>
        <w:rPr>
          <w:rFonts w:hint="eastAsia" w:ascii="宋体" w:hAnsi="宋体" w:eastAsia="宋体" w:cs="宋体"/>
          <w:snapToGrid w:val="0"/>
          <w:color w:val="auto"/>
          <w:kern w:val="28"/>
          <w:sz w:val="24"/>
          <w:szCs w:val="20"/>
          <w:highlight w:val="none"/>
          <w:lang w:eastAsia="zh-CN"/>
        </w:rPr>
        <w:t>、</w:t>
      </w:r>
      <w:r>
        <w:rPr>
          <w:rFonts w:hint="eastAsia" w:ascii="宋体" w:hAnsi="宋体" w:eastAsia="宋体" w:cs="宋体"/>
          <w:snapToGrid w:val="0"/>
          <w:color w:val="auto"/>
          <w:kern w:val="28"/>
          <w:sz w:val="24"/>
          <w:szCs w:val="20"/>
          <w:highlight w:val="none"/>
        </w:rPr>
        <w:t>豆制品类定点采购</w:t>
      </w:r>
      <w:r>
        <w:rPr>
          <w:rFonts w:hint="eastAsia" w:ascii="宋体" w:hAnsi="宋体" w:eastAsia="宋体" w:cs="宋体"/>
          <w:snapToGrid w:val="0"/>
          <w:color w:val="auto"/>
          <w:kern w:val="28"/>
          <w:sz w:val="24"/>
          <w:szCs w:val="20"/>
          <w:highlight w:val="none"/>
          <w:lang w:eastAsia="zh-CN"/>
        </w:rPr>
        <w:t>；</w:t>
      </w:r>
      <w:r>
        <w:rPr>
          <w:rFonts w:hint="eastAsia" w:ascii="宋体" w:hAnsi="宋体" w:eastAsia="宋体" w:cs="宋体"/>
          <w:snapToGrid w:val="0"/>
          <w:color w:val="auto"/>
          <w:kern w:val="28"/>
          <w:sz w:val="24"/>
          <w:szCs w:val="20"/>
          <w:highlight w:val="none"/>
          <w:lang w:val="en-US" w:eastAsia="zh-CN"/>
        </w:rPr>
        <w:t>具体以招标文件第三部分采购需求为准，供应商可点击本公告下方“浏览采购文件”查看采购需求。</w:t>
      </w:r>
    </w:p>
    <w:p w14:paraId="3D678C40">
      <w:pPr>
        <w:spacing w:line="360" w:lineRule="auto"/>
        <w:ind w:leftChars="100" w:firstLine="480"/>
        <w:rPr>
          <w:rFonts w:hint="eastAsia" w:ascii="宋体" w:hAnsi="宋体" w:eastAsia="宋体" w:cs="宋体"/>
          <w:snapToGrid w:val="0"/>
          <w:color w:val="auto"/>
          <w:kern w:val="28"/>
          <w:sz w:val="24"/>
          <w:szCs w:val="20"/>
          <w:highlight w:val="none"/>
          <w:lang w:val="en-US" w:eastAsia="zh-CN"/>
        </w:rPr>
      </w:pPr>
      <w:r>
        <w:rPr>
          <w:rFonts w:hint="eastAsia" w:ascii="宋体" w:hAnsi="宋体" w:eastAsia="宋体" w:cs="宋体"/>
          <w:snapToGrid w:val="0"/>
          <w:color w:val="auto"/>
          <w:kern w:val="28"/>
          <w:sz w:val="24"/>
          <w:szCs w:val="20"/>
          <w:highlight w:val="none"/>
        </w:rPr>
        <w:t>备注：</w:t>
      </w:r>
      <w:r>
        <w:rPr>
          <w:rFonts w:hint="eastAsia" w:ascii="宋体" w:hAnsi="宋体" w:eastAsia="宋体" w:cs="宋体"/>
          <w:snapToGrid w:val="0"/>
          <w:color w:val="auto"/>
          <w:kern w:val="28"/>
          <w:sz w:val="24"/>
          <w:szCs w:val="20"/>
          <w:highlight w:val="none"/>
          <w:lang w:eastAsia="zh-CN"/>
        </w:rPr>
        <w:t>（</w:t>
      </w:r>
      <w:r>
        <w:rPr>
          <w:rFonts w:hint="eastAsia" w:ascii="宋体" w:hAnsi="宋体" w:eastAsia="宋体" w:cs="宋体"/>
          <w:snapToGrid w:val="0"/>
          <w:color w:val="auto"/>
          <w:kern w:val="28"/>
          <w:sz w:val="24"/>
          <w:szCs w:val="20"/>
          <w:highlight w:val="none"/>
          <w:lang w:val="en-US" w:eastAsia="zh-CN"/>
        </w:rPr>
        <w:t>1</w:t>
      </w:r>
      <w:r>
        <w:rPr>
          <w:rFonts w:hint="eastAsia" w:ascii="宋体" w:hAnsi="宋体" w:eastAsia="宋体" w:cs="宋体"/>
          <w:snapToGrid w:val="0"/>
          <w:color w:val="auto"/>
          <w:kern w:val="28"/>
          <w:sz w:val="24"/>
          <w:szCs w:val="20"/>
          <w:highlight w:val="none"/>
          <w:lang w:eastAsia="zh-CN"/>
        </w:rPr>
        <w:t>）</w:t>
      </w:r>
      <w:r>
        <w:rPr>
          <w:rFonts w:hint="eastAsia" w:ascii="宋体" w:hAnsi="宋体" w:eastAsia="宋体" w:cs="宋体"/>
          <w:snapToGrid w:val="0"/>
          <w:color w:val="auto"/>
          <w:kern w:val="28"/>
          <w:sz w:val="24"/>
          <w:szCs w:val="20"/>
          <w:highlight w:val="none"/>
          <w:lang w:val="en-US" w:eastAsia="zh-CN"/>
        </w:rPr>
        <w:t>组成联合体的成员（含联合体牵头人）数量不超过2个。（2）年度预算金额为350万元/年，包含鼓楼街道2</w:t>
      </w:r>
      <w:r>
        <w:rPr>
          <w:rFonts w:hint="eastAsia" w:ascii="宋体" w:hAnsi="宋体" w:cs="宋体"/>
          <w:snapToGrid w:val="0"/>
          <w:color w:val="auto"/>
          <w:kern w:val="28"/>
          <w:sz w:val="24"/>
          <w:szCs w:val="20"/>
          <w:highlight w:val="none"/>
          <w:lang w:val="en-US" w:eastAsia="zh-CN"/>
        </w:rPr>
        <w:t>5</w:t>
      </w:r>
      <w:r>
        <w:rPr>
          <w:rFonts w:hint="eastAsia" w:ascii="宋体" w:hAnsi="宋体" w:eastAsia="宋体" w:cs="宋体"/>
          <w:snapToGrid w:val="0"/>
          <w:color w:val="auto"/>
          <w:kern w:val="28"/>
          <w:sz w:val="24"/>
          <w:szCs w:val="20"/>
          <w:highlight w:val="none"/>
          <w:lang w:val="en-US" w:eastAsia="zh-CN"/>
        </w:rPr>
        <w:t>万元/年。</w:t>
      </w:r>
    </w:p>
    <w:p w14:paraId="4D2C454C">
      <w:pPr>
        <w:spacing w:line="360" w:lineRule="auto"/>
        <w:ind w:firstLine="480"/>
        <w:rPr>
          <w:rFonts w:hint="eastAsia" w:ascii="宋体" w:hAnsi="宋体" w:eastAsia="宋体" w:cs="宋体"/>
          <w:b/>
          <w:bCs/>
          <w:snapToGrid w:val="0"/>
          <w:color w:val="auto"/>
          <w:kern w:val="28"/>
          <w:sz w:val="24"/>
          <w:szCs w:val="20"/>
          <w:highlight w:val="none"/>
        </w:rPr>
      </w:pPr>
    </w:p>
    <w:p w14:paraId="0A13D94F">
      <w:pPr>
        <w:spacing w:line="360" w:lineRule="auto"/>
        <w:ind w:firstLine="480"/>
        <w:rPr>
          <w:rFonts w:hint="eastAsia" w:ascii="宋体" w:hAnsi="宋体" w:eastAsia="宋体" w:cs="宋体"/>
          <w:b/>
          <w:bCs/>
          <w:snapToGrid w:val="0"/>
          <w:color w:val="auto"/>
          <w:kern w:val="28"/>
          <w:sz w:val="24"/>
          <w:szCs w:val="20"/>
          <w:highlight w:val="none"/>
          <w:lang w:val="en-US" w:eastAsia="zh-CN"/>
        </w:rPr>
      </w:pPr>
      <w:r>
        <w:rPr>
          <w:rFonts w:hint="eastAsia" w:ascii="宋体" w:hAnsi="宋体" w:eastAsia="宋体" w:cs="宋体"/>
          <w:b/>
          <w:bCs/>
          <w:snapToGrid w:val="0"/>
          <w:color w:val="auto"/>
          <w:kern w:val="28"/>
          <w:sz w:val="24"/>
          <w:szCs w:val="20"/>
          <w:highlight w:val="none"/>
          <w:lang w:val="en-US" w:eastAsia="zh-CN"/>
        </w:rPr>
        <w:t>标项</w:t>
      </w:r>
      <w:r>
        <w:rPr>
          <w:rFonts w:hint="eastAsia" w:ascii="宋体" w:hAnsi="宋体" w:cs="宋体"/>
          <w:b/>
          <w:bCs/>
          <w:snapToGrid w:val="0"/>
          <w:color w:val="auto"/>
          <w:kern w:val="28"/>
          <w:sz w:val="24"/>
          <w:szCs w:val="20"/>
          <w:highlight w:val="none"/>
          <w:lang w:val="en-US" w:eastAsia="zh-CN"/>
        </w:rPr>
        <w:t>二</w:t>
      </w:r>
      <w:r>
        <w:rPr>
          <w:rFonts w:hint="eastAsia" w:ascii="宋体" w:hAnsi="宋体" w:eastAsia="宋体" w:cs="宋体"/>
          <w:b/>
          <w:bCs/>
          <w:snapToGrid w:val="0"/>
          <w:color w:val="auto"/>
          <w:kern w:val="28"/>
          <w:sz w:val="24"/>
          <w:szCs w:val="20"/>
          <w:highlight w:val="none"/>
          <w:lang w:val="en-US" w:eastAsia="zh-CN"/>
        </w:rPr>
        <w:t>：</w:t>
      </w:r>
    </w:p>
    <w:p w14:paraId="548B7263">
      <w:pPr>
        <w:spacing w:line="360" w:lineRule="auto"/>
        <w:ind w:leftChars="100" w:firstLine="480"/>
        <w:rPr>
          <w:rFonts w:hint="eastAsia" w:ascii="宋体" w:hAnsi="宋体" w:eastAsia="宋体" w:cs="宋体"/>
          <w:snapToGrid w:val="0"/>
          <w:color w:val="auto"/>
          <w:kern w:val="28"/>
          <w:sz w:val="24"/>
          <w:szCs w:val="20"/>
          <w:highlight w:val="none"/>
          <w:lang w:val="en-US"/>
        </w:rPr>
      </w:pPr>
      <w:r>
        <w:rPr>
          <w:rFonts w:hint="eastAsia" w:ascii="宋体" w:hAnsi="宋体" w:eastAsia="宋体" w:cs="宋体"/>
          <w:snapToGrid w:val="0"/>
          <w:color w:val="auto"/>
          <w:kern w:val="28"/>
          <w:sz w:val="24"/>
          <w:szCs w:val="20"/>
          <w:highlight w:val="none"/>
        </w:rPr>
        <w:t>标项名称</w:t>
      </w:r>
      <w:r>
        <w:rPr>
          <w:rFonts w:hint="eastAsia" w:ascii="宋体" w:hAnsi="宋体" w:eastAsia="宋体" w:cs="宋体"/>
          <w:snapToGrid w:val="0"/>
          <w:color w:val="auto"/>
          <w:kern w:val="28"/>
          <w:sz w:val="24"/>
          <w:szCs w:val="20"/>
          <w:highlight w:val="none"/>
          <w:lang w:eastAsia="zh-CN"/>
        </w:rPr>
        <w:t>：</w:t>
      </w:r>
      <w:r>
        <w:rPr>
          <w:rFonts w:hint="eastAsia" w:ascii="宋体" w:hAnsi="宋体" w:eastAsia="宋体" w:cs="宋体"/>
          <w:snapToGrid w:val="0"/>
          <w:color w:val="auto"/>
          <w:kern w:val="28"/>
          <w:sz w:val="24"/>
          <w:szCs w:val="20"/>
          <w:highlight w:val="none"/>
          <w:lang w:val="en-US" w:eastAsia="zh-CN"/>
        </w:rPr>
        <w:t>水果类</w:t>
      </w:r>
    </w:p>
    <w:p w14:paraId="317B162A">
      <w:pPr>
        <w:spacing w:line="360" w:lineRule="auto"/>
        <w:ind w:leftChars="100" w:firstLine="480"/>
        <w:rPr>
          <w:rFonts w:hint="eastAsia" w:ascii="宋体" w:hAnsi="宋体" w:eastAsia="宋体" w:cs="宋体"/>
          <w:snapToGrid w:val="0"/>
          <w:color w:val="auto"/>
          <w:kern w:val="28"/>
          <w:sz w:val="24"/>
          <w:szCs w:val="20"/>
          <w:highlight w:val="none"/>
          <w:lang w:val="en-US" w:eastAsia="zh-CN"/>
        </w:rPr>
      </w:pPr>
      <w:r>
        <w:rPr>
          <w:rFonts w:hint="eastAsia" w:ascii="宋体" w:hAnsi="宋体" w:eastAsia="宋体" w:cs="宋体"/>
          <w:snapToGrid w:val="0"/>
          <w:color w:val="auto"/>
          <w:kern w:val="28"/>
          <w:sz w:val="24"/>
          <w:szCs w:val="20"/>
          <w:highlight w:val="none"/>
        </w:rPr>
        <w:t>数量</w:t>
      </w:r>
      <w:r>
        <w:rPr>
          <w:rFonts w:hint="eastAsia" w:ascii="宋体" w:hAnsi="宋体" w:eastAsia="宋体" w:cs="宋体"/>
          <w:snapToGrid w:val="0"/>
          <w:color w:val="auto"/>
          <w:kern w:val="28"/>
          <w:sz w:val="24"/>
          <w:szCs w:val="20"/>
          <w:highlight w:val="none"/>
          <w:lang w:eastAsia="zh-CN"/>
        </w:rPr>
        <w:t>：</w:t>
      </w:r>
      <w:r>
        <w:rPr>
          <w:rFonts w:hint="eastAsia" w:ascii="宋体" w:hAnsi="宋体" w:eastAsia="宋体" w:cs="宋体"/>
          <w:snapToGrid w:val="0"/>
          <w:color w:val="auto"/>
          <w:kern w:val="28"/>
          <w:sz w:val="24"/>
          <w:szCs w:val="20"/>
          <w:highlight w:val="none"/>
          <w:lang w:val="en-US" w:eastAsia="zh-CN"/>
        </w:rPr>
        <w:t>1项</w:t>
      </w:r>
    </w:p>
    <w:p w14:paraId="564AC1B2">
      <w:pPr>
        <w:spacing w:line="360" w:lineRule="auto"/>
        <w:ind w:leftChars="100" w:firstLine="480"/>
        <w:rPr>
          <w:rFonts w:hint="eastAsia" w:ascii="宋体" w:hAnsi="宋体" w:eastAsia="宋体" w:cs="宋体"/>
          <w:snapToGrid w:val="0"/>
          <w:color w:val="auto"/>
          <w:kern w:val="28"/>
          <w:sz w:val="24"/>
          <w:szCs w:val="20"/>
          <w:highlight w:val="none"/>
          <w:lang w:val="en-US" w:eastAsia="zh-CN"/>
        </w:rPr>
      </w:pPr>
      <w:r>
        <w:rPr>
          <w:rFonts w:hint="eastAsia" w:ascii="宋体" w:hAnsi="宋体" w:eastAsia="宋体" w:cs="宋体"/>
          <w:snapToGrid w:val="0"/>
          <w:color w:val="auto"/>
          <w:kern w:val="28"/>
          <w:sz w:val="24"/>
          <w:szCs w:val="20"/>
          <w:highlight w:val="none"/>
        </w:rPr>
        <w:t>预算金额（元）</w:t>
      </w:r>
      <w:r>
        <w:rPr>
          <w:rFonts w:hint="eastAsia" w:ascii="宋体" w:hAnsi="宋体" w:cs="宋体"/>
          <w:snapToGrid w:val="0"/>
          <w:color w:val="auto"/>
          <w:kern w:val="28"/>
          <w:sz w:val="24"/>
          <w:szCs w:val="20"/>
          <w:highlight w:val="none"/>
          <w:lang w:eastAsia="zh-CN"/>
        </w:rPr>
        <w:t>：</w:t>
      </w:r>
      <w:r>
        <w:rPr>
          <w:rFonts w:hint="eastAsia" w:ascii="宋体" w:hAnsi="宋体" w:eastAsia="宋体" w:cs="宋体"/>
          <w:snapToGrid w:val="0"/>
          <w:color w:val="auto"/>
          <w:kern w:val="28"/>
          <w:sz w:val="24"/>
          <w:szCs w:val="20"/>
          <w:highlight w:val="none"/>
          <w:lang w:val="en-US" w:eastAsia="zh-CN"/>
        </w:rPr>
        <w:t xml:space="preserve"> </w:t>
      </w:r>
      <w:r>
        <w:rPr>
          <w:rFonts w:hint="eastAsia" w:ascii="宋体" w:hAnsi="宋体" w:cs="宋体"/>
          <w:snapToGrid w:val="0"/>
          <w:color w:val="auto"/>
          <w:kern w:val="28"/>
          <w:sz w:val="24"/>
          <w:szCs w:val="20"/>
          <w:highlight w:val="none"/>
          <w:lang w:val="en-US" w:eastAsia="zh-CN"/>
        </w:rPr>
        <w:t>1200000</w:t>
      </w:r>
    </w:p>
    <w:p w14:paraId="2AC2D6BA">
      <w:pPr>
        <w:spacing w:line="360" w:lineRule="auto"/>
        <w:ind w:leftChars="100" w:firstLine="480"/>
        <w:rPr>
          <w:rFonts w:hint="eastAsia" w:ascii="宋体" w:hAnsi="宋体" w:eastAsia="宋体" w:cs="宋体"/>
          <w:snapToGrid w:val="0"/>
          <w:color w:val="auto"/>
          <w:kern w:val="28"/>
          <w:sz w:val="24"/>
          <w:szCs w:val="20"/>
          <w:highlight w:val="none"/>
        </w:rPr>
      </w:pPr>
      <w:r>
        <w:rPr>
          <w:rFonts w:hint="eastAsia" w:ascii="宋体" w:hAnsi="宋体" w:eastAsia="宋体" w:cs="宋体"/>
          <w:snapToGrid w:val="0"/>
          <w:color w:val="auto"/>
          <w:kern w:val="28"/>
          <w:sz w:val="24"/>
          <w:szCs w:val="20"/>
          <w:highlight w:val="none"/>
        </w:rPr>
        <w:t>简要规格描述或项目基本概况介绍、用途：</w:t>
      </w:r>
      <w:r>
        <w:rPr>
          <w:rFonts w:hint="eastAsia" w:ascii="宋体" w:hAnsi="宋体" w:eastAsia="宋体" w:cs="宋体"/>
          <w:snapToGrid w:val="0"/>
          <w:color w:val="auto"/>
          <w:kern w:val="28"/>
          <w:sz w:val="24"/>
          <w:szCs w:val="20"/>
          <w:highlight w:val="none"/>
          <w:lang w:val="en-US" w:eastAsia="zh-CN"/>
        </w:rPr>
        <w:t>水果</w:t>
      </w:r>
      <w:r>
        <w:rPr>
          <w:rFonts w:hint="eastAsia" w:ascii="宋体" w:hAnsi="宋体" w:eastAsia="宋体" w:cs="宋体"/>
          <w:snapToGrid w:val="0"/>
          <w:color w:val="auto"/>
          <w:kern w:val="28"/>
          <w:sz w:val="24"/>
          <w:szCs w:val="20"/>
          <w:highlight w:val="none"/>
        </w:rPr>
        <w:t>类定点采购</w:t>
      </w:r>
      <w:r>
        <w:rPr>
          <w:rFonts w:hint="eastAsia" w:ascii="宋体" w:hAnsi="宋体" w:eastAsia="宋体" w:cs="宋体"/>
          <w:snapToGrid w:val="0"/>
          <w:color w:val="auto"/>
          <w:kern w:val="28"/>
          <w:sz w:val="24"/>
          <w:szCs w:val="20"/>
          <w:highlight w:val="none"/>
          <w:lang w:eastAsia="zh-CN"/>
        </w:rPr>
        <w:t>；</w:t>
      </w:r>
      <w:r>
        <w:rPr>
          <w:rFonts w:hint="eastAsia" w:ascii="宋体" w:hAnsi="宋体" w:eastAsia="宋体" w:cs="宋体"/>
          <w:snapToGrid w:val="0"/>
          <w:color w:val="auto"/>
          <w:kern w:val="28"/>
          <w:sz w:val="24"/>
          <w:szCs w:val="20"/>
          <w:highlight w:val="none"/>
          <w:lang w:val="en-US" w:eastAsia="zh-CN"/>
        </w:rPr>
        <w:t>具体以招标文件第三部分采购需求为准，供应商可点击本公告下方“浏览采购文件”查看采购需求。</w:t>
      </w:r>
    </w:p>
    <w:p w14:paraId="1B61A92A">
      <w:pPr>
        <w:spacing w:line="360" w:lineRule="auto"/>
        <w:ind w:firstLine="480"/>
        <w:rPr>
          <w:rFonts w:hint="eastAsia" w:ascii="宋体" w:hAnsi="宋体" w:eastAsia="宋体" w:cs="宋体"/>
          <w:snapToGrid w:val="0"/>
          <w:color w:val="auto"/>
          <w:kern w:val="28"/>
          <w:sz w:val="24"/>
          <w:szCs w:val="20"/>
          <w:highlight w:val="none"/>
          <w:lang w:val="en-US" w:eastAsia="zh-CN"/>
        </w:rPr>
      </w:pPr>
      <w:r>
        <w:rPr>
          <w:rFonts w:hint="eastAsia" w:ascii="宋体" w:hAnsi="宋体" w:eastAsia="宋体" w:cs="宋体"/>
          <w:snapToGrid w:val="0"/>
          <w:color w:val="auto"/>
          <w:kern w:val="28"/>
          <w:sz w:val="24"/>
          <w:szCs w:val="20"/>
          <w:highlight w:val="none"/>
        </w:rPr>
        <w:t>备注：</w:t>
      </w:r>
      <w:r>
        <w:rPr>
          <w:rFonts w:hint="eastAsia" w:ascii="宋体" w:hAnsi="宋体" w:eastAsia="宋体" w:cs="宋体"/>
          <w:snapToGrid w:val="0"/>
          <w:color w:val="auto"/>
          <w:kern w:val="28"/>
          <w:sz w:val="24"/>
          <w:szCs w:val="20"/>
          <w:highlight w:val="none"/>
          <w:lang w:eastAsia="zh-CN"/>
        </w:rPr>
        <w:t>（</w:t>
      </w:r>
      <w:r>
        <w:rPr>
          <w:rFonts w:hint="eastAsia" w:ascii="宋体" w:hAnsi="宋体" w:eastAsia="宋体" w:cs="宋体"/>
          <w:snapToGrid w:val="0"/>
          <w:color w:val="auto"/>
          <w:kern w:val="28"/>
          <w:sz w:val="24"/>
          <w:szCs w:val="20"/>
          <w:highlight w:val="none"/>
          <w:lang w:val="en-US" w:eastAsia="zh-CN"/>
        </w:rPr>
        <w:t>1</w:t>
      </w:r>
      <w:r>
        <w:rPr>
          <w:rFonts w:hint="eastAsia" w:ascii="宋体" w:hAnsi="宋体" w:eastAsia="宋体" w:cs="宋体"/>
          <w:snapToGrid w:val="0"/>
          <w:color w:val="auto"/>
          <w:kern w:val="28"/>
          <w:sz w:val="24"/>
          <w:szCs w:val="20"/>
          <w:highlight w:val="none"/>
          <w:lang w:eastAsia="zh-CN"/>
        </w:rPr>
        <w:t>）</w:t>
      </w:r>
      <w:r>
        <w:rPr>
          <w:rFonts w:hint="eastAsia" w:ascii="宋体" w:hAnsi="宋体" w:eastAsia="宋体" w:cs="宋体"/>
          <w:snapToGrid w:val="0"/>
          <w:color w:val="auto"/>
          <w:kern w:val="28"/>
          <w:sz w:val="24"/>
          <w:szCs w:val="20"/>
          <w:highlight w:val="none"/>
          <w:lang w:val="en-US" w:eastAsia="zh-CN"/>
        </w:rPr>
        <w:t>组成联合体的成员（含联合体牵头人）数量不超过2个。（2）年度预算金额为</w:t>
      </w:r>
      <w:r>
        <w:rPr>
          <w:rFonts w:hint="eastAsia" w:ascii="宋体" w:hAnsi="宋体" w:cs="宋体"/>
          <w:snapToGrid w:val="0"/>
          <w:color w:val="auto"/>
          <w:kern w:val="28"/>
          <w:sz w:val="24"/>
          <w:szCs w:val="20"/>
          <w:highlight w:val="none"/>
          <w:lang w:val="en-US" w:eastAsia="zh-CN"/>
        </w:rPr>
        <w:t>120</w:t>
      </w:r>
      <w:r>
        <w:rPr>
          <w:rFonts w:hint="eastAsia" w:ascii="宋体" w:hAnsi="宋体" w:eastAsia="宋体" w:cs="宋体"/>
          <w:snapToGrid w:val="0"/>
          <w:color w:val="auto"/>
          <w:kern w:val="28"/>
          <w:sz w:val="24"/>
          <w:szCs w:val="20"/>
          <w:highlight w:val="none"/>
          <w:lang w:val="en-US" w:eastAsia="zh-CN"/>
        </w:rPr>
        <w:t>万元/年。</w:t>
      </w:r>
    </w:p>
    <w:p w14:paraId="76DFC805">
      <w:pPr>
        <w:spacing w:line="360" w:lineRule="auto"/>
        <w:ind w:firstLine="480"/>
        <w:rPr>
          <w:rFonts w:hint="eastAsia" w:ascii="宋体" w:hAnsi="宋体" w:eastAsia="宋体" w:cs="宋体"/>
          <w:snapToGrid w:val="0"/>
          <w:color w:val="auto"/>
          <w:kern w:val="28"/>
          <w:sz w:val="24"/>
          <w:szCs w:val="20"/>
          <w:highlight w:val="none"/>
          <w:lang w:val="en-US" w:eastAsia="zh-CN"/>
        </w:rPr>
      </w:pPr>
    </w:p>
    <w:p w14:paraId="2FDB99CA">
      <w:pPr>
        <w:spacing w:line="360" w:lineRule="auto"/>
        <w:ind w:firstLine="480"/>
        <w:rPr>
          <w:rFonts w:hint="eastAsia" w:ascii="宋体" w:hAnsi="宋体" w:eastAsia="宋体" w:cs="宋体"/>
          <w:b/>
          <w:bCs/>
          <w:snapToGrid w:val="0"/>
          <w:color w:val="auto"/>
          <w:kern w:val="28"/>
          <w:sz w:val="24"/>
          <w:szCs w:val="20"/>
          <w:highlight w:val="none"/>
        </w:rPr>
      </w:pPr>
      <w:r>
        <w:rPr>
          <w:rFonts w:hint="eastAsia" w:ascii="宋体" w:hAnsi="宋体" w:eastAsia="宋体" w:cs="宋体"/>
          <w:b/>
          <w:bCs/>
          <w:snapToGrid w:val="0"/>
          <w:color w:val="auto"/>
          <w:kern w:val="28"/>
          <w:sz w:val="24"/>
          <w:szCs w:val="20"/>
          <w:highlight w:val="none"/>
        </w:rPr>
        <w:t>标项</w:t>
      </w:r>
      <w:r>
        <w:rPr>
          <w:rFonts w:hint="eastAsia" w:ascii="宋体" w:hAnsi="宋体" w:eastAsia="宋体" w:cs="宋体"/>
          <w:b/>
          <w:bCs/>
          <w:snapToGrid w:val="0"/>
          <w:color w:val="auto"/>
          <w:kern w:val="28"/>
          <w:sz w:val="24"/>
          <w:szCs w:val="20"/>
          <w:highlight w:val="none"/>
          <w:lang w:val="en-US" w:eastAsia="zh-CN"/>
        </w:rPr>
        <w:t>三</w:t>
      </w:r>
      <w:r>
        <w:rPr>
          <w:rFonts w:hint="eastAsia" w:ascii="宋体" w:hAnsi="宋体" w:eastAsia="宋体" w:cs="宋体"/>
          <w:b/>
          <w:bCs/>
          <w:snapToGrid w:val="0"/>
          <w:color w:val="auto"/>
          <w:kern w:val="28"/>
          <w:sz w:val="24"/>
          <w:szCs w:val="20"/>
          <w:highlight w:val="none"/>
        </w:rPr>
        <w:t>：</w:t>
      </w:r>
    </w:p>
    <w:p w14:paraId="58BC78E8">
      <w:pPr>
        <w:spacing w:line="360" w:lineRule="auto"/>
        <w:ind w:leftChars="100" w:firstLine="480"/>
        <w:rPr>
          <w:rFonts w:hint="eastAsia" w:ascii="宋体" w:hAnsi="宋体" w:eastAsia="宋体" w:cs="宋体"/>
          <w:snapToGrid w:val="0"/>
          <w:color w:val="auto"/>
          <w:kern w:val="28"/>
          <w:sz w:val="24"/>
          <w:szCs w:val="20"/>
          <w:highlight w:val="none"/>
        </w:rPr>
      </w:pPr>
      <w:r>
        <w:rPr>
          <w:rFonts w:hint="eastAsia" w:ascii="宋体" w:hAnsi="宋体" w:eastAsia="宋体" w:cs="宋体"/>
          <w:snapToGrid w:val="0"/>
          <w:color w:val="auto"/>
          <w:kern w:val="28"/>
          <w:sz w:val="24"/>
          <w:szCs w:val="20"/>
          <w:highlight w:val="none"/>
        </w:rPr>
        <w:t>标项名称：其他杂项类</w:t>
      </w:r>
    </w:p>
    <w:p w14:paraId="2DACE31E">
      <w:pPr>
        <w:spacing w:line="360" w:lineRule="auto"/>
        <w:ind w:leftChars="100" w:firstLine="480"/>
        <w:rPr>
          <w:rFonts w:hint="eastAsia" w:ascii="宋体" w:hAnsi="宋体" w:eastAsia="宋体" w:cs="宋体"/>
          <w:snapToGrid w:val="0"/>
          <w:color w:val="auto"/>
          <w:kern w:val="28"/>
          <w:sz w:val="24"/>
          <w:szCs w:val="20"/>
          <w:highlight w:val="none"/>
        </w:rPr>
      </w:pPr>
      <w:r>
        <w:rPr>
          <w:rFonts w:hint="eastAsia" w:ascii="宋体" w:hAnsi="宋体" w:eastAsia="宋体" w:cs="宋体"/>
          <w:snapToGrid w:val="0"/>
          <w:color w:val="auto"/>
          <w:kern w:val="28"/>
          <w:sz w:val="24"/>
          <w:szCs w:val="20"/>
          <w:highlight w:val="none"/>
        </w:rPr>
        <w:t>数量：1项</w:t>
      </w:r>
    </w:p>
    <w:p w14:paraId="28CEE687">
      <w:pPr>
        <w:spacing w:line="360" w:lineRule="auto"/>
        <w:ind w:leftChars="100" w:firstLine="480"/>
        <w:rPr>
          <w:rFonts w:hint="eastAsia" w:ascii="宋体" w:hAnsi="宋体" w:eastAsia="宋体" w:cs="宋体"/>
          <w:snapToGrid w:val="0"/>
          <w:color w:val="auto"/>
          <w:kern w:val="28"/>
          <w:sz w:val="24"/>
          <w:szCs w:val="20"/>
          <w:highlight w:val="none"/>
        </w:rPr>
      </w:pPr>
      <w:r>
        <w:rPr>
          <w:rFonts w:hint="eastAsia" w:ascii="宋体" w:hAnsi="宋体" w:eastAsia="宋体" w:cs="宋体"/>
          <w:snapToGrid w:val="0"/>
          <w:color w:val="auto"/>
          <w:kern w:val="28"/>
          <w:sz w:val="24"/>
          <w:szCs w:val="20"/>
          <w:highlight w:val="none"/>
        </w:rPr>
        <w:t>预算金额（元）</w:t>
      </w:r>
      <w:r>
        <w:rPr>
          <w:rFonts w:hint="eastAsia" w:ascii="宋体" w:hAnsi="宋体" w:eastAsia="宋体" w:cs="宋体"/>
          <w:snapToGrid w:val="0"/>
          <w:color w:val="auto"/>
          <w:kern w:val="28"/>
          <w:sz w:val="24"/>
          <w:szCs w:val="20"/>
          <w:highlight w:val="none"/>
          <w:lang w:eastAsia="zh-CN"/>
        </w:rPr>
        <w:t>：</w:t>
      </w:r>
      <w:r>
        <w:rPr>
          <w:rFonts w:hint="eastAsia" w:ascii="宋体" w:hAnsi="宋体" w:eastAsia="宋体" w:cs="宋体"/>
          <w:snapToGrid w:val="0"/>
          <w:color w:val="auto"/>
          <w:kern w:val="28"/>
          <w:sz w:val="24"/>
          <w:szCs w:val="20"/>
          <w:highlight w:val="none"/>
        </w:rPr>
        <w:t xml:space="preserve"> </w:t>
      </w:r>
      <w:r>
        <w:rPr>
          <w:rFonts w:hint="eastAsia" w:ascii="宋体" w:hAnsi="宋体" w:eastAsia="宋体" w:cs="宋体"/>
          <w:snapToGrid w:val="0"/>
          <w:color w:val="auto"/>
          <w:kern w:val="28"/>
          <w:sz w:val="24"/>
          <w:szCs w:val="20"/>
          <w:highlight w:val="none"/>
          <w:lang w:val="en-US" w:eastAsia="zh-CN"/>
        </w:rPr>
        <w:t>1</w:t>
      </w:r>
      <w:r>
        <w:rPr>
          <w:rFonts w:hint="eastAsia" w:ascii="宋体" w:hAnsi="宋体" w:eastAsia="宋体" w:cs="宋体"/>
          <w:snapToGrid w:val="0"/>
          <w:color w:val="auto"/>
          <w:kern w:val="28"/>
          <w:sz w:val="24"/>
          <w:szCs w:val="20"/>
          <w:highlight w:val="none"/>
        </w:rPr>
        <w:t>000000</w:t>
      </w:r>
    </w:p>
    <w:p w14:paraId="155CF024">
      <w:pPr>
        <w:widowControl/>
        <w:adjustRightInd w:val="0"/>
        <w:snapToGrid w:val="0"/>
        <w:spacing w:line="360" w:lineRule="auto"/>
        <w:ind w:leftChars="100" w:firstLine="480"/>
        <w:jc w:val="both"/>
        <w:rPr>
          <w:rFonts w:ascii="宋体" w:hAnsi="宋体" w:eastAsia="宋体" w:cs="宋体"/>
          <w:bCs/>
          <w:snapToGrid/>
          <w:color w:val="auto"/>
          <w:kern w:val="2"/>
          <w:sz w:val="24"/>
          <w:szCs w:val="24"/>
          <w:highlight w:val="none"/>
          <w:lang w:val="en-US" w:eastAsia="zh-CN" w:bidi="ar-SA"/>
        </w:rPr>
      </w:pPr>
      <w:r>
        <w:rPr>
          <w:rFonts w:hint="eastAsia" w:ascii="宋体" w:hAnsi="宋体" w:eastAsia="宋体" w:cs="宋体"/>
          <w:snapToGrid w:val="0"/>
          <w:color w:val="auto"/>
          <w:kern w:val="28"/>
          <w:sz w:val="24"/>
          <w:szCs w:val="20"/>
          <w:highlight w:val="none"/>
          <w:lang w:val="en-US" w:eastAsia="zh-CN" w:bidi="ar-SA"/>
        </w:rPr>
        <w:t>简要规格描述或项目基本概况介绍、用途：除蔬菜类、豆制品类、水果类、水产类、肉禽蛋类、调味品类外的其他杂项</w:t>
      </w:r>
      <w:r>
        <w:rPr>
          <w:rFonts w:hint="eastAsia" w:ascii="宋体" w:hAnsi="宋体" w:cs="宋体"/>
          <w:snapToGrid w:val="0"/>
          <w:color w:val="auto"/>
          <w:kern w:val="28"/>
          <w:sz w:val="24"/>
          <w:szCs w:val="20"/>
          <w:highlight w:val="none"/>
          <w:lang w:val="en-US" w:eastAsia="zh-CN" w:bidi="ar-SA"/>
        </w:rPr>
        <w:t>类</w:t>
      </w:r>
      <w:r>
        <w:rPr>
          <w:rFonts w:hint="eastAsia" w:ascii="宋体" w:hAnsi="宋体" w:eastAsia="宋体" w:cs="宋体"/>
          <w:snapToGrid w:val="0"/>
          <w:color w:val="auto"/>
          <w:kern w:val="28"/>
          <w:sz w:val="24"/>
          <w:szCs w:val="20"/>
          <w:highlight w:val="none"/>
          <w:lang w:val="en-US" w:eastAsia="zh-CN" w:bidi="ar-SA"/>
        </w:rPr>
        <w:t>定点采购；</w:t>
      </w:r>
      <w:r>
        <w:rPr>
          <w:rFonts w:hint="eastAsia" w:cs="Times New Roman" w:asciiTheme="minorEastAsia" w:hAnsiTheme="minorEastAsia" w:eastAsiaTheme="minorEastAsia"/>
          <w:snapToGrid/>
          <w:color w:val="auto"/>
          <w:kern w:val="2"/>
          <w:sz w:val="24"/>
          <w:szCs w:val="24"/>
          <w:highlight w:val="none"/>
          <w:lang w:val="en-US" w:eastAsia="zh-CN" w:bidi="ar-SA"/>
        </w:rPr>
        <w:t>具体以招标文件第三部分采购需求为准，供应商可点击本公告下方“浏览采购文件”查看采购需求。</w:t>
      </w:r>
    </w:p>
    <w:p w14:paraId="63A5B784">
      <w:pPr>
        <w:spacing w:line="360" w:lineRule="auto"/>
        <w:ind w:leftChars="100" w:firstLine="480"/>
        <w:rPr>
          <w:rFonts w:hint="eastAsia" w:ascii="宋体" w:hAnsi="宋体" w:eastAsia="宋体" w:cs="宋体"/>
          <w:snapToGrid w:val="0"/>
          <w:color w:val="auto"/>
          <w:kern w:val="28"/>
          <w:sz w:val="24"/>
          <w:szCs w:val="20"/>
          <w:highlight w:val="none"/>
          <w:lang w:val="en-US" w:eastAsia="zh-CN"/>
        </w:rPr>
      </w:pPr>
      <w:r>
        <w:rPr>
          <w:rFonts w:hint="eastAsia" w:ascii="宋体" w:hAnsi="宋体" w:eastAsia="宋体" w:cs="宋体"/>
          <w:snapToGrid w:val="0"/>
          <w:color w:val="auto"/>
          <w:kern w:val="28"/>
          <w:sz w:val="24"/>
          <w:szCs w:val="20"/>
          <w:highlight w:val="none"/>
        </w:rPr>
        <w:t>备注：（1）组成联合体的成员（含联合体牵头人）数量不超过2个。</w:t>
      </w:r>
      <w:r>
        <w:rPr>
          <w:rFonts w:hint="eastAsia" w:ascii="宋体" w:hAnsi="宋体" w:eastAsia="宋体" w:cs="宋体"/>
          <w:snapToGrid w:val="0"/>
          <w:color w:val="auto"/>
          <w:kern w:val="28"/>
          <w:sz w:val="24"/>
          <w:szCs w:val="20"/>
          <w:highlight w:val="none"/>
          <w:lang w:eastAsia="zh-CN"/>
        </w:rPr>
        <w:t>（</w:t>
      </w:r>
      <w:r>
        <w:rPr>
          <w:rFonts w:hint="eastAsia" w:ascii="宋体" w:hAnsi="宋体" w:eastAsia="宋体" w:cs="宋体"/>
          <w:snapToGrid w:val="0"/>
          <w:color w:val="auto"/>
          <w:kern w:val="28"/>
          <w:sz w:val="24"/>
          <w:szCs w:val="20"/>
          <w:highlight w:val="none"/>
          <w:lang w:val="en-US" w:eastAsia="zh-CN"/>
        </w:rPr>
        <w:t>2</w:t>
      </w:r>
      <w:r>
        <w:rPr>
          <w:rFonts w:hint="eastAsia" w:ascii="宋体" w:hAnsi="宋体" w:eastAsia="宋体" w:cs="宋体"/>
          <w:snapToGrid w:val="0"/>
          <w:color w:val="auto"/>
          <w:kern w:val="28"/>
          <w:sz w:val="24"/>
          <w:szCs w:val="20"/>
          <w:highlight w:val="none"/>
          <w:lang w:eastAsia="zh-CN"/>
        </w:rPr>
        <w:t>）</w:t>
      </w:r>
      <w:r>
        <w:rPr>
          <w:rFonts w:hint="eastAsia" w:ascii="宋体" w:hAnsi="宋体" w:eastAsia="宋体" w:cs="宋体"/>
          <w:snapToGrid w:val="0"/>
          <w:color w:val="auto"/>
          <w:kern w:val="28"/>
          <w:sz w:val="24"/>
          <w:szCs w:val="20"/>
          <w:highlight w:val="none"/>
          <w:lang w:val="en-US" w:eastAsia="zh-CN"/>
        </w:rPr>
        <w:t>年度预算金额为10</w:t>
      </w:r>
      <w:r>
        <w:rPr>
          <w:rFonts w:hint="eastAsia" w:ascii="宋体" w:hAnsi="宋体" w:eastAsia="宋体" w:cs="宋体"/>
          <w:snapToGrid w:val="0"/>
          <w:color w:val="auto"/>
          <w:kern w:val="28"/>
          <w:sz w:val="24"/>
          <w:szCs w:val="20"/>
          <w:highlight w:val="none"/>
          <w:lang w:eastAsia="zh-CN"/>
        </w:rPr>
        <w:t>0万元/年。</w:t>
      </w:r>
    </w:p>
    <w:p w14:paraId="7AE8F38C">
      <w:pPr>
        <w:pStyle w:val="129"/>
        <w:shd w:val="clear"/>
        <w:ind w:firstLine="482"/>
        <w:outlineLvl w:val="2"/>
        <w:rPr>
          <w:rFonts w:ascii="宋体" w:hAnsi="宋体" w:cs="宋体"/>
          <w:color w:val="auto"/>
          <w:highlight w:val="none"/>
        </w:rPr>
      </w:pPr>
      <w:r>
        <w:rPr>
          <w:rFonts w:hint="eastAsia" w:ascii="宋体" w:hAnsi="宋体" w:cs="宋体"/>
          <w:b/>
          <w:color w:val="auto"/>
          <w:highlight w:val="none"/>
        </w:rPr>
        <w:t>合同履约期限：</w:t>
      </w:r>
      <w:r>
        <w:rPr>
          <w:rFonts w:hint="eastAsia" w:ascii="宋体" w:hAnsi="宋体" w:eastAsia="宋体" w:cs="宋体"/>
          <w:snapToGrid w:val="0"/>
          <w:color w:val="auto"/>
          <w:kern w:val="28"/>
          <w:sz w:val="24"/>
          <w:szCs w:val="20"/>
          <w:highlight w:val="none"/>
          <w:lang w:val="en-US" w:eastAsia="zh-CN" w:bidi="ar-SA"/>
        </w:rPr>
        <w:t>标项 1、2、3，自合同签订之日起一年</w:t>
      </w:r>
      <w:r>
        <w:rPr>
          <w:rFonts w:hint="eastAsia" w:ascii="宋体" w:hAnsi="宋体" w:cs="宋体"/>
          <w:snapToGrid w:val="0"/>
          <w:color w:val="auto"/>
          <w:kern w:val="28"/>
          <w:sz w:val="24"/>
          <w:szCs w:val="20"/>
          <w:highlight w:val="none"/>
          <w:lang w:val="en-US" w:eastAsia="zh-CN" w:bidi="ar-SA"/>
        </w:rPr>
        <w:t>（暂定统一配送时间为2025年5月1日至2026年4月30日止）</w:t>
      </w:r>
      <w:r>
        <w:rPr>
          <w:rFonts w:hint="eastAsia" w:ascii="宋体" w:hAnsi="宋体" w:eastAsia="宋体" w:cs="宋体"/>
          <w:snapToGrid w:val="0"/>
          <w:color w:val="auto"/>
          <w:kern w:val="28"/>
          <w:sz w:val="24"/>
          <w:szCs w:val="20"/>
          <w:highlight w:val="none"/>
          <w:lang w:val="en-US" w:eastAsia="zh-CN" w:bidi="ar-SA"/>
        </w:rPr>
        <w:t>。供应商如不能按时、按质提供采购人所需货物，由此造成的一切相关损失全部由供应商承担。</w:t>
      </w:r>
    </w:p>
    <w:p w14:paraId="046D43AB">
      <w:pPr>
        <w:pStyle w:val="7"/>
        <w:shd w:val="clear"/>
        <w:spacing w:line="360" w:lineRule="auto"/>
        <w:ind w:firstLine="480"/>
        <w:rPr>
          <w:rFonts w:hAnsi="宋体" w:cs="宋体"/>
          <w:b/>
          <w:color w:val="auto"/>
          <w:highlight w:val="none"/>
        </w:rPr>
      </w:pPr>
      <w:r>
        <w:rPr>
          <w:rFonts w:hint="eastAsia" w:hAnsi="宋体" w:cs="宋体"/>
          <w:b/>
          <w:color w:val="auto"/>
          <w:sz w:val="24"/>
          <w:highlight w:val="none"/>
        </w:rPr>
        <w:t>本项目接受联合体投标：</w:t>
      </w:r>
      <w:r>
        <w:rPr>
          <w:rFonts w:hAnsi="宋体" w:cs="宋体"/>
          <w:color w:val="auto"/>
          <w:kern w:val="0"/>
          <w:sz w:val="24"/>
          <w:highlight w:val="none"/>
        </w:rPr>
        <w:t xml:space="preserve"> </w:t>
      </w:r>
      <w:sdt>
        <w:sdtPr>
          <w:rPr>
            <w:rFonts w:hAnsi="宋体" w:cs="宋体"/>
            <w:color w:val="auto"/>
            <w:kern w:val="0"/>
            <w:sz w:val="24"/>
            <w:highlight w:val="none"/>
          </w:rPr>
          <w:id w:val="-441836950"/>
          <w14:checkbox>
            <w14:checked w14:val="1"/>
            <w14:checkedState w14:val="00FE" w14:font="Wingdings"/>
            <w14:uncheckedState w14:val="2610" w14:font="MS Gothic"/>
          </w14:checkbox>
        </w:sdtPr>
        <w:sdtEndPr>
          <w:rPr>
            <w:rFonts w:hAnsi="宋体" w:cs="宋体"/>
            <w:color w:val="auto"/>
            <w:kern w:val="0"/>
            <w:sz w:val="24"/>
            <w:highlight w:val="none"/>
          </w:rPr>
        </w:sdtEndPr>
        <w:sdtContent>
          <w:r>
            <w:rPr>
              <w:rFonts w:hAnsi="宋体" w:cs="宋体"/>
              <w:color w:val="auto"/>
              <w:kern w:val="0"/>
              <w:sz w:val="24"/>
              <w:highlight w:val="none"/>
            </w:rPr>
            <w:sym w:font="Wingdings" w:char="F0FE"/>
          </w:r>
        </w:sdtContent>
      </w:sdt>
      <w:r>
        <w:rPr>
          <w:rFonts w:hint="eastAsia" w:hAnsi="宋体" w:cs="宋体"/>
          <w:b/>
          <w:color w:val="auto"/>
          <w:sz w:val="24"/>
          <w:highlight w:val="none"/>
        </w:rPr>
        <w:t>是；</w:t>
      </w:r>
      <w:sdt>
        <w:sdtPr>
          <w:rPr>
            <w:rFonts w:hAnsi="宋体" w:cs="宋体"/>
            <w:color w:val="auto"/>
            <w:kern w:val="0"/>
            <w:sz w:val="24"/>
            <w:highlight w:val="none"/>
          </w:rPr>
          <w:id w:val="-1591624199"/>
          <w14:checkbox>
            <w14:checked w14:val="0"/>
            <w14:checkedState w14:val="00FE" w14:font="Wingdings"/>
            <w14:uncheckedState w14:val="2610" w14:font="MS Gothic"/>
          </w14:checkbox>
        </w:sdtPr>
        <w:sdtEndPr>
          <w:rPr>
            <w:rFonts w:hAnsi="宋体" w:cs="宋体"/>
            <w:color w:val="auto"/>
            <w:kern w:val="0"/>
            <w:sz w:val="24"/>
            <w:highlight w:val="none"/>
          </w:rPr>
        </w:sdtEndPr>
        <w:sdtContent>
          <w:r>
            <w:rPr>
              <w:rFonts w:ascii="Segoe UI Symbol" w:hAnsi="Segoe UI Symbol" w:cs="Segoe UI Symbol"/>
              <w:color w:val="auto"/>
              <w:kern w:val="0"/>
              <w:sz w:val="24"/>
              <w:highlight w:val="none"/>
            </w:rPr>
            <w:t>☐</w:t>
          </w:r>
        </w:sdtContent>
      </w:sdt>
      <w:r>
        <w:rPr>
          <w:rFonts w:hint="eastAsia" w:hAnsi="宋体" w:cs="宋体"/>
          <w:b/>
          <w:color w:val="auto"/>
          <w:sz w:val="24"/>
          <w:highlight w:val="none"/>
        </w:rPr>
        <w:t>否</w:t>
      </w:r>
      <w:r>
        <w:rPr>
          <w:rFonts w:hint="eastAsia" w:hAnsi="宋体" w:cs="宋体"/>
          <w:color w:val="auto"/>
          <w:kern w:val="0"/>
          <w:sz w:val="24"/>
          <w:highlight w:val="none"/>
        </w:rPr>
        <w:t>。</w:t>
      </w:r>
    </w:p>
    <w:p w14:paraId="6FF06237">
      <w:pPr>
        <w:shd w:val="clear"/>
        <w:spacing w:line="360" w:lineRule="auto"/>
        <w:rPr>
          <w:rFonts w:ascii="宋体" w:hAnsi="宋体" w:cs="宋体"/>
          <w:b/>
          <w:color w:val="auto"/>
          <w:sz w:val="24"/>
          <w:highlight w:val="none"/>
        </w:rPr>
      </w:pPr>
      <w:r>
        <w:rPr>
          <w:rFonts w:hint="eastAsia" w:ascii="宋体" w:hAnsi="宋体" w:cs="宋体"/>
          <w:b/>
          <w:color w:val="auto"/>
          <w:sz w:val="24"/>
          <w:highlight w:val="none"/>
        </w:rPr>
        <w:t>二、申请人的资格要求：</w:t>
      </w:r>
    </w:p>
    <w:p w14:paraId="70612423">
      <w:pPr>
        <w:shd w:val="clear"/>
        <w:spacing w:line="360" w:lineRule="auto"/>
        <w:ind w:firstLine="480"/>
        <w:rPr>
          <w:rFonts w:ascii="宋体" w:hAnsi="宋体" w:cs="宋体"/>
          <w:snapToGrid w:val="0"/>
          <w:color w:val="auto"/>
          <w:kern w:val="28"/>
          <w:sz w:val="24"/>
          <w:szCs w:val="20"/>
          <w:highlight w:val="none"/>
        </w:rPr>
      </w:pPr>
      <w:r>
        <w:rPr>
          <w:rFonts w:hint="eastAsia" w:ascii="宋体" w:hAnsi="宋体" w:cs="宋体"/>
          <w:snapToGrid w:val="0"/>
          <w:color w:val="auto"/>
          <w:kern w:val="28"/>
          <w:sz w:val="24"/>
          <w:szCs w:val="20"/>
          <w:highlight w:val="none"/>
        </w:rPr>
        <w:t>1. 满足《中华人民共和国政府采购法》第二十二条规定；未被“信用中国”（www.creditchina.gov.cn</w:t>
      </w:r>
      <w:r>
        <w:rPr>
          <w:rFonts w:hint="eastAsia" w:ascii="宋体" w:hAnsi="宋体" w:cs="宋体"/>
          <w:snapToGrid w:val="0"/>
          <w:color w:val="auto"/>
          <w:kern w:val="28"/>
          <w:sz w:val="24"/>
          <w:szCs w:val="20"/>
          <w:highlight w:val="none"/>
          <w:lang w:eastAsia="zh-CN"/>
        </w:rPr>
        <w:t>）</w:t>
      </w:r>
      <w:r>
        <w:rPr>
          <w:rFonts w:hint="eastAsia" w:ascii="宋体" w:hAnsi="宋体" w:cs="宋体"/>
          <w:snapToGrid w:val="0"/>
          <w:color w:val="auto"/>
          <w:kern w:val="28"/>
          <w:sz w:val="24"/>
          <w:szCs w:val="20"/>
          <w:highlight w:val="none"/>
        </w:rPr>
        <w:t>、中国政府采购网（www.ccgp.gov.cn）列入失信被执行人、重大税收违法案件当事人名单、政府采购严重违法失信行为记录名单；</w:t>
      </w:r>
    </w:p>
    <w:p w14:paraId="7068A972">
      <w:pPr>
        <w:shd w:val="clear"/>
        <w:spacing w:line="360" w:lineRule="auto"/>
        <w:rPr>
          <w:rFonts w:ascii="宋体" w:hAnsi="宋体" w:cs="宋体"/>
          <w:snapToGrid w:val="0"/>
          <w:color w:val="auto"/>
          <w:kern w:val="28"/>
          <w:sz w:val="24"/>
          <w:szCs w:val="20"/>
          <w:highlight w:val="none"/>
        </w:rPr>
      </w:pPr>
      <w:r>
        <w:rPr>
          <w:rFonts w:hint="eastAsia" w:ascii="宋体" w:hAnsi="宋体" w:cs="宋体"/>
          <w:snapToGrid w:val="0"/>
          <w:color w:val="auto"/>
          <w:kern w:val="28"/>
          <w:sz w:val="24"/>
          <w:szCs w:val="20"/>
          <w:highlight w:val="none"/>
        </w:rPr>
        <w:t xml:space="preserve">    </w:t>
      </w:r>
      <w:r>
        <w:rPr>
          <w:rFonts w:ascii="宋体" w:hAnsi="宋体" w:cs="宋体"/>
          <w:snapToGrid w:val="0"/>
          <w:color w:val="auto"/>
          <w:kern w:val="28"/>
          <w:sz w:val="24"/>
          <w:szCs w:val="20"/>
          <w:highlight w:val="none"/>
        </w:rPr>
        <w:t>2</w:t>
      </w:r>
      <w:r>
        <w:rPr>
          <w:rFonts w:hint="eastAsia" w:ascii="宋体" w:hAnsi="宋体" w:cs="宋体"/>
          <w:snapToGrid w:val="0"/>
          <w:color w:val="auto"/>
          <w:kern w:val="28"/>
          <w:sz w:val="24"/>
          <w:szCs w:val="20"/>
          <w:highlight w:val="none"/>
        </w:rPr>
        <w:t>.</w:t>
      </w:r>
      <w:r>
        <w:rPr>
          <w:rFonts w:hint="eastAsia"/>
          <w:color w:val="auto"/>
          <w:highlight w:val="none"/>
        </w:rPr>
        <w:t xml:space="preserve"> </w:t>
      </w:r>
      <w:r>
        <w:rPr>
          <w:rFonts w:hint="eastAsia" w:ascii="宋体" w:hAnsi="宋体" w:cs="宋体"/>
          <w:snapToGrid w:val="0"/>
          <w:color w:val="auto"/>
          <w:kern w:val="28"/>
          <w:sz w:val="24"/>
          <w:szCs w:val="20"/>
          <w:highlight w:val="none"/>
        </w:rPr>
        <w:t>以联合体形式投标的，提供联合协议；</w:t>
      </w:r>
    </w:p>
    <w:p w14:paraId="1BE23A6E">
      <w:pPr>
        <w:shd w:val="clear"/>
        <w:spacing w:line="360" w:lineRule="auto"/>
        <w:ind w:firstLine="480" w:firstLineChars="200"/>
        <w:rPr>
          <w:rFonts w:ascii="宋体" w:hAnsi="宋体" w:cs="宋体"/>
          <w:snapToGrid w:val="0"/>
          <w:color w:val="auto"/>
          <w:kern w:val="28"/>
          <w:sz w:val="24"/>
          <w:szCs w:val="20"/>
          <w:highlight w:val="none"/>
        </w:rPr>
      </w:pPr>
      <w:r>
        <w:rPr>
          <w:rFonts w:ascii="宋体" w:hAnsi="宋体" w:cs="宋体"/>
          <w:snapToGrid w:val="0"/>
          <w:color w:val="auto"/>
          <w:kern w:val="28"/>
          <w:sz w:val="24"/>
          <w:szCs w:val="20"/>
          <w:highlight w:val="none"/>
        </w:rPr>
        <w:t>3</w:t>
      </w:r>
      <w:r>
        <w:rPr>
          <w:rFonts w:hint="eastAsia" w:ascii="宋体" w:hAnsi="宋体" w:cs="宋体"/>
          <w:snapToGrid w:val="0"/>
          <w:color w:val="auto"/>
          <w:kern w:val="28"/>
          <w:sz w:val="24"/>
          <w:szCs w:val="20"/>
          <w:highlight w:val="none"/>
        </w:rPr>
        <w:t>.落实政府采购政策需满足的资格要求：</w:t>
      </w:r>
    </w:p>
    <w:p w14:paraId="21F70EAC">
      <w:pPr>
        <w:shd w:val="clea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1928616923"/>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sz w:val="24"/>
          <w:highlight w:val="none"/>
        </w:rPr>
        <w:t>无</w:t>
      </w:r>
      <w:r>
        <w:rPr>
          <w:rFonts w:hint="eastAsia" w:ascii="宋体" w:hAnsi="宋体" w:cs="宋体"/>
          <w:snapToGrid w:val="0"/>
          <w:color w:val="auto"/>
          <w:kern w:val="28"/>
          <w:sz w:val="24"/>
          <w:szCs w:val="20"/>
          <w:highlight w:val="none"/>
        </w:rPr>
        <w:t>；</w:t>
      </w:r>
    </w:p>
    <w:p w14:paraId="249FA0A6">
      <w:pPr>
        <w:shd w:val="clea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1024704304"/>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专</w:t>
      </w:r>
      <w:r>
        <w:rPr>
          <w:rFonts w:hint="eastAsia" w:ascii="宋体" w:hAnsi="宋体" w:cs="宋体"/>
          <w:color w:val="auto"/>
          <w:sz w:val="24"/>
          <w:highlight w:val="none"/>
        </w:rPr>
        <w:t>门面向中小企业</w:t>
      </w:r>
    </w:p>
    <w:p w14:paraId="3BF24483">
      <w:pPr>
        <w:shd w:val="clear"/>
        <w:spacing w:line="360" w:lineRule="auto"/>
        <w:ind w:firstLine="897" w:firstLineChars="374"/>
        <w:rPr>
          <w:rFonts w:ascii="宋体" w:hAnsi="宋体" w:cs="宋体"/>
          <w:color w:val="auto"/>
          <w:sz w:val="24"/>
          <w:highlight w:val="none"/>
        </w:rPr>
      </w:pPr>
      <w:sdt>
        <w:sdtPr>
          <w:rPr>
            <w:rFonts w:hint="eastAsia" w:ascii="宋体" w:hAnsi="宋体" w:cs="宋体"/>
            <w:color w:val="auto"/>
            <w:kern w:val="0"/>
            <w:sz w:val="24"/>
            <w:highlight w:val="none"/>
          </w:rPr>
          <w:id w:val="-333685401"/>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sz w:val="24"/>
          <w:highlight w:val="none"/>
        </w:rPr>
        <w:t>服务全部由符合政策要求的中小企业承接，提供中小企业声明函；</w:t>
      </w:r>
    </w:p>
    <w:p w14:paraId="24A39304">
      <w:pPr>
        <w:shd w:val="clear"/>
        <w:spacing w:line="360" w:lineRule="auto"/>
        <w:ind w:firstLine="897" w:firstLineChars="374"/>
        <w:rPr>
          <w:rFonts w:ascii="宋体" w:hAnsi="宋体" w:cs="宋体"/>
          <w:color w:val="auto"/>
          <w:sz w:val="24"/>
          <w:highlight w:val="none"/>
        </w:rPr>
      </w:pPr>
      <w:sdt>
        <w:sdtPr>
          <w:rPr>
            <w:rFonts w:hint="eastAsia" w:ascii="宋体" w:hAnsi="宋体" w:cs="宋体"/>
            <w:color w:val="auto"/>
            <w:kern w:val="0"/>
            <w:sz w:val="24"/>
            <w:highlight w:val="none"/>
          </w:rPr>
          <w:id w:val="-2141025358"/>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服务全部由符合政策要求的小微企业承接，提供中小企业声明函；</w:t>
      </w:r>
    </w:p>
    <w:p w14:paraId="61191240">
      <w:pPr>
        <w:shd w:val="clear"/>
        <w:rPr>
          <w:rFonts w:ascii="宋体" w:hAnsi="宋体" w:cs="宋体"/>
          <w:color w:val="auto"/>
          <w:highlight w:val="none"/>
        </w:rPr>
      </w:pPr>
    </w:p>
    <w:p w14:paraId="0B4DC262">
      <w:pPr>
        <w:shd w:val="clea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198560779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宋体" w:cs="宋体"/>
              <w:color w:val="auto"/>
              <w:kern w:val="0"/>
              <w:sz w:val="24"/>
              <w:szCs w:val="24"/>
              <w:highlight w:val="none"/>
              <w:lang w:val="en-US" w:eastAsia="zh-CN" w:bidi="ar-SA"/>
            </w:rPr>
            <w:t>☐</w:t>
          </w:r>
        </w:sdtContent>
      </w:sdt>
      <w:r>
        <w:rPr>
          <w:rFonts w:hint="eastAsia" w:ascii="宋体" w:hAnsi="宋体" w:cs="宋体"/>
          <w:color w:val="auto"/>
          <w:sz w:val="24"/>
          <w:highlight w:val="none"/>
        </w:rPr>
        <w:t>要求以联合体形式参加，提供联合协议和中小企业声明函，联合协议中中小企业合同金额应当达到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sz w:val="24"/>
          <w:highlight w:val="none"/>
          <w:lang w:eastAsia="zh-CN"/>
        </w:rPr>
        <w:t>；</w:t>
      </w:r>
      <w:r>
        <w:rPr>
          <w:rFonts w:hint="eastAsia" w:ascii="宋体" w:hAnsi="宋体" w:cs="宋体"/>
          <w:color w:val="auto"/>
          <w:spacing w:val="8"/>
          <w:kern w:val="0"/>
          <w:sz w:val="24"/>
          <w:highlight w:val="none"/>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宋体" w:hAnsi="宋体" w:cs="宋体"/>
          <w:color w:val="auto"/>
          <w:sz w:val="24"/>
          <w:highlight w:val="none"/>
        </w:rPr>
        <w:t>；</w:t>
      </w:r>
    </w:p>
    <w:p w14:paraId="3F482E9A">
      <w:pPr>
        <w:shd w:val="clea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3463064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要求合同分包，提供分包意向协议和中小企业声明函，分包意向协议中中小企业合同金额应当达到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sz w:val="24"/>
          <w:highlight w:val="none"/>
          <w:lang w:eastAsia="zh-CN"/>
        </w:rPr>
        <w:t>；</w:t>
      </w:r>
      <w:r>
        <w:rPr>
          <w:rFonts w:hint="eastAsia" w:ascii="宋体" w:hAnsi="宋体" w:cs="宋体"/>
          <w:color w:val="auto"/>
          <w:spacing w:val="8"/>
          <w:kern w:val="0"/>
          <w:sz w:val="24"/>
          <w:highlight w:val="none"/>
        </w:rPr>
        <w:t>如果供应商本身提供所有标的均由中小企业制造、承建或承接，并相应达到了前述比例要求，视同符合了资格条件，无需再向中小企业分包，无需提供分包意向协议</w:t>
      </w:r>
      <w:r>
        <w:rPr>
          <w:rFonts w:hint="eastAsia" w:ascii="宋体" w:hAnsi="宋体" w:cs="宋体"/>
          <w:color w:val="auto"/>
          <w:sz w:val="24"/>
          <w:highlight w:val="none"/>
        </w:rPr>
        <w:t>；</w:t>
      </w:r>
    </w:p>
    <w:p w14:paraId="5F0F473F">
      <w:pPr>
        <w:shd w:val="clear"/>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4</w:t>
      </w:r>
      <w:r>
        <w:rPr>
          <w:rFonts w:hint="eastAsia" w:ascii="宋体" w:hAnsi="宋体" w:cs="宋体"/>
          <w:color w:val="auto"/>
          <w:sz w:val="24"/>
          <w:highlight w:val="none"/>
        </w:rPr>
        <w:t>.本项目的特定资格要求：供应商须</w:t>
      </w:r>
      <w:r>
        <w:rPr>
          <w:rFonts w:hint="eastAsia" w:ascii="宋体" w:hAnsi="宋体" w:cs="宋体"/>
          <w:color w:val="auto"/>
          <w:sz w:val="24"/>
          <w:highlight w:val="none"/>
          <w:lang w:val="en-US" w:eastAsia="zh-CN"/>
        </w:rPr>
        <w:t>提供</w:t>
      </w:r>
      <w:r>
        <w:rPr>
          <w:rFonts w:hint="eastAsia" w:ascii="宋体" w:hAnsi="宋体" w:cs="宋体"/>
          <w:color w:val="auto"/>
          <w:sz w:val="24"/>
          <w:highlight w:val="none"/>
        </w:rPr>
        <w:t>有效的食品经营许可证【主体业态：食品销售经营者】</w:t>
      </w:r>
      <w:r>
        <w:rPr>
          <w:rFonts w:hint="eastAsia" w:ascii="宋体" w:hAnsi="宋体" w:cs="宋体"/>
          <w:color w:val="auto"/>
          <w:sz w:val="24"/>
          <w:highlight w:val="none"/>
          <w:lang w:val="en-US" w:eastAsia="zh-CN"/>
        </w:rPr>
        <w:t>或提供预包装食品备案证明</w:t>
      </w:r>
      <w:r>
        <w:rPr>
          <w:rFonts w:hint="eastAsia" w:ascii="宋体" w:hAnsi="宋体" w:cs="宋体"/>
          <w:color w:val="auto"/>
          <w:sz w:val="24"/>
          <w:highlight w:val="none"/>
        </w:rPr>
        <w:t>（投标文件中</w:t>
      </w:r>
      <w:r>
        <w:rPr>
          <w:rFonts w:hint="eastAsia" w:ascii="宋体" w:hAnsi="宋体" w:cs="宋体"/>
          <w:color w:val="auto"/>
          <w:sz w:val="24"/>
          <w:highlight w:val="none"/>
          <w:lang w:val="en-US" w:eastAsia="zh-CN"/>
        </w:rPr>
        <w:t>需提供</w:t>
      </w:r>
      <w:r>
        <w:rPr>
          <w:rFonts w:hint="eastAsia" w:ascii="宋体" w:hAnsi="宋体" w:cs="宋体"/>
          <w:color w:val="auto"/>
          <w:sz w:val="24"/>
          <w:highlight w:val="none"/>
        </w:rPr>
        <w:t>证</w:t>
      </w:r>
      <w:r>
        <w:rPr>
          <w:rFonts w:hint="eastAsia" w:ascii="宋体" w:hAnsi="宋体" w:cs="宋体"/>
          <w:color w:val="auto"/>
          <w:sz w:val="24"/>
          <w:highlight w:val="none"/>
          <w:lang w:val="en-US" w:eastAsia="zh-CN"/>
        </w:rPr>
        <w:t>书扫描件或备案证明材料</w:t>
      </w:r>
      <w:r>
        <w:rPr>
          <w:rFonts w:hint="eastAsia" w:ascii="宋体" w:hAnsi="宋体" w:cs="宋体"/>
          <w:color w:val="auto"/>
          <w:sz w:val="24"/>
          <w:highlight w:val="none"/>
        </w:rPr>
        <w:t>加盖公章</w:t>
      </w:r>
      <w:r>
        <w:rPr>
          <w:rFonts w:hint="eastAsia" w:ascii="宋体" w:hAnsi="宋体" w:cs="宋体"/>
          <w:color w:val="auto"/>
          <w:sz w:val="24"/>
          <w:highlight w:val="none"/>
          <w:lang w:eastAsia="zh-CN"/>
        </w:rPr>
        <w:t>）。</w:t>
      </w:r>
    </w:p>
    <w:p w14:paraId="2CEC9D91">
      <w:pPr>
        <w:shd w:val="clea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5.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0FDD02A0">
      <w:pPr>
        <w:shd w:val="clear"/>
        <w:spacing w:line="360" w:lineRule="auto"/>
        <w:rPr>
          <w:rFonts w:ascii="宋体" w:hAnsi="宋体" w:cs="宋体"/>
          <w:b/>
          <w:color w:val="auto"/>
          <w:sz w:val="24"/>
          <w:highlight w:val="none"/>
        </w:rPr>
      </w:pPr>
      <w:r>
        <w:rPr>
          <w:rFonts w:hint="eastAsia" w:ascii="宋体" w:hAnsi="宋体" w:cs="宋体"/>
          <w:b/>
          <w:color w:val="auto"/>
          <w:sz w:val="24"/>
          <w:highlight w:val="none"/>
        </w:rPr>
        <w:t xml:space="preserve">三、获取招标文件 </w:t>
      </w:r>
    </w:p>
    <w:p w14:paraId="479450E5">
      <w:pPr>
        <w:shd w:val="clea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时间：</w:t>
      </w:r>
      <w:r>
        <w:rPr>
          <w:rFonts w:hint="eastAsia" w:ascii="宋体" w:hAnsi="宋体" w:cs="宋体"/>
          <w:color w:val="auto"/>
          <w:sz w:val="24"/>
          <w:highlight w:val="none"/>
          <w:u w:val="single"/>
          <w:lang w:eastAsia="zh-CN"/>
        </w:rPr>
        <w:t>2025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04</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03</w:t>
      </w:r>
      <w:r>
        <w:rPr>
          <w:rFonts w:hint="eastAsia" w:ascii="宋体" w:hAnsi="宋体" w:cs="宋体"/>
          <w:color w:val="auto"/>
          <w:sz w:val="24"/>
          <w:highlight w:val="none"/>
          <w:u w:val="single"/>
        </w:rPr>
        <w:t>日</w:t>
      </w:r>
      <w:r>
        <w:rPr>
          <w:rFonts w:hint="eastAsia" w:ascii="宋体" w:hAnsi="宋体" w:cs="宋体"/>
          <w:color w:val="auto"/>
          <w:sz w:val="24"/>
          <w:highlight w:val="none"/>
        </w:rPr>
        <w:t>至</w:t>
      </w:r>
      <w:r>
        <w:rPr>
          <w:rFonts w:hint="eastAsia" w:ascii="宋体" w:hAnsi="宋体" w:cs="宋体"/>
          <w:color w:val="auto"/>
          <w:sz w:val="24"/>
          <w:highlight w:val="none"/>
          <w:u w:val="single"/>
          <w:lang w:eastAsia="zh-CN"/>
        </w:rPr>
        <w:t>2025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04</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14</w:t>
      </w:r>
      <w:r>
        <w:rPr>
          <w:rFonts w:hint="eastAsia" w:ascii="宋体" w:hAnsi="宋体" w:cs="宋体"/>
          <w:color w:val="auto"/>
          <w:sz w:val="24"/>
          <w:highlight w:val="none"/>
          <w:u w:val="single"/>
        </w:rPr>
        <w:t>日</w:t>
      </w:r>
      <w:r>
        <w:rPr>
          <w:rFonts w:hint="eastAsia" w:ascii="宋体" w:hAnsi="宋体" w:cs="宋体"/>
          <w:color w:val="auto"/>
          <w:sz w:val="24"/>
          <w:highlight w:val="none"/>
        </w:rPr>
        <w:t>，每天上午00:00至12:00 ，下午12:00至23:59（北京时间，线上获取法定节假日均可，线下获取文件法定节假日除外）</w:t>
      </w:r>
    </w:p>
    <w:p w14:paraId="7C2D2368">
      <w:pPr>
        <w:shd w:val="clea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地点（网址）：</w:t>
      </w:r>
      <w:r>
        <w:rPr>
          <w:rFonts w:hint="eastAsia" w:ascii="宋体" w:hAnsi="宋体" w:cs="宋体"/>
          <w:color w:val="auto"/>
          <w:sz w:val="24"/>
          <w:highlight w:val="none"/>
        </w:rPr>
        <w:t xml:space="preserve">政采云平台（https://www.zcygov.cn/） </w:t>
      </w:r>
    </w:p>
    <w:p w14:paraId="11AF5100">
      <w:pPr>
        <w:shd w:val="clea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方式：</w:t>
      </w:r>
      <w:r>
        <w:rPr>
          <w:rFonts w:hint="eastAsia" w:ascii="宋体" w:hAnsi="宋体" w:cs="宋体"/>
          <w:color w:val="auto"/>
          <w:sz w:val="24"/>
          <w:highlight w:val="none"/>
        </w:rPr>
        <w:t xml:space="preserve">供应商登录政采云平台https://www.zcygov.cn/在线申请获取采购文件（进入“项目采购”应用，在获取采购文件菜单中选择项目，申请获取采购文件）。 </w:t>
      </w:r>
    </w:p>
    <w:p w14:paraId="5163DC1E">
      <w:pPr>
        <w:shd w:val="clea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售价（元）：</w:t>
      </w:r>
      <w:r>
        <w:rPr>
          <w:rFonts w:hint="eastAsia" w:ascii="宋体" w:hAnsi="宋体" w:cs="宋体"/>
          <w:color w:val="auto"/>
          <w:sz w:val="24"/>
          <w:highlight w:val="none"/>
        </w:rPr>
        <w:t xml:space="preserve">0 </w:t>
      </w:r>
      <w:r>
        <w:rPr>
          <w:rFonts w:hint="eastAsia" w:ascii="宋体" w:hAnsi="宋体" w:cs="宋体"/>
          <w:color w:val="auto"/>
          <w:sz w:val="24"/>
          <w:highlight w:val="none"/>
        </w:rPr>
        <w:tab/>
      </w:r>
    </w:p>
    <w:p w14:paraId="21A6A244">
      <w:pPr>
        <w:shd w:val="clear"/>
        <w:spacing w:line="360" w:lineRule="auto"/>
        <w:rPr>
          <w:rFonts w:ascii="宋体" w:hAnsi="宋体" w:cs="宋体"/>
          <w:b/>
          <w:color w:val="auto"/>
          <w:sz w:val="24"/>
          <w:highlight w:val="none"/>
        </w:rPr>
      </w:pPr>
      <w:r>
        <w:rPr>
          <w:rFonts w:hint="eastAsia" w:ascii="宋体" w:hAnsi="宋体" w:cs="宋体"/>
          <w:b/>
          <w:color w:val="auto"/>
          <w:sz w:val="24"/>
          <w:highlight w:val="none"/>
        </w:rPr>
        <w:t>四、提交投标文件截止时间、开标时间和地点</w:t>
      </w:r>
    </w:p>
    <w:p w14:paraId="0276DBF4">
      <w:pPr>
        <w:shd w:val="clea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提交投标文件截止时间：</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eastAsia="zh-CN"/>
        </w:rPr>
        <w:t>2025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04</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24</w:t>
      </w:r>
      <w:r>
        <w:rPr>
          <w:rFonts w:hint="eastAsia" w:ascii="宋体" w:hAnsi="宋体" w:cs="宋体"/>
          <w:color w:val="auto"/>
          <w:sz w:val="24"/>
          <w:highlight w:val="none"/>
          <w:u w:val="single"/>
        </w:rPr>
        <w:t>日</w:t>
      </w:r>
      <w:r>
        <w:rPr>
          <w:rFonts w:hint="eastAsia" w:ascii="宋体" w:hAnsi="宋体" w:cs="宋体"/>
          <w:color w:val="auto"/>
          <w:sz w:val="24"/>
          <w:highlight w:val="none"/>
          <w:u w:val="single"/>
          <w:lang w:val="en-US" w:eastAsia="zh-CN"/>
        </w:rPr>
        <w:t>09</w:t>
      </w:r>
      <w:r>
        <w:rPr>
          <w:rFonts w:hint="eastAsia" w:ascii="宋体" w:hAnsi="宋体" w:cs="宋体"/>
          <w:color w:val="auto"/>
          <w:sz w:val="24"/>
          <w:highlight w:val="none"/>
          <w:u w:val="single"/>
        </w:rPr>
        <w:t>点</w:t>
      </w:r>
      <w:r>
        <w:rPr>
          <w:rFonts w:hint="eastAsia" w:ascii="宋体" w:hAnsi="宋体" w:cs="宋体"/>
          <w:color w:val="auto"/>
          <w:sz w:val="24"/>
          <w:highlight w:val="none"/>
          <w:u w:val="single"/>
          <w:lang w:val="en-US" w:eastAsia="zh-CN"/>
        </w:rPr>
        <w:t>00</w:t>
      </w:r>
      <w:r>
        <w:rPr>
          <w:rFonts w:hint="eastAsia" w:ascii="宋体" w:hAnsi="宋体" w:cs="宋体"/>
          <w:color w:val="auto"/>
          <w:sz w:val="24"/>
          <w:highlight w:val="none"/>
          <w:u w:val="single"/>
        </w:rPr>
        <w:t>分00秒</w:t>
      </w:r>
      <w:r>
        <w:rPr>
          <w:rFonts w:hint="eastAsia" w:ascii="宋体" w:hAnsi="宋体" w:cs="宋体"/>
          <w:bCs/>
          <w:color w:val="auto"/>
          <w:sz w:val="24"/>
          <w:highlight w:val="none"/>
          <w:u w:val="single"/>
        </w:rPr>
        <w:t xml:space="preserve"> </w:t>
      </w:r>
      <w:r>
        <w:rPr>
          <w:rFonts w:hint="eastAsia" w:ascii="宋体" w:hAnsi="宋体" w:cs="宋体"/>
          <w:color w:val="auto"/>
          <w:sz w:val="24"/>
          <w:highlight w:val="none"/>
        </w:rPr>
        <w:t>（北京时间）</w:t>
      </w:r>
    </w:p>
    <w:p w14:paraId="6CBC8631">
      <w:pPr>
        <w:shd w:val="clea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投标地点（网址）：</w:t>
      </w:r>
      <w:r>
        <w:rPr>
          <w:rFonts w:hint="eastAsia" w:asciiTheme="minorEastAsia" w:hAnsiTheme="minorEastAsia" w:eastAsiaTheme="minorEastAsia"/>
          <w:color w:val="auto"/>
          <w:sz w:val="24"/>
          <w:highlight w:val="none"/>
          <w:lang w:eastAsia="zh-CN"/>
        </w:rPr>
        <w:t>宁波市海曙区营商环境服务中心</w:t>
      </w:r>
      <w:r>
        <w:rPr>
          <w:rFonts w:hint="eastAsia" w:asciiTheme="minorEastAsia" w:hAnsiTheme="minorEastAsia" w:eastAsiaTheme="minorEastAsia"/>
          <w:color w:val="auto"/>
          <w:sz w:val="24"/>
          <w:highlight w:val="none"/>
        </w:rPr>
        <w:t>二楼开标室（</w:t>
      </w:r>
      <w:r>
        <w:rPr>
          <w:rFonts w:hint="eastAsia" w:asciiTheme="minorEastAsia" w:hAnsiTheme="minorEastAsia" w:eastAsiaTheme="minorEastAsia"/>
          <w:color w:val="auto"/>
          <w:sz w:val="24"/>
          <w:highlight w:val="none"/>
          <w:lang w:val="en-US" w:eastAsia="zh-CN"/>
        </w:rPr>
        <w:t>3</w:t>
      </w:r>
      <w:r>
        <w:rPr>
          <w:rFonts w:hint="eastAsia" w:asciiTheme="minorEastAsia" w:hAnsiTheme="minorEastAsia" w:eastAsiaTheme="minorEastAsia"/>
          <w:color w:val="auto"/>
          <w:sz w:val="24"/>
          <w:highlight w:val="none"/>
        </w:rPr>
        <w:t>）</w:t>
      </w:r>
      <w:r>
        <w:rPr>
          <w:rFonts w:hint="eastAsia" w:ascii="宋体" w:hAnsi="宋体" w:cs="宋体"/>
          <w:color w:val="auto"/>
          <w:sz w:val="24"/>
          <w:highlight w:val="none"/>
        </w:rPr>
        <w:t>[宁波市海曙区气象路58号</w:t>
      </w:r>
      <w:r>
        <w:rPr>
          <w:rFonts w:hint="eastAsia" w:ascii="宋体" w:hAnsi="宋体" w:cs="宋体"/>
          <w:color w:val="auto"/>
          <w:sz w:val="24"/>
          <w:highlight w:val="none"/>
          <w:lang w:eastAsia="zh-CN"/>
        </w:rPr>
        <w:t>（</w:t>
      </w:r>
      <w:r>
        <w:rPr>
          <w:rFonts w:hint="eastAsia" w:ascii="宋体" w:hAnsi="宋体" w:cs="宋体"/>
          <w:color w:val="auto"/>
          <w:sz w:val="24"/>
          <w:highlight w:val="none"/>
        </w:rPr>
        <w:t>南门上</w:t>
      </w:r>
      <w:r>
        <w:rPr>
          <w:rFonts w:hint="eastAsia" w:ascii="宋体" w:hAnsi="宋体" w:cs="宋体"/>
          <w:color w:val="auto"/>
          <w:sz w:val="24"/>
          <w:highlight w:val="none"/>
          <w:lang w:eastAsia="zh-CN"/>
        </w:rPr>
        <w:t>）</w:t>
      </w:r>
      <w:r>
        <w:rPr>
          <w:rFonts w:hint="eastAsia" w:ascii="宋体" w:hAnsi="宋体" w:cs="宋体"/>
          <w:color w:val="auto"/>
          <w:sz w:val="24"/>
          <w:highlight w:val="none"/>
        </w:rPr>
        <w:t xml:space="preserve">]。政采云平台（https://www.zcygov.cn/） </w:t>
      </w:r>
    </w:p>
    <w:p w14:paraId="1B94F476">
      <w:pPr>
        <w:shd w:val="clear"/>
        <w:spacing w:line="360" w:lineRule="auto"/>
        <w:ind w:firstLine="482" w:firstLineChars="200"/>
        <w:rPr>
          <w:rFonts w:ascii="宋体" w:hAnsi="宋体" w:cs="宋体"/>
          <w:bCs/>
          <w:color w:val="auto"/>
          <w:sz w:val="24"/>
          <w:highlight w:val="none"/>
          <w:u w:val="single"/>
        </w:rPr>
      </w:pPr>
      <w:r>
        <w:rPr>
          <w:rFonts w:hint="eastAsia" w:ascii="宋体" w:hAnsi="宋体" w:cs="宋体"/>
          <w:b/>
          <w:color w:val="auto"/>
          <w:sz w:val="24"/>
          <w:highlight w:val="none"/>
        </w:rPr>
        <w:t>开标时间：</w:t>
      </w:r>
      <w:r>
        <w:rPr>
          <w:rFonts w:hint="eastAsia" w:ascii="宋体" w:hAnsi="宋体" w:cs="宋体"/>
          <w:color w:val="auto"/>
          <w:sz w:val="24"/>
          <w:highlight w:val="none"/>
          <w:u w:val="single"/>
          <w:lang w:eastAsia="zh-CN"/>
        </w:rPr>
        <w:t>2025年</w:t>
      </w:r>
      <w:r>
        <w:rPr>
          <w:rFonts w:hint="eastAsia" w:ascii="宋体" w:hAnsi="宋体" w:cs="宋体"/>
          <w:color w:val="auto"/>
          <w:sz w:val="24"/>
          <w:highlight w:val="none"/>
          <w:u w:val="single"/>
          <w:lang w:val="en-US" w:eastAsia="zh-CN"/>
        </w:rPr>
        <w:t>04</w:t>
      </w:r>
      <w:r>
        <w:rPr>
          <w:rFonts w:hint="eastAsia" w:ascii="宋体" w:hAnsi="宋体" w:cs="宋体"/>
          <w:color w:val="auto"/>
          <w:sz w:val="24"/>
          <w:highlight w:val="none"/>
          <w:u w:val="single"/>
          <w:lang w:eastAsia="zh-CN"/>
        </w:rPr>
        <w:t>月</w:t>
      </w:r>
      <w:r>
        <w:rPr>
          <w:rFonts w:hint="eastAsia" w:ascii="宋体" w:hAnsi="宋体" w:cs="宋体"/>
          <w:color w:val="auto"/>
          <w:sz w:val="24"/>
          <w:highlight w:val="none"/>
          <w:u w:val="single"/>
          <w:lang w:val="en-US" w:eastAsia="zh-CN"/>
        </w:rPr>
        <w:t>24</w:t>
      </w:r>
      <w:r>
        <w:rPr>
          <w:rFonts w:hint="eastAsia" w:ascii="宋体" w:hAnsi="宋体" w:cs="宋体"/>
          <w:color w:val="auto"/>
          <w:sz w:val="24"/>
          <w:highlight w:val="none"/>
          <w:u w:val="single"/>
          <w:lang w:eastAsia="zh-CN"/>
        </w:rPr>
        <w:t>日</w:t>
      </w:r>
      <w:r>
        <w:rPr>
          <w:rFonts w:hint="eastAsia" w:ascii="宋体" w:hAnsi="宋体" w:cs="宋体"/>
          <w:color w:val="auto"/>
          <w:sz w:val="24"/>
          <w:highlight w:val="none"/>
          <w:u w:val="single"/>
          <w:lang w:val="en-US" w:eastAsia="zh-CN"/>
        </w:rPr>
        <w:t>09</w:t>
      </w:r>
      <w:r>
        <w:rPr>
          <w:rFonts w:hint="eastAsia" w:ascii="宋体" w:hAnsi="宋体" w:cs="宋体"/>
          <w:color w:val="auto"/>
          <w:sz w:val="24"/>
          <w:highlight w:val="none"/>
          <w:u w:val="single"/>
          <w:lang w:eastAsia="zh-CN"/>
        </w:rPr>
        <w:t>点</w:t>
      </w:r>
      <w:r>
        <w:rPr>
          <w:rFonts w:hint="eastAsia" w:ascii="宋体" w:hAnsi="宋体" w:cs="宋体"/>
          <w:color w:val="auto"/>
          <w:sz w:val="24"/>
          <w:highlight w:val="none"/>
          <w:u w:val="single"/>
          <w:lang w:val="en-US" w:eastAsia="zh-CN"/>
        </w:rPr>
        <w:t>00</w:t>
      </w:r>
      <w:r>
        <w:rPr>
          <w:rFonts w:hint="eastAsia" w:ascii="宋体" w:hAnsi="宋体" w:cs="宋体"/>
          <w:color w:val="auto"/>
          <w:sz w:val="24"/>
          <w:highlight w:val="none"/>
          <w:u w:val="single"/>
          <w:lang w:eastAsia="zh-CN"/>
        </w:rPr>
        <w:t>分00</w:t>
      </w:r>
      <w:r>
        <w:rPr>
          <w:rFonts w:hint="eastAsia" w:ascii="宋体" w:hAnsi="宋体" w:cs="宋体"/>
          <w:color w:val="auto"/>
          <w:sz w:val="24"/>
          <w:highlight w:val="none"/>
          <w:u w:val="single"/>
        </w:rPr>
        <w:t>秒</w:t>
      </w:r>
      <w:r>
        <w:rPr>
          <w:rFonts w:hint="eastAsia" w:ascii="宋体" w:hAnsi="宋体" w:cs="宋体"/>
          <w:bCs/>
          <w:color w:val="auto"/>
          <w:sz w:val="24"/>
          <w:highlight w:val="none"/>
          <w:u w:val="single"/>
        </w:rPr>
        <w:t xml:space="preserve">  </w:t>
      </w:r>
    </w:p>
    <w:p w14:paraId="422CF910">
      <w:pPr>
        <w:shd w:val="clea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开标地点（网址）：</w:t>
      </w:r>
      <w:r>
        <w:rPr>
          <w:rFonts w:hint="eastAsia" w:asciiTheme="minorEastAsia" w:hAnsiTheme="minorEastAsia" w:eastAsiaTheme="minorEastAsia"/>
          <w:color w:val="auto"/>
          <w:sz w:val="24"/>
          <w:highlight w:val="none"/>
          <w:lang w:eastAsia="zh-CN"/>
        </w:rPr>
        <w:t>宁波市海曙区营商环境服务中心</w:t>
      </w:r>
      <w:r>
        <w:rPr>
          <w:rFonts w:hint="eastAsia" w:asciiTheme="minorEastAsia" w:hAnsiTheme="minorEastAsia" w:eastAsiaTheme="minorEastAsia"/>
          <w:color w:val="auto"/>
          <w:sz w:val="24"/>
          <w:highlight w:val="none"/>
        </w:rPr>
        <w:t>二楼开标室（</w:t>
      </w:r>
      <w:r>
        <w:rPr>
          <w:rFonts w:hint="eastAsia" w:asciiTheme="minorEastAsia" w:hAnsiTheme="minorEastAsia" w:eastAsiaTheme="minorEastAsia"/>
          <w:color w:val="auto"/>
          <w:sz w:val="24"/>
          <w:highlight w:val="none"/>
          <w:lang w:val="en-US" w:eastAsia="zh-CN"/>
        </w:rPr>
        <w:t>3</w:t>
      </w:r>
      <w:r>
        <w:rPr>
          <w:rFonts w:hint="eastAsia" w:asciiTheme="minorEastAsia" w:hAnsiTheme="minorEastAsia" w:eastAsiaTheme="minorEastAsia"/>
          <w:color w:val="auto"/>
          <w:sz w:val="24"/>
          <w:highlight w:val="none"/>
        </w:rPr>
        <w:t>）</w:t>
      </w:r>
      <w:r>
        <w:rPr>
          <w:rFonts w:hint="eastAsia" w:ascii="宋体" w:hAnsi="宋体" w:cs="宋体"/>
          <w:color w:val="auto"/>
          <w:sz w:val="24"/>
          <w:highlight w:val="none"/>
        </w:rPr>
        <w:t>[宁波市海曙区气象路58号</w:t>
      </w:r>
      <w:r>
        <w:rPr>
          <w:rFonts w:hint="eastAsia" w:ascii="宋体" w:hAnsi="宋体" w:cs="宋体"/>
          <w:color w:val="auto"/>
          <w:sz w:val="24"/>
          <w:highlight w:val="none"/>
          <w:lang w:eastAsia="zh-CN"/>
        </w:rPr>
        <w:t>（</w:t>
      </w:r>
      <w:r>
        <w:rPr>
          <w:rFonts w:hint="eastAsia" w:ascii="宋体" w:hAnsi="宋体" w:cs="宋体"/>
          <w:color w:val="auto"/>
          <w:sz w:val="24"/>
          <w:highlight w:val="none"/>
        </w:rPr>
        <w:t>南门上</w:t>
      </w:r>
      <w:r>
        <w:rPr>
          <w:rFonts w:hint="eastAsia" w:ascii="宋体" w:hAnsi="宋体" w:cs="宋体"/>
          <w:color w:val="auto"/>
          <w:sz w:val="24"/>
          <w:highlight w:val="none"/>
          <w:lang w:eastAsia="zh-CN"/>
        </w:rPr>
        <w:t>）</w:t>
      </w:r>
      <w:r>
        <w:rPr>
          <w:rFonts w:hint="eastAsia" w:ascii="宋体" w:hAnsi="宋体" w:cs="宋体"/>
          <w:color w:val="auto"/>
          <w:sz w:val="24"/>
          <w:highlight w:val="none"/>
        </w:rPr>
        <w:t>]。政采云平台（https://www.zcygov.cn/）</w:t>
      </w:r>
    </w:p>
    <w:p w14:paraId="4EB44743">
      <w:pPr>
        <w:shd w:val="clear"/>
        <w:spacing w:line="360" w:lineRule="auto"/>
        <w:rPr>
          <w:rFonts w:ascii="宋体" w:hAnsi="宋体" w:cs="宋体"/>
          <w:color w:val="auto"/>
          <w:sz w:val="24"/>
          <w:highlight w:val="none"/>
        </w:rPr>
      </w:pPr>
      <w:r>
        <w:rPr>
          <w:rFonts w:hint="eastAsia" w:ascii="宋体" w:hAnsi="宋体" w:cs="宋体"/>
          <w:b/>
          <w:color w:val="auto"/>
          <w:sz w:val="24"/>
          <w:highlight w:val="none"/>
        </w:rPr>
        <w:t xml:space="preserve">五、公告期限 </w:t>
      </w:r>
    </w:p>
    <w:p w14:paraId="29AEC676">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自本公告发布之日起5个工作日。</w:t>
      </w:r>
    </w:p>
    <w:p w14:paraId="270C6C9B">
      <w:pPr>
        <w:shd w:val="clear"/>
        <w:spacing w:line="360" w:lineRule="auto"/>
        <w:rPr>
          <w:rFonts w:ascii="宋体" w:hAnsi="宋体" w:cs="宋体"/>
          <w:b/>
          <w:color w:val="auto"/>
          <w:sz w:val="24"/>
          <w:highlight w:val="none"/>
        </w:rPr>
      </w:pPr>
      <w:r>
        <w:rPr>
          <w:rFonts w:hint="eastAsia" w:ascii="宋体" w:hAnsi="宋体" w:cs="宋体"/>
          <w:b/>
          <w:color w:val="auto"/>
          <w:sz w:val="24"/>
          <w:highlight w:val="none"/>
        </w:rPr>
        <w:t>六、其他补充事宜</w:t>
      </w:r>
    </w:p>
    <w:p w14:paraId="59A6CAAD">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 1.</w:t>
      </w:r>
      <w:r>
        <w:rPr>
          <w:rFonts w:ascii="宋体" w:hAnsi="宋体" w:cs="宋体"/>
          <w:color w:val="auto"/>
          <w:sz w:val="24"/>
          <w:highlight w:val="none"/>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ascii="宋体" w:hAnsi="宋体" w:cs="宋体"/>
          <w:color w:val="auto"/>
          <w:sz w:val="24"/>
          <w:highlight w:val="none"/>
        </w:rPr>
        <w:t>。</w:t>
      </w:r>
    </w:p>
    <w:p w14:paraId="495F8FEB">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 2.根据《浙江省财政厅关于进一步促进政府采购公平竞争打造最优营商环境的通知》（浙财采监（2021）22号）文件关于“健全行政裁决机制”要求，鼓励供应商在线提起询问，路径为：政采云</w:t>
      </w:r>
      <w:r>
        <w:rPr>
          <w:rFonts w:hint="eastAsia" w:ascii="宋体" w:hAnsi="宋体" w:cs="宋体"/>
          <w:color w:val="auto"/>
          <w:sz w:val="24"/>
          <w:highlight w:val="none"/>
          <w:lang w:eastAsia="zh-CN"/>
        </w:rPr>
        <w:t>－</w:t>
      </w:r>
      <w:r>
        <w:rPr>
          <w:rFonts w:hint="eastAsia" w:ascii="宋体" w:hAnsi="宋体" w:cs="宋体"/>
          <w:color w:val="auto"/>
          <w:sz w:val="24"/>
          <w:highlight w:val="none"/>
        </w:rPr>
        <w:t>项目采购</w:t>
      </w:r>
      <w:r>
        <w:rPr>
          <w:rFonts w:hint="eastAsia" w:ascii="宋体" w:hAnsi="宋体" w:cs="宋体"/>
          <w:color w:val="auto"/>
          <w:sz w:val="24"/>
          <w:highlight w:val="none"/>
          <w:lang w:eastAsia="zh-CN"/>
        </w:rPr>
        <w:t>－</w:t>
      </w:r>
      <w:r>
        <w:rPr>
          <w:rFonts w:hint="eastAsia" w:ascii="宋体" w:hAnsi="宋体" w:cs="宋体"/>
          <w:color w:val="auto"/>
          <w:sz w:val="24"/>
          <w:highlight w:val="none"/>
        </w:rPr>
        <w:t>询问质疑投诉</w:t>
      </w:r>
      <w:r>
        <w:rPr>
          <w:rFonts w:hint="eastAsia" w:ascii="宋体" w:hAnsi="宋体" w:cs="宋体"/>
          <w:color w:val="auto"/>
          <w:sz w:val="24"/>
          <w:highlight w:val="none"/>
          <w:lang w:eastAsia="zh-CN"/>
        </w:rPr>
        <w:t>－</w:t>
      </w:r>
      <w:r>
        <w:rPr>
          <w:rFonts w:hint="eastAsia" w:ascii="宋体" w:hAnsi="宋体" w:cs="宋体"/>
          <w:color w:val="auto"/>
          <w:sz w:val="24"/>
          <w:highlight w:val="none"/>
        </w:rPr>
        <w:t>询问列表</w:t>
      </w:r>
      <w:r>
        <w:rPr>
          <w:rFonts w:hint="eastAsia" w:ascii="宋体" w:hAnsi="宋体" w:cs="宋体"/>
          <w:color w:val="auto"/>
          <w:sz w:val="24"/>
          <w:highlight w:val="none"/>
          <w:lang w:eastAsia="zh-CN"/>
        </w:rPr>
        <w:t>：</w:t>
      </w:r>
      <w:r>
        <w:rPr>
          <w:rFonts w:hint="eastAsia" w:ascii="宋体" w:hAnsi="宋体" w:cs="宋体"/>
          <w:color w:val="auto"/>
          <w:sz w:val="24"/>
          <w:highlight w:val="none"/>
        </w:rPr>
        <w:t>鼓励供应商在线提起质疑，路径为：政采云</w:t>
      </w:r>
      <w:r>
        <w:rPr>
          <w:rFonts w:hint="eastAsia" w:ascii="宋体" w:hAnsi="宋体" w:cs="宋体"/>
          <w:color w:val="auto"/>
          <w:sz w:val="24"/>
          <w:highlight w:val="none"/>
          <w:lang w:eastAsia="zh-CN"/>
        </w:rPr>
        <w:t>－</w:t>
      </w:r>
      <w:r>
        <w:rPr>
          <w:rFonts w:hint="eastAsia" w:ascii="宋体" w:hAnsi="宋体" w:cs="宋体"/>
          <w:color w:val="auto"/>
          <w:sz w:val="24"/>
          <w:highlight w:val="none"/>
        </w:rPr>
        <w:t>项目采购</w:t>
      </w:r>
      <w:r>
        <w:rPr>
          <w:rFonts w:hint="eastAsia" w:ascii="宋体" w:hAnsi="宋体" w:cs="宋体"/>
          <w:color w:val="auto"/>
          <w:sz w:val="24"/>
          <w:highlight w:val="none"/>
          <w:lang w:eastAsia="zh-CN"/>
        </w:rPr>
        <w:t>－</w:t>
      </w:r>
      <w:r>
        <w:rPr>
          <w:rFonts w:hint="eastAsia" w:ascii="宋体" w:hAnsi="宋体" w:cs="宋体"/>
          <w:color w:val="auto"/>
          <w:sz w:val="24"/>
          <w:highlight w:val="none"/>
        </w:rPr>
        <w:t>询问质疑投诉</w:t>
      </w:r>
      <w:r>
        <w:rPr>
          <w:rFonts w:hint="eastAsia" w:ascii="宋体" w:hAnsi="宋体" w:cs="宋体"/>
          <w:color w:val="auto"/>
          <w:sz w:val="24"/>
          <w:highlight w:val="none"/>
          <w:lang w:eastAsia="zh-CN"/>
        </w:rPr>
        <w:t>－</w:t>
      </w:r>
      <w:r>
        <w:rPr>
          <w:rFonts w:hint="eastAsia" w:ascii="宋体" w:hAnsi="宋体" w:cs="宋体"/>
          <w:color w:val="auto"/>
          <w:sz w:val="24"/>
          <w:highlight w:val="none"/>
        </w:rPr>
        <w:t>质疑列表。质疑供应商对在线质疑答复不满意的，可在线提起投诉，路径为：浙江政府服务网</w:t>
      </w:r>
      <w:r>
        <w:rPr>
          <w:rFonts w:hint="eastAsia" w:ascii="宋体" w:hAnsi="宋体" w:cs="宋体"/>
          <w:color w:val="auto"/>
          <w:sz w:val="24"/>
          <w:highlight w:val="none"/>
          <w:lang w:eastAsia="zh-CN"/>
        </w:rPr>
        <w:t>－</w:t>
      </w:r>
      <w:r>
        <w:rPr>
          <w:rFonts w:hint="eastAsia" w:ascii="宋体" w:hAnsi="宋体" w:cs="宋体"/>
          <w:color w:val="auto"/>
          <w:sz w:val="24"/>
          <w:highlight w:val="none"/>
        </w:rPr>
        <w:t>政府采购投诉处理</w:t>
      </w:r>
      <w:r>
        <w:rPr>
          <w:rFonts w:hint="eastAsia" w:ascii="宋体" w:hAnsi="宋体" w:cs="宋体"/>
          <w:color w:val="auto"/>
          <w:sz w:val="24"/>
          <w:highlight w:val="none"/>
          <w:lang w:eastAsia="zh-CN"/>
        </w:rPr>
        <w:t>－</w:t>
      </w:r>
      <w:r>
        <w:rPr>
          <w:rFonts w:hint="eastAsia" w:ascii="宋体" w:hAnsi="宋体" w:cs="宋体"/>
          <w:color w:val="auto"/>
          <w:sz w:val="24"/>
          <w:highlight w:val="none"/>
        </w:rPr>
        <w:t>在线办理。</w:t>
      </w:r>
    </w:p>
    <w:p w14:paraId="2F3D4321">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73AA8609">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w:t>
      </w:r>
      <w:r>
        <w:rPr>
          <w:rFonts w:hint="eastAsia" w:ascii="宋体" w:hAnsi="宋体" w:cs="宋体"/>
          <w:color w:val="auto"/>
          <w:sz w:val="24"/>
          <w:highlight w:val="none"/>
          <w:lang w:eastAsia="zh-CN"/>
        </w:rPr>
        <w:t>——</w:t>
      </w:r>
      <w:r>
        <w:rPr>
          <w:rFonts w:hint="eastAsia" w:ascii="宋体" w:hAnsi="宋体" w:cs="宋体"/>
          <w:color w:val="auto"/>
          <w:sz w:val="24"/>
          <w:highlight w:val="none"/>
        </w:rPr>
        <w:t>点击“商家入驻”，进行政府采购供应商资料填写；申领CA数字证书---申领流程详见“浙江政府采购网-下载专区</w:t>
      </w:r>
      <w:r>
        <w:rPr>
          <w:rFonts w:hint="eastAsia" w:ascii="宋体" w:hAnsi="宋体" w:cs="宋体"/>
          <w:color w:val="auto"/>
          <w:sz w:val="24"/>
          <w:highlight w:val="none"/>
          <w:lang w:eastAsia="zh-CN"/>
        </w:rPr>
        <w:t>－</w:t>
      </w:r>
      <w:r>
        <w:rPr>
          <w:rFonts w:hint="eastAsia" w:ascii="宋体" w:hAnsi="宋体" w:cs="宋体"/>
          <w:color w:val="auto"/>
          <w:sz w:val="24"/>
          <w:highlight w:val="none"/>
        </w:rPr>
        <w:t>电子交易客户端-CA驱动和申领流程”；安装“政采云电子交易客户端”----前往“浙江政府采购网-下载专区</w:t>
      </w:r>
      <w:r>
        <w:rPr>
          <w:rFonts w:hint="eastAsia" w:ascii="宋体" w:hAnsi="宋体" w:cs="宋体"/>
          <w:color w:val="auto"/>
          <w:sz w:val="24"/>
          <w:highlight w:val="none"/>
          <w:lang w:eastAsia="zh-CN"/>
        </w:rPr>
        <w:t>－</w:t>
      </w:r>
      <w:r>
        <w:rPr>
          <w:rFonts w:hint="eastAsia" w:ascii="宋体" w:hAnsi="宋体" w:cs="宋体"/>
          <w:color w:val="auto"/>
          <w:sz w:val="24"/>
          <w:highlight w:val="none"/>
        </w:rPr>
        <w:t>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w:t>
      </w:r>
      <w:r>
        <w:rPr>
          <w:rFonts w:hint="eastAsia" w:ascii="宋体" w:hAnsi="宋体" w:cs="宋体"/>
          <w:color w:val="auto"/>
          <w:sz w:val="24"/>
          <w:highlight w:val="none"/>
          <w:lang w:eastAsia="zh-CN"/>
        </w:rPr>
        <w:t>”“</w:t>
      </w:r>
      <w:r>
        <w:rPr>
          <w:rFonts w:hint="eastAsia" w:ascii="宋体" w:hAnsi="宋体" w:cs="宋体"/>
          <w:color w:val="auto"/>
          <w:sz w:val="24"/>
          <w:highlight w:val="none"/>
        </w:rPr>
        <w:t>导入投标文件</w:t>
      </w:r>
      <w:r>
        <w:rPr>
          <w:rFonts w:hint="eastAsia" w:ascii="宋体" w:hAnsi="宋体" w:cs="宋体"/>
          <w:color w:val="auto"/>
          <w:sz w:val="24"/>
          <w:highlight w:val="none"/>
          <w:lang w:eastAsia="zh-CN"/>
        </w:rPr>
        <w:t>”“</w:t>
      </w:r>
      <w:r>
        <w:rPr>
          <w:rFonts w:hint="eastAsia" w:ascii="宋体" w:hAnsi="宋体" w:cs="宋体"/>
          <w:color w:val="auto"/>
          <w:sz w:val="24"/>
          <w:highlight w:val="none"/>
        </w:rPr>
        <w:t>标书关联</w:t>
      </w:r>
      <w:r>
        <w:rPr>
          <w:rFonts w:hint="eastAsia" w:ascii="宋体" w:hAnsi="宋体" w:cs="宋体"/>
          <w:color w:val="auto"/>
          <w:sz w:val="24"/>
          <w:highlight w:val="none"/>
          <w:lang w:eastAsia="zh-CN"/>
        </w:rPr>
        <w:t>”“</w:t>
      </w:r>
      <w:r>
        <w:rPr>
          <w:rFonts w:hint="eastAsia" w:ascii="宋体" w:hAnsi="宋体" w:cs="宋体"/>
          <w:color w:val="auto"/>
          <w:sz w:val="24"/>
          <w:highlight w:val="none"/>
        </w:rPr>
        <w:t>标书检查</w:t>
      </w:r>
      <w:r>
        <w:rPr>
          <w:rFonts w:hint="eastAsia" w:ascii="宋体" w:hAnsi="宋体" w:cs="宋体"/>
          <w:color w:val="auto"/>
          <w:sz w:val="24"/>
          <w:highlight w:val="none"/>
          <w:lang w:eastAsia="zh-CN"/>
        </w:rPr>
        <w:t>”“</w:t>
      </w:r>
      <w:r>
        <w:rPr>
          <w:rFonts w:hint="eastAsia" w:ascii="宋体" w:hAnsi="宋体" w:cs="宋体"/>
          <w:color w:val="auto"/>
          <w:sz w:val="24"/>
          <w:highlight w:val="none"/>
        </w:rPr>
        <w:t>电子签名</w:t>
      </w:r>
      <w:r>
        <w:rPr>
          <w:rFonts w:hint="eastAsia" w:ascii="宋体" w:hAnsi="宋体" w:cs="宋体"/>
          <w:color w:val="auto"/>
          <w:sz w:val="24"/>
          <w:highlight w:val="none"/>
          <w:lang w:eastAsia="zh-CN"/>
        </w:rPr>
        <w:t>”“</w:t>
      </w:r>
      <w:r>
        <w:rPr>
          <w:rFonts w:hint="eastAsia" w:ascii="宋体" w:hAnsi="宋体" w:cs="宋体"/>
          <w:color w:val="auto"/>
          <w:sz w:val="24"/>
          <w:highlight w:val="none"/>
        </w:rPr>
        <w:t>生成电子标书”等操作；⑤采购人、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w:t>
      </w:r>
      <w:r>
        <w:rPr>
          <w:rFonts w:hint="eastAsia" w:ascii="宋体" w:hAnsi="宋体" w:cs="宋体"/>
          <w:color w:val="auto"/>
          <w:sz w:val="24"/>
          <w:highlight w:val="none"/>
          <w:lang w:eastAsia="zh-CN"/>
        </w:rPr>
        <w:t>－</w:t>
      </w:r>
      <w:r>
        <w:rPr>
          <w:rFonts w:hint="eastAsia" w:ascii="宋体" w:hAnsi="宋体" w:cs="宋体"/>
          <w:color w:val="auto"/>
          <w:sz w:val="24"/>
          <w:highlight w:val="none"/>
        </w:rPr>
        <w:t>帮助文档</w:t>
      </w:r>
      <w:r>
        <w:rPr>
          <w:rFonts w:hint="eastAsia" w:ascii="宋体" w:hAnsi="宋体" w:cs="宋体"/>
          <w:color w:val="auto"/>
          <w:sz w:val="24"/>
          <w:highlight w:val="none"/>
          <w:lang w:eastAsia="zh-CN"/>
        </w:rPr>
        <w:t>－</w:t>
      </w:r>
      <w:r>
        <w:rPr>
          <w:rFonts w:hint="eastAsia" w:ascii="宋体" w:hAnsi="宋体" w:cs="宋体"/>
          <w:color w:val="auto"/>
          <w:sz w:val="24"/>
          <w:highlight w:val="none"/>
        </w:rPr>
        <w:t>项目采购</w:t>
      </w:r>
      <w:r>
        <w:rPr>
          <w:rFonts w:hint="eastAsia" w:ascii="宋体" w:hAnsi="宋体" w:cs="宋体"/>
          <w:color w:val="auto"/>
          <w:sz w:val="24"/>
          <w:highlight w:val="none"/>
          <w:lang w:eastAsia="zh-CN"/>
        </w:rPr>
        <w:t>－</w:t>
      </w:r>
      <w:r>
        <w:rPr>
          <w:rFonts w:hint="eastAsia" w:ascii="宋体" w:hAnsi="宋体" w:cs="宋体"/>
          <w:color w:val="auto"/>
          <w:sz w:val="24"/>
          <w:highlight w:val="none"/>
        </w:rPr>
        <w:t>操作流程</w:t>
      </w:r>
      <w:r>
        <w:rPr>
          <w:rFonts w:hint="eastAsia" w:ascii="宋体" w:hAnsi="宋体" w:cs="宋体"/>
          <w:color w:val="auto"/>
          <w:sz w:val="24"/>
          <w:highlight w:val="none"/>
          <w:lang w:eastAsia="zh-CN"/>
        </w:rPr>
        <w:t>－</w:t>
      </w:r>
      <w:r>
        <w:rPr>
          <w:rFonts w:hint="eastAsia" w:ascii="宋体" w:hAnsi="宋体" w:cs="宋体"/>
          <w:color w:val="auto"/>
          <w:sz w:val="24"/>
          <w:highlight w:val="none"/>
        </w:rPr>
        <w:t>电子招投标</w:t>
      </w:r>
      <w:r>
        <w:rPr>
          <w:rFonts w:hint="eastAsia" w:ascii="宋体" w:hAnsi="宋体" w:cs="宋体"/>
          <w:color w:val="auto"/>
          <w:sz w:val="24"/>
          <w:highlight w:val="none"/>
          <w:lang w:eastAsia="zh-CN"/>
        </w:rPr>
        <w:t>－</w:t>
      </w:r>
      <w:r>
        <w:rPr>
          <w:rFonts w:hint="eastAsia" w:ascii="宋体" w:hAnsi="宋体" w:cs="宋体"/>
          <w:color w:val="auto"/>
          <w:sz w:val="24"/>
          <w:highlight w:val="none"/>
        </w:rPr>
        <w:t>政府采购项目电子交易管理操作指南</w:t>
      </w:r>
      <w:r>
        <w:rPr>
          <w:rFonts w:hint="eastAsia" w:ascii="宋体" w:hAnsi="宋体" w:cs="宋体"/>
          <w:color w:val="auto"/>
          <w:sz w:val="24"/>
          <w:highlight w:val="none"/>
          <w:lang w:eastAsia="zh-CN"/>
        </w:rPr>
        <w:t>－</w:t>
      </w:r>
      <w:r>
        <w:rPr>
          <w:rFonts w:hint="eastAsia" w:ascii="宋体" w:hAnsi="宋体" w:cs="宋体"/>
          <w:color w:val="auto"/>
          <w:sz w:val="24"/>
          <w:highlight w:val="none"/>
        </w:rPr>
        <w:t>供应商”。（3）招标文件公告期限与招标公告的公告期限一致。（</w:t>
      </w:r>
      <w:r>
        <w:rPr>
          <w:rFonts w:hint="eastAsia" w:ascii="宋体" w:hAnsi="宋体" w:cs="宋体"/>
          <w:color w:val="auto"/>
          <w:sz w:val="24"/>
          <w:highlight w:val="none"/>
          <w:lang w:val="en-US" w:eastAsia="zh-CN"/>
        </w:rPr>
        <w:t>4</w:t>
      </w:r>
      <w:r>
        <w:rPr>
          <w:rFonts w:hint="eastAsia" w:ascii="宋体" w:hAnsi="宋体" w:cs="宋体"/>
          <w:color w:val="auto"/>
          <w:sz w:val="24"/>
          <w:highlight w:val="none"/>
        </w:rPr>
        <w:t>）</w:t>
      </w:r>
      <w:r>
        <w:rPr>
          <w:rFonts w:hint="eastAsia" w:ascii="宋体" w:hAnsi="宋体" w:cs="宋体"/>
          <w:color w:val="auto"/>
          <w:sz w:val="24"/>
          <w:highlight w:val="none"/>
          <w:lang w:val="en-US" w:eastAsia="zh-CN"/>
        </w:rPr>
        <w:t>本招标公告中二、申请人的资格要求：第一条中的“重大税收违法案件当事人名单”即为“重大税收违法失信主体”。（5）海曙区“政采贷”助力中小企业金融服务，有需要的中标（成交）供应商请于网站http://haishu.nbggzy.cn/tzgg/360383.jhtml办理具体业务。（6）本公告发布媒体：中国政府采购网（http://www.ccgp.gov.cn/）、浙江政府采购网（www.zjzfcg.gov.cn）、浙江省公共资源交易服务平台（zjpubservice.zjzwfw.gov.cn/index.html?citycode=3300）、宁波政府采购（www.nbzfcg.cn)、宁波市公共资源交易电子服务系统（甬易阳光）（http://</w:t>
      </w:r>
      <w:r>
        <w:rPr>
          <w:rFonts w:hint="eastAsia" w:ascii="宋体" w:hAnsi="宋体" w:eastAsia="宋体" w:cs="宋体"/>
          <w:color w:val="auto"/>
          <w:sz w:val="24"/>
          <w:szCs w:val="24"/>
          <w:highlight w:val="none"/>
        </w:rPr>
        <w:t>jyxt.zwb.ningbo.gov.cn:4011/website/home</w:t>
      </w:r>
      <w:r>
        <w:rPr>
          <w:rFonts w:hint="eastAsia" w:ascii="宋体" w:hAnsi="宋体" w:cs="宋体"/>
          <w:color w:val="auto"/>
          <w:sz w:val="24"/>
          <w:highlight w:val="none"/>
          <w:lang w:val="en-US" w:eastAsia="zh-CN"/>
        </w:rPr>
        <w:t>）、宁波中基国际招标有限公司网（www.cbbidding.com）。</w:t>
      </w:r>
    </w:p>
    <w:p w14:paraId="2DBCE4CD">
      <w:pPr>
        <w:shd w:val="clear"/>
        <w:spacing w:line="360" w:lineRule="auto"/>
        <w:rPr>
          <w:rFonts w:ascii="宋体" w:hAnsi="宋体" w:cs="宋体"/>
          <w:b/>
          <w:color w:val="auto"/>
          <w:sz w:val="24"/>
          <w:highlight w:val="none"/>
        </w:rPr>
      </w:pPr>
      <w:r>
        <w:rPr>
          <w:rFonts w:hint="eastAsia" w:ascii="宋体" w:hAnsi="宋体" w:cs="宋体"/>
          <w:b/>
          <w:color w:val="auto"/>
          <w:sz w:val="24"/>
          <w:highlight w:val="none"/>
        </w:rPr>
        <w:t>七、对本次采购提出询问、质疑、投诉，请按以下方式联系</w:t>
      </w:r>
    </w:p>
    <w:p w14:paraId="5E361FB2">
      <w:pPr>
        <w:shd w:val="clear"/>
        <w:spacing w:line="360" w:lineRule="auto"/>
        <w:rPr>
          <w:rFonts w:ascii="宋体" w:hAnsi="宋体" w:cs="宋体"/>
          <w:color w:val="auto"/>
          <w:sz w:val="24"/>
          <w:highlight w:val="none"/>
        </w:rPr>
      </w:pPr>
      <w:r>
        <w:rPr>
          <w:rFonts w:hint="eastAsia" w:ascii="宋体" w:hAnsi="宋体" w:cs="宋体"/>
          <w:color w:val="auto"/>
          <w:sz w:val="24"/>
          <w:highlight w:val="none"/>
        </w:rPr>
        <w:t xml:space="preserve">    1.采购人信息</w:t>
      </w:r>
    </w:p>
    <w:p w14:paraId="35A4A0E8">
      <w:pPr>
        <w:shd w:val="clear"/>
        <w:spacing w:line="360" w:lineRule="auto"/>
        <w:rPr>
          <w:rFonts w:ascii="宋体" w:hAnsi="宋体" w:cs="宋体"/>
          <w:color w:val="auto"/>
          <w:sz w:val="24"/>
          <w:highlight w:val="none"/>
        </w:rPr>
      </w:pPr>
      <w:r>
        <w:rPr>
          <w:rFonts w:hint="eastAsia" w:ascii="宋体" w:hAnsi="宋体" w:cs="宋体"/>
          <w:color w:val="auto"/>
          <w:sz w:val="24"/>
          <w:highlight w:val="none"/>
        </w:rPr>
        <w:t xml:space="preserve">    名    称：</w:t>
      </w:r>
      <w:r>
        <w:rPr>
          <w:rFonts w:hint="eastAsia" w:ascii="宋体" w:hAnsi="宋体" w:cs="宋体"/>
          <w:color w:val="auto"/>
          <w:sz w:val="24"/>
          <w:highlight w:val="none"/>
          <w:lang w:eastAsia="zh-CN"/>
        </w:rPr>
        <w:t>宁波市海曙区机关事务管理局</w:t>
      </w:r>
      <w:r>
        <w:rPr>
          <w:rFonts w:hint="eastAsia" w:ascii="宋体" w:hAnsi="宋体" w:cs="宋体"/>
          <w:color w:val="auto"/>
          <w:sz w:val="24"/>
          <w:highlight w:val="none"/>
        </w:rPr>
        <w:t xml:space="preserve"> </w:t>
      </w:r>
    </w:p>
    <w:p w14:paraId="0E264474">
      <w:pPr>
        <w:shd w:val="clear"/>
        <w:spacing w:line="360" w:lineRule="auto"/>
        <w:rPr>
          <w:rFonts w:ascii="宋体" w:hAnsi="宋体" w:cs="宋体"/>
          <w:color w:val="auto"/>
          <w:sz w:val="24"/>
          <w:highlight w:val="none"/>
        </w:rPr>
      </w:pPr>
      <w:r>
        <w:rPr>
          <w:rFonts w:hint="eastAsia" w:ascii="宋体" w:hAnsi="宋体" w:cs="宋体"/>
          <w:color w:val="auto"/>
          <w:sz w:val="24"/>
          <w:highlight w:val="none"/>
        </w:rPr>
        <w:t xml:space="preserve">    地    址：</w:t>
      </w:r>
      <w:r>
        <w:rPr>
          <w:rFonts w:hint="eastAsia" w:ascii="宋体" w:hAnsi="宋体" w:cs="宋体"/>
          <w:color w:val="auto"/>
          <w:sz w:val="24"/>
          <w:highlight w:val="none"/>
          <w:lang w:val="en-US" w:eastAsia="zh-CN"/>
        </w:rPr>
        <w:t>宁波市海曙区县前街61号</w:t>
      </w:r>
      <w:r>
        <w:rPr>
          <w:rFonts w:hint="eastAsia" w:ascii="宋体" w:hAnsi="宋体" w:cs="宋体"/>
          <w:color w:val="auto"/>
          <w:sz w:val="24"/>
          <w:highlight w:val="none"/>
        </w:rPr>
        <w:t xml:space="preserve">      </w:t>
      </w:r>
    </w:p>
    <w:p w14:paraId="1F2D026A">
      <w:pPr>
        <w:shd w:val="clear"/>
        <w:spacing w:line="360" w:lineRule="auto"/>
        <w:ind w:firstLine="480"/>
        <w:rPr>
          <w:rFonts w:ascii="宋体" w:hAnsi="宋体" w:cs="宋体"/>
          <w:color w:val="auto"/>
          <w:sz w:val="24"/>
          <w:highlight w:val="none"/>
        </w:rPr>
      </w:pPr>
      <w:r>
        <w:rPr>
          <w:rFonts w:hint="eastAsia" w:ascii="宋体" w:hAnsi="宋体" w:cs="宋体"/>
          <w:color w:val="auto"/>
          <w:sz w:val="24"/>
          <w:highlight w:val="none"/>
        </w:rPr>
        <w:t>传    真： /</w:t>
      </w:r>
    </w:p>
    <w:p w14:paraId="7FF0CE6E">
      <w:pPr>
        <w:shd w:val="clear"/>
        <w:spacing w:line="360" w:lineRule="auto"/>
        <w:ind w:firstLine="480"/>
        <w:rPr>
          <w:rFonts w:ascii="宋体" w:hAnsi="宋体" w:cs="宋体"/>
          <w:color w:val="auto"/>
          <w:sz w:val="24"/>
          <w:highlight w:val="none"/>
        </w:rPr>
      </w:pPr>
      <w:r>
        <w:rPr>
          <w:rFonts w:hint="eastAsia" w:ascii="宋体" w:hAnsi="宋体" w:cs="宋体"/>
          <w:color w:val="auto"/>
          <w:sz w:val="24"/>
          <w:highlight w:val="none"/>
        </w:rPr>
        <w:t>项目联系人（询问）：</w:t>
      </w:r>
      <w:r>
        <w:rPr>
          <w:rFonts w:hint="eastAsia" w:ascii="宋体" w:hAnsi="宋体" w:cs="宋体"/>
          <w:color w:val="auto"/>
          <w:sz w:val="24"/>
          <w:highlight w:val="none"/>
          <w:lang w:val="en-US" w:eastAsia="zh-CN"/>
        </w:rPr>
        <w:t>何老师</w:t>
      </w:r>
      <w:r>
        <w:rPr>
          <w:rFonts w:hint="eastAsia" w:ascii="宋体" w:hAnsi="宋体" w:cs="宋体"/>
          <w:color w:val="auto"/>
          <w:sz w:val="24"/>
          <w:highlight w:val="none"/>
        </w:rPr>
        <w:t xml:space="preserve">  </w:t>
      </w:r>
    </w:p>
    <w:p w14:paraId="744DDFFD">
      <w:pPr>
        <w:shd w:val="clear"/>
        <w:spacing w:line="360" w:lineRule="auto"/>
        <w:rPr>
          <w:rFonts w:ascii="宋体" w:hAnsi="宋体" w:cs="宋体"/>
          <w:color w:val="auto"/>
          <w:sz w:val="24"/>
          <w:highlight w:val="none"/>
        </w:rPr>
      </w:pPr>
      <w:r>
        <w:rPr>
          <w:rFonts w:hint="eastAsia" w:ascii="宋体" w:hAnsi="宋体" w:cs="宋体"/>
          <w:color w:val="auto"/>
          <w:sz w:val="24"/>
          <w:highlight w:val="none"/>
        </w:rPr>
        <w:t xml:space="preserve">    项目联系方式（询问）：0574-</w:t>
      </w:r>
      <w:r>
        <w:rPr>
          <w:rFonts w:hint="eastAsia" w:ascii="宋体" w:hAnsi="宋体" w:cs="宋体"/>
          <w:color w:val="auto"/>
          <w:sz w:val="24"/>
          <w:highlight w:val="none"/>
          <w:lang w:val="en-US" w:eastAsia="zh-CN"/>
        </w:rPr>
        <w:t>89297308</w:t>
      </w:r>
      <w:r>
        <w:rPr>
          <w:rFonts w:hint="eastAsia" w:ascii="宋体" w:hAnsi="宋体" w:cs="宋体"/>
          <w:color w:val="auto"/>
          <w:sz w:val="24"/>
          <w:highlight w:val="none"/>
        </w:rPr>
        <w:t xml:space="preserve"> </w:t>
      </w:r>
    </w:p>
    <w:p w14:paraId="61D6935D">
      <w:pPr>
        <w:shd w:val="clea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质疑联系人：</w:t>
      </w:r>
      <w:r>
        <w:rPr>
          <w:rFonts w:hint="eastAsia" w:ascii="宋体" w:hAnsi="宋体" w:cs="宋体"/>
          <w:color w:val="auto"/>
          <w:sz w:val="24"/>
          <w:highlight w:val="none"/>
          <w:lang w:val="en-US" w:eastAsia="zh-CN"/>
        </w:rPr>
        <w:t>陈老师</w:t>
      </w:r>
      <w:r>
        <w:rPr>
          <w:rFonts w:hint="eastAsia" w:ascii="宋体" w:hAnsi="宋体" w:cs="宋体"/>
          <w:color w:val="auto"/>
          <w:sz w:val="24"/>
          <w:highlight w:val="none"/>
        </w:rPr>
        <w:t xml:space="preserve"> </w:t>
      </w:r>
    </w:p>
    <w:p w14:paraId="25528791">
      <w:pPr>
        <w:shd w:val="clea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质疑联系方式：0574-</w:t>
      </w:r>
      <w:r>
        <w:rPr>
          <w:rFonts w:hint="eastAsia" w:ascii="宋体" w:hAnsi="宋体" w:cs="宋体"/>
          <w:color w:val="auto"/>
          <w:sz w:val="24"/>
          <w:highlight w:val="none"/>
          <w:lang w:val="en-US" w:eastAsia="zh-CN"/>
        </w:rPr>
        <w:t>89298659</w:t>
      </w:r>
    </w:p>
    <w:p w14:paraId="6CF16AFD">
      <w:pPr>
        <w:pStyle w:val="2"/>
        <w:ind w:firstLine="480"/>
      </w:pPr>
    </w:p>
    <w:p w14:paraId="7299E0AA">
      <w:pPr>
        <w:shd w:val="clea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名    称：</w:t>
      </w:r>
      <w:r>
        <w:rPr>
          <w:rFonts w:hint="eastAsia" w:ascii="宋体" w:hAnsi="宋体" w:cs="宋体"/>
          <w:color w:val="000000" w:themeColor="text1"/>
          <w:sz w:val="24"/>
          <w:highlight w:val="none"/>
          <w:lang w:eastAsia="zh-CN"/>
          <w14:textFill>
            <w14:solidFill>
              <w14:schemeClr w14:val="tx1"/>
            </w14:solidFill>
          </w14:textFill>
        </w:rPr>
        <w:t>宁波市海曙区人民政府鼓楼街道办事处</w:t>
      </w:r>
      <w:r>
        <w:rPr>
          <w:rFonts w:hint="eastAsia" w:ascii="宋体" w:hAnsi="宋体" w:cs="宋体"/>
          <w:color w:val="000000" w:themeColor="text1"/>
          <w:sz w:val="24"/>
          <w:highlight w:val="none"/>
          <w14:textFill>
            <w14:solidFill>
              <w14:schemeClr w14:val="tx1"/>
            </w14:solidFill>
          </w14:textFill>
        </w:rPr>
        <w:t xml:space="preserve"> </w:t>
      </w:r>
    </w:p>
    <w:p w14:paraId="0B8DF7A3">
      <w:pPr>
        <w:shd w:val="clea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    地    址：</w:t>
      </w:r>
      <w:r>
        <w:rPr>
          <w:rFonts w:hint="eastAsia" w:ascii="宋体" w:hAnsi="宋体" w:cs="宋体"/>
          <w:color w:val="000000" w:themeColor="text1"/>
          <w:sz w:val="24"/>
          <w:highlight w:val="none"/>
          <w:lang w:val="en-US" w:eastAsia="zh-CN"/>
          <w14:textFill>
            <w14:solidFill>
              <w14:schemeClr w14:val="tx1"/>
            </w14:solidFill>
          </w14:textFill>
        </w:rPr>
        <w:fldChar w:fldCharType="begin"/>
      </w:r>
      <w:r>
        <w:rPr>
          <w:rFonts w:hint="eastAsia" w:ascii="宋体" w:hAnsi="宋体" w:cs="宋体"/>
          <w:color w:val="000000" w:themeColor="text1"/>
          <w:sz w:val="24"/>
          <w:highlight w:val="none"/>
          <w:lang w:val="en-US" w:eastAsia="zh-CN"/>
          <w14:textFill>
            <w14:solidFill>
              <w14:schemeClr w14:val="tx1"/>
            </w14:solidFill>
          </w14:textFill>
        </w:rPr>
        <w:instrText xml:space="preserve"> HYPERLINK "http://www.baidu.com/link?url=OUGY9tETIUpfWuTtfRHtmWmBxkgLiVSiqyT4-V3VParL9GWPr2Gwf_qqOki4eNkLw4W5uvFVMwDHbeBcjdmhJNnAJAixjqQ4Y_LmRlEqXzbxK6NvSnrpsCHQbn7i7HFhIrjxNX-v-bfXLHNzr4oGoXWXo-3WooA8GF_bGHXzm2xcykyC1NQVTEIwTKEx77LUwDfkMid97GVtPt9hmYrnWjSTcE5xOIC5AWZ75QNjPgYYK66-hzqrpKqzoF5KilPKM4hVYS1s6OAn87lZiATDRxv9Qt-GPtmv5_Hhp1fFi-ZN2JC1TDYXGKhF4BK1CPTiPgehoYZOcjY5oLKP05_8S3HAGPmizBXUQS1oVaY3uVzgAXgPCc_BdvwPdzsIzPj_Efejf0_2g-6ymnwNqKrqyq" \t "https://www.baidu.com/_blank" </w:instrText>
      </w:r>
      <w:r>
        <w:rPr>
          <w:rFonts w:hint="eastAsia" w:ascii="宋体" w:hAnsi="宋体" w:cs="宋体"/>
          <w:color w:val="000000" w:themeColor="text1"/>
          <w:sz w:val="24"/>
          <w:highlight w:val="none"/>
          <w:lang w:val="en-US" w:eastAsia="zh-CN"/>
          <w14:textFill>
            <w14:solidFill>
              <w14:schemeClr w14:val="tx1"/>
            </w14:solidFill>
          </w14:textFill>
        </w:rPr>
        <w:fldChar w:fldCharType="separate"/>
      </w:r>
      <w:r>
        <w:rPr>
          <w:rFonts w:hint="eastAsia" w:ascii="宋体" w:hAnsi="宋体" w:cs="宋体"/>
          <w:color w:val="000000" w:themeColor="text1"/>
          <w:sz w:val="24"/>
          <w:highlight w:val="none"/>
          <w14:textFill>
            <w14:solidFill>
              <w14:schemeClr w14:val="tx1"/>
            </w14:solidFill>
          </w14:textFill>
        </w:rPr>
        <w:t>宁波市海曙区乌含巷9号</w:t>
      </w:r>
      <w:r>
        <w:rPr>
          <w:rFonts w:hint="eastAsia" w:ascii="宋体" w:hAnsi="宋体" w:cs="宋体"/>
          <w:color w:val="000000" w:themeColor="text1"/>
          <w:sz w:val="24"/>
          <w:highlight w:val="none"/>
          <w:lang w:val="en-US" w:eastAsia="zh-CN"/>
          <w14:textFill>
            <w14:solidFill>
              <w14:schemeClr w14:val="tx1"/>
            </w14:solidFill>
          </w14:textFill>
        </w:rPr>
        <w:fldChar w:fldCharType="end"/>
      </w:r>
      <w:r>
        <w:rPr>
          <w:rFonts w:hint="eastAsia" w:ascii="宋体" w:hAnsi="宋体" w:cs="宋体"/>
          <w:color w:val="000000" w:themeColor="text1"/>
          <w:sz w:val="24"/>
          <w:highlight w:val="none"/>
          <w14:textFill>
            <w14:solidFill>
              <w14:schemeClr w14:val="tx1"/>
            </w14:solidFill>
          </w14:textFill>
        </w:rPr>
        <w:t xml:space="preserve">      </w:t>
      </w:r>
    </w:p>
    <w:p w14:paraId="624C3B99">
      <w:pPr>
        <w:shd w:val="clear"/>
        <w:spacing w:line="360" w:lineRule="auto"/>
        <w:ind w:firstLine="48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传    真： /</w:t>
      </w:r>
    </w:p>
    <w:p w14:paraId="1480D6E6">
      <w:pPr>
        <w:shd w:val="clear"/>
        <w:spacing w:line="360" w:lineRule="auto"/>
        <w:ind w:firstLine="48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项目联系人（询问）：</w:t>
      </w:r>
      <w:r>
        <w:rPr>
          <w:rFonts w:hint="eastAsia" w:ascii="宋体" w:hAnsi="宋体" w:cs="宋体"/>
          <w:color w:val="000000" w:themeColor="text1"/>
          <w:sz w:val="24"/>
          <w:highlight w:val="none"/>
          <w:lang w:val="en-US" w:eastAsia="zh-CN"/>
          <w14:textFill>
            <w14:solidFill>
              <w14:schemeClr w14:val="tx1"/>
            </w14:solidFill>
          </w14:textFill>
        </w:rPr>
        <w:t>何老师</w:t>
      </w:r>
      <w:r>
        <w:rPr>
          <w:rFonts w:hint="eastAsia" w:ascii="宋体" w:hAnsi="宋体" w:cs="宋体"/>
          <w:color w:val="000000" w:themeColor="text1"/>
          <w:sz w:val="24"/>
          <w:highlight w:val="none"/>
          <w14:textFill>
            <w14:solidFill>
              <w14:schemeClr w14:val="tx1"/>
            </w14:solidFill>
          </w14:textFill>
        </w:rPr>
        <w:t xml:space="preserve">  </w:t>
      </w:r>
    </w:p>
    <w:p w14:paraId="57903365">
      <w:pPr>
        <w:shd w:val="clea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    项目联系方式（询问）：0574-</w:t>
      </w:r>
      <w:r>
        <w:rPr>
          <w:rFonts w:hint="eastAsia" w:ascii="宋体" w:hAnsi="宋体" w:cs="宋体"/>
          <w:color w:val="000000" w:themeColor="text1"/>
          <w:sz w:val="24"/>
          <w:highlight w:val="none"/>
          <w:lang w:val="en-US" w:eastAsia="zh-CN"/>
          <w14:textFill>
            <w14:solidFill>
              <w14:schemeClr w14:val="tx1"/>
            </w14:solidFill>
          </w14:textFill>
        </w:rPr>
        <w:t>89297308</w:t>
      </w:r>
      <w:r>
        <w:rPr>
          <w:rFonts w:hint="eastAsia" w:ascii="宋体" w:hAnsi="宋体" w:cs="宋体"/>
          <w:color w:val="000000" w:themeColor="text1"/>
          <w:sz w:val="24"/>
          <w:highlight w:val="none"/>
          <w14:textFill>
            <w14:solidFill>
              <w14:schemeClr w14:val="tx1"/>
            </w14:solidFill>
          </w14:textFill>
        </w:rPr>
        <w:t xml:space="preserve"> </w:t>
      </w:r>
    </w:p>
    <w:p w14:paraId="21EFA0F6">
      <w:pPr>
        <w:shd w:val="clea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    质疑联系人：</w:t>
      </w:r>
      <w:r>
        <w:rPr>
          <w:rFonts w:hint="eastAsia" w:ascii="宋体" w:hAnsi="宋体" w:cs="宋体"/>
          <w:color w:val="000000" w:themeColor="text1"/>
          <w:sz w:val="24"/>
          <w:highlight w:val="none"/>
          <w:lang w:val="en-US" w:eastAsia="zh-CN"/>
          <w14:textFill>
            <w14:solidFill>
              <w14:schemeClr w14:val="tx1"/>
            </w14:solidFill>
          </w14:textFill>
        </w:rPr>
        <w:t>陈老师</w:t>
      </w:r>
      <w:r>
        <w:rPr>
          <w:rFonts w:hint="eastAsia" w:ascii="宋体" w:hAnsi="宋体" w:cs="宋体"/>
          <w:color w:val="000000" w:themeColor="text1"/>
          <w:sz w:val="24"/>
          <w:highlight w:val="none"/>
          <w14:textFill>
            <w14:solidFill>
              <w14:schemeClr w14:val="tx1"/>
            </w14:solidFill>
          </w14:textFill>
        </w:rPr>
        <w:t xml:space="preserve"> </w:t>
      </w:r>
    </w:p>
    <w:p w14:paraId="2E9038B2">
      <w:pPr>
        <w:shd w:val="clear"/>
        <w:spacing w:line="360" w:lineRule="auto"/>
        <w:ind w:firstLine="480"/>
        <w:rPr>
          <w:rFonts w:hint="eastAsia" w:ascii="宋体" w:hAnsi="宋体" w:cs="宋体"/>
          <w:color w:val="000000" w:themeColor="text1"/>
          <w:sz w:val="24"/>
          <w:highlight w:val="none"/>
          <w:lang w:val="en-US" w:eastAsia="zh-CN"/>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质疑联系方式：0574-</w:t>
      </w:r>
      <w:r>
        <w:rPr>
          <w:rFonts w:hint="eastAsia" w:ascii="宋体" w:hAnsi="宋体" w:cs="宋体"/>
          <w:color w:val="000000" w:themeColor="text1"/>
          <w:sz w:val="24"/>
          <w:highlight w:val="none"/>
          <w:lang w:val="en-US" w:eastAsia="zh-CN"/>
          <w14:textFill>
            <w14:solidFill>
              <w14:schemeClr w14:val="tx1"/>
            </w14:solidFill>
          </w14:textFill>
        </w:rPr>
        <w:t>89298659</w:t>
      </w:r>
    </w:p>
    <w:p w14:paraId="1908B34D">
      <w:pPr>
        <w:shd w:val="clear"/>
        <w:spacing w:line="360" w:lineRule="auto"/>
        <w:rPr>
          <w:rFonts w:ascii="宋体" w:hAnsi="宋体" w:cs="宋体"/>
          <w:color w:val="auto"/>
          <w:sz w:val="24"/>
          <w:highlight w:val="none"/>
        </w:rPr>
      </w:pPr>
      <w:r>
        <w:rPr>
          <w:rFonts w:hint="eastAsia" w:ascii="宋体" w:hAnsi="宋体" w:cs="宋体"/>
          <w:color w:val="auto"/>
          <w:sz w:val="24"/>
          <w:highlight w:val="none"/>
        </w:rPr>
        <w:t xml:space="preserve">    2.采购代理机构信息            </w:t>
      </w:r>
    </w:p>
    <w:p w14:paraId="6BA13EAF">
      <w:pPr>
        <w:shd w:val="clear"/>
        <w:spacing w:line="360" w:lineRule="auto"/>
        <w:ind w:firstLine="480"/>
        <w:rPr>
          <w:rFonts w:ascii="宋体" w:hAnsi="宋体" w:cs="宋体"/>
          <w:color w:val="auto"/>
          <w:sz w:val="24"/>
          <w:highlight w:val="none"/>
        </w:rPr>
      </w:pPr>
      <w:r>
        <w:rPr>
          <w:rFonts w:hint="eastAsia" w:ascii="宋体" w:hAnsi="宋体" w:cs="宋体"/>
          <w:color w:val="auto"/>
          <w:sz w:val="24"/>
          <w:highlight w:val="none"/>
        </w:rPr>
        <w:t>名    称：宁波中基国际招标有限公司</w:t>
      </w:r>
    </w:p>
    <w:p w14:paraId="57EF4ED9">
      <w:pPr>
        <w:shd w:val="clear"/>
        <w:spacing w:line="360" w:lineRule="auto"/>
        <w:ind w:firstLine="480"/>
        <w:rPr>
          <w:rFonts w:ascii="宋体" w:hAnsi="宋体" w:cs="宋体"/>
          <w:color w:val="auto"/>
          <w:sz w:val="24"/>
          <w:highlight w:val="none"/>
        </w:rPr>
      </w:pPr>
      <w:r>
        <w:rPr>
          <w:rFonts w:hint="eastAsia" w:ascii="宋体" w:hAnsi="宋体" w:cs="宋体"/>
          <w:color w:val="auto"/>
          <w:sz w:val="24"/>
          <w:highlight w:val="none"/>
        </w:rPr>
        <w:t>地    址：宁波市鄞州区天童南路666号中基大厦19楼</w:t>
      </w:r>
    </w:p>
    <w:p w14:paraId="1EFBA168">
      <w:pPr>
        <w:shd w:val="clear"/>
        <w:spacing w:line="360" w:lineRule="auto"/>
        <w:rPr>
          <w:rFonts w:ascii="宋体" w:hAnsi="宋体" w:cs="宋体"/>
          <w:color w:val="auto"/>
          <w:sz w:val="24"/>
          <w:highlight w:val="none"/>
        </w:rPr>
      </w:pPr>
      <w:r>
        <w:rPr>
          <w:rFonts w:hint="eastAsia" w:ascii="宋体" w:hAnsi="宋体" w:cs="宋体"/>
          <w:color w:val="auto"/>
          <w:sz w:val="24"/>
          <w:highlight w:val="none"/>
        </w:rPr>
        <w:t xml:space="preserve">    传    真：/ </w:t>
      </w:r>
    </w:p>
    <w:p w14:paraId="2142D85A">
      <w:pPr>
        <w:shd w:val="clear"/>
        <w:spacing w:line="360" w:lineRule="auto"/>
        <w:rPr>
          <w:rFonts w:ascii="宋体" w:hAnsi="宋体" w:cs="宋体"/>
          <w:color w:val="auto"/>
          <w:sz w:val="24"/>
          <w:highlight w:val="none"/>
        </w:rPr>
      </w:pPr>
      <w:r>
        <w:rPr>
          <w:rFonts w:hint="eastAsia" w:ascii="宋体" w:hAnsi="宋体" w:cs="宋体"/>
          <w:color w:val="auto"/>
          <w:sz w:val="24"/>
          <w:highlight w:val="none"/>
        </w:rPr>
        <w:t xml:space="preserve">    项目联系人（询问）：王莹巧 </w:t>
      </w:r>
    </w:p>
    <w:p w14:paraId="0908921D">
      <w:pPr>
        <w:shd w:val="clear"/>
        <w:spacing w:line="360" w:lineRule="auto"/>
        <w:rPr>
          <w:rFonts w:ascii="宋体" w:hAnsi="宋体" w:cs="宋体"/>
          <w:color w:val="auto"/>
          <w:sz w:val="24"/>
          <w:highlight w:val="none"/>
        </w:rPr>
      </w:pPr>
      <w:r>
        <w:rPr>
          <w:rFonts w:hint="eastAsia" w:ascii="宋体" w:hAnsi="宋体" w:cs="宋体"/>
          <w:color w:val="auto"/>
          <w:sz w:val="24"/>
          <w:highlight w:val="none"/>
        </w:rPr>
        <w:t xml:space="preserve">    项目联系方式（询问）：0574-87425</w:t>
      </w:r>
      <w:r>
        <w:rPr>
          <w:rFonts w:hint="eastAsia" w:ascii="宋体" w:hAnsi="宋体" w:cs="宋体"/>
          <w:color w:val="auto"/>
          <w:sz w:val="24"/>
          <w:highlight w:val="none"/>
          <w:lang w:val="en-US" w:eastAsia="zh-CN"/>
        </w:rPr>
        <w:t>583</w:t>
      </w:r>
    </w:p>
    <w:p w14:paraId="34388BE5">
      <w:pPr>
        <w:shd w:val="clear"/>
        <w:spacing w:line="360" w:lineRule="auto"/>
        <w:rPr>
          <w:rFonts w:ascii="宋体" w:hAnsi="宋体" w:cs="宋体"/>
          <w:color w:val="auto"/>
          <w:sz w:val="24"/>
          <w:highlight w:val="none"/>
        </w:rPr>
      </w:pPr>
      <w:r>
        <w:rPr>
          <w:rFonts w:hint="eastAsia" w:ascii="宋体" w:hAnsi="宋体" w:cs="宋体"/>
          <w:color w:val="auto"/>
          <w:sz w:val="24"/>
          <w:highlight w:val="none"/>
        </w:rPr>
        <w:t xml:space="preserve">    质疑联系人：周旭坤 </w:t>
      </w:r>
    </w:p>
    <w:p w14:paraId="3ABF1FE3">
      <w:pPr>
        <w:shd w:val="clear"/>
        <w:spacing w:line="360" w:lineRule="auto"/>
        <w:rPr>
          <w:rFonts w:ascii="宋体" w:hAnsi="宋体" w:cs="宋体"/>
          <w:color w:val="auto"/>
          <w:sz w:val="24"/>
          <w:highlight w:val="none"/>
        </w:rPr>
      </w:pPr>
      <w:r>
        <w:rPr>
          <w:rFonts w:hint="eastAsia" w:ascii="宋体" w:hAnsi="宋体" w:cs="宋体"/>
          <w:color w:val="auto"/>
          <w:sz w:val="24"/>
          <w:highlight w:val="none"/>
        </w:rPr>
        <w:t xml:space="preserve">    质疑联系方式：0574-8742</w:t>
      </w:r>
      <w:r>
        <w:rPr>
          <w:rFonts w:hint="eastAsia" w:ascii="宋体" w:hAnsi="宋体" w:cs="宋体"/>
          <w:color w:val="auto"/>
          <w:sz w:val="24"/>
          <w:highlight w:val="none"/>
          <w:lang w:val="en-US" w:eastAsia="zh-CN"/>
        </w:rPr>
        <w:t>6203</w:t>
      </w:r>
    </w:p>
    <w:p w14:paraId="6CA82BDE">
      <w:pPr>
        <w:shd w:val="clear"/>
        <w:spacing w:line="360" w:lineRule="auto"/>
        <w:rPr>
          <w:rFonts w:ascii="宋体" w:hAnsi="宋体" w:cs="宋体"/>
          <w:color w:val="auto"/>
          <w:sz w:val="24"/>
          <w:highlight w:val="none"/>
        </w:rPr>
      </w:pPr>
      <w:r>
        <w:rPr>
          <w:rFonts w:hint="eastAsia" w:ascii="宋体" w:hAnsi="宋体" w:cs="宋体"/>
          <w:color w:val="auto"/>
          <w:sz w:val="24"/>
          <w:highlight w:val="none"/>
        </w:rPr>
        <w:t xml:space="preserve">    3.同级政府采购监督管理部门            </w:t>
      </w:r>
    </w:p>
    <w:p w14:paraId="76698975">
      <w:p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名    称：宁波市海曙区采购管理办公室</w:t>
      </w:r>
    </w:p>
    <w:p w14:paraId="4B1D0AC2">
      <w:pPr>
        <w:shd w:val="clear"/>
        <w:spacing w:line="360" w:lineRule="auto"/>
        <w:rPr>
          <w:rFonts w:ascii="宋体" w:hAnsi="宋体" w:cs="宋体"/>
          <w:color w:val="auto"/>
          <w:sz w:val="24"/>
          <w:highlight w:val="none"/>
        </w:rPr>
      </w:pPr>
      <w:r>
        <w:rPr>
          <w:rFonts w:hint="eastAsia" w:ascii="宋体" w:hAnsi="宋体" w:cs="宋体"/>
          <w:color w:val="auto"/>
          <w:sz w:val="24"/>
          <w:highlight w:val="none"/>
        </w:rPr>
        <w:t xml:space="preserve">    地    址：宁波市海曙区大梁街48号天之海大厦 </w:t>
      </w:r>
    </w:p>
    <w:p w14:paraId="422949C9">
      <w:pPr>
        <w:shd w:val="clear"/>
        <w:spacing w:line="360" w:lineRule="auto"/>
        <w:rPr>
          <w:rFonts w:ascii="宋体" w:hAnsi="宋体" w:cs="宋体"/>
          <w:color w:val="auto"/>
          <w:sz w:val="24"/>
          <w:highlight w:val="none"/>
        </w:rPr>
      </w:pPr>
      <w:r>
        <w:rPr>
          <w:rFonts w:hint="eastAsia" w:ascii="宋体" w:hAnsi="宋体" w:cs="宋体"/>
          <w:color w:val="auto"/>
          <w:sz w:val="24"/>
          <w:highlight w:val="none"/>
        </w:rPr>
        <w:t xml:space="preserve">    传    真： /</w:t>
      </w:r>
    </w:p>
    <w:p w14:paraId="4945E0BA">
      <w:pPr>
        <w:shd w:val="clea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联 系 人：王老师</w:t>
      </w:r>
    </w:p>
    <w:p w14:paraId="7115A576">
      <w:pPr>
        <w:shd w:val="clea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 xml:space="preserve">投诉电话：0574-87297540 </w:t>
      </w:r>
    </w:p>
    <w:p w14:paraId="44BD283A">
      <w:pPr>
        <w:shd w:val="clea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若对项目采购电子交易系统操作有疑问，可登录政采云（https://www.zcygov.cn/），点击右侧咨询小采，获取采小蜜智能服务管家帮助，或拨打政采云服务热线95763获取热线服务帮助。</w:t>
      </w:r>
    </w:p>
    <w:p w14:paraId="0990A875">
      <w:pPr>
        <w:shd w:val="clea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CA问题联系电话（人工）：汇信CA 400-888-4636；天谷CA 400-087-8198。</w:t>
      </w:r>
    </w:p>
    <w:p w14:paraId="141E94A0">
      <w:pPr>
        <w:widowControl/>
        <w:shd w:val="clear"/>
        <w:adjustRightInd/>
        <w:jc w:val="left"/>
        <w:rPr>
          <w:rFonts w:ascii="宋体" w:hAnsi="宋体" w:cs="宋体"/>
          <w:b/>
          <w:color w:val="auto"/>
          <w:sz w:val="36"/>
          <w:szCs w:val="20"/>
          <w:highlight w:val="none"/>
        </w:rPr>
      </w:pPr>
      <w:r>
        <w:rPr>
          <w:rFonts w:ascii="宋体" w:hAnsi="宋体" w:cs="宋体"/>
          <w:b/>
          <w:color w:val="auto"/>
          <w:sz w:val="36"/>
          <w:szCs w:val="20"/>
          <w:highlight w:val="none"/>
        </w:rPr>
        <w:br w:type="page"/>
      </w:r>
    </w:p>
    <w:p w14:paraId="69A7B4B1">
      <w:pPr>
        <w:shd w:val="clear"/>
        <w:adjustRightInd/>
        <w:spacing w:line="360" w:lineRule="auto"/>
        <w:jc w:val="center"/>
        <w:outlineLvl w:val="0"/>
        <w:rPr>
          <w:rFonts w:ascii="宋体" w:hAnsi="宋体" w:cs="宋体"/>
          <w:b/>
          <w:color w:val="auto"/>
          <w:sz w:val="36"/>
          <w:szCs w:val="20"/>
          <w:highlight w:val="none"/>
        </w:rPr>
      </w:pPr>
      <w:r>
        <w:rPr>
          <w:rFonts w:hint="eastAsia" w:ascii="宋体" w:hAnsi="宋体" w:cs="宋体"/>
          <w:b/>
          <w:color w:val="auto"/>
          <w:sz w:val="36"/>
          <w:szCs w:val="20"/>
          <w:highlight w:val="none"/>
        </w:rPr>
        <w:t>第二部分</w:t>
      </w:r>
      <w:bookmarkEnd w:id="8"/>
      <w:r>
        <w:rPr>
          <w:rFonts w:hint="eastAsia" w:ascii="宋体" w:hAnsi="宋体" w:cs="宋体"/>
          <w:b/>
          <w:color w:val="auto"/>
          <w:sz w:val="36"/>
          <w:szCs w:val="20"/>
          <w:highlight w:val="none"/>
        </w:rPr>
        <w:t xml:space="preserve"> 投标人须知</w:t>
      </w:r>
      <w:bookmarkEnd w:id="9"/>
    </w:p>
    <w:p w14:paraId="7EF70FBE">
      <w:pPr>
        <w:shd w:val="clear"/>
        <w:adjustRightInd/>
        <w:spacing w:line="360" w:lineRule="auto"/>
        <w:ind w:firstLine="3845" w:firstLineChars="1197"/>
        <w:outlineLvl w:val="0"/>
        <w:rPr>
          <w:rFonts w:ascii="宋体" w:hAnsi="宋体" w:cs="宋体"/>
          <w:b/>
          <w:color w:val="auto"/>
          <w:sz w:val="32"/>
          <w:szCs w:val="20"/>
          <w:highlight w:val="none"/>
        </w:rPr>
      </w:pPr>
      <w:r>
        <w:rPr>
          <w:rFonts w:hint="eastAsia" w:ascii="宋体" w:hAnsi="宋体" w:cs="宋体"/>
          <w:b/>
          <w:color w:val="auto"/>
          <w:sz w:val="32"/>
          <w:szCs w:val="20"/>
          <w:highlight w:val="none"/>
        </w:rPr>
        <w:t>前附表</w:t>
      </w:r>
    </w:p>
    <w:tbl>
      <w:tblPr>
        <w:tblStyle w:val="63"/>
        <w:tblW w:w="0" w:type="auto"/>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14:paraId="052BE3F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tcPr>
          <w:p w14:paraId="39BE6B76">
            <w:pPr>
              <w:shd w:val="clea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2036FAB2">
            <w:pPr>
              <w:shd w:val="clea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14:paraId="07E272F8">
            <w:pPr>
              <w:shd w:val="clea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本项目的特别规定</w:t>
            </w:r>
          </w:p>
        </w:tc>
      </w:tr>
      <w:tr w14:paraId="12B608E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43"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159F7E71">
            <w:pPr>
              <w:shd w:val="clea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2DF91194">
            <w:pPr>
              <w:shd w:val="clear"/>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项目属性</w:t>
            </w:r>
          </w:p>
        </w:tc>
        <w:tc>
          <w:tcPr>
            <w:tcW w:w="6095" w:type="dxa"/>
            <w:tcBorders>
              <w:top w:val="single" w:color="000000" w:sz="8" w:space="0"/>
              <w:left w:val="single" w:color="000000" w:sz="2" w:space="0"/>
              <w:bottom w:val="single" w:color="000000" w:sz="8" w:space="0"/>
              <w:right w:val="single" w:color="000000" w:sz="8" w:space="0"/>
            </w:tcBorders>
            <w:vAlign w:val="center"/>
          </w:tcPr>
          <w:p w14:paraId="128A86F7">
            <w:pPr>
              <w:shd w:val="clear"/>
              <w:spacing w:line="360" w:lineRule="auto"/>
              <w:rPr>
                <w:rFonts w:ascii="宋体" w:hAnsi="宋体" w:cs="宋体"/>
                <w:color w:val="auto"/>
                <w:sz w:val="24"/>
                <w:highlight w:val="none"/>
              </w:rPr>
            </w:pPr>
            <w:r>
              <w:rPr>
                <w:rFonts w:hint="eastAsia" w:ascii="宋体" w:hAnsi="宋体" w:cs="宋体"/>
                <w:color w:val="auto"/>
                <w:sz w:val="24"/>
                <w:highlight w:val="none"/>
              </w:rPr>
              <w:t>服务类。</w:t>
            </w:r>
          </w:p>
        </w:tc>
      </w:tr>
      <w:tr w14:paraId="7F2FCEA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8"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080BC940">
            <w:pPr>
              <w:shd w:val="clea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7654BB07">
            <w:pPr>
              <w:shd w:val="clea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14:paraId="1DE6E99F">
            <w:pPr>
              <w:snapToGrid w:val="0"/>
              <w:spacing w:line="360" w:lineRule="auto"/>
              <w:rPr>
                <w:rFonts w:hint="eastAsia" w:ascii="宋体" w:hAnsi="宋体" w:cs="宋体"/>
                <w:color w:val="auto"/>
                <w:kern w:val="0"/>
                <w:sz w:val="24"/>
                <w:highlight w:val="none"/>
                <w:lang w:val="en-US" w:eastAsia="zh-CN"/>
              </w:rPr>
            </w:pPr>
            <w:r>
              <w:rPr>
                <w:rFonts w:hint="eastAsia" w:ascii="宋体" w:hAnsi="宋体" w:cs="宋体"/>
                <w:color w:val="auto"/>
                <w:kern w:val="0"/>
                <w:sz w:val="24"/>
                <w:highlight w:val="none"/>
                <w:lang w:val="en-US" w:eastAsia="zh-CN"/>
              </w:rPr>
              <w:t>标项1：</w:t>
            </w:r>
          </w:p>
          <w:p w14:paraId="11CE3EB6">
            <w:pPr>
              <w:snapToGrid w:val="0"/>
              <w:spacing w:line="360" w:lineRule="auto"/>
              <w:rPr>
                <w:rFonts w:hint="eastAsia" w:ascii="宋体" w:hAnsi="宋体" w:eastAsia="宋体" w:cs="宋体"/>
                <w:color w:val="auto"/>
                <w:kern w:val="0"/>
                <w:sz w:val="24"/>
                <w:highlight w:val="none"/>
                <w:u w:val="single"/>
              </w:rPr>
            </w:pPr>
            <w:r>
              <w:rPr>
                <w:rFonts w:hint="eastAsia" w:ascii="宋体" w:hAnsi="宋体" w:cs="宋体"/>
                <w:color w:val="auto"/>
                <w:kern w:val="0"/>
                <w:sz w:val="24"/>
                <w:highlight w:val="none"/>
              </w:rPr>
              <w:t>标的</w:t>
            </w:r>
            <w:r>
              <w:rPr>
                <w:rFonts w:hint="eastAsia" w:ascii="宋体" w:hAnsi="宋体" w:eastAsia="宋体" w:cs="宋体"/>
                <w:color w:val="auto"/>
                <w:kern w:val="0"/>
                <w:sz w:val="24"/>
                <w:highlight w:val="none"/>
                <w:u w:val="none"/>
              </w:rPr>
              <w:t>：</w:t>
            </w:r>
            <w:r>
              <w:rPr>
                <w:rFonts w:hint="eastAsia" w:ascii="宋体" w:hAnsi="宋体" w:cs="宋体"/>
                <w:color w:val="auto"/>
                <w:kern w:val="0"/>
                <w:sz w:val="24"/>
                <w:highlight w:val="none"/>
                <w:u w:val="single"/>
                <w:lang w:eastAsia="zh-CN"/>
              </w:rPr>
              <w:t>蔬菜及豆制品类</w:t>
            </w:r>
            <w:r>
              <w:rPr>
                <w:rFonts w:hint="eastAsia" w:ascii="宋体" w:hAnsi="宋体" w:eastAsia="宋体" w:cs="宋体"/>
                <w:color w:val="auto"/>
                <w:kern w:val="0"/>
                <w:sz w:val="24"/>
                <w:highlight w:val="none"/>
                <w:u w:val="none"/>
              </w:rPr>
              <w:t>，属于</w:t>
            </w:r>
            <w:r>
              <w:rPr>
                <w:rFonts w:hint="eastAsia" w:ascii="宋体" w:hAnsi="宋体" w:eastAsia="宋体" w:cs="宋体"/>
                <w:color w:val="auto"/>
                <w:kern w:val="0"/>
                <w:sz w:val="24"/>
                <w:highlight w:val="none"/>
                <w:u w:val="single"/>
                <w:lang w:eastAsia="zh-CN"/>
              </w:rPr>
              <w:t>批发业</w:t>
            </w:r>
            <w:r>
              <w:rPr>
                <w:rFonts w:hint="eastAsia" w:ascii="宋体" w:hAnsi="宋体" w:eastAsia="宋体" w:cs="宋体"/>
                <w:color w:val="auto"/>
                <w:kern w:val="0"/>
                <w:sz w:val="24"/>
                <w:highlight w:val="none"/>
                <w:u w:val="none"/>
              </w:rPr>
              <w:t>；</w:t>
            </w:r>
          </w:p>
          <w:p w14:paraId="68153200">
            <w:pPr>
              <w:snapToGrid w:val="0"/>
              <w:spacing w:line="360" w:lineRule="auto"/>
              <w:rPr>
                <w:rFonts w:hint="eastAsia" w:ascii="宋体" w:hAnsi="宋体" w:eastAsia="宋体" w:cs="宋体"/>
                <w:color w:val="auto"/>
                <w:kern w:val="0"/>
                <w:sz w:val="24"/>
                <w:highlight w:val="none"/>
                <w:u w:val="none"/>
                <w:lang w:val="en-US" w:eastAsia="zh-CN"/>
              </w:rPr>
            </w:pPr>
            <w:r>
              <w:rPr>
                <w:rFonts w:hint="eastAsia" w:ascii="宋体" w:hAnsi="宋体" w:eastAsia="宋体" w:cs="宋体"/>
                <w:color w:val="auto"/>
                <w:kern w:val="0"/>
                <w:sz w:val="24"/>
                <w:highlight w:val="none"/>
                <w:u w:val="none"/>
                <w:lang w:val="en-US" w:eastAsia="zh-CN"/>
              </w:rPr>
              <w:t>标项2：</w:t>
            </w:r>
          </w:p>
          <w:p w14:paraId="5BC25C2A">
            <w:pPr>
              <w:snapToGrid w:val="0"/>
              <w:spacing w:line="360" w:lineRule="auto"/>
              <w:rPr>
                <w:rFonts w:hint="eastAsia" w:ascii="宋体" w:hAnsi="宋体" w:eastAsia="宋体" w:cs="宋体"/>
                <w:color w:val="auto"/>
                <w:kern w:val="0"/>
                <w:sz w:val="24"/>
                <w:highlight w:val="none"/>
                <w:u w:val="single"/>
                <w:lang w:val="en-US" w:eastAsia="zh-CN"/>
              </w:rPr>
            </w:pPr>
            <w:r>
              <w:rPr>
                <w:rFonts w:hint="eastAsia" w:ascii="宋体" w:hAnsi="宋体" w:eastAsia="宋体" w:cs="宋体"/>
                <w:color w:val="auto"/>
                <w:kern w:val="0"/>
                <w:sz w:val="24"/>
                <w:highlight w:val="none"/>
                <w:u w:val="none"/>
                <w:lang w:val="en-US" w:eastAsia="zh-CN"/>
              </w:rPr>
              <w:t>标的：</w:t>
            </w:r>
            <w:r>
              <w:rPr>
                <w:rFonts w:hint="eastAsia" w:ascii="宋体" w:hAnsi="宋体" w:eastAsia="宋体" w:cs="宋体"/>
                <w:color w:val="auto"/>
                <w:kern w:val="0"/>
                <w:sz w:val="24"/>
                <w:highlight w:val="none"/>
                <w:u w:val="single"/>
                <w:lang w:val="en-US" w:eastAsia="zh-CN"/>
              </w:rPr>
              <w:t>水果类</w:t>
            </w:r>
            <w:r>
              <w:rPr>
                <w:rFonts w:hint="eastAsia" w:ascii="宋体" w:hAnsi="宋体" w:eastAsia="宋体" w:cs="宋体"/>
                <w:color w:val="auto"/>
                <w:kern w:val="0"/>
                <w:sz w:val="24"/>
                <w:highlight w:val="none"/>
                <w:u w:val="none"/>
                <w:lang w:val="en-US" w:eastAsia="zh-CN"/>
              </w:rPr>
              <w:t>，属于</w:t>
            </w:r>
            <w:r>
              <w:rPr>
                <w:rFonts w:hint="eastAsia" w:ascii="宋体" w:hAnsi="宋体" w:eastAsia="宋体" w:cs="宋体"/>
                <w:color w:val="auto"/>
                <w:kern w:val="0"/>
                <w:sz w:val="24"/>
                <w:highlight w:val="none"/>
                <w:u w:val="single"/>
                <w:lang w:val="en-US" w:eastAsia="zh-CN"/>
              </w:rPr>
              <w:t>批发业</w:t>
            </w:r>
            <w:r>
              <w:rPr>
                <w:rFonts w:hint="eastAsia" w:ascii="宋体" w:hAnsi="宋体" w:eastAsia="宋体" w:cs="宋体"/>
                <w:color w:val="auto"/>
                <w:kern w:val="0"/>
                <w:sz w:val="24"/>
                <w:highlight w:val="none"/>
                <w:u w:val="none"/>
                <w:lang w:val="en-US" w:eastAsia="zh-CN"/>
              </w:rPr>
              <w:t>；</w:t>
            </w:r>
          </w:p>
          <w:p w14:paraId="4D239792">
            <w:pPr>
              <w:snapToGrid w:val="0"/>
              <w:spacing w:line="360" w:lineRule="auto"/>
              <w:rPr>
                <w:rFonts w:hint="eastAsia" w:ascii="宋体" w:hAnsi="宋体" w:eastAsia="宋体" w:cs="宋体"/>
                <w:color w:val="auto"/>
                <w:kern w:val="0"/>
                <w:sz w:val="24"/>
                <w:highlight w:val="none"/>
                <w:u w:val="none"/>
                <w:lang w:val="en-US" w:eastAsia="zh-CN"/>
              </w:rPr>
            </w:pPr>
            <w:r>
              <w:rPr>
                <w:rFonts w:hint="eastAsia" w:ascii="宋体" w:hAnsi="宋体" w:eastAsia="宋体" w:cs="宋体"/>
                <w:color w:val="auto"/>
                <w:kern w:val="0"/>
                <w:sz w:val="24"/>
                <w:highlight w:val="none"/>
                <w:u w:val="none"/>
                <w:lang w:val="en-US" w:eastAsia="zh-CN"/>
              </w:rPr>
              <w:t>标项3：</w:t>
            </w:r>
          </w:p>
          <w:p w14:paraId="32727785">
            <w:pPr>
              <w:pStyle w:val="26"/>
              <w:ind w:left="0" w:leftChars="0" w:firstLine="0" w:firstLineChars="0"/>
              <w:rPr>
                <w:color w:val="auto"/>
                <w:highlight w:val="none"/>
                <w:lang w:val="en-US"/>
              </w:rPr>
            </w:pPr>
            <w:r>
              <w:rPr>
                <w:rFonts w:hint="eastAsia" w:ascii="宋体" w:hAnsi="宋体" w:eastAsia="宋体" w:cs="宋体"/>
                <w:color w:val="auto"/>
                <w:kern w:val="0"/>
                <w:sz w:val="24"/>
                <w:highlight w:val="none"/>
                <w:u w:val="none"/>
                <w:lang w:val="en-US" w:eastAsia="zh-CN"/>
              </w:rPr>
              <w:t>标的：</w:t>
            </w:r>
            <w:r>
              <w:rPr>
                <w:rFonts w:hint="eastAsia" w:ascii="宋体" w:hAnsi="宋体" w:eastAsia="宋体" w:cs="宋体"/>
                <w:color w:val="auto"/>
                <w:kern w:val="0"/>
                <w:sz w:val="24"/>
                <w:highlight w:val="none"/>
                <w:u w:val="single"/>
                <w:lang w:val="en-US" w:eastAsia="zh-CN"/>
              </w:rPr>
              <w:t>其他杂项类</w:t>
            </w:r>
            <w:r>
              <w:rPr>
                <w:rFonts w:hint="eastAsia" w:ascii="宋体" w:hAnsi="宋体" w:eastAsia="宋体" w:cs="宋体"/>
                <w:color w:val="auto"/>
                <w:kern w:val="0"/>
                <w:sz w:val="24"/>
                <w:highlight w:val="none"/>
                <w:u w:val="none"/>
                <w:lang w:val="en-US" w:eastAsia="zh-CN"/>
              </w:rPr>
              <w:t>，属于</w:t>
            </w:r>
            <w:r>
              <w:rPr>
                <w:rFonts w:hint="eastAsia" w:ascii="宋体" w:hAnsi="宋体" w:eastAsia="宋体" w:cs="宋体"/>
                <w:color w:val="auto"/>
                <w:kern w:val="0"/>
                <w:sz w:val="24"/>
                <w:highlight w:val="none"/>
                <w:u w:val="single"/>
                <w:lang w:val="en-US" w:eastAsia="zh-CN"/>
              </w:rPr>
              <w:t>批发业</w:t>
            </w:r>
            <w:r>
              <w:rPr>
                <w:rFonts w:hint="eastAsia" w:ascii="宋体" w:hAnsi="宋体" w:eastAsia="宋体" w:cs="宋体"/>
                <w:color w:val="auto"/>
                <w:kern w:val="0"/>
                <w:sz w:val="24"/>
                <w:highlight w:val="none"/>
                <w:u w:val="none"/>
                <w:lang w:val="en-US" w:eastAsia="zh-CN"/>
              </w:rPr>
              <w:t>；</w:t>
            </w:r>
          </w:p>
        </w:tc>
      </w:tr>
      <w:tr w14:paraId="533DA8C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5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1AF5813E">
            <w:pPr>
              <w:shd w:val="clea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4E7CF74F">
            <w:pPr>
              <w:shd w:val="clea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08896C6D">
            <w:pPr>
              <w:shd w:val="clear"/>
              <w:spacing w:line="360" w:lineRule="auto"/>
              <w:rPr>
                <w:rFonts w:ascii="宋体" w:hAnsi="宋体" w:cs="宋体"/>
                <w:color w:val="auto"/>
                <w:kern w:val="0"/>
                <w:sz w:val="24"/>
                <w:highlight w:val="none"/>
              </w:rPr>
            </w:pPr>
            <w:sdt>
              <w:sdtPr>
                <w:rPr>
                  <w:rFonts w:hint="eastAsia" w:ascii="宋体" w:hAnsi="宋体" w:cs="宋体"/>
                  <w:color w:val="auto"/>
                  <w:kern w:val="0"/>
                  <w:sz w:val="24"/>
                  <w:highlight w:val="none"/>
                </w:rPr>
                <w:id w:val="-1828425707"/>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sym w:font="Wingdings" w:char="F0FE"/>
                </w:r>
              </w:sdtContent>
            </w:sdt>
            <w:r>
              <w:rPr>
                <w:rFonts w:hint="eastAsia" w:ascii="宋体" w:hAnsi="宋体" w:cs="宋体"/>
                <w:color w:val="auto"/>
                <w:kern w:val="0"/>
                <w:sz w:val="24"/>
                <w:highlight w:val="none"/>
              </w:rPr>
              <w:t>本项目不允许采购进口产品。</w:t>
            </w:r>
          </w:p>
          <w:p w14:paraId="51618D58">
            <w:pPr>
              <w:shd w:val="clear"/>
              <w:spacing w:line="360" w:lineRule="auto"/>
              <w:rPr>
                <w:rFonts w:ascii="宋体" w:hAnsi="宋体" w:cs="宋体"/>
                <w:color w:val="auto"/>
                <w:highlight w:val="none"/>
              </w:rPr>
            </w:pPr>
            <w:sdt>
              <w:sdtPr>
                <w:rPr>
                  <w:rFonts w:hint="eastAsia" w:ascii="宋体" w:hAnsi="宋体" w:cs="宋体"/>
                  <w:color w:val="auto"/>
                  <w:kern w:val="0"/>
                  <w:sz w:val="24"/>
                  <w:highlight w:val="none"/>
                </w:rPr>
                <w:id w:val="-5285282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可以就</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采购进口产品。</w:t>
            </w:r>
          </w:p>
        </w:tc>
      </w:tr>
      <w:tr w14:paraId="547CE33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01"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4E7D926C">
            <w:pPr>
              <w:shd w:val="clea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785D9861">
            <w:pPr>
              <w:shd w:val="clear"/>
              <w:snapToGrid w:val="0"/>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14:paraId="601A9B0E">
            <w:pPr>
              <w:shd w:val="clea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1477286927"/>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MS Gothic" w:hAnsi="MS Gothic" w:eastAsia="宋体" w:cs="宋体"/>
                    <w:color w:val="auto"/>
                    <w:kern w:val="0"/>
                    <w:sz w:val="24"/>
                    <w:szCs w:val="24"/>
                    <w:highlight w:val="none"/>
                    <w:lang w:val="en-US" w:eastAsia="zh-CN" w:bidi="ar-SA"/>
                  </w:rPr>
                  <w:t>☐</w:t>
                </w:r>
              </w:sdtContent>
            </w:sdt>
            <w:r>
              <w:rPr>
                <w:rFonts w:hint="eastAsia" w:ascii="宋体" w:hAnsi="宋体" w:cs="宋体"/>
                <w:color w:val="auto"/>
                <w:kern w:val="0"/>
                <w:sz w:val="24"/>
                <w:highlight w:val="none"/>
              </w:rPr>
              <w:t xml:space="preserve"> A</w:t>
            </w:r>
            <w:r>
              <w:rPr>
                <w:rFonts w:hint="eastAsia" w:ascii="宋体" w:hAnsi="宋体" w:cs="宋体"/>
                <w:color w:val="auto"/>
                <w:sz w:val="24"/>
                <w:highlight w:val="none"/>
              </w:rPr>
              <w:t>同意将非主体、非关键性的</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工作分包。</w:t>
            </w:r>
            <w:sdt>
              <w:sdtPr>
                <w:rPr>
                  <w:rFonts w:hint="eastAsia" w:ascii="宋体" w:hAnsi="宋体" w:cs="宋体"/>
                  <w:color w:val="auto"/>
                  <w:kern w:val="0"/>
                  <w:sz w:val="24"/>
                  <w:highlight w:val="none"/>
                </w:rPr>
                <w:id w:val="-1276331357"/>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 xml:space="preserve"> B</w:t>
            </w:r>
            <w:r>
              <w:rPr>
                <w:rFonts w:hint="eastAsia" w:ascii="宋体" w:hAnsi="宋体" w:cs="宋体"/>
                <w:color w:val="auto"/>
                <w:sz w:val="24"/>
                <w:highlight w:val="none"/>
              </w:rPr>
              <w:t>不同意分包。</w:t>
            </w:r>
          </w:p>
        </w:tc>
      </w:tr>
      <w:tr w14:paraId="3910FCF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813"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6C57923C">
            <w:pPr>
              <w:shd w:val="clea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3DCB299B">
            <w:pPr>
              <w:shd w:val="clea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14:paraId="6C034487">
            <w:pPr>
              <w:shd w:val="clea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212966419"/>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不组织。</w:t>
            </w:r>
          </w:p>
          <w:p w14:paraId="5D0AEA27">
            <w:pPr>
              <w:shd w:val="clear"/>
              <w:spacing w:line="360" w:lineRule="auto"/>
              <w:rPr>
                <w:rFonts w:ascii="宋体" w:hAnsi="宋体" w:cs="宋体"/>
                <w:color w:val="auto"/>
                <w:sz w:val="24"/>
                <w:szCs w:val="20"/>
                <w:highlight w:val="none"/>
              </w:rPr>
            </w:pPr>
            <w:sdt>
              <w:sdtPr>
                <w:rPr>
                  <w:rFonts w:hint="eastAsia" w:ascii="宋体" w:hAnsi="宋体" w:cs="宋体"/>
                  <w:color w:val="auto"/>
                  <w:kern w:val="0"/>
                  <w:sz w:val="24"/>
                  <w:highlight w:val="none"/>
                </w:rPr>
                <w:id w:val="-99980297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B组织，</w:t>
            </w:r>
            <w:r>
              <w:rPr>
                <w:rFonts w:hint="eastAsia" w:ascii="宋体" w:hAnsi="宋体" w:cs="宋体"/>
                <w:color w:val="auto"/>
                <w:sz w:val="24"/>
                <w:highlight w:val="none"/>
              </w:rPr>
              <w:t>时间：</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eastAsia="zh-CN"/>
              </w:rPr>
              <w:t>，</w:t>
            </w:r>
            <w:r>
              <w:rPr>
                <w:rFonts w:hint="eastAsia" w:ascii="宋体" w:hAnsi="宋体" w:cs="宋体"/>
                <w:color w:val="auto"/>
                <w:sz w:val="24"/>
                <w:highlight w:val="none"/>
              </w:rPr>
              <w:t>地点：</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，联系人：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，联系方式：</w:t>
            </w:r>
            <w:r>
              <w:rPr>
                <w:rFonts w:hint="eastAsia" w:ascii="宋体" w:hAnsi="宋体" w:cs="宋体"/>
                <w:color w:val="auto"/>
                <w:sz w:val="24"/>
                <w:highlight w:val="none"/>
                <w:u w:val="single"/>
              </w:rPr>
              <w:t xml:space="preserve">      </w:t>
            </w:r>
            <w:r>
              <w:rPr>
                <w:rFonts w:hint="eastAsia" w:ascii="宋体" w:hAnsi="宋体" w:cs="宋体"/>
                <w:color w:val="auto"/>
                <w:sz w:val="24"/>
                <w:szCs w:val="20"/>
                <w:highlight w:val="none"/>
              </w:rPr>
              <w:t>。</w:t>
            </w:r>
          </w:p>
        </w:tc>
      </w:tr>
      <w:tr w14:paraId="2E967F6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4EA924B1">
            <w:pPr>
              <w:shd w:val="clea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4A83FD31">
            <w:pPr>
              <w:shd w:val="clea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14:paraId="218801E5">
            <w:pPr>
              <w:shd w:val="clea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1639946486"/>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不要求提供。</w:t>
            </w:r>
          </w:p>
          <w:p w14:paraId="6C2D90F1">
            <w:pPr>
              <w:shd w:val="clear"/>
              <w:spacing w:line="360" w:lineRule="auto"/>
              <w:rPr>
                <w:rFonts w:ascii="宋体" w:hAnsi="宋体" w:cs="宋体"/>
                <w:color w:val="auto"/>
                <w:kern w:val="0"/>
                <w:sz w:val="24"/>
                <w:highlight w:val="none"/>
              </w:rPr>
            </w:pPr>
            <w:sdt>
              <w:sdtPr>
                <w:rPr>
                  <w:rFonts w:hint="eastAsia" w:ascii="宋体" w:hAnsi="宋体" w:cs="宋体"/>
                  <w:color w:val="auto"/>
                  <w:kern w:val="0"/>
                  <w:sz w:val="24"/>
                  <w:highlight w:val="none"/>
                </w:rPr>
                <w:id w:val="1026831988"/>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kern w:val="0"/>
                <w:sz w:val="24"/>
                <w:highlight w:val="none"/>
              </w:rPr>
              <w:t>B要求提供，</w:t>
            </w:r>
          </w:p>
          <w:p w14:paraId="77B8D110">
            <w:pPr>
              <w:shd w:val="clea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（1）</w:t>
            </w:r>
            <w:r>
              <w:rPr>
                <w:rFonts w:hint="eastAsia" w:ascii="宋体" w:hAnsi="宋体" w:cs="宋体"/>
                <w:snapToGrid w:val="0"/>
                <w:color w:val="auto"/>
                <w:kern w:val="28"/>
                <w:sz w:val="24"/>
                <w:highlight w:val="none"/>
              </w:rPr>
              <w:t>样品：</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4332FE0D">
            <w:pPr>
              <w:shd w:val="clea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（2）</w:t>
            </w:r>
            <w:r>
              <w:rPr>
                <w:rFonts w:hint="eastAsia" w:ascii="宋体" w:hAnsi="宋体" w:cs="宋体"/>
                <w:snapToGrid w:val="0"/>
                <w:color w:val="auto"/>
                <w:kern w:val="28"/>
                <w:sz w:val="24"/>
                <w:highlight w:val="none"/>
              </w:rPr>
              <w:t>样品制作的标准和要求：</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563F9700">
            <w:pPr>
              <w:shd w:val="clea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（3）样品的评审方法以及评审标准</w:t>
            </w:r>
            <w:r>
              <w:rPr>
                <w:rFonts w:hint="eastAsia" w:ascii="宋体" w:hAnsi="宋体" w:cs="宋体"/>
                <w:snapToGrid w:val="0"/>
                <w:color w:val="auto"/>
                <w:kern w:val="28"/>
                <w:sz w:val="24"/>
                <w:highlight w:val="none"/>
              </w:rPr>
              <w:t>：详见</w:t>
            </w:r>
            <w:r>
              <w:rPr>
                <w:rFonts w:hint="eastAsia" w:ascii="宋体" w:hAnsi="宋体" w:cs="宋体"/>
                <w:color w:val="auto"/>
                <w:sz w:val="24"/>
                <w:highlight w:val="none"/>
                <w:u w:val="single"/>
              </w:rPr>
              <w:t>评标办法</w:t>
            </w:r>
            <w:r>
              <w:rPr>
                <w:rFonts w:hint="eastAsia" w:ascii="宋体" w:hAnsi="宋体" w:cs="宋体"/>
                <w:color w:val="auto"/>
                <w:kern w:val="0"/>
                <w:sz w:val="24"/>
                <w:highlight w:val="none"/>
              </w:rPr>
              <w:t>；</w:t>
            </w:r>
          </w:p>
          <w:p w14:paraId="34AE3B24">
            <w:pPr>
              <w:shd w:val="clea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（4）是否需要随样品提交检测报告：</w:t>
            </w:r>
            <w:sdt>
              <w:sdtPr>
                <w:rPr>
                  <w:rFonts w:hint="eastAsia" w:ascii="宋体" w:hAnsi="宋体" w:cs="宋体"/>
                  <w:color w:val="auto"/>
                  <w:kern w:val="0"/>
                  <w:sz w:val="24"/>
                  <w:highlight w:val="none"/>
                </w:rPr>
                <w:id w:val="130342145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kern w:val="0"/>
                <w:sz w:val="24"/>
                <w:highlight w:val="none"/>
              </w:rPr>
              <w:t>否；</w:t>
            </w:r>
            <w:sdt>
              <w:sdtPr>
                <w:rPr>
                  <w:rFonts w:hint="eastAsia" w:ascii="宋体" w:hAnsi="宋体" w:cs="宋体"/>
                  <w:color w:val="auto"/>
                  <w:kern w:val="0"/>
                  <w:sz w:val="24"/>
                  <w:highlight w:val="none"/>
                </w:rPr>
                <w:id w:val="1621728433"/>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是，检测机构的要求</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；检测内容</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2E162179">
            <w:pPr>
              <w:shd w:val="clear"/>
              <w:spacing w:line="360" w:lineRule="auto"/>
              <w:rPr>
                <w:rFonts w:ascii="宋体" w:hAnsi="宋体" w:cs="宋体"/>
                <w:color w:val="auto"/>
                <w:sz w:val="24"/>
                <w:highlight w:val="none"/>
              </w:rPr>
            </w:pPr>
            <w:r>
              <w:rPr>
                <w:rFonts w:hint="eastAsia" w:ascii="宋体" w:hAnsi="宋体" w:cs="宋体"/>
                <w:color w:val="auto"/>
                <w:sz w:val="24"/>
                <w:highlight w:val="none"/>
              </w:rPr>
              <w:t>（5）提供样品的时间：</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；地点：</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；联系人</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28"/>
                <w:sz w:val="24"/>
                <w:highlight w:val="none"/>
              </w:rPr>
              <w:t>联系电话：</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。请投标人在上述时间内提供样品并按规定位置安装完毕。超过截止时间的，采购人或采购代理机构将不予接收，并将清场并封闭样品现场。</w:t>
            </w:r>
          </w:p>
          <w:p w14:paraId="0E882A76">
            <w:pPr>
              <w:shd w:val="clear"/>
              <w:spacing w:line="360" w:lineRule="auto"/>
              <w:rPr>
                <w:rFonts w:ascii="宋体" w:hAnsi="宋体" w:cs="宋体"/>
                <w:color w:val="auto"/>
                <w:sz w:val="24"/>
                <w:highlight w:val="none"/>
              </w:rPr>
            </w:pPr>
            <w:r>
              <w:rPr>
                <w:rFonts w:hint="eastAsia" w:ascii="宋体" w:hAnsi="宋体" w:cs="宋体"/>
                <w:color w:val="auto"/>
                <w:sz w:val="24"/>
                <w:highlight w:val="none"/>
                <w:lang w:eastAsia="zh-CN"/>
              </w:rPr>
              <w:t>（</w:t>
            </w:r>
            <w:r>
              <w:rPr>
                <w:rFonts w:hint="eastAsia" w:ascii="宋体" w:hAnsi="宋体" w:cs="宋体"/>
                <w:color w:val="auto"/>
                <w:sz w:val="24"/>
                <w:highlight w:val="none"/>
              </w:rPr>
              <w:t>6</w:t>
            </w:r>
            <w:r>
              <w:rPr>
                <w:rFonts w:hint="eastAsia" w:ascii="宋体" w:hAnsi="宋体" w:cs="宋体"/>
                <w:color w:val="auto"/>
                <w:sz w:val="24"/>
                <w:highlight w:val="none"/>
                <w:lang w:eastAsia="zh-CN"/>
              </w:rPr>
              <w:t>）</w:t>
            </w:r>
            <w:r>
              <w:rPr>
                <w:rFonts w:hint="eastAsia" w:ascii="宋体" w:hAnsi="宋体" w:cs="宋体"/>
                <w:color w:val="auto"/>
                <w:sz w:val="24"/>
                <w:highlight w:val="none"/>
              </w:rPr>
              <w:t>采购活动结束后，对于未中标人提供的样品，采购人、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将通知未中标人在规定的时间内取回，逾期未取回的，采购人、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不负保管义务；对于中标人提供的样品，采购人将进行保管、封存，并作为履约验收的参考。</w:t>
            </w:r>
          </w:p>
          <w:p w14:paraId="2380B13D">
            <w:pPr>
              <w:shd w:val="clear"/>
              <w:spacing w:line="360" w:lineRule="auto"/>
              <w:rPr>
                <w:rFonts w:ascii="宋体" w:hAnsi="宋体" w:cs="宋体"/>
                <w:b/>
                <w:color w:val="auto"/>
                <w:sz w:val="24"/>
                <w:highlight w:val="none"/>
              </w:rPr>
            </w:pPr>
            <w:r>
              <w:rPr>
                <w:rFonts w:hint="eastAsia" w:ascii="宋体" w:hAnsi="宋体" w:cs="宋体"/>
                <w:color w:val="auto"/>
                <w:sz w:val="24"/>
                <w:highlight w:val="none"/>
              </w:rPr>
              <w:t>（7）制作、运输、安装和保管样品所发生的一切费用由投标人自理。</w:t>
            </w:r>
          </w:p>
        </w:tc>
      </w:tr>
      <w:tr w14:paraId="17FB959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5E7CF205">
            <w:pPr>
              <w:shd w:val="clea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7</w:t>
            </w:r>
          </w:p>
        </w:tc>
        <w:tc>
          <w:tcPr>
            <w:tcW w:w="1843" w:type="dxa"/>
            <w:tcBorders>
              <w:top w:val="single" w:color="000000" w:sz="8" w:space="0"/>
              <w:left w:val="single" w:color="auto" w:sz="4" w:space="0"/>
              <w:bottom w:val="single" w:color="000000" w:sz="8" w:space="0"/>
              <w:right w:val="single" w:color="000000" w:sz="8" w:space="0"/>
            </w:tcBorders>
            <w:vAlign w:val="center"/>
          </w:tcPr>
          <w:p w14:paraId="38BAD6F5">
            <w:pPr>
              <w:shd w:val="clear"/>
              <w:snapToGrid w:val="0"/>
              <w:spacing w:line="360" w:lineRule="auto"/>
              <w:jc w:val="center"/>
              <w:rPr>
                <w:rFonts w:ascii="宋体" w:hAnsi="宋体" w:cs="宋体"/>
                <w:bCs/>
                <w:color w:val="auto"/>
                <w:sz w:val="24"/>
                <w:highlight w:val="none"/>
              </w:rPr>
            </w:pPr>
            <w:r>
              <w:rPr>
                <w:rFonts w:hint="eastAsia" w:ascii="宋体" w:hAnsi="宋体" w:cs="宋体"/>
                <w:b/>
                <w:color w:val="auto"/>
                <w:sz w:val="24"/>
                <w:highlight w:val="none"/>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14:paraId="0174EED2">
            <w:pPr>
              <w:shd w:val="clea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1859348549"/>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不组织。</w:t>
            </w:r>
          </w:p>
          <w:p w14:paraId="55359167">
            <w:pPr>
              <w:shd w:val="clear"/>
              <w:spacing w:line="360" w:lineRule="auto"/>
              <w:rPr>
                <w:rFonts w:ascii="宋体" w:hAnsi="宋体" w:cs="宋体"/>
                <w:color w:val="auto"/>
                <w:kern w:val="0"/>
                <w:sz w:val="24"/>
                <w:highlight w:val="none"/>
              </w:rPr>
            </w:pPr>
            <w:sdt>
              <w:sdtPr>
                <w:rPr>
                  <w:rFonts w:hint="eastAsia" w:ascii="宋体" w:hAnsi="宋体" w:cs="宋体"/>
                  <w:color w:val="auto"/>
                  <w:kern w:val="0"/>
                  <w:sz w:val="24"/>
                  <w:highlight w:val="none"/>
                </w:rPr>
                <w:id w:val="1174071719"/>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B组织。</w:t>
            </w:r>
          </w:p>
          <w:p w14:paraId="7040B5ED">
            <w:pPr>
              <w:shd w:val="clea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（1）在评标时安排每个投标人进行方案讲解演示。每个投标人时间不超过</w:t>
            </w:r>
            <w:r>
              <w:rPr>
                <w:rFonts w:hint="eastAsia" w:ascii="宋体" w:hAnsi="宋体" w:cs="宋体"/>
                <w:color w:val="auto"/>
                <w:kern w:val="0"/>
                <w:sz w:val="24"/>
                <w:highlight w:val="none"/>
                <w:u w:val="single"/>
              </w:rPr>
              <w:t>20</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u w:val="single"/>
                <w:lang w:val="en-US" w:eastAsia="zh-CN"/>
              </w:rPr>
              <w:t>编制时可根据项目情况进行调整</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rPr>
              <w:t>分钟，讲解次序以投标文件解密时间先后次序为准，讲解演示人员不超过</w:t>
            </w:r>
            <w:r>
              <w:rPr>
                <w:rFonts w:hint="eastAsia" w:ascii="宋体" w:hAnsi="宋体" w:cs="宋体"/>
                <w:color w:val="auto"/>
                <w:kern w:val="0"/>
                <w:sz w:val="24"/>
                <w:highlight w:val="none"/>
                <w:u w:val="single"/>
              </w:rPr>
              <w:t>3</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u w:val="single"/>
                <w:lang w:val="en-US" w:eastAsia="zh-CN"/>
              </w:rPr>
              <w:t>编制时可根据项目情况进行调整</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rPr>
              <w:t>人。讲解演示结束后按要求解答评标委员会提问。</w:t>
            </w:r>
          </w:p>
          <w:p w14:paraId="01F25CFD">
            <w:pPr>
              <w:shd w:val="clea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（2）方案讲解演示可选择以下其中一种方式：</w:t>
            </w:r>
          </w:p>
          <w:p w14:paraId="709728DC">
            <w:pPr>
              <w:shd w:val="clea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方式一：政采云平台在线讲解演示。政采云平台在线讲解需投标人根据政采云平台操作要求做好准备工作，提前完善软硬件配置环境。</w:t>
            </w:r>
          </w:p>
          <w:p w14:paraId="7FB6E91C">
            <w:pPr>
              <w:shd w:val="clea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方式二：交易中心现场讲解演示。现场讲解地点为</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，讲解演示所用电脑等设备由投标人自备。现场讲解演示人员进场时提供讲解人员名单（加盖公章或授权代表签名）及身份证明，否则不得讲解演示。</w:t>
            </w:r>
          </w:p>
          <w:p w14:paraId="295068D4">
            <w:pPr>
              <w:shd w:val="clear"/>
              <w:snapToGrid w:val="0"/>
              <w:spacing w:line="360" w:lineRule="auto"/>
              <w:rPr>
                <w:rFonts w:ascii="宋体" w:hAnsi="宋体" w:cs="宋体"/>
                <w:b/>
                <w:color w:val="auto"/>
                <w:kern w:val="0"/>
                <w:sz w:val="24"/>
                <w:highlight w:val="none"/>
                <w:lang w:val="zh-CN"/>
              </w:rPr>
            </w:pPr>
            <w:r>
              <w:rPr>
                <w:rFonts w:hint="eastAsia" w:ascii="宋体" w:hAnsi="宋体" w:cs="宋体"/>
                <w:color w:val="auto"/>
                <w:kern w:val="0"/>
                <w:sz w:val="24"/>
                <w:highlight w:val="none"/>
              </w:rPr>
              <w:t>注：因投标人自身原因导致无法演示或者演示效果不理想的，责任自负。因平台原因导致本项目方案讲解演示环节无法顺利开展，按照《浙江省政府采购项目电子交易管理暂行办法》相关规定执行。</w:t>
            </w:r>
          </w:p>
        </w:tc>
      </w:tr>
      <w:tr w14:paraId="1969B37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vAlign w:val="center"/>
          </w:tcPr>
          <w:p w14:paraId="7B7AE3E2">
            <w:pPr>
              <w:shd w:val="clea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8</w:t>
            </w:r>
          </w:p>
        </w:tc>
        <w:tc>
          <w:tcPr>
            <w:tcW w:w="1843" w:type="dxa"/>
            <w:vMerge w:val="restart"/>
            <w:tcBorders>
              <w:top w:val="single" w:color="000000" w:sz="8" w:space="0"/>
              <w:left w:val="single" w:color="auto" w:sz="4" w:space="0"/>
              <w:right w:val="single" w:color="000000" w:sz="8" w:space="0"/>
            </w:tcBorders>
            <w:vAlign w:val="center"/>
          </w:tcPr>
          <w:p w14:paraId="26BF0F27">
            <w:pPr>
              <w:shd w:val="clea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投标人应当提供的资格、资信证明文件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14:paraId="66257A65">
            <w:pPr>
              <w:shd w:val="clear"/>
              <w:spacing w:line="360" w:lineRule="auto"/>
              <w:rPr>
                <w:rFonts w:ascii="宋体" w:hAnsi="宋体" w:cs="宋体"/>
                <w:color w:val="auto"/>
                <w:sz w:val="24"/>
                <w:highlight w:val="none"/>
              </w:rPr>
            </w:pPr>
            <w:r>
              <w:rPr>
                <w:rFonts w:hint="eastAsia" w:ascii="宋体" w:hAnsi="宋体" w:cs="宋体"/>
                <w:color w:val="auto"/>
                <w:sz w:val="24"/>
                <w:highlight w:val="none"/>
              </w:rPr>
              <w:t>（1）资格证明文件：见招标文件第二部分11.1。</w:t>
            </w:r>
          </w:p>
          <w:p w14:paraId="514F01CE">
            <w:pPr>
              <w:shd w:val="clear"/>
              <w:spacing w:line="360" w:lineRule="auto"/>
              <w:rPr>
                <w:rFonts w:ascii="宋体" w:hAnsi="宋体" w:cs="宋体"/>
                <w:snapToGrid w:val="0"/>
                <w:color w:val="auto"/>
                <w:kern w:val="0"/>
                <w:szCs w:val="21"/>
                <w:highlight w:val="none"/>
              </w:rPr>
            </w:pPr>
            <w:r>
              <w:rPr>
                <w:rFonts w:hint="eastAsia" w:ascii="宋体" w:hAnsi="宋体" w:cs="宋体"/>
                <w:color w:val="auto"/>
                <w:kern w:val="0"/>
                <w:sz w:val="24"/>
                <w:highlight w:val="none"/>
                <w:lang w:val="zh-CN"/>
              </w:rPr>
              <w:t>投标人未提供有效的资格证明文件的，视为投标人不具备招标文件中规定的资格要求，投标无效。</w:t>
            </w:r>
          </w:p>
        </w:tc>
      </w:tr>
      <w:tr w14:paraId="036C786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vMerge w:val="continue"/>
            <w:tcBorders>
              <w:left w:val="single" w:color="auto" w:sz="4" w:space="0"/>
              <w:bottom w:val="single" w:color="auto" w:sz="4" w:space="0"/>
              <w:right w:val="single" w:color="auto" w:sz="4" w:space="0"/>
            </w:tcBorders>
            <w:vAlign w:val="center"/>
          </w:tcPr>
          <w:p w14:paraId="151B60D9">
            <w:pPr>
              <w:shd w:val="clear"/>
              <w:snapToGrid w:val="0"/>
              <w:spacing w:line="360" w:lineRule="auto"/>
              <w:jc w:val="center"/>
              <w:rPr>
                <w:rFonts w:ascii="宋体" w:hAnsi="宋体" w:cs="宋体"/>
                <w:color w:val="auto"/>
                <w:sz w:val="24"/>
                <w:highlight w:val="none"/>
              </w:rPr>
            </w:pPr>
          </w:p>
        </w:tc>
        <w:tc>
          <w:tcPr>
            <w:tcW w:w="1843" w:type="dxa"/>
            <w:vMerge w:val="continue"/>
            <w:tcBorders>
              <w:left w:val="single" w:color="auto" w:sz="4" w:space="0"/>
              <w:bottom w:val="single" w:color="000000" w:sz="8" w:space="0"/>
              <w:right w:val="single" w:color="000000" w:sz="8" w:space="0"/>
            </w:tcBorders>
            <w:vAlign w:val="center"/>
          </w:tcPr>
          <w:p w14:paraId="6EE20227">
            <w:pPr>
              <w:shd w:val="clear"/>
              <w:snapToGrid w:val="0"/>
              <w:spacing w:line="360" w:lineRule="auto"/>
              <w:jc w:val="center"/>
              <w:rPr>
                <w:rFonts w:ascii="宋体" w:hAnsi="宋体" w:cs="宋体"/>
                <w:b/>
                <w:color w:val="auto"/>
                <w:sz w:val="24"/>
                <w:highlight w:val="none"/>
              </w:rPr>
            </w:pPr>
          </w:p>
        </w:tc>
        <w:tc>
          <w:tcPr>
            <w:tcW w:w="6095" w:type="dxa"/>
            <w:tcBorders>
              <w:top w:val="single" w:color="auto" w:sz="4" w:space="0"/>
              <w:left w:val="single" w:color="000000" w:sz="2" w:space="0"/>
              <w:bottom w:val="single" w:color="000000" w:sz="8" w:space="0"/>
              <w:right w:val="single" w:color="000000" w:sz="8" w:space="0"/>
            </w:tcBorders>
            <w:vAlign w:val="center"/>
          </w:tcPr>
          <w:p w14:paraId="3FF30888">
            <w:pPr>
              <w:shd w:val="clear"/>
              <w:spacing w:line="360" w:lineRule="auto"/>
              <w:rPr>
                <w:rFonts w:ascii="宋体" w:hAnsi="宋体" w:cs="宋体"/>
                <w:color w:val="auto"/>
                <w:sz w:val="24"/>
                <w:highlight w:val="none"/>
              </w:rPr>
            </w:pPr>
            <w:r>
              <w:rPr>
                <w:rFonts w:hint="eastAsia" w:ascii="宋体" w:hAnsi="宋体" w:cs="宋体"/>
                <w:color w:val="auto"/>
                <w:sz w:val="24"/>
                <w:highlight w:val="none"/>
              </w:rPr>
              <w:t>（2）资信证明文件：根据招标文件第四部分评标标准提供。</w:t>
            </w:r>
          </w:p>
        </w:tc>
      </w:tr>
      <w:tr w14:paraId="2983160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6736A8EC">
            <w:pPr>
              <w:shd w:val="clea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9</w:t>
            </w:r>
          </w:p>
        </w:tc>
        <w:tc>
          <w:tcPr>
            <w:tcW w:w="1843" w:type="dxa"/>
            <w:tcBorders>
              <w:top w:val="single" w:color="000000" w:sz="8" w:space="0"/>
              <w:left w:val="single" w:color="000000" w:sz="2" w:space="0"/>
              <w:bottom w:val="single" w:color="000000" w:sz="8" w:space="0"/>
              <w:right w:val="single" w:color="000000" w:sz="8" w:space="0"/>
            </w:tcBorders>
            <w:vAlign w:val="center"/>
          </w:tcPr>
          <w:p w14:paraId="12B73F6D">
            <w:pPr>
              <w:shd w:val="clea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48A6B2AF">
            <w:pPr>
              <w:shd w:val="clear"/>
              <w:snapToGrid w:val="0"/>
              <w:spacing w:line="360" w:lineRule="auto"/>
              <w:rPr>
                <w:rFonts w:ascii="宋体" w:hAnsi="宋体" w:cs="宋体"/>
                <w:color w:val="auto"/>
                <w:highlight w:val="none"/>
              </w:rPr>
            </w:pPr>
            <w:r>
              <w:rPr>
                <w:rFonts w:hint="eastAsia" w:ascii="宋体" w:hAnsi="宋体" w:cs="宋体"/>
                <w:color w:val="auto"/>
                <w:kern w:val="0"/>
                <w:sz w:val="24"/>
                <w:highlight w:val="none"/>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14:paraId="482D370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3147D425">
            <w:pPr>
              <w:shd w:val="clea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7B5DFE09">
            <w:pPr>
              <w:shd w:val="clea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14:paraId="7C18DA35">
            <w:pPr>
              <w:shd w:val="clear"/>
              <w:snapToGrid w:val="0"/>
              <w:spacing w:line="360" w:lineRule="auto"/>
              <w:jc w:val="left"/>
              <w:rPr>
                <w:rFonts w:ascii="宋体" w:hAnsi="宋体" w:cs="宋体"/>
                <w:b/>
                <w:color w:val="auto"/>
                <w:kern w:val="0"/>
                <w:sz w:val="24"/>
                <w:highlight w:val="none"/>
                <w:lang w:val="zh-CN"/>
              </w:rPr>
            </w:pPr>
            <w:r>
              <w:rPr>
                <w:rFonts w:hint="eastAsia" w:ascii="宋体" w:hAnsi="宋体" w:cs="宋体"/>
                <w:color w:val="auto"/>
                <w:kern w:val="0"/>
                <w:sz w:val="24"/>
                <w:highlight w:val="none"/>
                <w:lang w:val="zh-CN"/>
              </w:rPr>
              <w:t>有关本项目实施所需的所有费用（含税费）均计入报价。</w:t>
            </w:r>
            <w:r>
              <w:rPr>
                <w:rFonts w:hint="eastAsia" w:ascii="宋体" w:hAnsi="宋体" w:cs="宋体"/>
                <w:b/>
                <w:bCs/>
                <w:color w:val="auto"/>
                <w:kern w:val="0"/>
                <w:sz w:val="24"/>
                <w:highlight w:val="none"/>
                <w:lang w:val="zh-CN"/>
              </w:rPr>
              <w:t>投标文件</w:t>
            </w:r>
            <w:r>
              <w:rPr>
                <w:rFonts w:hint="eastAsia" w:ascii="宋体" w:hAnsi="宋体" w:cs="宋体"/>
                <w:b/>
                <w:bCs/>
                <w:color w:val="auto"/>
                <w:sz w:val="24"/>
                <w:highlight w:val="none"/>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cs="宋体"/>
                <w:color w:val="auto"/>
                <w:kern w:val="0"/>
                <w:sz w:val="24"/>
                <w:highlight w:val="none"/>
                <w:lang w:val="zh-CN" w:eastAsia="zh-CN"/>
              </w:rPr>
              <w:t>本项目采用投标折扣系数形式报价，要求分别报出不同类别原材料供应的投标折扣系数（标项1：蔬菜类、豆制品类</w:t>
            </w:r>
            <w:r>
              <w:rPr>
                <w:rFonts w:hint="eastAsia" w:ascii="宋体" w:hAnsi="宋体" w:cs="宋体"/>
                <w:color w:val="auto"/>
                <w:kern w:val="0"/>
                <w:sz w:val="24"/>
                <w:highlight w:val="none"/>
                <w:lang w:val="en-US" w:eastAsia="zh-CN"/>
              </w:rPr>
              <w:t>；</w:t>
            </w:r>
            <w:r>
              <w:rPr>
                <w:rFonts w:hint="eastAsia" w:ascii="宋体" w:hAnsi="宋体" w:cs="宋体"/>
                <w:color w:val="auto"/>
                <w:kern w:val="0"/>
                <w:sz w:val="24"/>
                <w:highlight w:val="none"/>
                <w:lang w:val="zh-CN" w:eastAsia="zh-CN"/>
              </w:rPr>
              <w:t>标项2：水果类；标项3：其他杂项类。具体供应食品价格须包含原材料成本、包装、运输费（送货到采购人指定的现场）、保险、上下车、利润、税金、政策性规费、售后服务等所有中标人应承担的全部费用。投标折扣系数最高限价：100%，超出投标折扣系数最高限价的投标将作为无效标处理。</w:t>
            </w:r>
          </w:p>
          <w:p w14:paraId="3A189C18">
            <w:pPr>
              <w:shd w:val="clear"/>
              <w:snapToGrid w:val="0"/>
              <w:spacing w:line="360" w:lineRule="auto"/>
              <w:jc w:val="left"/>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投标报价出现下列情形的，投标无效：</w:t>
            </w:r>
          </w:p>
          <w:p w14:paraId="670DDC6B">
            <w:pPr>
              <w:shd w:val="clear"/>
              <w:snapToGrid w:val="0"/>
              <w:spacing w:line="360" w:lineRule="auto"/>
              <w:ind w:firstLine="241" w:firstLineChars="100"/>
              <w:jc w:val="left"/>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投标文件出现不是唯一的、有选择性投标报价的；</w:t>
            </w:r>
          </w:p>
          <w:p w14:paraId="59586536">
            <w:pPr>
              <w:shd w:val="clear"/>
              <w:snapToGrid w:val="0"/>
              <w:spacing w:line="360" w:lineRule="auto"/>
              <w:ind w:firstLine="241" w:firstLineChars="100"/>
              <w:jc w:val="left"/>
              <w:rPr>
                <w:rFonts w:ascii="宋体" w:hAnsi="宋体" w:cs="宋体"/>
                <w:color w:val="auto"/>
                <w:kern w:val="0"/>
                <w:sz w:val="24"/>
                <w:highlight w:val="none"/>
                <w:lang w:val="zh-CN"/>
              </w:rPr>
            </w:pPr>
            <w:r>
              <w:rPr>
                <w:rFonts w:hint="eastAsia" w:ascii="宋体" w:hAnsi="宋体" w:cs="宋体"/>
                <w:b/>
                <w:color w:val="auto"/>
                <w:kern w:val="0"/>
                <w:sz w:val="24"/>
                <w:highlight w:val="none"/>
                <w:lang w:val="zh-CN"/>
              </w:rPr>
              <w:t>投标报价超过招标文件中规定的预算金额或者最高限价的；</w:t>
            </w:r>
          </w:p>
          <w:p w14:paraId="69E4937F">
            <w:pPr>
              <w:shd w:val="clear"/>
              <w:spacing w:line="360" w:lineRule="auto"/>
              <w:ind w:firstLine="241" w:firstLineChars="100"/>
              <w:rPr>
                <w:rFonts w:ascii="宋体" w:hAnsi="宋体" w:cs="宋体"/>
                <w:b/>
                <w:color w:val="auto"/>
                <w:sz w:val="24"/>
                <w:highlight w:val="none"/>
              </w:rPr>
            </w:pPr>
            <w:r>
              <w:rPr>
                <w:rFonts w:hint="eastAsia" w:ascii="宋体" w:hAnsi="宋体" w:cs="宋体"/>
                <w:b/>
                <w:color w:val="auto"/>
                <w:kern w:val="0"/>
                <w:sz w:val="24"/>
                <w:highlight w:val="none"/>
              </w:rPr>
              <w:t>报价明显低于其他通过符合性审查投标人的报价，有可能影响产品质量或者不能诚信履约的，未能按要求提供书面说明或者提交相关证明材料证明其报价合理性的</w:t>
            </w:r>
            <w:r>
              <w:rPr>
                <w:rFonts w:hint="eastAsia" w:ascii="宋体" w:hAnsi="宋体" w:cs="宋体"/>
                <w:b/>
                <w:color w:val="auto"/>
                <w:kern w:val="0"/>
                <w:sz w:val="24"/>
                <w:highlight w:val="none"/>
                <w:lang w:eastAsia="zh-CN"/>
              </w:rPr>
              <w:t>；</w:t>
            </w:r>
          </w:p>
          <w:p w14:paraId="19C674D5">
            <w:pPr>
              <w:shd w:val="clear"/>
              <w:spacing w:line="360" w:lineRule="auto"/>
              <w:ind w:firstLine="241" w:firstLineChars="100"/>
              <w:rPr>
                <w:rFonts w:ascii="宋体" w:hAnsi="宋体" w:cs="宋体"/>
                <w:color w:val="auto"/>
                <w:sz w:val="24"/>
                <w:highlight w:val="none"/>
              </w:rPr>
            </w:pPr>
            <w:r>
              <w:rPr>
                <w:rFonts w:hint="eastAsia" w:ascii="宋体" w:hAnsi="宋体" w:cs="宋体"/>
                <w:b/>
                <w:color w:val="auto"/>
                <w:kern w:val="0"/>
                <w:sz w:val="24"/>
                <w:highlight w:val="none"/>
              </w:rPr>
              <w:t>投标人对根据修正原则修正后的报价不确认的</w:t>
            </w:r>
            <w:r>
              <w:rPr>
                <w:rFonts w:hint="eastAsia" w:ascii="宋体" w:hAnsi="宋体" w:cs="宋体"/>
                <w:b/>
                <w:color w:val="auto"/>
                <w:sz w:val="24"/>
                <w:highlight w:val="none"/>
              </w:rPr>
              <w:t>。</w:t>
            </w:r>
          </w:p>
        </w:tc>
      </w:tr>
      <w:tr w14:paraId="07CDCD7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000000" w:sz="8" w:space="0"/>
              <w:right w:val="single" w:color="000000" w:sz="2" w:space="0"/>
            </w:tcBorders>
            <w:vAlign w:val="center"/>
          </w:tcPr>
          <w:p w14:paraId="7AC2EAA5">
            <w:pPr>
              <w:shd w:val="clea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11</w:t>
            </w:r>
          </w:p>
        </w:tc>
        <w:tc>
          <w:tcPr>
            <w:tcW w:w="1843" w:type="dxa"/>
            <w:tcBorders>
              <w:top w:val="single" w:color="000000" w:sz="8" w:space="0"/>
              <w:left w:val="single" w:color="000000" w:sz="2" w:space="0"/>
              <w:right w:val="single" w:color="000000" w:sz="8" w:space="0"/>
            </w:tcBorders>
            <w:vAlign w:val="center"/>
          </w:tcPr>
          <w:p w14:paraId="5274F657">
            <w:pPr>
              <w:shd w:val="clea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中小企业信用融资</w:t>
            </w:r>
          </w:p>
        </w:tc>
        <w:tc>
          <w:tcPr>
            <w:tcW w:w="6095" w:type="dxa"/>
            <w:tcBorders>
              <w:top w:val="single" w:color="000000" w:sz="8" w:space="0"/>
              <w:left w:val="single" w:color="000000" w:sz="2" w:space="0"/>
              <w:right w:val="single" w:color="000000" w:sz="8" w:space="0"/>
            </w:tcBorders>
            <w:vAlign w:val="center"/>
          </w:tcPr>
          <w:p w14:paraId="670E8EDC">
            <w:pPr>
              <w:shd w:val="clear"/>
              <w:spacing w:line="360" w:lineRule="auto"/>
              <w:ind w:firstLine="480" w:firstLineChars="200"/>
              <w:rPr>
                <w:rFonts w:ascii="宋体" w:hAnsi="宋体" w:cs="宋体"/>
                <w:color w:val="auto"/>
                <w:sz w:val="24"/>
                <w:highlight w:val="none"/>
              </w:rPr>
            </w:pPr>
            <w:r>
              <w:rPr>
                <w:rFonts w:hint="eastAsia" w:ascii="宋体" w:hAnsi="宋体" w:cs="宋体"/>
                <w:snapToGrid w:val="0"/>
                <w:color w:val="auto"/>
                <w:kern w:val="28"/>
                <w:sz w:val="24"/>
                <w:highlight w: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5C3C327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09866161">
            <w:pPr>
              <w:shd w:val="clea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12</w:t>
            </w:r>
          </w:p>
        </w:tc>
        <w:tc>
          <w:tcPr>
            <w:tcW w:w="1843" w:type="dxa"/>
            <w:tcBorders>
              <w:top w:val="single" w:color="000000" w:sz="8" w:space="0"/>
              <w:left w:val="single" w:color="000000" w:sz="2" w:space="0"/>
              <w:bottom w:val="single" w:color="000000" w:sz="8" w:space="0"/>
              <w:right w:val="single" w:color="000000" w:sz="8" w:space="0"/>
            </w:tcBorders>
            <w:vAlign w:val="center"/>
          </w:tcPr>
          <w:p w14:paraId="6037394B">
            <w:pPr>
              <w:shd w:val="clea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备份投标文件送达</w:t>
            </w:r>
            <w:r>
              <w:rPr>
                <w:rFonts w:hint="eastAsia" w:ascii="宋体" w:hAnsi="宋体" w:cs="宋体"/>
                <w:b/>
                <w:color w:val="auto"/>
                <w:sz w:val="24"/>
                <w:highlight w:val="none"/>
                <w:lang w:val="en-US" w:eastAsia="zh-CN"/>
              </w:rPr>
              <w:t>时间、</w:t>
            </w:r>
            <w:r>
              <w:rPr>
                <w:rFonts w:hint="eastAsia" w:ascii="宋体" w:hAnsi="宋体" w:cs="宋体"/>
                <w:b/>
                <w:color w:val="auto"/>
                <w:sz w:val="24"/>
                <w:highlight w:val="none"/>
              </w:rPr>
              <w:t xml:space="preserve">地点和签收人员 </w:t>
            </w:r>
          </w:p>
        </w:tc>
        <w:tc>
          <w:tcPr>
            <w:tcW w:w="6095" w:type="dxa"/>
            <w:tcBorders>
              <w:top w:val="single" w:color="000000" w:sz="8" w:space="0"/>
              <w:left w:val="single" w:color="000000" w:sz="2" w:space="0"/>
              <w:bottom w:val="single" w:color="000000" w:sz="8" w:space="0"/>
              <w:right w:val="single" w:color="000000" w:sz="8" w:space="0"/>
            </w:tcBorders>
            <w:vAlign w:val="center"/>
          </w:tcPr>
          <w:p w14:paraId="3BC38A1E">
            <w:pPr>
              <w:pStyle w:val="3"/>
              <w:shd w:val="clear"/>
              <w:spacing w:line="360" w:lineRule="auto"/>
              <w:rPr>
                <w:rFonts w:hint="eastAsia" w:hAnsi="宋体" w:cs="宋体"/>
                <w:color w:val="auto"/>
                <w:sz w:val="24"/>
                <w:szCs w:val="24"/>
                <w:highlight w:val="none"/>
                <w:lang w:eastAsia="zh-CN"/>
              </w:rPr>
            </w:pPr>
            <w:r>
              <w:rPr>
                <w:rFonts w:hint="eastAsia" w:ascii="宋体" w:hAnsi="宋体" w:cs="宋体"/>
                <w:color w:val="auto"/>
                <w:sz w:val="24"/>
                <w:highlight w:val="none"/>
              </w:rPr>
              <w:t>（1）</w:t>
            </w:r>
            <w:r>
              <w:rPr>
                <w:rFonts w:hint="eastAsia" w:hAnsi="宋体" w:cs="宋体"/>
                <w:color w:val="auto"/>
                <w:sz w:val="24"/>
                <w:szCs w:val="24"/>
                <w:highlight w:val="none"/>
              </w:rPr>
              <w:t>直接提交备份投标文件的</w:t>
            </w:r>
            <w:r>
              <w:rPr>
                <w:rFonts w:hint="eastAsia" w:hAnsi="宋体" w:cs="宋体"/>
                <w:color w:val="auto"/>
                <w:sz w:val="24"/>
                <w:szCs w:val="24"/>
                <w:highlight w:val="none"/>
                <w:lang w:eastAsia="zh-CN"/>
              </w:rPr>
              <w:t>：</w:t>
            </w:r>
          </w:p>
          <w:p w14:paraId="56A0D3F7">
            <w:pPr>
              <w:pStyle w:val="3"/>
              <w:shd w:val="clear"/>
              <w:spacing w:line="360" w:lineRule="auto"/>
              <w:rPr>
                <w:rFonts w:hint="default" w:hAnsi="宋体" w:eastAsia="宋体" w:cs="宋体"/>
                <w:color w:val="auto"/>
                <w:sz w:val="24"/>
                <w:szCs w:val="24"/>
                <w:highlight w:val="none"/>
                <w:lang w:val="en-US" w:eastAsia="zh-CN"/>
              </w:rPr>
            </w:pPr>
            <w:r>
              <w:rPr>
                <w:rFonts w:hint="eastAsia" w:hAnsi="宋体" w:cs="宋体"/>
                <w:color w:val="auto"/>
                <w:kern w:val="28"/>
                <w:sz w:val="24"/>
                <w:szCs w:val="24"/>
                <w:highlight w:val="none"/>
              </w:rPr>
              <w:t>备份投标文件送达地点：</w:t>
            </w:r>
            <w:r>
              <w:rPr>
                <w:rFonts w:hint="eastAsia" w:cs="宋体" w:asciiTheme="minorEastAsia" w:hAnsiTheme="minorEastAsia" w:eastAsiaTheme="minorEastAsia"/>
                <w:color w:val="auto"/>
                <w:kern w:val="28"/>
                <w:sz w:val="24"/>
                <w:szCs w:val="24"/>
                <w:highlight w:val="none"/>
                <w:u w:val="single"/>
                <w:lang w:val="en-US" w:eastAsia="zh-CN"/>
              </w:rPr>
              <w:t>宁波市海曙区营商环境服务中心二楼开标室</w:t>
            </w:r>
            <w:r>
              <w:rPr>
                <w:rFonts w:hint="eastAsia" w:hAnsi="宋体" w:cs="宋体"/>
                <w:color w:val="auto"/>
                <w:kern w:val="28"/>
                <w:sz w:val="24"/>
                <w:szCs w:val="24"/>
                <w:highlight w:val="none"/>
                <w:u w:val="single"/>
              </w:rPr>
              <w:t>[宁波市海曙区气象路58号</w:t>
            </w:r>
            <w:r>
              <w:rPr>
                <w:rFonts w:hint="eastAsia" w:hAnsi="宋体" w:cs="宋体"/>
                <w:color w:val="auto"/>
                <w:kern w:val="28"/>
                <w:sz w:val="24"/>
                <w:szCs w:val="24"/>
                <w:highlight w:val="none"/>
                <w:u w:val="single"/>
                <w:lang w:eastAsia="zh-CN"/>
              </w:rPr>
              <w:t>（</w:t>
            </w:r>
            <w:r>
              <w:rPr>
                <w:rFonts w:hint="eastAsia" w:hAnsi="宋体" w:cs="宋体"/>
                <w:color w:val="auto"/>
                <w:kern w:val="28"/>
                <w:sz w:val="24"/>
                <w:szCs w:val="24"/>
                <w:highlight w:val="none"/>
                <w:u w:val="single"/>
              </w:rPr>
              <w:t>南门上</w:t>
            </w:r>
            <w:r>
              <w:rPr>
                <w:rFonts w:hint="eastAsia" w:hAnsi="宋体" w:cs="宋体"/>
                <w:color w:val="auto"/>
                <w:kern w:val="28"/>
                <w:sz w:val="24"/>
                <w:szCs w:val="24"/>
                <w:highlight w:val="none"/>
                <w:u w:val="single"/>
                <w:lang w:eastAsia="zh-CN"/>
              </w:rPr>
              <w:t>）</w:t>
            </w:r>
            <w:r>
              <w:rPr>
                <w:rFonts w:hint="eastAsia" w:hAnsi="宋体" w:cs="宋体"/>
                <w:color w:val="auto"/>
                <w:kern w:val="28"/>
                <w:sz w:val="24"/>
                <w:szCs w:val="24"/>
                <w:highlight w:val="none"/>
                <w:u w:val="single"/>
              </w:rPr>
              <w:t>]。</w:t>
            </w:r>
          </w:p>
          <w:p w14:paraId="4551B1BF">
            <w:pPr>
              <w:pStyle w:val="3"/>
              <w:shd w:val="clear"/>
              <w:spacing w:line="360" w:lineRule="auto"/>
              <w:rPr>
                <w:rFonts w:hint="eastAsia" w:hAnsi="宋体" w:cs="宋体"/>
                <w:color w:val="auto"/>
                <w:sz w:val="24"/>
                <w:szCs w:val="24"/>
                <w:highlight w:val="none"/>
                <w:lang w:eastAsia="zh-CN"/>
              </w:rPr>
            </w:pPr>
            <w:r>
              <w:rPr>
                <w:rFonts w:hint="eastAsia" w:hAnsi="宋体" w:cs="宋体"/>
                <w:color w:val="auto"/>
                <w:kern w:val="28"/>
                <w:sz w:val="24"/>
                <w:szCs w:val="24"/>
                <w:highlight w:val="none"/>
                <w:lang w:eastAsia="zh-CN"/>
              </w:rPr>
              <w:t>（</w:t>
            </w:r>
            <w:r>
              <w:rPr>
                <w:rFonts w:hint="eastAsia" w:hAnsi="宋体" w:cs="宋体"/>
                <w:color w:val="auto"/>
                <w:kern w:val="28"/>
                <w:sz w:val="24"/>
                <w:szCs w:val="24"/>
                <w:highlight w:val="none"/>
                <w:lang w:val="en-US" w:eastAsia="zh-CN"/>
              </w:rPr>
              <w:t>2</w:t>
            </w:r>
            <w:r>
              <w:rPr>
                <w:rFonts w:hint="eastAsia" w:hAnsi="宋体" w:cs="宋体"/>
                <w:color w:val="auto"/>
                <w:kern w:val="28"/>
                <w:sz w:val="24"/>
                <w:szCs w:val="24"/>
                <w:highlight w:val="none"/>
                <w:lang w:eastAsia="zh-CN"/>
              </w:rPr>
              <w:t>）</w:t>
            </w:r>
            <w:r>
              <w:rPr>
                <w:rFonts w:hint="eastAsia" w:hAnsi="宋体" w:cs="宋体"/>
                <w:color w:val="auto"/>
                <w:sz w:val="24"/>
                <w:szCs w:val="24"/>
                <w:highlight w:val="none"/>
              </w:rPr>
              <w:t>以邮政快递方式递交备份投标文件的</w:t>
            </w:r>
            <w:r>
              <w:rPr>
                <w:rFonts w:hint="eastAsia" w:hAnsi="宋体" w:cs="宋体"/>
                <w:color w:val="auto"/>
                <w:sz w:val="24"/>
                <w:szCs w:val="24"/>
                <w:highlight w:val="none"/>
                <w:lang w:eastAsia="zh-CN"/>
              </w:rPr>
              <w:t>：</w:t>
            </w:r>
          </w:p>
          <w:p w14:paraId="17934905">
            <w:pPr>
              <w:pStyle w:val="3"/>
              <w:shd w:val="clear"/>
              <w:spacing w:line="360" w:lineRule="auto"/>
              <w:rPr>
                <w:rFonts w:hint="default" w:hAnsi="宋体" w:eastAsia="宋体" w:cs="宋体"/>
                <w:color w:val="auto"/>
                <w:kern w:val="28"/>
                <w:sz w:val="24"/>
                <w:szCs w:val="24"/>
                <w:highlight w:val="none"/>
                <w:lang w:val="en-US" w:eastAsia="zh-CN"/>
              </w:rPr>
            </w:pPr>
            <w:r>
              <w:rPr>
                <w:rFonts w:hint="eastAsia" w:hAnsi="宋体" w:cs="宋体"/>
                <w:snapToGrid/>
                <w:color w:val="auto"/>
                <w:sz w:val="24"/>
                <w:szCs w:val="24"/>
                <w:highlight w:val="none"/>
              </w:rPr>
              <w:t>备份投标文件送达</w:t>
            </w:r>
            <w:r>
              <w:rPr>
                <w:rFonts w:hint="eastAsia" w:hAnsi="宋体" w:cs="宋体"/>
                <w:color w:val="auto"/>
                <w:sz w:val="24"/>
                <w:szCs w:val="24"/>
                <w:highlight w:val="none"/>
              </w:rPr>
              <w:t>截止时间</w:t>
            </w:r>
            <w:r>
              <w:rPr>
                <w:rFonts w:hint="eastAsia" w:hAnsi="宋体" w:cs="宋体"/>
                <w:color w:val="auto"/>
                <w:sz w:val="24"/>
                <w:szCs w:val="24"/>
                <w:highlight w:val="none"/>
                <w:lang w:eastAsia="zh-CN"/>
              </w:rPr>
              <w:t>：</w:t>
            </w:r>
            <w:r>
              <w:rPr>
                <w:rFonts w:hint="eastAsia" w:ascii="宋体" w:hAnsi="宋体" w:eastAsia="宋体" w:cs="宋体"/>
                <w:snapToGrid w:val="0"/>
                <w:color w:val="auto"/>
                <w:kern w:val="2"/>
                <w:sz w:val="24"/>
                <w:szCs w:val="24"/>
                <w:highlight w:val="none"/>
                <w:u w:val="single"/>
                <w:lang w:val="en-US" w:eastAsia="zh-CN" w:bidi="ar-SA"/>
              </w:rPr>
              <w:t>开标</w:t>
            </w:r>
            <w:r>
              <w:rPr>
                <w:rFonts w:hint="eastAsia" w:ascii="宋体" w:hAnsi="宋体" w:cs="宋体"/>
                <w:snapToGrid w:val="0"/>
                <w:color w:val="auto"/>
                <w:kern w:val="2"/>
                <w:sz w:val="24"/>
                <w:szCs w:val="24"/>
                <w:highlight w:val="none"/>
                <w:u w:val="single"/>
                <w:lang w:val="en-US" w:eastAsia="zh-CN" w:bidi="ar-SA"/>
              </w:rPr>
              <w:t>时间前一个工作日的</w:t>
            </w:r>
            <w:r>
              <w:rPr>
                <w:rFonts w:hint="eastAsia" w:ascii="宋体" w:hAnsi="宋体" w:eastAsia="宋体" w:cs="宋体"/>
                <w:snapToGrid w:val="0"/>
                <w:color w:val="auto"/>
                <w:kern w:val="2"/>
                <w:sz w:val="24"/>
                <w:szCs w:val="24"/>
                <w:highlight w:val="none"/>
                <w:u w:val="single"/>
                <w:lang w:val="en-US" w:eastAsia="zh-CN" w:bidi="ar-SA"/>
              </w:rPr>
              <w:t>16:00止。</w:t>
            </w:r>
          </w:p>
          <w:p w14:paraId="400B95A5">
            <w:pPr>
              <w:pStyle w:val="3"/>
              <w:shd w:val="clear"/>
              <w:spacing w:line="360" w:lineRule="auto"/>
              <w:rPr>
                <w:rFonts w:hAnsi="宋体" w:cs="宋体"/>
                <w:color w:val="auto"/>
                <w:kern w:val="28"/>
                <w:sz w:val="24"/>
                <w:highlight w:val="none"/>
              </w:rPr>
            </w:pPr>
            <w:r>
              <w:rPr>
                <w:rFonts w:hint="eastAsia" w:hAnsi="宋体" w:cs="宋体"/>
                <w:color w:val="auto"/>
                <w:kern w:val="28"/>
                <w:sz w:val="24"/>
                <w:szCs w:val="24"/>
                <w:highlight w:val="none"/>
              </w:rPr>
              <w:t>备份投标文件送达地点：</w:t>
            </w:r>
            <w:r>
              <w:rPr>
                <w:rFonts w:hint="eastAsia" w:hAnsi="宋体" w:cs="宋体"/>
                <w:color w:val="auto"/>
                <w:sz w:val="24"/>
                <w:highlight w:val="none"/>
                <w:u w:val="single"/>
              </w:rPr>
              <w:t xml:space="preserve"> 宁波市鄞州区天童南路666号中基大厦19楼业务六部 </w:t>
            </w:r>
            <w:r>
              <w:rPr>
                <w:rFonts w:hint="eastAsia" w:hAnsi="宋体" w:cs="宋体"/>
                <w:color w:val="auto"/>
                <w:kern w:val="28"/>
                <w:sz w:val="24"/>
                <w:szCs w:val="24"/>
                <w:highlight w:val="none"/>
              </w:rPr>
              <w:t>；备份投标文件签收人员联系电话：</w:t>
            </w:r>
            <w:r>
              <w:rPr>
                <w:rFonts w:hint="eastAsia" w:hAnsi="宋体" w:cs="宋体"/>
                <w:color w:val="auto"/>
                <w:sz w:val="24"/>
                <w:highlight w:val="none"/>
                <w:u w:val="single"/>
              </w:rPr>
              <w:t xml:space="preserve"> 0574-</w:t>
            </w:r>
            <w:r>
              <w:rPr>
                <w:rFonts w:hint="eastAsia" w:hAnsi="宋体" w:cs="宋体"/>
                <w:color w:val="auto"/>
                <w:sz w:val="24"/>
                <w:highlight w:val="none"/>
                <w:u w:val="single"/>
                <w:lang w:val="en-US" w:eastAsia="zh-CN"/>
              </w:rPr>
              <w:t>87425583</w:t>
            </w:r>
            <w:r>
              <w:rPr>
                <w:rFonts w:hint="eastAsia" w:hAnsi="宋体" w:cs="宋体"/>
                <w:color w:val="auto"/>
                <w:sz w:val="24"/>
                <w:highlight w:val="none"/>
                <w:u w:val="single"/>
              </w:rPr>
              <w:t xml:space="preserve"> </w:t>
            </w:r>
            <w:r>
              <w:rPr>
                <w:rFonts w:hint="eastAsia" w:hAnsi="宋体" w:cs="宋体"/>
                <w:color w:val="auto"/>
                <w:sz w:val="24"/>
                <w:szCs w:val="24"/>
                <w:highlight w:val="none"/>
              </w:rPr>
              <w:t>。</w:t>
            </w:r>
            <w:r>
              <w:rPr>
                <w:rFonts w:hint="eastAsia" w:hAnsi="宋体" w:cs="宋体"/>
                <w:b/>
                <w:color w:val="auto"/>
                <w:sz w:val="24"/>
                <w:szCs w:val="24"/>
                <w:highlight w:val="none"/>
              </w:rPr>
              <w:t>采购人、</w:t>
            </w:r>
            <w:r>
              <w:rPr>
                <w:rFonts w:hint="eastAsia" w:hAnsi="宋体" w:cs="宋体"/>
                <w:b/>
                <w:color w:val="auto"/>
                <w:sz w:val="24"/>
                <w:szCs w:val="24"/>
                <w:highlight w:val="none"/>
                <w:lang w:eastAsia="zh-CN"/>
              </w:rPr>
              <w:t>采购代理机构</w:t>
            </w:r>
            <w:r>
              <w:rPr>
                <w:rFonts w:hint="eastAsia" w:hAnsi="宋体" w:cs="宋体"/>
                <w:b/>
                <w:color w:val="auto"/>
                <w:sz w:val="24"/>
                <w:szCs w:val="24"/>
                <w:highlight w:val="none"/>
              </w:rPr>
              <w:t>不强制或变相强制投标人提交备份投标文件。</w:t>
            </w:r>
          </w:p>
        </w:tc>
      </w:tr>
      <w:tr w14:paraId="49E38F9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80" w:hRule="atLeast"/>
          <w:tblHeader/>
        </w:trPr>
        <w:tc>
          <w:tcPr>
            <w:tcW w:w="629" w:type="dxa"/>
            <w:tcBorders>
              <w:top w:val="single" w:color="auto" w:sz="4" w:space="0"/>
              <w:left w:val="single" w:color="000000" w:sz="8" w:space="0"/>
              <w:right w:val="single" w:color="000000" w:sz="2" w:space="0"/>
            </w:tcBorders>
            <w:vAlign w:val="center"/>
          </w:tcPr>
          <w:p w14:paraId="5504274C">
            <w:pPr>
              <w:shd w:val="clea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13</w:t>
            </w:r>
          </w:p>
        </w:tc>
        <w:tc>
          <w:tcPr>
            <w:tcW w:w="1843" w:type="dxa"/>
            <w:tcBorders>
              <w:top w:val="single" w:color="000000" w:sz="8" w:space="0"/>
              <w:left w:val="single" w:color="000000" w:sz="2" w:space="0"/>
              <w:right w:val="single" w:color="000000" w:sz="8" w:space="0"/>
            </w:tcBorders>
            <w:vAlign w:val="center"/>
          </w:tcPr>
          <w:p w14:paraId="638DC240">
            <w:pPr>
              <w:shd w:val="clear"/>
              <w:snapToGrid w:val="0"/>
              <w:spacing w:line="360" w:lineRule="auto"/>
              <w:jc w:val="center"/>
              <w:rPr>
                <w:rFonts w:ascii="宋体" w:hAnsi="宋体" w:cs="宋体"/>
                <w:b/>
                <w:color w:val="auto"/>
                <w:sz w:val="24"/>
                <w:highlight w:val="none"/>
              </w:rPr>
            </w:pPr>
            <w:r>
              <w:rPr>
                <w:rFonts w:hint="eastAsia" w:cs="仿宋_GB2312" w:asciiTheme="minorEastAsia" w:hAnsiTheme="minorEastAsia" w:eastAsiaTheme="minorEastAsia"/>
                <w:b/>
                <w:color w:val="auto"/>
                <w:sz w:val="24"/>
                <w:highlight w:val="none"/>
              </w:rPr>
              <w:t>特别说明</w:t>
            </w:r>
          </w:p>
        </w:tc>
        <w:tc>
          <w:tcPr>
            <w:tcW w:w="6095" w:type="dxa"/>
            <w:tcBorders>
              <w:top w:val="single" w:color="000000" w:sz="8" w:space="0"/>
              <w:left w:val="single" w:color="000000" w:sz="2" w:space="0"/>
              <w:bottom w:val="single" w:color="auto" w:sz="4" w:space="0"/>
              <w:right w:val="single" w:color="000000" w:sz="8" w:space="0"/>
            </w:tcBorders>
            <w:vAlign w:val="center"/>
          </w:tcPr>
          <w:p w14:paraId="02C96C68">
            <w:pPr>
              <w:shd w:val="clear"/>
              <w:spacing w:line="360" w:lineRule="auto"/>
              <w:rPr>
                <w:rFonts w:ascii="宋体" w:hAnsi="宋体" w:cs="宋体"/>
                <w:snapToGrid w:val="0"/>
                <w:color w:val="auto"/>
                <w:kern w:val="28"/>
                <w:sz w:val="24"/>
                <w:highlight w:val="none"/>
              </w:rPr>
            </w:pPr>
            <w:sdt>
              <w:sdtPr>
                <w:rPr>
                  <w:rFonts w:hint="eastAsia" w:cs="Arial" w:asciiTheme="minorEastAsia" w:hAnsiTheme="minorEastAsia" w:eastAsiaTheme="minorEastAsia"/>
                  <w:color w:val="auto"/>
                  <w:kern w:val="0"/>
                  <w:sz w:val="24"/>
                  <w:highlight w:val="none"/>
                </w:rPr>
                <w:id w:val="147460108"/>
                <w14:checkbox>
                  <w14:checked w14:val="1"/>
                  <w14:checkedState w14:val="00FE" w14:font="Wingdings"/>
                  <w14:uncheckedState w14:val="2610" w14:font="MS Gothic"/>
                </w14:checkbox>
              </w:sdtPr>
              <w:sdtEndPr>
                <w:rPr>
                  <w:rFonts w:hint="eastAsia" w:cs="Arial" w:asciiTheme="minorEastAsia" w:hAnsiTheme="minorEastAsia" w:eastAsiaTheme="minorEastAsia"/>
                  <w:color w:val="auto"/>
                  <w:kern w:val="0"/>
                  <w:sz w:val="24"/>
                  <w:highlight w:val="none"/>
                </w:rPr>
              </w:sdtEndPr>
              <w:sdtContent>
                <w:r>
                  <w:rPr>
                    <w:rFonts w:hint="eastAsia" w:ascii="Wingdings" w:hAnsi="Wingdings" w:cs="Arial" w:eastAsiaTheme="minorEastAsia"/>
                    <w:color w:val="auto"/>
                    <w:kern w:val="0"/>
                    <w:sz w:val="24"/>
                    <w:szCs w:val="24"/>
                    <w:highlight w:val="none"/>
                    <w:lang w:val="en-US" w:eastAsia="zh-CN" w:bidi="ar-SA"/>
                  </w:rPr>
                  <w:t>þ</w:t>
                </w:r>
              </w:sdtContent>
            </w:sdt>
            <w:r>
              <w:rPr>
                <w:rFonts w:hint="eastAsia" w:ascii="宋体" w:hAnsi="宋体" w:cs="宋体"/>
                <w:snapToGrid w:val="0"/>
                <w:color w:val="auto"/>
                <w:kern w:val="28"/>
                <w:sz w:val="24"/>
                <w:highlight w:val="none"/>
              </w:rPr>
              <w:t>联合体投标的，联合体中有一方或者联合体成员根据分工按招标文件第四部分评标标准要求提供资信证明文件</w:t>
            </w:r>
            <w:r>
              <w:rPr>
                <w:rFonts w:hint="eastAsia" w:ascii="宋体" w:hAnsi="宋体" w:cs="宋体"/>
                <w:snapToGrid w:val="0"/>
                <w:color w:val="auto"/>
                <w:kern w:val="28"/>
                <w:sz w:val="24"/>
                <w:highlight w:val="none"/>
                <w:lang w:eastAsia="zh-CN"/>
              </w:rPr>
              <w:t>（</w:t>
            </w:r>
            <w:r>
              <w:rPr>
                <w:rFonts w:hint="eastAsia" w:ascii="宋体" w:hAnsi="宋体" w:cs="宋体"/>
                <w:snapToGrid w:val="0"/>
                <w:color w:val="auto"/>
                <w:kern w:val="28"/>
                <w:sz w:val="24"/>
                <w:highlight w:val="none"/>
                <w:lang w:val="en-US" w:eastAsia="zh-CN"/>
              </w:rPr>
              <w:t>含业绩证明材料</w:t>
            </w:r>
            <w:r>
              <w:rPr>
                <w:rFonts w:hint="eastAsia" w:ascii="宋体" w:hAnsi="宋体" w:cs="宋体"/>
                <w:snapToGrid w:val="0"/>
                <w:color w:val="auto"/>
                <w:kern w:val="28"/>
                <w:sz w:val="24"/>
                <w:highlight w:val="none"/>
                <w:lang w:eastAsia="zh-CN"/>
              </w:rPr>
              <w:t>）</w:t>
            </w:r>
            <w:r>
              <w:rPr>
                <w:rFonts w:hint="eastAsia" w:ascii="宋体" w:hAnsi="宋体" w:cs="宋体"/>
                <w:snapToGrid w:val="0"/>
                <w:color w:val="auto"/>
                <w:kern w:val="28"/>
                <w:sz w:val="24"/>
                <w:highlight w:val="none"/>
              </w:rPr>
              <w:t>的，视为符合了相关要求。</w:t>
            </w:r>
          </w:p>
        </w:tc>
      </w:tr>
      <w:tr w14:paraId="0FFC879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3E5579BA">
            <w:pPr>
              <w:shd w:val="clear"/>
              <w:snapToGrid w:val="0"/>
              <w:spacing w:line="360" w:lineRule="auto"/>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14</w:t>
            </w:r>
          </w:p>
        </w:tc>
        <w:tc>
          <w:tcPr>
            <w:tcW w:w="1843" w:type="dxa"/>
            <w:tcBorders>
              <w:top w:val="single" w:color="auto" w:sz="4" w:space="0"/>
              <w:left w:val="single" w:color="auto" w:sz="4" w:space="0"/>
              <w:bottom w:val="single" w:color="auto" w:sz="4" w:space="0"/>
              <w:right w:val="single" w:color="auto" w:sz="4" w:space="0"/>
            </w:tcBorders>
            <w:vAlign w:val="center"/>
          </w:tcPr>
          <w:p w14:paraId="1FCCF6D9">
            <w:pPr>
              <w:shd w:val="clea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lang w:val="en-US" w:eastAsia="zh-CN"/>
              </w:rPr>
              <w:t>中标</w:t>
            </w:r>
            <w:r>
              <w:rPr>
                <w:rFonts w:hint="eastAsia" w:ascii="宋体" w:hAnsi="宋体" w:cs="宋体"/>
                <w:b/>
                <w:color w:val="auto"/>
                <w:sz w:val="24"/>
                <w:highlight w:val="none"/>
              </w:rPr>
              <w:t>服务费</w:t>
            </w:r>
          </w:p>
        </w:tc>
        <w:tc>
          <w:tcPr>
            <w:tcW w:w="6095" w:type="dxa"/>
            <w:tcBorders>
              <w:top w:val="single" w:color="auto" w:sz="4" w:space="0"/>
              <w:left w:val="single" w:color="auto" w:sz="4" w:space="0"/>
              <w:bottom w:val="single" w:color="auto" w:sz="4" w:space="0"/>
              <w:right w:val="single" w:color="auto" w:sz="4" w:space="0"/>
            </w:tcBorders>
            <w:vAlign w:val="center"/>
          </w:tcPr>
          <w:p w14:paraId="5B0ED97D">
            <w:pPr>
              <w:shd w:val="clear"/>
              <w:spacing w:line="360" w:lineRule="auto"/>
              <w:rPr>
                <w:rFonts w:hint="eastAsia" w:cs="Arial" w:asciiTheme="minorEastAsia" w:hAnsiTheme="minorEastAsia" w:eastAsiaTheme="minorEastAsia"/>
                <w:color w:val="auto"/>
                <w:kern w:val="0"/>
                <w:sz w:val="24"/>
                <w:highlight w:val="none"/>
                <w:lang w:val="en-US" w:eastAsia="zh-CN"/>
              </w:rPr>
            </w:pPr>
            <w:r>
              <w:rPr>
                <w:rFonts w:hint="eastAsia" w:cs="Arial" w:asciiTheme="minorEastAsia" w:hAnsiTheme="minorEastAsia" w:eastAsiaTheme="minorEastAsia"/>
                <w:color w:val="auto"/>
                <w:kern w:val="0"/>
                <w:sz w:val="24"/>
                <w:highlight w:val="none"/>
                <w:lang w:val="en-US" w:eastAsia="zh-CN"/>
              </w:rPr>
              <w:t>采购代理按下表中服务招标标准（按差额定率累进法计算），根据各标项预算金额，向中标人收取中标服务费。</w:t>
            </w:r>
          </w:p>
          <w:tbl>
            <w:tblPr>
              <w:tblStyle w:val="6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
            <w:tblGrid>
              <w:gridCol w:w="3300"/>
              <w:gridCol w:w="832"/>
              <w:gridCol w:w="859"/>
              <w:gridCol w:w="838"/>
            </w:tblGrid>
            <w:tr w14:paraId="2F7DA6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829" w:hRule="atLeast"/>
                <w:jc w:val="center"/>
              </w:trPr>
              <w:tc>
                <w:tcPr>
                  <w:tcW w:w="3300" w:type="dxa"/>
                  <w:tcBorders>
                    <w:tl2br w:val="single" w:color="auto" w:sz="4" w:space="0"/>
                  </w:tcBorders>
                  <w:noWrap w:val="0"/>
                  <w:tcMar>
                    <w:top w:w="30" w:type="dxa"/>
                    <w:left w:w="150" w:type="dxa"/>
                    <w:bottom w:w="30" w:type="dxa"/>
                    <w:right w:w="150" w:type="dxa"/>
                  </w:tcMar>
                  <w:vAlign w:val="center"/>
                  <mc:AlternateContent>
                    <mc:Choice Requires="wpsCustomData">
                      <wpsCustomData:diagonals>
                        <wpsCustomData:diagonal from="30000" to="15200">
                          <wpsCustomData:border w:val="single" w:color="auto" w:sz="4" w:space="0"/>
                        </wpsCustomData:diagonal>
                        <wpsCustomData:diagonal from="10000" to="30000">
                          <wpsCustomData:border w:val="single" w:color="auto" w:sz="4" w:space="0"/>
                        </wpsCustomData:diagonal>
                      </wpsCustomData:diagonals>
                    </mc:Choice>
                  </mc:AlternateContent>
                </w:tcPr>
                <w:p w14:paraId="7C940EBF">
                  <w:pPr>
                    <w:shd w:val="clear"/>
                    <w:spacing w:line="360" w:lineRule="auto"/>
                    <w:rPr>
                      <w:rFonts w:hint="eastAsia" w:cs="Arial" w:asciiTheme="minorEastAsia" w:hAnsiTheme="minorEastAsia" w:eastAsiaTheme="minorEastAsia"/>
                      <w:color w:val="auto"/>
                      <w:kern w:val="0"/>
                      <w:sz w:val="21"/>
                      <w:szCs w:val="21"/>
                      <w:highlight w:val="none"/>
                    </w:rPr>
                  </w:pPr>
                </w:p>
                <w:p w14:paraId="662906AE">
                  <w:pPr>
                    <w:shd w:val="clear"/>
                    <w:spacing w:line="360" w:lineRule="auto"/>
                    <w:rPr>
                      <w:rFonts w:hint="eastAsia" w:cs="Arial" w:asciiTheme="minorEastAsia" w:hAnsiTheme="minorEastAsia" w:eastAsiaTheme="minorEastAsia"/>
                      <w:color w:val="auto"/>
                      <w:kern w:val="0"/>
                      <w:sz w:val="21"/>
                      <w:szCs w:val="21"/>
                      <w:highlight w:val="none"/>
                    </w:rPr>
                  </w:pPr>
                  <w:r>
                    <w:rPr>
                      <w:rFonts w:hint="eastAsia" w:cs="Arial" w:asciiTheme="minorEastAsia" w:hAnsiTheme="minorEastAsia" w:eastAsiaTheme="minorEastAsia"/>
                      <w:color w:val="auto"/>
                      <w:kern w:val="0"/>
                      <w:sz w:val="21"/>
                      <w:szCs w:val="21"/>
                      <w:highlight w:val="none"/>
                    </w:rPr>
                    <w:t>金额</w:t>
                  </w:r>
                </w:p>
                <w:p w14:paraId="4F849A00">
                  <w:pPr>
                    <w:shd w:val="clear"/>
                    <w:spacing w:line="360" w:lineRule="auto"/>
                    <mc:AlternateContent>
                      <mc:Choice Requires="wpsCustomData">
                        <wpsCustomData:diagonalParaType/>
                      </mc:Choice>
                    </mc:AlternateContent>
                    <w:rPr>
                      <w:rFonts w:hint="eastAsia" w:cs="Arial" w:asciiTheme="minorEastAsia" w:hAnsiTheme="minorEastAsia" w:eastAsiaTheme="minorEastAsia"/>
                      <w:color w:val="auto"/>
                      <w:kern w:val="0"/>
                      <w:sz w:val="21"/>
                      <w:szCs w:val="21"/>
                      <w:highlight w:val="none"/>
                    </w:rPr>
                  </w:pPr>
                  <w:r>
                    <w:rPr>
                      <w:rFonts w:hint="eastAsia" w:cs="Arial" w:asciiTheme="minorEastAsia" w:hAnsiTheme="minorEastAsia" w:eastAsiaTheme="minorEastAsia"/>
                      <w:color w:val="auto"/>
                      <w:kern w:val="0"/>
                      <w:sz w:val="21"/>
                      <w:szCs w:val="21"/>
                      <w:highlight w:val="none"/>
                    </w:rPr>
                    <w:t>（万元）</w:t>
                  </w:r>
                </w:p>
                <w:p w14:paraId="4CD68534">
                  <w:pPr>
                    <w:shd w:val="clear"/>
                    <w:spacing w:line="360" w:lineRule="auto"/>
                    <mc:AlternateContent>
                      <mc:Choice Requires="wpsCustomData">
                        <wpsCustomData:diagonalParaType/>
                      </mc:Choice>
                    </mc:AlternateContent>
                    <w:rPr>
                      <w:rFonts w:hint="eastAsia" w:cs="Arial" w:asciiTheme="minorEastAsia" w:hAnsiTheme="minorEastAsia" w:eastAsiaTheme="minorEastAsia"/>
                      <w:color w:val="auto"/>
                      <w:kern w:val="0"/>
                      <w:sz w:val="21"/>
                      <w:szCs w:val="21"/>
                      <w:highlight w:val="none"/>
                    </w:rPr>
                  </w:pPr>
                  <w:r>
                    <w:rPr>
                      <w:rFonts w:hint="eastAsia" w:cs="Arial" w:asciiTheme="minorEastAsia" w:hAnsiTheme="minorEastAsia" w:eastAsiaTheme="minorEastAsia"/>
                      <w:color w:val="auto"/>
                      <w:kern w:val="0"/>
                      <w:sz w:val="21"/>
                      <w:szCs w:val="21"/>
                      <w:highlight w:val="none"/>
                    </w:rPr>
                    <w:t>费率</w:t>
                  </w:r>
                </w:p>
                <w:p w14:paraId="66851F1E">
                  <w:pPr>
                    <w:shd w:val="clear"/>
                    <w:spacing w:line="360" w:lineRule="auto"/>
                    <w:rPr>
                      <w:rFonts w:hint="eastAsia" w:cs="Arial" w:asciiTheme="minorEastAsia" w:hAnsiTheme="minorEastAsia" w:eastAsiaTheme="minorEastAsia"/>
                      <w:color w:val="auto"/>
                      <w:kern w:val="0"/>
                      <w:sz w:val="21"/>
                      <w:szCs w:val="21"/>
                      <w:highlight w:val="none"/>
                    </w:rPr>
                  </w:pPr>
                  <w:r>
                    <w:rPr>
                      <w:rFonts w:hint="eastAsia" w:cs="Arial" w:asciiTheme="minorEastAsia" w:hAnsiTheme="minorEastAsia" w:eastAsiaTheme="minorEastAsia"/>
                      <w:color w:val="auto"/>
                      <w:kern w:val="0"/>
                      <w:sz w:val="21"/>
                      <w:szCs w:val="21"/>
                      <w:highlight w:val="none"/>
                    </w:rPr>
                    <w:t>服务类型</w:t>
                  </w:r>
                </w:p>
              </w:tc>
              <w:tc>
                <w:tcPr>
                  <w:tcW w:w="832" w:type="dxa"/>
                  <w:noWrap w:val="0"/>
                  <w:tcMar>
                    <w:top w:w="30" w:type="dxa"/>
                    <w:left w:w="150" w:type="dxa"/>
                    <w:bottom w:w="30" w:type="dxa"/>
                    <w:right w:w="150" w:type="dxa"/>
                  </w:tcMar>
                  <w:vAlign w:val="center"/>
                </w:tcPr>
                <w:p w14:paraId="512E7090">
                  <w:pPr>
                    <w:shd w:val="clear"/>
                    <w:spacing w:line="360" w:lineRule="auto"/>
                    <w:rPr>
                      <w:rFonts w:hint="eastAsia" w:cs="Arial" w:asciiTheme="minorEastAsia" w:hAnsiTheme="minorEastAsia" w:eastAsiaTheme="minorEastAsia"/>
                      <w:color w:val="auto"/>
                      <w:kern w:val="0"/>
                      <w:sz w:val="21"/>
                      <w:szCs w:val="21"/>
                      <w:highlight w:val="none"/>
                    </w:rPr>
                  </w:pPr>
                  <w:r>
                    <w:rPr>
                      <w:rFonts w:hint="eastAsia" w:cs="Arial" w:asciiTheme="minorEastAsia" w:hAnsiTheme="minorEastAsia" w:eastAsiaTheme="minorEastAsia"/>
                      <w:color w:val="auto"/>
                      <w:kern w:val="0"/>
                      <w:sz w:val="21"/>
                      <w:szCs w:val="21"/>
                      <w:highlight w:val="none"/>
                    </w:rPr>
                    <w:t>货物</w:t>
                  </w:r>
                </w:p>
                <w:p w14:paraId="57684A7A">
                  <w:pPr>
                    <w:shd w:val="clear"/>
                    <w:spacing w:line="360" w:lineRule="auto"/>
                    <w:rPr>
                      <w:rFonts w:hint="eastAsia" w:cs="Arial" w:asciiTheme="minorEastAsia" w:hAnsiTheme="minorEastAsia" w:eastAsiaTheme="minorEastAsia"/>
                      <w:color w:val="auto"/>
                      <w:kern w:val="0"/>
                      <w:sz w:val="21"/>
                      <w:szCs w:val="21"/>
                      <w:highlight w:val="none"/>
                    </w:rPr>
                  </w:pPr>
                  <w:r>
                    <w:rPr>
                      <w:rFonts w:hint="eastAsia" w:cs="Arial" w:asciiTheme="minorEastAsia" w:hAnsiTheme="minorEastAsia" w:eastAsiaTheme="minorEastAsia"/>
                      <w:color w:val="auto"/>
                      <w:kern w:val="0"/>
                      <w:sz w:val="21"/>
                      <w:szCs w:val="21"/>
                      <w:highlight w:val="none"/>
                    </w:rPr>
                    <w:t>招标</w:t>
                  </w:r>
                </w:p>
              </w:tc>
              <w:tc>
                <w:tcPr>
                  <w:tcW w:w="859" w:type="dxa"/>
                  <w:noWrap w:val="0"/>
                  <w:tcMar>
                    <w:top w:w="30" w:type="dxa"/>
                    <w:left w:w="150" w:type="dxa"/>
                    <w:bottom w:w="30" w:type="dxa"/>
                    <w:right w:w="150" w:type="dxa"/>
                  </w:tcMar>
                  <w:vAlign w:val="center"/>
                </w:tcPr>
                <w:p w14:paraId="259BC2E0">
                  <w:pPr>
                    <w:shd w:val="clear"/>
                    <w:spacing w:line="360" w:lineRule="auto"/>
                    <w:rPr>
                      <w:rFonts w:hint="eastAsia" w:cs="Arial" w:asciiTheme="minorEastAsia" w:hAnsiTheme="minorEastAsia" w:eastAsiaTheme="minorEastAsia"/>
                      <w:color w:val="auto"/>
                      <w:kern w:val="0"/>
                      <w:sz w:val="21"/>
                      <w:szCs w:val="21"/>
                      <w:highlight w:val="none"/>
                    </w:rPr>
                  </w:pPr>
                  <w:r>
                    <w:rPr>
                      <w:rFonts w:hint="eastAsia" w:cs="Arial" w:asciiTheme="minorEastAsia" w:hAnsiTheme="minorEastAsia" w:eastAsiaTheme="minorEastAsia"/>
                      <w:color w:val="auto"/>
                      <w:kern w:val="0"/>
                      <w:sz w:val="21"/>
                      <w:szCs w:val="21"/>
                      <w:highlight w:val="none"/>
                    </w:rPr>
                    <w:t>服务</w:t>
                  </w:r>
                </w:p>
                <w:p w14:paraId="5E8CC960">
                  <w:pPr>
                    <w:shd w:val="clear"/>
                    <w:spacing w:line="360" w:lineRule="auto"/>
                    <w:rPr>
                      <w:rFonts w:hint="eastAsia" w:cs="Arial" w:asciiTheme="minorEastAsia" w:hAnsiTheme="minorEastAsia" w:eastAsiaTheme="minorEastAsia"/>
                      <w:color w:val="auto"/>
                      <w:kern w:val="0"/>
                      <w:sz w:val="21"/>
                      <w:szCs w:val="21"/>
                      <w:highlight w:val="none"/>
                    </w:rPr>
                  </w:pPr>
                  <w:r>
                    <w:rPr>
                      <w:rFonts w:hint="eastAsia" w:cs="Arial" w:asciiTheme="minorEastAsia" w:hAnsiTheme="minorEastAsia" w:eastAsiaTheme="minorEastAsia"/>
                      <w:color w:val="auto"/>
                      <w:kern w:val="0"/>
                      <w:sz w:val="21"/>
                      <w:szCs w:val="21"/>
                      <w:highlight w:val="none"/>
                    </w:rPr>
                    <w:t>招标</w:t>
                  </w:r>
                </w:p>
              </w:tc>
              <w:tc>
                <w:tcPr>
                  <w:tcW w:w="838" w:type="dxa"/>
                  <w:noWrap w:val="0"/>
                  <w:tcMar>
                    <w:top w:w="30" w:type="dxa"/>
                    <w:left w:w="150" w:type="dxa"/>
                    <w:bottom w:w="30" w:type="dxa"/>
                    <w:right w:w="150" w:type="dxa"/>
                  </w:tcMar>
                  <w:vAlign w:val="center"/>
                </w:tcPr>
                <w:p w14:paraId="06C401A5">
                  <w:pPr>
                    <w:shd w:val="clear"/>
                    <w:spacing w:line="360" w:lineRule="auto"/>
                    <w:rPr>
                      <w:rFonts w:hint="eastAsia" w:cs="Arial" w:asciiTheme="minorEastAsia" w:hAnsiTheme="minorEastAsia" w:eastAsiaTheme="minorEastAsia"/>
                      <w:color w:val="auto"/>
                      <w:kern w:val="0"/>
                      <w:sz w:val="21"/>
                      <w:szCs w:val="21"/>
                      <w:highlight w:val="none"/>
                    </w:rPr>
                  </w:pPr>
                  <w:r>
                    <w:rPr>
                      <w:rFonts w:hint="eastAsia" w:cs="Arial" w:asciiTheme="minorEastAsia" w:hAnsiTheme="minorEastAsia" w:eastAsiaTheme="minorEastAsia"/>
                      <w:color w:val="auto"/>
                      <w:kern w:val="0"/>
                      <w:sz w:val="21"/>
                      <w:szCs w:val="21"/>
                      <w:highlight w:val="none"/>
                    </w:rPr>
                    <w:t>工程</w:t>
                  </w:r>
                </w:p>
                <w:p w14:paraId="07CD68AA">
                  <w:pPr>
                    <w:shd w:val="clear"/>
                    <w:spacing w:line="360" w:lineRule="auto"/>
                    <w:rPr>
                      <w:rFonts w:hint="eastAsia" w:cs="Arial" w:asciiTheme="minorEastAsia" w:hAnsiTheme="minorEastAsia" w:eastAsiaTheme="minorEastAsia"/>
                      <w:color w:val="auto"/>
                      <w:kern w:val="0"/>
                      <w:sz w:val="21"/>
                      <w:szCs w:val="21"/>
                      <w:highlight w:val="none"/>
                    </w:rPr>
                  </w:pPr>
                  <w:r>
                    <w:rPr>
                      <w:rFonts w:hint="eastAsia" w:cs="Arial" w:asciiTheme="minorEastAsia" w:hAnsiTheme="minorEastAsia" w:eastAsiaTheme="minorEastAsia"/>
                      <w:color w:val="auto"/>
                      <w:kern w:val="0"/>
                      <w:sz w:val="21"/>
                      <w:szCs w:val="21"/>
                      <w:highlight w:val="none"/>
                    </w:rPr>
                    <w:t>招标</w:t>
                  </w:r>
                </w:p>
              </w:tc>
            </w:tr>
            <w:tr w14:paraId="650A00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290" w:hRule="atLeast"/>
                <w:jc w:val="center"/>
              </w:trPr>
              <w:tc>
                <w:tcPr>
                  <w:tcW w:w="3300" w:type="dxa"/>
                  <w:noWrap w:val="0"/>
                  <w:tcMar>
                    <w:top w:w="30" w:type="dxa"/>
                    <w:left w:w="150" w:type="dxa"/>
                    <w:bottom w:w="30" w:type="dxa"/>
                    <w:right w:w="150" w:type="dxa"/>
                  </w:tcMar>
                  <w:vAlign w:val="center"/>
                </w:tcPr>
                <w:p w14:paraId="74CB1357">
                  <w:pPr>
                    <w:shd w:val="clear"/>
                    <w:spacing w:line="360" w:lineRule="auto"/>
                    <w:rPr>
                      <w:rFonts w:hint="eastAsia" w:cs="Arial" w:asciiTheme="minorEastAsia" w:hAnsiTheme="minorEastAsia" w:eastAsiaTheme="minorEastAsia"/>
                      <w:color w:val="auto"/>
                      <w:kern w:val="0"/>
                      <w:sz w:val="21"/>
                      <w:szCs w:val="21"/>
                      <w:highlight w:val="none"/>
                    </w:rPr>
                  </w:pPr>
                  <w:r>
                    <w:rPr>
                      <w:rFonts w:hint="eastAsia" w:cs="Arial" w:asciiTheme="minorEastAsia" w:hAnsiTheme="minorEastAsia" w:eastAsiaTheme="minorEastAsia"/>
                      <w:color w:val="auto"/>
                      <w:kern w:val="0"/>
                      <w:sz w:val="21"/>
                      <w:szCs w:val="21"/>
                      <w:highlight w:val="none"/>
                    </w:rPr>
                    <w:t>100以下</w:t>
                  </w:r>
                </w:p>
              </w:tc>
              <w:tc>
                <w:tcPr>
                  <w:tcW w:w="832" w:type="dxa"/>
                  <w:noWrap w:val="0"/>
                  <w:tcMar>
                    <w:top w:w="30" w:type="dxa"/>
                    <w:left w:w="150" w:type="dxa"/>
                    <w:bottom w:w="30" w:type="dxa"/>
                    <w:right w:w="150" w:type="dxa"/>
                  </w:tcMar>
                  <w:vAlign w:val="center"/>
                </w:tcPr>
                <w:p w14:paraId="60044471">
                  <w:pPr>
                    <w:shd w:val="clear"/>
                    <w:spacing w:line="360" w:lineRule="auto"/>
                    <w:rPr>
                      <w:rFonts w:hint="eastAsia" w:cs="Arial" w:asciiTheme="minorEastAsia" w:hAnsiTheme="minorEastAsia" w:eastAsiaTheme="minorEastAsia"/>
                      <w:color w:val="auto"/>
                      <w:kern w:val="0"/>
                      <w:sz w:val="21"/>
                      <w:szCs w:val="21"/>
                      <w:highlight w:val="none"/>
                    </w:rPr>
                  </w:pPr>
                  <w:r>
                    <w:rPr>
                      <w:rFonts w:hint="eastAsia" w:cs="Arial" w:asciiTheme="minorEastAsia" w:hAnsiTheme="minorEastAsia" w:eastAsiaTheme="minorEastAsia"/>
                      <w:color w:val="auto"/>
                      <w:kern w:val="0"/>
                      <w:sz w:val="21"/>
                      <w:szCs w:val="21"/>
                      <w:highlight w:val="none"/>
                    </w:rPr>
                    <w:t>1.5%</w:t>
                  </w:r>
                </w:p>
              </w:tc>
              <w:tc>
                <w:tcPr>
                  <w:tcW w:w="859" w:type="dxa"/>
                  <w:noWrap w:val="0"/>
                  <w:tcMar>
                    <w:top w:w="30" w:type="dxa"/>
                    <w:left w:w="150" w:type="dxa"/>
                    <w:bottom w:w="30" w:type="dxa"/>
                    <w:right w:w="150" w:type="dxa"/>
                  </w:tcMar>
                  <w:vAlign w:val="center"/>
                </w:tcPr>
                <w:p w14:paraId="0BDAA2EA">
                  <w:pPr>
                    <w:shd w:val="clear"/>
                    <w:spacing w:line="360" w:lineRule="auto"/>
                    <w:rPr>
                      <w:rFonts w:hint="eastAsia" w:cs="Arial" w:asciiTheme="minorEastAsia" w:hAnsiTheme="minorEastAsia" w:eastAsiaTheme="minorEastAsia"/>
                      <w:color w:val="auto"/>
                      <w:kern w:val="0"/>
                      <w:sz w:val="21"/>
                      <w:szCs w:val="21"/>
                      <w:highlight w:val="none"/>
                    </w:rPr>
                  </w:pPr>
                  <w:r>
                    <w:rPr>
                      <w:rFonts w:hint="eastAsia" w:cs="Arial" w:asciiTheme="minorEastAsia" w:hAnsiTheme="minorEastAsia" w:eastAsiaTheme="minorEastAsia"/>
                      <w:color w:val="auto"/>
                      <w:kern w:val="0"/>
                      <w:sz w:val="21"/>
                      <w:szCs w:val="21"/>
                      <w:highlight w:val="none"/>
                    </w:rPr>
                    <w:t>1.5%</w:t>
                  </w:r>
                </w:p>
              </w:tc>
              <w:tc>
                <w:tcPr>
                  <w:tcW w:w="838" w:type="dxa"/>
                  <w:noWrap w:val="0"/>
                  <w:tcMar>
                    <w:top w:w="30" w:type="dxa"/>
                    <w:left w:w="150" w:type="dxa"/>
                    <w:bottom w:w="30" w:type="dxa"/>
                    <w:right w:w="150" w:type="dxa"/>
                  </w:tcMar>
                  <w:vAlign w:val="center"/>
                </w:tcPr>
                <w:p w14:paraId="131F4D8F">
                  <w:pPr>
                    <w:shd w:val="clear"/>
                    <w:spacing w:line="360" w:lineRule="auto"/>
                    <w:rPr>
                      <w:rFonts w:hint="eastAsia" w:cs="Arial" w:asciiTheme="minorEastAsia" w:hAnsiTheme="minorEastAsia" w:eastAsiaTheme="minorEastAsia"/>
                      <w:color w:val="auto"/>
                      <w:kern w:val="0"/>
                      <w:sz w:val="21"/>
                      <w:szCs w:val="21"/>
                      <w:highlight w:val="none"/>
                    </w:rPr>
                  </w:pPr>
                  <w:r>
                    <w:rPr>
                      <w:rFonts w:hint="eastAsia" w:cs="Arial" w:asciiTheme="minorEastAsia" w:hAnsiTheme="minorEastAsia" w:eastAsiaTheme="minorEastAsia"/>
                      <w:color w:val="auto"/>
                      <w:kern w:val="0"/>
                      <w:sz w:val="21"/>
                      <w:szCs w:val="21"/>
                      <w:highlight w:val="none"/>
                    </w:rPr>
                    <w:t>1.0%</w:t>
                  </w:r>
                </w:p>
              </w:tc>
            </w:tr>
            <w:tr w14:paraId="0C2337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290" w:hRule="atLeast"/>
                <w:jc w:val="center"/>
              </w:trPr>
              <w:tc>
                <w:tcPr>
                  <w:tcW w:w="3300" w:type="dxa"/>
                  <w:noWrap w:val="0"/>
                  <w:tcMar>
                    <w:top w:w="30" w:type="dxa"/>
                    <w:left w:w="150" w:type="dxa"/>
                    <w:bottom w:w="30" w:type="dxa"/>
                    <w:right w:w="150" w:type="dxa"/>
                  </w:tcMar>
                  <w:vAlign w:val="center"/>
                </w:tcPr>
                <w:p w14:paraId="5F893D4B">
                  <w:pPr>
                    <w:shd w:val="clear"/>
                    <w:spacing w:line="360" w:lineRule="auto"/>
                    <w:rPr>
                      <w:rFonts w:hint="eastAsia" w:cs="Arial" w:asciiTheme="minorEastAsia" w:hAnsiTheme="minorEastAsia" w:eastAsiaTheme="minorEastAsia"/>
                      <w:color w:val="auto"/>
                      <w:kern w:val="0"/>
                      <w:sz w:val="21"/>
                      <w:szCs w:val="21"/>
                      <w:highlight w:val="none"/>
                    </w:rPr>
                  </w:pPr>
                  <w:r>
                    <w:rPr>
                      <w:rFonts w:hint="eastAsia" w:cs="Arial" w:asciiTheme="minorEastAsia" w:hAnsiTheme="minorEastAsia" w:eastAsiaTheme="minorEastAsia"/>
                      <w:color w:val="auto"/>
                      <w:kern w:val="0"/>
                      <w:sz w:val="21"/>
                      <w:szCs w:val="21"/>
                      <w:highlight w:val="none"/>
                    </w:rPr>
                    <w:t>100-500</w:t>
                  </w:r>
                </w:p>
              </w:tc>
              <w:tc>
                <w:tcPr>
                  <w:tcW w:w="832" w:type="dxa"/>
                  <w:noWrap w:val="0"/>
                  <w:tcMar>
                    <w:top w:w="30" w:type="dxa"/>
                    <w:left w:w="150" w:type="dxa"/>
                    <w:bottom w:w="30" w:type="dxa"/>
                    <w:right w:w="150" w:type="dxa"/>
                  </w:tcMar>
                  <w:vAlign w:val="center"/>
                </w:tcPr>
                <w:p w14:paraId="4654D6A1">
                  <w:pPr>
                    <w:shd w:val="clear"/>
                    <w:spacing w:line="360" w:lineRule="auto"/>
                    <w:rPr>
                      <w:rFonts w:hint="eastAsia" w:cs="Arial" w:asciiTheme="minorEastAsia" w:hAnsiTheme="minorEastAsia" w:eastAsiaTheme="minorEastAsia"/>
                      <w:color w:val="auto"/>
                      <w:kern w:val="0"/>
                      <w:sz w:val="21"/>
                      <w:szCs w:val="21"/>
                      <w:highlight w:val="none"/>
                    </w:rPr>
                  </w:pPr>
                  <w:r>
                    <w:rPr>
                      <w:rFonts w:hint="eastAsia" w:cs="Arial" w:asciiTheme="minorEastAsia" w:hAnsiTheme="minorEastAsia" w:eastAsiaTheme="minorEastAsia"/>
                      <w:color w:val="auto"/>
                      <w:kern w:val="0"/>
                      <w:sz w:val="21"/>
                      <w:szCs w:val="21"/>
                      <w:highlight w:val="none"/>
                    </w:rPr>
                    <w:t>1.1%</w:t>
                  </w:r>
                </w:p>
              </w:tc>
              <w:tc>
                <w:tcPr>
                  <w:tcW w:w="859" w:type="dxa"/>
                  <w:noWrap w:val="0"/>
                  <w:tcMar>
                    <w:top w:w="30" w:type="dxa"/>
                    <w:left w:w="150" w:type="dxa"/>
                    <w:bottom w:w="30" w:type="dxa"/>
                    <w:right w:w="150" w:type="dxa"/>
                  </w:tcMar>
                  <w:vAlign w:val="center"/>
                </w:tcPr>
                <w:p w14:paraId="7835943F">
                  <w:pPr>
                    <w:shd w:val="clear"/>
                    <w:spacing w:line="360" w:lineRule="auto"/>
                    <w:rPr>
                      <w:rFonts w:hint="eastAsia" w:cs="Arial" w:asciiTheme="minorEastAsia" w:hAnsiTheme="minorEastAsia" w:eastAsiaTheme="minorEastAsia"/>
                      <w:color w:val="auto"/>
                      <w:kern w:val="0"/>
                      <w:sz w:val="21"/>
                      <w:szCs w:val="21"/>
                      <w:highlight w:val="none"/>
                    </w:rPr>
                  </w:pPr>
                  <w:r>
                    <w:rPr>
                      <w:rFonts w:hint="eastAsia" w:cs="Arial" w:asciiTheme="minorEastAsia" w:hAnsiTheme="minorEastAsia" w:eastAsiaTheme="minorEastAsia"/>
                      <w:color w:val="auto"/>
                      <w:kern w:val="0"/>
                      <w:sz w:val="21"/>
                      <w:szCs w:val="21"/>
                      <w:highlight w:val="none"/>
                    </w:rPr>
                    <w:t>0.8%</w:t>
                  </w:r>
                </w:p>
              </w:tc>
              <w:tc>
                <w:tcPr>
                  <w:tcW w:w="838" w:type="dxa"/>
                  <w:noWrap w:val="0"/>
                  <w:tcMar>
                    <w:top w:w="30" w:type="dxa"/>
                    <w:left w:w="150" w:type="dxa"/>
                    <w:bottom w:w="30" w:type="dxa"/>
                    <w:right w:w="150" w:type="dxa"/>
                  </w:tcMar>
                  <w:vAlign w:val="center"/>
                </w:tcPr>
                <w:p w14:paraId="3BEEE97C">
                  <w:pPr>
                    <w:shd w:val="clear"/>
                    <w:spacing w:line="360" w:lineRule="auto"/>
                    <w:rPr>
                      <w:rFonts w:hint="eastAsia" w:cs="Arial" w:asciiTheme="minorEastAsia" w:hAnsiTheme="minorEastAsia" w:eastAsiaTheme="minorEastAsia"/>
                      <w:color w:val="auto"/>
                      <w:kern w:val="0"/>
                      <w:sz w:val="21"/>
                      <w:szCs w:val="21"/>
                      <w:highlight w:val="none"/>
                    </w:rPr>
                  </w:pPr>
                  <w:r>
                    <w:rPr>
                      <w:rFonts w:hint="eastAsia" w:cs="Arial" w:asciiTheme="minorEastAsia" w:hAnsiTheme="minorEastAsia" w:eastAsiaTheme="minorEastAsia"/>
                      <w:color w:val="auto"/>
                      <w:kern w:val="0"/>
                      <w:sz w:val="21"/>
                      <w:szCs w:val="21"/>
                      <w:highlight w:val="none"/>
                    </w:rPr>
                    <w:t>0.7%</w:t>
                  </w:r>
                </w:p>
              </w:tc>
            </w:tr>
            <w:tr w14:paraId="318AF3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290" w:hRule="atLeast"/>
                <w:jc w:val="center"/>
              </w:trPr>
              <w:tc>
                <w:tcPr>
                  <w:tcW w:w="3300" w:type="dxa"/>
                  <w:noWrap w:val="0"/>
                  <w:tcMar>
                    <w:top w:w="30" w:type="dxa"/>
                    <w:left w:w="150" w:type="dxa"/>
                    <w:bottom w:w="30" w:type="dxa"/>
                    <w:right w:w="150" w:type="dxa"/>
                  </w:tcMar>
                  <w:vAlign w:val="center"/>
                </w:tcPr>
                <w:p w14:paraId="72FB7124">
                  <w:pPr>
                    <w:shd w:val="clear"/>
                    <w:spacing w:line="360" w:lineRule="auto"/>
                    <w:rPr>
                      <w:rFonts w:hint="eastAsia" w:cs="Arial" w:asciiTheme="minorEastAsia" w:hAnsiTheme="minorEastAsia" w:eastAsiaTheme="minorEastAsia"/>
                      <w:color w:val="auto"/>
                      <w:kern w:val="0"/>
                      <w:sz w:val="21"/>
                      <w:szCs w:val="21"/>
                      <w:highlight w:val="none"/>
                    </w:rPr>
                  </w:pPr>
                  <w:r>
                    <w:rPr>
                      <w:rFonts w:hint="eastAsia" w:cs="Arial" w:asciiTheme="minorEastAsia" w:hAnsiTheme="minorEastAsia" w:eastAsiaTheme="minorEastAsia"/>
                      <w:color w:val="auto"/>
                      <w:kern w:val="0"/>
                      <w:sz w:val="21"/>
                      <w:szCs w:val="21"/>
                      <w:highlight w:val="none"/>
                    </w:rPr>
                    <w:t>500-1000</w:t>
                  </w:r>
                </w:p>
              </w:tc>
              <w:tc>
                <w:tcPr>
                  <w:tcW w:w="832" w:type="dxa"/>
                  <w:noWrap w:val="0"/>
                  <w:tcMar>
                    <w:top w:w="30" w:type="dxa"/>
                    <w:left w:w="150" w:type="dxa"/>
                    <w:bottom w:w="30" w:type="dxa"/>
                    <w:right w:w="150" w:type="dxa"/>
                  </w:tcMar>
                  <w:vAlign w:val="center"/>
                </w:tcPr>
                <w:p w14:paraId="4189C026">
                  <w:pPr>
                    <w:shd w:val="clear"/>
                    <w:spacing w:line="360" w:lineRule="auto"/>
                    <w:rPr>
                      <w:rFonts w:hint="eastAsia" w:cs="Arial" w:asciiTheme="minorEastAsia" w:hAnsiTheme="minorEastAsia" w:eastAsiaTheme="minorEastAsia"/>
                      <w:color w:val="auto"/>
                      <w:kern w:val="0"/>
                      <w:sz w:val="21"/>
                      <w:szCs w:val="21"/>
                      <w:highlight w:val="none"/>
                    </w:rPr>
                  </w:pPr>
                  <w:r>
                    <w:rPr>
                      <w:rFonts w:hint="eastAsia" w:cs="Arial" w:asciiTheme="minorEastAsia" w:hAnsiTheme="minorEastAsia" w:eastAsiaTheme="minorEastAsia"/>
                      <w:color w:val="auto"/>
                      <w:kern w:val="0"/>
                      <w:sz w:val="21"/>
                      <w:szCs w:val="21"/>
                      <w:highlight w:val="none"/>
                    </w:rPr>
                    <w:t>0.8%</w:t>
                  </w:r>
                </w:p>
              </w:tc>
              <w:tc>
                <w:tcPr>
                  <w:tcW w:w="859" w:type="dxa"/>
                  <w:noWrap w:val="0"/>
                  <w:tcMar>
                    <w:top w:w="30" w:type="dxa"/>
                    <w:left w:w="150" w:type="dxa"/>
                    <w:bottom w:w="30" w:type="dxa"/>
                    <w:right w:w="150" w:type="dxa"/>
                  </w:tcMar>
                  <w:vAlign w:val="center"/>
                </w:tcPr>
                <w:p w14:paraId="59CD7359">
                  <w:pPr>
                    <w:shd w:val="clear"/>
                    <w:spacing w:line="360" w:lineRule="auto"/>
                    <w:rPr>
                      <w:rFonts w:hint="eastAsia" w:cs="Arial" w:asciiTheme="minorEastAsia" w:hAnsiTheme="minorEastAsia" w:eastAsiaTheme="minorEastAsia"/>
                      <w:color w:val="auto"/>
                      <w:kern w:val="0"/>
                      <w:sz w:val="21"/>
                      <w:szCs w:val="21"/>
                      <w:highlight w:val="none"/>
                    </w:rPr>
                  </w:pPr>
                  <w:r>
                    <w:rPr>
                      <w:rFonts w:hint="eastAsia" w:cs="Arial" w:asciiTheme="minorEastAsia" w:hAnsiTheme="minorEastAsia" w:eastAsiaTheme="minorEastAsia"/>
                      <w:color w:val="auto"/>
                      <w:kern w:val="0"/>
                      <w:sz w:val="21"/>
                      <w:szCs w:val="21"/>
                      <w:highlight w:val="none"/>
                    </w:rPr>
                    <w:t>0.45%</w:t>
                  </w:r>
                </w:p>
              </w:tc>
              <w:tc>
                <w:tcPr>
                  <w:tcW w:w="838" w:type="dxa"/>
                  <w:noWrap w:val="0"/>
                  <w:tcMar>
                    <w:top w:w="30" w:type="dxa"/>
                    <w:left w:w="150" w:type="dxa"/>
                    <w:bottom w:w="30" w:type="dxa"/>
                    <w:right w:w="150" w:type="dxa"/>
                  </w:tcMar>
                  <w:vAlign w:val="center"/>
                </w:tcPr>
                <w:p w14:paraId="54605901">
                  <w:pPr>
                    <w:shd w:val="clear"/>
                    <w:spacing w:line="360" w:lineRule="auto"/>
                    <w:rPr>
                      <w:rFonts w:hint="eastAsia" w:cs="Arial" w:asciiTheme="minorEastAsia" w:hAnsiTheme="minorEastAsia" w:eastAsiaTheme="minorEastAsia"/>
                      <w:color w:val="auto"/>
                      <w:kern w:val="0"/>
                      <w:sz w:val="21"/>
                      <w:szCs w:val="21"/>
                      <w:highlight w:val="none"/>
                    </w:rPr>
                  </w:pPr>
                  <w:r>
                    <w:rPr>
                      <w:rFonts w:hint="eastAsia" w:cs="Arial" w:asciiTheme="minorEastAsia" w:hAnsiTheme="minorEastAsia" w:eastAsiaTheme="minorEastAsia"/>
                      <w:color w:val="auto"/>
                      <w:kern w:val="0"/>
                      <w:sz w:val="21"/>
                      <w:szCs w:val="21"/>
                      <w:highlight w:val="none"/>
                    </w:rPr>
                    <w:t>0.55%</w:t>
                  </w:r>
                </w:p>
              </w:tc>
            </w:tr>
            <w:tr w14:paraId="6A6206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290" w:hRule="atLeast"/>
                <w:jc w:val="center"/>
              </w:trPr>
              <w:tc>
                <w:tcPr>
                  <w:tcW w:w="3300" w:type="dxa"/>
                  <w:noWrap w:val="0"/>
                  <w:tcMar>
                    <w:top w:w="30" w:type="dxa"/>
                    <w:left w:w="150" w:type="dxa"/>
                    <w:bottom w:w="30" w:type="dxa"/>
                    <w:right w:w="150" w:type="dxa"/>
                  </w:tcMar>
                  <w:vAlign w:val="center"/>
                </w:tcPr>
                <w:p w14:paraId="7F0FA2BD">
                  <w:pPr>
                    <w:shd w:val="clear"/>
                    <w:spacing w:line="360" w:lineRule="auto"/>
                    <w:rPr>
                      <w:rFonts w:hint="eastAsia" w:cs="Arial" w:asciiTheme="minorEastAsia" w:hAnsiTheme="minorEastAsia" w:eastAsiaTheme="minorEastAsia"/>
                      <w:color w:val="auto"/>
                      <w:kern w:val="0"/>
                      <w:sz w:val="21"/>
                      <w:szCs w:val="21"/>
                      <w:highlight w:val="none"/>
                    </w:rPr>
                  </w:pPr>
                  <w:r>
                    <w:rPr>
                      <w:rFonts w:hint="eastAsia" w:cs="Arial" w:asciiTheme="minorEastAsia" w:hAnsiTheme="minorEastAsia" w:eastAsiaTheme="minorEastAsia"/>
                      <w:color w:val="auto"/>
                      <w:kern w:val="0"/>
                      <w:sz w:val="21"/>
                      <w:szCs w:val="21"/>
                      <w:highlight w:val="none"/>
                    </w:rPr>
                    <w:t>1000-5000</w:t>
                  </w:r>
                </w:p>
              </w:tc>
              <w:tc>
                <w:tcPr>
                  <w:tcW w:w="832" w:type="dxa"/>
                  <w:noWrap w:val="0"/>
                  <w:tcMar>
                    <w:top w:w="30" w:type="dxa"/>
                    <w:left w:w="150" w:type="dxa"/>
                    <w:bottom w:w="30" w:type="dxa"/>
                    <w:right w:w="150" w:type="dxa"/>
                  </w:tcMar>
                  <w:vAlign w:val="center"/>
                </w:tcPr>
                <w:p w14:paraId="227A9EED">
                  <w:pPr>
                    <w:shd w:val="clear"/>
                    <w:spacing w:line="360" w:lineRule="auto"/>
                    <w:rPr>
                      <w:rFonts w:hint="eastAsia" w:cs="Arial" w:asciiTheme="minorEastAsia" w:hAnsiTheme="minorEastAsia" w:eastAsiaTheme="minorEastAsia"/>
                      <w:color w:val="auto"/>
                      <w:kern w:val="0"/>
                      <w:sz w:val="21"/>
                      <w:szCs w:val="21"/>
                      <w:highlight w:val="none"/>
                    </w:rPr>
                  </w:pPr>
                  <w:r>
                    <w:rPr>
                      <w:rFonts w:hint="eastAsia" w:cs="Arial" w:asciiTheme="minorEastAsia" w:hAnsiTheme="minorEastAsia" w:eastAsiaTheme="minorEastAsia"/>
                      <w:color w:val="auto"/>
                      <w:kern w:val="0"/>
                      <w:sz w:val="21"/>
                      <w:szCs w:val="21"/>
                      <w:highlight w:val="none"/>
                    </w:rPr>
                    <w:t>0.5%</w:t>
                  </w:r>
                </w:p>
              </w:tc>
              <w:tc>
                <w:tcPr>
                  <w:tcW w:w="859" w:type="dxa"/>
                  <w:noWrap w:val="0"/>
                  <w:tcMar>
                    <w:top w:w="30" w:type="dxa"/>
                    <w:left w:w="150" w:type="dxa"/>
                    <w:bottom w:w="30" w:type="dxa"/>
                    <w:right w:w="150" w:type="dxa"/>
                  </w:tcMar>
                  <w:vAlign w:val="center"/>
                </w:tcPr>
                <w:p w14:paraId="472C693A">
                  <w:pPr>
                    <w:shd w:val="clear"/>
                    <w:spacing w:line="360" w:lineRule="auto"/>
                    <w:rPr>
                      <w:rFonts w:hint="eastAsia" w:cs="Arial" w:asciiTheme="minorEastAsia" w:hAnsiTheme="minorEastAsia" w:eastAsiaTheme="minorEastAsia"/>
                      <w:color w:val="auto"/>
                      <w:kern w:val="0"/>
                      <w:sz w:val="21"/>
                      <w:szCs w:val="21"/>
                      <w:highlight w:val="none"/>
                    </w:rPr>
                  </w:pPr>
                  <w:r>
                    <w:rPr>
                      <w:rFonts w:hint="eastAsia" w:cs="Arial" w:asciiTheme="minorEastAsia" w:hAnsiTheme="minorEastAsia" w:eastAsiaTheme="minorEastAsia"/>
                      <w:color w:val="auto"/>
                      <w:kern w:val="0"/>
                      <w:sz w:val="21"/>
                      <w:szCs w:val="21"/>
                      <w:highlight w:val="none"/>
                    </w:rPr>
                    <w:t>0.25%</w:t>
                  </w:r>
                </w:p>
              </w:tc>
              <w:tc>
                <w:tcPr>
                  <w:tcW w:w="838" w:type="dxa"/>
                  <w:noWrap w:val="0"/>
                  <w:tcMar>
                    <w:top w:w="30" w:type="dxa"/>
                    <w:left w:w="150" w:type="dxa"/>
                    <w:bottom w:w="30" w:type="dxa"/>
                    <w:right w:w="150" w:type="dxa"/>
                  </w:tcMar>
                  <w:vAlign w:val="center"/>
                </w:tcPr>
                <w:p w14:paraId="1D7FC737">
                  <w:pPr>
                    <w:shd w:val="clear"/>
                    <w:spacing w:line="360" w:lineRule="auto"/>
                    <w:rPr>
                      <w:rFonts w:hint="eastAsia" w:cs="Arial" w:asciiTheme="minorEastAsia" w:hAnsiTheme="minorEastAsia" w:eastAsiaTheme="minorEastAsia"/>
                      <w:color w:val="auto"/>
                      <w:kern w:val="0"/>
                      <w:sz w:val="21"/>
                      <w:szCs w:val="21"/>
                      <w:highlight w:val="none"/>
                    </w:rPr>
                  </w:pPr>
                  <w:r>
                    <w:rPr>
                      <w:rFonts w:hint="eastAsia" w:cs="Arial" w:asciiTheme="minorEastAsia" w:hAnsiTheme="minorEastAsia" w:eastAsiaTheme="minorEastAsia"/>
                      <w:color w:val="auto"/>
                      <w:kern w:val="0"/>
                      <w:sz w:val="21"/>
                      <w:szCs w:val="21"/>
                      <w:highlight w:val="none"/>
                    </w:rPr>
                    <w:t>0.35%</w:t>
                  </w:r>
                </w:p>
              </w:tc>
            </w:tr>
            <w:tr w14:paraId="3385F2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290" w:hRule="atLeast"/>
                <w:jc w:val="center"/>
              </w:trPr>
              <w:tc>
                <w:tcPr>
                  <w:tcW w:w="3300" w:type="dxa"/>
                  <w:noWrap w:val="0"/>
                  <w:tcMar>
                    <w:top w:w="30" w:type="dxa"/>
                    <w:left w:w="150" w:type="dxa"/>
                    <w:bottom w:w="30" w:type="dxa"/>
                    <w:right w:w="150" w:type="dxa"/>
                  </w:tcMar>
                  <w:vAlign w:val="center"/>
                </w:tcPr>
                <w:p w14:paraId="05A0809C">
                  <w:pPr>
                    <w:shd w:val="clear"/>
                    <w:spacing w:line="360" w:lineRule="auto"/>
                    <w:rPr>
                      <w:rFonts w:hint="eastAsia" w:cs="Arial" w:asciiTheme="minorEastAsia" w:hAnsiTheme="minorEastAsia" w:eastAsiaTheme="minorEastAsia"/>
                      <w:color w:val="auto"/>
                      <w:kern w:val="0"/>
                      <w:sz w:val="21"/>
                      <w:szCs w:val="21"/>
                      <w:highlight w:val="none"/>
                    </w:rPr>
                  </w:pPr>
                  <w:r>
                    <w:rPr>
                      <w:rFonts w:hint="eastAsia" w:cs="Arial" w:asciiTheme="minorEastAsia" w:hAnsiTheme="minorEastAsia" w:eastAsiaTheme="minorEastAsia"/>
                      <w:color w:val="auto"/>
                      <w:kern w:val="0"/>
                      <w:sz w:val="21"/>
                      <w:szCs w:val="21"/>
                      <w:highlight w:val="none"/>
                    </w:rPr>
                    <w:t>5000-10000</w:t>
                  </w:r>
                </w:p>
              </w:tc>
              <w:tc>
                <w:tcPr>
                  <w:tcW w:w="832" w:type="dxa"/>
                  <w:noWrap w:val="0"/>
                  <w:tcMar>
                    <w:top w:w="30" w:type="dxa"/>
                    <w:left w:w="150" w:type="dxa"/>
                    <w:bottom w:w="30" w:type="dxa"/>
                    <w:right w:w="150" w:type="dxa"/>
                  </w:tcMar>
                  <w:vAlign w:val="center"/>
                </w:tcPr>
                <w:p w14:paraId="667434EF">
                  <w:pPr>
                    <w:shd w:val="clear"/>
                    <w:spacing w:line="360" w:lineRule="auto"/>
                    <w:rPr>
                      <w:rFonts w:hint="eastAsia" w:cs="Arial" w:asciiTheme="minorEastAsia" w:hAnsiTheme="minorEastAsia" w:eastAsiaTheme="minorEastAsia"/>
                      <w:color w:val="auto"/>
                      <w:kern w:val="0"/>
                      <w:sz w:val="21"/>
                      <w:szCs w:val="21"/>
                      <w:highlight w:val="none"/>
                    </w:rPr>
                  </w:pPr>
                  <w:r>
                    <w:rPr>
                      <w:rFonts w:hint="eastAsia" w:cs="Arial" w:asciiTheme="minorEastAsia" w:hAnsiTheme="minorEastAsia" w:eastAsiaTheme="minorEastAsia"/>
                      <w:color w:val="auto"/>
                      <w:kern w:val="0"/>
                      <w:sz w:val="21"/>
                      <w:szCs w:val="21"/>
                      <w:highlight w:val="none"/>
                    </w:rPr>
                    <w:t>0.25%</w:t>
                  </w:r>
                </w:p>
              </w:tc>
              <w:tc>
                <w:tcPr>
                  <w:tcW w:w="859" w:type="dxa"/>
                  <w:noWrap w:val="0"/>
                  <w:tcMar>
                    <w:top w:w="30" w:type="dxa"/>
                    <w:left w:w="150" w:type="dxa"/>
                    <w:bottom w:w="30" w:type="dxa"/>
                    <w:right w:w="150" w:type="dxa"/>
                  </w:tcMar>
                  <w:vAlign w:val="center"/>
                </w:tcPr>
                <w:p w14:paraId="04221863">
                  <w:pPr>
                    <w:shd w:val="clear"/>
                    <w:spacing w:line="360" w:lineRule="auto"/>
                    <w:rPr>
                      <w:rFonts w:hint="eastAsia" w:cs="Arial" w:asciiTheme="minorEastAsia" w:hAnsiTheme="minorEastAsia" w:eastAsiaTheme="minorEastAsia"/>
                      <w:color w:val="auto"/>
                      <w:kern w:val="0"/>
                      <w:sz w:val="21"/>
                      <w:szCs w:val="21"/>
                      <w:highlight w:val="none"/>
                    </w:rPr>
                  </w:pPr>
                  <w:r>
                    <w:rPr>
                      <w:rFonts w:hint="eastAsia" w:cs="Arial" w:asciiTheme="minorEastAsia" w:hAnsiTheme="minorEastAsia" w:eastAsiaTheme="minorEastAsia"/>
                      <w:color w:val="auto"/>
                      <w:kern w:val="0"/>
                      <w:sz w:val="21"/>
                      <w:szCs w:val="21"/>
                      <w:highlight w:val="none"/>
                    </w:rPr>
                    <w:t>0.1%</w:t>
                  </w:r>
                </w:p>
              </w:tc>
              <w:tc>
                <w:tcPr>
                  <w:tcW w:w="838" w:type="dxa"/>
                  <w:noWrap w:val="0"/>
                  <w:tcMar>
                    <w:top w:w="30" w:type="dxa"/>
                    <w:left w:w="150" w:type="dxa"/>
                    <w:bottom w:w="30" w:type="dxa"/>
                    <w:right w:w="150" w:type="dxa"/>
                  </w:tcMar>
                  <w:vAlign w:val="center"/>
                </w:tcPr>
                <w:p w14:paraId="605A796E">
                  <w:pPr>
                    <w:shd w:val="clear"/>
                    <w:spacing w:line="360" w:lineRule="auto"/>
                    <w:rPr>
                      <w:rFonts w:hint="eastAsia" w:cs="Arial" w:asciiTheme="minorEastAsia" w:hAnsiTheme="minorEastAsia" w:eastAsiaTheme="minorEastAsia"/>
                      <w:color w:val="auto"/>
                      <w:kern w:val="0"/>
                      <w:sz w:val="21"/>
                      <w:szCs w:val="21"/>
                      <w:highlight w:val="none"/>
                    </w:rPr>
                  </w:pPr>
                  <w:r>
                    <w:rPr>
                      <w:rFonts w:hint="eastAsia" w:cs="Arial" w:asciiTheme="minorEastAsia" w:hAnsiTheme="minorEastAsia" w:eastAsiaTheme="minorEastAsia"/>
                      <w:color w:val="auto"/>
                      <w:kern w:val="0"/>
                      <w:sz w:val="21"/>
                      <w:szCs w:val="21"/>
                      <w:highlight w:val="none"/>
                    </w:rPr>
                    <w:t>0.2%</w:t>
                  </w:r>
                </w:p>
              </w:tc>
            </w:tr>
            <w:tr w14:paraId="6B25E4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299" w:hRule="atLeast"/>
                <w:jc w:val="center"/>
              </w:trPr>
              <w:tc>
                <w:tcPr>
                  <w:tcW w:w="3300" w:type="dxa"/>
                  <w:noWrap w:val="0"/>
                  <w:tcMar>
                    <w:top w:w="30" w:type="dxa"/>
                    <w:left w:w="150" w:type="dxa"/>
                    <w:bottom w:w="30" w:type="dxa"/>
                    <w:right w:w="150" w:type="dxa"/>
                  </w:tcMar>
                  <w:vAlign w:val="center"/>
                </w:tcPr>
                <w:p w14:paraId="47736B23">
                  <w:pPr>
                    <w:shd w:val="clear"/>
                    <w:spacing w:line="360" w:lineRule="auto"/>
                    <w:rPr>
                      <w:rFonts w:hint="eastAsia" w:cs="Arial" w:asciiTheme="minorEastAsia" w:hAnsiTheme="minorEastAsia" w:eastAsiaTheme="minorEastAsia"/>
                      <w:color w:val="auto"/>
                      <w:kern w:val="0"/>
                      <w:sz w:val="21"/>
                      <w:szCs w:val="21"/>
                      <w:highlight w:val="none"/>
                    </w:rPr>
                  </w:pPr>
                  <w:r>
                    <w:rPr>
                      <w:rFonts w:hint="eastAsia" w:cs="Arial" w:asciiTheme="minorEastAsia" w:hAnsiTheme="minorEastAsia" w:eastAsiaTheme="minorEastAsia"/>
                      <w:color w:val="auto"/>
                      <w:kern w:val="0"/>
                      <w:sz w:val="21"/>
                      <w:szCs w:val="21"/>
                      <w:highlight w:val="none"/>
                    </w:rPr>
                    <w:t>1亿～5亿</w:t>
                  </w:r>
                </w:p>
              </w:tc>
              <w:tc>
                <w:tcPr>
                  <w:tcW w:w="832" w:type="dxa"/>
                  <w:noWrap w:val="0"/>
                  <w:tcMar>
                    <w:top w:w="30" w:type="dxa"/>
                    <w:left w:w="150" w:type="dxa"/>
                    <w:bottom w:w="30" w:type="dxa"/>
                    <w:right w:w="150" w:type="dxa"/>
                  </w:tcMar>
                  <w:vAlign w:val="center"/>
                </w:tcPr>
                <w:p w14:paraId="6202E3C1">
                  <w:pPr>
                    <w:shd w:val="clear"/>
                    <w:spacing w:line="360" w:lineRule="auto"/>
                    <w:rPr>
                      <w:rFonts w:hint="eastAsia" w:cs="Arial" w:asciiTheme="minorEastAsia" w:hAnsiTheme="minorEastAsia" w:eastAsiaTheme="minorEastAsia"/>
                      <w:color w:val="auto"/>
                      <w:kern w:val="0"/>
                      <w:sz w:val="21"/>
                      <w:szCs w:val="21"/>
                      <w:highlight w:val="none"/>
                    </w:rPr>
                  </w:pPr>
                  <w:r>
                    <w:rPr>
                      <w:rFonts w:hint="eastAsia" w:cs="Arial" w:asciiTheme="minorEastAsia" w:hAnsiTheme="minorEastAsia" w:eastAsiaTheme="minorEastAsia"/>
                      <w:color w:val="auto"/>
                      <w:kern w:val="0"/>
                      <w:sz w:val="21"/>
                      <w:szCs w:val="21"/>
                      <w:highlight w:val="none"/>
                    </w:rPr>
                    <w:t>0.05%</w:t>
                  </w:r>
                </w:p>
              </w:tc>
              <w:tc>
                <w:tcPr>
                  <w:tcW w:w="859" w:type="dxa"/>
                  <w:noWrap w:val="0"/>
                  <w:tcMar>
                    <w:top w:w="30" w:type="dxa"/>
                    <w:left w:w="150" w:type="dxa"/>
                    <w:bottom w:w="30" w:type="dxa"/>
                    <w:right w:w="150" w:type="dxa"/>
                  </w:tcMar>
                  <w:vAlign w:val="center"/>
                </w:tcPr>
                <w:p w14:paraId="04CC7EE1">
                  <w:pPr>
                    <w:shd w:val="clear"/>
                    <w:spacing w:line="360" w:lineRule="auto"/>
                    <w:rPr>
                      <w:rFonts w:hint="eastAsia" w:cs="Arial" w:asciiTheme="minorEastAsia" w:hAnsiTheme="minorEastAsia" w:eastAsiaTheme="minorEastAsia"/>
                      <w:color w:val="auto"/>
                      <w:kern w:val="0"/>
                      <w:sz w:val="21"/>
                      <w:szCs w:val="21"/>
                      <w:highlight w:val="none"/>
                    </w:rPr>
                  </w:pPr>
                  <w:r>
                    <w:rPr>
                      <w:rFonts w:hint="eastAsia" w:cs="Arial" w:asciiTheme="minorEastAsia" w:hAnsiTheme="minorEastAsia" w:eastAsiaTheme="minorEastAsia"/>
                      <w:color w:val="auto"/>
                      <w:kern w:val="0"/>
                      <w:sz w:val="21"/>
                      <w:szCs w:val="21"/>
                      <w:highlight w:val="none"/>
                    </w:rPr>
                    <w:t>0.05%</w:t>
                  </w:r>
                </w:p>
              </w:tc>
              <w:tc>
                <w:tcPr>
                  <w:tcW w:w="838" w:type="dxa"/>
                  <w:noWrap w:val="0"/>
                  <w:tcMar>
                    <w:top w:w="30" w:type="dxa"/>
                    <w:left w:w="150" w:type="dxa"/>
                    <w:bottom w:w="30" w:type="dxa"/>
                    <w:right w:w="150" w:type="dxa"/>
                  </w:tcMar>
                  <w:vAlign w:val="center"/>
                </w:tcPr>
                <w:p w14:paraId="21429F44">
                  <w:pPr>
                    <w:shd w:val="clear"/>
                    <w:spacing w:line="360" w:lineRule="auto"/>
                    <w:rPr>
                      <w:rFonts w:hint="eastAsia" w:cs="Arial" w:asciiTheme="minorEastAsia" w:hAnsiTheme="minorEastAsia" w:eastAsiaTheme="minorEastAsia"/>
                      <w:color w:val="auto"/>
                      <w:kern w:val="0"/>
                      <w:sz w:val="21"/>
                      <w:szCs w:val="21"/>
                      <w:highlight w:val="none"/>
                    </w:rPr>
                  </w:pPr>
                  <w:r>
                    <w:rPr>
                      <w:rFonts w:hint="eastAsia" w:cs="Arial" w:asciiTheme="minorEastAsia" w:hAnsiTheme="minorEastAsia" w:eastAsiaTheme="minorEastAsia"/>
                      <w:color w:val="auto"/>
                      <w:kern w:val="0"/>
                      <w:sz w:val="21"/>
                      <w:szCs w:val="21"/>
                      <w:highlight w:val="none"/>
                    </w:rPr>
                    <w:t>0.05%</w:t>
                  </w:r>
                </w:p>
              </w:tc>
            </w:tr>
          </w:tbl>
          <w:p w14:paraId="4B0D9631">
            <w:pPr>
              <w:shd w:val="clear"/>
              <w:spacing w:line="360" w:lineRule="auto"/>
              <w:rPr>
                <w:rFonts w:hint="eastAsia" w:cs="Arial" w:asciiTheme="minorEastAsia" w:hAnsiTheme="minorEastAsia" w:eastAsiaTheme="minorEastAsia"/>
                <w:color w:val="auto"/>
                <w:kern w:val="0"/>
                <w:sz w:val="24"/>
                <w:highlight w:val="none"/>
              </w:rPr>
            </w:pPr>
            <w:r>
              <w:rPr>
                <w:rFonts w:hint="eastAsia" w:cs="Arial" w:asciiTheme="minorEastAsia" w:hAnsiTheme="minorEastAsia" w:eastAsiaTheme="minorEastAsia"/>
                <w:color w:val="auto"/>
                <w:kern w:val="0"/>
                <w:sz w:val="24"/>
                <w:highlight w:val="none"/>
              </w:rPr>
              <w:t>备注：</w:t>
            </w:r>
            <w:r>
              <w:rPr>
                <w:rFonts w:hint="eastAsia" w:cs="Arial" w:asciiTheme="minorEastAsia" w:hAnsiTheme="minorEastAsia" w:eastAsiaTheme="minorEastAsia"/>
                <w:color w:val="auto"/>
                <w:kern w:val="0"/>
                <w:sz w:val="24"/>
                <w:highlight w:val="none"/>
                <w:lang w:val="en-US" w:eastAsia="zh-CN"/>
              </w:rPr>
              <w:t>中标服务费</w:t>
            </w:r>
            <w:r>
              <w:rPr>
                <w:rFonts w:hint="eastAsia" w:cs="Arial" w:asciiTheme="minorEastAsia" w:hAnsiTheme="minorEastAsia" w:eastAsiaTheme="minorEastAsia"/>
                <w:color w:val="auto"/>
                <w:kern w:val="0"/>
                <w:sz w:val="24"/>
                <w:highlight w:val="none"/>
              </w:rPr>
              <w:t>只收现金、银行票汇款、电汇款。汇入以下账户：</w:t>
            </w:r>
          </w:p>
          <w:p w14:paraId="6E35370B">
            <w:pPr>
              <w:shd w:val="clear"/>
              <w:spacing w:line="360" w:lineRule="auto"/>
              <w:rPr>
                <w:rFonts w:hint="eastAsia" w:cs="Arial" w:asciiTheme="minorEastAsia" w:hAnsiTheme="minorEastAsia" w:eastAsiaTheme="minorEastAsia"/>
                <w:color w:val="auto"/>
                <w:kern w:val="0"/>
                <w:sz w:val="24"/>
                <w:highlight w:val="none"/>
              </w:rPr>
            </w:pPr>
            <w:r>
              <w:rPr>
                <w:rFonts w:hint="eastAsia" w:cs="Arial" w:asciiTheme="minorEastAsia" w:hAnsiTheme="minorEastAsia" w:eastAsiaTheme="minorEastAsia"/>
                <w:color w:val="auto"/>
                <w:kern w:val="0"/>
                <w:sz w:val="24"/>
                <w:highlight w:val="none"/>
              </w:rPr>
              <w:t>开户银行： 宁波银行科技支行</w:t>
            </w:r>
          </w:p>
          <w:p w14:paraId="4C399D23">
            <w:pPr>
              <w:shd w:val="clear"/>
              <w:spacing w:line="360" w:lineRule="auto"/>
              <w:rPr>
                <w:rFonts w:hint="eastAsia" w:cs="Arial" w:asciiTheme="minorEastAsia" w:hAnsiTheme="minorEastAsia" w:eastAsiaTheme="minorEastAsia"/>
                <w:color w:val="auto"/>
                <w:kern w:val="0"/>
                <w:sz w:val="24"/>
                <w:highlight w:val="none"/>
              </w:rPr>
            </w:pPr>
            <w:r>
              <w:rPr>
                <w:rFonts w:hint="eastAsia" w:cs="Arial" w:asciiTheme="minorEastAsia" w:hAnsiTheme="minorEastAsia" w:eastAsiaTheme="minorEastAsia"/>
                <w:color w:val="auto"/>
                <w:kern w:val="0"/>
                <w:sz w:val="24"/>
                <w:highlight w:val="none"/>
              </w:rPr>
              <w:t>账    号： 31010122000005488</w:t>
            </w:r>
          </w:p>
          <w:p w14:paraId="75F50595">
            <w:pPr>
              <w:shd w:val="clear"/>
              <w:spacing w:line="360" w:lineRule="auto"/>
              <w:rPr>
                <w:rFonts w:hint="eastAsia" w:cs="Arial" w:asciiTheme="minorEastAsia" w:hAnsiTheme="minorEastAsia" w:eastAsiaTheme="minorEastAsia"/>
                <w:color w:val="auto"/>
                <w:kern w:val="0"/>
                <w:sz w:val="24"/>
                <w:highlight w:val="none"/>
              </w:rPr>
            </w:pPr>
            <w:r>
              <w:rPr>
                <w:rFonts w:hint="eastAsia" w:cs="Arial" w:asciiTheme="minorEastAsia" w:hAnsiTheme="minorEastAsia" w:eastAsiaTheme="minorEastAsia"/>
                <w:color w:val="auto"/>
                <w:kern w:val="0"/>
                <w:sz w:val="24"/>
                <w:highlight w:val="none"/>
                <w:lang w:val="en-US" w:eastAsia="zh-CN"/>
              </w:rPr>
              <w:t>户    名： 宁波中基国际招标有限公司</w:t>
            </w:r>
          </w:p>
        </w:tc>
      </w:tr>
    </w:tbl>
    <w:p w14:paraId="78C7B4D1">
      <w:pPr>
        <w:shd w:val="clear"/>
        <w:snapToGrid w:val="0"/>
        <w:spacing w:line="360" w:lineRule="auto"/>
        <w:jc w:val="center"/>
        <w:rPr>
          <w:rFonts w:ascii="宋体" w:hAnsi="宋体" w:cs="宋体"/>
          <w:b/>
          <w:color w:val="auto"/>
          <w:sz w:val="32"/>
          <w:szCs w:val="20"/>
          <w:highlight w:val="none"/>
        </w:rPr>
      </w:pPr>
    </w:p>
    <w:bookmarkEnd w:id="10"/>
    <w:p w14:paraId="65370006">
      <w:pPr>
        <w:shd w:val="clear"/>
        <w:adjustRightInd/>
        <w:spacing w:line="360" w:lineRule="auto"/>
        <w:ind w:firstLine="3845" w:firstLineChars="1197"/>
        <w:outlineLvl w:val="0"/>
        <w:rPr>
          <w:rFonts w:ascii="宋体" w:hAnsi="宋体" w:cs="宋体"/>
          <w:b/>
          <w:color w:val="auto"/>
          <w:sz w:val="32"/>
          <w:szCs w:val="20"/>
          <w:highlight w:val="none"/>
        </w:rPr>
      </w:pPr>
      <w:bookmarkStart w:id="11" w:name="_Toc164416483"/>
      <w:bookmarkStart w:id="12" w:name="第三部分"/>
      <w:r>
        <w:rPr>
          <w:rFonts w:hint="eastAsia" w:ascii="宋体" w:hAnsi="宋体" w:cs="宋体"/>
          <w:b/>
          <w:color w:val="auto"/>
          <w:sz w:val="32"/>
          <w:szCs w:val="20"/>
          <w:highlight w:val="none"/>
        </w:rPr>
        <w:t>一、总则</w:t>
      </w:r>
    </w:p>
    <w:p w14:paraId="0DA8852F">
      <w:pPr>
        <w:shd w:val="clear"/>
        <w:snapToGrid w:val="0"/>
        <w:spacing w:line="360" w:lineRule="auto"/>
        <w:ind w:firstLine="361" w:firstLineChars="150"/>
        <w:jc w:val="left"/>
        <w:outlineLvl w:val="1"/>
        <w:rPr>
          <w:rFonts w:ascii="宋体" w:hAnsi="宋体" w:cs="宋体"/>
          <w:b/>
          <w:color w:val="auto"/>
          <w:sz w:val="24"/>
          <w:highlight w:val="none"/>
        </w:rPr>
      </w:pPr>
      <w:r>
        <w:rPr>
          <w:rFonts w:hint="eastAsia" w:ascii="宋体" w:hAnsi="宋体" w:cs="宋体"/>
          <w:b/>
          <w:color w:val="auto"/>
          <w:sz w:val="24"/>
          <w:highlight w:val="none"/>
        </w:rPr>
        <w:t>1. 适用范围</w:t>
      </w:r>
    </w:p>
    <w:p w14:paraId="742A2F25">
      <w:pPr>
        <w:shd w:val="clea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本招标文件适用于该项目的招标、投标、开标、资格审查及信用信息查询、评标、定标、合同、验收等行为（</w:t>
      </w:r>
      <w:r>
        <w:rPr>
          <w:rFonts w:hint="eastAsia" w:ascii="宋体" w:hAnsi="宋体" w:cs="宋体"/>
          <w:color w:val="auto"/>
          <w:sz w:val="24"/>
          <w:highlight w:val="none"/>
          <w:lang w:eastAsia="zh-CN"/>
        </w:rPr>
        <w:t>法律法规</w:t>
      </w:r>
      <w:r>
        <w:rPr>
          <w:rFonts w:hint="eastAsia" w:ascii="宋体" w:hAnsi="宋体" w:cs="宋体"/>
          <w:color w:val="auto"/>
          <w:sz w:val="24"/>
          <w:highlight w:val="none"/>
        </w:rPr>
        <w:t>另有规定的，从其规定）。</w:t>
      </w:r>
    </w:p>
    <w:p w14:paraId="2C83374E">
      <w:pPr>
        <w:shd w:val="clear"/>
        <w:adjustRightInd/>
        <w:spacing w:line="360" w:lineRule="auto"/>
        <w:outlineLvl w:val="0"/>
        <w:rPr>
          <w:rFonts w:ascii="宋体" w:hAnsi="宋体" w:cs="宋体"/>
          <w:b/>
          <w:color w:val="auto"/>
          <w:sz w:val="24"/>
          <w:highlight w:val="none"/>
        </w:rPr>
      </w:pPr>
      <w:r>
        <w:rPr>
          <w:rFonts w:hint="eastAsia" w:ascii="宋体" w:hAnsi="宋体" w:cs="宋体"/>
          <w:b/>
          <w:color w:val="auto"/>
          <w:sz w:val="24"/>
          <w:highlight w:val="none"/>
        </w:rPr>
        <w:t xml:space="preserve">   2.定义</w:t>
      </w:r>
    </w:p>
    <w:p w14:paraId="62F6B0E7">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2.1 “采购人”系指招标公告中载明的本项目的采购人。</w:t>
      </w:r>
    </w:p>
    <w:p w14:paraId="16FF5644">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2.2 “</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”系指招标公告中载明的本项目的</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w:t>
      </w:r>
    </w:p>
    <w:p w14:paraId="73DE02ED">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2.3 “投标人”系指响应招标、参加投标竞争的法人、其他组织或者自然人。</w:t>
      </w:r>
    </w:p>
    <w:p w14:paraId="7612EC5C">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2.4 “负责人”系指法人企业的法定负责人，或其他组织为法律、行政法规规定代表单位行使职权的主要负责人，或自然人本人。</w:t>
      </w:r>
    </w:p>
    <w:p w14:paraId="5A4C057A">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4475A445">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2.6“电子交易平台”</w:t>
      </w:r>
      <w:r>
        <w:rPr>
          <w:rFonts w:hint="eastAsia" w:ascii="宋体" w:hAnsi="宋体" w:cs="宋体"/>
          <w:color w:val="auto"/>
          <w:sz w:val="24"/>
          <w:highlight w:val="none"/>
          <w:lang w:val="en-US" w:eastAsia="zh-CN"/>
        </w:rPr>
        <w:t>系</w:t>
      </w:r>
      <w:r>
        <w:rPr>
          <w:rFonts w:hint="eastAsia" w:ascii="宋体" w:hAnsi="宋体" w:cs="宋体"/>
          <w:color w:val="auto"/>
          <w:sz w:val="24"/>
          <w:highlight w:val="none"/>
        </w:rPr>
        <w:t>指本项目政府采购活动所依托的政府采购云平台（https://www.zcygov.cn/）。</w:t>
      </w:r>
    </w:p>
    <w:p w14:paraId="623C248E">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2.7 “▲” 系指实质性要求条款，“</w:t>
      </w:r>
      <w:sdt>
        <w:sdtPr>
          <w:rPr>
            <w:rFonts w:hint="eastAsia" w:ascii="宋体" w:hAnsi="宋体" w:cs="宋体"/>
            <w:color w:val="auto"/>
            <w:kern w:val="0"/>
            <w:sz w:val="24"/>
            <w:highlight w:val="none"/>
          </w:rPr>
          <w:id w:val="512970236"/>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Wingdings" w:hAnsi="Wingdings" w:cs="宋体"/>
              <w:color w:val="auto"/>
              <w:kern w:val="0"/>
              <w:sz w:val="24"/>
              <w:highlight w:val="none"/>
            </w:rPr>
            <w:t></w:t>
          </w:r>
        </w:sdtContent>
      </w:sdt>
      <w:r>
        <w:rPr>
          <w:rFonts w:hint="eastAsia" w:ascii="宋体" w:hAnsi="宋体" w:cs="宋体"/>
          <w:color w:val="auto"/>
          <w:sz w:val="24"/>
          <w:highlight w:val="none"/>
        </w:rPr>
        <w:t>” 系指适用本项目的要求，“</w:t>
      </w:r>
      <w:sdt>
        <w:sdtPr>
          <w:rPr>
            <w:rFonts w:hint="eastAsia" w:ascii="宋体" w:hAnsi="宋体" w:cs="宋体"/>
            <w:color w:val="auto"/>
            <w:kern w:val="0"/>
            <w:sz w:val="24"/>
            <w:highlight w:val="none"/>
          </w:rPr>
          <w:id w:val="40488885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 系指不适用本项目的要求。</w:t>
      </w:r>
    </w:p>
    <w:p w14:paraId="3046377F">
      <w:pPr>
        <w:shd w:val="clear"/>
        <w:spacing w:line="360" w:lineRule="auto"/>
        <w:ind w:firstLine="241" w:firstLineChars="100"/>
        <w:rPr>
          <w:rFonts w:ascii="宋体" w:hAnsi="宋体" w:cs="宋体"/>
          <w:b/>
          <w:color w:val="auto"/>
          <w:sz w:val="24"/>
          <w:highlight w:val="none"/>
        </w:rPr>
      </w:pPr>
      <w:r>
        <w:rPr>
          <w:rFonts w:hint="eastAsia" w:ascii="宋体" w:hAnsi="宋体" w:cs="宋体"/>
          <w:b/>
          <w:color w:val="auto"/>
          <w:sz w:val="24"/>
          <w:highlight w:val="none"/>
        </w:rPr>
        <w:t>3.</w:t>
      </w:r>
      <w:r>
        <w:rPr>
          <w:rFonts w:hint="eastAsia" w:ascii="宋体" w:hAnsi="宋体" w:cs="宋体"/>
          <w:color w:val="auto"/>
          <w:highlight w:val="none"/>
        </w:rPr>
        <w:t xml:space="preserve"> </w:t>
      </w:r>
      <w:r>
        <w:rPr>
          <w:rFonts w:hint="eastAsia" w:ascii="宋体" w:hAnsi="宋体" w:cs="宋体"/>
          <w:b/>
          <w:color w:val="auto"/>
          <w:sz w:val="24"/>
          <w:highlight w:val="none"/>
        </w:rPr>
        <w:t>采购项目需要落实的政府采购政策</w:t>
      </w:r>
    </w:p>
    <w:p w14:paraId="5A9149AF">
      <w:pPr>
        <w:shd w:val="clea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不会对其加以限制，仍将按照公平竞争原则实施采购）；</w:t>
      </w:r>
      <w:r>
        <w:rPr>
          <w:rFonts w:hint="eastAsia" w:ascii="宋体" w:hAnsi="宋体" w:cs="宋体"/>
          <w:color w:val="auto"/>
          <w:kern w:val="0"/>
          <w:sz w:val="24"/>
          <w:highlight w:val="none"/>
        </w:rPr>
        <w:t>优先采购向我国企业转让技术、与我国企业签订消化吸收再创新方案的供应商的进口产品</w:t>
      </w:r>
      <w:r>
        <w:rPr>
          <w:rFonts w:hint="eastAsia" w:ascii="宋体" w:hAnsi="宋体" w:cs="宋体"/>
          <w:color w:val="auto"/>
          <w:sz w:val="24"/>
          <w:highlight w:val="none"/>
        </w:rPr>
        <w:t>。</w:t>
      </w:r>
    </w:p>
    <w:p w14:paraId="7AB122D1">
      <w:pPr>
        <w:shd w:val="clea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3.2 支持绿色发展</w:t>
      </w:r>
    </w:p>
    <w:p w14:paraId="0A092FDE">
      <w:pPr>
        <w:shd w:val="clear"/>
        <w:spacing w:line="360" w:lineRule="auto"/>
        <w:ind w:firstLine="480" w:firstLineChars="200"/>
        <w:rPr>
          <w:rFonts w:ascii="宋体" w:hAnsi="宋体" w:cs="宋体"/>
          <w:b/>
          <w:color w:val="auto"/>
          <w:sz w:val="24"/>
          <w:highlight w:val="none"/>
        </w:rPr>
      </w:pPr>
      <w:r>
        <w:rPr>
          <w:rFonts w:hint="eastAsia" w:ascii="宋体" w:hAnsi="宋体" w:cs="宋体"/>
          <w:color w:val="auto"/>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b/>
          <w:color w:val="auto"/>
          <w:sz w:val="24"/>
          <w:highlight w:val="none"/>
        </w:rPr>
        <w:t>▲采购人拟采购的产品属于政府强制采购的节能产品品目清单范围的，投标人相应的投标产品未获得国家确定的认证机构出具的、处于有效期之内的节能产品认证证书的，投标无效。</w:t>
      </w:r>
    </w:p>
    <w:p w14:paraId="415131D8">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3.2.2 修缮、装修类项目采购建材的，采购人应将绿色建筑和绿色建材性能、指标等作为实质性条件纳入招标文件和合同。</w:t>
      </w:r>
    </w:p>
    <w:p w14:paraId="41FC9E6D">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3.2.3为助力打好污染防治攻坚战，推广使用绿色包装，政府采购货物、工程和服务项目中涉及商品包装和快递包装的，供应商提供产品及相关快递服务的具体包装要求要参考《商品包装政府采购需求标准（试行）</w:t>
      </w:r>
      <w:r>
        <w:rPr>
          <w:rFonts w:hint="eastAsia" w:ascii="宋体" w:hAnsi="宋体" w:cs="宋体"/>
          <w:color w:val="auto"/>
          <w:sz w:val="24"/>
          <w:highlight w:val="none"/>
          <w:lang w:eastAsia="zh-CN"/>
        </w:rPr>
        <w:t>》《</w:t>
      </w:r>
      <w:r>
        <w:rPr>
          <w:rFonts w:hint="eastAsia" w:ascii="宋体" w:hAnsi="宋体" w:cs="宋体"/>
          <w:color w:val="auto"/>
          <w:sz w:val="24"/>
          <w:highlight w:val="none"/>
        </w:rPr>
        <w:t>快递包装政府采购需求标准（试行）》。鼓励采购单位优先采购秸秆环保板材等资源综合利用产品。鼓励采购单位优先采购绿色物流配送服务、提供新能源交通工具的租赁服务。</w:t>
      </w:r>
    </w:p>
    <w:p w14:paraId="598C4457">
      <w:pPr>
        <w:shd w:val="clear"/>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 xml:space="preserve">3.2.4 </w:t>
      </w:r>
      <w:r>
        <w:rPr>
          <w:rFonts w:hint="eastAsia" w:ascii="宋体" w:hAnsi="宋体" w:cs="宋体"/>
          <w:color w:val="auto"/>
          <w:sz w:val="24"/>
          <w:highlight w:val="none"/>
        </w:rPr>
        <w:t>鼓励供应商在参加政府采购过程中开展绿色设计、选择绿色材料、打造绿色制造工艺、开展绿色运输、做好废弃产品回收处理，实现产品全周期的绿色环保。鼓励采购单位对其提高预付款比例、免收履约保证金。</w:t>
      </w:r>
    </w:p>
    <w:p w14:paraId="785247C2">
      <w:pPr>
        <w:shd w:val="clea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3.3支持中小企业发展</w:t>
      </w:r>
    </w:p>
    <w:p w14:paraId="3FED6B26">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0EE7A671">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符合中小企业划分标准的个体工商户，在政府采购活动中视同中小企业。</w:t>
      </w:r>
    </w:p>
    <w:p w14:paraId="29D46FC0">
      <w:pPr>
        <w:widowControl/>
        <w:shd w:val="clear"/>
        <w:spacing w:line="360" w:lineRule="auto"/>
        <w:ind w:firstLine="480" w:firstLineChars="200"/>
        <w:jc w:val="left"/>
        <w:rPr>
          <w:rFonts w:ascii="宋体" w:hAnsi="宋体" w:cs="宋体"/>
          <w:color w:val="auto"/>
          <w:kern w:val="0"/>
          <w:sz w:val="24"/>
          <w:highlight w:val="none"/>
        </w:rPr>
      </w:pPr>
      <w:r>
        <w:rPr>
          <w:rFonts w:ascii="宋体" w:hAnsi="宋体" w:cs="宋体"/>
          <w:bCs/>
          <w:color w:val="auto"/>
          <w:sz w:val="24"/>
          <w:highlight w:val="none"/>
        </w:rPr>
        <w:t>3.3.2</w:t>
      </w:r>
      <w:r>
        <w:rPr>
          <w:rFonts w:hint="eastAsia" w:ascii="宋体" w:hAnsi="宋体" w:cs="宋体"/>
          <w:color w:val="auto"/>
          <w:kern w:val="0"/>
          <w:sz w:val="24"/>
          <w:highlight w:val="none"/>
        </w:rPr>
        <w:t>在政府采购活动中，投标人提供的货物、工程或者服务符合下列情形的，享受中小企业扶持政策：在服务采购项目中，服务由中小企业承接，即提供服务的人员为中小企业依照《中华人民共和国劳动合同法》订立劳动合同的从业人员。</w:t>
      </w:r>
    </w:p>
    <w:p w14:paraId="01EF86DF">
      <w:pPr>
        <w:widowControl/>
        <w:shd w:val="clear"/>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以联合体形式参加政府采购活动，联合体各方均为中小企业的，联合体视同中小企业。其中，联合体各方均为小微企业的，联合体视同小微企业。</w:t>
      </w:r>
    </w:p>
    <w:p w14:paraId="4E793C7C">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3.3.3对于未预留份额专门面向中小企业的政府采购服务项目，以及预留份额政府采购服务项目中的非预留部分标项，对小型和微型企业的投标报价给予10%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的扣除，用扣除后的价格参加评审。组成联合体或者接受分包的小微企业与联合体内其他企业、分包企业之间存在直接控股、管理关系的，不享受价格扣除优惠政策。</w:t>
      </w:r>
    </w:p>
    <w:p w14:paraId="7207D83F">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3.3.4符合《关于促进残疾人就业政府采购政策的通知》（财库〔2017〕141号）规定的条件并提供《残疾人福利性单位声明函》（附件1）的残疾人福利性单位视同小型、微型企业；</w:t>
      </w:r>
    </w:p>
    <w:p w14:paraId="1CC20F80">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0B0ABD83">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14:paraId="46255076">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3.3.7中小企业享受扶持政策获得政府采购合同的，小微企业不得将合同分包给大中型企业，中型企业不得将合同分包给大型企业。</w:t>
      </w:r>
    </w:p>
    <w:p w14:paraId="38FDD9E7">
      <w:pPr>
        <w:shd w:val="clea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3.4</w:t>
      </w:r>
      <w:r>
        <w:rPr>
          <w:rFonts w:hint="eastAsia" w:ascii="宋体" w:hAnsi="宋体" w:cs="宋体"/>
          <w:bCs/>
          <w:color w:val="auto"/>
          <w:sz w:val="24"/>
          <w:highlight w:val="none"/>
        </w:rPr>
        <w:t>支持创新发展</w:t>
      </w:r>
    </w:p>
    <w:p w14:paraId="7594BC1B">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3.4.1 采购人优先采购被认定为首台套产品和“制造精品”的自主创新产品。</w:t>
      </w:r>
    </w:p>
    <w:p w14:paraId="6A1631A6">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3.4.2首台套产品被纳入《首台套产品推广应用指导目录》之日起</w:t>
      </w:r>
      <w:r>
        <w:rPr>
          <w:rFonts w:ascii="宋体" w:hAnsi="宋体" w:cs="宋体"/>
          <w:color w:val="auto"/>
          <w:sz w:val="24"/>
          <w:highlight w:val="none"/>
        </w:rPr>
        <w:t>3</w:t>
      </w:r>
      <w:r>
        <w:rPr>
          <w:rFonts w:hint="eastAsia" w:ascii="宋体" w:hAnsi="宋体" w:cs="宋体"/>
          <w:color w:val="auto"/>
          <w:sz w:val="24"/>
          <w:highlight w:val="none"/>
        </w:rPr>
        <w:t>年内，以及产品核心技术高于国内领先水平，并具有明晰自主知识产权的“制造精品”产品，自认定之日起2年内视同已具备相应销售业绩，参加政府采购活动时业绩分值为满分。</w:t>
      </w:r>
    </w:p>
    <w:p w14:paraId="04DC613B">
      <w:pPr>
        <w:shd w:val="clear"/>
        <w:spacing w:line="360" w:lineRule="auto"/>
        <w:rPr>
          <w:rFonts w:ascii="宋体" w:hAnsi="宋体" w:cs="宋体"/>
          <w:color w:val="auto"/>
          <w:sz w:val="24"/>
          <w:highlight w:val="none"/>
        </w:rPr>
      </w:pPr>
      <w:r>
        <w:rPr>
          <w:rFonts w:hint="eastAsia" w:ascii="宋体" w:hAnsi="宋体" w:cs="宋体"/>
          <w:color w:val="auto"/>
          <w:sz w:val="24"/>
          <w:highlight w:val="none"/>
        </w:rPr>
        <w:t>3.5平等对待内外资企业和符合条件的破产重整企业</w:t>
      </w:r>
    </w:p>
    <w:p w14:paraId="694D7335">
      <w:pPr>
        <w:shd w:val="clear"/>
        <w:spacing w:line="360" w:lineRule="auto"/>
        <w:ind w:firstLine="240" w:firstLineChars="100"/>
        <w:rPr>
          <w:rFonts w:ascii="宋体" w:hAnsi="宋体" w:cs="宋体"/>
          <w:b/>
          <w:color w:val="auto"/>
          <w:sz w:val="24"/>
          <w:highlight w:val="none"/>
        </w:rPr>
      </w:pPr>
      <w:r>
        <w:rPr>
          <w:rFonts w:hint="eastAsia" w:ascii="宋体" w:hAnsi="宋体" w:cs="宋体"/>
          <w:color w:val="auto"/>
          <w:sz w:val="24"/>
          <w:highlight w:val="none"/>
        </w:rPr>
        <w:t>平等对待内外资企业和符合条件的破产重整企业，切实保障企业公平竞争，平等维护企业的合法利益。</w:t>
      </w:r>
      <w:r>
        <w:rPr>
          <w:rFonts w:hint="eastAsia" w:ascii="宋体" w:hAnsi="宋体" w:cs="宋体"/>
          <w:color w:val="auto"/>
          <w:sz w:val="24"/>
          <w:highlight w:val="none"/>
        </w:rPr>
        <w:cr/>
      </w:r>
      <w:r>
        <w:rPr>
          <w:rFonts w:hint="eastAsia" w:ascii="宋体" w:hAnsi="宋体" w:cs="宋体"/>
          <w:b/>
          <w:color w:val="auto"/>
          <w:sz w:val="24"/>
          <w:highlight w:val="none"/>
        </w:rPr>
        <w:t>4. 询问、质疑、投诉</w:t>
      </w:r>
    </w:p>
    <w:p w14:paraId="18F9B3DC">
      <w:pPr>
        <w:shd w:val="clea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4.1在线询问、质疑、投诉。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63A45AC9">
      <w:pPr>
        <w:shd w:val="clea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4.2供应商询问</w:t>
      </w:r>
    </w:p>
    <w:p w14:paraId="6D6355F6">
      <w:pPr>
        <w:shd w:val="clea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48394856">
      <w:pPr>
        <w:shd w:val="clear"/>
        <w:autoSpaceDE w:val="0"/>
        <w:autoSpaceDN w:val="0"/>
        <w:spacing w:line="360" w:lineRule="auto"/>
        <w:ind w:firstLine="240" w:firstLineChars="1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4.3供应商质疑</w:t>
      </w:r>
    </w:p>
    <w:p w14:paraId="31868AA2">
      <w:pPr>
        <w:pStyle w:val="3"/>
        <w:shd w:val="clear"/>
        <w:spacing w:line="360" w:lineRule="auto"/>
        <w:ind w:firstLine="480" w:firstLineChars="200"/>
        <w:rPr>
          <w:rFonts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.1提出质疑的供应商应当是参与所质疑项目采购活动的供应商。潜在供应商已依法获取其可质疑的招标文件的，可以对该文件提出质疑。</w:t>
      </w:r>
    </w:p>
    <w:p w14:paraId="56063496">
      <w:pPr>
        <w:pStyle w:val="3"/>
        <w:shd w:val="clear"/>
        <w:spacing w:line="360" w:lineRule="auto"/>
        <w:ind w:firstLine="480" w:firstLineChars="200"/>
        <w:rPr>
          <w:rFonts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.2供应商认为招标文件、采购过程和中标结果使自己的权益受到损害的，可以在知道或者应知其权益受到损害之日起七个工作日内，以书面形式向采购人或者</w:t>
      </w:r>
      <w:r>
        <w:rPr>
          <w:rFonts w:hint="eastAsia" w:hAnsi="宋体" w:cs="宋体"/>
          <w:color w:val="auto"/>
          <w:sz w:val="24"/>
          <w:highlight w:val="none"/>
          <w:lang w:eastAsia="zh-CN"/>
        </w:rPr>
        <w:t>采购代理机构</w:t>
      </w:r>
      <w:r>
        <w:rPr>
          <w:rFonts w:hint="eastAsia" w:hAnsi="宋体" w:cs="宋体"/>
          <w:color w:val="auto"/>
          <w:sz w:val="24"/>
          <w:highlight w:val="none"/>
        </w:rPr>
        <w:t>提出质疑，否则，采购人或者</w:t>
      </w:r>
      <w:r>
        <w:rPr>
          <w:rFonts w:hint="eastAsia" w:hAnsi="宋体" w:cs="宋体"/>
          <w:color w:val="auto"/>
          <w:sz w:val="24"/>
          <w:highlight w:val="none"/>
          <w:lang w:eastAsia="zh-CN"/>
        </w:rPr>
        <w:t>采购代理机构</w:t>
      </w:r>
      <w:r>
        <w:rPr>
          <w:rFonts w:hint="eastAsia" w:hAnsi="宋体" w:cs="宋体"/>
          <w:color w:val="auto"/>
          <w:sz w:val="24"/>
          <w:highlight w:val="none"/>
        </w:rPr>
        <w:t>不予受理：</w:t>
      </w:r>
    </w:p>
    <w:p w14:paraId="39C96726">
      <w:pPr>
        <w:pStyle w:val="7"/>
        <w:shd w:val="clear"/>
        <w:spacing w:line="360" w:lineRule="auto"/>
        <w:ind w:firstLine="480" w:firstLineChars="200"/>
        <w:rPr>
          <w:rFonts w:hAnsi="宋体" w:cs="宋体"/>
          <w:snapToGrid/>
          <w:color w:val="auto"/>
          <w:kern w:val="2"/>
          <w:sz w:val="24"/>
          <w:highlight w:val="none"/>
        </w:rPr>
      </w:pPr>
      <w:r>
        <w:rPr>
          <w:rFonts w:hint="eastAsia" w:hAnsi="宋体" w:cs="宋体"/>
          <w:snapToGrid/>
          <w:color w:val="auto"/>
          <w:kern w:val="2"/>
          <w:sz w:val="24"/>
          <w:highlight w:val="none"/>
        </w:rPr>
        <w:t>4.3.2.1对招标文件提出质疑的，质疑期限为供应商获得招标文件之日或者招标文件公告期限届满之日起计算。</w:t>
      </w:r>
    </w:p>
    <w:p w14:paraId="057E6237">
      <w:pPr>
        <w:pStyle w:val="3"/>
        <w:shd w:val="clear"/>
        <w:spacing w:line="360" w:lineRule="auto"/>
        <w:ind w:left="479" w:leftChars="228"/>
        <w:rPr>
          <w:rFonts w:hAnsi="宋体" w:cs="宋体"/>
          <w:color w:val="auto"/>
          <w:sz w:val="24"/>
          <w:highlight w:val="none"/>
        </w:rPr>
      </w:pPr>
      <w:r>
        <w:rPr>
          <w:rFonts w:hint="eastAsia" w:hAnsi="宋体" w:cs="宋体"/>
          <w:color w:val="auto"/>
          <w:sz w:val="24"/>
          <w:highlight w:val="none"/>
        </w:rPr>
        <w:t>4.3.2.2对采购过程提出质疑的，质疑期限为各采购程序环节结束之日起计算。4.3.2.3对采购结果提出质疑的，质疑期限自采购结果公告期限届满之日起计算。</w:t>
      </w:r>
    </w:p>
    <w:p w14:paraId="4062671C">
      <w:pPr>
        <w:pStyle w:val="3"/>
        <w:shd w:val="clear"/>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4.3.3</w:t>
      </w:r>
      <w:r>
        <w:rPr>
          <w:rFonts w:hint="eastAsia" w:hAnsi="宋体" w:cs="宋体"/>
          <w:color w:val="auto"/>
          <w:sz w:val="24"/>
          <w:highlight w:val="none"/>
        </w:rPr>
        <w:t>供应商提出质疑应当提交质疑函和必要的证明材料。质疑函应当包括下列内容：</w:t>
      </w:r>
    </w:p>
    <w:p w14:paraId="076ECDFD">
      <w:pPr>
        <w:pStyle w:val="3"/>
        <w:shd w:val="clear"/>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4.3.3.1供应商的姓名或者名称、地址、邮编、联系人及联系电话；</w:t>
      </w:r>
    </w:p>
    <w:p w14:paraId="3479DEDE">
      <w:pPr>
        <w:pStyle w:val="3"/>
        <w:shd w:val="clear"/>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4.3.3.2质疑项目的名称、编号；</w:t>
      </w:r>
    </w:p>
    <w:p w14:paraId="741D4A4D">
      <w:pPr>
        <w:pStyle w:val="3"/>
        <w:shd w:val="clear"/>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4.3.3.3具体、明确的质疑事项和与质疑事项相关的请求；</w:t>
      </w:r>
    </w:p>
    <w:p w14:paraId="57E051A5">
      <w:pPr>
        <w:pStyle w:val="3"/>
        <w:shd w:val="clear"/>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4.3.3.4事实依据；</w:t>
      </w:r>
    </w:p>
    <w:p w14:paraId="02830053">
      <w:pPr>
        <w:pStyle w:val="3"/>
        <w:shd w:val="clear"/>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4.3.3.5必要的法律依据；</w:t>
      </w:r>
    </w:p>
    <w:p w14:paraId="7D8E68AD">
      <w:pPr>
        <w:pStyle w:val="3"/>
        <w:shd w:val="clear"/>
        <w:spacing w:line="360" w:lineRule="auto"/>
        <w:ind w:firstLine="960" w:firstLineChars="400"/>
        <w:rPr>
          <w:rFonts w:hAnsi="宋体" w:cs="宋体"/>
          <w:color w:val="auto"/>
          <w:kern w:val="0"/>
          <w:sz w:val="24"/>
          <w:highlight w:val="none"/>
          <w:lang w:val="zh-CN"/>
        </w:rPr>
      </w:pPr>
      <w:r>
        <w:rPr>
          <w:rFonts w:hint="eastAsia" w:hAnsi="宋体" w:cs="宋体"/>
          <w:color w:val="auto"/>
          <w:kern w:val="0"/>
          <w:sz w:val="24"/>
          <w:highlight w:val="none"/>
          <w:lang w:val="zh-CN"/>
        </w:rPr>
        <w:t>4.3.3.6提出质疑的日期。</w:t>
      </w:r>
    </w:p>
    <w:p w14:paraId="4E0C96A0">
      <w:pPr>
        <w:pStyle w:val="886"/>
        <w:shd w:val="clear" w:color="auto"/>
        <w:snapToGrid w:val="0"/>
        <w:spacing w:after="240" w:afterAutospacing="0" w:line="360" w:lineRule="auto"/>
        <w:ind w:firstLine="400"/>
        <w:contextualSpacing/>
        <w:rPr>
          <w:color w:val="auto"/>
          <w:highlight w:val="none"/>
        </w:rPr>
      </w:pPr>
      <w:r>
        <w:rPr>
          <w:rFonts w:hint="eastAsia"/>
          <w:color w:val="auto"/>
          <w:highlight w:val="none"/>
        </w:rPr>
        <w:t>供应商提交的质疑函需一式三份。供应商为自然人的，应当由本人签字；供应商为法人或者其他组织的，应当由法定代表人、主要负责人，或者其授权代表签字或者盖章，并加盖公章。</w:t>
      </w:r>
    </w:p>
    <w:p w14:paraId="4408C8E5">
      <w:pPr>
        <w:pStyle w:val="886"/>
        <w:shd w:val="clear" w:color="auto"/>
        <w:snapToGrid w:val="0"/>
        <w:spacing w:after="240" w:afterAutospacing="0" w:line="360" w:lineRule="auto"/>
        <w:ind w:firstLine="400"/>
        <w:contextualSpacing/>
        <w:rPr>
          <w:color w:val="auto"/>
          <w:highlight w:val="none"/>
        </w:rPr>
      </w:pPr>
      <w:r>
        <w:rPr>
          <w:rFonts w:hint="eastAsia"/>
          <w:color w:val="auto"/>
          <w:highlight w:val="none"/>
        </w:rPr>
        <w:t>质疑函范本及制作说明详见附件2。</w:t>
      </w:r>
    </w:p>
    <w:p w14:paraId="71A72C31">
      <w:pPr>
        <w:pStyle w:val="886"/>
        <w:shd w:val="clear" w:color="auto"/>
        <w:snapToGrid w:val="0"/>
        <w:spacing w:after="240" w:afterAutospacing="0" w:line="360" w:lineRule="auto"/>
        <w:ind w:firstLine="400"/>
        <w:contextualSpacing/>
        <w:rPr>
          <w:color w:val="auto"/>
          <w:highlight w:val="none"/>
        </w:rPr>
      </w:pPr>
      <w:r>
        <w:rPr>
          <w:rFonts w:hint="eastAsia"/>
          <w:color w:val="auto"/>
          <w:highlight w:val="none"/>
        </w:rPr>
        <w:t>4.3.4对同一采购程序环节的质疑，供应商须在法定质疑期内一次性提出。</w:t>
      </w:r>
    </w:p>
    <w:p w14:paraId="752E29A3">
      <w:pPr>
        <w:pStyle w:val="886"/>
        <w:shd w:val="clear" w:color="auto"/>
        <w:snapToGrid w:val="0"/>
        <w:spacing w:after="240" w:afterAutospacing="0" w:line="360" w:lineRule="auto"/>
        <w:ind w:firstLine="400"/>
        <w:contextualSpacing/>
        <w:rPr>
          <w:color w:val="auto"/>
          <w:highlight w:val="none"/>
        </w:rPr>
      </w:pPr>
      <w:r>
        <w:rPr>
          <w:rFonts w:hint="eastAsia"/>
          <w:color w:val="auto"/>
          <w:highlight w:val="none"/>
          <w:lang w:val="zh-CN"/>
        </w:rPr>
        <w:t>4.3</w:t>
      </w:r>
      <w:r>
        <w:rPr>
          <w:rFonts w:hint="eastAsia"/>
          <w:color w:val="auto"/>
          <w:highlight w:val="none"/>
        </w:rPr>
        <w:t>.5采购人或者</w:t>
      </w:r>
      <w:r>
        <w:rPr>
          <w:rFonts w:hint="eastAsia"/>
          <w:color w:val="auto"/>
          <w:highlight w:val="none"/>
          <w:lang w:eastAsia="zh-CN"/>
        </w:rPr>
        <w:t>采购代理机构</w:t>
      </w:r>
      <w:r>
        <w:rPr>
          <w:rFonts w:hint="eastAsia"/>
          <w:color w:val="auto"/>
          <w:highlight w:val="none"/>
        </w:rPr>
        <w:t>应当在收到供应商的书面质疑后七个工作日内作出答复，并以书面形式通知质疑供应商和其他与质疑处理结果有利害关系的政府采购当事人，但答复的内容不得涉及商业秘密。</w:t>
      </w:r>
      <w:r>
        <w:rPr>
          <w:rFonts w:hint="eastAsia" w:asciiTheme="minorEastAsia" w:hAnsiTheme="minorEastAsia" w:eastAsiaTheme="minorEastAsia"/>
          <w:color w:val="auto"/>
          <w:sz w:val="24"/>
          <w:highlight w:val="none"/>
        </w:rPr>
        <w:t>根据《</w:t>
      </w:r>
      <w:r>
        <w:rPr>
          <w:rFonts w:hint="eastAsia" w:asciiTheme="minorEastAsia" w:hAnsiTheme="minorEastAsia" w:eastAsiaTheme="minorEastAsia"/>
          <w:color w:val="auto"/>
          <w:sz w:val="24"/>
          <w:highlight w:val="none"/>
          <w:lang w:val="en-US" w:eastAsia="zh-CN"/>
        </w:rPr>
        <w:t>浙江省财政厅</w:t>
      </w:r>
      <w:r>
        <w:rPr>
          <w:rFonts w:hint="eastAsia" w:asciiTheme="minorEastAsia" w:hAnsiTheme="minorEastAsia" w:eastAsiaTheme="minorEastAsia"/>
          <w:color w:val="auto"/>
          <w:sz w:val="24"/>
          <w:highlight w:val="none"/>
        </w:rPr>
        <w:t>关于进一步加强政府采购公</w:t>
      </w:r>
      <w:r>
        <w:rPr>
          <w:rFonts w:hint="eastAsia" w:asciiTheme="minorEastAsia" w:hAnsiTheme="minorEastAsia" w:eastAsiaTheme="minorEastAsia"/>
          <w:color w:val="auto"/>
          <w:sz w:val="24"/>
          <w:highlight w:val="none"/>
          <w:lang w:val="en-US" w:eastAsia="zh-CN"/>
        </w:rPr>
        <w:t>平竞争打造最</w:t>
      </w:r>
      <w:r>
        <w:rPr>
          <w:rFonts w:hint="eastAsia" w:asciiTheme="minorEastAsia" w:hAnsiTheme="minorEastAsia" w:eastAsiaTheme="minorEastAsia"/>
          <w:color w:val="auto"/>
          <w:sz w:val="24"/>
          <w:highlight w:val="none"/>
        </w:rPr>
        <w:t>优营商环境的通知》（</w:t>
      </w:r>
      <w:r>
        <w:rPr>
          <w:rFonts w:hint="eastAsia" w:asciiTheme="minorEastAsia" w:hAnsiTheme="minorEastAsia" w:eastAsiaTheme="minorEastAsia"/>
          <w:color w:val="auto"/>
          <w:sz w:val="24"/>
          <w:highlight w:val="none"/>
          <w:lang w:val="en-US" w:eastAsia="zh-CN"/>
        </w:rPr>
        <w:t>浙</w:t>
      </w:r>
      <w:r>
        <w:rPr>
          <w:rFonts w:hint="eastAsia" w:asciiTheme="minorEastAsia" w:hAnsiTheme="minorEastAsia" w:eastAsiaTheme="minorEastAsia"/>
          <w:color w:val="auto"/>
          <w:sz w:val="24"/>
          <w:highlight w:val="none"/>
        </w:rPr>
        <w:t>财采监〔</w:t>
      </w:r>
      <w:r>
        <w:rPr>
          <w:rFonts w:asciiTheme="minorEastAsia" w:hAnsiTheme="minorEastAsia" w:eastAsiaTheme="minorEastAsia"/>
          <w:color w:val="auto"/>
          <w:sz w:val="24"/>
          <w:highlight w:val="none"/>
        </w:rPr>
        <w:t>2021〕</w:t>
      </w:r>
      <w:r>
        <w:rPr>
          <w:rFonts w:hint="eastAsia" w:asciiTheme="minorEastAsia" w:hAnsiTheme="minorEastAsia" w:eastAsiaTheme="minorEastAsia"/>
          <w:color w:val="auto"/>
          <w:sz w:val="24"/>
          <w:highlight w:val="none"/>
          <w:lang w:val="en-US" w:eastAsia="zh-CN"/>
        </w:rPr>
        <w:t>22</w:t>
      </w:r>
      <w:r>
        <w:rPr>
          <w:rFonts w:asciiTheme="minorEastAsia" w:hAnsiTheme="minorEastAsia" w:eastAsiaTheme="minorEastAsia"/>
          <w:color w:val="auto"/>
          <w:sz w:val="24"/>
          <w:highlight w:val="none"/>
        </w:rPr>
        <w:t>号）</w:t>
      </w:r>
      <w:r>
        <w:rPr>
          <w:rFonts w:hint="eastAsia" w:asciiTheme="minorEastAsia" w:hAnsiTheme="minorEastAsia" w:eastAsiaTheme="minorEastAsia"/>
          <w:color w:val="auto"/>
          <w:sz w:val="24"/>
          <w:highlight w:val="none"/>
          <w:lang w:eastAsia="zh-CN"/>
        </w:rPr>
        <w:t>，</w:t>
      </w:r>
      <w:r>
        <w:rPr>
          <w:rFonts w:hint="eastAsia"/>
          <w:color w:val="auto"/>
          <w:highlight w:val="none"/>
        </w:rPr>
        <w:t>采购人或者</w:t>
      </w:r>
      <w:r>
        <w:rPr>
          <w:rFonts w:hint="eastAsia"/>
          <w:color w:val="auto"/>
          <w:highlight w:val="none"/>
          <w:lang w:eastAsia="zh-CN"/>
        </w:rPr>
        <w:t>采购代理机构</w:t>
      </w:r>
      <w:r>
        <w:rPr>
          <w:rFonts w:hint="eastAsia"/>
          <w:color w:val="auto"/>
          <w:highlight w:val="none"/>
        </w:rPr>
        <w:t>在质疑回复后5个工作日内，在浙江政府采购网的“其他公告”栏目公开质疑答复，答复内容应当完整。质疑函作为附件上传。</w:t>
      </w:r>
    </w:p>
    <w:p w14:paraId="502E0989">
      <w:pPr>
        <w:pStyle w:val="886"/>
        <w:shd w:val="clear" w:color="auto"/>
        <w:snapToGrid w:val="0"/>
        <w:spacing w:after="240" w:afterAutospacing="0" w:line="360" w:lineRule="auto"/>
        <w:ind w:firstLine="400"/>
        <w:contextualSpacing/>
        <w:rPr>
          <w:color w:val="auto"/>
          <w:highlight w:val="none"/>
        </w:rPr>
      </w:pPr>
      <w:r>
        <w:rPr>
          <w:rFonts w:hint="eastAsia"/>
          <w:color w:val="auto"/>
          <w:highlight w:val="none"/>
          <w:lang w:val="zh-CN"/>
        </w:rPr>
        <w:t>4.3</w:t>
      </w:r>
      <w:r>
        <w:rPr>
          <w:rFonts w:hint="eastAsia"/>
          <w:color w:val="auto"/>
          <w:highlight w:val="none"/>
        </w:rPr>
        <w:t>.6询问或者质疑事项可能影响采购结果的，采购人应当暂停签订合同，已经签订合同的，应当中止履行合同。</w:t>
      </w:r>
    </w:p>
    <w:p w14:paraId="53FEA1E5">
      <w:pPr>
        <w:pStyle w:val="886"/>
        <w:shd w:val="clear" w:color="auto"/>
        <w:snapToGrid w:val="0"/>
        <w:spacing w:after="240" w:afterAutospacing="0" w:line="360" w:lineRule="auto"/>
        <w:ind w:firstLine="480" w:firstLineChars="200"/>
        <w:contextualSpacing/>
        <w:rPr>
          <w:color w:val="auto"/>
          <w:highlight w:val="none"/>
          <w:lang w:val="zh-CN"/>
        </w:rPr>
      </w:pPr>
      <w:r>
        <w:rPr>
          <w:rFonts w:hint="eastAsia"/>
          <w:color w:val="auto"/>
          <w:highlight w:val="none"/>
          <w:lang w:val="zh-CN"/>
        </w:rPr>
        <w:t>4.4供应商投诉</w:t>
      </w:r>
    </w:p>
    <w:p w14:paraId="2AE204E6">
      <w:pPr>
        <w:pStyle w:val="886"/>
        <w:shd w:val="clear" w:color="auto"/>
        <w:snapToGrid w:val="0"/>
        <w:spacing w:after="240" w:afterAutospacing="0" w:line="360" w:lineRule="auto"/>
        <w:ind w:firstLine="400"/>
        <w:contextualSpacing/>
        <w:rPr>
          <w:color w:val="auto"/>
          <w:highlight w:val="none"/>
        </w:rPr>
      </w:pPr>
      <w:r>
        <w:rPr>
          <w:rFonts w:hint="eastAsia"/>
          <w:color w:val="auto"/>
          <w:highlight w:val="none"/>
        </w:rPr>
        <w:t>4.4.1质疑供应商对采购人、</w:t>
      </w:r>
      <w:r>
        <w:rPr>
          <w:rFonts w:hint="eastAsia"/>
          <w:color w:val="auto"/>
          <w:highlight w:val="none"/>
          <w:lang w:eastAsia="zh-CN"/>
        </w:rPr>
        <w:t>采购代理机构</w:t>
      </w:r>
      <w:r>
        <w:rPr>
          <w:rFonts w:hint="eastAsia"/>
          <w:color w:val="auto"/>
          <w:highlight w:val="none"/>
        </w:rPr>
        <w:t>的答复不满意或者采购人、</w:t>
      </w:r>
      <w:r>
        <w:rPr>
          <w:rFonts w:hint="eastAsia"/>
          <w:color w:val="auto"/>
          <w:highlight w:val="none"/>
          <w:lang w:eastAsia="zh-CN"/>
        </w:rPr>
        <w:t>采购代理机构</w:t>
      </w:r>
      <w:r>
        <w:rPr>
          <w:rFonts w:hint="eastAsia"/>
          <w:color w:val="auto"/>
          <w:highlight w:val="none"/>
        </w:rPr>
        <w:t>未在规定的时间内作出答复的，可以在答复期满后十五个工作日内向同级政府采购监督管理部门提出投诉。</w:t>
      </w:r>
    </w:p>
    <w:p w14:paraId="7F6412E0">
      <w:pPr>
        <w:pStyle w:val="886"/>
        <w:shd w:val="clear" w:color="auto"/>
        <w:snapToGrid w:val="0"/>
        <w:spacing w:after="240" w:afterAutospacing="0" w:line="360" w:lineRule="auto"/>
        <w:ind w:firstLine="400"/>
        <w:contextualSpacing/>
        <w:rPr>
          <w:color w:val="auto"/>
          <w:highlight w:val="none"/>
        </w:rPr>
      </w:pPr>
      <w:r>
        <w:rPr>
          <w:rFonts w:hint="eastAsia"/>
          <w:color w:val="auto"/>
          <w:highlight w:val="none"/>
        </w:rPr>
        <w:t>4.4.</w:t>
      </w:r>
      <w:r>
        <w:rPr>
          <w:rFonts w:hint="eastAsia"/>
          <w:color w:val="auto"/>
          <w:highlight w:val="none"/>
          <w:lang w:val="zh-CN"/>
        </w:rPr>
        <w:t>2</w:t>
      </w:r>
      <w:r>
        <w:rPr>
          <w:rFonts w:hint="eastAsia"/>
          <w:color w:val="auto"/>
          <w:highlight w:val="none"/>
        </w:rPr>
        <w:t>供应商投诉的事项不得超出已质疑事项的范围，基于质疑答复内容提出的投诉事项除外。</w:t>
      </w:r>
    </w:p>
    <w:p w14:paraId="11D2D791">
      <w:pPr>
        <w:pStyle w:val="886"/>
        <w:shd w:val="clear" w:color="auto"/>
        <w:snapToGrid w:val="0"/>
        <w:spacing w:after="240" w:afterAutospacing="0" w:line="360" w:lineRule="auto"/>
        <w:ind w:firstLine="400"/>
        <w:contextualSpacing/>
        <w:rPr>
          <w:color w:val="auto"/>
          <w:highlight w:val="none"/>
        </w:rPr>
      </w:pPr>
      <w:r>
        <w:rPr>
          <w:rFonts w:hint="eastAsia"/>
          <w:color w:val="auto"/>
          <w:highlight w:val="none"/>
        </w:rPr>
        <w:t>4.4.3供应商投诉应当有明确的请求和必要的证明材料。</w:t>
      </w:r>
    </w:p>
    <w:p w14:paraId="64FDEE10">
      <w:pPr>
        <w:pStyle w:val="886"/>
        <w:shd w:val="clear" w:color="auto"/>
        <w:snapToGrid w:val="0"/>
        <w:spacing w:after="240" w:afterAutospacing="0" w:line="360" w:lineRule="auto"/>
        <w:ind w:firstLine="400"/>
        <w:contextualSpacing/>
        <w:rPr>
          <w:color w:val="auto"/>
          <w:highlight w:val="none"/>
        </w:rPr>
      </w:pPr>
      <w:r>
        <w:rPr>
          <w:rFonts w:hint="eastAsia"/>
          <w:color w:val="auto"/>
          <w:highlight w:val="none"/>
        </w:rPr>
        <w:t>4.4.4以联合体形式参加政府采购活动的，其投诉应当由组成联合体的所有供应商共同提出。</w:t>
      </w:r>
    </w:p>
    <w:p w14:paraId="2F1201B3">
      <w:pPr>
        <w:pStyle w:val="886"/>
        <w:shd w:val="clear" w:color="auto"/>
        <w:snapToGrid w:val="0"/>
        <w:spacing w:after="240" w:afterAutospacing="0" w:line="360" w:lineRule="auto"/>
        <w:ind w:firstLine="400"/>
        <w:contextualSpacing/>
        <w:rPr>
          <w:color w:val="auto"/>
          <w:highlight w:val="none"/>
        </w:rPr>
      </w:pPr>
      <w:r>
        <w:rPr>
          <w:rFonts w:hint="eastAsia"/>
          <w:color w:val="auto"/>
          <w:highlight w:val="none"/>
        </w:rPr>
        <w:t>4.4.5</w:t>
      </w:r>
      <w:r>
        <w:rPr>
          <w:rFonts w:hint="eastAsia" w:ascii="宋体" w:hAnsi="宋体" w:cs="宋体"/>
          <w:color w:val="auto"/>
          <w:sz w:val="24"/>
          <w:highlight w:val="none"/>
          <w:lang w:val="zh-CN"/>
        </w:rPr>
        <w:t>投诉材料寄送相关信息详见《第一部分  招标公告》。</w:t>
      </w:r>
    </w:p>
    <w:p w14:paraId="340930AA">
      <w:pPr>
        <w:pStyle w:val="886"/>
        <w:shd w:val="clear" w:color="auto"/>
        <w:snapToGrid w:val="0"/>
        <w:spacing w:after="240" w:afterAutospacing="0" w:line="360" w:lineRule="auto"/>
        <w:ind w:firstLine="400"/>
        <w:contextualSpacing/>
        <w:rPr>
          <w:color w:val="auto"/>
          <w:highlight w:val="none"/>
        </w:rPr>
      </w:pPr>
      <w:r>
        <w:rPr>
          <w:rFonts w:hint="eastAsia"/>
          <w:color w:val="auto"/>
          <w:highlight w:val="none"/>
        </w:rPr>
        <w:t>投诉书范本及制作说明详见附件3。</w:t>
      </w:r>
    </w:p>
    <w:p w14:paraId="61E9AB41">
      <w:pPr>
        <w:pStyle w:val="129"/>
        <w:shd w:val="clear"/>
        <w:snapToGrid w:val="0"/>
        <w:spacing w:before="0"/>
        <w:ind w:firstLine="360"/>
        <w:rPr>
          <w:rFonts w:ascii="宋体" w:hAnsi="宋体" w:cs="宋体"/>
          <w:color w:val="auto"/>
          <w:sz w:val="18"/>
          <w:szCs w:val="18"/>
          <w:highlight w:val="none"/>
        </w:rPr>
      </w:pPr>
    </w:p>
    <w:p w14:paraId="1D3D4312">
      <w:pPr>
        <w:shd w:val="clear"/>
        <w:adjustRightInd/>
        <w:spacing w:line="360" w:lineRule="auto"/>
        <w:jc w:val="center"/>
        <w:outlineLvl w:val="0"/>
        <w:rPr>
          <w:rFonts w:ascii="宋体" w:hAnsi="宋体" w:cs="宋体"/>
          <w:b/>
          <w:color w:val="auto"/>
          <w:sz w:val="32"/>
          <w:szCs w:val="20"/>
          <w:highlight w:val="none"/>
        </w:rPr>
      </w:pPr>
      <w:r>
        <w:rPr>
          <w:rFonts w:hint="eastAsia" w:ascii="宋体" w:hAnsi="宋体" w:cs="宋体"/>
          <w:b/>
          <w:color w:val="auto"/>
          <w:sz w:val="32"/>
          <w:szCs w:val="20"/>
          <w:highlight w:val="none"/>
        </w:rPr>
        <w:t xml:space="preserve">      二、招标文件的构成、澄清、修改</w:t>
      </w:r>
    </w:p>
    <w:p w14:paraId="610CFADE">
      <w:pPr>
        <w:pStyle w:val="3"/>
        <w:shd w:val="clear"/>
        <w:spacing w:line="360" w:lineRule="auto"/>
        <w:rPr>
          <w:rFonts w:hAnsi="宋体" w:cs="宋体"/>
          <w:b/>
          <w:color w:val="auto"/>
          <w:sz w:val="24"/>
          <w:szCs w:val="24"/>
          <w:highlight w:val="none"/>
        </w:rPr>
      </w:pPr>
      <w:r>
        <w:rPr>
          <w:rFonts w:hint="eastAsia" w:hAnsi="宋体" w:cs="宋体"/>
          <w:b/>
          <w:color w:val="auto"/>
          <w:sz w:val="24"/>
          <w:szCs w:val="24"/>
          <w:highlight w:val="none"/>
        </w:rPr>
        <w:t>5．招标文件的构成</w:t>
      </w:r>
    </w:p>
    <w:p w14:paraId="49E6F153">
      <w:pPr>
        <w:pStyle w:val="3"/>
        <w:shd w:val="clear"/>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5.1 招标文件包括下列文件及附件：</w:t>
      </w:r>
    </w:p>
    <w:p w14:paraId="51534780">
      <w:pPr>
        <w:pStyle w:val="3"/>
        <w:shd w:val="clear"/>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5.1.1招标公告；</w:t>
      </w:r>
    </w:p>
    <w:p w14:paraId="1F4DF4F5">
      <w:pPr>
        <w:pStyle w:val="3"/>
        <w:shd w:val="clear"/>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5.1.2投标人须知；</w:t>
      </w:r>
    </w:p>
    <w:p w14:paraId="757E95AE">
      <w:pPr>
        <w:pStyle w:val="3"/>
        <w:shd w:val="clear"/>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5.1.3采购需求；</w:t>
      </w:r>
    </w:p>
    <w:p w14:paraId="33B34034">
      <w:pPr>
        <w:pStyle w:val="3"/>
        <w:shd w:val="clear"/>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5.1.4评标办法；</w:t>
      </w:r>
    </w:p>
    <w:p w14:paraId="0017DF62">
      <w:pPr>
        <w:pStyle w:val="3"/>
        <w:shd w:val="clear"/>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5.1.5拟签订的合同文本；</w:t>
      </w:r>
    </w:p>
    <w:p w14:paraId="5FA156CF">
      <w:pPr>
        <w:pStyle w:val="3"/>
        <w:shd w:val="clear"/>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highlight w:val="none"/>
        </w:rPr>
        <w:t>5.1.6</w:t>
      </w:r>
      <w:r>
        <w:rPr>
          <w:rFonts w:hint="eastAsia" w:hAnsi="宋体" w:cs="宋体"/>
          <w:color w:val="auto"/>
          <w:sz w:val="24"/>
          <w:szCs w:val="24"/>
          <w:highlight w:val="none"/>
        </w:rPr>
        <w:t>应提交的有关格式范例。</w:t>
      </w:r>
    </w:p>
    <w:p w14:paraId="5D19D524">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5.2与本项目有关的</w:t>
      </w:r>
      <w:r>
        <w:rPr>
          <w:rFonts w:hint="eastAsia" w:ascii="宋体" w:hAnsi="宋体" w:cs="宋体"/>
          <w:bCs/>
          <w:color w:val="auto"/>
          <w:sz w:val="24"/>
          <w:highlight w:val="none"/>
        </w:rPr>
        <w:t>澄清或者修改的内容为招标文件的组成部分</w:t>
      </w:r>
      <w:r>
        <w:rPr>
          <w:rFonts w:hint="eastAsia" w:ascii="宋体" w:hAnsi="宋体" w:cs="宋体"/>
          <w:color w:val="auto"/>
          <w:sz w:val="24"/>
          <w:highlight w:val="none"/>
        </w:rPr>
        <w:t>。</w:t>
      </w:r>
    </w:p>
    <w:p w14:paraId="4145A993">
      <w:pPr>
        <w:pStyle w:val="3"/>
        <w:shd w:val="clear"/>
        <w:spacing w:line="360" w:lineRule="auto"/>
        <w:rPr>
          <w:rFonts w:hAnsi="宋体" w:cs="宋体"/>
          <w:b/>
          <w:color w:val="auto"/>
          <w:sz w:val="24"/>
          <w:szCs w:val="24"/>
          <w:highlight w:val="none"/>
        </w:rPr>
      </w:pPr>
      <w:r>
        <w:rPr>
          <w:rFonts w:hint="eastAsia" w:hAnsi="宋体" w:cs="宋体"/>
          <w:b/>
          <w:color w:val="auto"/>
          <w:sz w:val="24"/>
          <w:szCs w:val="24"/>
          <w:highlight w:val="none"/>
        </w:rPr>
        <w:t>6. 招标文件的澄清、修改</w:t>
      </w:r>
    </w:p>
    <w:p w14:paraId="5A1661E6">
      <w:pPr>
        <w:pStyle w:val="129"/>
        <w:shd w:val="clear"/>
        <w:snapToGrid w:val="0"/>
        <w:spacing w:before="0"/>
        <w:ind w:firstLine="480"/>
        <w:rPr>
          <w:rFonts w:ascii="宋体" w:hAnsi="宋体" w:cs="宋体"/>
          <w:color w:val="auto"/>
          <w:highlight w:val="none"/>
        </w:rPr>
      </w:pPr>
      <w:r>
        <w:rPr>
          <w:rFonts w:hint="eastAsia" w:ascii="宋体" w:hAnsi="宋体" w:cs="宋体"/>
          <w:color w:val="auto"/>
          <w:highlight w:val="none"/>
        </w:rPr>
        <w:t>6.1已获取招标文件的潜在投标人，若有问题需要澄清，应于投标截止时间前，以书面形式向</w:t>
      </w:r>
      <w:r>
        <w:rPr>
          <w:rFonts w:hint="eastAsia" w:ascii="宋体" w:hAnsi="宋体" w:cs="宋体"/>
          <w:color w:val="auto"/>
          <w:highlight w:val="none"/>
          <w:lang w:eastAsia="zh-CN"/>
        </w:rPr>
        <w:t>采购代理机构</w:t>
      </w:r>
      <w:r>
        <w:rPr>
          <w:rFonts w:hint="eastAsia" w:ascii="宋体" w:hAnsi="宋体" w:cs="宋体"/>
          <w:color w:val="auto"/>
          <w:highlight w:val="none"/>
        </w:rPr>
        <w:t>提出。</w:t>
      </w:r>
    </w:p>
    <w:p w14:paraId="5FC9C736">
      <w:pPr>
        <w:pStyle w:val="129"/>
        <w:shd w:val="clear"/>
        <w:snapToGrid w:val="0"/>
        <w:spacing w:before="0"/>
        <w:ind w:firstLine="480"/>
        <w:rPr>
          <w:rFonts w:ascii="宋体" w:hAnsi="宋体" w:cs="宋体"/>
          <w:color w:val="auto"/>
          <w:highlight w:val="none"/>
        </w:rPr>
      </w:pPr>
      <w:r>
        <w:rPr>
          <w:rFonts w:hint="eastAsia" w:ascii="宋体" w:hAnsi="宋体" w:cs="宋体"/>
          <w:color w:val="auto"/>
          <w:highlight w:val="none"/>
        </w:rPr>
        <w:t xml:space="preserve">6.2 </w:t>
      </w:r>
      <w:r>
        <w:rPr>
          <w:rFonts w:hint="eastAsia" w:ascii="宋体" w:hAnsi="宋体" w:cs="宋体"/>
          <w:color w:val="auto"/>
          <w:highlight w:val="none"/>
          <w:lang w:eastAsia="zh-CN"/>
        </w:rPr>
        <w:t>采购代理机构</w:t>
      </w:r>
      <w:r>
        <w:rPr>
          <w:rFonts w:hint="eastAsia" w:ascii="宋体" w:hAnsi="宋体" w:cs="宋体"/>
          <w:color w:val="auto"/>
          <w:highlight w:val="none"/>
        </w:rPr>
        <w:t>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357FD87D">
      <w:pPr>
        <w:pStyle w:val="25"/>
        <w:shd w:val="clear"/>
        <w:rPr>
          <w:rFonts w:hAnsi="宋体" w:cs="宋体"/>
          <w:color w:val="auto"/>
          <w:sz w:val="18"/>
          <w:szCs w:val="18"/>
          <w:highlight w:val="none"/>
          <w:lang w:val="en-US"/>
        </w:rPr>
      </w:pPr>
      <w:r>
        <w:rPr>
          <w:rFonts w:hint="eastAsia" w:hAnsi="宋体" w:cs="宋体"/>
          <w:color w:val="auto"/>
          <w:szCs w:val="24"/>
          <w:highlight w:val="none"/>
          <w:lang w:val="en-US"/>
        </w:rPr>
        <w:t xml:space="preserve">    </w:t>
      </w:r>
    </w:p>
    <w:p w14:paraId="65C7E58A">
      <w:pPr>
        <w:shd w:val="clear"/>
        <w:adjustRightInd/>
        <w:spacing w:line="360" w:lineRule="auto"/>
        <w:jc w:val="center"/>
        <w:outlineLvl w:val="0"/>
        <w:rPr>
          <w:rFonts w:ascii="宋体" w:hAnsi="宋体" w:cs="宋体"/>
          <w:b/>
          <w:color w:val="auto"/>
          <w:sz w:val="30"/>
          <w:szCs w:val="20"/>
          <w:highlight w:val="none"/>
        </w:rPr>
      </w:pPr>
      <w:r>
        <w:rPr>
          <w:rFonts w:hint="eastAsia" w:ascii="宋体" w:hAnsi="宋体" w:cs="宋体"/>
          <w:b/>
          <w:color w:val="auto"/>
          <w:sz w:val="30"/>
          <w:szCs w:val="20"/>
          <w:highlight w:val="none"/>
        </w:rPr>
        <w:t>三、投标</w:t>
      </w:r>
    </w:p>
    <w:p w14:paraId="444FC5E9">
      <w:pPr>
        <w:pStyle w:val="3"/>
        <w:shd w:val="clear"/>
        <w:spacing w:line="360" w:lineRule="auto"/>
        <w:rPr>
          <w:rFonts w:hAnsi="宋体" w:cs="宋体"/>
          <w:b/>
          <w:color w:val="auto"/>
          <w:sz w:val="24"/>
          <w:szCs w:val="24"/>
          <w:highlight w:val="none"/>
        </w:rPr>
      </w:pPr>
      <w:r>
        <w:rPr>
          <w:rFonts w:hint="eastAsia" w:hAnsi="宋体" w:cs="宋体"/>
          <w:b/>
          <w:color w:val="auto"/>
          <w:sz w:val="24"/>
          <w:szCs w:val="24"/>
          <w:highlight w:val="none"/>
        </w:rPr>
        <w:t>7. 招标文件的获取</w:t>
      </w:r>
    </w:p>
    <w:p w14:paraId="0999AE1F">
      <w:pPr>
        <w:shd w:val="clear"/>
        <w:spacing w:line="360" w:lineRule="auto"/>
        <w:ind w:firstLine="480" w:firstLineChars="200"/>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详见招标公告中获取招标文件的时间期限、地点、方式及招标文件售价。</w:t>
      </w:r>
    </w:p>
    <w:p w14:paraId="1E7AE72D">
      <w:pPr>
        <w:pStyle w:val="3"/>
        <w:shd w:val="clear"/>
        <w:spacing w:line="360" w:lineRule="auto"/>
        <w:rPr>
          <w:rFonts w:hAnsi="宋体" w:cs="宋体"/>
          <w:b/>
          <w:color w:val="auto"/>
          <w:sz w:val="24"/>
          <w:szCs w:val="24"/>
          <w:highlight w:val="none"/>
        </w:rPr>
      </w:pPr>
      <w:r>
        <w:rPr>
          <w:rFonts w:hint="eastAsia" w:hAnsi="宋体" w:cs="宋体"/>
          <w:b/>
          <w:color w:val="auto"/>
          <w:sz w:val="24"/>
          <w:szCs w:val="24"/>
          <w:highlight w:val="none"/>
        </w:rPr>
        <w:t>8.开标前答疑会或现场考察</w:t>
      </w:r>
    </w:p>
    <w:p w14:paraId="73A964EF">
      <w:pPr>
        <w:pStyle w:val="3"/>
        <w:shd w:val="clear"/>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采购人组织潜在投标人现场考察或者召开开标前答疑会的，潜在投标人按第二部分投标人须知前附表的规定参加现场考察或者开标前答疑会。</w:t>
      </w:r>
    </w:p>
    <w:p w14:paraId="11262C94">
      <w:pPr>
        <w:pStyle w:val="3"/>
        <w:shd w:val="clear"/>
        <w:spacing w:line="360" w:lineRule="auto"/>
        <w:rPr>
          <w:rFonts w:hAnsi="宋体" w:cs="宋体"/>
          <w:b/>
          <w:color w:val="auto"/>
          <w:szCs w:val="24"/>
          <w:highlight w:val="none"/>
        </w:rPr>
      </w:pPr>
      <w:r>
        <w:rPr>
          <w:rFonts w:hint="eastAsia" w:hAnsi="宋体" w:cs="宋体"/>
          <w:b/>
          <w:color w:val="auto"/>
          <w:kern w:val="28"/>
          <w:sz w:val="24"/>
          <w:szCs w:val="24"/>
          <w:highlight w:val="none"/>
        </w:rPr>
        <w:t>9.投标保证金</w:t>
      </w:r>
    </w:p>
    <w:p w14:paraId="7136DCDF">
      <w:pPr>
        <w:pStyle w:val="7"/>
        <w:shd w:val="clear"/>
        <w:spacing w:line="360" w:lineRule="auto"/>
        <w:ind w:firstLine="470" w:firstLineChars="196"/>
        <w:rPr>
          <w:rFonts w:hAnsi="宋体" w:cs="宋体"/>
          <w:color w:val="auto"/>
          <w:sz w:val="24"/>
          <w:highlight w:val="none"/>
        </w:rPr>
      </w:pPr>
      <w:r>
        <w:rPr>
          <w:rFonts w:hint="eastAsia" w:hAnsi="宋体" w:cs="宋体"/>
          <w:color w:val="auto"/>
          <w:sz w:val="24"/>
          <w:highlight w:val="none"/>
        </w:rPr>
        <w:t>本项目不需缴纳投标保证金。</w:t>
      </w:r>
    </w:p>
    <w:p w14:paraId="57AB2B92">
      <w:pPr>
        <w:pStyle w:val="3"/>
        <w:shd w:val="clear"/>
        <w:spacing w:line="360" w:lineRule="auto"/>
        <w:rPr>
          <w:rFonts w:hAnsi="宋体" w:cs="宋体"/>
          <w:b/>
          <w:color w:val="auto"/>
          <w:sz w:val="24"/>
          <w:szCs w:val="24"/>
          <w:highlight w:val="none"/>
        </w:rPr>
      </w:pPr>
      <w:r>
        <w:rPr>
          <w:rFonts w:hint="eastAsia" w:hAnsi="宋体" w:cs="宋体"/>
          <w:b/>
          <w:color w:val="auto"/>
          <w:sz w:val="24"/>
          <w:szCs w:val="24"/>
          <w:highlight w:val="none"/>
        </w:rPr>
        <w:t>10. 投标文件的语言</w:t>
      </w:r>
    </w:p>
    <w:p w14:paraId="5246AF28">
      <w:pPr>
        <w:shd w:val="clear"/>
        <w:autoSpaceDE w:val="0"/>
        <w:autoSpaceDN w:val="0"/>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rPr>
        <w:t>投标文件及投标人与采购有关的来往通知、函件和文件均应使用中文。</w:t>
      </w:r>
    </w:p>
    <w:p w14:paraId="6ACC6E08">
      <w:pPr>
        <w:pStyle w:val="3"/>
        <w:shd w:val="clear"/>
        <w:spacing w:line="360" w:lineRule="auto"/>
        <w:rPr>
          <w:rFonts w:hAnsi="宋体" w:cs="宋体"/>
          <w:b/>
          <w:color w:val="auto"/>
          <w:sz w:val="24"/>
          <w:szCs w:val="24"/>
          <w:highlight w:val="none"/>
        </w:rPr>
      </w:pPr>
      <w:r>
        <w:rPr>
          <w:rFonts w:hint="eastAsia" w:hAnsi="宋体" w:cs="宋体"/>
          <w:b/>
          <w:color w:val="auto"/>
          <w:sz w:val="24"/>
          <w:szCs w:val="24"/>
          <w:highlight w:val="none"/>
        </w:rPr>
        <w:t>11. 投标文件的组成</w:t>
      </w:r>
    </w:p>
    <w:p w14:paraId="19AAD0C4">
      <w:pPr>
        <w:shd w:val="clea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11.1</w:t>
      </w:r>
      <w:r>
        <w:rPr>
          <w:rFonts w:hint="eastAsia" w:ascii="宋体" w:hAnsi="宋体" w:cs="宋体"/>
          <w:b/>
          <w:color w:val="auto"/>
          <w:sz w:val="24"/>
          <w:highlight w:val="none"/>
        </w:rPr>
        <w:t>资格文件</w:t>
      </w:r>
      <w:r>
        <w:rPr>
          <w:rFonts w:hint="eastAsia" w:ascii="宋体" w:hAnsi="宋体" w:cs="宋体"/>
          <w:color w:val="auto"/>
          <w:sz w:val="24"/>
          <w:highlight w:val="none"/>
        </w:rPr>
        <w:t>：</w:t>
      </w:r>
    </w:p>
    <w:p w14:paraId="6838AAA5">
      <w:pPr>
        <w:shd w:val="clea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11.1.1符合参加政府采购活动应当具备的一般条件的承诺函；</w:t>
      </w:r>
    </w:p>
    <w:p w14:paraId="0B052C3D">
      <w:pPr>
        <w:shd w:val="clea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w:t>
      </w:r>
      <w:r>
        <w:rPr>
          <w:rFonts w:ascii="宋体" w:hAnsi="宋体" w:cs="宋体"/>
          <w:color w:val="auto"/>
          <w:sz w:val="24"/>
          <w:highlight w:val="none"/>
        </w:rPr>
        <w:t>1.1.2</w:t>
      </w:r>
      <w:r>
        <w:rPr>
          <w:rFonts w:hint="eastAsia" w:ascii="宋体" w:hAnsi="宋体" w:cs="宋体"/>
          <w:snapToGrid w:val="0"/>
          <w:color w:val="auto"/>
          <w:kern w:val="28"/>
          <w:sz w:val="24"/>
          <w:szCs w:val="20"/>
          <w:highlight w:val="none"/>
        </w:rPr>
        <w:t>联合协议（如果有</w:t>
      </w:r>
      <w:r>
        <w:rPr>
          <w:rFonts w:hint="eastAsia" w:ascii="宋体" w:hAnsi="宋体" w:cs="宋体"/>
          <w:snapToGrid w:val="0"/>
          <w:color w:val="auto"/>
          <w:kern w:val="28"/>
          <w:sz w:val="24"/>
          <w:szCs w:val="20"/>
          <w:highlight w:val="none"/>
          <w:lang w:eastAsia="zh-CN"/>
        </w:rPr>
        <w:t>）</w:t>
      </w:r>
      <w:r>
        <w:rPr>
          <w:rFonts w:hint="eastAsia" w:ascii="宋体" w:hAnsi="宋体" w:cs="宋体"/>
          <w:snapToGrid w:val="0"/>
          <w:color w:val="auto"/>
          <w:kern w:val="28"/>
          <w:sz w:val="24"/>
          <w:szCs w:val="20"/>
          <w:highlight w:val="none"/>
        </w:rPr>
        <w:t>；</w:t>
      </w:r>
    </w:p>
    <w:p w14:paraId="7552C800">
      <w:pPr>
        <w:shd w:val="clea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w:t>
      </w:r>
      <w:r>
        <w:rPr>
          <w:rFonts w:ascii="宋体" w:hAnsi="宋体" w:cs="宋体"/>
          <w:color w:val="auto"/>
          <w:sz w:val="24"/>
          <w:highlight w:val="none"/>
        </w:rPr>
        <w:t>3</w:t>
      </w:r>
      <w:r>
        <w:rPr>
          <w:rFonts w:hint="eastAsia" w:ascii="宋体" w:hAnsi="宋体" w:cs="宋体"/>
          <w:color w:val="auto"/>
          <w:sz w:val="24"/>
          <w:highlight w:val="none"/>
        </w:rPr>
        <w:t>落实政府采购政策需满足的资格要求</w:t>
      </w:r>
      <w:r>
        <w:rPr>
          <w:rFonts w:hint="eastAsia" w:ascii="宋体" w:hAnsi="宋体" w:cs="宋体"/>
          <w:snapToGrid w:val="0"/>
          <w:color w:val="auto"/>
          <w:kern w:val="28"/>
          <w:sz w:val="24"/>
          <w:szCs w:val="20"/>
          <w:highlight w:val="none"/>
        </w:rPr>
        <w:t>（如果有</w:t>
      </w:r>
      <w:r>
        <w:rPr>
          <w:rFonts w:hint="eastAsia" w:ascii="宋体" w:hAnsi="宋体" w:cs="宋体"/>
          <w:snapToGrid w:val="0"/>
          <w:color w:val="auto"/>
          <w:kern w:val="28"/>
          <w:sz w:val="24"/>
          <w:szCs w:val="20"/>
          <w:highlight w:val="none"/>
          <w:lang w:eastAsia="zh-CN"/>
        </w:rPr>
        <w:t>）</w:t>
      </w:r>
      <w:r>
        <w:rPr>
          <w:rFonts w:hint="eastAsia" w:ascii="宋体" w:hAnsi="宋体" w:cs="宋体"/>
          <w:color w:val="auto"/>
          <w:sz w:val="24"/>
          <w:highlight w:val="none"/>
        </w:rPr>
        <w:t>；</w:t>
      </w:r>
    </w:p>
    <w:p w14:paraId="4280A81E">
      <w:pPr>
        <w:shd w:val="clea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w:t>
      </w:r>
      <w:r>
        <w:rPr>
          <w:rFonts w:ascii="宋体" w:hAnsi="宋体" w:cs="宋体"/>
          <w:color w:val="auto"/>
          <w:sz w:val="24"/>
          <w:highlight w:val="none"/>
        </w:rPr>
        <w:t>4</w:t>
      </w:r>
      <w:r>
        <w:rPr>
          <w:rFonts w:hint="eastAsia" w:ascii="宋体" w:hAnsi="宋体" w:cs="宋体"/>
          <w:color w:val="auto"/>
          <w:sz w:val="24"/>
          <w:highlight w:val="none"/>
        </w:rPr>
        <w:t>本项目的特定资格要求</w:t>
      </w:r>
      <w:r>
        <w:rPr>
          <w:rFonts w:hint="eastAsia" w:ascii="宋体" w:hAnsi="宋体" w:cs="宋体"/>
          <w:snapToGrid w:val="0"/>
          <w:color w:val="auto"/>
          <w:kern w:val="28"/>
          <w:sz w:val="24"/>
          <w:szCs w:val="20"/>
          <w:highlight w:val="none"/>
        </w:rPr>
        <w:t>（如果有</w:t>
      </w:r>
      <w:r>
        <w:rPr>
          <w:rFonts w:hint="eastAsia" w:ascii="宋体" w:hAnsi="宋体" w:cs="宋体"/>
          <w:snapToGrid w:val="0"/>
          <w:color w:val="auto"/>
          <w:kern w:val="28"/>
          <w:sz w:val="24"/>
          <w:szCs w:val="20"/>
          <w:highlight w:val="none"/>
          <w:lang w:eastAsia="zh-CN"/>
        </w:rPr>
        <w:t>）</w:t>
      </w:r>
      <w:r>
        <w:rPr>
          <w:rFonts w:hint="eastAsia" w:ascii="宋体" w:hAnsi="宋体" w:cs="宋体"/>
          <w:color w:val="auto"/>
          <w:sz w:val="24"/>
          <w:highlight w:val="none"/>
        </w:rPr>
        <w:t>。</w:t>
      </w:r>
    </w:p>
    <w:p w14:paraId="4EBAD28E">
      <w:pPr>
        <w:shd w:val="clear"/>
        <w:snapToGrid w:val="0"/>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lang w:val="zh-CN"/>
        </w:rPr>
        <w:t>11.</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14:paraId="5A8DE717">
      <w:pPr>
        <w:shd w:val="clea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11.2.1投标函；</w:t>
      </w:r>
      <w:r>
        <w:rPr>
          <w:rFonts w:hint="eastAsia" w:ascii="宋体" w:hAnsi="宋体" w:cs="宋体"/>
          <w:color w:val="auto"/>
          <w:sz w:val="24"/>
          <w:highlight w:val="none"/>
          <w:lang w:val="zh-CN"/>
        </w:rPr>
        <w:t xml:space="preserve"> </w:t>
      </w:r>
    </w:p>
    <w:p w14:paraId="55F5336E">
      <w:pPr>
        <w:shd w:val="clea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11.2.2授权委托书或法定代表人（单位负责人、自然人本人）身份证明；</w:t>
      </w:r>
    </w:p>
    <w:p w14:paraId="129213E2">
      <w:pPr>
        <w:shd w:val="clea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snapToGrid w:val="0"/>
          <w:color w:val="auto"/>
          <w:kern w:val="28"/>
          <w:sz w:val="24"/>
          <w:szCs w:val="20"/>
          <w:highlight w:val="none"/>
        </w:rPr>
        <w:t>（如果有</w:t>
      </w:r>
      <w:r>
        <w:rPr>
          <w:rFonts w:hint="eastAsia" w:ascii="宋体" w:hAnsi="宋体" w:cs="宋体"/>
          <w:snapToGrid w:val="0"/>
          <w:color w:val="auto"/>
          <w:kern w:val="28"/>
          <w:sz w:val="24"/>
          <w:szCs w:val="20"/>
          <w:highlight w:val="none"/>
          <w:lang w:eastAsia="zh-CN"/>
        </w:rPr>
        <w:t>）</w:t>
      </w:r>
      <w:r>
        <w:rPr>
          <w:rFonts w:hint="eastAsia" w:ascii="宋体" w:hAnsi="宋体" w:cs="宋体"/>
          <w:color w:val="auto"/>
          <w:sz w:val="24"/>
          <w:highlight w:val="none"/>
        </w:rPr>
        <w:t>；</w:t>
      </w:r>
    </w:p>
    <w:p w14:paraId="12B7D57E">
      <w:pPr>
        <w:shd w:val="clea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4</w:t>
      </w:r>
      <w:r>
        <w:rPr>
          <w:rFonts w:hint="eastAsia" w:ascii="宋体" w:hAnsi="宋体" w:cs="宋体"/>
          <w:color w:val="auto"/>
          <w:sz w:val="24"/>
          <w:highlight w:val="none"/>
        </w:rPr>
        <w:t>符合性审查资料；</w:t>
      </w:r>
    </w:p>
    <w:p w14:paraId="348274CA">
      <w:pPr>
        <w:shd w:val="clea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p>
    <w:p w14:paraId="097955E9">
      <w:pPr>
        <w:shd w:val="clea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6</w:t>
      </w:r>
      <w:r>
        <w:rPr>
          <w:rFonts w:hint="eastAsia" w:ascii="宋体" w:hAnsi="宋体" w:cs="宋体"/>
          <w:color w:val="auto"/>
          <w:sz w:val="24"/>
          <w:highlight w:val="none"/>
        </w:rPr>
        <w:t>商务技术偏离表；</w:t>
      </w:r>
    </w:p>
    <w:p w14:paraId="6063189C">
      <w:pPr>
        <w:shd w:val="clear"/>
        <w:snapToGrid w:val="0"/>
        <w:spacing w:line="360" w:lineRule="auto"/>
        <w:ind w:firstLine="960" w:firstLineChars="400"/>
        <w:rPr>
          <w:rFonts w:ascii="宋体" w:hAnsi="宋体" w:cs="宋体"/>
          <w:color w:val="auto"/>
          <w:sz w:val="24"/>
          <w:highlight w:val="none"/>
          <w:lang w:val="zh-CN"/>
        </w:rPr>
      </w:pPr>
      <w:r>
        <w:rPr>
          <w:rFonts w:hint="eastAsia" w:ascii="宋体" w:hAnsi="宋体" w:cs="宋体"/>
          <w:color w:val="auto"/>
          <w:sz w:val="24"/>
          <w:highlight w:val="none"/>
          <w:lang w:val="zh-CN"/>
        </w:rPr>
        <w:t>11.</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lang w:val="en-US" w:eastAsia="zh-CN"/>
        </w:rPr>
        <w:t>7</w:t>
      </w:r>
      <w:r>
        <w:rPr>
          <w:rFonts w:hint="eastAsia" w:ascii="宋体" w:hAnsi="宋体" w:cs="宋体"/>
          <w:color w:val="auto"/>
          <w:sz w:val="24"/>
          <w:highlight w:val="none"/>
          <w:lang w:val="zh-CN"/>
        </w:rPr>
        <w:t>政府采购供应商廉洁自律承诺书；</w:t>
      </w:r>
    </w:p>
    <w:p w14:paraId="1C82B5C7">
      <w:pPr>
        <w:shd w:val="clear"/>
        <w:snapToGrid w:val="0"/>
        <w:spacing w:line="360" w:lineRule="auto"/>
        <w:ind w:firstLine="480" w:firstLineChars="200"/>
        <w:rPr>
          <w:rFonts w:ascii="宋体" w:hAnsi="宋体" w:cs="宋体"/>
          <w:color w:val="auto"/>
          <w:sz w:val="24"/>
          <w:highlight w:val="none"/>
          <w:u w:val="single"/>
          <w:lang w:val="zh-CN"/>
        </w:rPr>
      </w:pPr>
      <w:r>
        <w:rPr>
          <w:rFonts w:hint="eastAsia" w:ascii="宋体" w:hAnsi="宋体" w:cs="宋体"/>
          <w:color w:val="auto"/>
          <w:kern w:val="0"/>
          <w:sz w:val="24"/>
          <w:highlight w:val="none"/>
          <w:lang w:val="zh-CN"/>
        </w:rPr>
        <w:t>11.</w:t>
      </w:r>
      <w:r>
        <w:rPr>
          <w:rFonts w:hint="eastAsia" w:ascii="宋体" w:hAnsi="宋体" w:cs="宋体"/>
          <w:color w:val="auto"/>
          <w:kern w:val="0"/>
          <w:sz w:val="24"/>
          <w:highlight w:val="none"/>
        </w:rPr>
        <w:t>3</w:t>
      </w:r>
      <w:r>
        <w:rPr>
          <w:rFonts w:hint="eastAsia" w:ascii="宋体" w:hAnsi="宋体" w:cs="宋体"/>
          <w:b/>
          <w:color w:val="auto"/>
          <w:sz w:val="24"/>
          <w:highlight w:val="none"/>
        </w:rPr>
        <w:t>报价文件：</w:t>
      </w:r>
      <w:r>
        <w:rPr>
          <w:rFonts w:hint="eastAsia" w:ascii="宋体" w:hAnsi="宋体" w:cs="宋体"/>
          <w:color w:val="auto"/>
          <w:sz w:val="24"/>
          <w:highlight w:val="none"/>
        </w:rPr>
        <w:t xml:space="preserve"> </w:t>
      </w:r>
    </w:p>
    <w:p w14:paraId="7B02C2BB">
      <w:pPr>
        <w:shd w:val="clea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11.3.1开标一览表（报价表）；</w:t>
      </w:r>
    </w:p>
    <w:p w14:paraId="082C1812">
      <w:pPr>
        <w:shd w:val="clear"/>
        <w:snapToGrid w:val="0"/>
        <w:spacing w:line="360" w:lineRule="auto"/>
        <w:ind w:firstLine="960" w:firstLineChars="400"/>
        <w:rPr>
          <w:rFonts w:hint="eastAsia" w:ascii="宋体" w:hAnsi="宋体" w:cs="宋体"/>
          <w:color w:val="auto"/>
          <w:sz w:val="24"/>
          <w:highlight w:val="none"/>
          <w:lang w:eastAsia="zh-CN"/>
        </w:rPr>
      </w:pPr>
      <w:r>
        <w:rPr>
          <w:rFonts w:hint="eastAsia" w:ascii="宋体" w:hAnsi="宋体" w:cs="宋体"/>
          <w:color w:val="auto"/>
          <w:sz w:val="24"/>
          <w:highlight w:val="none"/>
        </w:rPr>
        <w:t>11.3.2中小企业声明函</w:t>
      </w:r>
      <w:r>
        <w:rPr>
          <w:rFonts w:hint="eastAsia" w:ascii="宋体" w:hAnsi="宋体" w:cs="宋体"/>
          <w:color w:val="auto"/>
          <w:sz w:val="24"/>
          <w:highlight w:val="none"/>
          <w:lang w:eastAsia="zh-CN"/>
        </w:rPr>
        <w:t>；</w:t>
      </w:r>
    </w:p>
    <w:p w14:paraId="4C6BB9B6">
      <w:pPr>
        <w:shd w:val="clear"/>
        <w:snapToGrid w:val="0"/>
        <w:spacing w:line="360" w:lineRule="auto"/>
        <w:ind w:firstLine="960" w:firstLineChars="400"/>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11.3.3</w:t>
      </w:r>
      <w:r>
        <w:rPr>
          <w:rFonts w:hint="eastAsia" w:ascii="宋体" w:hAnsi="宋体" w:cs="宋体"/>
          <w:color w:val="auto"/>
          <w:sz w:val="24"/>
          <w:highlight w:val="none"/>
        </w:rPr>
        <w:t>历史供货价格</w:t>
      </w:r>
      <w:r>
        <w:rPr>
          <w:rFonts w:hint="eastAsia" w:ascii="宋体" w:hAnsi="宋体" w:cs="宋体"/>
          <w:color w:val="auto"/>
          <w:sz w:val="24"/>
          <w:highlight w:val="none"/>
          <w:lang w:val="en-US" w:eastAsia="zh-CN"/>
        </w:rPr>
        <w:t>凭证（供应商应提供合同或供货发票或其他供货证明，证明供应商可按本次报价进行供货）；</w:t>
      </w:r>
    </w:p>
    <w:p w14:paraId="41BE2DEE">
      <w:pPr>
        <w:shd w:val="clear"/>
        <w:snapToGrid w:val="0"/>
        <w:spacing w:line="360" w:lineRule="auto"/>
        <w:ind w:firstLine="960" w:firstLineChars="400"/>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11.3.4报价情况说明(如供应商报价低于项目预算或最高限价50%的，应当提交本文档，详细阐述不影响产品质量或者诚信履约的具体原因）。</w:t>
      </w:r>
    </w:p>
    <w:p w14:paraId="24FD39D6">
      <w:pPr>
        <w:shd w:val="clear"/>
        <w:spacing w:line="360" w:lineRule="auto"/>
        <w:ind w:firstLine="723" w:firstLineChars="300"/>
        <w:rPr>
          <w:rFonts w:ascii="宋体" w:hAnsi="宋体" w:cs="宋体"/>
          <w:b/>
          <w:color w:val="auto"/>
          <w:sz w:val="24"/>
          <w:highlight w:val="none"/>
        </w:rPr>
      </w:pPr>
      <w:r>
        <w:rPr>
          <w:rFonts w:hint="eastAsia" w:ascii="宋体" w:hAnsi="宋体" w:cs="宋体"/>
          <w:b/>
          <w:color w:val="auto"/>
          <w:sz w:val="24"/>
          <w:highlight w:val="none"/>
        </w:rPr>
        <w:t>投标文件含有采购人不能接受的附加条件的，投标无效；</w:t>
      </w:r>
    </w:p>
    <w:p w14:paraId="44CB522E">
      <w:pPr>
        <w:shd w:val="clear"/>
        <w:spacing w:line="360" w:lineRule="auto"/>
        <w:ind w:firstLine="723" w:firstLineChars="300"/>
        <w:rPr>
          <w:rFonts w:hint="eastAsia" w:ascii="宋体" w:hAnsi="宋体" w:cs="宋体"/>
          <w:b/>
          <w:color w:val="auto"/>
          <w:sz w:val="24"/>
          <w:highlight w:val="none"/>
        </w:rPr>
      </w:pPr>
      <w:r>
        <w:rPr>
          <w:rFonts w:hint="eastAsia" w:ascii="宋体" w:hAnsi="宋体" w:cs="宋体"/>
          <w:b/>
          <w:color w:val="auto"/>
          <w:sz w:val="24"/>
          <w:highlight w:val="none"/>
        </w:rPr>
        <w:t>投标人提供虚假材料投标的，投标无效。</w:t>
      </w:r>
    </w:p>
    <w:p w14:paraId="18977561">
      <w:pPr>
        <w:shd w:val="clear"/>
        <w:spacing w:line="360" w:lineRule="auto"/>
        <w:ind w:firstLine="723" w:firstLineChars="300"/>
        <w:rPr>
          <w:rFonts w:ascii="宋体" w:hAnsi="宋体" w:cs="宋体"/>
          <w:b/>
          <w:color w:val="auto"/>
          <w:sz w:val="24"/>
          <w:szCs w:val="21"/>
          <w:highlight w:val="none"/>
        </w:rPr>
      </w:pPr>
      <w:r>
        <w:rPr>
          <w:rFonts w:hint="eastAsia" w:ascii="宋体" w:hAnsi="宋体" w:cs="宋体"/>
          <w:b/>
          <w:color w:val="auto"/>
          <w:sz w:val="24"/>
          <w:highlight w:val="none"/>
          <w:lang w:val="en-US" w:eastAsia="zh-CN"/>
        </w:rPr>
        <w:t>注：投标人可事先在公开官网查询、核对相关证书和报告内容，确保投标(响应)文件资料准确无误。投标人应对投标文件中材料的真实性、合法性负责。</w:t>
      </w:r>
    </w:p>
    <w:p w14:paraId="499DE5AA">
      <w:pPr>
        <w:pStyle w:val="129"/>
        <w:shd w:val="clear"/>
        <w:snapToGrid w:val="0"/>
        <w:spacing w:before="0"/>
        <w:ind w:firstLine="0" w:firstLineChars="0"/>
        <w:outlineLvl w:val="0"/>
        <w:rPr>
          <w:rFonts w:ascii="宋体" w:hAnsi="宋体" w:cs="宋体"/>
          <w:b/>
          <w:color w:val="auto"/>
          <w:szCs w:val="24"/>
          <w:highlight w:val="none"/>
        </w:rPr>
      </w:pPr>
      <w:r>
        <w:rPr>
          <w:rFonts w:hint="eastAsia" w:ascii="宋体" w:hAnsi="宋体" w:cs="宋体"/>
          <w:b/>
          <w:color w:val="auto"/>
          <w:szCs w:val="24"/>
          <w:highlight w:val="none"/>
        </w:rPr>
        <w:t>12</w:t>
      </w:r>
      <w:r>
        <w:rPr>
          <w:rFonts w:hint="eastAsia" w:ascii="宋体" w:hAnsi="宋体" w:cs="宋体"/>
          <w:b/>
          <w:color w:val="auto"/>
          <w:kern w:val="0"/>
          <w:szCs w:val="24"/>
          <w:highlight w:val="none"/>
          <w:lang w:val="zh-CN"/>
        </w:rPr>
        <w:t xml:space="preserve">. </w:t>
      </w:r>
      <w:r>
        <w:rPr>
          <w:rFonts w:hint="eastAsia" w:ascii="宋体" w:hAnsi="宋体" w:cs="宋体"/>
          <w:b/>
          <w:color w:val="auto"/>
          <w:szCs w:val="24"/>
          <w:highlight w:val="none"/>
        </w:rPr>
        <w:t>投标文件的编制</w:t>
      </w:r>
    </w:p>
    <w:p w14:paraId="5E4045C0">
      <w:pPr>
        <w:shd w:val="clear"/>
        <w:spacing w:line="360" w:lineRule="auto"/>
        <w:ind w:firstLine="480" w:firstLineChars="200"/>
        <w:rPr>
          <w:rFonts w:ascii="宋体" w:hAnsi="宋体" w:cs="宋体"/>
          <w:b/>
          <w:color w:val="auto"/>
          <w:sz w:val="24"/>
          <w:highlight w:val="none"/>
        </w:rPr>
      </w:pPr>
      <w:r>
        <w:rPr>
          <w:rFonts w:hint="eastAsia" w:ascii="宋体" w:hAnsi="宋体" w:cs="宋体"/>
          <w:color w:val="auto"/>
          <w:kern w:val="0"/>
          <w:sz w:val="24"/>
          <w:highlight w:val="none"/>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2C8210C7">
      <w:pPr>
        <w:shd w:val="clear"/>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64005434">
      <w:pPr>
        <w:shd w:val="clear"/>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12.3使用“政采云电子交易客户端”需要提前申领CA数字证书，申领流程请自行前往“浙江政府采购网-下载专区－电子交易客户端-CA驱动和申领流程”进行查阅。</w:t>
      </w:r>
    </w:p>
    <w:p w14:paraId="2B58AB87">
      <w:pPr>
        <w:shd w:val="clear"/>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13.投标文件的签署、盖章</w:t>
      </w:r>
    </w:p>
    <w:p w14:paraId="091A2736">
      <w:pPr>
        <w:pStyle w:val="129"/>
        <w:shd w:val="clear"/>
        <w:snapToGrid w:val="0"/>
        <w:spacing w:before="0"/>
        <w:ind w:firstLine="480"/>
        <w:rPr>
          <w:rFonts w:ascii="宋体" w:hAnsi="宋体" w:cs="宋体"/>
          <w:b/>
          <w:color w:val="auto"/>
          <w:highlight w:val="none"/>
        </w:rPr>
      </w:pPr>
      <w:r>
        <w:rPr>
          <w:rFonts w:hint="eastAsia" w:ascii="宋体" w:hAnsi="宋体" w:cs="宋体"/>
          <w:color w:val="auto"/>
          <w:szCs w:val="24"/>
          <w:highlight w:val="none"/>
        </w:rPr>
        <w:t>13.1投标文件按照招标文件第六部分格式要</w:t>
      </w:r>
      <w:r>
        <w:rPr>
          <w:rFonts w:hint="eastAsia" w:ascii="宋体" w:hAnsi="宋体" w:cs="宋体"/>
          <w:color w:val="auto"/>
          <w:highlight w:val="none"/>
        </w:rPr>
        <w:t>求进行签署、盖章。</w:t>
      </w:r>
      <w:r>
        <w:rPr>
          <w:rFonts w:hint="eastAsia" w:ascii="宋体" w:hAnsi="宋体" w:cs="宋体"/>
          <w:b/>
          <w:color w:val="auto"/>
          <w:highlight w:val="none"/>
        </w:rPr>
        <w:t>▲投标人的投标文件未按照招标文件要求签署、盖章的，其投标无效</w:t>
      </w:r>
      <w:r>
        <w:rPr>
          <w:rFonts w:hint="eastAsia" w:ascii="宋体" w:hAnsi="宋体" w:cs="宋体"/>
          <w:color w:val="auto"/>
          <w:szCs w:val="24"/>
          <w:highlight w:val="none"/>
        </w:rPr>
        <w:t>。</w:t>
      </w:r>
    </w:p>
    <w:p w14:paraId="1FE0E4C0">
      <w:pPr>
        <w:pStyle w:val="129"/>
        <w:shd w:val="clear"/>
        <w:snapToGrid w:val="0"/>
        <w:spacing w:before="0"/>
        <w:ind w:firstLine="480"/>
        <w:rPr>
          <w:rFonts w:ascii="宋体" w:hAnsi="宋体" w:cs="宋体"/>
          <w:color w:val="auto"/>
          <w:highlight w:val="none"/>
        </w:rPr>
      </w:pPr>
      <w:r>
        <w:rPr>
          <w:rFonts w:hint="eastAsia" w:ascii="宋体" w:hAnsi="宋体" w:cs="宋体"/>
          <w:color w:val="auto"/>
          <w:highlight w:val="none"/>
        </w:rPr>
        <w:t>13.2为确保网上操作合法、有效和安全，投标人应当在投标截止时间前完成在“政府采购云平台”的身份认证，确保在电子投标过程中能够对相关数据电文进行加密和使用电子签名。</w:t>
      </w:r>
    </w:p>
    <w:p w14:paraId="733CB519">
      <w:pPr>
        <w:pStyle w:val="129"/>
        <w:shd w:val="clear"/>
        <w:snapToGrid w:val="0"/>
        <w:spacing w:before="0"/>
        <w:ind w:firstLine="480"/>
        <w:rPr>
          <w:rFonts w:ascii="宋体" w:hAnsi="宋体" w:cs="宋体"/>
          <w:color w:val="auto"/>
          <w:szCs w:val="24"/>
          <w:highlight w:val="none"/>
        </w:rPr>
      </w:pPr>
      <w:r>
        <w:rPr>
          <w:rFonts w:hint="eastAsia" w:ascii="宋体" w:hAnsi="宋体" w:cs="宋体"/>
          <w:color w:val="auto"/>
          <w:highlight w:val="none"/>
        </w:rPr>
        <w:t>13.3招标文件对投标文件签署、盖章的要求适用于电子签名。</w:t>
      </w:r>
    </w:p>
    <w:p w14:paraId="6CC0574B">
      <w:pPr>
        <w:pStyle w:val="129"/>
        <w:shd w:val="clear"/>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14. 投标文件的提交、补充、修改、撤回</w:t>
      </w:r>
    </w:p>
    <w:p w14:paraId="497007E9">
      <w:pPr>
        <w:pStyle w:val="129"/>
        <w:shd w:val="clear"/>
        <w:ind w:firstLine="480"/>
        <w:rPr>
          <w:rFonts w:ascii="宋体" w:hAnsi="宋体" w:cs="宋体"/>
          <w:color w:val="auto"/>
          <w:szCs w:val="24"/>
          <w:highlight w:val="none"/>
        </w:rPr>
      </w:pPr>
      <w:r>
        <w:rPr>
          <w:rFonts w:hint="eastAsia" w:ascii="宋体" w:hAnsi="宋体" w:cs="宋体"/>
          <w:color w:val="auto"/>
          <w:szCs w:val="24"/>
          <w:highlight w:val="none"/>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091D42F7">
      <w:pPr>
        <w:pStyle w:val="129"/>
        <w:shd w:val="clear"/>
        <w:spacing w:before="0"/>
        <w:ind w:firstLine="480"/>
        <w:rPr>
          <w:rFonts w:ascii="宋体" w:hAnsi="宋体" w:cs="宋体"/>
          <w:color w:val="auto"/>
          <w:szCs w:val="24"/>
          <w:highlight w:val="none"/>
        </w:rPr>
      </w:pPr>
      <w:r>
        <w:rPr>
          <w:rFonts w:hint="eastAsia" w:ascii="宋体" w:hAnsi="宋体" w:cs="宋体"/>
          <w:color w:val="auto"/>
          <w:szCs w:val="24"/>
          <w:highlight w:val="none"/>
        </w:rPr>
        <w:t>14.2电子交易平台收到投标文件，将妥善保存并即时向供应商发出确认回执通知。在投标截止时间前，除供应商补充、修改或者撤回投标文件外，任何单位和个人不得解密或提取投标文件。</w:t>
      </w:r>
    </w:p>
    <w:p w14:paraId="0A30D0F4">
      <w:pPr>
        <w:pStyle w:val="129"/>
        <w:shd w:val="clear"/>
        <w:spacing w:before="0"/>
        <w:ind w:firstLine="480"/>
        <w:rPr>
          <w:rFonts w:ascii="宋体" w:hAnsi="宋体" w:cs="宋体"/>
          <w:color w:val="auto"/>
          <w:szCs w:val="24"/>
          <w:highlight w:val="none"/>
        </w:rPr>
      </w:pPr>
      <w:r>
        <w:rPr>
          <w:rFonts w:hint="eastAsia" w:ascii="宋体" w:hAnsi="宋体" w:cs="宋体"/>
          <w:color w:val="auto"/>
          <w:szCs w:val="24"/>
          <w:highlight w:val="none"/>
        </w:rPr>
        <w:t>14.3采购人、</w:t>
      </w:r>
      <w:r>
        <w:rPr>
          <w:rFonts w:hint="eastAsia" w:ascii="宋体" w:hAnsi="宋体" w:cs="宋体"/>
          <w:color w:val="auto"/>
          <w:szCs w:val="24"/>
          <w:highlight w:val="none"/>
          <w:lang w:eastAsia="zh-CN"/>
        </w:rPr>
        <w:t>采购代理机构</w:t>
      </w:r>
      <w:r>
        <w:rPr>
          <w:rFonts w:hint="eastAsia" w:ascii="宋体" w:hAnsi="宋体" w:cs="宋体"/>
          <w:color w:val="auto"/>
          <w:szCs w:val="24"/>
          <w:highlight w:val="none"/>
        </w:rPr>
        <w:t>可以视情况延长投标文件提交的截止时间。在上述情况下，</w:t>
      </w:r>
      <w:r>
        <w:rPr>
          <w:rFonts w:hint="eastAsia" w:ascii="宋体" w:hAnsi="宋体" w:cs="宋体"/>
          <w:color w:val="auto"/>
          <w:szCs w:val="24"/>
          <w:highlight w:val="none"/>
          <w:lang w:eastAsia="zh-CN"/>
        </w:rPr>
        <w:t>采购代理机构</w:t>
      </w:r>
      <w:r>
        <w:rPr>
          <w:rFonts w:hint="eastAsia" w:ascii="宋体" w:hAnsi="宋体" w:cs="宋体"/>
          <w:color w:val="auto"/>
          <w:szCs w:val="24"/>
          <w:highlight w:val="none"/>
        </w:rPr>
        <w:t>与投标人以前在投标截止期方面的全部权利、责任和义务，将适用于延长至新的投标截止期。</w:t>
      </w:r>
    </w:p>
    <w:p w14:paraId="52824DA6">
      <w:pPr>
        <w:pStyle w:val="3"/>
        <w:shd w:val="clear"/>
        <w:spacing w:line="360" w:lineRule="auto"/>
        <w:rPr>
          <w:rFonts w:hAnsi="宋体" w:cs="宋体"/>
          <w:b/>
          <w:color w:val="auto"/>
          <w:sz w:val="24"/>
          <w:szCs w:val="24"/>
          <w:highlight w:val="none"/>
        </w:rPr>
      </w:pPr>
      <w:r>
        <w:rPr>
          <w:rFonts w:hint="eastAsia" w:hAnsi="宋体" w:cs="宋体"/>
          <w:b/>
          <w:color w:val="auto"/>
          <w:sz w:val="24"/>
          <w:szCs w:val="24"/>
          <w:highlight w:val="none"/>
        </w:rPr>
        <w:t>15.备份投标文件</w:t>
      </w:r>
    </w:p>
    <w:p w14:paraId="30E94A1C">
      <w:pPr>
        <w:pStyle w:val="3"/>
        <w:shd w:val="clear"/>
        <w:spacing w:line="360" w:lineRule="auto"/>
        <w:ind w:firstLine="360" w:firstLineChars="150"/>
        <w:rPr>
          <w:rFonts w:hAnsi="宋体" w:cs="宋体"/>
          <w:b/>
          <w:color w:val="auto"/>
          <w:sz w:val="24"/>
          <w:szCs w:val="24"/>
          <w:highlight w:val="none"/>
        </w:rPr>
      </w:pPr>
      <w:r>
        <w:rPr>
          <w:rFonts w:hint="eastAsia" w:hAnsi="宋体" w:cs="宋体"/>
          <w:color w:val="auto"/>
          <w:sz w:val="24"/>
          <w:szCs w:val="24"/>
          <w:highlight w:val="none"/>
        </w:rPr>
        <w:t xml:space="preserve"> 15.1投标人在电子交易平台传输递交投标文件后，还可以在投标截止时间前直接提交或者以邮政快递方式递交备份投标文件1份，</w:t>
      </w:r>
      <w:r>
        <w:rPr>
          <w:rFonts w:hint="eastAsia" w:hAnsi="宋体" w:cs="宋体"/>
          <w:b/>
          <w:color w:val="auto"/>
          <w:sz w:val="24"/>
          <w:szCs w:val="24"/>
          <w:highlight w:val="none"/>
        </w:rPr>
        <w:t>但采购人、</w:t>
      </w:r>
      <w:r>
        <w:rPr>
          <w:rFonts w:hint="eastAsia" w:hAnsi="宋体" w:cs="宋体"/>
          <w:b/>
          <w:color w:val="auto"/>
          <w:sz w:val="24"/>
          <w:szCs w:val="24"/>
          <w:highlight w:val="none"/>
          <w:lang w:eastAsia="zh-CN"/>
        </w:rPr>
        <w:t>采购代理机构</w:t>
      </w:r>
      <w:r>
        <w:rPr>
          <w:rFonts w:hint="eastAsia" w:hAnsi="宋体" w:cs="宋体"/>
          <w:b/>
          <w:color w:val="auto"/>
          <w:sz w:val="24"/>
          <w:szCs w:val="24"/>
          <w:highlight w:val="none"/>
        </w:rPr>
        <w:t>不强制或变相强制投标人提交备份投标文件。</w:t>
      </w:r>
    </w:p>
    <w:p w14:paraId="6A8639DA">
      <w:pPr>
        <w:pStyle w:val="3"/>
        <w:shd w:val="clear"/>
        <w:spacing w:line="360" w:lineRule="auto"/>
        <w:ind w:firstLine="480" w:firstLineChars="200"/>
        <w:rPr>
          <w:rFonts w:hAnsi="宋体" w:cs="宋体"/>
          <w:b/>
          <w:color w:val="auto"/>
          <w:sz w:val="24"/>
          <w:szCs w:val="24"/>
          <w:highlight w:val="none"/>
        </w:rPr>
      </w:pPr>
      <w:r>
        <w:rPr>
          <w:rFonts w:hint="eastAsia" w:hAnsi="宋体" w:cs="宋体"/>
          <w:color w:val="auto"/>
          <w:sz w:val="24"/>
          <w:szCs w:val="24"/>
          <w:highlight w:val="none"/>
        </w:rPr>
        <w:t>15.2备份投标文件须在“政采云投标客户端”制作生成，并储存在</w:t>
      </w:r>
      <w:r>
        <w:rPr>
          <w:rFonts w:hint="eastAsia" w:hAnsi="宋体" w:cs="宋体"/>
          <w:color w:val="auto"/>
          <w:sz w:val="24"/>
          <w:highlight w:val="none"/>
          <w:lang w:val="en-US" w:eastAsia="zh-CN"/>
        </w:rPr>
        <w:t>U</w:t>
      </w:r>
      <w:r>
        <w:rPr>
          <w:rFonts w:hint="eastAsia" w:hAnsi="宋体" w:cs="宋体"/>
          <w:color w:val="auto"/>
          <w:sz w:val="24"/>
          <w:highlight w:val="none"/>
        </w:rPr>
        <w:t>盘</w:t>
      </w:r>
      <w:r>
        <w:rPr>
          <w:rFonts w:hint="eastAsia" w:hAnsi="宋体" w:cs="宋体"/>
          <w:color w:val="auto"/>
          <w:sz w:val="24"/>
          <w:szCs w:val="24"/>
          <w:highlight w:val="none"/>
        </w:rPr>
        <w:t>中。备份投标文件应当密封包装并在包装上加盖公章并注明投标项目名称，投标人名称</w:t>
      </w:r>
      <w:r>
        <w:rPr>
          <w:rFonts w:hint="eastAsia" w:hAnsi="宋体" w:cs="宋体"/>
          <w:color w:val="auto"/>
          <w:sz w:val="24"/>
          <w:szCs w:val="24"/>
          <w:highlight w:val="none"/>
          <w:lang w:eastAsia="zh-CN"/>
        </w:rPr>
        <w:t>（</w:t>
      </w:r>
      <w:r>
        <w:rPr>
          <w:rFonts w:hint="eastAsia" w:hAnsi="宋体" w:cs="宋体"/>
          <w:color w:val="auto"/>
          <w:sz w:val="24"/>
          <w:szCs w:val="24"/>
          <w:highlight w:val="none"/>
        </w:rPr>
        <w:t>联合体投标的，包装物封面需注明联合体投标，并注明联合体成员各方的名称和联合协议中约定的牵头人的名称</w:t>
      </w:r>
      <w:r>
        <w:rPr>
          <w:rFonts w:hint="eastAsia" w:hAnsi="宋体" w:cs="宋体"/>
          <w:color w:val="auto"/>
          <w:sz w:val="24"/>
          <w:szCs w:val="24"/>
          <w:highlight w:val="none"/>
          <w:lang w:eastAsia="zh-CN"/>
        </w:rPr>
        <w:t>）</w:t>
      </w:r>
      <w:r>
        <w:rPr>
          <w:rFonts w:hint="eastAsia" w:hAnsi="宋体" w:cs="宋体"/>
          <w:color w:val="auto"/>
          <w:sz w:val="24"/>
          <w:szCs w:val="24"/>
          <w:highlight w:val="none"/>
        </w:rPr>
        <w:t>。</w:t>
      </w:r>
      <w:r>
        <w:rPr>
          <w:rFonts w:hint="eastAsia" w:hAnsi="宋体" w:cs="宋体"/>
          <w:b/>
          <w:color w:val="auto"/>
          <w:sz w:val="24"/>
          <w:highlight w:val="none"/>
        </w:rPr>
        <w:t>不符合上述制作、</w:t>
      </w:r>
      <w:r>
        <w:rPr>
          <w:rFonts w:hint="eastAsia" w:hAnsi="宋体" w:cs="宋体"/>
          <w:b/>
          <w:color w:val="auto"/>
          <w:sz w:val="24"/>
          <w:szCs w:val="24"/>
          <w:highlight w:val="none"/>
        </w:rPr>
        <w:t>存储、密封规定的备份投标文件将被视为无效或者被拒绝接收。</w:t>
      </w:r>
    </w:p>
    <w:p w14:paraId="3A0D4BF5">
      <w:pPr>
        <w:pStyle w:val="3"/>
        <w:shd w:val="clear"/>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15.3直接提交备份投标文件的，投标人应于投标截止时间前在</w:t>
      </w:r>
      <w:r>
        <w:rPr>
          <w:rFonts w:hint="eastAsia" w:hAnsi="宋体" w:cs="宋体"/>
          <w:snapToGrid/>
          <w:color w:val="auto"/>
          <w:sz w:val="24"/>
          <w:szCs w:val="24"/>
          <w:highlight w:val="none"/>
        </w:rPr>
        <w:t>招标文件第二部分投标人须知前附表规定的备份投标文件送达地点</w:t>
      </w:r>
      <w:r>
        <w:rPr>
          <w:rFonts w:hint="eastAsia" w:hAnsi="宋体" w:cs="宋体"/>
          <w:color w:val="auto"/>
          <w:sz w:val="24"/>
          <w:szCs w:val="24"/>
          <w:highlight w:val="none"/>
        </w:rPr>
        <w:t>将备份投标文件提交给</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将拒绝接受逾期送达的备份投标文件。</w:t>
      </w:r>
    </w:p>
    <w:p w14:paraId="189503E3">
      <w:pPr>
        <w:pStyle w:val="3"/>
        <w:shd w:val="clear"/>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15.4以邮政快递方式递交备份投标文件的，投标人应先将备份投标文件按要求密封和标记，再进行邮政快递包装后邮寄。备份投标文件须在</w:t>
      </w:r>
      <w:r>
        <w:rPr>
          <w:rFonts w:hint="eastAsia" w:hAnsi="宋体" w:cs="宋体"/>
          <w:snapToGrid/>
          <w:color w:val="auto"/>
          <w:sz w:val="24"/>
          <w:szCs w:val="24"/>
          <w:highlight w:val="none"/>
        </w:rPr>
        <w:t>第二部分投标人须知前附表规定的备份投标文件送达</w:t>
      </w:r>
      <w:r>
        <w:rPr>
          <w:rFonts w:hint="eastAsia" w:hAnsi="宋体" w:cs="宋体"/>
          <w:color w:val="auto"/>
          <w:sz w:val="24"/>
          <w:szCs w:val="24"/>
          <w:highlight w:val="none"/>
        </w:rPr>
        <w:t>截止时间之前送达</w:t>
      </w:r>
      <w:r>
        <w:rPr>
          <w:rFonts w:hint="eastAsia" w:hAnsi="宋体" w:cs="宋体"/>
          <w:snapToGrid/>
          <w:color w:val="auto"/>
          <w:sz w:val="24"/>
          <w:szCs w:val="24"/>
          <w:highlight w:val="none"/>
        </w:rPr>
        <w:t>招标文件第二部分投标人须知前附表规定的备份投标文件送达地点；</w:t>
      </w:r>
      <w:r>
        <w:rPr>
          <w:rFonts w:hint="eastAsia" w:hAnsi="宋体" w:cs="宋体"/>
          <w:color w:val="auto"/>
          <w:sz w:val="24"/>
          <w:szCs w:val="24"/>
          <w:highlight w:val="none"/>
        </w:rPr>
        <w:t>送达时间以签收人签收时间为准。</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将拒绝接受逾期送达的备份投标文件。邮寄过程中，电子备份投标文件发生泄露、遗失、损坏或延期送达等情况的，由投标人自行负责。</w:t>
      </w:r>
    </w:p>
    <w:p w14:paraId="14EC6384">
      <w:pPr>
        <w:pStyle w:val="3"/>
        <w:shd w:val="clear"/>
        <w:spacing w:line="360" w:lineRule="auto"/>
        <w:ind w:firstLine="479" w:firstLineChars="199"/>
        <w:rPr>
          <w:rFonts w:hAnsi="宋体" w:cs="宋体"/>
          <w:b/>
          <w:color w:val="auto"/>
          <w:sz w:val="24"/>
          <w:szCs w:val="24"/>
          <w:highlight w:val="none"/>
        </w:rPr>
      </w:pPr>
      <w:r>
        <w:rPr>
          <w:rFonts w:hint="eastAsia" w:hAnsi="宋体" w:cs="宋体"/>
          <w:b/>
          <w:color w:val="auto"/>
          <w:sz w:val="24"/>
          <w:szCs w:val="24"/>
          <w:highlight w:val="none"/>
        </w:rPr>
        <w:t>15.5投标人仅提交备份投标文件，未在电子交易平台传输递交投标文件的，投标无效。</w:t>
      </w:r>
    </w:p>
    <w:p w14:paraId="70204BC7">
      <w:pPr>
        <w:pStyle w:val="129"/>
        <w:shd w:val="clear"/>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16.投标文件的无效处理</w:t>
      </w:r>
    </w:p>
    <w:p w14:paraId="22DD6BF2">
      <w:pPr>
        <w:pStyle w:val="27"/>
        <w:shd w:val="clear"/>
        <w:spacing w:line="360" w:lineRule="auto"/>
        <w:ind w:firstLine="360" w:firstLineChars="150"/>
        <w:rPr>
          <w:rFonts w:hint="eastAsia" w:eastAsia="宋体" w:cs="宋体"/>
          <w:color w:val="auto"/>
          <w:szCs w:val="21"/>
          <w:highlight w:val="none"/>
          <w:lang w:eastAsia="zh-CN"/>
        </w:rPr>
      </w:pPr>
      <w:r>
        <w:rPr>
          <w:rFonts w:hint="eastAsia" w:cs="宋体"/>
          <w:color w:val="auto"/>
          <w:szCs w:val="21"/>
          <w:highlight w:val="none"/>
        </w:rPr>
        <w:t>有招标文件第四部分</w:t>
      </w:r>
      <w:r>
        <w:rPr>
          <w:rFonts w:cs="宋体"/>
          <w:color w:val="auto"/>
          <w:szCs w:val="21"/>
          <w:highlight w:val="none"/>
        </w:rPr>
        <w:t>4.2规定</w:t>
      </w:r>
      <w:r>
        <w:rPr>
          <w:rFonts w:hint="eastAsia" w:cs="宋体"/>
          <w:color w:val="auto"/>
          <w:szCs w:val="21"/>
          <w:highlight w:val="none"/>
        </w:rPr>
        <w:t>的情形之一的，投标无效</w:t>
      </w:r>
      <w:r>
        <w:rPr>
          <w:rFonts w:hint="eastAsia" w:cs="宋体"/>
          <w:color w:val="auto"/>
          <w:szCs w:val="21"/>
          <w:highlight w:val="none"/>
          <w:lang w:eastAsia="zh-CN"/>
        </w:rPr>
        <w:t>。</w:t>
      </w:r>
    </w:p>
    <w:p w14:paraId="041CEA90">
      <w:pPr>
        <w:pStyle w:val="129"/>
        <w:shd w:val="clear"/>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17.投标有效期</w:t>
      </w:r>
    </w:p>
    <w:p w14:paraId="1E00E312">
      <w:pPr>
        <w:shd w:val="clear"/>
        <w:spacing w:line="360" w:lineRule="auto"/>
        <w:ind w:firstLine="480" w:firstLineChars="200"/>
        <w:rPr>
          <w:rFonts w:ascii="宋体" w:hAnsi="宋体" w:cs="宋体"/>
          <w:b/>
          <w:color w:val="auto"/>
          <w:sz w:val="24"/>
          <w:szCs w:val="21"/>
          <w:highlight w:val="none"/>
        </w:rPr>
      </w:pPr>
      <w:r>
        <w:rPr>
          <w:rFonts w:hint="eastAsia" w:ascii="宋体" w:hAnsi="宋体" w:cs="宋体"/>
          <w:color w:val="auto"/>
          <w:sz w:val="24"/>
          <w:szCs w:val="20"/>
          <w:highlight w:val="none"/>
        </w:rPr>
        <w:t>17.1投标有效期为从提交投标文件的截止之日起90天。▲</w:t>
      </w:r>
      <w:r>
        <w:rPr>
          <w:rFonts w:hint="eastAsia" w:ascii="宋体" w:hAnsi="宋体" w:cs="宋体"/>
          <w:b/>
          <w:color w:val="auto"/>
          <w:sz w:val="24"/>
          <w:szCs w:val="20"/>
          <w:highlight w:val="none"/>
        </w:rPr>
        <w:t>投标人的投标文件中承</w:t>
      </w:r>
      <w:r>
        <w:rPr>
          <w:rFonts w:hint="eastAsia" w:ascii="宋体" w:hAnsi="宋体" w:cs="宋体"/>
          <w:b/>
          <w:color w:val="auto"/>
          <w:sz w:val="24"/>
          <w:szCs w:val="21"/>
          <w:highlight w:val="none"/>
        </w:rPr>
        <w:t>诺的投标有效期少于招标文件中载明的投标有效期的，投标无效。</w:t>
      </w:r>
    </w:p>
    <w:p w14:paraId="06CC4A0D">
      <w:pPr>
        <w:pStyle w:val="129"/>
        <w:shd w:val="clear"/>
        <w:spacing w:before="0"/>
        <w:ind w:firstLine="480"/>
        <w:rPr>
          <w:rFonts w:ascii="宋体" w:hAnsi="宋体" w:cs="宋体"/>
          <w:color w:val="auto"/>
          <w:highlight w:val="none"/>
        </w:rPr>
      </w:pPr>
      <w:r>
        <w:rPr>
          <w:rFonts w:hint="eastAsia" w:ascii="宋体" w:hAnsi="宋体" w:cs="宋体"/>
          <w:color w:val="auto"/>
          <w:highlight w:val="none"/>
        </w:rPr>
        <w:t>17.2投标文件合格投递后，自投标截止日期起，在投标有效期内有效。</w:t>
      </w:r>
    </w:p>
    <w:p w14:paraId="0657926E">
      <w:pPr>
        <w:pStyle w:val="129"/>
        <w:shd w:val="clear"/>
        <w:spacing w:before="0"/>
        <w:ind w:firstLine="480"/>
        <w:rPr>
          <w:rFonts w:ascii="宋体" w:hAnsi="宋体" w:cs="宋体"/>
          <w:color w:val="auto"/>
          <w:highlight w:val="none"/>
        </w:rPr>
      </w:pPr>
      <w:r>
        <w:rPr>
          <w:rFonts w:hint="eastAsia" w:ascii="宋体" w:hAnsi="宋体" w:cs="宋体"/>
          <w:color w:val="auto"/>
          <w:highlight w:val="none"/>
        </w:rPr>
        <w:t>17.3在原定投标有效期满之前，如果出现特殊情况，</w:t>
      </w:r>
      <w:r>
        <w:rPr>
          <w:rFonts w:hint="eastAsia" w:ascii="宋体" w:hAnsi="宋体" w:cs="宋体"/>
          <w:color w:val="auto"/>
          <w:highlight w:val="none"/>
          <w:lang w:eastAsia="zh-CN"/>
        </w:rPr>
        <w:t>采购代理机构</w:t>
      </w:r>
      <w:r>
        <w:rPr>
          <w:rFonts w:hint="eastAsia" w:ascii="宋体" w:hAnsi="宋体" w:cs="宋体"/>
          <w:color w:val="auto"/>
          <w:highlight w:val="none"/>
        </w:rPr>
        <w:t>可以以书面形式通知投标人延长投标有效期。投标人同意延长的，不得要求或被允许修改其投标文件，投标人拒绝延长的，其投标无效。</w:t>
      </w:r>
    </w:p>
    <w:p w14:paraId="13B66D0C">
      <w:pPr>
        <w:pStyle w:val="129"/>
        <w:shd w:val="clear"/>
        <w:spacing w:before="0"/>
        <w:ind w:firstLine="643"/>
        <w:rPr>
          <w:rFonts w:ascii="宋体" w:hAnsi="宋体" w:cs="宋体"/>
          <w:b/>
          <w:color w:val="auto"/>
          <w:sz w:val="32"/>
          <w:highlight w:val="none"/>
        </w:rPr>
      </w:pPr>
    </w:p>
    <w:p w14:paraId="75D9BDE8">
      <w:pPr>
        <w:pStyle w:val="129"/>
        <w:shd w:val="clear"/>
        <w:spacing w:before="0"/>
        <w:ind w:firstLine="1928" w:firstLineChars="600"/>
        <w:rPr>
          <w:rFonts w:ascii="宋体" w:hAnsi="宋体" w:cs="宋体"/>
          <w:b/>
          <w:color w:val="auto"/>
          <w:sz w:val="32"/>
          <w:highlight w:val="none"/>
        </w:rPr>
      </w:pPr>
      <w:r>
        <w:rPr>
          <w:rFonts w:hint="eastAsia" w:ascii="宋体" w:hAnsi="宋体" w:cs="宋体"/>
          <w:b/>
          <w:color w:val="auto"/>
          <w:sz w:val="32"/>
          <w:highlight w:val="none"/>
        </w:rPr>
        <w:t>四、开标、资格审查与信用信息查询</w:t>
      </w:r>
    </w:p>
    <w:p w14:paraId="4F9C33A8">
      <w:pPr>
        <w:pStyle w:val="554"/>
        <w:shd w:val="clear"/>
        <w:spacing w:before="0" w:line="360" w:lineRule="auto"/>
        <w:ind w:left="0" w:firstLine="241" w:firstLineChars="100"/>
        <w:contextualSpacing/>
        <w:rPr>
          <w:rFonts w:ascii="宋体" w:hAnsi="宋体" w:cs="宋体"/>
          <w:color w:val="auto"/>
          <w:sz w:val="24"/>
          <w:highlight w:val="none"/>
        </w:rPr>
      </w:pPr>
      <w:r>
        <w:rPr>
          <w:rFonts w:hint="eastAsia" w:ascii="宋体" w:hAnsi="宋体" w:cs="宋体"/>
          <w:b/>
          <w:color w:val="auto"/>
          <w:sz w:val="24"/>
          <w:szCs w:val="24"/>
          <w:highlight w:val="none"/>
        </w:rPr>
        <w:t>18.开标</w:t>
      </w:r>
      <w:r>
        <w:rPr>
          <w:rFonts w:hint="eastAsia" w:ascii="宋体" w:hAnsi="宋体" w:cs="宋体"/>
          <w:color w:val="auto"/>
          <w:sz w:val="24"/>
          <w:highlight w:val="none"/>
        </w:rPr>
        <w:t xml:space="preserve"> </w:t>
      </w:r>
    </w:p>
    <w:p w14:paraId="26BA71D1">
      <w:pPr>
        <w:pStyle w:val="554"/>
        <w:shd w:val="clear"/>
        <w:spacing w:before="0" w:line="360" w:lineRule="auto"/>
        <w:ind w:left="0" w:firstLine="480" w:firstLineChars="200"/>
        <w:contextualSpacing/>
        <w:rPr>
          <w:rFonts w:ascii="宋体" w:hAnsi="宋体" w:cs="宋体"/>
          <w:color w:val="auto"/>
          <w:sz w:val="24"/>
          <w:highlight w:val="none"/>
        </w:rPr>
      </w:pPr>
      <w:r>
        <w:rPr>
          <w:rFonts w:hint="eastAsia" w:ascii="宋体" w:hAnsi="宋体" w:cs="宋体"/>
          <w:color w:val="auto"/>
          <w:sz w:val="24"/>
          <w:highlight w:val="none"/>
        </w:rPr>
        <w:t>18.1</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按照招标文件规定的时间通过电子交易平台组织开标，所有投标人均应当准时在线参加。投标人不足3家的，不得开标。</w:t>
      </w:r>
    </w:p>
    <w:p w14:paraId="23C0D5D4">
      <w:pPr>
        <w:pStyle w:val="554"/>
        <w:shd w:val="clear"/>
        <w:spacing w:before="0" w:line="360" w:lineRule="auto"/>
        <w:ind w:left="0" w:firstLine="240" w:firstLineChars="100"/>
        <w:contextualSpacing/>
        <w:rPr>
          <w:rFonts w:hint="eastAsia" w:ascii="宋体" w:hAnsi="宋体" w:cs="宋体"/>
          <w:color w:val="auto"/>
          <w:sz w:val="24"/>
          <w:highlight w:val="none"/>
        </w:rPr>
      </w:pPr>
      <w:r>
        <w:rPr>
          <w:rFonts w:hint="eastAsia" w:ascii="宋体" w:hAnsi="宋体" w:cs="宋体"/>
          <w:color w:val="auto"/>
          <w:sz w:val="24"/>
          <w:highlight w:val="none"/>
        </w:rPr>
        <w:t>　18.2开标时，电子交易平台按开标时间自动提取所有投标文件。</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依托电子交易平台发起开始解密指令，投标人按照平台提示和招标文件的规定在半小时内完成在线解密。</w:t>
      </w:r>
    </w:p>
    <w:p w14:paraId="4723508A">
      <w:pPr>
        <w:pStyle w:val="554"/>
        <w:shd w:val="clear"/>
        <w:spacing w:before="0" w:line="360" w:lineRule="auto"/>
        <w:ind w:left="0" w:firstLine="480" w:firstLineChars="200"/>
        <w:contextualSpacing/>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18.2.1具体开标程序：</w:t>
      </w:r>
    </w:p>
    <w:p w14:paraId="274D26A6">
      <w:pPr>
        <w:pStyle w:val="554"/>
        <w:shd w:val="clear"/>
        <w:spacing w:before="0" w:line="360" w:lineRule="auto"/>
        <w:ind w:left="0" w:firstLine="240" w:firstLineChars="100"/>
        <w:contextualSpacing/>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　第一阶段：</w:t>
      </w:r>
    </w:p>
    <w:p w14:paraId="69068B84">
      <w:pPr>
        <w:pStyle w:val="554"/>
        <w:shd w:val="clear"/>
        <w:spacing w:before="0" w:line="360" w:lineRule="auto"/>
        <w:ind w:left="0" w:firstLine="240" w:firstLineChars="100"/>
        <w:contextualSpacing/>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　投标截止时间后，供应商登录政府采购云平台，用“项目采购－开标评标”功能对电子投标文件进行在线解密，在线解密电子投标文件时间为开标时间后30分钟内。</w:t>
      </w:r>
    </w:p>
    <w:p w14:paraId="34CD149C">
      <w:pPr>
        <w:pStyle w:val="554"/>
        <w:shd w:val="clear"/>
        <w:spacing w:before="0" w:line="360" w:lineRule="auto"/>
        <w:ind w:left="0" w:firstLine="240" w:firstLineChars="100"/>
        <w:contextualSpacing/>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　在政府采购云平台开启已解密供应商的“资格文件、商务技术文件”，并做开标记录；</w:t>
      </w:r>
    </w:p>
    <w:p w14:paraId="01BB1B48">
      <w:pPr>
        <w:pStyle w:val="554"/>
        <w:shd w:val="clear"/>
        <w:spacing w:before="0" w:line="360" w:lineRule="auto"/>
        <w:ind w:left="0" w:firstLine="240" w:firstLineChars="100"/>
        <w:contextualSpacing/>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　第二阶段：</w:t>
      </w:r>
    </w:p>
    <w:p w14:paraId="502667E1">
      <w:pPr>
        <w:pStyle w:val="554"/>
        <w:shd w:val="clear"/>
        <w:spacing w:before="0" w:line="360" w:lineRule="auto"/>
        <w:ind w:left="0" w:firstLine="240" w:firstLineChars="100"/>
        <w:contextualSpacing/>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　（1）在政府采购云平台宣告第一阶段评审无效供应商名单及理由；</w:t>
      </w:r>
    </w:p>
    <w:p w14:paraId="6F09A417">
      <w:pPr>
        <w:pStyle w:val="554"/>
        <w:shd w:val="clear"/>
        <w:spacing w:before="0" w:line="360" w:lineRule="auto"/>
        <w:ind w:left="0" w:firstLine="240" w:firstLineChars="100"/>
        <w:contextualSpacing/>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　（2）公布经第一阶段评审符合招标文件要求的供应商的商务技术得分情况；</w:t>
      </w:r>
    </w:p>
    <w:p w14:paraId="3B9D5838">
      <w:pPr>
        <w:pStyle w:val="554"/>
        <w:shd w:val="clear"/>
        <w:spacing w:before="0" w:line="360" w:lineRule="auto"/>
        <w:ind w:left="0" w:firstLine="240" w:firstLineChars="100"/>
        <w:contextualSpacing/>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　（3）在政府采购云平台开启除第一阶段无效标外的供应商的“报价文件”，并做开标记录；</w:t>
      </w:r>
    </w:p>
    <w:p w14:paraId="08DC336E">
      <w:pPr>
        <w:pStyle w:val="554"/>
        <w:shd w:val="clear"/>
        <w:spacing w:before="0" w:line="360" w:lineRule="auto"/>
        <w:ind w:left="0" w:firstLine="240" w:firstLineChars="100"/>
        <w:contextualSpacing/>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　（4）在政府采购云平台公布评审结果。</w:t>
      </w:r>
    </w:p>
    <w:p w14:paraId="7BE7D437">
      <w:pPr>
        <w:pStyle w:val="554"/>
        <w:shd w:val="clear"/>
        <w:spacing w:before="0" w:line="360" w:lineRule="auto"/>
        <w:ind w:left="0" w:firstLine="240" w:firstLineChars="100"/>
        <w:contextualSpacing/>
        <w:rPr>
          <w:rFonts w:hint="eastAsia" w:ascii="宋体" w:hAnsi="宋体" w:cs="宋体"/>
          <w:color w:val="auto"/>
          <w:sz w:val="24"/>
          <w:highlight w:val="none"/>
        </w:rPr>
      </w:pPr>
      <w:r>
        <w:rPr>
          <w:rFonts w:hint="eastAsia" w:ascii="宋体" w:hAnsi="宋体" w:cs="宋体"/>
          <w:color w:val="auto"/>
          <w:sz w:val="24"/>
          <w:highlight w:val="none"/>
          <w:lang w:val="en-US" w:eastAsia="zh-CN"/>
        </w:rPr>
        <w:t>　（5）开标会议结束。</w:t>
      </w:r>
    </w:p>
    <w:p w14:paraId="1F3DD894">
      <w:pPr>
        <w:pStyle w:val="554"/>
        <w:shd w:val="clear"/>
        <w:spacing w:before="0" w:line="360" w:lineRule="auto"/>
        <w:ind w:left="0" w:firstLine="240" w:firstLineChars="100"/>
        <w:contextualSpacing/>
        <w:rPr>
          <w:rFonts w:ascii="宋体" w:hAnsi="宋体" w:cs="宋体"/>
          <w:b/>
          <w:color w:val="auto"/>
          <w:sz w:val="24"/>
          <w:highlight w:val="none"/>
        </w:rPr>
      </w:pPr>
      <w:r>
        <w:rPr>
          <w:rFonts w:hint="eastAsia" w:ascii="宋体" w:hAnsi="宋体" w:cs="宋体"/>
          <w:color w:val="auto"/>
          <w:sz w:val="24"/>
          <w:highlight w:val="none"/>
        </w:rPr>
        <w:t>　18.3</w:t>
      </w:r>
      <w:r>
        <w:rPr>
          <w:rFonts w:hint="eastAsia" w:ascii="宋体" w:hAnsi="宋体" w:cs="宋体"/>
          <w:b/>
          <w:color w:val="auto"/>
          <w:sz w:val="24"/>
          <w:highlight w:val="none"/>
        </w:rPr>
        <w:t>投标文件未按时解密，投标人提供了备份投标文件的，以备份投标文件作为依据，否则视为投标文件撤回。投标文件已按时解密的，备份投标文件自动失效。</w:t>
      </w:r>
    </w:p>
    <w:p w14:paraId="0727038E">
      <w:pPr>
        <w:widowControl/>
        <w:shd w:val="clear"/>
        <w:spacing w:before="100" w:beforeAutospacing="1" w:after="240" w:line="360" w:lineRule="auto"/>
        <w:jc w:val="left"/>
        <w:rPr>
          <w:rFonts w:ascii="宋体" w:hAnsi="宋体" w:cs="宋体"/>
          <w:b/>
          <w:color w:val="auto"/>
          <w:sz w:val="24"/>
          <w:szCs w:val="20"/>
          <w:highlight w:val="none"/>
        </w:rPr>
      </w:pPr>
      <w:r>
        <w:rPr>
          <w:rFonts w:hint="eastAsia" w:ascii="宋体" w:hAnsi="宋体" w:cs="宋体"/>
          <w:b/>
          <w:color w:val="auto"/>
          <w:sz w:val="24"/>
          <w:szCs w:val="20"/>
          <w:highlight w:val="none"/>
        </w:rPr>
        <w:t>　19</w:t>
      </w:r>
      <w:r>
        <w:rPr>
          <w:rFonts w:hint="eastAsia" w:ascii="宋体" w:hAnsi="宋体" w:cs="宋体"/>
          <w:b/>
          <w:color w:val="auto"/>
          <w:sz w:val="24"/>
          <w:szCs w:val="20"/>
          <w:highlight w:val="none"/>
          <w:lang w:val="en-US" w:eastAsia="zh-CN"/>
        </w:rPr>
        <w:t>.</w:t>
      </w:r>
      <w:r>
        <w:rPr>
          <w:rFonts w:hint="eastAsia" w:ascii="宋体" w:hAnsi="宋体" w:cs="宋体"/>
          <w:b/>
          <w:color w:val="auto"/>
          <w:sz w:val="24"/>
          <w:szCs w:val="20"/>
          <w:highlight w:val="none"/>
        </w:rPr>
        <w:t>资格审查</w:t>
      </w:r>
    </w:p>
    <w:p w14:paraId="582CE651">
      <w:pPr>
        <w:shd w:val="clear"/>
        <w:snapToGrid w:val="0"/>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rPr>
        <w:t>19.</w:t>
      </w:r>
      <w:r>
        <w:rPr>
          <w:rFonts w:hint="eastAsia" w:ascii="宋体" w:hAnsi="宋体" w:cs="宋体"/>
          <w:color w:val="auto"/>
          <w:kern w:val="0"/>
          <w:sz w:val="24"/>
          <w:highlight w:val="none"/>
          <w:lang w:val="en-US" w:eastAsia="zh-CN"/>
        </w:rPr>
        <w:t>1</w:t>
      </w:r>
      <w:r>
        <w:rPr>
          <w:rFonts w:hint="eastAsia" w:ascii="宋体" w:hAnsi="宋体" w:cs="宋体"/>
          <w:color w:val="auto"/>
          <w:sz w:val="24"/>
          <w:highlight w:val="none"/>
        </w:rPr>
        <w:t>采购人或</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依据法律法规和招标文件的规定，对投标人的资格进行审查。</w:t>
      </w:r>
    </w:p>
    <w:p w14:paraId="6D683E10">
      <w:pPr>
        <w:pStyle w:val="129"/>
        <w:shd w:val="clear"/>
        <w:spacing w:before="0"/>
        <w:ind w:firstLine="480"/>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kern w:val="0"/>
          <w:szCs w:val="24"/>
          <w:highlight w:val="none"/>
          <w:lang w:val="en-US" w:eastAsia="zh-CN"/>
        </w:rPr>
        <w:t>2</w:t>
      </w:r>
      <w:r>
        <w:rPr>
          <w:rFonts w:hint="eastAsia" w:ascii="宋体" w:hAnsi="宋体" w:cs="宋体"/>
          <w:color w:val="auto"/>
          <w:kern w:val="0"/>
          <w:szCs w:val="24"/>
          <w:highlight w:val="none"/>
        </w:rPr>
        <w:t>投标人未按照招标文件要求提供与</w:t>
      </w:r>
      <w:r>
        <w:rPr>
          <w:rFonts w:hint="eastAsia" w:ascii="宋体" w:hAnsi="宋体" w:cs="宋体"/>
          <w:color w:val="auto"/>
          <w:highlight w:val="none"/>
        </w:rPr>
        <w:t>资格条件相应的</w:t>
      </w:r>
      <w:r>
        <w:rPr>
          <w:rFonts w:hint="eastAsia" w:ascii="宋体" w:hAnsi="宋体" w:cs="宋体"/>
          <w:color w:val="auto"/>
          <w:kern w:val="0"/>
          <w:szCs w:val="24"/>
          <w:highlight w:val="none"/>
        </w:rPr>
        <w:t>有效资格证明材料的，视为</w:t>
      </w:r>
      <w:r>
        <w:rPr>
          <w:rFonts w:hint="eastAsia" w:ascii="宋体" w:hAnsi="宋体" w:cs="宋体"/>
          <w:color w:val="auto"/>
          <w:highlight w:val="none"/>
        </w:rPr>
        <w:t>投标人不具备招标文件中规定的资格要求，其投标无效。</w:t>
      </w:r>
    </w:p>
    <w:p w14:paraId="76A1D940">
      <w:pPr>
        <w:pStyle w:val="129"/>
        <w:shd w:val="clear"/>
        <w:spacing w:before="0"/>
        <w:ind w:firstLine="480"/>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lang w:val="en-US" w:eastAsia="zh-CN"/>
        </w:rPr>
        <w:t>3</w:t>
      </w:r>
      <w:r>
        <w:rPr>
          <w:rFonts w:hint="eastAsia" w:ascii="宋体" w:hAnsi="宋体" w:cs="宋体"/>
          <w:color w:val="auto"/>
          <w:highlight w:val="none"/>
        </w:rPr>
        <w:t>对未通过资格审查的投标人，采购人或</w:t>
      </w:r>
      <w:r>
        <w:rPr>
          <w:rFonts w:hint="eastAsia" w:ascii="宋体" w:hAnsi="宋体" w:cs="宋体"/>
          <w:color w:val="auto"/>
          <w:highlight w:val="none"/>
          <w:lang w:eastAsia="zh-CN"/>
        </w:rPr>
        <w:t>采购代理机构</w:t>
      </w:r>
      <w:r>
        <w:rPr>
          <w:rFonts w:hint="eastAsia" w:ascii="宋体" w:hAnsi="宋体" w:cs="宋体"/>
          <w:color w:val="auto"/>
          <w:highlight w:val="none"/>
        </w:rPr>
        <w:t>告知其未通过的原因。</w:t>
      </w:r>
    </w:p>
    <w:p w14:paraId="4FC5E2A8">
      <w:pPr>
        <w:pStyle w:val="129"/>
        <w:shd w:val="clear"/>
        <w:spacing w:before="0"/>
        <w:ind w:firstLine="480"/>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lang w:val="en-US" w:eastAsia="zh-CN"/>
        </w:rPr>
        <w:t>4</w:t>
      </w:r>
      <w:r>
        <w:rPr>
          <w:rFonts w:hint="eastAsia" w:ascii="宋体" w:hAnsi="宋体" w:cs="宋体"/>
          <w:color w:val="auto"/>
          <w:highlight w:val="none"/>
        </w:rPr>
        <w:t>合格投标人不足3家的，不再评标。</w:t>
      </w:r>
    </w:p>
    <w:p w14:paraId="14699EAA">
      <w:pPr>
        <w:pStyle w:val="129"/>
        <w:shd w:val="clear"/>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20</w:t>
      </w:r>
      <w:r>
        <w:rPr>
          <w:rFonts w:hint="eastAsia" w:ascii="宋体" w:hAnsi="宋体" w:cs="宋体"/>
          <w:b/>
          <w:color w:val="auto"/>
          <w:szCs w:val="24"/>
          <w:highlight w:val="none"/>
          <w:lang w:val="en-US" w:eastAsia="zh-CN"/>
        </w:rPr>
        <w:t>.</w:t>
      </w:r>
      <w:r>
        <w:rPr>
          <w:rFonts w:hint="eastAsia" w:ascii="宋体" w:hAnsi="宋体" w:cs="宋体"/>
          <w:b/>
          <w:color w:val="auto"/>
          <w:szCs w:val="24"/>
          <w:highlight w:val="none"/>
        </w:rPr>
        <w:t>信用信息查询</w:t>
      </w:r>
    </w:p>
    <w:p w14:paraId="77A16045">
      <w:pPr>
        <w:pStyle w:val="129"/>
        <w:shd w:val="clear"/>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20.1信用信息查询渠道及截止时间：</w:t>
      </w:r>
      <w:r>
        <w:rPr>
          <w:rFonts w:hint="eastAsia" w:ascii="宋体" w:hAnsi="宋体" w:cs="宋体"/>
          <w:color w:val="auto"/>
          <w:kern w:val="0"/>
          <w:szCs w:val="24"/>
          <w:highlight w:val="none"/>
          <w:lang w:eastAsia="zh-CN"/>
        </w:rPr>
        <w:t>采购代理机构</w:t>
      </w:r>
      <w:r>
        <w:rPr>
          <w:rFonts w:hint="eastAsia" w:ascii="宋体" w:hAnsi="宋体" w:cs="宋体"/>
          <w:color w:val="auto"/>
          <w:kern w:val="0"/>
          <w:szCs w:val="24"/>
          <w:highlight w:val="none"/>
        </w:rPr>
        <w:t>将在资格审查时通过“信用中国”网站</w:t>
      </w:r>
      <w:r>
        <w:rPr>
          <w:rFonts w:hint="eastAsia" w:ascii="宋体" w:hAnsi="宋体" w:cs="宋体"/>
          <w:color w:val="auto"/>
          <w:kern w:val="0"/>
          <w:szCs w:val="24"/>
          <w:highlight w:val="none"/>
          <w:lang w:eastAsia="zh-CN"/>
        </w:rPr>
        <w:t>（</w:t>
      </w:r>
      <w:r>
        <w:rPr>
          <w:rFonts w:hint="eastAsia" w:ascii="宋体" w:hAnsi="宋体" w:cs="宋体"/>
          <w:color w:val="auto"/>
          <w:kern w:val="0"/>
          <w:szCs w:val="24"/>
          <w:highlight w:val="none"/>
        </w:rPr>
        <w:t>www.creditchina.gov.cn</w:t>
      </w:r>
      <w:r>
        <w:rPr>
          <w:rFonts w:hint="eastAsia" w:ascii="宋体" w:hAnsi="宋体" w:cs="宋体"/>
          <w:color w:val="auto"/>
          <w:kern w:val="0"/>
          <w:szCs w:val="24"/>
          <w:highlight w:val="none"/>
          <w:lang w:eastAsia="zh-CN"/>
        </w:rPr>
        <w:t>）</w:t>
      </w:r>
      <w:r>
        <w:rPr>
          <w:rFonts w:hint="eastAsia" w:ascii="宋体" w:hAnsi="宋体" w:cs="宋体"/>
          <w:color w:val="auto"/>
          <w:kern w:val="0"/>
          <w:szCs w:val="24"/>
          <w:highlight w:val="none"/>
        </w:rPr>
        <w:t>、中国政府采购网</w:t>
      </w:r>
      <w:r>
        <w:rPr>
          <w:rFonts w:hint="eastAsia" w:ascii="宋体" w:hAnsi="宋体" w:cs="宋体"/>
          <w:color w:val="auto"/>
          <w:kern w:val="0"/>
          <w:szCs w:val="24"/>
          <w:highlight w:val="none"/>
          <w:lang w:eastAsia="zh-CN"/>
        </w:rPr>
        <w:t>（</w:t>
      </w:r>
      <w:r>
        <w:rPr>
          <w:rFonts w:hint="eastAsia" w:ascii="宋体" w:hAnsi="宋体" w:cs="宋体"/>
          <w:color w:val="auto"/>
          <w:kern w:val="0"/>
          <w:szCs w:val="24"/>
          <w:highlight w:val="none"/>
        </w:rPr>
        <w:t>www.ccgp.gov.cn</w:t>
      </w:r>
      <w:r>
        <w:rPr>
          <w:rFonts w:hint="eastAsia" w:ascii="宋体" w:hAnsi="宋体" w:cs="宋体"/>
          <w:color w:val="auto"/>
          <w:kern w:val="0"/>
          <w:szCs w:val="24"/>
          <w:highlight w:val="none"/>
          <w:lang w:eastAsia="zh-CN"/>
        </w:rPr>
        <w:t>）</w:t>
      </w:r>
      <w:r>
        <w:rPr>
          <w:rFonts w:hint="eastAsia" w:ascii="宋体" w:hAnsi="宋体" w:cs="宋体"/>
          <w:color w:val="auto"/>
          <w:kern w:val="0"/>
          <w:szCs w:val="24"/>
          <w:highlight w:val="none"/>
        </w:rPr>
        <w:t>渠道查询投标人接受资格时的信用记录。</w:t>
      </w:r>
    </w:p>
    <w:p w14:paraId="6D7B9C32">
      <w:pPr>
        <w:pStyle w:val="129"/>
        <w:shd w:val="clear"/>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20.2信用信息查询记录和证据留存的具体方式：现场查询的投标人的信用记录、查询结果经确认后将与采购文件一起存档。</w:t>
      </w:r>
    </w:p>
    <w:p w14:paraId="634D9A7B">
      <w:pPr>
        <w:pStyle w:val="129"/>
        <w:shd w:val="clear"/>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20.3信用信息的使用规则：经查询列入失信被执行人名单、重大税收违法案件当事人名单</w:t>
      </w:r>
      <w:r>
        <w:rPr>
          <w:rFonts w:hint="eastAsia" w:ascii="宋体" w:hAnsi="宋体" w:cs="宋体"/>
          <w:color w:val="auto"/>
          <w:kern w:val="0"/>
          <w:szCs w:val="24"/>
          <w:highlight w:val="none"/>
          <w:lang w:eastAsia="zh-CN"/>
        </w:rPr>
        <w:t>（</w:t>
      </w:r>
      <w:r>
        <w:rPr>
          <w:rFonts w:hint="eastAsia" w:ascii="宋体" w:hAnsi="宋体" w:cs="宋体"/>
          <w:color w:val="auto"/>
          <w:sz w:val="24"/>
          <w:highlight w:val="none"/>
          <w:lang w:val="en-US" w:eastAsia="zh-CN"/>
        </w:rPr>
        <w:t>重大税收违法失信主体</w:t>
      </w:r>
      <w:r>
        <w:rPr>
          <w:rFonts w:hint="eastAsia" w:ascii="宋体" w:hAnsi="宋体" w:cs="宋体"/>
          <w:color w:val="auto"/>
          <w:kern w:val="0"/>
          <w:szCs w:val="24"/>
          <w:highlight w:val="none"/>
          <w:lang w:eastAsia="zh-CN"/>
        </w:rPr>
        <w:t>）</w:t>
      </w:r>
      <w:r>
        <w:rPr>
          <w:rFonts w:hint="eastAsia" w:ascii="宋体" w:hAnsi="宋体" w:cs="宋体"/>
          <w:color w:val="auto"/>
          <w:kern w:val="0"/>
          <w:szCs w:val="24"/>
          <w:highlight w:val="none"/>
        </w:rPr>
        <w:t>、政府采购严重违法失信行为记录名单的投标人将被拒绝参与政府采购活动。</w:t>
      </w:r>
    </w:p>
    <w:p w14:paraId="0D7F0F08">
      <w:pPr>
        <w:pStyle w:val="129"/>
        <w:shd w:val="clear"/>
        <w:spacing w:before="0"/>
        <w:ind w:firstLine="480"/>
        <w:rPr>
          <w:rFonts w:ascii="宋体" w:hAnsi="宋体" w:cs="宋体"/>
          <w:color w:val="auto"/>
          <w:highlight w:val="none"/>
        </w:rPr>
      </w:pPr>
      <w:r>
        <w:rPr>
          <w:rFonts w:hint="eastAsia" w:ascii="宋体" w:hAnsi="宋体" w:cs="宋体"/>
          <w:color w:val="auto"/>
          <w:kern w:val="0"/>
          <w:szCs w:val="24"/>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color w:val="auto"/>
          <w:highlight w:val="none"/>
        </w:rPr>
        <w:t>。</w:t>
      </w:r>
    </w:p>
    <w:p w14:paraId="167D2587">
      <w:pPr>
        <w:pStyle w:val="129"/>
        <w:shd w:val="clear"/>
        <w:spacing w:before="0"/>
        <w:ind w:firstLine="0" w:firstLineChars="0"/>
        <w:rPr>
          <w:rFonts w:ascii="宋体" w:hAnsi="宋体" w:cs="宋体"/>
          <w:color w:val="auto"/>
          <w:kern w:val="0"/>
          <w:szCs w:val="24"/>
          <w:highlight w:val="none"/>
        </w:rPr>
      </w:pPr>
    </w:p>
    <w:p w14:paraId="73FE7B81">
      <w:pPr>
        <w:shd w:val="clear"/>
        <w:snapToGrid w:val="0"/>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rPr>
        <w:t>五、评标</w:t>
      </w:r>
    </w:p>
    <w:p w14:paraId="32648EDD">
      <w:pPr>
        <w:shd w:val="clear"/>
        <w:spacing w:line="360" w:lineRule="auto"/>
        <w:rPr>
          <w:rFonts w:ascii="宋体" w:hAnsi="宋体" w:cs="宋体"/>
          <w:b/>
          <w:color w:val="auto"/>
          <w:sz w:val="24"/>
          <w:highlight w:val="none"/>
        </w:rPr>
      </w:pPr>
      <w:bookmarkStart w:id="13" w:name="_Toc91899903"/>
      <w:r>
        <w:rPr>
          <w:rFonts w:hint="eastAsia" w:ascii="宋体" w:hAnsi="宋体" w:cs="宋体"/>
          <w:b/>
          <w:color w:val="auto"/>
          <w:sz w:val="24"/>
          <w:highlight w:val="none"/>
        </w:rPr>
        <w:t>21.</w:t>
      </w:r>
      <w:r>
        <w:rPr>
          <w:rFonts w:hint="eastAsia" w:ascii="宋体" w:hAnsi="宋体" w:cs="宋体"/>
          <w:color w:val="auto"/>
          <w:highlight w:val="none"/>
        </w:rPr>
        <w:t xml:space="preserve"> </w:t>
      </w:r>
      <w:r>
        <w:rPr>
          <w:rFonts w:hint="eastAsia" w:ascii="宋体" w:hAnsi="宋体" w:cs="宋体"/>
          <w:color w:val="auto"/>
          <w:sz w:val="24"/>
          <w:highlight w:val="none"/>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宋体"/>
          <w:b/>
          <w:color w:val="auto"/>
          <w:sz w:val="24"/>
          <w:highlight w:val="none"/>
        </w:rPr>
        <w:t>详见招标文件第四部分评标办法。</w:t>
      </w:r>
    </w:p>
    <w:p w14:paraId="07006298">
      <w:pPr>
        <w:shd w:val="clear"/>
        <w:spacing w:line="360" w:lineRule="auto"/>
        <w:rPr>
          <w:rFonts w:ascii="宋体" w:hAnsi="宋体" w:cs="宋体"/>
          <w:b/>
          <w:color w:val="auto"/>
          <w:sz w:val="24"/>
          <w:highlight w:val="none"/>
        </w:rPr>
      </w:pPr>
    </w:p>
    <w:p w14:paraId="379F0424">
      <w:pPr>
        <w:shd w:val="clear"/>
        <w:snapToGrid w:val="0"/>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rPr>
        <w:t>六、定 标</w:t>
      </w:r>
    </w:p>
    <w:p w14:paraId="0D65B3D4">
      <w:pPr>
        <w:pStyle w:val="27"/>
        <w:shd w:val="clear"/>
        <w:spacing w:line="360" w:lineRule="auto"/>
        <w:ind w:left="479" w:hanging="479" w:hangingChars="199"/>
        <w:rPr>
          <w:rFonts w:cs="宋体"/>
          <w:b/>
          <w:color w:val="auto"/>
          <w:highlight w:val="none"/>
        </w:rPr>
      </w:pPr>
      <w:r>
        <w:rPr>
          <w:rFonts w:hint="eastAsia" w:cs="宋体"/>
          <w:b/>
          <w:color w:val="auto"/>
          <w:highlight w:val="none"/>
        </w:rPr>
        <w:t>22. 确定中标供应商</w:t>
      </w:r>
    </w:p>
    <w:p w14:paraId="2C7C04F4">
      <w:pPr>
        <w:pStyle w:val="129"/>
        <w:shd w:val="clear"/>
        <w:snapToGrid w:val="0"/>
        <w:spacing w:before="0"/>
        <w:ind w:firstLine="480"/>
        <w:rPr>
          <w:rFonts w:ascii="宋体" w:hAnsi="宋体" w:cs="宋体"/>
          <w:b/>
          <w:color w:val="auto"/>
          <w:szCs w:val="24"/>
          <w:highlight w:val="none"/>
        </w:rPr>
      </w:pPr>
      <w:r>
        <w:rPr>
          <w:rFonts w:hint="eastAsia" w:ascii="宋体" w:hAnsi="宋体" w:cs="宋体"/>
          <w:color w:val="auto"/>
          <w:szCs w:val="24"/>
          <w:highlight w:val="none"/>
        </w:rPr>
        <w:t>政府采购项目实行全流程电子化，评审报告送交、采购结果确定和结果公告均在线完成。为进一步提升采购结果确定效率，采购代理机构应当依法及时将评审报告在线送交采购人。采购单位应当自收到评审报告之日起</w:t>
      </w:r>
      <w:r>
        <w:rPr>
          <w:rFonts w:hint="eastAsia" w:ascii="宋体" w:hAnsi="宋体" w:cs="宋体"/>
          <w:color w:val="auto"/>
          <w:szCs w:val="24"/>
          <w:highlight w:val="none"/>
          <w:lang w:val="en-US" w:eastAsia="zh-CN"/>
        </w:rPr>
        <w:t>5</w:t>
      </w:r>
      <w:r>
        <w:rPr>
          <w:rFonts w:hint="eastAsia" w:ascii="宋体" w:hAnsi="宋体" w:cs="宋体"/>
          <w:color w:val="auto"/>
          <w:szCs w:val="24"/>
          <w:highlight w:val="none"/>
        </w:rPr>
        <w:t>个工作日内在线确定中标或者成交供应商。中标、成交通知书和中标、成交结果公告应当在规定时间内同时发出。</w:t>
      </w:r>
      <w:r>
        <w:rPr>
          <w:rFonts w:hint="eastAsia" w:ascii="宋体" w:hAnsi="宋体" w:cs="宋体"/>
          <w:b/>
          <w:bCs/>
          <w:color w:val="auto"/>
          <w:szCs w:val="24"/>
          <w:highlight w:val="none"/>
          <w:lang w:val="en-US" w:eastAsia="zh-CN"/>
        </w:rPr>
        <w:t>注：各标项各确认一名中标供应商。</w:t>
      </w:r>
    </w:p>
    <w:p w14:paraId="28693FBA">
      <w:pPr>
        <w:pStyle w:val="129"/>
        <w:shd w:val="clear"/>
        <w:snapToGrid w:val="0"/>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23. 中标通知与中标结果公告</w:t>
      </w:r>
    </w:p>
    <w:p w14:paraId="5A85069B">
      <w:pPr>
        <w:widowControl/>
        <w:shd w:val="clear" w:color="auto"/>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23.1自中标人确定之日起2个工作日内，</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通过电子交易平台向中标人发出中标通知书，同时编制发布采购结果公告。</w:t>
      </w:r>
    </w:p>
    <w:p w14:paraId="33E7D019">
      <w:pPr>
        <w:widowControl/>
        <w:shd w:val="clear" w:color="auto"/>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23.2中标结果公告内容包括采购人及其委托的</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的名称、地址、联系方式，项目名称和项目编号，中标人名称、地址和中标金额，主要中标标的的名称、服务范围、服务要求、服务时间、服务标准，开标记录、</w:t>
      </w:r>
      <w:bookmarkStart w:id="14" w:name="_Hlk101184471"/>
      <w:r>
        <w:rPr>
          <w:rFonts w:hint="eastAsia" w:ascii="宋体" w:hAnsi="宋体" w:cs="宋体"/>
          <w:color w:val="auto"/>
          <w:sz w:val="24"/>
          <w:highlight w:val="none"/>
        </w:rPr>
        <w:t>资格审查情况、评审专家抽取规则、符合性审查情况、</w:t>
      </w:r>
      <w:bookmarkEnd w:id="14"/>
      <w:r>
        <w:rPr>
          <w:rFonts w:hint="eastAsia" w:ascii="宋体" w:hAnsi="宋体" w:cs="宋体"/>
          <w:color w:val="auto"/>
          <w:sz w:val="24"/>
          <w:highlight w:val="none"/>
        </w:rPr>
        <w:t>未中标情况说明、中标公告期限以及评审专家名单、评分汇总及明细。</w:t>
      </w:r>
    </w:p>
    <w:p w14:paraId="735EB4F3">
      <w:pPr>
        <w:widowControl/>
        <w:shd w:val="clear" w:color="auto"/>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23.3公告期限为1个工作日。</w:t>
      </w:r>
    </w:p>
    <w:p w14:paraId="6B3373FD">
      <w:pPr>
        <w:shd w:val="clear"/>
        <w:snapToGrid w:val="0"/>
        <w:spacing w:line="360" w:lineRule="auto"/>
        <w:ind w:left="120" w:leftChars="57" w:firstLine="482" w:firstLineChars="150"/>
        <w:jc w:val="center"/>
        <w:rPr>
          <w:rFonts w:ascii="宋体" w:hAnsi="宋体" w:cs="宋体"/>
          <w:b/>
          <w:color w:val="auto"/>
          <w:sz w:val="32"/>
          <w:highlight w:val="none"/>
        </w:rPr>
      </w:pPr>
    </w:p>
    <w:p w14:paraId="24242494">
      <w:pPr>
        <w:shd w:val="clear"/>
        <w:snapToGrid w:val="0"/>
        <w:spacing w:line="360" w:lineRule="auto"/>
        <w:ind w:left="120" w:leftChars="57" w:firstLine="482" w:firstLineChars="150"/>
        <w:jc w:val="center"/>
        <w:rPr>
          <w:rFonts w:ascii="宋体" w:hAnsi="宋体" w:cs="宋体"/>
          <w:b/>
          <w:color w:val="auto"/>
          <w:sz w:val="32"/>
          <w:highlight w:val="none"/>
        </w:rPr>
      </w:pPr>
      <w:r>
        <w:rPr>
          <w:rFonts w:hint="eastAsia" w:ascii="宋体" w:hAnsi="宋体" w:cs="宋体"/>
          <w:b/>
          <w:color w:val="auto"/>
          <w:sz w:val="32"/>
          <w:highlight w:val="none"/>
        </w:rPr>
        <w:t>七、合同授予</w:t>
      </w:r>
    </w:p>
    <w:p w14:paraId="7C6B9DAC">
      <w:pPr>
        <w:pStyle w:val="27"/>
        <w:shd w:val="clear"/>
        <w:spacing w:line="360" w:lineRule="auto"/>
        <w:ind w:left="479" w:hanging="479" w:hangingChars="199"/>
        <w:rPr>
          <w:rFonts w:cs="宋体"/>
          <w:b/>
          <w:color w:val="auto"/>
          <w:highlight w:val="none"/>
        </w:rPr>
      </w:pPr>
      <w:r>
        <w:rPr>
          <w:rFonts w:hint="eastAsia" w:cs="宋体"/>
          <w:b/>
          <w:color w:val="auto"/>
          <w:highlight w:val="none"/>
        </w:rPr>
        <w:t xml:space="preserve">24. </w:t>
      </w:r>
      <w:r>
        <w:rPr>
          <w:rFonts w:hint="eastAsia" w:cs="宋体"/>
          <w:color w:val="auto"/>
          <w:highlight w:val="none"/>
        </w:rPr>
        <w:t>合同主要条款详见第五部分拟签订的合同文本。</w:t>
      </w:r>
    </w:p>
    <w:p w14:paraId="78F14E2C">
      <w:pPr>
        <w:pStyle w:val="27"/>
        <w:shd w:val="clear"/>
        <w:spacing w:line="360" w:lineRule="auto"/>
        <w:ind w:left="479" w:hanging="479" w:hangingChars="199"/>
        <w:rPr>
          <w:rFonts w:cs="宋体"/>
          <w:b/>
          <w:color w:val="auto"/>
          <w:highlight w:val="none"/>
        </w:rPr>
      </w:pPr>
      <w:r>
        <w:rPr>
          <w:rFonts w:hint="eastAsia" w:cs="宋体"/>
          <w:b/>
          <w:color w:val="auto"/>
          <w:highlight w:val="none"/>
        </w:rPr>
        <w:t>25. 合同的签订</w:t>
      </w:r>
    </w:p>
    <w:p w14:paraId="77D461AF">
      <w:pPr>
        <w:widowControl/>
        <w:shd w:val="clear" w:color="auto"/>
        <w:spacing w:line="360" w:lineRule="auto"/>
        <w:ind w:firstLine="480"/>
        <w:jc w:val="left"/>
        <w:rPr>
          <w:rFonts w:ascii="宋体" w:hAnsi="宋体" w:cs="宋体"/>
          <w:color w:val="auto"/>
          <w:kern w:val="0"/>
          <w:sz w:val="24"/>
          <w:highlight w:val="none"/>
        </w:rPr>
      </w:pPr>
      <w:r>
        <w:rPr>
          <w:rFonts w:hint="eastAsia" w:ascii="宋体" w:hAnsi="宋体" w:cs="宋体"/>
          <w:color w:val="auto"/>
          <w:sz w:val="24"/>
          <w:highlight w:val="none"/>
        </w:rPr>
        <w:t>25.1</w:t>
      </w:r>
      <w:r>
        <w:rPr>
          <w:rFonts w:hint="eastAsia" w:ascii="宋体" w:hAnsi="宋体" w:cs="宋体"/>
          <w:color w:val="auto"/>
          <w:kern w:val="0"/>
          <w:sz w:val="24"/>
          <w:highlight w:val="none"/>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w:t>
      </w:r>
    </w:p>
    <w:p w14:paraId="7E6182B5">
      <w:pPr>
        <w:pStyle w:val="129"/>
        <w:shd w:val="clear"/>
        <w:snapToGrid w:val="0"/>
        <w:spacing w:before="0"/>
        <w:ind w:firstLine="480"/>
        <w:rPr>
          <w:rFonts w:ascii="宋体" w:hAnsi="宋体" w:cs="宋体"/>
          <w:color w:val="auto"/>
          <w:kern w:val="0"/>
          <w:highlight w:val="none"/>
        </w:rPr>
      </w:pPr>
      <w:r>
        <w:rPr>
          <w:rFonts w:hint="eastAsia" w:ascii="宋体" w:hAnsi="宋体" w:cs="宋体"/>
          <w:color w:val="auto"/>
          <w:kern w:val="0"/>
          <w:highlight w:val="none"/>
          <w:lang w:val="zh-CN"/>
        </w:rPr>
        <w:t>25.2中标人按规定的日期、时间、地点，由法定代表人或其授权代表与采购人代表签订合同。如中标人为联合体的，由联合体成员各方法定代表人或其授权代表与采购人代表签订合同。</w:t>
      </w:r>
    </w:p>
    <w:p w14:paraId="769FD355">
      <w:pPr>
        <w:pStyle w:val="129"/>
        <w:shd w:val="clear"/>
        <w:snapToGrid w:val="0"/>
        <w:spacing w:before="0"/>
        <w:ind w:firstLine="480"/>
        <w:rPr>
          <w:rFonts w:ascii="宋体" w:hAnsi="宋体" w:cs="宋体"/>
          <w:color w:val="auto"/>
          <w:highlight w:val="none"/>
        </w:rPr>
      </w:pPr>
      <w:r>
        <w:rPr>
          <w:rFonts w:hint="eastAsia" w:ascii="宋体" w:hAnsi="宋体" w:cs="宋体"/>
          <w:color w:val="auto"/>
          <w:highlight w:val="none"/>
        </w:rPr>
        <w:t>25.3如签订合同并生效后，供应商无故拒绝或延期，除按照合同条款处理外，列入不良行为记录一次，并给予通报。</w:t>
      </w:r>
    </w:p>
    <w:p w14:paraId="20343B01">
      <w:pPr>
        <w:pStyle w:val="129"/>
        <w:shd w:val="clear"/>
        <w:snapToGrid w:val="0"/>
        <w:spacing w:before="0"/>
        <w:ind w:firstLine="480"/>
        <w:rPr>
          <w:rFonts w:ascii="宋体" w:hAnsi="宋体" w:cs="宋体"/>
          <w:color w:val="auto"/>
          <w:highlight w:val="none"/>
        </w:rPr>
      </w:pPr>
      <w:r>
        <w:rPr>
          <w:rFonts w:hint="eastAsia" w:ascii="宋体" w:hAnsi="宋体" w:cs="宋体"/>
          <w:color w:val="auto"/>
          <w:highlight w:val="none"/>
        </w:rPr>
        <w:t>25.4中标供应商拒绝与采购人签订合同的，采购人可以按照评审报告推荐的中标或者成交候选人名单排序，确定下一候选人为中标供应商，也可以重新开展政府采购活动。</w:t>
      </w:r>
    </w:p>
    <w:p w14:paraId="61FA3F53">
      <w:pPr>
        <w:pStyle w:val="129"/>
        <w:shd w:val="clear"/>
        <w:snapToGrid w:val="0"/>
        <w:spacing w:before="0" w:after="120"/>
        <w:ind w:firstLine="480"/>
        <w:rPr>
          <w:rFonts w:ascii="宋体" w:hAnsi="宋体" w:cs="宋体"/>
          <w:color w:val="auto"/>
          <w:highlight w:val="none"/>
        </w:rPr>
      </w:pPr>
      <w:r>
        <w:rPr>
          <w:rFonts w:hint="eastAsia" w:ascii="宋体" w:hAnsi="宋体" w:cs="宋体"/>
          <w:color w:val="auto"/>
          <w:highlight w:val="none"/>
        </w:rPr>
        <w:t>25.5采购合同由采购人与中标供应商根据招标文件、投标文件等内容签订。</w:t>
      </w:r>
      <w:r>
        <w:rPr>
          <w:rFonts w:hint="eastAsia" w:ascii="宋体" w:hAnsi="宋体" w:cs="宋体"/>
          <w:color w:val="auto"/>
          <w:highlight w:val="none"/>
          <w:lang w:eastAsia="zh-CN"/>
        </w:rPr>
        <w:t>（</w:t>
      </w:r>
      <w:r>
        <w:rPr>
          <w:rFonts w:hint="eastAsia" w:ascii="宋体" w:hAnsi="宋体" w:cs="宋体"/>
          <w:color w:val="auto"/>
          <w:highlight w:val="none"/>
          <w:lang w:val="en-US" w:eastAsia="zh-CN"/>
        </w:rPr>
        <w:t>由采购人自行选择线上签订或线下签订</w:t>
      </w:r>
      <w:r>
        <w:rPr>
          <w:rFonts w:hint="eastAsia" w:ascii="宋体" w:hAnsi="宋体" w:cs="宋体"/>
          <w:color w:val="auto"/>
          <w:highlight w:val="none"/>
          <w:lang w:eastAsia="zh-CN"/>
        </w:rPr>
        <w:t>）</w:t>
      </w:r>
    </w:p>
    <w:p w14:paraId="15237229">
      <w:pPr>
        <w:pStyle w:val="27"/>
        <w:shd w:val="clear"/>
        <w:spacing w:line="360" w:lineRule="auto"/>
        <w:ind w:left="479" w:hanging="479" w:hangingChars="199"/>
        <w:rPr>
          <w:rFonts w:cs="宋体"/>
          <w:b/>
          <w:color w:val="auto"/>
          <w:highlight w:val="none"/>
        </w:rPr>
      </w:pPr>
      <w:r>
        <w:rPr>
          <w:rFonts w:hint="eastAsia" w:cs="宋体"/>
          <w:b/>
          <w:color w:val="auto"/>
          <w:highlight w:val="none"/>
        </w:rPr>
        <w:t>26. 履约保证金</w:t>
      </w:r>
    </w:p>
    <w:p w14:paraId="224B0392">
      <w:pPr>
        <w:shd w:val="clear"/>
        <w:tabs>
          <w:tab w:val="left" w:pos="0"/>
        </w:tabs>
        <w:spacing w:line="360" w:lineRule="auto"/>
        <w:ind w:firstLine="482"/>
        <w:rPr>
          <w:rFonts w:ascii="宋体" w:hAnsi="宋体" w:cs="宋体"/>
          <w:color w:val="auto"/>
          <w:sz w:val="24"/>
          <w:highlight w:val="none"/>
        </w:rPr>
      </w:pPr>
      <w:r>
        <w:rPr>
          <w:rFonts w:hint="eastAsia" w:ascii="宋体" w:hAnsi="宋体" w:cs="宋体"/>
          <w:color w:val="auto"/>
          <w:kern w:val="0"/>
          <w:sz w:val="24"/>
          <w:highlight w:val="none"/>
        </w:rPr>
        <w:t>拟签订的合同文本要求中标供应商提交履约保证金的，供应商应当以支票、汇票、本票或者金融机构、担保机构出具的保函等非现金形式提交</w:t>
      </w:r>
      <w:r>
        <w:rPr>
          <w:rFonts w:hint="eastAsia" w:ascii="宋体" w:hAnsi="宋体" w:cs="宋体"/>
          <w:color w:val="auto"/>
          <w:sz w:val="24"/>
          <w:highlight w:val="none"/>
        </w:rPr>
        <w:t>。履约保证金的数额不得超过政府采购合同金额的</w:t>
      </w:r>
      <w:r>
        <w:rPr>
          <w:rFonts w:ascii="宋体" w:hAnsi="宋体" w:cs="宋体"/>
          <w:color w:val="auto"/>
          <w:sz w:val="24"/>
          <w:highlight w:val="none"/>
        </w:rPr>
        <w:t>1</w:t>
      </w:r>
      <w:r>
        <w:rPr>
          <w:rFonts w:hint="eastAsia" w:ascii="宋体" w:hAnsi="宋体" w:cs="宋体"/>
          <w:color w:val="auto"/>
          <w:sz w:val="24"/>
          <w:highlight w:val="none"/>
        </w:rPr>
        <w:t>%，鼓励根据项目特点、供应商诚信等因素免收履约保证金或降低缴纳比例。鼓励和支持供应商以银行、保险公司出具的保函形式提供履约保证金。采购人不得拒收履约保函，项目验收结束后应及时退还，</w:t>
      </w:r>
      <w:r>
        <w:rPr>
          <w:rFonts w:ascii="宋体" w:hAnsi="宋体" w:cs="宋体"/>
          <w:color w:val="auto"/>
          <w:sz w:val="24"/>
          <w:highlight w:val="none"/>
        </w:rPr>
        <w:t>延迟退还的，应当按照合同约定和法律规定承担相应的赔偿责任</w:t>
      </w:r>
      <w:r>
        <w:rPr>
          <w:rFonts w:hint="eastAsia" w:ascii="宋体" w:hAnsi="宋体" w:cs="宋体"/>
          <w:color w:val="auto"/>
          <w:sz w:val="24"/>
          <w:highlight w:val="none"/>
        </w:rPr>
        <w:t>。</w:t>
      </w:r>
    </w:p>
    <w:p w14:paraId="5D751690">
      <w:pPr>
        <w:pStyle w:val="5"/>
        <w:shd w:val="clear"/>
        <w:ind w:left="0" w:firstLine="480" w:firstLineChars="200"/>
        <w:rPr>
          <w:rFonts w:ascii="宋体" w:hAnsi="宋体" w:eastAsia="宋体" w:cs="宋体"/>
          <w:b w:val="0"/>
          <w:bCs w:val="0"/>
          <w:snapToGrid w:val="0"/>
          <w:color w:val="auto"/>
          <w:kern w:val="28"/>
          <w:sz w:val="24"/>
          <w:highlight w:val="none"/>
        </w:rPr>
      </w:pPr>
      <w:r>
        <w:rPr>
          <w:rFonts w:hint="eastAsia" w:ascii="宋体" w:hAnsi="宋体" w:eastAsia="宋体" w:cs="宋体"/>
          <w:b w:val="0"/>
          <w:bCs w:val="0"/>
          <w:snapToGrid w:val="0"/>
          <w:color w:val="auto"/>
          <w:kern w:val="28"/>
          <w:sz w:val="24"/>
          <w:highlight w:val="none"/>
        </w:rPr>
        <w:t>供应商</w:t>
      </w:r>
      <w:r>
        <w:rPr>
          <w:rFonts w:hint="eastAsia" w:ascii="宋体" w:hAnsi="宋体" w:eastAsia="宋体" w:cs="宋体"/>
          <w:b w:val="0"/>
          <w:bCs w:val="0"/>
          <w:snapToGrid w:val="0"/>
          <w:color w:val="auto"/>
          <w:kern w:val="28"/>
          <w:sz w:val="24"/>
          <w:highlight w:val="none"/>
          <w:lang w:val="en-US"/>
        </w:rPr>
        <w:t>可</w:t>
      </w:r>
      <w:r>
        <w:rPr>
          <w:rFonts w:hint="eastAsia" w:ascii="宋体" w:hAnsi="宋体" w:eastAsia="宋体" w:cs="宋体"/>
          <w:b w:val="0"/>
          <w:bCs w:val="0"/>
          <w:snapToGrid w:val="0"/>
          <w:color w:val="auto"/>
          <w:kern w:val="28"/>
          <w:sz w:val="24"/>
          <w:highlight w:val="none"/>
        </w:rPr>
        <w:t>登录政采云平台</w:t>
      </w:r>
      <w:r>
        <w:rPr>
          <w:rFonts w:hint="eastAsia" w:ascii="宋体" w:hAnsi="宋体" w:eastAsia="宋体" w:cs="宋体"/>
          <w:b w:val="0"/>
          <w:bCs w:val="0"/>
          <w:snapToGrid w:val="0"/>
          <w:color w:val="auto"/>
          <w:kern w:val="28"/>
          <w:sz w:val="24"/>
          <w:highlight w:val="none"/>
          <w:lang w:eastAsia="zh-CN"/>
        </w:rPr>
        <w:t>－</w:t>
      </w:r>
      <w:r>
        <w:rPr>
          <w:rFonts w:hint="eastAsia" w:ascii="宋体" w:hAnsi="宋体" w:eastAsia="宋体" w:cs="宋体"/>
          <w:b w:val="0"/>
          <w:bCs w:val="0"/>
          <w:snapToGrid w:val="0"/>
          <w:color w:val="auto"/>
          <w:kern w:val="28"/>
          <w:sz w:val="24"/>
          <w:highlight w:val="none"/>
        </w:rPr>
        <w:t>【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14:paraId="3904B76C">
      <w:pPr>
        <w:pStyle w:val="5"/>
        <w:shd w:val="clear"/>
        <w:rPr>
          <w:color w:val="auto"/>
          <w:highlight w:val="none"/>
        </w:rPr>
      </w:pPr>
      <w:r>
        <w:rPr>
          <w:rFonts w:ascii="宋体" w:hAnsi="宋体" w:eastAsia="宋体"/>
          <w:b/>
          <w:bCs/>
          <w:color w:val="auto"/>
          <w:sz w:val="24"/>
          <w:szCs w:val="32"/>
          <w:highlight w:val="none"/>
          <w:lang w:val="en-US"/>
        </w:rPr>
        <w:t>27.预付款</w:t>
      </w:r>
    </w:p>
    <w:p w14:paraId="435A51BD">
      <w:pPr>
        <w:shd w:val="clear"/>
        <w:adjustRightInd/>
        <w:spacing w:line="360" w:lineRule="auto"/>
        <w:ind w:firstLine="480" w:firstLineChars="200"/>
        <w:rPr>
          <w:color w:val="auto"/>
          <w:highlight w:val="none"/>
        </w:rPr>
      </w:pPr>
      <w:r>
        <w:rPr>
          <w:rFonts w:hint="eastAsia" w:ascii="宋体" w:hAnsi="宋体"/>
          <w:color w:val="auto"/>
          <w:sz w:val="24"/>
          <w:highlight w:val="none"/>
        </w:rPr>
        <w:t>采购单位应当在政府采购合同中约定预付款，对中小企业合同预付款比例原则上不低于合同金额的</w:t>
      </w:r>
      <w:r>
        <w:rPr>
          <w:rFonts w:ascii="宋体" w:hAnsi="宋体"/>
          <w:color w:val="auto"/>
          <w:sz w:val="24"/>
          <w:highlight w:val="none"/>
        </w:rPr>
        <w:t>40</w:t>
      </w:r>
      <w:r>
        <w:rPr>
          <w:rFonts w:hint="eastAsia" w:ascii="宋体" w:hAnsi="宋体"/>
          <w:color w:val="auto"/>
          <w:sz w:val="24"/>
          <w:highlight w:val="none"/>
          <w:lang w:val="en-US" w:eastAsia="zh-CN"/>
        </w:rPr>
        <w:t>%</w:t>
      </w:r>
      <w:r>
        <w:rPr>
          <w:rFonts w:hint="eastAsia" w:ascii="宋体" w:hAnsi="宋体"/>
          <w:color w:val="auto"/>
          <w:sz w:val="24"/>
          <w:highlight w:val="none"/>
        </w:rPr>
        <w:t>，不高于合同金额的</w:t>
      </w:r>
      <w:r>
        <w:rPr>
          <w:rFonts w:ascii="宋体" w:hAnsi="宋体"/>
          <w:color w:val="auto"/>
          <w:sz w:val="24"/>
          <w:highlight w:val="none"/>
        </w:rPr>
        <w:t>70%；项目分年安排预算的，每年预付款比例</w:t>
      </w:r>
      <w:r>
        <w:rPr>
          <w:rFonts w:hint="eastAsia" w:ascii="宋体" w:hAnsi="宋体"/>
          <w:color w:val="auto"/>
          <w:sz w:val="24"/>
          <w:highlight w:val="none"/>
        </w:rPr>
        <w:t>不低于</w:t>
      </w:r>
      <w:r>
        <w:rPr>
          <w:rFonts w:ascii="宋体" w:hAnsi="宋体"/>
          <w:color w:val="auto"/>
          <w:sz w:val="24"/>
          <w:highlight w:val="none"/>
        </w:rPr>
        <w:t>项目年度计划支付资金额的40</w:t>
      </w:r>
      <w:r>
        <w:rPr>
          <w:rFonts w:hint="eastAsia" w:ascii="宋体" w:hAnsi="宋体"/>
          <w:color w:val="auto"/>
          <w:sz w:val="24"/>
          <w:highlight w:val="none"/>
          <w:lang w:val="en-US" w:eastAsia="zh-CN"/>
        </w:rPr>
        <w:t>%</w:t>
      </w:r>
      <w:r>
        <w:rPr>
          <w:rFonts w:hint="eastAsia" w:ascii="宋体" w:hAnsi="宋体"/>
          <w:color w:val="auto"/>
          <w:sz w:val="24"/>
          <w:highlight w:val="none"/>
        </w:rPr>
        <w:t>，不高于合同金额的</w:t>
      </w:r>
      <w:r>
        <w:rPr>
          <w:rFonts w:ascii="宋体" w:hAnsi="宋体"/>
          <w:color w:val="auto"/>
          <w:sz w:val="24"/>
          <w:highlight w:val="none"/>
        </w:rPr>
        <w:t>70%；采购项目实施以人工投入为主的，</w:t>
      </w:r>
      <w:r>
        <w:rPr>
          <w:rFonts w:hint="eastAsia" w:ascii="宋体" w:hAnsi="宋体"/>
          <w:color w:val="auto"/>
          <w:sz w:val="24"/>
          <w:highlight w:val="none"/>
        </w:rPr>
        <w:t>可适当降低预付款比例，但不得低于</w:t>
      </w:r>
      <w:r>
        <w:rPr>
          <w:rFonts w:ascii="宋体" w:hAnsi="宋体"/>
          <w:color w:val="auto"/>
          <w:sz w:val="24"/>
          <w:highlight w:val="none"/>
        </w:rPr>
        <w:t>20%。对供应商为大型企业的项目或者以人工投入为主且实行按月定期结算支付款项的项目，预付款可低于上述比例或者不约定预付款。在签订合同时，</w:t>
      </w:r>
      <w:r>
        <w:rPr>
          <w:rFonts w:hint="eastAsia" w:ascii="宋体" w:hAnsi="宋体"/>
          <w:color w:val="auto"/>
          <w:sz w:val="24"/>
          <w:highlight w:val="none"/>
        </w:rPr>
        <w:t>供应商</w:t>
      </w:r>
      <w:r>
        <w:rPr>
          <w:rFonts w:ascii="宋体" w:hAnsi="宋体"/>
          <w:color w:val="auto"/>
          <w:sz w:val="24"/>
          <w:highlight w:val="none"/>
        </w:rPr>
        <w:t>明确表示无需预付款或者主动要求降低预付款比例的，</w:t>
      </w:r>
      <w:r>
        <w:rPr>
          <w:rFonts w:hint="eastAsia" w:ascii="宋体" w:hAnsi="宋体"/>
          <w:color w:val="auto"/>
          <w:sz w:val="24"/>
          <w:highlight w:val="none"/>
        </w:rPr>
        <w:t>采购单位</w:t>
      </w:r>
      <w:r>
        <w:rPr>
          <w:rFonts w:ascii="宋体" w:hAnsi="宋体"/>
          <w:color w:val="auto"/>
          <w:sz w:val="24"/>
          <w:highlight w:val="none"/>
        </w:rPr>
        <w:t>可不适用前述规定。</w:t>
      </w:r>
      <w:r>
        <w:rPr>
          <w:rFonts w:hint="eastAsia" w:ascii="宋体" w:hAnsi="宋体"/>
          <w:color w:val="auto"/>
          <w:sz w:val="24"/>
          <w:highlight w:val="none"/>
        </w:rPr>
        <w:t>采购单位</w:t>
      </w:r>
      <w:r>
        <w:rPr>
          <w:rFonts w:ascii="宋体" w:hAnsi="宋体"/>
          <w:color w:val="auto"/>
          <w:sz w:val="24"/>
          <w:highlight w:val="none"/>
        </w:rPr>
        <w:t>根据项目特点、供应商诚信等因素，可以要求</w:t>
      </w:r>
      <w:r>
        <w:rPr>
          <w:rFonts w:hint="eastAsia" w:ascii="宋体" w:hAnsi="宋体"/>
          <w:color w:val="auto"/>
          <w:sz w:val="24"/>
          <w:highlight w:val="none"/>
        </w:rPr>
        <w:t>供应商</w:t>
      </w:r>
      <w:r>
        <w:rPr>
          <w:rFonts w:ascii="宋体" w:hAnsi="宋体"/>
          <w:color w:val="auto"/>
          <w:sz w:val="24"/>
          <w:highlight w:val="none"/>
        </w:rPr>
        <w:t>提交银行、保险公司等金融机构出具的预付款保函或其他担保措施。政府采购预付款应在合同生效以及具备实施条件后</w:t>
      </w:r>
      <w:r>
        <w:rPr>
          <w:rFonts w:hint="eastAsia" w:ascii="宋体" w:hAnsi="宋体"/>
          <w:color w:val="auto"/>
          <w:sz w:val="24"/>
          <w:highlight w:val="none"/>
          <w:lang w:val="en-US" w:eastAsia="zh-CN"/>
        </w:rPr>
        <w:t>7</w:t>
      </w:r>
      <w:r>
        <w:rPr>
          <w:rFonts w:ascii="宋体" w:hAnsi="宋体"/>
          <w:color w:val="auto"/>
          <w:sz w:val="24"/>
          <w:highlight w:val="none"/>
        </w:rPr>
        <w:t>个工作日内支付。</w:t>
      </w:r>
      <w:r>
        <w:rPr>
          <w:rFonts w:hint="eastAsia" w:ascii="宋体" w:hAnsi="宋体"/>
          <w:color w:val="auto"/>
          <w:sz w:val="24"/>
          <w:highlight w:val="none"/>
        </w:rPr>
        <w:t>政府采购工程以及与工程建设有关的货物、服务，采用招标方式采购的，预付款从其相关规定。供应商可登录政采云前台大厅选择金融服务</w:t>
      </w:r>
      <w:r>
        <w:rPr>
          <w:rFonts w:ascii="宋体" w:hAnsi="宋体"/>
          <w:color w:val="auto"/>
          <w:sz w:val="24"/>
          <w:highlight w:val="none"/>
        </w:rPr>
        <w:t xml:space="preserve"> - </w:t>
      </w:r>
      <w:r>
        <w:rPr>
          <w:rFonts w:hint="eastAsia" w:ascii="宋体" w:hAnsi="宋体"/>
          <w:color w:val="auto"/>
          <w:sz w:val="24"/>
          <w:highlight w:val="none"/>
        </w:rPr>
        <w:t>【保函保险服务】出具预付款保函，具体步骤：选择产品—填写供应商信息—选择中标项目—确认信息—等待保险</w:t>
      </w:r>
      <w:r>
        <w:rPr>
          <w:rFonts w:ascii="宋体" w:hAnsi="宋体"/>
          <w:color w:val="auto"/>
          <w:sz w:val="24"/>
          <w:highlight w:val="none"/>
        </w:rPr>
        <w:t>/保函受理—确认保单—支付保费—成功出单。政</w:t>
      </w:r>
      <w:r>
        <w:rPr>
          <w:rFonts w:hint="eastAsia" w:ascii="宋体" w:hAnsi="宋体"/>
          <w:color w:val="auto"/>
          <w:sz w:val="24"/>
          <w:highlight w:val="none"/>
        </w:rPr>
        <w:t>采云金融专线</w:t>
      </w:r>
      <w:r>
        <w:rPr>
          <w:rFonts w:ascii="宋体" w:hAnsi="宋体"/>
          <w:color w:val="auto"/>
          <w:sz w:val="24"/>
          <w:highlight w:val="none"/>
        </w:rPr>
        <w:t>400-903-9583。</w:t>
      </w:r>
    </w:p>
    <w:p w14:paraId="6973AE4F">
      <w:pPr>
        <w:shd w:val="clear"/>
        <w:rPr>
          <w:color w:val="auto"/>
          <w:highlight w:val="none"/>
        </w:rPr>
      </w:pPr>
    </w:p>
    <w:p w14:paraId="24A84A82">
      <w:pPr>
        <w:shd w:val="clear"/>
        <w:snapToGrid w:val="0"/>
        <w:spacing w:line="360" w:lineRule="auto"/>
        <w:ind w:firstLine="3357" w:firstLineChars="1045"/>
        <w:rPr>
          <w:rFonts w:ascii="宋体" w:hAnsi="宋体" w:cs="宋体"/>
          <w:b/>
          <w:color w:val="auto"/>
          <w:sz w:val="32"/>
          <w:highlight w:val="none"/>
        </w:rPr>
      </w:pPr>
    </w:p>
    <w:p w14:paraId="47295447">
      <w:pPr>
        <w:shd w:val="clear"/>
        <w:snapToGrid w:val="0"/>
        <w:spacing w:line="360" w:lineRule="auto"/>
        <w:ind w:firstLine="3357" w:firstLineChars="1045"/>
        <w:rPr>
          <w:rFonts w:ascii="宋体" w:hAnsi="宋体" w:cs="宋体"/>
          <w:b/>
          <w:color w:val="auto"/>
          <w:sz w:val="24"/>
          <w:highlight w:val="none"/>
        </w:rPr>
      </w:pPr>
      <w:r>
        <w:rPr>
          <w:rFonts w:hint="eastAsia" w:ascii="宋体" w:hAnsi="宋体" w:cs="宋体"/>
          <w:b/>
          <w:color w:val="auto"/>
          <w:sz w:val="32"/>
          <w:highlight w:val="none"/>
        </w:rPr>
        <w:t>八、电子交易活动的中止</w:t>
      </w:r>
    </w:p>
    <w:p w14:paraId="5CFAA4EC">
      <w:pPr>
        <w:pStyle w:val="129"/>
        <w:shd w:val="clear"/>
        <w:snapToGrid w:val="0"/>
        <w:spacing w:before="0"/>
        <w:ind w:firstLine="0" w:firstLineChars="0"/>
        <w:rPr>
          <w:rFonts w:ascii="宋体" w:hAnsi="宋体" w:cs="宋体"/>
          <w:color w:val="auto"/>
          <w:highlight w:val="none"/>
        </w:rPr>
      </w:pPr>
      <w:r>
        <w:rPr>
          <w:rFonts w:ascii="宋体" w:hAnsi="宋体" w:cs="宋体"/>
          <w:b/>
          <w:bCs/>
          <w:color w:val="auto"/>
          <w:sz w:val="24"/>
          <w:szCs w:val="20"/>
          <w:highlight w:val="none"/>
        </w:rPr>
        <w:t>2</w:t>
      </w:r>
      <w:r>
        <w:rPr>
          <w:rFonts w:ascii="宋体" w:hAnsi="宋体" w:cs="宋体"/>
          <w:b/>
          <w:bCs/>
          <w:color w:val="auto"/>
          <w:sz w:val="24"/>
          <w:szCs w:val="24"/>
          <w:highlight w:val="none"/>
        </w:rPr>
        <w:t>8</w:t>
      </w:r>
      <w:r>
        <w:rPr>
          <w:rFonts w:hint="eastAsia" w:ascii="宋体" w:hAnsi="宋体" w:cs="宋体"/>
          <w:b/>
          <w:color w:val="auto"/>
          <w:szCs w:val="24"/>
          <w:highlight w:val="none"/>
        </w:rPr>
        <w:t>. 电子交易活动的中止。</w:t>
      </w:r>
      <w:r>
        <w:rPr>
          <w:rFonts w:hint="eastAsia" w:ascii="宋体" w:hAnsi="宋体" w:cs="宋体"/>
          <w:color w:val="auto"/>
          <w:highlight w:val="none"/>
        </w:rPr>
        <w:t>采购过程中出现以下情形，导致电子交易平台无法正常运行，或者无法保证电子交易的公平、公正和安全时，</w:t>
      </w:r>
      <w:r>
        <w:rPr>
          <w:rFonts w:hint="eastAsia" w:ascii="宋体" w:hAnsi="宋体" w:cs="宋体"/>
          <w:color w:val="auto"/>
          <w:highlight w:val="none"/>
          <w:lang w:eastAsia="zh-CN"/>
        </w:rPr>
        <w:t>采购代理机构</w:t>
      </w:r>
      <w:r>
        <w:rPr>
          <w:rFonts w:hint="eastAsia" w:ascii="宋体" w:hAnsi="宋体" w:cs="宋体"/>
          <w:color w:val="auto"/>
          <w:highlight w:val="none"/>
        </w:rPr>
        <w:t>可中止电子交易活动：</w:t>
      </w:r>
    </w:p>
    <w:p w14:paraId="5D07E80A">
      <w:pPr>
        <w:pStyle w:val="129"/>
        <w:shd w:val="clear"/>
        <w:snapToGrid w:val="0"/>
        <w:spacing w:before="0"/>
        <w:ind w:firstLine="480"/>
        <w:rPr>
          <w:rFonts w:ascii="宋体" w:hAnsi="宋体" w:cs="宋体"/>
          <w:color w:val="auto"/>
          <w:highlight w:val="none"/>
        </w:rPr>
      </w:pPr>
      <w:r>
        <w:rPr>
          <w:rFonts w:hint="eastAsia" w:ascii="宋体" w:hAnsi="宋体" w:cs="宋体"/>
          <w:color w:val="auto"/>
          <w:highlight w:val="none"/>
        </w:rPr>
        <w:t xml:space="preserve">28.1电子交易平台发生故障而无法登录访问的； </w:t>
      </w:r>
    </w:p>
    <w:p w14:paraId="3F4F112A">
      <w:pPr>
        <w:pStyle w:val="129"/>
        <w:shd w:val="clear"/>
        <w:snapToGrid w:val="0"/>
        <w:spacing w:before="0"/>
        <w:ind w:firstLine="480"/>
        <w:rPr>
          <w:rFonts w:ascii="宋体" w:hAnsi="宋体" w:cs="宋体"/>
          <w:color w:val="auto"/>
          <w:highlight w:val="none"/>
        </w:rPr>
      </w:pPr>
      <w:r>
        <w:rPr>
          <w:rFonts w:hint="eastAsia" w:ascii="宋体" w:hAnsi="宋体" w:cs="宋体"/>
          <w:color w:val="auto"/>
          <w:highlight w:val="none"/>
        </w:rPr>
        <w:t>28.2电子交易平台应用或数据库出现错误，不能进行正常操作的；</w:t>
      </w:r>
    </w:p>
    <w:p w14:paraId="5850E40E">
      <w:pPr>
        <w:pStyle w:val="129"/>
        <w:shd w:val="clear"/>
        <w:snapToGrid w:val="0"/>
        <w:spacing w:before="0"/>
        <w:ind w:firstLine="480"/>
        <w:rPr>
          <w:rFonts w:ascii="宋体" w:hAnsi="宋体" w:cs="宋体"/>
          <w:color w:val="auto"/>
          <w:highlight w:val="none"/>
        </w:rPr>
      </w:pPr>
      <w:r>
        <w:rPr>
          <w:rFonts w:hint="eastAsia" w:ascii="宋体" w:hAnsi="宋体" w:cs="宋体"/>
          <w:color w:val="auto"/>
          <w:highlight w:val="none"/>
        </w:rPr>
        <w:t>28.3电子交易平台发现严重安全漏洞，有潜在泄密危险的；</w:t>
      </w:r>
    </w:p>
    <w:p w14:paraId="583C5E5E">
      <w:pPr>
        <w:pStyle w:val="129"/>
        <w:shd w:val="clear"/>
        <w:snapToGrid w:val="0"/>
        <w:spacing w:before="0"/>
        <w:ind w:firstLine="480"/>
        <w:rPr>
          <w:rFonts w:ascii="宋体" w:hAnsi="宋体" w:cs="宋体"/>
          <w:color w:val="auto"/>
          <w:highlight w:val="none"/>
        </w:rPr>
      </w:pPr>
      <w:r>
        <w:rPr>
          <w:rFonts w:hint="eastAsia" w:ascii="宋体" w:hAnsi="宋体" w:cs="宋体"/>
          <w:color w:val="auto"/>
          <w:highlight w:val="none"/>
        </w:rPr>
        <w:t xml:space="preserve">28.4病毒发作导致不能进行正常操作的； </w:t>
      </w:r>
    </w:p>
    <w:p w14:paraId="0F0D56F0">
      <w:pPr>
        <w:pStyle w:val="129"/>
        <w:shd w:val="clear"/>
        <w:snapToGrid w:val="0"/>
        <w:spacing w:before="0"/>
        <w:ind w:firstLine="480"/>
        <w:rPr>
          <w:rFonts w:ascii="宋体" w:hAnsi="宋体" w:cs="宋体"/>
          <w:color w:val="auto"/>
          <w:highlight w:val="none"/>
        </w:rPr>
      </w:pPr>
      <w:r>
        <w:rPr>
          <w:rFonts w:hint="eastAsia" w:ascii="宋体" w:hAnsi="宋体" w:cs="宋体"/>
          <w:color w:val="auto"/>
          <w:highlight w:val="none"/>
        </w:rPr>
        <w:t>28.5其他无法保证电子交易的公平、公正和安全的情况。</w:t>
      </w:r>
    </w:p>
    <w:p w14:paraId="7CC8C339">
      <w:pPr>
        <w:pStyle w:val="129"/>
        <w:shd w:val="clear"/>
        <w:snapToGrid w:val="0"/>
        <w:spacing w:before="0"/>
        <w:ind w:firstLine="0" w:firstLineChars="0"/>
        <w:rPr>
          <w:rFonts w:ascii="宋体" w:hAnsi="宋体" w:cs="宋体"/>
          <w:color w:val="auto"/>
          <w:highlight w:val="none"/>
        </w:rPr>
      </w:pPr>
      <w:r>
        <w:rPr>
          <w:rFonts w:hint="eastAsia" w:ascii="宋体" w:hAnsi="宋体" w:cs="宋体"/>
          <w:color w:val="auto"/>
          <w:highlight w:val="none"/>
        </w:rPr>
        <w:t xml:space="preserve"> 29.出现以上情形，不影响采购公平、公正性的，采购组织机构可以待上述情形消除后继续组织电子交易活动，也可以决定某些环节以纸质形式进行；影响或可能影响采购公平、公正性的，应当重新采购。</w:t>
      </w:r>
    </w:p>
    <w:p w14:paraId="3DC961A6">
      <w:pPr>
        <w:shd w:val="clear"/>
        <w:tabs>
          <w:tab w:val="left" w:pos="0"/>
        </w:tabs>
        <w:spacing w:line="360" w:lineRule="auto"/>
        <w:ind w:firstLine="480"/>
        <w:rPr>
          <w:rFonts w:ascii="宋体" w:hAnsi="宋体" w:cs="宋体"/>
          <w:color w:val="auto"/>
          <w:sz w:val="24"/>
          <w:highlight w:val="none"/>
        </w:rPr>
      </w:pPr>
    </w:p>
    <w:p w14:paraId="057A15B0">
      <w:pPr>
        <w:shd w:val="clear"/>
        <w:snapToGrid w:val="0"/>
        <w:spacing w:line="360" w:lineRule="auto"/>
        <w:ind w:left="120" w:leftChars="57" w:firstLine="482" w:firstLineChars="150"/>
        <w:jc w:val="center"/>
        <w:rPr>
          <w:rFonts w:ascii="宋体" w:hAnsi="宋体" w:cs="宋体"/>
          <w:b/>
          <w:color w:val="auto"/>
          <w:sz w:val="32"/>
          <w:highlight w:val="none"/>
        </w:rPr>
      </w:pPr>
      <w:r>
        <w:rPr>
          <w:rFonts w:hint="eastAsia" w:ascii="宋体" w:hAnsi="宋体" w:cs="宋体"/>
          <w:b/>
          <w:color w:val="auto"/>
          <w:sz w:val="32"/>
          <w:highlight w:val="none"/>
        </w:rPr>
        <w:t>九、验收</w:t>
      </w:r>
    </w:p>
    <w:p w14:paraId="5136A2F1">
      <w:pPr>
        <w:pStyle w:val="27"/>
        <w:shd w:val="clear"/>
        <w:spacing w:line="360" w:lineRule="auto"/>
        <w:ind w:firstLine="0" w:firstLineChars="0"/>
        <w:rPr>
          <w:rFonts w:cs="宋体"/>
          <w:b/>
          <w:color w:val="auto"/>
          <w:highlight w:val="none"/>
        </w:rPr>
      </w:pPr>
      <w:r>
        <w:rPr>
          <w:rFonts w:hint="eastAsia" w:cs="宋体"/>
          <w:b/>
          <w:color w:val="auto"/>
          <w:highlight w:val="none"/>
        </w:rPr>
        <w:t>30.验收</w:t>
      </w:r>
    </w:p>
    <w:p w14:paraId="727B76A0">
      <w:pPr>
        <w:shd w:val="clea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2E8D7D21">
      <w:pPr>
        <w:shd w:val="clea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30.2采购人可以邀请参加本项目的其他投标人或者第三方机构参与验收。参与验收的投标人或者第三方机构的意见作为验收书的参考资料一并存档。</w:t>
      </w:r>
    </w:p>
    <w:p w14:paraId="74FD2001">
      <w:pPr>
        <w:shd w:val="clea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56104B7F">
      <w:pPr>
        <w:shd w:val="clear"/>
        <w:tabs>
          <w:tab w:val="left" w:pos="0"/>
        </w:tabs>
        <w:spacing w:line="360" w:lineRule="auto"/>
        <w:ind w:firstLine="480"/>
        <w:rPr>
          <w:rFonts w:ascii="宋体" w:hAnsi="宋体" w:cs="宋体"/>
          <w:color w:val="auto"/>
          <w:sz w:val="18"/>
          <w:szCs w:val="18"/>
          <w:highlight w:val="none"/>
        </w:rPr>
      </w:pPr>
      <w:r>
        <w:rPr>
          <w:rFonts w:hint="eastAsia" w:ascii="宋体" w:hAnsi="宋体" w:cs="宋体"/>
          <w:color w:val="auto"/>
          <w:kern w:val="0"/>
          <w:sz w:val="24"/>
          <w:highlight w:val="none"/>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13"/>
    <w:p w14:paraId="73D221DD">
      <w:pPr>
        <w:shd w:val="clear"/>
        <w:tabs>
          <w:tab w:val="left" w:pos="0"/>
        </w:tabs>
        <w:spacing w:line="360" w:lineRule="auto"/>
        <w:ind w:firstLine="480"/>
        <w:rPr>
          <w:rFonts w:ascii="宋体" w:hAnsi="宋体" w:cs="宋体"/>
          <w:color w:val="auto"/>
          <w:kern w:val="0"/>
          <w:sz w:val="24"/>
          <w:highlight w:val="none"/>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cols w:space="720" w:num="1"/>
          <w:titlePg/>
          <w:docGrid w:linePitch="312" w:charSpace="0"/>
        </w:sectPr>
      </w:pPr>
      <w:bookmarkStart w:id="15" w:name="_Hlt68073093"/>
      <w:bookmarkEnd w:id="15"/>
      <w:bookmarkStart w:id="16" w:name="_Hlt74729768"/>
      <w:bookmarkEnd w:id="16"/>
      <w:bookmarkStart w:id="17" w:name="_Hlt75236101"/>
      <w:bookmarkEnd w:id="17"/>
      <w:bookmarkStart w:id="18" w:name="_Hlt68057669"/>
      <w:bookmarkEnd w:id="18"/>
      <w:bookmarkStart w:id="19" w:name="_Hlt74714665"/>
      <w:bookmarkEnd w:id="19"/>
      <w:bookmarkStart w:id="20" w:name="_Hlt74730295"/>
      <w:bookmarkEnd w:id="20"/>
      <w:bookmarkStart w:id="21" w:name="_Hlt68072998"/>
      <w:bookmarkEnd w:id="21"/>
      <w:bookmarkStart w:id="22" w:name="_Hlt74707468"/>
      <w:bookmarkEnd w:id="22"/>
      <w:bookmarkStart w:id="23" w:name="_Hlt68072990"/>
      <w:bookmarkEnd w:id="23"/>
      <w:bookmarkStart w:id="24" w:name="_Hlt75236290"/>
      <w:bookmarkEnd w:id="24"/>
      <w:bookmarkStart w:id="25" w:name="_Hlt75236011"/>
      <w:bookmarkEnd w:id="25"/>
      <w:bookmarkStart w:id="26" w:name="_Hlt68403820"/>
      <w:bookmarkEnd w:id="26"/>
    </w:p>
    <w:bookmarkEnd w:id="11"/>
    <w:bookmarkEnd w:id="12"/>
    <w:p w14:paraId="5B5453A6">
      <w:pPr>
        <w:shd w:val="clear"/>
        <w:spacing w:line="360" w:lineRule="auto"/>
        <w:jc w:val="center"/>
        <w:outlineLvl w:val="0"/>
        <w:rPr>
          <w:rFonts w:ascii="宋体" w:hAnsi="宋体" w:cs="宋体"/>
          <w:b/>
          <w:color w:val="auto"/>
          <w:sz w:val="36"/>
          <w:szCs w:val="36"/>
          <w:highlight w:val="none"/>
        </w:rPr>
      </w:pPr>
      <w:bookmarkStart w:id="27" w:name="第四部分"/>
      <w:r>
        <w:rPr>
          <w:rFonts w:hint="eastAsia" w:ascii="宋体" w:hAnsi="宋体" w:cs="宋体"/>
          <w:b/>
          <w:color w:val="auto"/>
          <w:sz w:val="36"/>
          <w:szCs w:val="36"/>
          <w:highlight w:val="none"/>
        </w:rPr>
        <w:t>第三部分   采购需求（适用于所有标项）</w:t>
      </w:r>
    </w:p>
    <w:p w14:paraId="4DA20D8C">
      <w:pPr>
        <w:shd w:val="clear"/>
        <w:adjustRightInd/>
        <w:spacing w:line="360" w:lineRule="auto"/>
        <w:ind w:firstLine="3845" w:firstLineChars="1197"/>
        <w:outlineLvl w:val="0"/>
        <w:rPr>
          <w:rFonts w:hint="eastAsia" w:ascii="宋体" w:hAnsi="宋体" w:eastAsia="宋体" w:cs="宋体"/>
          <w:b/>
          <w:color w:val="auto"/>
          <w:sz w:val="32"/>
          <w:szCs w:val="20"/>
          <w:highlight w:val="none"/>
        </w:rPr>
      </w:pPr>
      <w:r>
        <w:rPr>
          <w:rFonts w:hint="eastAsia" w:ascii="宋体" w:hAnsi="宋体" w:eastAsia="宋体" w:cs="宋体"/>
          <w:b/>
          <w:color w:val="auto"/>
          <w:sz w:val="32"/>
          <w:szCs w:val="20"/>
          <w:highlight w:val="none"/>
        </w:rPr>
        <w:t>前附表</w:t>
      </w:r>
    </w:p>
    <w:tbl>
      <w:tblPr>
        <w:tblStyle w:val="63"/>
        <w:tblW w:w="864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1"/>
        <w:gridCol w:w="2318"/>
        <w:gridCol w:w="5630"/>
      </w:tblGrid>
      <w:tr w14:paraId="4E23DE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blHeader/>
          <w:jc w:val="center"/>
        </w:trPr>
        <w:tc>
          <w:tcPr>
            <w:tcW w:w="701" w:type="dxa"/>
            <w:noWrap w:val="0"/>
            <w:vAlign w:val="center"/>
          </w:tcPr>
          <w:p w14:paraId="73FB98EE">
            <w:pPr>
              <w:keepNext w:val="0"/>
              <w:keepLines w:val="0"/>
              <w:pageBreakBefore w:val="0"/>
              <w:widowControl w:val="0"/>
              <w:shd w:val="clear"/>
              <w:kinsoku/>
              <w:wordWrap/>
              <w:overflowPunct/>
              <w:topLinePunct w:val="0"/>
              <w:autoSpaceDE/>
              <w:autoSpaceDN/>
              <w:bidi w:val="0"/>
              <w:adjustRightInd/>
              <w:snapToGrid/>
              <w:spacing w:line="336" w:lineRule="auto"/>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序号</w:t>
            </w:r>
          </w:p>
        </w:tc>
        <w:tc>
          <w:tcPr>
            <w:tcW w:w="2318" w:type="dxa"/>
            <w:noWrap w:val="0"/>
            <w:vAlign w:val="center"/>
          </w:tcPr>
          <w:p w14:paraId="71D7BA5D">
            <w:pPr>
              <w:keepNext w:val="0"/>
              <w:keepLines w:val="0"/>
              <w:pageBreakBefore w:val="0"/>
              <w:widowControl w:val="0"/>
              <w:shd w:val="clear"/>
              <w:kinsoku/>
              <w:wordWrap/>
              <w:overflowPunct/>
              <w:topLinePunct w:val="0"/>
              <w:autoSpaceDE/>
              <w:autoSpaceDN/>
              <w:bidi w:val="0"/>
              <w:adjustRightInd/>
              <w:snapToGrid/>
              <w:spacing w:line="336" w:lineRule="auto"/>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项目</w:t>
            </w:r>
          </w:p>
        </w:tc>
        <w:tc>
          <w:tcPr>
            <w:tcW w:w="5630" w:type="dxa"/>
            <w:noWrap w:val="0"/>
            <w:vAlign w:val="center"/>
          </w:tcPr>
          <w:p w14:paraId="1DE10EA4">
            <w:pPr>
              <w:keepNext w:val="0"/>
              <w:keepLines w:val="0"/>
              <w:pageBreakBefore w:val="0"/>
              <w:widowControl w:val="0"/>
              <w:shd w:val="clear"/>
              <w:kinsoku/>
              <w:wordWrap/>
              <w:overflowPunct/>
              <w:topLinePunct w:val="0"/>
              <w:autoSpaceDE/>
              <w:autoSpaceDN/>
              <w:bidi w:val="0"/>
              <w:adjustRightInd/>
              <w:snapToGrid/>
              <w:spacing w:line="336" w:lineRule="auto"/>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采购需求内容</w:t>
            </w:r>
          </w:p>
        </w:tc>
      </w:tr>
      <w:tr w14:paraId="3FCA45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701" w:type="dxa"/>
            <w:noWrap w:val="0"/>
            <w:vAlign w:val="center"/>
          </w:tcPr>
          <w:p w14:paraId="1FE449A7">
            <w:pPr>
              <w:keepNext w:val="0"/>
              <w:keepLines w:val="0"/>
              <w:pageBreakBefore w:val="0"/>
              <w:widowControl w:val="0"/>
              <w:shd w:val="clear"/>
              <w:kinsoku/>
              <w:wordWrap/>
              <w:overflowPunct/>
              <w:topLinePunct w:val="0"/>
              <w:autoSpaceDE/>
              <w:autoSpaceDN/>
              <w:bidi w:val="0"/>
              <w:adjustRightInd/>
              <w:snapToGrid/>
              <w:spacing w:line="336"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c>
          <w:tcPr>
            <w:tcW w:w="2318" w:type="dxa"/>
            <w:noWrap w:val="0"/>
            <w:vAlign w:val="center"/>
          </w:tcPr>
          <w:p w14:paraId="5C529F8A">
            <w:pPr>
              <w:keepNext w:val="0"/>
              <w:keepLines w:val="0"/>
              <w:pageBreakBefore w:val="0"/>
              <w:widowControl w:val="0"/>
              <w:shd w:val="clear"/>
              <w:kinsoku/>
              <w:wordWrap/>
              <w:overflowPunct/>
              <w:topLinePunct w:val="0"/>
              <w:autoSpaceDE/>
              <w:autoSpaceDN/>
              <w:bidi w:val="0"/>
              <w:adjustRightInd/>
              <w:snapToGrid/>
              <w:spacing w:line="336"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采购内容</w:t>
            </w:r>
          </w:p>
        </w:tc>
        <w:tc>
          <w:tcPr>
            <w:tcW w:w="5630" w:type="dxa"/>
            <w:noWrap w:val="0"/>
            <w:vAlign w:val="center"/>
          </w:tcPr>
          <w:p w14:paraId="56CBE924">
            <w:pPr>
              <w:keepNext w:val="0"/>
              <w:keepLines w:val="0"/>
              <w:pageBreakBefore w:val="0"/>
              <w:widowControl w:val="0"/>
              <w:shd w:val="clear"/>
              <w:kinsoku/>
              <w:wordWrap/>
              <w:overflowPunct/>
              <w:topLinePunct w:val="0"/>
              <w:autoSpaceDE/>
              <w:autoSpaceDN/>
              <w:bidi w:val="0"/>
              <w:adjustRightInd/>
              <w:snapToGrid/>
              <w:spacing w:line="336" w:lineRule="auto"/>
              <w:jc w:val="both"/>
              <w:rPr>
                <w:rFonts w:hint="eastAsia" w:ascii="宋体" w:hAnsi="宋体" w:eastAsia="宋体" w:cs="宋体"/>
                <w:color w:val="auto"/>
                <w:sz w:val="24"/>
                <w:szCs w:val="24"/>
                <w:highlight w:val="none"/>
                <w:lang w:val="en-US" w:eastAsia="zh-CN"/>
              </w:rPr>
            </w:pPr>
            <w:r>
              <w:rPr>
                <w:rFonts w:hint="eastAsia" w:ascii="宋体" w:hAnsi="宋体" w:eastAsia="宋体" w:cs="宋体"/>
                <w:bCs/>
                <w:color w:val="auto"/>
                <w:sz w:val="24"/>
                <w:szCs w:val="24"/>
                <w:highlight w:val="none"/>
              </w:rPr>
              <w:t>详见</w:t>
            </w:r>
            <w:r>
              <w:rPr>
                <w:rFonts w:hint="eastAsia" w:ascii="宋体" w:hAnsi="宋体" w:cs="宋体"/>
                <w:color w:val="auto"/>
                <w:sz w:val="24"/>
                <w:szCs w:val="24"/>
                <w:highlight w:val="none"/>
                <w:lang w:val="en-US" w:eastAsia="zh-CN"/>
              </w:rPr>
              <w:t>本部分</w:t>
            </w:r>
            <w:r>
              <w:rPr>
                <w:rFonts w:hint="eastAsia" w:ascii="宋体" w:hAnsi="宋体" w:eastAsia="宋体" w:cs="宋体"/>
                <w:color w:val="auto"/>
                <w:sz w:val="24"/>
                <w:szCs w:val="24"/>
                <w:highlight w:val="none"/>
                <w:lang w:val="en-US" w:eastAsia="zh-CN"/>
              </w:rPr>
              <w:t>内容</w:t>
            </w:r>
          </w:p>
        </w:tc>
      </w:tr>
      <w:tr w14:paraId="08A3D2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701" w:type="dxa"/>
            <w:noWrap w:val="0"/>
            <w:vAlign w:val="center"/>
          </w:tcPr>
          <w:p w14:paraId="2AC5B3CE">
            <w:pPr>
              <w:keepNext w:val="0"/>
              <w:keepLines w:val="0"/>
              <w:pageBreakBefore w:val="0"/>
              <w:widowControl w:val="0"/>
              <w:shd w:val="clear"/>
              <w:kinsoku/>
              <w:wordWrap/>
              <w:overflowPunct/>
              <w:topLinePunct w:val="0"/>
              <w:autoSpaceDE/>
              <w:autoSpaceDN/>
              <w:bidi w:val="0"/>
              <w:adjustRightInd/>
              <w:snapToGrid/>
              <w:spacing w:line="336"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p>
        </w:tc>
        <w:tc>
          <w:tcPr>
            <w:tcW w:w="2318" w:type="dxa"/>
            <w:noWrap w:val="0"/>
            <w:vAlign w:val="center"/>
          </w:tcPr>
          <w:p w14:paraId="2999AADA">
            <w:pPr>
              <w:keepNext w:val="0"/>
              <w:keepLines w:val="0"/>
              <w:pageBreakBefore w:val="0"/>
              <w:widowControl w:val="0"/>
              <w:shd w:val="clear"/>
              <w:kinsoku/>
              <w:wordWrap/>
              <w:overflowPunct/>
              <w:topLinePunct w:val="0"/>
              <w:autoSpaceDE/>
              <w:autoSpaceDN/>
              <w:bidi w:val="0"/>
              <w:adjustRightInd/>
              <w:snapToGrid/>
              <w:spacing w:line="336"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单位及数量</w:t>
            </w:r>
          </w:p>
        </w:tc>
        <w:tc>
          <w:tcPr>
            <w:tcW w:w="5630" w:type="dxa"/>
            <w:noWrap w:val="0"/>
            <w:vAlign w:val="center"/>
          </w:tcPr>
          <w:p w14:paraId="4A9B9539">
            <w:pPr>
              <w:keepNext w:val="0"/>
              <w:keepLines w:val="0"/>
              <w:pageBreakBefore w:val="0"/>
              <w:widowControl w:val="0"/>
              <w:shd w:val="clear"/>
              <w:kinsoku/>
              <w:wordWrap/>
              <w:overflowPunct/>
              <w:topLinePunct w:val="0"/>
              <w:autoSpaceDE/>
              <w:autoSpaceDN/>
              <w:bidi w:val="0"/>
              <w:adjustRightInd/>
              <w:snapToGrid/>
              <w:spacing w:line="336" w:lineRule="auto"/>
              <w:jc w:val="both"/>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rPr>
              <w:t>详见第一部分 招标公告</w:t>
            </w:r>
          </w:p>
        </w:tc>
      </w:tr>
      <w:tr w14:paraId="152B64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7" w:hRule="atLeast"/>
          <w:jc w:val="center"/>
        </w:trPr>
        <w:tc>
          <w:tcPr>
            <w:tcW w:w="701" w:type="dxa"/>
            <w:noWrap w:val="0"/>
            <w:vAlign w:val="center"/>
          </w:tcPr>
          <w:p w14:paraId="4F4348A0">
            <w:pPr>
              <w:keepNext w:val="0"/>
              <w:keepLines w:val="0"/>
              <w:pageBreakBefore w:val="0"/>
              <w:widowControl w:val="0"/>
              <w:shd w:val="clear"/>
              <w:kinsoku/>
              <w:wordWrap/>
              <w:overflowPunct/>
              <w:topLinePunct w:val="0"/>
              <w:autoSpaceDE/>
              <w:autoSpaceDN/>
              <w:bidi w:val="0"/>
              <w:adjustRightInd/>
              <w:snapToGrid/>
              <w:spacing w:line="336"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p>
        </w:tc>
        <w:tc>
          <w:tcPr>
            <w:tcW w:w="2318" w:type="dxa"/>
            <w:noWrap w:val="0"/>
            <w:vAlign w:val="center"/>
          </w:tcPr>
          <w:p w14:paraId="742DA8D9">
            <w:pPr>
              <w:keepNext w:val="0"/>
              <w:keepLines w:val="0"/>
              <w:pageBreakBefore w:val="0"/>
              <w:widowControl w:val="0"/>
              <w:shd w:val="clear"/>
              <w:kinsoku/>
              <w:wordWrap/>
              <w:overflowPunct/>
              <w:topLinePunct w:val="0"/>
              <w:autoSpaceDE/>
              <w:autoSpaceDN/>
              <w:bidi w:val="0"/>
              <w:adjustRightInd/>
              <w:snapToGrid/>
              <w:spacing w:line="336" w:lineRule="auto"/>
              <w:jc w:val="left"/>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交付或者实施的时间和地点</w:t>
            </w:r>
          </w:p>
        </w:tc>
        <w:tc>
          <w:tcPr>
            <w:tcW w:w="5630" w:type="dxa"/>
            <w:noWrap w:val="0"/>
            <w:vAlign w:val="center"/>
          </w:tcPr>
          <w:p w14:paraId="3958F5D3">
            <w:pPr>
              <w:keepNext w:val="0"/>
              <w:keepLines w:val="0"/>
              <w:pageBreakBefore w:val="0"/>
              <w:widowControl w:val="0"/>
              <w:numPr>
                <w:ilvl w:val="0"/>
                <w:numId w:val="1"/>
              </w:numPr>
              <w:shd w:val="clear"/>
              <w:kinsoku/>
              <w:wordWrap/>
              <w:overflowPunct/>
              <w:topLinePunct w:val="0"/>
              <w:autoSpaceDE/>
              <w:autoSpaceDN/>
              <w:bidi w:val="0"/>
              <w:adjustRightInd/>
              <w:snapToGrid/>
              <w:spacing w:line="336" w:lineRule="auto"/>
              <w:jc w:val="both"/>
              <w:rPr>
                <w:rFonts w:hint="eastAsia" w:ascii="宋体" w:hAnsi="宋体" w:eastAsia="宋体" w:cs="宋体"/>
                <w:b w:val="0"/>
                <w:bCs w:val="0"/>
                <w:color w:val="auto"/>
                <w:sz w:val="24"/>
                <w:szCs w:val="24"/>
                <w:highlight w:val="none"/>
              </w:rPr>
            </w:pPr>
            <w:r>
              <w:rPr>
                <w:rFonts w:hint="eastAsia" w:ascii="宋体" w:hAnsi="宋体" w:eastAsia="宋体" w:cs="宋体"/>
                <w:color w:val="auto"/>
                <w:sz w:val="24"/>
                <w:szCs w:val="24"/>
                <w:highlight w:val="none"/>
              </w:rPr>
              <w:t>合同履行期限</w:t>
            </w:r>
            <w:r>
              <w:rPr>
                <w:rFonts w:hint="eastAsia" w:ascii="宋体" w:hAnsi="宋体" w:eastAsia="宋体" w:cs="宋体"/>
                <w:b w:val="0"/>
                <w:bCs w:val="0"/>
                <w:color w:val="auto"/>
                <w:sz w:val="24"/>
                <w:szCs w:val="24"/>
                <w:highlight w:val="none"/>
              </w:rPr>
              <w:t>：详见第一部分 招标公告</w:t>
            </w:r>
          </w:p>
          <w:p w14:paraId="6B276CB4">
            <w:pPr>
              <w:keepNext w:val="0"/>
              <w:keepLines w:val="0"/>
              <w:pageBreakBefore w:val="0"/>
              <w:widowControl w:val="0"/>
              <w:numPr>
                <w:ilvl w:val="0"/>
                <w:numId w:val="1"/>
              </w:numPr>
              <w:shd w:val="clear"/>
              <w:kinsoku/>
              <w:wordWrap/>
              <w:overflowPunct/>
              <w:topLinePunct w:val="0"/>
              <w:autoSpaceDE/>
              <w:autoSpaceDN/>
              <w:bidi w:val="0"/>
              <w:adjustRightInd/>
              <w:snapToGrid/>
              <w:spacing w:line="336" w:lineRule="auto"/>
              <w:jc w:val="both"/>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sz w:val="24"/>
                <w:szCs w:val="24"/>
                <w:highlight w:val="none"/>
              </w:rPr>
              <w:t>实施地点：详见</w:t>
            </w:r>
            <w:r>
              <w:rPr>
                <w:rFonts w:hint="eastAsia" w:ascii="宋体" w:hAnsi="宋体" w:cs="宋体"/>
                <w:b w:val="0"/>
                <w:bCs w:val="0"/>
                <w:color w:val="auto"/>
                <w:sz w:val="24"/>
                <w:szCs w:val="24"/>
                <w:highlight w:val="none"/>
                <w:lang w:eastAsia="zh-CN"/>
              </w:rPr>
              <w:t>本部分</w:t>
            </w:r>
            <w:r>
              <w:rPr>
                <w:rFonts w:hint="eastAsia" w:ascii="宋体" w:hAnsi="宋体" w:eastAsia="宋体" w:cs="宋体"/>
                <w:b w:val="0"/>
                <w:bCs w:val="0"/>
                <w:color w:val="auto"/>
                <w:sz w:val="24"/>
                <w:szCs w:val="24"/>
                <w:highlight w:val="none"/>
              </w:rPr>
              <w:t>内容</w:t>
            </w:r>
          </w:p>
        </w:tc>
      </w:tr>
      <w:tr w14:paraId="487245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1" w:hRule="atLeast"/>
          <w:jc w:val="center"/>
        </w:trPr>
        <w:tc>
          <w:tcPr>
            <w:tcW w:w="701" w:type="dxa"/>
            <w:noWrap w:val="0"/>
            <w:vAlign w:val="center"/>
          </w:tcPr>
          <w:p w14:paraId="5174F92B">
            <w:pPr>
              <w:keepNext w:val="0"/>
              <w:keepLines w:val="0"/>
              <w:pageBreakBefore w:val="0"/>
              <w:widowControl w:val="0"/>
              <w:shd w:val="clear"/>
              <w:kinsoku/>
              <w:wordWrap/>
              <w:overflowPunct/>
              <w:topLinePunct w:val="0"/>
              <w:autoSpaceDE/>
              <w:autoSpaceDN/>
              <w:bidi w:val="0"/>
              <w:adjustRightInd/>
              <w:snapToGrid/>
              <w:spacing w:line="336"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w:t>
            </w:r>
          </w:p>
        </w:tc>
        <w:tc>
          <w:tcPr>
            <w:tcW w:w="2318" w:type="dxa"/>
            <w:noWrap w:val="0"/>
            <w:vAlign w:val="center"/>
          </w:tcPr>
          <w:p w14:paraId="153BBC96">
            <w:pPr>
              <w:keepNext w:val="0"/>
              <w:keepLines w:val="0"/>
              <w:pageBreakBefore w:val="0"/>
              <w:widowControl w:val="0"/>
              <w:shd w:val="clear"/>
              <w:kinsoku/>
              <w:wordWrap/>
              <w:overflowPunct/>
              <w:topLinePunct w:val="0"/>
              <w:autoSpaceDE/>
              <w:autoSpaceDN/>
              <w:bidi w:val="0"/>
              <w:adjustRightInd/>
              <w:snapToGrid/>
              <w:spacing w:line="336" w:lineRule="auto"/>
              <w:jc w:val="left"/>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需实现的功能或者目标</w:t>
            </w:r>
          </w:p>
        </w:tc>
        <w:tc>
          <w:tcPr>
            <w:tcW w:w="5630" w:type="dxa"/>
            <w:noWrap w:val="0"/>
            <w:vAlign w:val="center"/>
          </w:tcPr>
          <w:p w14:paraId="39B137E8">
            <w:pPr>
              <w:keepNext w:val="0"/>
              <w:keepLines w:val="0"/>
              <w:pageBreakBefore w:val="0"/>
              <w:widowControl w:val="0"/>
              <w:numPr>
                <w:ilvl w:val="0"/>
                <w:numId w:val="0"/>
              </w:numPr>
              <w:shd w:val="clear"/>
              <w:kinsoku/>
              <w:wordWrap/>
              <w:overflowPunct/>
              <w:topLinePunct w:val="0"/>
              <w:autoSpaceDE/>
              <w:autoSpaceDN/>
              <w:bidi w:val="0"/>
              <w:adjustRightInd/>
              <w:snapToGrid/>
              <w:spacing w:line="336" w:lineRule="auto"/>
              <w:jc w:val="lef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确保食堂用料保质保量、价格合理。</w:t>
            </w:r>
          </w:p>
        </w:tc>
      </w:tr>
      <w:tr w14:paraId="4DAF9D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8" w:hRule="atLeast"/>
          <w:jc w:val="center"/>
        </w:trPr>
        <w:tc>
          <w:tcPr>
            <w:tcW w:w="701" w:type="dxa"/>
            <w:noWrap w:val="0"/>
            <w:vAlign w:val="center"/>
          </w:tcPr>
          <w:p w14:paraId="69978B77">
            <w:pPr>
              <w:keepNext w:val="0"/>
              <w:keepLines w:val="0"/>
              <w:pageBreakBefore w:val="0"/>
              <w:widowControl w:val="0"/>
              <w:shd w:val="clear"/>
              <w:kinsoku/>
              <w:wordWrap/>
              <w:overflowPunct/>
              <w:topLinePunct w:val="0"/>
              <w:autoSpaceDE/>
              <w:autoSpaceDN/>
              <w:bidi w:val="0"/>
              <w:adjustRightInd/>
              <w:snapToGrid/>
              <w:spacing w:line="336"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w:t>
            </w:r>
          </w:p>
        </w:tc>
        <w:tc>
          <w:tcPr>
            <w:tcW w:w="2318" w:type="dxa"/>
            <w:noWrap w:val="0"/>
            <w:vAlign w:val="center"/>
          </w:tcPr>
          <w:p w14:paraId="0B78D110">
            <w:pPr>
              <w:keepNext w:val="0"/>
              <w:keepLines w:val="0"/>
              <w:pageBreakBefore w:val="0"/>
              <w:widowControl w:val="0"/>
              <w:shd w:val="clear"/>
              <w:kinsoku/>
              <w:wordWrap/>
              <w:overflowPunct/>
              <w:topLinePunct w:val="0"/>
              <w:autoSpaceDE/>
              <w:autoSpaceDN/>
              <w:bidi w:val="0"/>
              <w:adjustRightInd/>
              <w:snapToGrid/>
              <w:spacing w:line="336" w:lineRule="auto"/>
              <w:jc w:val="left"/>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执行的国家相关标准、行业标准、地方标准或者</w:t>
            </w:r>
            <w:r>
              <w:rPr>
                <w:rFonts w:hint="eastAsia" w:ascii="宋体" w:hAnsi="宋体" w:cs="宋体"/>
                <w:color w:val="auto"/>
                <w:sz w:val="24"/>
                <w:szCs w:val="24"/>
                <w:highlight w:val="none"/>
                <w:lang w:eastAsia="zh-CN"/>
              </w:rPr>
              <w:t>其他</w:t>
            </w:r>
            <w:r>
              <w:rPr>
                <w:rFonts w:hint="eastAsia" w:ascii="宋体" w:hAnsi="宋体" w:eastAsia="宋体" w:cs="宋体"/>
                <w:color w:val="auto"/>
                <w:sz w:val="24"/>
                <w:szCs w:val="24"/>
                <w:highlight w:val="none"/>
              </w:rPr>
              <w:t>标准、规范</w:t>
            </w:r>
          </w:p>
        </w:tc>
        <w:tc>
          <w:tcPr>
            <w:tcW w:w="5630" w:type="dxa"/>
            <w:noWrap w:val="0"/>
            <w:vAlign w:val="center"/>
          </w:tcPr>
          <w:p w14:paraId="59C90C79">
            <w:pPr>
              <w:keepNext w:val="0"/>
              <w:keepLines w:val="0"/>
              <w:pageBreakBefore w:val="0"/>
              <w:widowControl w:val="0"/>
              <w:shd w:val="clear"/>
              <w:kinsoku/>
              <w:wordWrap/>
              <w:overflowPunct/>
              <w:topLinePunct w:val="0"/>
              <w:autoSpaceDE/>
              <w:autoSpaceDN/>
              <w:bidi w:val="0"/>
              <w:adjustRightInd/>
              <w:snapToGrid/>
              <w:spacing w:line="336" w:lineRule="auto"/>
              <w:jc w:val="both"/>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国家相关标准、行业标准、地方标准或者其他标准规范。</w:t>
            </w:r>
          </w:p>
        </w:tc>
      </w:tr>
      <w:tr w14:paraId="084549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6" w:hRule="atLeast"/>
          <w:jc w:val="center"/>
        </w:trPr>
        <w:tc>
          <w:tcPr>
            <w:tcW w:w="701" w:type="dxa"/>
            <w:noWrap w:val="0"/>
            <w:vAlign w:val="center"/>
          </w:tcPr>
          <w:p w14:paraId="27F387A4">
            <w:pPr>
              <w:keepNext w:val="0"/>
              <w:keepLines w:val="0"/>
              <w:pageBreakBefore w:val="0"/>
              <w:widowControl w:val="0"/>
              <w:shd w:val="clear"/>
              <w:kinsoku/>
              <w:wordWrap/>
              <w:overflowPunct/>
              <w:topLinePunct w:val="0"/>
              <w:autoSpaceDE/>
              <w:autoSpaceDN/>
              <w:bidi w:val="0"/>
              <w:adjustRightInd/>
              <w:snapToGrid/>
              <w:spacing w:line="336"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w:t>
            </w:r>
          </w:p>
        </w:tc>
        <w:tc>
          <w:tcPr>
            <w:tcW w:w="2318" w:type="dxa"/>
            <w:noWrap w:val="0"/>
            <w:vAlign w:val="center"/>
          </w:tcPr>
          <w:p w14:paraId="072B46CF">
            <w:pPr>
              <w:keepNext w:val="0"/>
              <w:keepLines w:val="0"/>
              <w:pageBreakBefore w:val="0"/>
              <w:widowControl w:val="0"/>
              <w:shd w:val="clear"/>
              <w:kinsoku/>
              <w:wordWrap/>
              <w:overflowPunct/>
              <w:topLinePunct w:val="0"/>
              <w:autoSpaceDE/>
              <w:autoSpaceDN/>
              <w:bidi w:val="0"/>
              <w:adjustRightInd/>
              <w:snapToGrid/>
              <w:spacing w:line="336"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技术规格要求</w:t>
            </w:r>
          </w:p>
        </w:tc>
        <w:tc>
          <w:tcPr>
            <w:tcW w:w="5630" w:type="dxa"/>
            <w:noWrap w:val="0"/>
            <w:vAlign w:val="center"/>
          </w:tcPr>
          <w:p w14:paraId="2811DF66">
            <w:pPr>
              <w:keepNext w:val="0"/>
              <w:keepLines w:val="0"/>
              <w:pageBreakBefore w:val="0"/>
              <w:widowControl w:val="0"/>
              <w:shd w:val="clear"/>
              <w:kinsoku/>
              <w:wordWrap/>
              <w:overflowPunct/>
              <w:topLinePunct w:val="0"/>
              <w:autoSpaceDE/>
              <w:autoSpaceDN/>
              <w:bidi w:val="0"/>
              <w:adjustRightInd/>
              <w:snapToGrid/>
              <w:spacing w:line="336"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详见</w:t>
            </w:r>
            <w:r>
              <w:rPr>
                <w:rFonts w:hint="eastAsia" w:ascii="宋体" w:hAnsi="宋体" w:cs="宋体"/>
                <w:color w:val="auto"/>
                <w:sz w:val="24"/>
                <w:szCs w:val="24"/>
                <w:highlight w:val="none"/>
                <w:lang w:eastAsia="zh-CN"/>
              </w:rPr>
              <w:t>本部分</w:t>
            </w:r>
            <w:r>
              <w:rPr>
                <w:rFonts w:hint="eastAsia" w:ascii="宋体" w:hAnsi="宋体" w:eastAsia="宋体" w:cs="宋体"/>
                <w:color w:val="auto"/>
                <w:sz w:val="24"/>
                <w:szCs w:val="24"/>
                <w:highlight w:val="none"/>
              </w:rPr>
              <w:t>内容</w:t>
            </w:r>
          </w:p>
        </w:tc>
      </w:tr>
      <w:tr w14:paraId="46DEDB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jc w:val="center"/>
        </w:trPr>
        <w:tc>
          <w:tcPr>
            <w:tcW w:w="701" w:type="dxa"/>
            <w:noWrap w:val="0"/>
            <w:vAlign w:val="center"/>
          </w:tcPr>
          <w:p w14:paraId="6D83462D">
            <w:pPr>
              <w:keepNext w:val="0"/>
              <w:keepLines w:val="0"/>
              <w:pageBreakBefore w:val="0"/>
              <w:widowControl w:val="0"/>
              <w:shd w:val="clear"/>
              <w:kinsoku/>
              <w:wordWrap/>
              <w:overflowPunct/>
              <w:topLinePunct w:val="0"/>
              <w:autoSpaceDE/>
              <w:autoSpaceDN/>
              <w:bidi w:val="0"/>
              <w:adjustRightInd/>
              <w:snapToGrid/>
              <w:spacing w:line="336"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w:t>
            </w:r>
          </w:p>
        </w:tc>
        <w:tc>
          <w:tcPr>
            <w:tcW w:w="2318" w:type="dxa"/>
            <w:noWrap w:val="0"/>
            <w:vAlign w:val="center"/>
          </w:tcPr>
          <w:p w14:paraId="55DF932D">
            <w:pPr>
              <w:keepNext w:val="0"/>
              <w:keepLines w:val="0"/>
              <w:pageBreakBefore w:val="0"/>
              <w:widowControl w:val="0"/>
              <w:shd w:val="clear"/>
              <w:kinsoku/>
              <w:wordWrap/>
              <w:overflowPunct/>
              <w:topLinePunct w:val="0"/>
              <w:autoSpaceDE/>
              <w:autoSpaceDN/>
              <w:bidi w:val="0"/>
              <w:adjustRightInd/>
              <w:snapToGrid/>
              <w:spacing w:line="336"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物理特性要求</w:t>
            </w:r>
          </w:p>
        </w:tc>
        <w:tc>
          <w:tcPr>
            <w:tcW w:w="5630" w:type="dxa"/>
            <w:noWrap w:val="0"/>
            <w:vAlign w:val="center"/>
          </w:tcPr>
          <w:p w14:paraId="4981955E">
            <w:pPr>
              <w:keepNext w:val="0"/>
              <w:keepLines w:val="0"/>
              <w:pageBreakBefore w:val="0"/>
              <w:widowControl w:val="0"/>
              <w:shd w:val="clear"/>
              <w:kinsoku/>
              <w:wordWrap/>
              <w:overflowPunct/>
              <w:topLinePunct w:val="0"/>
              <w:autoSpaceDE/>
              <w:autoSpaceDN/>
              <w:bidi w:val="0"/>
              <w:adjustRightInd/>
              <w:snapToGrid/>
              <w:spacing w:line="336"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详见</w:t>
            </w:r>
            <w:r>
              <w:rPr>
                <w:rFonts w:hint="eastAsia" w:ascii="宋体" w:hAnsi="宋体" w:cs="宋体"/>
                <w:color w:val="auto"/>
                <w:sz w:val="24"/>
                <w:szCs w:val="24"/>
                <w:highlight w:val="none"/>
                <w:lang w:eastAsia="zh-CN"/>
              </w:rPr>
              <w:t>本部分</w:t>
            </w:r>
            <w:r>
              <w:rPr>
                <w:rFonts w:hint="eastAsia" w:ascii="宋体" w:hAnsi="宋体" w:eastAsia="宋体" w:cs="宋体"/>
                <w:color w:val="auto"/>
                <w:sz w:val="24"/>
                <w:szCs w:val="24"/>
                <w:highlight w:val="none"/>
              </w:rPr>
              <w:t>内容</w:t>
            </w:r>
          </w:p>
        </w:tc>
      </w:tr>
      <w:tr w14:paraId="22280C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701" w:type="dxa"/>
            <w:noWrap w:val="0"/>
            <w:vAlign w:val="center"/>
          </w:tcPr>
          <w:p w14:paraId="04DB6A81">
            <w:pPr>
              <w:keepNext w:val="0"/>
              <w:keepLines w:val="0"/>
              <w:pageBreakBefore w:val="0"/>
              <w:widowControl w:val="0"/>
              <w:shd w:val="clear"/>
              <w:kinsoku/>
              <w:wordWrap/>
              <w:overflowPunct/>
              <w:topLinePunct w:val="0"/>
              <w:autoSpaceDE/>
              <w:autoSpaceDN/>
              <w:bidi w:val="0"/>
              <w:adjustRightInd/>
              <w:snapToGrid/>
              <w:spacing w:line="336"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w:t>
            </w:r>
          </w:p>
        </w:tc>
        <w:tc>
          <w:tcPr>
            <w:tcW w:w="2318" w:type="dxa"/>
            <w:noWrap w:val="0"/>
            <w:vAlign w:val="center"/>
          </w:tcPr>
          <w:p w14:paraId="3D93EF1C">
            <w:pPr>
              <w:keepNext w:val="0"/>
              <w:keepLines w:val="0"/>
              <w:pageBreakBefore w:val="0"/>
              <w:widowControl w:val="0"/>
              <w:shd w:val="clear"/>
              <w:kinsoku/>
              <w:wordWrap/>
              <w:overflowPunct/>
              <w:topLinePunct w:val="0"/>
              <w:autoSpaceDE/>
              <w:autoSpaceDN/>
              <w:bidi w:val="0"/>
              <w:adjustRightInd/>
              <w:snapToGrid/>
              <w:spacing w:line="336"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质量、安全要求</w:t>
            </w:r>
          </w:p>
        </w:tc>
        <w:tc>
          <w:tcPr>
            <w:tcW w:w="5630" w:type="dxa"/>
            <w:noWrap w:val="0"/>
            <w:vAlign w:val="center"/>
          </w:tcPr>
          <w:p w14:paraId="4F849DF2">
            <w:pPr>
              <w:keepNext w:val="0"/>
              <w:keepLines w:val="0"/>
              <w:pageBreakBefore w:val="0"/>
              <w:widowControl w:val="0"/>
              <w:shd w:val="clear"/>
              <w:kinsoku/>
              <w:wordWrap/>
              <w:overflowPunct/>
              <w:topLinePunct w:val="0"/>
              <w:autoSpaceDE/>
              <w:autoSpaceDN/>
              <w:bidi w:val="0"/>
              <w:adjustRightInd/>
              <w:snapToGrid/>
              <w:spacing w:line="336" w:lineRule="auto"/>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（1）质量要求：详见</w:t>
            </w:r>
            <w:r>
              <w:rPr>
                <w:rFonts w:hint="eastAsia" w:ascii="宋体" w:hAnsi="宋体" w:cs="宋体"/>
                <w:color w:val="auto"/>
                <w:sz w:val="24"/>
                <w:szCs w:val="24"/>
                <w:highlight w:val="none"/>
                <w:lang w:eastAsia="zh-CN"/>
              </w:rPr>
              <w:t>本部分</w:t>
            </w:r>
            <w:r>
              <w:rPr>
                <w:rFonts w:hint="eastAsia" w:ascii="宋体" w:hAnsi="宋体" w:eastAsia="宋体" w:cs="宋体"/>
                <w:color w:val="auto"/>
                <w:sz w:val="24"/>
                <w:szCs w:val="24"/>
                <w:highlight w:val="none"/>
              </w:rPr>
              <w:t>内容</w:t>
            </w:r>
            <w:r>
              <w:rPr>
                <w:rFonts w:hint="eastAsia" w:ascii="宋体" w:hAnsi="宋体" w:eastAsia="宋体" w:cs="宋体"/>
                <w:color w:val="auto"/>
                <w:sz w:val="24"/>
                <w:szCs w:val="24"/>
                <w:highlight w:val="none"/>
                <w:lang w:val="en-US" w:eastAsia="zh-CN"/>
              </w:rPr>
              <w:t>。</w:t>
            </w:r>
          </w:p>
          <w:p w14:paraId="735A7209">
            <w:pPr>
              <w:keepNext w:val="0"/>
              <w:keepLines w:val="0"/>
              <w:pageBreakBefore w:val="0"/>
              <w:widowControl w:val="0"/>
              <w:shd w:val="clear"/>
              <w:kinsoku/>
              <w:wordWrap/>
              <w:overflowPunct/>
              <w:topLinePunct w:val="0"/>
              <w:autoSpaceDE/>
              <w:autoSpaceDN/>
              <w:bidi w:val="0"/>
              <w:adjustRightInd/>
              <w:snapToGrid/>
              <w:spacing w:line="336"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（2）安全要求：合格</w:t>
            </w:r>
          </w:p>
        </w:tc>
      </w:tr>
      <w:tr w14:paraId="438FE6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1" w:hRule="atLeast"/>
          <w:jc w:val="center"/>
        </w:trPr>
        <w:tc>
          <w:tcPr>
            <w:tcW w:w="701" w:type="dxa"/>
            <w:noWrap w:val="0"/>
            <w:vAlign w:val="center"/>
          </w:tcPr>
          <w:p w14:paraId="11C7D837">
            <w:pPr>
              <w:keepNext w:val="0"/>
              <w:keepLines w:val="0"/>
              <w:pageBreakBefore w:val="0"/>
              <w:widowControl w:val="0"/>
              <w:shd w:val="clear"/>
              <w:kinsoku/>
              <w:wordWrap/>
              <w:overflowPunct/>
              <w:topLinePunct w:val="0"/>
              <w:autoSpaceDE/>
              <w:autoSpaceDN/>
              <w:bidi w:val="0"/>
              <w:adjustRightInd/>
              <w:snapToGrid/>
              <w:spacing w:line="336"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9</w:t>
            </w:r>
          </w:p>
        </w:tc>
        <w:tc>
          <w:tcPr>
            <w:tcW w:w="2318" w:type="dxa"/>
            <w:noWrap w:val="0"/>
            <w:vAlign w:val="center"/>
          </w:tcPr>
          <w:p w14:paraId="62ACB59A">
            <w:pPr>
              <w:keepNext w:val="0"/>
              <w:keepLines w:val="0"/>
              <w:pageBreakBefore w:val="0"/>
              <w:widowControl w:val="0"/>
              <w:shd w:val="clear"/>
              <w:kinsoku/>
              <w:wordWrap/>
              <w:overflowPunct/>
              <w:topLinePunct w:val="0"/>
              <w:autoSpaceDE/>
              <w:autoSpaceDN/>
              <w:bidi w:val="0"/>
              <w:adjustRightInd/>
              <w:snapToGrid/>
              <w:spacing w:line="336"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验收标准</w:t>
            </w:r>
          </w:p>
        </w:tc>
        <w:tc>
          <w:tcPr>
            <w:tcW w:w="5630" w:type="dxa"/>
            <w:noWrap w:val="0"/>
            <w:vAlign w:val="center"/>
          </w:tcPr>
          <w:p w14:paraId="1F36A427">
            <w:pPr>
              <w:keepNext w:val="0"/>
              <w:keepLines w:val="0"/>
              <w:pageBreakBefore w:val="0"/>
              <w:widowControl w:val="0"/>
              <w:shd w:val="clear"/>
              <w:kinsoku/>
              <w:wordWrap/>
              <w:overflowPunct/>
              <w:topLinePunct w:val="0"/>
              <w:autoSpaceDE/>
              <w:autoSpaceDN/>
              <w:bidi w:val="0"/>
              <w:adjustRightInd/>
              <w:snapToGrid/>
              <w:spacing w:line="336" w:lineRule="auto"/>
              <w:jc w:val="left"/>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rPr>
              <w:t>按照中标人提供的投标文件及中标人和采购人签订的政府采购合同为标准进行验收。</w:t>
            </w:r>
          </w:p>
        </w:tc>
      </w:tr>
      <w:tr w14:paraId="0274C9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701" w:type="dxa"/>
            <w:noWrap w:val="0"/>
            <w:vAlign w:val="center"/>
          </w:tcPr>
          <w:p w14:paraId="0D9DB79F">
            <w:pPr>
              <w:keepNext w:val="0"/>
              <w:keepLines w:val="0"/>
              <w:pageBreakBefore w:val="0"/>
              <w:widowControl w:val="0"/>
              <w:shd w:val="clear"/>
              <w:kinsoku/>
              <w:wordWrap/>
              <w:overflowPunct/>
              <w:topLinePunct w:val="0"/>
              <w:autoSpaceDE/>
              <w:autoSpaceDN/>
              <w:bidi w:val="0"/>
              <w:adjustRightInd/>
              <w:snapToGrid/>
              <w:spacing w:line="336"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0</w:t>
            </w:r>
          </w:p>
        </w:tc>
        <w:tc>
          <w:tcPr>
            <w:tcW w:w="2318" w:type="dxa"/>
            <w:noWrap w:val="0"/>
            <w:vAlign w:val="center"/>
          </w:tcPr>
          <w:p w14:paraId="08143E87">
            <w:pPr>
              <w:keepNext w:val="0"/>
              <w:keepLines w:val="0"/>
              <w:pageBreakBefore w:val="0"/>
              <w:widowControl w:val="0"/>
              <w:shd w:val="clear"/>
              <w:kinsoku/>
              <w:wordWrap/>
              <w:overflowPunct/>
              <w:topLinePunct w:val="0"/>
              <w:autoSpaceDE/>
              <w:autoSpaceDN/>
              <w:bidi w:val="0"/>
              <w:adjustRightInd/>
              <w:snapToGrid/>
              <w:spacing w:line="336"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现场踏勘</w:t>
            </w:r>
          </w:p>
        </w:tc>
        <w:tc>
          <w:tcPr>
            <w:tcW w:w="5630" w:type="dxa"/>
            <w:noWrap w:val="0"/>
            <w:vAlign w:val="center"/>
          </w:tcPr>
          <w:p w14:paraId="23A98C9C">
            <w:pPr>
              <w:keepNext w:val="0"/>
              <w:keepLines w:val="0"/>
              <w:pageBreakBefore w:val="0"/>
              <w:widowControl w:val="0"/>
              <w:shd w:val="clear"/>
              <w:kinsoku/>
              <w:wordWrap/>
              <w:overflowPunct/>
              <w:topLinePunct w:val="0"/>
              <w:autoSpaceDE/>
              <w:autoSpaceDN/>
              <w:bidi w:val="0"/>
              <w:adjustRightInd/>
              <w:snapToGrid/>
              <w:spacing w:line="336" w:lineRule="auto"/>
              <w:jc w:val="both"/>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本项目不统一组织现场勘察，供应商可自行对本项目现场和周围环境进行勘察。勘察现场所发生的费用由供应商自己承担。不论何种原因所造成，在勘察过程中，供应商自行对由此次踏勘现场而造成的死亡、人身伤害、财产损失、损害以及任何</w:t>
            </w:r>
            <w:r>
              <w:rPr>
                <w:rFonts w:hint="eastAsia" w:ascii="宋体" w:hAnsi="宋体" w:cs="宋体"/>
                <w:color w:val="auto"/>
                <w:sz w:val="24"/>
                <w:szCs w:val="24"/>
                <w:highlight w:val="none"/>
                <w:lang w:eastAsia="zh-CN"/>
              </w:rPr>
              <w:t>其他损失</w:t>
            </w:r>
            <w:r>
              <w:rPr>
                <w:rFonts w:hint="eastAsia" w:ascii="宋体" w:hAnsi="宋体" w:eastAsia="宋体" w:cs="宋体"/>
                <w:color w:val="auto"/>
                <w:sz w:val="24"/>
                <w:szCs w:val="24"/>
                <w:highlight w:val="none"/>
                <w:lang w:eastAsia="zh-CN"/>
              </w:rPr>
              <w:t>、损害和引起的费用和开支承担责任。</w:t>
            </w:r>
          </w:p>
        </w:tc>
      </w:tr>
      <w:tr w14:paraId="277BE3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jc w:val="center"/>
        </w:trPr>
        <w:tc>
          <w:tcPr>
            <w:tcW w:w="701" w:type="dxa"/>
            <w:noWrap w:val="0"/>
            <w:vAlign w:val="center"/>
          </w:tcPr>
          <w:p w14:paraId="0CB78027">
            <w:pPr>
              <w:keepNext w:val="0"/>
              <w:keepLines w:val="0"/>
              <w:pageBreakBefore w:val="0"/>
              <w:widowControl w:val="0"/>
              <w:shd w:val="clear"/>
              <w:kinsoku/>
              <w:wordWrap/>
              <w:overflowPunct/>
              <w:topLinePunct w:val="0"/>
              <w:autoSpaceDE/>
              <w:autoSpaceDN/>
              <w:bidi w:val="0"/>
              <w:adjustRightInd/>
              <w:snapToGrid/>
              <w:spacing w:line="336"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1</w:t>
            </w:r>
          </w:p>
        </w:tc>
        <w:tc>
          <w:tcPr>
            <w:tcW w:w="2318" w:type="dxa"/>
            <w:noWrap w:val="0"/>
            <w:vAlign w:val="center"/>
          </w:tcPr>
          <w:p w14:paraId="31A6B432">
            <w:pPr>
              <w:keepNext w:val="0"/>
              <w:keepLines w:val="0"/>
              <w:pageBreakBefore w:val="0"/>
              <w:widowControl w:val="0"/>
              <w:shd w:val="clear"/>
              <w:kinsoku/>
              <w:wordWrap/>
              <w:overflowPunct/>
              <w:topLinePunct w:val="0"/>
              <w:autoSpaceDE/>
              <w:autoSpaceDN/>
              <w:bidi w:val="0"/>
              <w:adjustRightInd/>
              <w:snapToGrid/>
              <w:spacing w:line="336"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演示时间及地点</w:t>
            </w:r>
          </w:p>
        </w:tc>
        <w:tc>
          <w:tcPr>
            <w:tcW w:w="5630" w:type="dxa"/>
            <w:noWrap w:val="0"/>
            <w:vAlign w:val="center"/>
          </w:tcPr>
          <w:p w14:paraId="2AED6C02">
            <w:pPr>
              <w:keepNext w:val="0"/>
              <w:keepLines w:val="0"/>
              <w:pageBreakBefore w:val="0"/>
              <w:widowControl w:val="0"/>
              <w:shd w:val="clear"/>
              <w:kinsoku/>
              <w:wordWrap/>
              <w:overflowPunct/>
              <w:topLinePunct w:val="0"/>
              <w:autoSpaceDE/>
              <w:autoSpaceDN/>
              <w:bidi w:val="0"/>
              <w:adjustRightInd/>
              <w:snapToGrid/>
              <w:spacing w:line="336" w:lineRule="auto"/>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无</w:t>
            </w:r>
          </w:p>
        </w:tc>
      </w:tr>
      <w:tr w14:paraId="6C0259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jc w:val="center"/>
        </w:trPr>
        <w:tc>
          <w:tcPr>
            <w:tcW w:w="701" w:type="dxa"/>
            <w:noWrap w:val="0"/>
            <w:vAlign w:val="center"/>
          </w:tcPr>
          <w:p w14:paraId="5CC22EA1">
            <w:pPr>
              <w:keepNext w:val="0"/>
              <w:keepLines w:val="0"/>
              <w:pageBreakBefore w:val="0"/>
              <w:widowControl w:val="0"/>
              <w:shd w:val="clear"/>
              <w:kinsoku/>
              <w:wordWrap/>
              <w:overflowPunct/>
              <w:topLinePunct w:val="0"/>
              <w:autoSpaceDE/>
              <w:autoSpaceDN/>
              <w:bidi w:val="0"/>
              <w:adjustRightInd/>
              <w:snapToGrid/>
              <w:spacing w:line="336"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2</w:t>
            </w:r>
          </w:p>
        </w:tc>
        <w:tc>
          <w:tcPr>
            <w:tcW w:w="2318" w:type="dxa"/>
            <w:noWrap w:val="0"/>
            <w:vAlign w:val="center"/>
          </w:tcPr>
          <w:p w14:paraId="3E4B1379">
            <w:pPr>
              <w:keepNext w:val="0"/>
              <w:keepLines w:val="0"/>
              <w:pageBreakBefore w:val="0"/>
              <w:widowControl w:val="0"/>
              <w:shd w:val="clear"/>
              <w:kinsoku/>
              <w:wordWrap/>
              <w:overflowPunct/>
              <w:topLinePunct w:val="0"/>
              <w:autoSpaceDE/>
              <w:autoSpaceDN/>
              <w:bidi w:val="0"/>
              <w:adjustRightInd/>
              <w:snapToGrid/>
              <w:spacing w:line="336"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样品要求</w:t>
            </w:r>
          </w:p>
        </w:tc>
        <w:tc>
          <w:tcPr>
            <w:tcW w:w="5630" w:type="dxa"/>
            <w:noWrap w:val="0"/>
            <w:vAlign w:val="center"/>
          </w:tcPr>
          <w:p w14:paraId="2AF6DDA0">
            <w:pPr>
              <w:keepNext w:val="0"/>
              <w:keepLines w:val="0"/>
              <w:pageBreakBefore w:val="0"/>
              <w:widowControl w:val="0"/>
              <w:shd w:val="clear"/>
              <w:kinsoku/>
              <w:wordWrap/>
              <w:overflowPunct/>
              <w:topLinePunct w:val="0"/>
              <w:autoSpaceDE/>
              <w:autoSpaceDN/>
              <w:bidi w:val="0"/>
              <w:adjustRightInd/>
              <w:snapToGrid/>
              <w:spacing w:line="336" w:lineRule="auto"/>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无</w:t>
            </w:r>
          </w:p>
        </w:tc>
      </w:tr>
      <w:tr w14:paraId="6E0B4D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1" w:hRule="atLeast"/>
          <w:jc w:val="center"/>
        </w:trPr>
        <w:tc>
          <w:tcPr>
            <w:tcW w:w="701" w:type="dxa"/>
            <w:noWrap w:val="0"/>
            <w:vAlign w:val="center"/>
          </w:tcPr>
          <w:p w14:paraId="0EB26C5D">
            <w:pPr>
              <w:keepNext w:val="0"/>
              <w:keepLines w:val="0"/>
              <w:pageBreakBefore w:val="0"/>
              <w:widowControl w:val="0"/>
              <w:shd w:val="clear"/>
              <w:kinsoku/>
              <w:wordWrap/>
              <w:overflowPunct/>
              <w:topLinePunct w:val="0"/>
              <w:autoSpaceDE/>
              <w:autoSpaceDN/>
              <w:bidi w:val="0"/>
              <w:adjustRightInd/>
              <w:snapToGrid/>
              <w:spacing w:line="336"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3</w:t>
            </w:r>
          </w:p>
        </w:tc>
        <w:tc>
          <w:tcPr>
            <w:tcW w:w="2318" w:type="dxa"/>
            <w:noWrap w:val="0"/>
            <w:vAlign w:val="center"/>
          </w:tcPr>
          <w:p w14:paraId="78D8AFB5">
            <w:pPr>
              <w:keepNext w:val="0"/>
              <w:keepLines w:val="0"/>
              <w:pageBreakBefore w:val="0"/>
              <w:widowControl w:val="0"/>
              <w:shd w:val="clear"/>
              <w:kinsoku/>
              <w:wordWrap/>
              <w:overflowPunct/>
              <w:topLinePunct w:val="0"/>
              <w:autoSpaceDE/>
              <w:autoSpaceDN/>
              <w:bidi w:val="0"/>
              <w:adjustRightInd/>
              <w:snapToGrid/>
              <w:spacing w:line="336"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本项目的核心产品</w:t>
            </w:r>
          </w:p>
        </w:tc>
        <w:tc>
          <w:tcPr>
            <w:tcW w:w="5630" w:type="dxa"/>
            <w:noWrap w:val="0"/>
            <w:vAlign w:val="center"/>
          </w:tcPr>
          <w:p w14:paraId="19F16260">
            <w:pPr>
              <w:keepNext w:val="0"/>
              <w:keepLines w:val="0"/>
              <w:pageBreakBefore w:val="0"/>
              <w:widowControl w:val="0"/>
              <w:shd w:val="clear"/>
              <w:kinsoku/>
              <w:wordWrap/>
              <w:overflowPunct/>
              <w:topLinePunct w:val="0"/>
              <w:autoSpaceDE/>
              <w:autoSpaceDN/>
              <w:bidi w:val="0"/>
              <w:adjustRightInd/>
              <w:snapToGrid/>
              <w:spacing w:line="336" w:lineRule="auto"/>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无</w:t>
            </w:r>
          </w:p>
        </w:tc>
      </w:tr>
    </w:tbl>
    <w:p w14:paraId="55B3BE9B">
      <w:pPr>
        <w:widowControl/>
        <w:shd w:val="clear"/>
        <w:adjustRightInd/>
        <w:spacing w:line="360" w:lineRule="auto"/>
        <w:jc w:val="left"/>
        <w:rPr>
          <w:rFonts w:hint="eastAsia" w:ascii="宋体" w:hAnsi="宋体" w:eastAsia="宋体" w:cs="宋体"/>
          <w:b/>
          <w:color w:val="auto"/>
          <w:kern w:val="0"/>
          <w:szCs w:val="21"/>
          <w:highlight w:val="none"/>
          <w:lang w:eastAsia="zh-CN"/>
        </w:rPr>
      </w:pPr>
      <w:r>
        <w:rPr>
          <w:rFonts w:hint="eastAsia" w:ascii="宋体" w:hAnsi="宋体" w:eastAsia="宋体" w:cs="宋体"/>
          <w:b/>
          <w:color w:val="auto"/>
          <w:kern w:val="0"/>
          <w:szCs w:val="21"/>
          <w:highlight w:val="none"/>
        </w:rPr>
        <w:br w:type="page"/>
      </w:r>
      <w:r>
        <w:rPr>
          <w:rFonts w:hint="eastAsia" w:ascii="宋体" w:hAnsi="宋体" w:eastAsia="宋体" w:cs="宋体"/>
          <w:b/>
          <w:color w:val="auto"/>
          <w:kern w:val="0"/>
          <w:sz w:val="24"/>
          <w:szCs w:val="24"/>
          <w:highlight w:val="none"/>
        </w:rPr>
        <w:t>一、重要商务要求一览表</w:t>
      </w:r>
    </w:p>
    <w:tbl>
      <w:tblPr>
        <w:tblStyle w:val="63"/>
        <w:tblW w:w="8782"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793"/>
        <w:gridCol w:w="6989"/>
      </w:tblGrid>
      <w:tr w14:paraId="458DFAC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1793" w:type="dxa"/>
            <w:tcBorders>
              <w:top w:val="single" w:color="auto" w:sz="4" w:space="0"/>
              <w:left w:val="single" w:color="auto" w:sz="4" w:space="0"/>
              <w:bottom w:val="single" w:color="auto" w:sz="4" w:space="0"/>
              <w:right w:val="single" w:color="auto" w:sz="4" w:space="0"/>
            </w:tcBorders>
            <w:noWrap w:val="0"/>
            <w:vAlign w:val="center"/>
          </w:tcPr>
          <w:p w14:paraId="59CADF2B">
            <w:pPr>
              <w:keepNext w:val="0"/>
              <w:keepLines w:val="0"/>
              <w:pageBreakBefore w:val="0"/>
              <w:widowControl w:val="0"/>
              <w:shd w:val="clear"/>
              <w:kinsoku/>
              <w:wordWrap/>
              <w:overflowPunct/>
              <w:topLinePunct w:val="0"/>
              <w:autoSpaceDE/>
              <w:autoSpaceDN/>
              <w:bidi w:val="0"/>
              <w:adjustRightInd/>
              <w:snapToGrid/>
              <w:spacing w:line="360" w:lineRule="auto"/>
              <w:jc w:val="center"/>
              <w:rPr>
                <w:rFonts w:hint="eastAsia" w:ascii="宋体" w:hAnsi="宋体" w:eastAsia="宋体" w:cs="宋体"/>
                <w:b/>
                <w:bCs/>
                <w:color w:val="auto"/>
                <w:sz w:val="24"/>
                <w:szCs w:val="24"/>
                <w:highlight w:val="none"/>
              </w:rPr>
            </w:pPr>
            <w:bookmarkStart w:id="28" w:name="_Toc513103337"/>
            <w:r>
              <w:rPr>
                <w:rFonts w:hint="eastAsia" w:ascii="宋体" w:hAnsi="宋体" w:eastAsia="宋体" w:cs="宋体"/>
                <w:b/>
                <w:bCs/>
                <w:color w:val="auto"/>
                <w:sz w:val="24"/>
                <w:szCs w:val="24"/>
                <w:highlight w:val="none"/>
              </w:rPr>
              <w:t>项目</w:t>
            </w:r>
          </w:p>
        </w:tc>
        <w:tc>
          <w:tcPr>
            <w:tcW w:w="6989" w:type="dxa"/>
            <w:tcBorders>
              <w:top w:val="single" w:color="auto" w:sz="4" w:space="0"/>
              <w:left w:val="single" w:color="auto" w:sz="4" w:space="0"/>
              <w:bottom w:val="single" w:color="auto" w:sz="4" w:space="0"/>
              <w:right w:val="single" w:color="auto" w:sz="4" w:space="0"/>
            </w:tcBorders>
            <w:noWrap w:val="0"/>
            <w:vAlign w:val="center"/>
          </w:tcPr>
          <w:p w14:paraId="707EE586">
            <w:pPr>
              <w:keepNext w:val="0"/>
              <w:keepLines w:val="0"/>
              <w:pageBreakBefore w:val="0"/>
              <w:widowControl w:val="0"/>
              <w:shd w:val="clear"/>
              <w:kinsoku/>
              <w:wordWrap/>
              <w:overflowPunct/>
              <w:topLinePunct w:val="0"/>
              <w:autoSpaceDE/>
              <w:autoSpaceDN/>
              <w:bidi w:val="0"/>
              <w:adjustRightInd/>
              <w:snapToGrid/>
              <w:spacing w:line="360" w:lineRule="auto"/>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 xml:space="preserve">要 求 </w:t>
            </w:r>
          </w:p>
        </w:tc>
      </w:tr>
      <w:tr w14:paraId="2489CB6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1793" w:type="dxa"/>
            <w:tcBorders>
              <w:top w:val="single" w:color="auto" w:sz="4" w:space="0"/>
              <w:left w:val="single" w:color="auto" w:sz="4" w:space="0"/>
              <w:bottom w:val="single" w:color="auto" w:sz="4" w:space="0"/>
              <w:right w:val="single" w:color="auto" w:sz="4" w:space="0"/>
            </w:tcBorders>
            <w:noWrap w:val="0"/>
            <w:vAlign w:val="center"/>
          </w:tcPr>
          <w:p w14:paraId="6CAE5454">
            <w:pPr>
              <w:keepNext w:val="0"/>
              <w:keepLines w:val="0"/>
              <w:pageBreakBefore w:val="0"/>
              <w:widowControl w:val="0"/>
              <w:shd w:val="clear"/>
              <w:kinsoku/>
              <w:wordWrap/>
              <w:overflowPunct/>
              <w:topLinePunct w:val="0"/>
              <w:autoSpaceDE/>
              <w:autoSpaceDN/>
              <w:bidi w:val="0"/>
              <w:adjustRightInd/>
              <w:snapToGrid/>
              <w:spacing w:line="360" w:lineRule="auto"/>
              <w:jc w:val="left"/>
              <w:textAlignment w:val="baseline"/>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b/>
                <w:color w:val="auto"/>
                <w:kern w:val="0"/>
                <w:sz w:val="24"/>
                <w:szCs w:val="24"/>
                <w:highlight w:val="none"/>
                <w:lang w:eastAsia="zh-CN"/>
              </w:rPr>
              <w:t>▲</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合同履行期限</w:t>
            </w:r>
            <w:r>
              <w:rPr>
                <w:rFonts w:hint="eastAsia" w:ascii="宋体" w:hAnsi="宋体" w:eastAsia="宋体" w:cs="宋体"/>
                <w:color w:val="auto"/>
                <w:sz w:val="24"/>
                <w:szCs w:val="24"/>
                <w:highlight w:val="none"/>
                <w:lang w:eastAsia="zh-CN"/>
              </w:rPr>
              <w:t>及地点</w:t>
            </w:r>
          </w:p>
        </w:tc>
        <w:tc>
          <w:tcPr>
            <w:tcW w:w="6989" w:type="dxa"/>
            <w:tcBorders>
              <w:top w:val="single" w:color="auto" w:sz="4" w:space="0"/>
              <w:left w:val="single" w:color="auto" w:sz="4" w:space="0"/>
              <w:bottom w:val="single" w:color="auto" w:sz="4" w:space="0"/>
              <w:right w:val="single" w:color="auto" w:sz="4" w:space="0"/>
            </w:tcBorders>
            <w:noWrap w:val="0"/>
            <w:vAlign w:val="center"/>
          </w:tcPr>
          <w:p w14:paraId="4A4D72D1">
            <w:pPr>
              <w:keepNext w:val="0"/>
              <w:keepLines w:val="0"/>
              <w:pageBreakBefore w:val="0"/>
              <w:widowControl w:val="0"/>
              <w:numPr>
                <w:ilvl w:val="0"/>
                <w:numId w:val="0"/>
              </w:numPr>
              <w:shd w:val="clear"/>
              <w:kinsoku/>
              <w:wordWrap/>
              <w:overflowPunct/>
              <w:topLinePunct w:val="0"/>
              <w:autoSpaceDE/>
              <w:autoSpaceDN/>
              <w:bidi w:val="0"/>
              <w:adjustRightInd/>
              <w:snapToGrid/>
              <w:spacing w:line="360" w:lineRule="auto"/>
              <w:ind w:left="0" w:leftChars="0" w:firstLine="0" w:firstLineChars="0"/>
              <w:jc w:val="lef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合同履行期限</w:t>
            </w:r>
            <w:r>
              <w:rPr>
                <w:rFonts w:hint="eastAsia" w:ascii="宋体" w:hAnsi="宋体" w:eastAsia="宋体" w:cs="宋体"/>
                <w:color w:val="auto"/>
                <w:sz w:val="24"/>
                <w:szCs w:val="24"/>
                <w:highlight w:val="none"/>
                <w:lang w:eastAsia="zh-CN"/>
              </w:rPr>
              <w:t>：详见</w:t>
            </w:r>
            <w:r>
              <w:rPr>
                <w:rFonts w:hint="eastAsia" w:ascii="宋体" w:hAnsi="宋体" w:eastAsia="宋体" w:cs="宋体"/>
                <w:bCs/>
                <w:color w:val="auto"/>
                <w:sz w:val="24"/>
                <w:szCs w:val="24"/>
                <w:highlight w:val="none"/>
              </w:rPr>
              <w:t>第一部分 招标公告</w:t>
            </w:r>
            <w:r>
              <w:rPr>
                <w:rFonts w:hint="eastAsia" w:ascii="宋体" w:hAnsi="宋体" w:eastAsia="宋体" w:cs="宋体"/>
                <w:color w:val="auto"/>
                <w:sz w:val="24"/>
                <w:szCs w:val="24"/>
                <w:highlight w:val="none"/>
                <w:lang w:eastAsia="zh-CN"/>
              </w:rPr>
              <w:t>。</w:t>
            </w:r>
          </w:p>
          <w:p w14:paraId="5D6B94AE">
            <w:pPr>
              <w:keepNext w:val="0"/>
              <w:keepLines w:val="0"/>
              <w:pageBreakBefore w:val="0"/>
              <w:widowControl w:val="0"/>
              <w:numPr>
                <w:ilvl w:val="0"/>
                <w:numId w:val="0"/>
              </w:numPr>
              <w:shd w:val="clear"/>
              <w:kinsoku/>
              <w:wordWrap/>
              <w:overflowPunct/>
              <w:topLinePunct w:val="0"/>
              <w:autoSpaceDE/>
              <w:autoSpaceDN/>
              <w:bidi w:val="0"/>
              <w:adjustRightInd/>
              <w:snapToGrid/>
              <w:spacing w:line="360" w:lineRule="auto"/>
              <w:ind w:left="0" w:leftChars="0" w:firstLine="0" w:firstLineChars="0"/>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lang w:eastAsia="zh-CN"/>
              </w:rPr>
              <w:t>）实施地点：</w:t>
            </w:r>
            <w:r>
              <w:rPr>
                <w:rFonts w:hint="eastAsia" w:ascii="宋体" w:hAnsi="宋体" w:eastAsia="宋体" w:cs="宋体"/>
                <w:color w:val="auto"/>
                <w:sz w:val="24"/>
                <w:szCs w:val="24"/>
                <w:highlight w:val="none"/>
                <w:lang w:val="en-US" w:eastAsia="zh-CN"/>
              </w:rPr>
              <w:t>采购人指定地点（包括</w:t>
            </w:r>
            <w:r>
              <w:rPr>
                <w:rFonts w:hint="eastAsia" w:ascii="宋体" w:hAnsi="宋体" w:cs="宋体"/>
                <w:color w:val="auto"/>
                <w:sz w:val="24"/>
                <w:szCs w:val="24"/>
                <w:highlight w:val="none"/>
                <w:lang w:val="en-US" w:eastAsia="zh-CN"/>
              </w:rPr>
              <w:t>海曙区行政中心、</w:t>
            </w:r>
            <w:r>
              <w:rPr>
                <w:rFonts w:hint="eastAsia" w:ascii="宋体" w:hAnsi="宋体" w:eastAsia="宋体" w:cs="宋体"/>
                <w:color w:val="auto"/>
                <w:sz w:val="24"/>
                <w:szCs w:val="24"/>
                <w:highlight w:val="none"/>
                <w:lang w:val="en-US" w:eastAsia="zh-CN"/>
              </w:rPr>
              <w:t>海曙区政务服务中心、雅戈尔大道办公区、灵桥路办公区、海光办公区</w:t>
            </w:r>
            <w:r>
              <w:rPr>
                <w:rFonts w:hint="eastAsia" w:ascii="宋体" w:hAnsi="宋体" w:cs="宋体"/>
                <w:color w:val="auto"/>
                <w:sz w:val="24"/>
                <w:szCs w:val="24"/>
                <w:highlight w:val="none"/>
                <w:lang w:val="en-US" w:eastAsia="zh-CN"/>
              </w:rPr>
              <w:t>、鼓楼街道办事处（鼓楼街道办事处仅适用于标项1）</w:t>
            </w:r>
            <w:r>
              <w:rPr>
                <w:rFonts w:hint="eastAsia" w:ascii="宋体" w:hAnsi="宋体" w:eastAsia="宋体" w:cs="宋体"/>
                <w:color w:val="auto"/>
                <w:sz w:val="24"/>
                <w:szCs w:val="24"/>
                <w:highlight w:val="none"/>
                <w:lang w:val="en-US" w:eastAsia="zh-CN"/>
              </w:rPr>
              <w:t>）</w:t>
            </w:r>
          </w:p>
        </w:tc>
      </w:tr>
      <w:tr w14:paraId="53C0EEE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1793" w:type="dxa"/>
            <w:tcBorders>
              <w:top w:val="single" w:color="auto" w:sz="4" w:space="0"/>
              <w:left w:val="single" w:color="auto" w:sz="4" w:space="0"/>
              <w:bottom w:val="single" w:color="auto" w:sz="4" w:space="0"/>
              <w:right w:val="single" w:color="auto" w:sz="4" w:space="0"/>
            </w:tcBorders>
            <w:noWrap w:val="0"/>
            <w:vAlign w:val="center"/>
          </w:tcPr>
          <w:p w14:paraId="1B44BF5B">
            <w:pPr>
              <w:shd w:val="clear"/>
              <w:adjustRightInd w:val="0"/>
              <w:spacing w:line="360" w:lineRule="auto"/>
              <w:textAlignment w:val="baseline"/>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b/>
                <w:color w:val="auto"/>
                <w:kern w:val="0"/>
                <w:sz w:val="24"/>
                <w:szCs w:val="24"/>
                <w:highlight w:val="none"/>
                <w:lang w:eastAsia="zh-CN"/>
              </w:rPr>
              <w:t>▲</w:t>
            </w:r>
            <w:r>
              <w:rPr>
                <w:rFonts w:hint="eastAsia" w:ascii="宋体" w:hAnsi="宋体" w:eastAsia="宋体" w:cs="宋体"/>
                <w:color w:val="auto"/>
                <w:sz w:val="24"/>
                <w:szCs w:val="24"/>
                <w:highlight w:val="none"/>
              </w:rPr>
              <w:t>2、配送时间</w:t>
            </w:r>
          </w:p>
        </w:tc>
        <w:tc>
          <w:tcPr>
            <w:tcW w:w="6989" w:type="dxa"/>
            <w:tcBorders>
              <w:top w:val="single" w:color="auto" w:sz="4" w:space="0"/>
              <w:left w:val="single" w:color="auto" w:sz="4" w:space="0"/>
              <w:bottom w:val="single" w:color="auto" w:sz="4" w:space="0"/>
              <w:right w:val="single" w:color="auto" w:sz="4" w:space="0"/>
            </w:tcBorders>
            <w:noWrap w:val="0"/>
            <w:vAlign w:val="center"/>
          </w:tcPr>
          <w:p w14:paraId="55CB3076">
            <w:pPr>
              <w:shd w:val="clear"/>
              <w:adjustRightInd w:val="0"/>
              <w:spacing w:line="360" w:lineRule="auto"/>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自合同签订之日起按</w:t>
            </w:r>
            <w:r>
              <w:rPr>
                <w:rFonts w:hint="eastAsia" w:ascii="宋体" w:hAnsi="宋体" w:eastAsia="宋体" w:cs="宋体"/>
                <w:color w:val="auto"/>
                <w:sz w:val="24"/>
                <w:szCs w:val="24"/>
                <w:highlight w:val="none"/>
                <w:lang w:val="en-US" w:eastAsia="zh-CN"/>
              </w:rPr>
              <w:t>采购人</w:t>
            </w:r>
            <w:r>
              <w:rPr>
                <w:rFonts w:hint="eastAsia" w:ascii="宋体" w:hAnsi="宋体" w:eastAsia="宋体" w:cs="宋体"/>
                <w:color w:val="auto"/>
                <w:sz w:val="24"/>
                <w:szCs w:val="24"/>
                <w:highlight w:val="none"/>
              </w:rPr>
              <w:t>要求供货。</w:t>
            </w:r>
          </w:p>
          <w:p w14:paraId="02B2B8C0">
            <w:pPr>
              <w:shd w:val="clear"/>
              <w:adjustRightInd w:val="0"/>
              <w:spacing w:line="360" w:lineRule="auto"/>
              <w:textAlignment w:val="baseline"/>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lang w:val="en-US" w:eastAsia="zh-CN"/>
              </w:rPr>
              <w:t>采购人每天下午2时前（如遇节假日，顺延至下一个工作日）向中标人报送次日的订货清单。</w:t>
            </w:r>
          </w:p>
        </w:tc>
      </w:tr>
      <w:tr w14:paraId="6308D64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1793" w:type="dxa"/>
            <w:tcBorders>
              <w:top w:val="single" w:color="auto" w:sz="4" w:space="0"/>
              <w:left w:val="single" w:color="auto" w:sz="4" w:space="0"/>
              <w:bottom w:val="single" w:color="auto" w:sz="4" w:space="0"/>
              <w:right w:val="single" w:color="auto" w:sz="4" w:space="0"/>
            </w:tcBorders>
            <w:noWrap w:val="0"/>
            <w:vAlign w:val="center"/>
          </w:tcPr>
          <w:p w14:paraId="581F0F28">
            <w:pPr>
              <w:keepNext w:val="0"/>
              <w:keepLines w:val="0"/>
              <w:pageBreakBefore w:val="0"/>
              <w:widowControl w:val="0"/>
              <w:shd w:val="clear"/>
              <w:kinsoku/>
              <w:wordWrap/>
              <w:overflowPunct/>
              <w:topLinePunct w:val="0"/>
              <w:autoSpaceDE/>
              <w:autoSpaceDN/>
              <w:bidi w:val="0"/>
              <w:adjustRightInd/>
              <w:snapToGrid/>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、付款方式</w:t>
            </w:r>
          </w:p>
        </w:tc>
        <w:tc>
          <w:tcPr>
            <w:tcW w:w="6989" w:type="dxa"/>
            <w:tcBorders>
              <w:top w:val="single" w:color="auto" w:sz="4" w:space="0"/>
              <w:left w:val="single" w:color="auto" w:sz="4" w:space="0"/>
              <w:bottom w:val="single" w:color="auto" w:sz="4" w:space="0"/>
              <w:right w:val="single" w:color="auto" w:sz="4" w:space="0"/>
            </w:tcBorders>
            <w:noWrap w:val="0"/>
            <w:vAlign w:val="center"/>
          </w:tcPr>
          <w:p w14:paraId="2D10220B">
            <w:pPr>
              <w:widowControl w:val="0"/>
              <w:numPr>
                <w:ilvl w:val="0"/>
                <w:numId w:val="0"/>
              </w:numPr>
              <w:shd w:val="clear"/>
              <w:adjustRightInd/>
              <w:spacing w:before="120" w:beforeLines="50" w:line="360" w:lineRule="auto"/>
              <w:jc w:val="both"/>
              <w:outlineLvl w:val="1"/>
              <w:rPr>
                <w:rFonts w:hint="eastAsia" w:ascii="宋体" w:hAnsi="宋体" w:cs="宋体"/>
                <w:b/>
                <w:color w:val="auto"/>
                <w:sz w:val="24"/>
                <w:szCs w:val="24"/>
                <w:highlight w:val="none"/>
                <w:lang w:eastAsia="zh-CN"/>
              </w:rPr>
            </w:pPr>
            <w:r>
              <w:rPr>
                <w:rFonts w:hint="eastAsia" w:ascii="宋体" w:hAnsi="宋体" w:eastAsia="宋体" w:cs="宋体"/>
                <w:color w:val="auto"/>
                <w:sz w:val="24"/>
                <w:szCs w:val="24"/>
                <w:highlight w:val="none"/>
                <w:lang w:val="en-US" w:eastAsia="zh-CN"/>
              </w:rPr>
              <w:t>详见</w:t>
            </w:r>
            <w:r>
              <w:rPr>
                <w:rFonts w:hint="eastAsia" w:ascii="宋体" w:hAnsi="宋体" w:cs="宋体"/>
                <w:color w:val="auto"/>
                <w:sz w:val="24"/>
                <w:szCs w:val="24"/>
                <w:highlight w:val="none"/>
                <w:lang w:eastAsia="zh-CN"/>
              </w:rPr>
              <w:t>本部分</w:t>
            </w:r>
            <w:r>
              <w:rPr>
                <w:rFonts w:hint="eastAsia" w:ascii="宋体" w:hAnsi="宋体" w:eastAsia="宋体" w:cs="宋体"/>
                <w:b/>
                <w:color w:val="auto"/>
                <w:sz w:val="24"/>
                <w:szCs w:val="24"/>
                <w:highlight w:val="none"/>
                <w:lang w:val="en-US" w:eastAsia="zh-CN"/>
              </w:rPr>
              <w:t>五、</w:t>
            </w:r>
            <w:r>
              <w:rPr>
                <w:rFonts w:hint="eastAsia" w:ascii="宋体" w:hAnsi="宋体" w:eastAsia="宋体" w:cs="宋体"/>
                <w:b/>
                <w:color w:val="auto"/>
                <w:sz w:val="24"/>
                <w:szCs w:val="24"/>
                <w:highlight w:val="none"/>
              </w:rPr>
              <w:t>货款结算及调价方式</w:t>
            </w:r>
            <w:r>
              <w:rPr>
                <w:rFonts w:hint="eastAsia" w:ascii="宋体" w:hAnsi="宋体" w:cs="宋体"/>
                <w:b/>
                <w:color w:val="auto"/>
                <w:sz w:val="24"/>
                <w:szCs w:val="24"/>
                <w:highlight w:val="none"/>
                <w:lang w:eastAsia="zh-CN"/>
              </w:rPr>
              <w:t>。</w:t>
            </w:r>
          </w:p>
          <w:p w14:paraId="1F437E9A">
            <w:pPr>
              <w:widowControl w:val="0"/>
              <w:numPr>
                <w:ilvl w:val="0"/>
                <w:numId w:val="0"/>
              </w:numPr>
              <w:shd w:val="clear"/>
              <w:adjustRightInd/>
              <w:spacing w:before="120" w:beforeLines="50" w:line="360" w:lineRule="auto"/>
              <w:jc w:val="both"/>
              <w:outlineLvl w:val="1"/>
              <w:rPr>
                <w:rFonts w:hint="eastAsia" w:ascii="宋体" w:hAnsi="宋体" w:eastAsia="宋体" w:cs="宋体"/>
                <w:color w:val="auto"/>
                <w:sz w:val="24"/>
                <w:szCs w:val="24"/>
                <w:highlight w:val="none"/>
                <w:lang w:val="en-US" w:eastAsia="zh-CN"/>
              </w:rPr>
            </w:pPr>
            <w:r>
              <w:rPr>
                <w:rFonts w:hint="eastAsia" w:ascii="宋体" w:hAnsi="宋体" w:cs="宋体"/>
                <w:b w:val="0"/>
                <w:bCs/>
                <w:color w:val="auto"/>
                <w:sz w:val="24"/>
                <w:szCs w:val="24"/>
                <w:highlight w:val="none"/>
                <w:lang w:val="en-US" w:eastAsia="zh-CN"/>
              </w:rPr>
              <w:t>其中鼓楼街道由中标人与街道直接签订合同，费用由鼓楼街道与中标人直接结算</w:t>
            </w:r>
            <w:r>
              <w:rPr>
                <w:rFonts w:hint="eastAsia" w:ascii="宋体" w:hAnsi="宋体" w:cs="宋体"/>
                <w:color w:val="auto"/>
                <w:sz w:val="24"/>
                <w:szCs w:val="24"/>
                <w:highlight w:val="none"/>
                <w:lang w:val="en-US" w:eastAsia="zh-CN"/>
              </w:rPr>
              <w:t>（仅适用于标项1）</w:t>
            </w:r>
            <w:r>
              <w:rPr>
                <w:rFonts w:hint="eastAsia" w:ascii="宋体" w:hAnsi="宋体" w:cs="宋体"/>
                <w:b w:val="0"/>
                <w:bCs/>
                <w:color w:val="auto"/>
                <w:sz w:val="24"/>
                <w:szCs w:val="24"/>
                <w:highlight w:val="none"/>
                <w:lang w:val="en-US" w:eastAsia="zh-CN"/>
              </w:rPr>
              <w:t>。</w:t>
            </w:r>
          </w:p>
        </w:tc>
      </w:tr>
      <w:tr w14:paraId="36986C8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1793" w:type="dxa"/>
            <w:tcBorders>
              <w:top w:val="single" w:color="auto" w:sz="4" w:space="0"/>
              <w:left w:val="single" w:color="auto" w:sz="4" w:space="0"/>
              <w:bottom w:val="single" w:color="auto" w:sz="4" w:space="0"/>
              <w:right w:val="single" w:color="auto" w:sz="4" w:space="0"/>
            </w:tcBorders>
            <w:noWrap w:val="0"/>
            <w:vAlign w:val="center"/>
          </w:tcPr>
          <w:p w14:paraId="71ABEF7A">
            <w:pPr>
              <w:keepNext w:val="0"/>
              <w:keepLines w:val="0"/>
              <w:pageBreakBefore w:val="0"/>
              <w:widowControl w:val="0"/>
              <w:shd w:val="clear"/>
              <w:kinsoku/>
              <w:wordWrap/>
              <w:overflowPunct/>
              <w:topLinePunct w:val="0"/>
              <w:autoSpaceDE/>
              <w:autoSpaceDN/>
              <w:bidi w:val="0"/>
              <w:adjustRightInd/>
              <w:snapToGrid/>
              <w:spacing w:line="360" w:lineRule="auto"/>
              <w:jc w:val="left"/>
              <w:rPr>
                <w:rFonts w:hint="eastAsia" w:ascii="宋体" w:hAnsi="宋体" w:eastAsia="宋体" w:cs="宋体"/>
                <w:color w:val="auto"/>
                <w:sz w:val="24"/>
                <w:szCs w:val="24"/>
                <w:highlight w:val="none"/>
              </w:rPr>
            </w:pPr>
            <w:r>
              <w:rPr>
                <w:rFonts w:hint="eastAsia" w:ascii="宋体" w:hAnsi="宋体" w:eastAsia="宋体" w:cs="宋体"/>
                <w:b/>
                <w:color w:val="auto"/>
                <w:kern w:val="0"/>
                <w:sz w:val="24"/>
                <w:szCs w:val="24"/>
                <w:highlight w:val="none"/>
                <w:lang w:eastAsia="zh-CN"/>
              </w:rPr>
              <w:t>▲</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、履约保证金</w:t>
            </w:r>
          </w:p>
        </w:tc>
        <w:tc>
          <w:tcPr>
            <w:tcW w:w="6989" w:type="dxa"/>
            <w:tcBorders>
              <w:top w:val="single" w:color="auto" w:sz="4" w:space="0"/>
              <w:left w:val="single" w:color="auto" w:sz="4" w:space="0"/>
              <w:bottom w:val="single" w:color="auto" w:sz="4" w:space="0"/>
              <w:right w:val="single" w:color="auto" w:sz="4" w:space="0"/>
            </w:tcBorders>
            <w:noWrap w:val="0"/>
            <w:vAlign w:val="center"/>
          </w:tcPr>
          <w:p w14:paraId="1BF5BD9B">
            <w:pPr>
              <w:keepNext w:val="0"/>
              <w:keepLines w:val="0"/>
              <w:pageBreakBefore w:val="0"/>
              <w:widowControl w:val="0"/>
              <w:numPr>
                <w:ilvl w:val="0"/>
                <w:numId w:val="0"/>
              </w:numPr>
              <w:shd w:val="clear"/>
              <w:kinsoku/>
              <w:wordWrap/>
              <w:overflowPunct/>
              <w:topLinePunct w:val="0"/>
              <w:autoSpaceDE/>
              <w:autoSpaceDN/>
              <w:bidi w:val="0"/>
              <w:adjustRightInd/>
              <w:snapToGrid/>
              <w:spacing w:line="360" w:lineRule="auto"/>
              <w:ind w:left="0" w:leftChars="0" w:firstLine="0" w:firstLineChars="0"/>
              <w:jc w:val="lef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履约保证金的收取及退还：</w:t>
            </w:r>
          </w:p>
          <w:p w14:paraId="15D70E33">
            <w:pPr>
              <w:keepNext w:val="0"/>
              <w:keepLines w:val="0"/>
              <w:pageBreakBefore w:val="0"/>
              <w:widowControl w:val="0"/>
              <w:numPr>
                <w:ilvl w:val="0"/>
                <w:numId w:val="0"/>
              </w:numPr>
              <w:shd w:val="clear"/>
              <w:kinsoku/>
              <w:wordWrap/>
              <w:overflowPunct/>
              <w:topLinePunct w:val="0"/>
              <w:autoSpaceDE/>
              <w:autoSpaceDN/>
              <w:bidi w:val="0"/>
              <w:adjustRightInd/>
              <w:snapToGrid/>
              <w:spacing w:line="360" w:lineRule="auto"/>
              <w:ind w:left="0" w:leftChars="0" w:firstLine="0" w:firstLineChars="0"/>
              <w:jc w:val="lef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（1）履约保证金金额：合同暂定金额的1%；</w:t>
            </w:r>
          </w:p>
          <w:p w14:paraId="33D70C5D">
            <w:pPr>
              <w:keepNext w:val="0"/>
              <w:keepLines w:val="0"/>
              <w:pageBreakBefore w:val="0"/>
              <w:widowControl w:val="0"/>
              <w:numPr>
                <w:ilvl w:val="0"/>
                <w:numId w:val="0"/>
              </w:numPr>
              <w:shd w:val="clear"/>
              <w:kinsoku/>
              <w:wordWrap/>
              <w:overflowPunct/>
              <w:topLinePunct w:val="0"/>
              <w:autoSpaceDE/>
              <w:autoSpaceDN/>
              <w:bidi w:val="0"/>
              <w:adjustRightInd/>
              <w:snapToGrid/>
              <w:spacing w:line="360" w:lineRule="auto"/>
              <w:ind w:left="0" w:leftChars="0" w:firstLine="0" w:firstLineChars="0"/>
              <w:jc w:val="lef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（2）履约保证金形式：银行汇票（电汇）、银行保函、保险</w:t>
            </w:r>
            <w:r>
              <w:rPr>
                <w:rFonts w:hint="eastAsia" w:ascii="宋体" w:hAnsi="宋体" w:eastAsia="宋体" w:cs="宋体"/>
                <w:color w:val="auto"/>
                <w:sz w:val="24"/>
                <w:szCs w:val="24"/>
                <w:highlight w:val="none"/>
                <w:lang w:val="en-US" w:eastAsia="zh-CN"/>
              </w:rPr>
              <w:t>保单</w:t>
            </w:r>
            <w:r>
              <w:rPr>
                <w:rFonts w:hint="eastAsia" w:ascii="宋体" w:hAnsi="宋体" w:eastAsia="宋体" w:cs="宋体"/>
                <w:color w:val="auto"/>
                <w:sz w:val="24"/>
                <w:szCs w:val="24"/>
                <w:highlight w:val="none"/>
                <w:lang w:eastAsia="zh-CN"/>
              </w:rPr>
              <w:t>或支票（仅限于使用宁波大市区范围内的银行开具的支票）</w:t>
            </w:r>
            <w:r>
              <w:rPr>
                <w:rFonts w:hint="eastAsia" w:ascii="宋体" w:hAnsi="宋体" w:eastAsia="宋体" w:cs="宋体"/>
                <w:color w:val="auto"/>
                <w:sz w:val="24"/>
                <w:szCs w:val="24"/>
                <w:highlight w:val="none"/>
                <w:lang w:val="en-US" w:eastAsia="zh-CN"/>
              </w:rPr>
              <w:t>等</w:t>
            </w:r>
            <w:r>
              <w:rPr>
                <w:rFonts w:hint="eastAsia" w:ascii="宋体" w:hAnsi="宋体" w:eastAsia="宋体" w:cs="宋体"/>
                <w:color w:val="auto"/>
                <w:sz w:val="24"/>
                <w:szCs w:val="24"/>
                <w:highlight w:val="none"/>
                <w:lang w:eastAsia="zh-CN"/>
              </w:rPr>
              <w:t>；</w:t>
            </w:r>
          </w:p>
          <w:p w14:paraId="20CC6A31">
            <w:pPr>
              <w:keepNext w:val="0"/>
              <w:keepLines w:val="0"/>
              <w:pageBreakBefore w:val="0"/>
              <w:widowControl w:val="0"/>
              <w:numPr>
                <w:ilvl w:val="0"/>
                <w:numId w:val="0"/>
              </w:numPr>
              <w:shd w:val="clear"/>
              <w:kinsoku/>
              <w:wordWrap/>
              <w:overflowPunct/>
              <w:topLinePunct w:val="0"/>
              <w:autoSpaceDE/>
              <w:autoSpaceDN/>
              <w:bidi w:val="0"/>
              <w:adjustRightInd/>
              <w:snapToGrid/>
              <w:spacing w:line="360" w:lineRule="auto"/>
              <w:ind w:left="0" w:leftChars="0" w:firstLine="0" w:firstLineChars="0"/>
              <w:jc w:val="lef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w:t>
            </w:r>
            <w:r>
              <w:rPr>
                <w:rFonts w:hint="eastAsia" w:ascii="宋体" w:hAnsi="宋体" w:eastAsia="宋体" w:cs="宋体"/>
                <w:color w:val="auto"/>
                <w:sz w:val="24"/>
                <w:szCs w:val="24"/>
                <w:highlight w:val="none"/>
                <w:lang w:val="en-US" w:eastAsia="zh-CN"/>
              </w:rPr>
              <w:t>履约保证金在定点采购合同期满后无息退还（但如定点采购单位未能履行合同规定的任何义务，采购人有权从履约保证金中得到补偿）。</w:t>
            </w:r>
          </w:p>
        </w:tc>
      </w:tr>
      <w:tr w14:paraId="08DE995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3" w:hRule="atLeast"/>
          <w:jc w:val="center"/>
        </w:trPr>
        <w:tc>
          <w:tcPr>
            <w:tcW w:w="1793" w:type="dxa"/>
            <w:tcBorders>
              <w:top w:val="single" w:color="auto" w:sz="4" w:space="0"/>
              <w:left w:val="single" w:color="auto" w:sz="4" w:space="0"/>
              <w:bottom w:val="single" w:color="auto" w:sz="4" w:space="0"/>
              <w:right w:val="single" w:color="auto" w:sz="4" w:space="0"/>
            </w:tcBorders>
            <w:noWrap w:val="0"/>
            <w:vAlign w:val="center"/>
          </w:tcPr>
          <w:p w14:paraId="359C0B95">
            <w:pPr>
              <w:keepNext w:val="0"/>
              <w:keepLines w:val="0"/>
              <w:pageBreakBefore w:val="0"/>
              <w:widowControl w:val="0"/>
              <w:shd w:val="clear"/>
              <w:kinsoku/>
              <w:wordWrap/>
              <w:overflowPunct/>
              <w:topLinePunct w:val="0"/>
              <w:autoSpaceDE/>
              <w:autoSpaceDN/>
              <w:bidi w:val="0"/>
              <w:adjustRightInd/>
              <w:snapToGrid/>
              <w:spacing w:line="360" w:lineRule="auto"/>
              <w:textAlignment w:val="auto"/>
              <w:outlineLvl w:val="9"/>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、合同终止</w:t>
            </w:r>
          </w:p>
        </w:tc>
        <w:tc>
          <w:tcPr>
            <w:tcW w:w="6989" w:type="dxa"/>
            <w:tcBorders>
              <w:top w:val="single" w:color="auto" w:sz="4" w:space="0"/>
              <w:left w:val="single" w:color="auto" w:sz="4" w:space="0"/>
              <w:bottom w:val="single" w:color="auto" w:sz="4" w:space="0"/>
              <w:right w:val="single" w:color="auto" w:sz="4" w:space="0"/>
            </w:tcBorders>
            <w:noWrap w:val="0"/>
            <w:vAlign w:val="center"/>
          </w:tcPr>
          <w:p w14:paraId="5BACBF03">
            <w:pPr>
              <w:keepNext w:val="0"/>
              <w:keepLines w:val="0"/>
              <w:pageBreakBefore w:val="0"/>
              <w:widowControl w:val="0"/>
              <w:shd w:val="clear"/>
              <w:kinsoku/>
              <w:wordWrap/>
              <w:overflowPunct/>
              <w:topLinePunct w:val="0"/>
              <w:autoSpaceDE/>
              <w:autoSpaceDN/>
              <w:bidi w:val="0"/>
              <w:adjustRightInd/>
              <w:snapToGrid/>
              <w:spacing w:line="360" w:lineRule="auto"/>
              <w:textAlignment w:val="auto"/>
              <w:outlineLvl w:val="9"/>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中标人在合同有效期内，不得</w:t>
            </w:r>
            <w:r>
              <w:rPr>
                <w:rFonts w:hint="eastAsia" w:ascii="宋体" w:hAnsi="宋体" w:eastAsia="宋体" w:cs="宋体"/>
                <w:color w:val="auto"/>
                <w:sz w:val="24"/>
                <w:szCs w:val="24"/>
                <w:highlight w:val="none"/>
                <w:lang w:val="en-US" w:eastAsia="zh-CN"/>
              </w:rPr>
              <w:t>无</w:t>
            </w:r>
            <w:r>
              <w:rPr>
                <w:rFonts w:hint="eastAsia" w:ascii="宋体" w:hAnsi="宋体" w:eastAsia="宋体" w:cs="宋体"/>
                <w:color w:val="auto"/>
                <w:sz w:val="24"/>
                <w:szCs w:val="24"/>
                <w:highlight w:val="none"/>
              </w:rPr>
              <w:t>理由终止合同，确有特殊情况的，须提前两个月向采购人提出书面申请，经采购人同意后，方可终止合同，同时酌情扣除履约保证金。因中标人不能保证工作质量，或发生重大差错事故的，采购人可有权终止协议并罚没中标人缴纳的全部履约保证金，中标人承担全部责任。</w:t>
            </w:r>
          </w:p>
        </w:tc>
      </w:tr>
      <w:bookmarkEnd w:id="28"/>
    </w:tbl>
    <w:p w14:paraId="4183F004">
      <w:pPr>
        <w:widowControl/>
        <w:shd w:val="clear"/>
        <w:adjustRightInd/>
        <w:spacing w:line="360" w:lineRule="auto"/>
        <w:jc w:val="left"/>
        <w:rPr>
          <w:rFonts w:hint="eastAsia"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lang w:val="en-US" w:eastAsia="zh-CN"/>
        </w:rPr>
        <w:t>二、定点采购内容</w:t>
      </w:r>
    </w:p>
    <w:p w14:paraId="5E626B05">
      <w:pPr>
        <w:keepNext w:val="0"/>
        <w:keepLines w:val="0"/>
        <w:pageBreakBefore w:val="0"/>
        <w:widowControl/>
        <w:tabs>
          <w:tab w:val="left" w:pos="851"/>
        </w:tabs>
        <w:kinsoku/>
        <w:wordWrap/>
        <w:overflowPunct/>
        <w:topLinePunct w:val="0"/>
        <w:autoSpaceDE/>
        <w:autoSpaceDN/>
        <w:bidi w:val="0"/>
        <w:adjustRightInd/>
        <w:snapToGrid/>
        <w:spacing w:line="360" w:lineRule="auto"/>
        <w:textAlignment w:val="auto"/>
        <w:rPr>
          <w:rFonts w:hint="eastAsia" w:ascii="宋体" w:hAnsi="宋体" w:eastAsia="宋体" w:cs="Times New Roman"/>
          <w:bCs/>
          <w:color w:val="auto"/>
          <w:sz w:val="24"/>
          <w:szCs w:val="24"/>
          <w:highlight w:val="none"/>
        </w:rPr>
      </w:pPr>
      <w:r>
        <w:rPr>
          <w:rFonts w:hint="eastAsia" w:ascii="宋体" w:hAnsi="宋体" w:eastAsia="宋体" w:cs="Times New Roman"/>
          <w:b/>
          <w:bCs w:val="0"/>
          <w:color w:val="auto"/>
          <w:sz w:val="24"/>
          <w:szCs w:val="24"/>
          <w:highlight w:val="none"/>
          <w:lang w:val="en-US" w:eastAsia="zh-CN"/>
        </w:rPr>
        <w:t>标项</w:t>
      </w:r>
      <w:r>
        <w:rPr>
          <w:rFonts w:hint="eastAsia" w:ascii="宋体" w:hAnsi="宋体" w:cs="Times New Roman"/>
          <w:b/>
          <w:bCs w:val="0"/>
          <w:color w:val="auto"/>
          <w:sz w:val="24"/>
          <w:szCs w:val="24"/>
          <w:highlight w:val="none"/>
          <w:lang w:val="en-US" w:eastAsia="zh-CN"/>
        </w:rPr>
        <w:t>1</w:t>
      </w:r>
      <w:r>
        <w:rPr>
          <w:rFonts w:hint="eastAsia" w:ascii="宋体" w:hAnsi="宋体" w:eastAsia="宋体" w:cs="Times New Roman"/>
          <w:b/>
          <w:bCs w:val="0"/>
          <w:color w:val="auto"/>
          <w:sz w:val="24"/>
          <w:szCs w:val="24"/>
          <w:highlight w:val="none"/>
          <w:lang w:val="en-US" w:eastAsia="zh-CN"/>
        </w:rPr>
        <w:t>：</w:t>
      </w:r>
    </w:p>
    <w:p w14:paraId="0649E331">
      <w:pPr>
        <w:keepNext w:val="0"/>
        <w:keepLines w:val="0"/>
        <w:pageBreakBefore w:val="0"/>
        <w:widowControl/>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Times New Roman"/>
          <w:bCs/>
          <w:color w:val="auto"/>
          <w:sz w:val="24"/>
          <w:szCs w:val="24"/>
          <w:highlight w:val="none"/>
        </w:rPr>
      </w:pPr>
      <w:r>
        <w:rPr>
          <w:rFonts w:hint="eastAsia" w:ascii="宋体" w:hAnsi="宋体" w:eastAsia="宋体" w:cs="Times New Roman"/>
          <w:bCs/>
          <w:color w:val="auto"/>
          <w:sz w:val="24"/>
          <w:szCs w:val="24"/>
          <w:highlight w:val="none"/>
        </w:rPr>
        <w:t>2</w:t>
      </w:r>
      <w:r>
        <w:rPr>
          <w:rFonts w:hint="eastAsia" w:ascii="宋体" w:hAnsi="宋体" w:eastAsia="宋体" w:cs="Times New Roman"/>
          <w:bCs/>
          <w:color w:val="auto"/>
          <w:sz w:val="24"/>
          <w:szCs w:val="24"/>
          <w:highlight w:val="none"/>
          <w:lang w:val="en-US" w:eastAsia="zh-CN"/>
        </w:rPr>
        <w:t>.1</w:t>
      </w:r>
      <w:r>
        <w:rPr>
          <w:rFonts w:hint="eastAsia" w:ascii="宋体" w:hAnsi="宋体" w:eastAsia="宋体" w:cs="Times New Roman"/>
          <w:bCs/>
          <w:color w:val="auto"/>
          <w:sz w:val="24"/>
          <w:szCs w:val="24"/>
          <w:highlight w:val="none"/>
        </w:rPr>
        <w:t>蔬菜类（土豆、西红柿、青椒、青菜、大白菜、包菜、茭白、芋艿、豆芽等）。质量要求：所提供的蔬菜必须保证新鲜、不腐烂变质，能提供蔬菜农药残留检测报告、产地合格证明，且符合《中华人民共和国农产品质量安全法》要求，经过初步处理，没有腐叶和泥土。</w:t>
      </w:r>
    </w:p>
    <w:p w14:paraId="498ECFC9">
      <w:pPr>
        <w:keepNext w:val="0"/>
        <w:keepLines w:val="0"/>
        <w:pageBreakBefore w:val="0"/>
        <w:widowControl/>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Times New Roman"/>
          <w:bCs/>
          <w:color w:val="auto"/>
          <w:sz w:val="24"/>
          <w:szCs w:val="24"/>
          <w:highlight w:val="none"/>
        </w:rPr>
      </w:pPr>
      <w:r>
        <w:rPr>
          <w:rFonts w:hint="eastAsia" w:ascii="宋体" w:hAnsi="宋体" w:eastAsia="宋体" w:cs="Times New Roman"/>
          <w:bCs/>
          <w:color w:val="auto"/>
          <w:sz w:val="24"/>
          <w:szCs w:val="24"/>
          <w:highlight w:val="none"/>
          <w:lang w:val="en-US" w:eastAsia="zh-CN"/>
        </w:rPr>
        <w:t>2.2</w:t>
      </w:r>
      <w:r>
        <w:rPr>
          <w:rFonts w:hint="eastAsia" w:ascii="宋体" w:hAnsi="宋体" w:eastAsia="宋体" w:cs="Times New Roman"/>
          <w:bCs/>
          <w:color w:val="auto"/>
          <w:sz w:val="24"/>
          <w:szCs w:val="24"/>
          <w:highlight w:val="none"/>
        </w:rPr>
        <w:t>豆制品（豆腐、千张、香干、素鸡、大油豆腐、小油豆腐等）类。质量要求：豆制品成品必须具有</w:t>
      </w:r>
      <w:r>
        <w:rPr>
          <w:rFonts w:hint="eastAsia" w:ascii="宋体" w:hAnsi="宋体" w:cs="Times New Roman"/>
          <w:bCs/>
          <w:color w:val="auto"/>
          <w:sz w:val="24"/>
          <w:szCs w:val="24"/>
          <w:highlight w:val="none"/>
          <w:lang w:eastAsia="zh-CN"/>
        </w:rPr>
        <w:t>生产许可证编号</w:t>
      </w:r>
      <w:r>
        <w:rPr>
          <w:rFonts w:hint="eastAsia" w:ascii="宋体" w:hAnsi="宋体" w:eastAsia="宋体" w:cs="Times New Roman"/>
          <w:bCs/>
          <w:color w:val="auto"/>
          <w:sz w:val="24"/>
          <w:szCs w:val="24"/>
          <w:highlight w:val="none"/>
        </w:rPr>
        <w:t>，并提供产品合格证明文件。</w:t>
      </w:r>
    </w:p>
    <w:p w14:paraId="2D86F8C0">
      <w:pPr>
        <w:keepNext w:val="0"/>
        <w:keepLines w:val="0"/>
        <w:pageBreakBefore w:val="0"/>
        <w:widowControl/>
        <w:tabs>
          <w:tab w:val="left" w:pos="851"/>
        </w:tabs>
        <w:kinsoku/>
        <w:wordWrap/>
        <w:overflowPunct/>
        <w:topLinePunct w:val="0"/>
        <w:autoSpaceDE/>
        <w:autoSpaceDN/>
        <w:bidi w:val="0"/>
        <w:adjustRightInd/>
        <w:snapToGrid/>
        <w:spacing w:line="360" w:lineRule="auto"/>
        <w:textAlignment w:val="auto"/>
        <w:rPr>
          <w:rFonts w:hint="eastAsia" w:ascii="宋体" w:hAnsi="宋体" w:eastAsia="宋体" w:cs="Times New Roman"/>
          <w:b/>
          <w:bCs w:val="0"/>
          <w:color w:val="auto"/>
          <w:sz w:val="24"/>
          <w:szCs w:val="24"/>
          <w:highlight w:val="none"/>
          <w:lang w:val="en-US" w:eastAsia="zh-CN"/>
        </w:rPr>
      </w:pPr>
    </w:p>
    <w:p w14:paraId="0CDBABCD">
      <w:pPr>
        <w:keepNext w:val="0"/>
        <w:keepLines w:val="0"/>
        <w:pageBreakBefore w:val="0"/>
        <w:widowControl/>
        <w:tabs>
          <w:tab w:val="left" w:pos="851"/>
        </w:tabs>
        <w:kinsoku/>
        <w:wordWrap/>
        <w:overflowPunct/>
        <w:topLinePunct w:val="0"/>
        <w:autoSpaceDE/>
        <w:autoSpaceDN/>
        <w:bidi w:val="0"/>
        <w:adjustRightInd/>
        <w:snapToGrid/>
        <w:spacing w:line="360" w:lineRule="auto"/>
        <w:textAlignment w:val="auto"/>
        <w:rPr>
          <w:rFonts w:hint="eastAsia" w:ascii="宋体" w:hAnsi="宋体" w:eastAsia="宋体" w:cs="Times New Roman"/>
          <w:bCs/>
          <w:color w:val="auto"/>
          <w:sz w:val="24"/>
          <w:szCs w:val="24"/>
          <w:highlight w:val="none"/>
        </w:rPr>
      </w:pPr>
      <w:r>
        <w:rPr>
          <w:rFonts w:hint="eastAsia" w:ascii="宋体" w:hAnsi="宋体" w:eastAsia="宋体" w:cs="Times New Roman"/>
          <w:b/>
          <w:bCs w:val="0"/>
          <w:color w:val="auto"/>
          <w:sz w:val="24"/>
          <w:szCs w:val="24"/>
          <w:highlight w:val="none"/>
          <w:lang w:val="en-US" w:eastAsia="zh-CN"/>
        </w:rPr>
        <w:t>标项</w:t>
      </w:r>
      <w:r>
        <w:rPr>
          <w:rFonts w:hint="eastAsia" w:ascii="宋体" w:hAnsi="宋体" w:cs="Times New Roman"/>
          <w:b/>
          <w:bCs w:val="0"/>
          <w:color w:val="auto"/>
          <w:sz w:val="24"/>
          <w:szCs w:val="24"/>
          <w:highlight w:val="none"/>
          <w:lang w:val="en-US" w:eastAsia="zh-CN"/>
        </w:rPr>
        <w:t>2</w:t>
      </w:r>
      <w:r>
        <w:rPr>
          <w:rFonts w:hint="eastAsia" w:ascii="宋体" w:hAnsi="宋体" w:eastAsia="宋体" w:cs="Times New Roman"/>
          <w:b/>
          <w:bCs w:val="0"/>
          <w:color w:val="auto"/>
          <w:sz w:val="24"/>
          <w:szCs w:val="24"/>
          <w:highlight w:val="none"/>
          <w:lang w:val="en-US" w:eastAsia="zh-CN"/>
        </w:rPr>
        <w:t>：</w:t>
      </w:r>
    </w:p>
    <w:p w14:paraId="674EAECB">
      <w:pPr>
        <w:keepNext w:val="0"/>
        <w:keepLines w:val="0"/>
        <w:pageBreakBefore w:val="0"/>
        <w:widowControl/>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Times New Roman"/>
          <w:bCs/>
          <w:color w:val="auto"/>
          <w:sz w:val="24"/>
          <w:szCs w:val="24"/>
          <w:highlight w:val="none"/>
          <w:lang w:val="en-US" w:eastAsia="zh-CN"/>
        </w:rPr>
      </w:pPr>
      <w:r>
        <w:rPr>
          <w:rFonts w:hint="eastAsia" w:ascii="宋体" w:hAnsi="宋体" w:eastAsia="宋体" w:cs="Times New Roman"/>
          <w:bCs/>
          <w:color w:val="auto"/>
          <w:sz w:val="24"/>
          <w:szCs w:val="24"/>
          <w:highlight w:val="none"/>
          <w:lang w:val="en-US" w:eastAsia="zh-CN"/>
        </w:rPr>
        <w:t>2.</w:t>
      </w:r>
      <w:r>
        <w:rPr>
          <w:rFonts w:hint="eastAsia" w:ascii="宋体" w:hAnsi="宋体" w:cs="Times New Roman"/>
          <w:bCs/>
          <w:color w:val="auto"/>
          <w:sz w:val="24"/>
          <w:szCs w:val="24"/>
          <w:highlight w:val="none"/>
          <w:lang w:val="en-US" w:eastAsia="zh-CN"/>
        </w:rPr>
        <w:t>1</w:t>
      </w:r>
      <w:r>
        <w:rPr>
          <w:rFonts w:hint="eastAsia" w:ascii="宋体" w:hAnsi="宋体" w:eastAsia="宋体" w:cs="Times New Roman"/>
          <w:bCs/>
          <w:color w:val="auto"/>
          <w:sz w:val="24"/>
          <w:szCs w:val="24"/>
          <w:highlight w:val="none"/>
        </w:rPr>
        <w:t>水果类。质量要求：要求提供新鲜无腐烂、大小均匀、色泽光亮无破损，口感好，规格、质量等方面要求符合国家有关食品卫生、安全质量等方面的要求，以时令水果为主。</w:t>
      </w:r>
    </w:p>
    <w:p w14:paraId="26C98C70">
      <w:pPr>
        <w:keepNext w:val="0"/>
        <w:keepLines w:val="0"/>
        <w:pageBreakBefore w:val="0"/>
        <w:widowControl/>
        <w:tabs>
          <w:tab w:val="left" w:pos="851"/>
        </w:tabs>
        <w:kinsoku/>
        <w:wordWrap/>
        <w:overflowPunct/>
        <w:topLinePunct w:val="0"/>
        <w:autoSpaceDE/>
        <w:autoSpaceDN/>
        <w:bidi w:val="0"/>
        <w:adjustRightInd/>
        <w:snapToGrid/>
        <w:spacing w:line="360" w:lineRule="auto"/>
        <w:textAlignment w:val="auto"/>
        <w:rPr>
          <w:rFonts w:hint="eastAsia" w:ascii="宋体" w:hAnsi="宋体" w:eastAsia="宋体" w:cs="Times New Roman"/>
          <w:b/>
          <w:bCs w:val="0"/>
          <w:color w:val="auto"/>
          <w:sz w:val="24"/>
          <w:szCs w:val="24"/>
          <w:highlight w:val="none"/>
          <w:lang w:val="en-US" w:eastAsia="zh-CN"/>
        </w:rPr>
      </w:pPr>
    </w:p>
    <w:p w14:paraId="33034AB8">
      <w:pPr>
        <w:keepNext w:val="0"/>
        <w:keepLines w:val="0"/>
        <w:pageBreakBefore w:val="0"/>
        <w:widowControl/>
        <w:tabs>
          <w:tab w:val="left" w:pos="851"/>
        </w:tabs>
        <w:kinsoku/>
        <w:wordWrap/>
        <w:overflowPunct/>
        <w:topLinePunct w:val="0"/>
        <w:autoSpaceDE/>
        <w:autoSpaceDN/>
        <w:bidi w:val="0"/>
        <w:adjustRightInd/>
        <w:snapToGrid/>
        <w:spacing w:line="360" w:lineRule="auto"/>
        <w:textAlignment w:val="auto"/>
        <w:rPr>
          <w:rFonts w:hint="eastAsia" w:ascii="宋体" w:hAnsi="宋体" w:eastAsia="宋体" w:cs="Times New Roman"/>
          <w:bCs/>
          <w:color w:val="auto"/>
          <w:sz w:val="24"/>
          <w:szCs w:val="24"/>
          <w:highlight w:val="none"/>
        </w:rPr>
      </w:pPr>
      <w:r>
        <w:rPr>
          <w:rFonts w:hint="eastAsia" w:ascii="宋体" w:hAnsi="宋体" w:eastAsia="宋体" w:cs="Times New Roman"/>
          <w:b/>
          <w:bCs w:val="0"/>
          <w:color w:val="auto"/>
          <w:sz w:val="24"/>
          <w:szCs w:val="24"/>
          <w:highlight w:val="none"/>
          <w:lang w:val="en-US" w:eastAsia="zh-CN"/>
        </w:rPr>
        <w:t>标项3：</w:t>
      </w:r>
    </w:p>
    <w:p w14:paraId="28999864">
      <w:pPr>
        <w:keepNext w:val="0"/>
        <w:keepLines w:val="0"/>
        <w:pageBreakBefore w:val="0"/>
        <w:widowControl/>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Times New Roman"/>
          <w:bCs/>
          <w:color w:val="auto"/>
          <w:sz w:val="24"/>
          <w:szCs w:val="24"/>
          <w:highlight w:val="none"/>
          <w:lang w:val="en-US" w:eastAsia="zh-CN"/>
        </w:rPr>
      </w:pPr>
      <w:r>
        <w:rPr>
          <w:rFonts w:hint="eastAsia" w:ascii="宋体" w:hAnsi="宋体" w:eastAsia="宋体" w:cs="Times New Roman"/>
          <w:bCs/>
          <w:color w:val="auto"/>
          <w:sz w:val="24"/>
          <w:szCs w:val="24"/>
          <w:highlight w:val="none"/>
          <w:lang w:val="en-US" w:eastAsia="zh-CN"/>
        </w:rPr>
        <w:t>2.1其他杂项类。除蔬菜类、豆制品类、水果类、水产类、肉禽蛋类、调味品类外的其他杂项。质量要求：所提供的食品必须保证质量合格，保证新鲜。送货日期不得超过保质期的1/3（进口产品可适当延长1/2），日期超过保质期的2/3的，给予拒收。</w:t>
      </w:r>
    </w:p>
    <w:p w14:paraId="4D13E763">
      <w:pPr>
        <w:keepNext w:val="0"/>
        <w:keepLines w:val="0"/>
        <w:pageBreakBefore w:val="0"/>
        <w:widowControl/>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Times New Roman"/>
          <w:bCs/>
          <w:color w:val="auto"/>
          <w:sz w:val="24"/>
          <w:szCs w:val="24"/>
          <w:highlight w:val="none"/>
        </w:rPr>
      </w:pPr>
    </w:p>
    <w:p w14:paraId="11928BDE">
      <w:pPr>
        <w:keepNext w:val="0"/>
        <w:keepLines w:val="0"/>
        <w:pageBreakBefore w:val="0"/>
        <w:widowControl/>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Times New Roman"/>
          <w:bCs/>
          <w:color w:val="auto"/>
          <w:sz w:val="24"/>
          <w:szCs w:val="24"/>
          <w:highlight w:val="none"/>
          <w:lang w:val="en-US" w:eastAsia="zh-CN"/>
        </w:rPr>
      </w:pPr>
      <w:r>
        <w:rPr>
          <w:rFonts w:hint="eastAsia" w:ascii="宋体" w:hAnsi="宋体" w:eastAsia="宋体" w:cs="Times New Roman"/>
          <w:bCs/>
          <w:color w:val="auto"/>
          <w:sz w:val="24"/>
          <w:szCs w:val="24"/>
          <w:highlight w:val="none"/>
        </w:rPr>
        <w:t>以上所有定点采购原材料均须符合《中华人民共和国食品安全法》及属地相关法律法规要求</w:t>
      </w:r>
      <w:r>
        <w:rPr>
          <w:rFonts w:hint="eastAsia" w:ascii="宋体" w:hAnsi="宋体" w:eastAsia="宋体" w:cs="Times New Roman"/>
          <w:bCs/>
          <w:color w:val="auto"/>
          <w:sz w:val="24"/>
          <w:szCs w:val="24"/>
          <w:highlight w:val="none"/>
          <w:lang w:eastAsia="zh-CN"/>
        </w:rPr>
        <w:t>。（</w:t>
      </w:r>
      <w:r>
        <w:rPr>
          <w:rFonts w:hint="eastAsia" w:ascii="宋体" w:hAnsi="宋体" w:eastAsia="宋体" w:cs="Times New Roman"/>
          <w:bCs/>
          <w:color w:val="auto"/>
          <w:sz w:val="24"/>
          <w:szCs w:val="24"/>
          <w:highlight w:val="none"/>
          <w:lang w:val="en-US" w:eastAsia="zh-CN"/>
        </w:rPr>
        <w:t>适用于所有标项</w:t>
      </w:r>
      <w:r>
        <w:rPr>
          <w:rFonts w:hint="eastAsia" w:ascii="宋体" w:hAnsi="宋体" w:eastAsia="宋体" w:cs="Times New Roman"/>
          <w:bCs/>
          <w:color w:val="auto"/>
          <w:sz w:val="24"/>
          <w:szCs w:val="24"/>
          <w:highlight w:val="none"/>
          <w:lang w:eastAsia="zh-CN"/>
        </w:rPr>
        <w:t>）</w:t>
      </w:r>
    </w:p>
    <w:p w14:paraId="04CCB607">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Times New Roman"/>
          <w:bCs/>
          <w:color w:val="auto"/>
          <w:sz w:val="24"/>
          <w:szCs w:val="24"/>
          <w:highlight w:val="none"/>
          <w:lang w:val="en-US" w:eastAsia="zh-CN"/>
        </w:rPr>
      </w:pPr>
    </w:p>
    <w:p w14:paraId="0F108224">
      <w:pPr>
        <w:widowControl/>
        <w:shd w:val="clear"/>
        <w:adjustRightInd/>
        <w:spacing w:line="360" w:lineRule="auto"/>
        <w:jc w:val="left"/>
        <w:rPr>
          <w:rFonts w:hint="eastAsia" w:ascii="宋体" w:hAnsi="宋体" w:eastAsia="宋体" w:cs="宋体"/>
          <w:b/>
          <w:color w:val="auto"/>
          <w:kern w:val="0"/>
          <w:sz w:val="24"/>
          <w:szCs w:val="24"/>
          <w:highlight w:val="none"/>
          <w:lang w:val="en-US" w:eastAsia="zh-CN"/>
        </w:rPr>
      </w:pPr>
      <w:r>
        <w:rPr>
          <w:rFonts w:hint="eastAsia" w:ascii="宋体" w:hAnsi="宋体" w:eastAsia="宋体" w:cs="宋体"/>
          <w:b/>
          <w:color w:val="auto"/>
          <w:kern w:val="0"/>
          <w:sz w:val="24"/>
          <w:szCs w:val="24"/>
          <w:highlight w:val="none"/>
          <w:lang w:val="en-US" w:eastAsia="zh-CN"/>
        </w:rPr>
        <w:t>三、采购项目质量要求</w:t>
      </w:r>
    </w:p>
    <w:p w14:paraId="61869D44">
      <w:pPr>
        <w:keepNext w:val="0"/>
        <w:keepLines w:val="0"/>
        <w:pageBreakBefore w:val="0"/>
        <w:widowControl/>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Times New Roman"/>
          <w:bCs/>
          <w:color w:val="auto"/>
          <w:sz w:val="24"/>
          <w:szCs w:val="24"/>
          <w:highlight w:val="none"/>
        </w:rPr>
      </w:pPr>
      <w:r>
        <w:rPr>
          <w:rFonts w:hint="eastAsia" w:ascii="宋体" w:hAnsi="宋体" w:eastAsia="宋体" w:cs="Times New Roman"/>
          <w:bCs/>
          <w:color w:val="auto"/>
          <w:sz w:val="24"/>
          <w:szCs w:val="24"/>
          <w:highlight w:val="none"/>
          <w:lang w:val="en-US" w:eastAsia="zh-CN"/>
        </w:rPr>
        <w:t>3</w:t>
      </w:r>
      <w:r>
        <w:rPr>
          <w:rFonts w:hint="eastAsia" w:ascii="宋体" w:hAnsi="宋体" w:eastAsia="宋体" w:cs="Times New Roman"/>
          <w:bCs/>
          <w:color w:val="auto"/>
          <w:sz w:val="24"/>
          <w:szCs w:val="24"/>
          <w:highlight w:val="none"/>
        </w:rPr>
        <w:t>.1供应商所提供的货物必须符合宁波市海曙区机关事务管理局关于原材料规格、质量等方面要求和国家有关食品卫生、安全质量等方面的要求。所提供的货物数量、质量，必须经验收合格后才能进入食堂。如验收达不到招标文件要求，则应立刻退回，由此造成的一切损失由供应商承担。若供应商不听劝告，一再坚持错误继续供货，采购人有权拒付货款，并有权终止与供应商的采购合同，由此造成的卫生、安全质量后果，全部由供应商承担。</w:t>
      </w:r>
    </w:p>
    <w:p w14:paraId="562FCD0B">
      <w:pPr>
        <w:keepNext w:val="0"/>
        <w:keepLines w:val="0"/>
        <w:pageBreakBefore w:val="0"/>
        <w:widowControl/>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Times New Roman"/>
          <w:bCs/>
          <w:color w:val="auto"/>
          <w:sz w:val="24"/>
          <w:szCs w:val="24"/>
          <w:highlight w:val="none"/>
        </w:rPr>
      </w:pPr>
      <w:r>
        <w:rPr>
          <w:rFonts w:hint="eastAsia" w:ascii="宋体" w:hAnsi="宋体" w:eastAsia="宋体" w:cs="Times New Roman"/>
          <w:bCs/>
          <w:color w:val="auto"/>
          <w:sz w:val="24"/>
          <w:szCs w:val="24"/>
          <w:highlight w:val="none"/>
          <w:lang w:val="en-US" w:eastAsia="zh-CN"/>
        </w:rPr>
        <w:t>3</w:t>
      </w:r>
      <w:r>
        <w:rPr>
          <w:rFonts w:hint="eastAsia" w:ascii="宋体" w:hAnsi="宋体" w:eastAsia="宋体" w:cs="Times New Roman"/>
          <w:bCs/>
          <w:color w:val="auto"/>
          <w:sz w:val="24"/>
          <w:szCs w:val="24"/>
          <w:highlight w:val="none"/>
        </w:rPr>
        <w:t>.2本项目所有采购为非转基因食材，有正规包装的食材须有明确非转基因标记。</w:t>
      </w:r>
    </w:p>
    <w:p w14:paraId="03C9DCA9">
      <w:pPr>
        <w:keepNext w:val="0"/>
        <w:keepLines w:val="0"/>
        <w:pageBreakBefore w:val="0"/>
        <w:widowControl/>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Times New Roman"/>
          <w:bCs/>
          <w:color w:val="auto"/>
          <w:sz w:val="24"/>
          <w:szCs w:val="24"/>
          <w:highlight w:val="none"/>
        </w:rPr>
      </w:pPr>
      <w:r>
        <w:rPr>
          <w:rFonts w:hint="eastAsia" w:ascii="宋体" w:hAnsi="宋体" w:eastAsia="宋体" w:cs="Times New Roman"/>
          <w:bCs/>
          <w:color w:val="auto"/>
          <w:sz w:val="24"/>
          <w:szCs w:val="24"/>
          <w:highlight w:val="none"/>
          <w:lang w:val="en-US" w:eastAsia="zh-CN"/>
        </w:rPr>
        <w:t>3.3</w:t>
      </w:r>
      <w:r>
        <w:rPr>
          <w:rFonts w:hint="eastAsia" w:ascii="宋体" w:hAnsi="宋体" w:eastAsia="宋体" w:cs="Times New Roman"/>
          <w:bCs/>
          <w:color w:val="auto"/>
          <w:sz w:val="24"/>
          <w:szCs w:val="24"/>
          <w:highlight w:val="none"/>
        </w:rPr>
        <w:t>供应商提供的各类原料、货物食品必须符合卫生防疫部门检测标准，优质足量，根据</w:t>
      </w:r>
      <w:r>
        <w:rPr>
          <w:rFonts w:hint="eastAsia" w:ascii="宋体" w:hAnsi="宋体" w:eastAsia="宋体" w:cs="Times New Roman"/>
          <w:bCs/>
          <w:color w:val="auto"/>
          <w:sz w:val="24"/>
          <w:szCs w:val="24"/>
          <w:highlight w:val="none"/>
          <w:lang w:val="en-US" w:eastAsia="zh-CN"/>
        </w:rPr>
        <w:t>采购人</w:t>
      </w:r>
      <w:r>
        <w:rPr>
          <w:rFonts w:hint="eastAsia" w:ascii="宋体" w:hAnsi="宋体" w:eastAsia="宋体" w:cs="Times New Roman"/>
          <w:bCs/>
          <w:color w:val="auto"/>
          <w:sz w:val="24"/>
          <w:szCs w:val="24"/>
          <w:highlight w:val="none"/>
        </w:rPr>
        <w:t>通知要求按规定时间送到</w:t>
      </w:r>
      <w:r>
        <w:rPr>
          <w:rFonts w:hint="eastAsia" w:ascii="宋体" w:hAnsi="宋体" w:eastAsia="宋体" w:cs="Times New Roman"/>
          <w:bCs/>
          <w:color w:val="auto"/>
          <w:sz w:val="24"/>
          <w:szCs w:val="24"/>
          <w:highlight w:val="none"/>
          <w:lang w:val="en-US" w:eastAsia="zh-CN"/>
        </w:rPr>
        <w:t>各集中办公区</w:t>
      </w:r>
      <w:r>
        <w:rPr>
          <w:rFonts w:hint="eastAsia" w:ascii="宋体" w:hAnsi="宋体" w:cs="Times New Roman"/>
          <w:bCs/>
          <w:color w:val="auto"/>
          <w:sz w:val="24"/>
          <w:szCs w:val="24"/>
          <w:highlight w:val="none"/>
          <w:lang w:val="en-US" w:eastAsia="zh-CN"/>
        </w:rPr>
        <w:t>等</w:t>
      </w:r>
      <w:r>
        <w:rPr>
          <w:rFonts w:hint="eastAsia" w:ascii="宋体" w:hAnsi="宋体" w:eastAsia="宋体" w:cs="Times New Roman"/>
          <w:bCs/>
          <w:color w:val="auto"/>
          <w:sz w:val="24"/>
          <w:szCs w:val="24"/>
          <w:highlight w:val="none"/>
        </w:rPr>
        <w:t>食堂并提供相应辅助服务，提供蔬</w:t>
      </w:r>
      <w:r>
        <w:rPr>
          <w:rFonts w:hint="eastAsia" w:ascii="宋体" w:hAnsi="宋体" w:eastAsia="宋体" w:cs="Times New Roman"/>
          <w:bCs/>
          <w:color w:val="auto"/>
          <w:sz w:val="24"/>
          <w:szCs w:val="24"/>
          <w:highlight w:val="none"/>
          <w:lang w:val="en-US" w:eastAsia="zh-CN"/>
        </w:rPr>
        <w:t>菜</w:t>
      </w:r>
      <w:r>
        <w:rPr>
          <w:rFonts w:hint="eastAsia" w:ascii="宋体" w:hAnsi="宋体" w:eastAsia="宋体" w:cs="Times New Roman"/>
          <w:bCs/>
          <w:color w:val="auto"/>
          <w:sz w:val="24"/>
          <w:szCs w:val="24"/>
          <w:highlight w:val="none"/>
        </w:rPr>
        <w:t>类食品农药残留检测报告</w:t>
      </w:r>
      <w:r>
        <w:rPr>
          <w:rFonts w:hint="eastAsia" w:ascii="宋体" w:hAnsi="宋体" w:cs="宋体"/>
          <w:color w:val="auto"/>
          <w:sz w:val="24"/>
          <w:szCs w:val="24"/>
          <w:highlight w:val="none"/>
          <w:lang w:val="en-US" w:eastAsia="zh-CN"/>
        </w:rPr>
        <w:t>（仅适用于标项1）</w:t>
      </w:r>
      <w:r>
        <w:rPr>
          <w:rFonts w:hint="eastAsia" w:ascii="宋体" w:hAnsi="宋体" w:eastAsia="宋体" w:cs="Times New Roman"/>
          <w:bCs/>
          <w:color w:val="auto"/>
          <w:sz w:val="24"/>
          <w:szCs w:val="24"/>
          <w:highlight w:val="none"/>
        </w:rPr>
        <w:t>，由于货物质量问题或超过送货时间造成事故的</w:t>
      </w:r>
      <w:r>
        <w:rPr>
          <w:rFonts w:hint="eastAsia" w:ascii="宋体" w:hAnsi="宋体" w:eastAsia="宋体" w:cs="Times New Roman"/>
          <w:bCs/>
          <w:color w:val="auto"/>
          <w:sz w:val="24"/>
          <w:szCs w:val="24"/>
          <w:highlight w:val="none"/>
          <w:lang w:val="en-US" w:eastAsia="zh-CN"/>
        </w:rPr>
        <w:t>采购人</w:t>
      </w:r>
      <w:r>
        <w:rPr>
          <w:rFonts w:hint="eastAsia" w:ascii="宋体" w:hAnsi="宋体" w:eastAsia="宋体" w:cs="Times New Roman"/>
          <w:bCs/>
          <w:color w:val="auto"/>
          <w:sz w:val="24"/>
          <w:szCs w:val="24"/>
          <w:highlight w:val="none"/>
        </w:rPr>
        <w:t>有权退货并追究责任，如不能提供要求的货物须提前向</w:t>
      </w:r>
      <w:r>
        <w:rPr>
          <w:rFonts w:hint="eastAsia" w:ascii="宋体" w:hAnsi="宋体" w:eastAsia="宋体" w:cs="Times New Roman"/>
          <w:bCs/>
          <w:color w:val="auto"/>
          <w:sz w:val="24"/>
          <w:szCs w:val="24"/>
          <w:highlight w:val="none"/>
          <w:lang w:val="en-US" w:eastAsia="zh-CN"/>
        </w:rPr>
        <w:t>采购人</w:t>
      </w:r>
      <w:r>
        <w:rPr>
          <w:rFonts w:hint="eastAsia" w:ascii="宋体" w:hAnsi="宋体" w:eastAsia="宋体" w:cs="Times New Roman"/>
          <w:bCs/>
          <w:color w:val="auto"/>
          <w:sz w:val="24"/>
          <w:szCs w:val="24"/>
          <w:highlight w:val="none"/>
        </w:rPr>
        <w:t>通报。食品原料48小时留样备查。</w:t>
      </w:r>
    </w:p>
    <w:p w14:paraId="38B455C1">
      <w:pPr>
        <w:keepNext w:val="0"/>
        <w:keepLines w:val="0"/>
        <w:pageBreakBefore w:val="0"/>
        <w:widowControl/>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Times New Roman"/>
          <w:bCs/>
          <w:color w:val="auto"/>
          <w:sz w:val="24"/>
          <w:szCs w:val="24"/>
          <w:highlight w:val="none"/>
        </w:rPr>
      </w:pPr>
      <w:r>
        <w:rPr>
          <w:rFonts w:hint="eastAsia" w:ascii="宋体" w:hAnsi="宋体" w:eastAsia="宋体" w:cs="Times New Roman"/>
          <w:bCs/>
          <w:color w:val="auto"/>
          <w:sz w:val="24"/>
          <w:szCs w:val="24"/>
          <w:highlight w:val="none"/>
          <w:lang w:val="en-US" w:eastAsia="zh-CN"/>
        </w:rPr>
        <w:t>3.4</w:t>
      </w:r>
      <w:r>
        <w:rPr>
          <w:rFonts w:hint="eastAsia" w:ascii="宋体" w:hAnsi="宋体" w:eastAsia="宋体" w:cs="Times New Roman"/>
          <w:bCs/>
          <w:color w:val="auto"/>
          <w:sz w:val="24"/>
          <w:szCs w:val="24"/>
          <w:highlight w:val="none"/>
        </w:rPr>
        <w:t>供货服务提供保证的有关资料如货物来源证明（生产地、厂家销售授权证书）、物资储备条件、运输车辆、职工人数等。</w:t>
      </w:r>
    </w:p>
    <w:p w14:paraId="484F12EB">
      <w:pPr>
        <w:keepNext w:val="0"/>
        <w:keepLines w:val="0"/>
        <w:pageBreakBefore w:val="0"/>
        <w:widowControl/>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Times New Roman"/>
          <w:bCs/>
          <w:color w:val="auto"/>
          <w:sz w:val="24"/>
          <w:szCs w:val="24"/>
          <w:highlight w:val="none"/>
        </w:rPr>
      </w:pPr>
      <w:r>
        <w:rPr>
          <w:rFonts w:hint="eastAsia" w:ascii="宋体" w:hAnsi="宋体" w:eastAsia="宋体" w:cs="Times New Roman"/>
          <w:bCs/>
          <w:color w:val="auto"/>
          <w:sz w:val="24"/>
          <w:szCs w:val="24"/>
          <w:highlight w:val="none"/>
          <w:lang w:val="en-US" w:eastAsia="zh-CN"/>
        </w:rPr>
        <w:t>3.5</w:t>
      </w:r>
      <w:r>
        <w:rPr>
          <w:rFonts w:hint="eastAsia" w:ascii="宋体" w:hAnsi="宋体" w:eastAsia="宋体" w:cs="Times New Roman"/>
          <w:bCs/>
          <w:color w:val="auto"/>
          <w:sz w:val="24"/>
          <w:szCs w:val="24"/>
          <w:highlight w:val="none"/>
        </w:rPr>
        <w:t>供应商在签订</w:t>
      </w:r>
      <w:r>
        <w:rPr>
          <w:rFonts w:hint="eastAsia" w:ascii="宋体" w:hAnsi="宋体" w:eastAsia="宋体" w:cs="Times New Roman"/>
          <w:bCs/>
          <w:color w:val="auto"/>
          <w:sz w:val="24"/>
          <w:szCs w:val="24"/>
          <w:highlight w:val="none"/>
          <w:lang w:val="en-US" w:eastAsia="zh-CN"/>
        </w:rPr>
        <w:t>定点采购合同</w:t>
      </w:r>
      <w:r>
        <w:rPr>
          <w:rFonts w:hint="eastAsia" w:ascii="宋体" w:hAnsi="宋体" w:eastAsia="宋体" w:cs="Times New Roman"/>
          <w:bCs/>
          <w:color w:val="auto"/>
          <w:sz w:val="24"/>
          <w:szCs w:val="24"/>
          <w:highlight w:val="none"/>
        </w:rPr>
        <w:t>前须提供有效的“食品安全责任险”保单复印件供采购人备案。</w:t>
      </w:r>
    </w:p>
    <w:p w14:paraId="5E611DA8">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default" w:ascii="宋体" w:hAnsi="宋体" w:eastAsia="宋体" w:cs="Times New Roman"/>
          <w:bCs/>
          <w:color w:val="auto"/>
          <w:sz w:val="24"/>
          <w:szCs w:val="24"/>
          <w:highlight w:val="none"/>
          <w:lang w:val="en-US" w:eastAsia="zh-CN"/>
        </w:rPr>
      </w:pPr>
      <w:r>
        <w:rPr>
          <w:rFonts w:hint="eastAsia" w:ascii="宋体" w:hAnsi="宋体" w:eastAsia="宋体" w:cs="Times New Roman"/>
          <w:bCs/>
          <w:color w:val="auto"/>
          <w:sz w:val="24"/>
          <w:szCs w:val="24"/>
          <w:highlight w:val="none"/>
          <w:lang w:val="en-US" w:eastAsia="zh-CN"/>
        </w:rPr>
        <w:t>3.6</w:t>
      </w:r>
      <w:r>
        <w:rPr>
          <w:rFonts w:hint="eastAsia" w:ascii="宋体" w:hAnsi="宋体" w:eastAsia="宋体" w:cs="Times New Roman"/>
          <w:bCs/>
          <w:color w:val="auto"/>
          <w:sz w:val="24"/>
          <w:szCs w:val="24"/>
          <w:highlight w:val="none"/>
        </w:rPr>
        <w:t>禁止配送无市场实际零售商品或专供产品。</w:t>
      </w:r>
    </w:p>
    <w:p w14:paraId="4EF1998A">
      <w:pPr>
        <w:shd w:val="clear"/>
        <w:tabs>
          <w:tab w:val="left" w:pos="1470"/>
        </w:tabs>
        <w:adjustRightInd/>
        <w:spacing w:line="400" w:lineRule="exact"/>
        <w:rPr>
          <w:rFonts w:hint="eastAsia" w:ascii="宋体" w:hAnsi="宋体" w:eastAsia="宋体" w:cs="宋体"/>
          <w:bCs/>
          <w:color w:val="auto"/>
          <w:szCs w:val="21"/>
          <w:highlight w:val="none"/>
        </w:rPr>
      </w:pPr>
    </w:p>
    <w:p w14:paraId="2DD5F010">
      <w:pPr>
        <w:widowControl/>
        <w:shd w:val="clear"/>
        <w:adjustRightInd/>
        <w:spacing w:line="360" w:lineRule="auto"/>
        <w:jc w:val="left"/>
        <w:rPr>
          <w:rFonts w:hint="eastAsia" w:ascii="宋体" w:hAnsi="宋体" w:eastAsia="宋体" w:cs="宋体"/>
          <w:b/>
          <w:color w:val="auto"/>
          <w:kern w:val="0"/>
          <w:sz w:val="24"/>
          <w:szCs w:val="24"/>
          <w:highlight w:val="none"/>
          <w:lang w:val="en-US" w:eastAsia="zh-CN"/>
        </w:rPr>
      </w:pPr>
      <w:r>
        <w:rPr>
          <w:rFonts w:hint="eastAsia" w:ascii="宋体" w:hAnsi="宋体" w:eastAsia="宋体" w:cs="宋体"/>
          <w:b/>
          <w:color w:val="auto"/>
          <w:kern w:val="0"/>
          <w:sz w:val="24"/>
          <w:szCs w:val="24"/>
          <w:highlight w:val="none"/>
          <w:lang w:val="en-US" w:eastAsia="zh-CN"/>
        </w:rPr>
        <w:t>四、承包方式</w:t>
      </w:r>
    </w:p>
    <w:p w14:paraId="5315EFE4">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Times New Roman"/>
          <w:bCs/>
          <w:color w:val="auto"/>
          <w:sz w:val="24"/>
          <w:szCs w:val="24"/>
          <w:highlight w:val="none"/>
        </w:rPr>
      </w:pPr>
      <w:r>
        <w:rPr>
          <w:rFonts w:hint="eastAsia" w:ascii="宋体" w:hAnsi="宋体" w:eastAsia="宋体" w:cs="Times New Roman"/>
          <w:bCs/>
          <w:color w:val="auto"/>
          <w:sz w:val="24"/>
          <w:szCs w:val="24"/>
          <w:highlight w:val="none"/>
          <w:lang w:val="en-US" w:eastAsia="zh-CN"/>
        </w:rPr>
        <w:t>4.1</w:t>
      </w:r>
      <w:r>
        <w:rPr>
          <w:rFonts w:hint="eastAsia" w:ascii="宋体" w:hAnsi="宋体" w:eastAsia="宋体" w:cs="Times New Roman"/>
          <w:bCs/>
          <w:color w:val="auto"/>
          <w:sz w:val="24"/>
          <w:szCs w:val="24"/>
          <w:highlight w:val="none"/>
        </w:rPr>
        <w:t>包工包料、送货到指定地点。中标</w:t>
      </w:r>
      <w:r>
        <w:rPr>
          <w:rFonts w:hint="eastAsia" w:ascii="宋体" w:hAnsi="宋体" w:eastAsia="宋体" w:cs="Times New Roman"/>
          <w:bCs/>
          <w:color w:val="auto"/>
          <w:sz w:val="24"/>
          <w:szCs w:val="24"/>
          <w:highlight w:val="none"/>
          <w:lang w:eastAsia="zh-CN"/>
        </w:rPr>
        <w:t>人</w:t>
      </w:r>
      <w:r>
        <w:rPr>
          <w:rFonts w:hint="eastAsia" w:ascii="宋体" w:hAnsi="宋体" w:eastAsia="宋体" w:cs="Times New Roman"/>
          <w:bCs/>
          <w:color w:val="auto"/>
          <w:sz w:val="24"/>
          <w:szCs w:val="24"/>
          <w:highlight w:val="none"/>
        </w:rPr>
        <w:t>必须与采购人在规定时间内签订定点采购合同，进行履约供货服务。</w:t>
      </w:r>
    </w:p>
    <w:p w14:paraId="02B32B67">
      <w:pPr>
        <w:shd w:val="clear"/>
        <w:adjustRightInd/>
        <w:spacing w:line="400" w:lineRule="exact"/>
        <w:rPr>
          <w:rFonts w:hint="eastAsia" w:ascii="宋体" w:hAnsi="宋体" w:eastAsia="宋体" w:cs="宋体"/>
          <w:bCs/>
          <w:color w:val="auto"/>
          <w:sz w:val="24"/>
          <w:szCs w:val="24"/>
          <w:highlight w:val="none"/>
        </w:rPr>
      </w:pPr>
    </w:p>
    <w:p w14:paraId="644BB1AD">
      <w:pPr>
        <w:widowControl/>
        <w:shd w:val="clear"/>
        <w:adjustRightInd/>
        <w:spacing w:line="360" w:lineRule="auto"/>
        <w:jc w:val="left"/>
        <w:rPr>
          <w:rFonts w:hint="eastAsia" w:ascii="宋体" w:hAnsi="宋体" w:eastAsia="宋体" w:cs="宋体"/>
          <w:b/>
          <w:color w:val="auto"/>
          <w:kern w:val="0"/>
          <w:sz w:val="24"/>
          <w:szCs w:val="24"/>
          <w:highlight w:val="none"/>
          <w:lang w:val="en-US" w:eastAsia="zh-CN"/>
        </w:rPr>
      </w:pPr>
      <w:r>
        <w:rPr>
          <w:rFonts w:hint="eastAsia" w:ascii="宋体" w:hAnsi="宋体" w:eastAsia="宋体" w:cs="宋体"/>
          <w:b/>
          <w:color w:val="auto"/>
          <w:kern w:val="0"/>
          <w:sz w:val="24"/>
          <w:szCs w:val="24"/>
          <w:highlight w:val="none"/>
          <w:lang w:val="en-US" w:eastAsia="zh-CN"/>
        </w:rPr>
        <w:t>五、货款结算及调价方式</w:t>
      </w:r>
    </w:p>
    <w:p w14:paraId="71322139">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5.1产品价格的约定：</w:t>
      </w:r>
    </w:p>
    <w:p w14:paraId="04C2BCEC">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lang w:val="en-US" w:eastAsia="zh-CN"/>
        </w:rPr>
        <w:t>1</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rPr>
        <w:t>本次招标配送项目中所包含的食品原材料价格每</w:t>
      </w:r>
      <w:r>
        <w:rPr>
          <w:rFonts w:hint="eastAsia" w:ascii="宋体" w:hAnsi="宋体" w:eastAsia="宋体" w:cs="宋体"/>
          <w:bCs/>
          <w:color w:val="auto"/>
          <w:sz w:val="24"/>
          <w:szCs w:val="24"/>
          <w:highlight w:val="none"/>
          <w:lang w:val="en-US" w:eastAsia="zh-CN"/>
        </w:rPr>
        <w:t>月</w:t>
      </w:r>
      <w:r>
        <w:rPr>
          <w:rFonts w:hint="eastAsia" w:ascii="宋体" w:hAnsi="宋体" w:eastAsia="宋体" w:cs="宋体"/>
          <w:bCs/>
          <w:color w:val="auto"/>
          <w:sz w:val="24"/>
          <w:szCs w:val="24"/>
          <w:highlight w:val="none"/>
        </w:rPr>
        <w:t>确定一次，</w:t>
      </w:r>
      <w:r>
        <w:rPr>
          <w:rFonts w:hint="eastAsia" w:ascii="宋体" w:hAnsi="宋体" w:eastAsia="宋体" w:cs="宋体"/>
          <w:bCs/>
          <w:color w:val="auto"/>
          <w:sz w:val="24"/>
          <w:szCs w:val="24"/>
          <w:highlight w:val="none"/>
          <w:lang w:val="en-US" w:eastAsia="zh-CN"/>
        </w:rPr>
        <w:t>该月内的市场价格不论涨跌均按所确定的价格结算。</w:t>
      </w:r>
    </w:p>
    <w:p w14:paraId="0A10295F">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lang w:val="en-US" w:eastAsia="zh-CN"/>
        </w:rPr>
        <w:t>2</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rPr>
        <w:t>产品所报</w:t>
      </w:r>
      <w:r>
        <w:rPr>
          <w:rFonts w:hint="eastAsia" w:ascii="宋体" w:hAnsi="宋体" w:eastAsia="宋体" w:cs="宋体"/>
          <w:bCs/>
          <w:color w:val="auto"/>
          <w:sz w:val="24"/>
          <w:szCs w:val="24"/>
          <w:highlight w:val="none"/>
          <w:lang w:val="en-US" w:eastAsia="zh-CN"/>
        </w:rPr>
        <w:t>折扣系数</w:t>
      </w:r>
      <w:r>
        <w:rPr>
          <w:rFonts w:hint="eastAsia" w:ascii="宋体" w:hAnsi="宋体" w:eastAsia="宋体" w:cs="宋体"/>
          <w:bCs/>
          <w:color w:val="auto"/>
          <w:sz w:val="24"/>
          <w:szCs w:val="24"/>
          <w:highlight w:val="none"/>
        </w:rPr>
        <w:t>依据的基准价为：</w:t>
      </w:r>
    </w:p>
    <w:p w14:paraId="6AD7C783">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val="en-US" w:eastAsia="zh-CN"/>
        </w:rPr>
        <w:t>①</w:t>
      </w:r>
      <w:r>
        <w:rPr>
          <w:rFonts w:hint="eastAsia" w:ascii="宋体" w:hAnsi="宋体" w:eastAsia="宋体" w:cs="宋体"/>
          <w:bCs/>
          <w:color w:val="auto"/>
          <w:sz w:val="24"/>
          <w:szCs w:val="24"/>
          <w:highlight w:val="none"/>
        </w:rPr>
        <w:t>按照宁波市发展和改革委员会公布的</w:t>
      </w:r>
      <w:r>
        <w:rPr>
          <w:rFonts w:hint="eastAsia" w:ascii="宋体" w:hAnsi="宋体" w:eastAsia="宋体" w:cs="宋体"/>
          <w:bCs/>
          <w:color w:val="auto"/>
          <w:sz w:val="24"/>
          <w:szCs w:val="24"/>
          <w:highlight w:val="none"/>
          <w:lang w:val="en-US" w:eastAsia="zh-CN"/>
        </w:rPr>
        <w:t>最新一期</w:t>
      </w:r>
      <w:r>
        <w:rPr>
          <w:rFonts w:hint="eastAsia" w:ascii="宋体" w:hAnsi="宋体" w:eastAsia="宋体" w:cs="宋体"/>
          <w:bCs/>
          <w:color w:val="auto"/>
          <w:sz w:val="24"/>
          <w:szCs w:val="24"/>
          <w:highlight w:val="none"/>
        </w:rPr>
        <w:t>“菜篮子民生商品价格监测”（宁波市发展和改革委员会网站http://fgw.ningbo.gov.cn/：首页-专项-经济运行-菜篮子）的宁波菜市场平均价作为基准价。</w:t>
      </w:r>
    </w:p>
    <w:p w14:paraId="296F7132">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val="en-US" w:eastAsia="zh-CN"/>
        </w:rPr>
        <w:t>②</w:t>
      </w:r>
      <w:r>
        <w:rPr>
          <w:rFonts w:hint="eastAsia" w:ascii="宋体" w:hAnsi="宋体" w:eastAsia="宋体" w:cs="宋体"/>
          <w:bCs/>
          <w:color w:val="auto"/>
          <w:sz w:val="24"/>
          <w:szCs w:val="24"/>
          <w:highlight w:val="none"/>
        </w:rPr>
        <w:t>未在宁波市发展和改革委员会公布的</w:t>
      </w:r>
      <w:r>
        <w:rPr>
          <w:rFonts w:hint="eastAsia" w:ascii="宋体" w:hAnsi="宋体" w:eastAsia="宋体" w:cs="宋体"/>
          <w:bCs/>
          <w:color w:val="auto"/>
          <w:sz w:val="24"/>
          <w:szCs w:val="24"/>
          <w:highlight w:val="none"/>
          <w:lang w:val="en-US" w:eastAsia="zh-CN"/>
        </w:rPr>
        <w:t>最新一期</w:t>
      </w:r>
      <w:r>
        <w:rPr>
          <w:rFonts w:hint="eastAsia" w:ascii="宋体" w:hAnsi="宋体" w:eastAsia="宋体" w:cs="宋体"/>
          <w:bCs/>
          <w:color w:val="auto"/>
          <w:sz w:val="24"/>
          <w:szCs w:val="24"/>
          <w:highlight w:val="none"/>
        </w:rPr>
        <w:t>“菜篮子民生商品价格监测”中列明的，按照宁波市发展和改革委员会公布的</w:t>
      </w:r>
      <w:r>
        <w:rPr>
          <w:rFonts w:hint="eastAsia" w:ascii="宋体" w:hAnsi="宋体" w:eastAsia="宋体" w:cs="宋体"/>
          <w:bCs/>
          <w:color w:val="auto"/>
          <w:sz w:val="24"/>
          <w:szCs w:val="24"/>
          <w:highlight w:val="none"/>
          <w:lang w:val="en-US" w:eastAsia="zh-CN"/>
        </w:rPr>
        <w:t>最新一期</w:t>
      </w:r>
      <w:r>
        <w:rPr>
          <w:rFonts w:hint="eastAsia" w:ascii="宋体" w:hAnsi="宋体" w:eastAsia="宋体" w:cs="宋体"/>
          <w:bCs/>
          <w:color w:val="auto"/>
          <w:sz w:val="24"/>
          <w:szCs w:val="24"/>
          <w:highlight w:val="none"/>
        </w:rPr>
        <w:t>“超市民生商品价格监测”（宁波市发展和改革委员会网站http://fgw.ningbo.gov.cn/：首页-专项-经济运行-食品·日用品）的宁波超市平均价作为基准价。</w:t>
      </w:r>
    </w:p>
    <w:p w14:paraId="32559428">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eastAsia="zh-CN"/>
        </w:rPr>
        <w:t>③</w:t>
      </w:r>
      <w:r>
        <w:rPr>
          <w:rFonts w:hint="eastAsia" w:ascii="宋体" w:hAnsi="宋体" w:eastAsia="宋体" w:cs="宋体"/>
          <w:bCs/>
          <w:color w:val="auto"/>
          <w:sz w:val="24"/>
          <w:szCs w:val="24"/>
          <w:highlight w:val="none"/>
        </w:rPr>
        <w:t>未在上述</w:t>
      </w:r>
      <w:r>
        <w:rPr>
          <w:rFonts w:hint="eastAsia" w:ascii="宋体" w:hAnsi="宋体" w:eastAsia="宋体" w:cs="宋体"/>
          <w:bCs/>
          <w:color w:val="auto"/>
          <w:sz w:val="24"/>
          <w:szCs w:val="24"/>
          <w:highlight w:val="none"/>
          <w:lang w:val="en-US" w:eastAsia="zh-CN"/>
        </w:rPr>
        <w:t>①</w:t>
      </w:r>
      <w:r>
        <w:rPr>
          <w:rFonts w:hint="eastAsia" w:ascii="宋体" w:hAnsi="宋体" w:eastAsia="宋体" w:cs="宋体"/>
          <w:bCs/>
          <w:color w:val="auto"/>
          <w:sz w:val="24"/>
          <w:szCs w:val="24"/>
          <w:highlight w:val="none"/>
        </w:rPr>
        <w:t>和</w:t>
      </w:r>
      <w:r>
        <w:rPr>
          <w:rFonts w:hint="eastAsia" w:ascii="宋体" w:hAnsi="宋体" w:eastAsia="宋体" w:cs="宋体"/>
          <w:bCs/>
          <w:color w:val="auto"/>
          <w:sz w:val="24"/>
          <w:szCs w:val="24"/>
          <w:highlight w:val="none"/>
          <w:lang w:val="en-US" w:eastAsia="zh-CN"/>
        </w:rPr>
        <w:t>②</w:t>
      </w:r>
      <w:r>
        <w:rPr>
          <w:rFonts w:hint="eastAsia" w:ascii="宋体" w:hAnsi="宋体" w:eastAsia="宋体" w:cs="宋体"/>
          <w:bCs/>
          <w:color w:val="auto"/>
          <w:sz w:val="24"/>
          <w:szCs w:val="24"/>
          <w:highlight w:val="none"/>
        </w:rPr>
        <w:t>列明的，</w:t>
      </w:r>
      <w:r>
        <w:rPr>
          <w:rFonts w:hint="eastAsia" w:ascii="宋体" w:hAnsi="宋体" w:eastAsia="宋体" w:cs="宋体"/>
          <w:bCs/>
          <w:color w:val="auto"/>
          <w:sz w:val="24"/>
          <w:szCs w:val="24"/>
          <w:highlight w:val="none"/>
          <w:lang w:val="en-US" w:eastAsia="zh-CN"/>
        </w:rPr>
        <w:t>或中标人提出上述①和②列明的价格远偏离市场价的，</w:t>
      </w:r>
      <w:r>
        <w:rPr>
          <w:rFonts w:hint="eastAsia" w:ascii="宋体" w:hAnsi="宋体" w:eastAsia="宋体" w:cs="宋体"/>
          <w:bCs/>
          <w:color w:val="auto"/>
          <w:sz w:val="24"/>
          <w:szCs w:val="24"/>
          <w:highlight w:val="none"/>
        </w:rPr>
        <w:t>由采购人相关部门及中标人成立采价组，对食堂食品原材料的价格进行采集后确定基准价。基准价确定方法：以</w:t>
      </w:r>
      <w:r>
        <w:rPr>
          <w:rFonts w:hint="eastAsia" w:ascii="宋体" w:hAnsi="宋体" w:eastAsia="宋体" w:cs="宋体"/>
          <w:bCs/>
          <w:color w:val="auto"/>
          <w:sz w:val="24"/>
          <w:szCs w:val="24"/>
          <w:highlight w:val="none"/>
          <w:lang w:val="en-US" w:eastAsia="zh-CN"/>
        </w:rPr>
        <w:t>海曙区三家以上中大型超市或市场</w:t>
      </w:r>
      <w:r>
        <w:rPr>
          <w:rFonts w:hint="eastAsia" w:ascii="宋体" w:hAnsi="宋体" w:eastAsia="宋体" w:cs="宋体"/>
          <w:bCs/>
          <w:color w:val="auto"/>
          <w:sz w:val="24"/>
          <w:szCs w:val="24"/>
          <w:highlight w:val="none"/>
        </w:rPr>
        <w:t>的平均零售价为准，如上述</w:t>
      </w:r>
      <w:r>
        <w:rPr>
          <w:rFonts w:hint="eastAsia" w:ascii="宋体" w:hAnsi="宋体" w:eastAsia="宋体" w:cs="宋体"/>
          <w:bCs/>
          <w:color w:val="auto"/>
          <w:sz w:val="24"/>
          <w:szCs w:val="24"/>
          <w:highlight w:val="none"/>
          <w:lang w:val="en-US" w:eastAsia="zh-CN"/>
        </w:rPr>
        <w:t>超市或市场</w:t>
      </w:r>
      <w:r>
        <w:rPr>
          <w:rFonts w:hint="eastAsia" w:ascii="宋体" w:hAnsi="宋体" w:eastAsia="宋体" w:cs="宋体"/>
          <w:bCs/>
          <w:color w:val="auto"/>
          <w:sz w:val="24"/>
          <w:szCs w:val="24"/>
          <w:highlight w:val="none"/>
        </w:rPr>
        <w:t>没有此种商品，则调查市场扩大为大市范围内。</w:t>
      </w:r>
    </w:p>
    <w:p w14:paraId="5856936C">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（3）各类食品合同结算价：合同结算价=基准价×合同折扣系数，其中合同折扣系数为：中标人该类别食品原材料的合同折扣系数。</w:t>
      </w:r>
    </w:p>
    <w:p w14:paraId="208C7428">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5.2货款结算方式：</w:t>
      </w:r>
    </w:p>
    <w:p w14:paraId="0164547F">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（1）货款结算方式：中标人每月同采购人</w:t>
      </w:r>
      <w:r>
        <w:rPr>
          <w:rFonts w:hint="eastAsia" w:ascii="宋体" w:hAnsi="宋体" w:cs="宋体"/>
          <w:bCs/>
          <w:color w:val="auto"/>
          <w:sz w:val="24"/>
          <w:szCs w:val="24"/>
          <w:highlight w:val="none"/>
          <w:lang w:eastAsia="zh-CN"/>
        </w:rPr>
        <w:t>（</w:t>
      </w:r>
      <w:r>
        <w:rPr>
          <w:rFonts w:hint="eastAsia" w:ascii="宋体" w:hAnsi="宋体" w:cs="宋体"/>
          <w:bCs/>
          <w:color w:val="auto"/>
          <w:sz w:val="24"/>
          <w:szCs w:val="24"/>
          <w:highlight w:val="none"/>
          <w:lang w:val="en-US" w:eastAsia="zh-CN"/>
        </w:rPr>
        <w:t>或鼓楼街道办事处</w:t>
      </w:r>
      <w:r>
        <w:rPr>
          <w:rFonts w:hint="eastAsia" w:ascii="宋体" w:hAnsi="宋体" w:cs="宋体"/>
          <w:bCs/>
          <w:color w:val="auto"/>
          <w:sz w:val="24"/>
          <w:szCs w:val="24"/>
          <w:highlight w:val="none"/>
          <w:lang w:eastAsia="zh-CN"/>
        </w:rPr>
        <w:t>）</w:t>
      </w:r>
      <w:r>
        <w:rPr>
          <w:rFonts w:hint="eastAsia" w:ascii="宋体" w:hAnsi="宋体" w:eastAsia="宋体" w:cs="宋体"/>
          <w:bCs/>
          <w:color w:val="auto"/>
          <w:sz w:val="24"/>
          <w:szCs w:val="24"/>
          <w:highlight w:val="none"/>
        </w:rPr>
        <w:t>食堂结算货款一次，结算时中标人</w:t>
      </w:r>
      <w:r>
        <w:rPr>
          <w:rFonts w:hint="eastAsia" w:ascii="宋体" w:hAnsi="宋体" w:cs="宋体"/>
          <w:bCs/>
          <w:color w:val="auto"/>
          <w:sz w:val="24"/>
          <w:szCs w:val="24"/>
          <w:highlight w:val="none"/>
          <w:lang w:val="en-US" w:eastAsia="zh-CN"/>
        </w:rPr>
        <w:t>须</w:t>
      </w:r>
      <w:r>
        <w:rPr>
          <w:rFonts w:hint="eastAsia" w:ascii="宋体" w:hAnsi="宋体" w:eastAsia="宋体" w:cs="宋体"/>
          <w:bCs/>
          <w:color w:val="auto"/>
          <w:sz w:val="24"/>
          <w:szCs w:val="24"/>
          <w:highlight w:val="none"/>
          <w:lang w:val="en-US" w:eastAsia="zh-CN"/>
        </w:rPr>
        <w:t>如实开具增值税发票</w:t>
      </w:r>
      <w:r>
        <w:rPr>
          <w:rFonts w:hint="eastAsia" w:ascii="宋体" w:hAnsi="宋体" w:eastAsia="宋体" w:cs="宋体"/>
          <w:bCs/>
          <w:color w:val="auto"/>
          <w:sz w:val="24"/>
          <w:szCs w:val="24"/>
          <w:highlight w:val="none"/>
        </w:rPr>
        <w:t>并提供汇总供货清单交食堂管理员，采购人</w:t>
      </w:r>
      <w:r>
        <w:rPr>
          <w:rFonts w:hint="eastAsia" w:ascii="宋体" w:hAnsi="宋体" w:cs="宋体"/>
          <w:bCs/>
          <w:color w:val="auto"/>
          <w:sz w:val="24"/>
          <w:szCs w:val="24"/>
          <w:highlight w:val="none"/>
          <w:lang w:eastAsia="zh-CN"/>
        </w:rPr>
        <w:t>（</w:t>
      </w:r>
      <w:r>
        <w:rPr>
          <w:rFonts w:hint="eastAsia" w:ascii="宋体" w:hAnsi="宋体" w:cs="宋体"/>
          <w:bCs/>
          <w:color w:val="auto"/>
          <w:sz w:val="24"/>
          <w:szCs w:val="24"/>
          <w:highlight w:val="none"/>
          <w:lang w:val="en-US" w:eastAsia="zh-CN"/>
        </w:rPr>
        <w:t>或鼓楼街道办事处</w:t>
      </w:r>
      <w:r>
        <w:rPr>
          <w:rFonts w:hint="eastAsia" w:ascii="宋体" w:hAnsi="宋体" w:cs="宋体"/>
          <w:bCs/>
          <w:color w:val="auto"/>
          <w:sz w:val="24"/>
          <w:szCs w:val="24"/>
          <w:highlight w:val="none"/>
          <w:lang w:eastAsia="zh-CN"/>
        </w:rPr>
        <w:t>）</w:t>
      </w:r>
      <w:r>
        <w:rPr>
          <w:rFonts w:hint="eastAsia" w:ascii="宋体" w:hAnsi="宋体" w:eastAsia="宋体" w:cs="宋体"/>
          <w:bCs/>
          <w:color w:val="auto"/>
          <w:sz w:val="24"/>
          <w:szCs w:val="24"/>
          <w:highlight w:val="none"/>
        </w:rPr>
        <w:t>审核后付款。</w:t>
      </w:r>
    </w:p>
    <w:p w14:paraId="25B7232B">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货款结算总金额=各类食品的【（基准价×数量）×合同折扣系数】的总和。</w:t>
      </w:r>
    </w:p>
    <w:p w14:paraId="2E728245">
      <w:pPr>
        <w:widowControl w:val="0"/>
        <w:shd w:val="clear"/>
        <w:spacing w:after="120" w:afterLines="0"/>
        <w:jc w:val="both"/>
        <w:rPr>
          <w:rFonts w:hint="eastAsia" w:ascii="Tahoma" w:hAnsi="Tahoma" w:eastAsia="宋体" w:cs="Times New Roman"/>
          <w:color w:val="auto"/>
          <w:kern w:val="2"/>
          <w:sz w:val="24"/>
          <w:szCs w:val="24"/>
          <w:highlight w:val="none"/>
          <w:lang w:val="en-US" w:eastAsia="zh-CN" w:bidi="ar-SA"/>
        </w:rPr>
      </w:pPr>
    </w:p>
    <w:p w14:paraId="03ADF756">
      <w:pPr>
        <w:widowControl/>
        <w:shd w:val="clear"/>
        <w:adjustRightInd/>
        <w:spacing w:line="360" w:lineRule="auto"/>
        <w:jc w:val="left"/>
        <w:rPr>
          <w:rFonts w:hint="eastAsia" w:ascii="宋体" w:hAnsi="宋体" w:eastAsia="宋体" w:cs="宋体"/>
          <w:b/>
          <w:color w:val="auto"/>
          <w:kern w:val="0"/>
          <w:sz w:val="24"/>
          <w:szCs w:val="24"/>
          <w:highlight w:val="none"/>
          <w:lang w:val="en-US" w:eastAsia="zh-CN"/>
        </w:rPr>
      </w:pPr>
      <w:r>
        <w:rPr>
          <w:rFonts w:hint="eastAsia" w:ascii="宋体" w:hAnsi="宋体" w:eastAsia="宋体" w:cs="宋体"/>
          <w:b/>
          <w:color w:val="auto"/>
          <w:kern w:val="0"/>
          <w:sz w:val="24"/>
          <w:szCs w:val="24"/>
          <w:highlight w:val="none"/>
          <w:lang w:val="en-US" w:eastAsia="zh-CN"/>
        </w:rPr>
        <w:t>六、履约保证</w:t>
      </w:r>
    </w:p>
    <w:p w14:paraId="53DEF008">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val="en-US" w:eastAsia="zh-CN"/>
        </w:rPr>
        <w:t>6.1中标人需</w:t>
      </w:r>
      <w:r>
        <w:rPr>
          <w:rFonts w:hint="eastAsia" w:ascii="宋体" w:hAnsi="宋体" w:eastAsia="宋体" w:cs="宋体"/>
          <w:bCs/>
          <w:color w:val="auto"/>
          <w:sz w:val="24"/>
          <w:szCs w:val="24"/>
          <w:highlight w:val="none"/>
          <w:lang w:eastAsia="zh-CN"/>
        </w:rPr>
        <w:t>在</w:t>
      </w:r>
      <w:r>
        <w:rPr>
          <w:rFonts w:hint="eastAsia" w:ascii="宋体" w:hAnsi="宋体" w:eastAsia="宋体" w:cs="宋体"/>
          <w:bCs/>
          <w:color w:val="auto"/>
          <w:sz w:val="24"/>
          <w:szCs w:val="24"/>
          <w:highlight w:val="none"/>
        </w:rPr>
        <w:t>配送商品</w:t>
      </w:r>
      <w:r>
        <w:rPr>
          <w:rFonts w:hint="eastAsia" w:ascii="宋体" w:hAnsi="宋体" w:eastAsia="宋体" w:cs="宋体"/>
          <w:bCs/>
          <w:color w:val="auto"/>
          <w:sz w:val="24"/>
          <w:szCs w:val="24"/>
          <w:highlight w:val="none"/>
          <w:lang w:val="en-US" w:eastAsia="zh-CN"/>
        </w:rPr>
        <w:t>时，提供商品的</w:t>
      </w:r>
      <w:r>
        <w:rPr>
          <w:rFonts w:hint="eastAsia" w:ascii="宋体" w:hAnsi="宋体" w:eastAsia="宋体" w:cs="宋体"/>
          <w:bCs/>
          <w:color w:val="auto"/>
          <w:sz w:val="24"/>
          <w:szCs w:val="24"/>
          <w:highlight w:val="none"/>
        </w:rPr>
        <w:t>检测报告或产品合格证。</w:t>
      </w:r>
    </w:p>
    <w:p w14:paraId="63EF2D0C">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val="en-US" w:eastAsia="zh-CN"/>
        </w:rPr>
        <w:t>6.2中标人需</w:t>
      </w:r>
      <w:r>
        <w:rPr>
          <w:rFonts w:hint="eastAsia" w:ascii="宋体" w:hAnsi="宋体" w:eastAsia="宋体" w:cs="宋体"/>
          <w:bCs/>
          <w:color w:val="auto"/>
          <w:sz w:val="24"/>
          <w:szCs w:val="24"/>
          <w:highlight w:val="none"/>
        </w:rPr>
        <w:t>严格遵守《</w:t>
      </w:r>
      <w:r>
        <w:rPr>
          <w:rFonts w:hint="eastAsia" w:ascii="宋体" w:hAnsi="宋体" w:eastAsia="宋体" w:cs="宋体"/>
          <w:bCs/>
          <w:color w:val="auto"/>
          <w:sz w:val="24"/>
          <w:szCs w:val="24"/>
          <w:highlight w:val="none"/>
          <w:lang w:val="en-US" w:eastAsia="zh-CN"/>
        </w:rPr>
        <w:t>中华人民共和国食品安全法</w:t>
      </w:r>
      <w:r>
        <w:rPr>
          <w:rFonts w:hint="eastAsia" w:ascii="宋体" w:hAnsi="宋体" w:eastAsia="宋体" w:cs="宋体"/>
          <w:bCs/>
          <w:color w:val="auto"/>
          <w:sz w:val="24"/>
          <w:szCs w:val="24"/>
          <w:highlight w:val="none"/>
        </w:rPr>
        <w:t>》和《中华人民共和国动物防疫法》等相关规定，如发现供应以下食品，除全部退货外，将取消</w:t>
      </w:r>
      <w:r>
        <w:rPr>
          <w:rFonts w:hint="eastAsia" w:ascii="宋体" w:hAnsi="宋体" w:eastAsia="宋体" w:cs="宋体"/>
          <w:bCs/>
          <w:color w:val="auto"/>
          <w:sz w:val="24"/>
          <w:szCs w:val="24"/>
          <w:highlight w:val="none"/>
          <w:lang w:val="en-US" w:eastAsia="zh-CN"/>
        </w:rPr>
        <w:t>中标人</w:t>
      </w:r>
      <w:r>
        <w:rPr>
          <w:rFonts w:hint="eastAsia" w:ascii="宋体" w:hAnsi="宋体" w:eastAsia="宋体" w:cs="宋体"/>
          <w:bCs/>
          <w:color w:val="auto"/>
          <w:sz w:val="24"/>
          <w:szCs w:val="24"/>
          <w:highlight w:val="none"/>
        </w:rPr>
        <w:t>的供货资格，将</w:t>
      </w:r>
      <w:r>
        <w:rPr>
          <w:rFonts w:hint="eastAsia" w:ascii="宋体" w:hAnsi="宋体" w:eastAsia="宋体" w:cs="宋体"/>
          <w:bCs/>
          <w:color w:val="auto"/>
          <w:sz w:val="24"/>
          <w:szCs w:val="24"/>
          <w:highlight w:val="none"/>
          <w:lang w:eastAsia="zh-CN"/>
        </w:rPr>
        <w:t>扣除</w:t>
      </w:r>
      <w:r>
        <w:rPr>
          <w:rFonts w:hint="eastAsia" w:ascii="宋体" w:hAnsi="宋体" w:eastAsia="宋体" w:cs="宋体"/>
          <w:bCs/>
          <w:color w:val="auto"/>
          <w:sz w:val="24"/>
          <w:szCs w:val="24"/>
          <w:highlight w:val="none"/>
        </w:rPr>
        <w:t>全部履约保证金，并承担由此造成的经济责任和法律责任：</w:t>
      </w:r>
    </w:p>
    <w:p w14:paraId="2EF698E7">
      <w:pPr>
        <w:keepNext w:val="0"/>
        <w:keepLines w:val="0"/>
        <w:pageBreakBefore w:val="0"/>
        <w:widowControl/>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（1）腐败变质、油脂酸败、霉变、生虫、污秽不洁、混有异物或者其他感官性状异常，对人体健康有害的；</w:t>
      </w:r>
    </w:p>
    <w:p w14:paraId="09738FE8">
      <w:pPr>
        <w:keepNext w:val="0"/>
        <w:keepLines w:val="0"/>
        <w:pageBreakBefore w:val="0"/>
        <w:widowControl/>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（2）含有毒、有害物质或者被有害物质污染，对人体健康有害的；</w:t>
      </w:r>
    </w:p>
    <w:p w14:paraId="14E140D3">
      <w:pPr>
        <w:keepNext w:val="0"/>
        <w:keepLines w:val="0"/>
        <w:pageBreakBefore w:val="0"/>
        <w:widowControl/>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（3）含有致病性寄生虫、微生物或者微生物含量超过国家限定标准的；</w:t>
      </w:r>
    </w:p>
    <w:p w14:paraId="18BDA30F">
      <w:pPr>
        <w:keepNext w:val="0"/>
        <w:keepLines w:val="0"/>
        <w:pageBreakBefore w:val="0"/>
        <w:widowControl/>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（4）掺假、掺杂、伪造，影响营养、卫生的；</w:t>
      </w:r>
    </w:p>
    <w:p w14:paraId="28D1A711">
      <w:pPr>
        <w:keepNext w:val="0"/>
        <w:keepLines w:val="0"/>
        <w:pageBreakBefore w:val="0"/>
        <w:widowControl/>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w:t>
      </w:r>
      <w:r>
        <w:rPr>
          <w:rFonts w:hint="eastAsia" w:ascii="宋体" w:hAnsi="宋体" w:cs="宋体"/>
          <w:bCs/>
          <w:color w:val="auto"/>
          <w:sz w:val="24"/>
          <w:szCs w:val="24"/>
          <w:highlight w:val="none"/>
          <w:lang w:val="en-US" w:eastAsia="zh-CN"/>
        </w:rPr>
        <w:t>5</w:t>
      </w:r>
      <w:r>
        <w:rPr>
          <w:rFonts w:hint="eastAsia" w:ascii="宋体" w:hAnsi="宋体" w:eastAsia="宋体" w:cs="宋体"/>
          <w:bCs/>
          <w:color w:val="auto"/>
          <w:sz w:val="24"/>
          <w:szCs w:val="24"/>
          <w:highlight w:val="none"/>
        </w:rPr>
        <w:t>）用非食品原料加工的，加入非食品用化学物质或者将非食品当作食品的；</w:t>
      </w:r>
    </w:p>
    <w:p w14:paraId="4C635DD3">
      <w:pPr>
        <w:keepNext w:val="0"/>
        <w:keepLines w:val="0"/>
        <w:pageBreakBefore w:val="0"/>
        <w:widowControl/>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w:t>
      </w:r>
      <w:r>
        <w:rPr>
          <w:rFonts w:hint="eastAsia" w:ascii="宋体" w:hAnsi="宋体" w:cs="宋体"/>
          <w:bCs/>
          <w:color w:val="auto"/>
          <w:sz w:val="24"/>
          <w:szCs w:val="24"/>
          <w:highlight w:val="none"/>
          <w:lang w:val="en-US" w:eastAsia="zh-CN"/>
        </w:rPr>
        <w:t>6</w:t>
      </w:r>
      <w:r>
        <w:rPr>
          <w:rFonts w:hint="eastAsia" w:ascii="宋体" w:hAnsi="宋体" w:eastAsia="宋体" w:cs="宋体"/>
          <w:bCs/>
          <w:color w:val="auto"/>
          <w:sz w:val="24"/>
          <w:szCs w:val="24"/>
          <w:highlight w:val="none"/>
        </w:rPr>
        <w:t>）超过保质期限的。</w:t>
      </w:r>
    </w:p>
    <w:p w14:paraId="43A07280">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val="en-US" w:eastAsia="zh-CN"/>
        </w:rPr>
        <w:t>6.3采购人</w:t>
      </w:r>
      <w:r>
        <w:rPr>
          <w:rFonts w:hint="eastAsia" w:ascii="宋体" w:hAnsi="宋体" w:eastAsia="宋体" w:cs="宋体"/>
          <w:bCs/>
          <w:color w:val="auto"/>
          <w:sz w:val="24"/>
          <w:szCs w:val="24"/>
          <w:highlight w:val="none"/>
        </w:rPr>
        <w:t>与</w:t>
      </w:r>
      <w:r>
        <w:rPr>
          <w:rFonts w:hint="eastAsia" w:ascii="宋体" w:hAnsi="宋体" w:eastAsia="宋体" w:cs="宋体"/>
          <w:bCs/>
          <w:color w:val="auto"/>
          <w:sz w:val="24"/>
          <w:szCs w:val="24"/>
          <w:highlight w:val="none"/>
          <w:lang w:val="en-US" w:eastAsia="zh-CN"/>
        </w:rPr>
        <w:t>中标人</w:t>
      </w:r>
      <w:r>
        <w:rPr>
          <w:rFonts w:hint="eastAsia" w:ascii="宋体" w:hAnsi="宋体" w:eastAsia="宋体" w:cs="宋体"/>
          <w:bCs/>
          <w:color w:val="auto"/>
          <w:sz w:val="24"/>
          <w:szCs w:val="24"/>
          <w:highlight w:val="none"/>
        </w:rPr>
        <w:t>在投标及履行</w:t>
      </w:r>
      <w:r>
        <w:rPr>
          <w:rFonts w:hint="eastAsia" w:ascii="宋体" w:hAnsi="宋体" w:eastAsia="宋体" w:cs="宋体"/>
          <w:bCs/>
          <w:color w:val="auto"/>
          <w:sz w:val="24"/>
          <w:szCs w:val="24"/>
          <w:highlight w:val="none"/>
          <w:lang w:val="en-US" w:eastAsia="zh-CN"/>
        </w:rPr>
        <w:t>协议</w:t>
      </w:r>
      <w:r>
        <w:rPr>
          <w:rFonts w:hint="eastAsia" w:ascii="宋体" w:hAnsi="宋体" w:eastAsia="宋体" w:cs="宋体"/>
          <w:bCs/>
          <w:color w:val="auto"/>
          <w:sz w:val="24"/>
          <w:szCs w:val="24"/>
          <w:highlight w:val="none"/>
        </w:rPr>
        <w:t>过程中，必须遵守《中华人民共和国反不正当竞争法</w:t>
      </w:r>
      <w:r>
        <w:rPr>
          <w:rFonts w:hint="eastAsia" w:ascii="宋体" w:hAnsi="宋体" w:cs="宋体"/>
          <w:bCs/>
          <w:color w:val="auto"/>
          <w:sz w:val="24"/>
          <w:szCs w:val="24"/>
          <w:highlight w:val="none"/>
          <w:lang w:eastAsia="zh-CN"/>
        </w:rPr>
        <w:t>》《</w:t>
      </w:r>
      <w:r>
        <w:rPr>
          <w:rFonts w:hint="eastAsia" w:ascii="宋体" w:hAnsi="宋体" w:eastAsia="宋体" w:cs="宋体"/>
          <w:bCs/>
          <w:color w:val="auto"/>
          <w:sz w:val="24"/>
          <w:szCs w:val="24"/>
          <w:highlight w:val="none"/>
        </w:rPr>
        <w:t>中华人民共和国消费者权益保护法</w:t>
      </w:r>
      <w:r>
        <w:rPr>
          <w:rFonts w:hint="eastAsia" w:ascii="宋体" w:hAnsi="宋体" w:cs="宋体"/>
          <w:bCs/>
          <w:color w:val="auto"/>
          <w:sz w:val="24"/>
          <w:szCs w:val="24"/>
          <w:highlight w:val="none"/>
          <w:lang w:eastAsia="zh-CN"/>
        </w:rPr>
        <w:t>》《</w:t>
      </w:r>
      <w:r>
        <w:rPr>
          <w:rFonts w:hint="eastAsia" w:ascii="宋体" w:hAnsi="宋体" w:eastAsia="宋体" w:cs="宋体"/>
          <w:bCs/>
          <w:color w:val="auto"/>
          <w:sz w:val="24"/>
          <w:szCs w:val="24"/>
          <w:highlight w:val="none"/>
        </w:rPr>
        <w:t>中华人民共和国</w:t>
      </w:r>
      <w:r>
        <w:rPr>
          <w:rFonts w:hint="eastAsia" w:ascii="宋体" w:hAnsi="宋体" w:eastAsia="宋体" w:cs="宋体"/>
          <w:bCs/>
          <w:color w:val="auto"/>
          <w:sz w:val="24"/>
          <w:szCs w:val="24"/>
          <w:highlight w:val="none"/>
          <w:lang w:eastAsia="zh-CN"/>
        </w:rPr>
        <w:t>民法典</w:t>
      </w:r>
      <w:r>
        <w:rPr>
          <w:rFonts w:hint="eastAsia" w:ascii="宋体" w:hAnsi="宋体" w:eastAsia="宋体" w:cs="宋体"/>
          <w:bCs/>
          <w:color w:val="auto"/>
          <w:sz w:val="24"/>
          <w:szCs w:val="24"/>
          <w:highlight w:val="none"/>
        </w:rPr>
        <w:t>》及相关的国家</w:t>
      </w:r>
      <w:r>
        <w:rPr>
          <w:rFonts w:hint="eastAsia" w:ascii="宋体" w:hAnsi="宋体" w:cs="宋体"/>
          <w:bCs/>
          <w:color w:val="auto"/>
          <w:sz w:val="24"/>
          <w:szCs w:val="24"/>
          <w:highlight w:val="none"/>
          <w:lang w:eastAsia="zh-CN"/>
        </w:rPr>
        <w:t>法律法规</w:t>
      </w:r>
      <w:r>
        <w:rPr>
          <w:rFonts w:hint="eastAsia" w:ascii="宋体" w:hAnsi="宋体" w:eastAsia="宋体" w:cs="宋体"/>
          <w:bCs/>
          <w:color w:val="auto"/>
          <w:sz w:val="24"/>
          <w:szCs w:val="24"/>
          <w:highlight w:val="none"/>
        </w:rPr>
        <w:t>，如有违法行为，按法律法规相关规定予以处罚。</w:t>
      </w:r>
    </w:p>
    <w:p w14:paraId="16890D4F">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val="en-US" w:eastAsia="zh-CN"/>
        </w:rPr>
        <w:t>6.4中标人</w:t>
      </w:r>
      <w:r>
        <w:rPr>
          <w:rFonts w:hint="eastAsia" w:ascii="宋体" w:hAnsi="宋体" w:eastAsia="宋体" w:cs="宋体"/>
          <w:bCs/>
          <w:color w:val="auto"/>
          <w:sz w:val="24"/>
          <w:szCs w:val="24"/>
          <w:highlight w:val="none"/>
        </w:rPr>
        <w:t>须随时无条件接受</w:t>
      </w:r>
      <w:r>
        <w:rPr>
          <w:rFonts w:hint="eastAsia" w:ascii="宋体" w:hAnsi="宋体" w:eastAsia="宋体" w:cs="宋体"/>
          <w:bCs/>
          <w:color w:val="auto"/>
          <w:sz w:val="24"/>
          <w:szCs w:val="24"/>
          <w:highlight w:val="none"/>
          <w:lang w:val="en-US" w:eastAsia="zh-CN"/>
        </w:rPr>
        <w:t>海曙区</w:t>
      </w:r>
      <w:r>
        <w:rPr>
          <w:rFonts w:hint="eastAsia" w:ascii="宋体" w:hAnsi="宋体" w:eastAsia="宋体" w:cs="宋体"/>
          <w:bCs/>
          <w:color w:val="auto"/>
          <w:sz w:val="24"/>
          <w:szCs w:val="24"/>
          <w:highlight w:val="none"/>
        </w:rPr>
        <w:t>有关监督部门对定点供货产品质量的抽查和检查。如违反承诺自愿接受处罚；情节严重的，将由</w:t>
      </w:r>
      <w:r>
        <w:rPr>
          <w:rFonts w:hint="eastAsia" w:ascii="宋体" w:hAnsi="宋体" w:eastAsia="宋体" w:cs="宋体"/>
          <w:bCs/>
          <w:color w:val="auto"/>
          <w:sz w:val="24"/>
          <w:szCs w:val="24"/>
          <w:highlight w:val="none"/>
          <w:lang w:val="en-US" w:eastAsia="zh-CN"/>
        </w:rPr>
        <w:t>采购人</w:t>
      </w:r>
      <w:r>
        <w:rPr>
          <w:rFonts w:hint="eastAsia" w:ascii="宋体" w:hAnsi="宋体" w:eastAsia="宋体" w:cs="宋体"/>
          <w:bCs/>
          <w:color w:val="auto"/>
          <w:sz w:val="24"/>
          <w:szCs w:val="24"/>
          <w:highlight w:val="none"/>
          <w:lang w:eastAsia="zh-CN"/>
        </w:rPr>
        <w:t>扣除</w:t>
      </w:r>
      <w:r>
        <w:rPr>
          <w:rFonts w:hint="eastAsia" w:ascii="宋体" w:hAnsi="宋体" w:eastAsia="宋体" w:cs="宋体"/>
          <w:bCs/>
          <w:color w:val="auto"/>
          <w:sz w:val="24"/>
          <w:szCs w:val="24"/>
          <w:highlight w:val="none"/>
        </w:rPr>
        <w:t>履约保证金并取消</w:t>
      </w:r>
      <w:r>
        <w:rPr>
          <w:rFonts w:hint="eastAsia" w:ascii="宋体" w:hAnsi="宋体" w:eastAsia="宋体" w:cs="宋体"/>
          <w:bCs/>
          <w:color w:val="auto"/>
          <w:sz w:val="24"/>
          <w:szCs w:val="24"/>
          <w:highlight w:val="none"/>
          <w:lang w:val="en-US" w:eastAsia="zh-CN"/>
        </w:rPr>
        <w:t>中标</w:t>
      </w:r>
      <w:r>
        <w:rPr>
          <w:rFonts w:hint="eastAsia" w:ascii="宋体" w:hAnsi="宋体" w:eastAsia="宋体" w:cs="宋体"/>
          <w:bCs/>
          <w:color w:val="auto"/>
          <w:sz w:val="24"/>
          <w:szCs w:val="24"/>
          <w:highlight w:val="none"/>
        </w:rPr>
        <w:t>资格。</w:t>
      </w:r>
    </w:p>
    <w:p w14:paraId="749B7353">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val="en-US" w:eastAsia="zh-CN"/>
        </w:rPr>
        <w:t>6.5</w:t>
      </w:r>
      <w:r>
        <w:rPr>
          <w:rFonts w:hint="eastAsia" w:ascii="宋体" w:hAnsi="宋体" w:eastAsia="宋体" w:cs="宋体"/>
          <w:bCs/>
          <w:color w:val="auto"/>
          <w:sz w:val="24"/>
          <w:szCs w:val="24"/>
          <w:highlight w:val="none"/>
        </w:rPr>
        <w:t>在</w:t>
      </w:r>
      <w:r>
        <w:rPr>
          <w:rFonts w:hint="eastAsia" w:ascii="宋体" w:hAnsi="宋体" w:eastAsia="宋体" w:cs="宋体"/>
          <w:bCs/>
          <w:color w:val="auto"/>
          <w:sz w:val="24"/>
          <w:szCs w:val="24"/>
          <w:highlight w:val="none"/>
          <w:lang w:val="en-US" w:eastAsia="zh-CN"/>
        </w:rPr>
        <w:t>协议</w:t>
      </w:r>
      <w:r>
        <w:rPr>
          <w:rFonts w:hint="eastAsia" w:ascii="宋体" w:hAnsi="宋体" w:eastAsia="宋体" w:cs="宋体"/>
          <w:bCs/>
          <w:color w:val="auto"/>
          <w:sz w:val="24"/>
          <w:szCs w:val="24"/>
          <w:highlight w:val="none"/>
        </w:rPr>
        <w:t>履行过程中，如</w:t>
      </w:r>
      <w:r>
        <w:rPr>
          <w:rFonts w:hint="eastAsia" w:ascii="宋体" w:hAnsi="宋体" w:eastAsia="宋体" w:cs="宋体"/>
          <w:bCs/>
          <w:color w:val="auto"/>
          <w:sz w:val="24"/>
          <w:szCs w:val="24"/>
          <w:highlight w:val="none"/>
          <w:lang w:val="en-US" w:eastAsia="zh-CN"/>
        </w:rPr>
        <w:t>中标人</w:t>
      </w:r>
      <w:r>
        <w:rPr>
          <w:rFonts w:hint="eastAsia" w:ascii="宋体" w:hAnsi="宋体" w:eastAsia="宋体" w:cs="宋体"/>
          <w:bCs/>
          <w:color w:val="auto"/>
          <w:sz w:val="24"/>
          <w:szCs w:val="24"/>
          <w:highlight w:val="none"/>
        </w:rPr>
        <w:t>可以提供更优的服务解决方案，则以</w:t>
      </w:r>
      <w:r>
        <w:rPr>
          <w:rFonts w:hint="eastAsia" w:ascii="宋体" w:hAnsi="宋体" w:eastAsia="宋体" w:cs="宋体"/>
          <w:bCs/>
          <w:color w:val="auto"/>
          <w:sz w:val="24"/>
          <w:szCs w:val="24"/>
          <w:highlight w:val="none"/>
          <w:lang w:val="en-US" w:eastAsia="zh-CN"/>
        </w:rPr>
        <w:t>中标人</w:t>
      </w:r>
      <w:r>
        <w:rPr>
          <w:rFonts w:hint="eastAsia" w:ascii="宋体" w:hAnsi="宋体" w:eastAsia="宋体" w:cs="宋体"/>
          <w:bCs/>
          <w:color w:val="auto"/>
          <w:sz w:val="24"/>
          <w:szCs w:val="24"/>
          <w:highlight w:val="none"/>
        </w:rPr>
        <w:t>的方案为准。</w:t>
      </w:r>
    </w:p>
    <w:p w14:paraId="2EEF3496">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val="en-US" w:eastAsia="zh-CN"/>
        </w:rPr>
        <w:t>6.6中标人</w:t>
      </w:r>
      <w:r>
        <w:rPr>
          <w:rFonts w:hint="eastAsia" w:ascii="宋体" w:hAnsi="宋体" w:eastAsia="宋体" w:cs="宋体"/>
          <w:bCs/>
          <w:color w:val="auto"/>
          <w:sz w:val="24"/>
          <w:szCs w:val="24"/>
          <w:highlight w:val="none"/>
        </w:rPr>
        <w:t>要有立足于为</w:t>
      </w:r>
      <w:r>
        <w:rPr>
          <w:rFonts w:hint="eastAsia" w:ascii="宋体" w:hAnsi="宋体" w:eastAsia="宋体" w:cs="宋体"/>
          <w:bCs/>
          <w:color w:val="auto"/>
          <w:sz w:val="24"/>
          <w:szCs w:val="24"/>
          <w:highlight w:val="none"/>
          <w:lang w:val="en-US" w:eastAsia="zh-CN"/>
        </w:rPr>
        <w:t>采购人</w:t>
      </w:r>
      <w:r>
        <w:rPr>
          <w:rFonts w:hint="eastAsia" w:ascii="宋体" w:hAnsi="宋体" w:eastAsia="宋体" w:cs="宋体"/>
          <w:bCs/>
          <w:color w:val="auto"/>
          <w:sz w:val="24"/>
          <w:szCs w:val="24"/>
          <w:highlight w:val="none"/>
        </w:rPr>
        <w:t>服务的良好思想，对食品生产经营管理有总体设想和</w:t>
      </w:r>
      <w:r>
        <w:rPr>
          <w:rFonts w:hint="eastAsia" w:ascii="宋体" w:hAnsi="宋体" w:eastAsia="宋体" w:cs="宋体"/>
          <w:bCs/>
          <w:color w:val="auto"/>
          <w:sz w:val="24"/>
          <w:szCs w:val="24"/>
          <w:highlight w:val="none"/>
          <w:lang w:val="en-US" w:eastAsia="zh-CN"/>
        </w:rPr>
        <w:t>具体</w:t>
      </w:r>
      <w:r>
        <w:rPr>
          <w:rFonts w:hint="eastAsia" w:ascii="宋体" w:hAnsi="宋体" w:eastAsia="宋体" w:cs="宋体"/>
          <w:bCs/>
          <w:color w:val="auto"/>
          <w:sz w:val="24"/>
          <w:szCs w:val="24"/>
          <w:highlight w:val="none"/>
        </w:rPr>
        <w:t>措施，有健全的规章制度</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rPr>
        <w:t>如：人事管理工作、安全防患、卫生保障、文明服务、食品来源安全追溯等制度</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rPr>
        <w:t>。</w:t>
      </w:r>
    </w:p>
    <w:p w14:paraId="7F681ED9">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val="en-US" w:eastAsia="zh-CN"/>
        </w:rPr>
        <w:t>6.7中标人</w:t>
      </w:r>
      <w:r>
        <w:rPr>
          <w:rFonts w:hint="eastAsia" w:ascii="宋体" w:hAnsi="宋体" w:eastAsia="宋体" w:cs="宋体"/>
          <w:bCs/>
          <w:color w:val="auto"/>
          <w:sz w:val="24"/>
          <w:szCs w:val="24"/>
          <w:highlight w:val="none"/>
        </w:rPr>
        <w:t>必须建立并严格执行各项食品安全管理制度，如食品卫生安全承诺、食品准入质量查验、食品进货检查验收、食品准入</w:t>
      </w:r>
      <w:r>
        <w:rPr>
          <w:rFonts w:hint="eastAsia" w:ascii="宋体" w:hAnsi="宋体" w:eastAsia="宋体" w:cs="宋体"/>
          <w:bCs/>
          <w:color w:val="auto"/>
          <w:sz w:val="24"/>
          <w:szCs w:val="24"/>
          <w:highlight w:val="none"/>
          <w:lang w:eastAsia="zh-CN"/>
        </w:rPr>
        <w:t>台账</w:t>
      </w:r>
      <w:r>
        <w:rPr>
          <w:rFonts w:hint="eastAsia" w:ascii="宋体" w:hAnsi="宋体" w:eastAsia="宋体" w:cs="宋体"/>
          <w:bCs/>
          <w:color w:val="auto"/>
          <w:sz w:val="24"/>
          <w:szCs w:val="24"/>
          <w:highlight w:val="none"/>
        </w:rPr>
        <w:t>登记、从业人员健康管理、消费投诉处理以及不合格食品下柜、召回、销毁等，参与食品配送的工作人员必须持健康证上岗。</w:t>
      </w:r>
    </w:p>
    <w:p w14:paraId="67643B87">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val="en-US" w:eastAsia="zh-CN"/>
        </w:rPr>
        <w:t>6.8中标人</w:t>
      </w:r>
      <w:r>
        <w:rPr>
          <w:rFonts w:hint="eastAsia" w:ascii="宋体" w:hAnsi="宋体" w:eastAsia="宋体" w:cs="宋体"/>
          <w:bCs/>
          <w:color w:val="auto"/>
          <w:sz w:val="24"/>
          <w:szCs w:val="24"/>
          <w:highlight w:val="none"/>
        </w:rPr>
        <w:t>必须按规定索取所经销食品的生产企业（或</w:t>
      </w:r>
      <w:r>
        <w:rPr>
          <w:rFonts w:hint="eastAsia" w:ascii="宋体" w:hAnsi="宋体" w:eastAsia="宋体" w:cs="宋体"/>
          <w:bCs/>
          <w:color w:val="auto"/>
          <w:sz w:val="24"/>
          <w:szCs w:val="24"/>
          <w:highlight w:val="none"/>
          <w:lang w:eastAsia="zh-CN"/>
        </w:rPr>
        <w:t>供应商</w:t>
      </w:r>
      <w:r>
        <w:rPr>
          <w:rFonts w:hint="eastAsia" w:ascii="宋体" w:hAnsi="宋体" w:eastAsia="宋体" w:cs="宋体"/>
          <w:bCs/>
          <w:color w:val="auto"/>
          <w:sz w:val="24"/>
          <w:szCs w:val="24"/>
          <w:highlight w:val="none"/>
        </w:rPr>
        <w:t>）的营业执照、食品经营许可证、食品质量安全有效检验报告、食品包装上所明示的各类荣誉证书等其他有效证明，索证率达100%，建立食品来源安全追溯制度。</w:t>
      </w:r>
    </w:p>
    <w:p w14:paraId="32A5AD95">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val="en-US" w:eastAsia="zh-CN"/>
        </w:rPr>
        <w:t>6.9中标人</w:t>
      </w:r>
      <w:r>
        <w:rPr>
          <w:rFonts w:hint="eastAsia" w:ascii="宋体" w:hAnsi="宋体" w:eastAsia="宋体" w:cs="宋体"/>
          <w:bCs/>
          <w:color w:val="auto"/>
          <w:sz w:val="24"/>
          <w:szCs w:val="24"/>
          <w:highlight w:val="none"/>
        </w:rPr>
        <w:t>必须保证配送的食品从正规渠道采购，具有工商、质监及卫生部门认可的检验合格证书或检测报告；所供蔬菜符合绿色蔬菜、无公害蔬菜的国家有关标准，并做到每批次均经检验，四十八小时留样备查</w:t>
      </w:r>
      <w:r>
        <w:rPr>
          <w:rFonts w:hint="eastAsia" w:ascii="宋体" w:hAnsi="宋体" w:cs="宋体"/>
          <w:color w:val="auto"/>
          <w:sz w:val="24"/>
          <w:szCs w:val="24"/>
          <w:highlight w:val="none"/>
          <w:lang w:val="en-US" w:eastAsia="zh-CN"/>
        </w:rPr>
        <w:t>（仅适用于标项1）</w:t>
      </w:r>
      <w:r>
        <w:rPr>
          <w:rFonts w:hint="eastAsia" w:ascii="宋体" w:hAnsi="宋体" w:eastAsia="宋体" w:cs="宋体"/>
          <w:bCs/>
          <w:color w:val="auto"/>
          <w:sz w:val="24"/>
          <w:szCs w:val="24"/>
          <w:highlight w:val="none"/>
        </w:rPr>
        <w:t>；生熟食品必须按照食品卫生安全相关要求分类仓储保鲜，分类包装送货；严禁销售“三无”食品、有毒有害、过期变质、假冒伪劣等不合格食品。</w:t>
      </w:r>
    </w:p>
    <w:p w14:paraId="434F0F94">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val="en-US" w:eastAsia="zh-CN"/>
        </w:rPr>
        <w:t>6.10中标人</w:t>
      </w:r>
      <w:r>
        <w:rPr>
          <w:rFonts w:hint="eastAsia" w:ascii="宋体" w:hAnsi="宋体" w:eastAsia="宋体" w:cs="宋体"/>
          <w:bCs/>
          <w:color w:val="auto"/>
          <w:sz w:val="24"/>
          <w:szCs w:val="24"/>
          <w:highlight w:val="none"/>
        </w:rPr>
        <w:t>必须按各</w:t>
      </w:r>
      <w:r>
        <w:rPr>
          <w:rFonts w:hint="eastAsia" w:ascii="宋体" w:hAnsi="宋体" w:eastAsia="宋体" w:cs="宋体"/>
          <w:bCs/>
          <w:color w:val="auto"/>
          <w:sz w:val="24"/>
          <w:szCs w:val="24"/>
          <w:highlight w:val="none"/>
          <w:lang w:val="en-US" w:eastAsia="zh-CN"/>
        </w:rPr>
        <w:t>集中办公区</w:t>
      </w:r>
      <w:r>
        <w:rPr>
          <w:rFonts w:hint="eastAsia" w:ascii="宋体" w:hAnsi="宋体" w:cs="宋体"/>
          <w:bCs/>
          <w:color w:val="auto"/>
          <w:sz w:val="24"/>
          <w:szCs w:val="24"/>
          <w:highlight w:val="none"/>
          <w:lang w:val="en-US" w:eastAsia="zh-CN"/>
        </w:rPr>
        <w:t>等</w:t>
      </w:r>
      <w:r>
        <w:rPr>
          <w:rFonts w:hint="eastAsia" w:ascii="宋体" w:hAnsi="宋体" w:eastAsia="宋体" w:cs="宋体"/>
          <w:bCs/>
          <w:color w:val="auto"/>
          <w:sz w:val="24"/>
          <w:szCs w:val="24"/>
          <w:highlight w:val="none"/>
        </w:rPr>
        <w:t>下达的配送数量，及时保质、保量完成配送任务，并附本次食品安全检测报告及配送单据（使用单据格式、内容由</w:t>
      </w:r>
      <w:r>
        <w:rPr>
          <w:rFonts w:hint="eastAsia" w:ascii="宋体" w:hAnsi="宋体" w:eastAsia="宋体" w:cs="宋体"/>
          <w:bCs/>
          <w:color w:val="auto"/>
          <w:sz w:val="24"/>
          <w:szCs w:val="24"/>
          <w:highlight w:val="none"/>
          <w:lang w:val="en-US" w:eastAsia="zh-CN"/>
        </w:rPr>
        <w:t>采购人</w:t>
      </w:r>
      <w:r>
        <w:rPr>
          <w:rFonts w:hint="eastAsia" w:ascii="宋体" w:hAnsi="宋体" w:eastAsia="宋体" w:cs="宋体"/>
          <w:bCs/>
          <w:color w:val="auto"/>
          <w:sz w:val="24"/>
          <w:szCs w:val="24"/>
          <w:highlight w:val="none"/>
        </w:rPr>
        <w:t>统一指定，一式三联，验收签字后一张留食堂记</w:t>
      </w:r>
      <w:r>
        <w:rPr>
          <w:rFonts w:hint="eastAsia" w:ascii="宋体" w:hAnsi="宋体" w:eastAsia="宋体" w:cs="宋体"/>
          <w:bCs/>
          <w:color w:val="auto"/>
          <w:sz w:val="24"/>
          <w:szCs w:val="24"/>
          <w:highlight w:val="none"/>
          <w:lang w:eastAsia="zh-CN"/>
        </w:rPr>
        <w:t>台账</w:t>
      </w:r>
      <w:r>
        <w:rPr>
          <w:rFonts w:hint="eastAsia" w:ascii="宋体" w:hAnsi="宋体" w:eastAsia="宋体" w:cs="宋体"/>
          <w:bCs/>
          <w:color w:val="auto"/>
          <w:sz w:val="24"/>
          <w:szCs w:val="24"/>
          <w:highlight w:val="none"/>
        </w:rPr>
        <w:t>，一张作为月底</w:t>
      </w:r>
      <w:r>
        <w:rPr>
          <w:rFonts w:hint="eastAsia" w:ascii="宋体" w:hAnsi="宋体" w:eastAsia="宋体" w:cs="宋体"/>
          <w:bCs/>
          <w:color w:val="auto"/>
          <w:sz w:val="24"/>
          <w:szCs w:val="24"/>
          <w:highlight w:val="none"/>
          <w:lang w:eastAsia="zh-CN"/>
        </w:rPr>
        <w:t>结账</w:t>
      </w:r>
      <w:r>
        <w:rPr>
          <w:rFonts w:hint="eastAsia" w:ascii="宋体" w:hAnsi="宋体" w:eastAsia="宋体" w:cs="宋体"/>
          <w:bCs/>
          <w:color w:val="auto"/>
          <w:sz w:val="24"/>
          <w:szCs w:val="24"/>
          <w:highlight w:val="none"/>
        </w:rPr>
        <w:t>凭据），不无故推诿或缓送，确保</w:t>
      </w:r>
      <w:r>
        <w:rPr>
          <w:rFonts w:hint="eastAsia" w:ascii="宋体" w:hAnsi="宋体" w:eastAsia="宋体" w:cs="宋体"/>
          <w:bCs/>
          <w:color w:val="auto"/>
          <w:sz w:val="24"/>
          <w:szCs w:val="24"/>
          <w:highlight w:val="none"/>
          <w:lang w:val="en-US" w:eastAsia="zh-CN"/>
        </w:rPr>
        <w:t>集中办公区</w:t>
      </w:r>
      <w:r>
        <w:rPr>
          <w:rFonts w:hint="eastAsia" w:ascii="宋体" w:hAnsi="宋体" w:cs="宋体"/>
          <w:bCs/>
          <w:color w:val="auto"/>
          <w:sz w:val="24"/>
          <w:szCs w:val="24"/>
          <w:highlight w:val="none"/>
          <w:lang w:val="en-US" w:eastAsia="zh-CN"/>
        </w:rPr>
        <w:t>等</w:t>
      </w:r>
      <w:r>
        <w:rPr>
          <w:rFonts w:hint="eastAsia" w:ascii="宋体" w:hAnsi="宋体" w:eastAsia="宋体" w:cs="宋体"/>
          <w:bCs/>
          <w:color w:val="auto"/>
          <w:sz w:val="24"/>
          <w:szCs w:val="24"/>
          <w:highlight w:val="none"/>
        </w:rPr>
        <w:t>食堂正常运行。</w:t>
      </w:r>
    </w:p>
    <w:p w14:paraId="25CA5D42">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val="en-US" w:eastAsia="zh-CN"/>
        </w:rPr>
        <w:t>6.11中标人</w:t>
      </w:r>
      <w:r>
        <w:rPr>
          <w:rFonts w:hint="eastAsia" w:ascii="宋体" w:hAnsi="宋体" w:eastAsia="宋体" w:cs="宋体"/>
          <w:bCs/>
          <w:color w:val="auto"/>
          <w:sz w:val="24"/>
          <w:szCs w:val="24"/>
          <w:highlight w:val="none"/>
        </w:rPr>
        <w:t>要加强自律、诚实守信、依法经营，并自觉接受各有关职能部门的监督检查。</w:t>
      </w:r>
    </w:p>
    <w:p w14:paraId="694330F0">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val="en-US" w:eastAsia="zh-CN"/>
        </w:rPr>
        <w:t>6.</w:t>
      </w:r>
      <w:r>
        <w:rPr>
          <w:rFonts w:hint="eastAsia" w:ascii="宋体" w:hAnsi="宋体" w:eastAsia="宋体" w:cs="Times New Roman"/>
          <w:bCs/>
          <w:color w:val="auto"/>
          <w:sz w:val="24"/>
          <w:szCs w:val="24"/>
          <w:highlight w:val="none"/>
          <w:lang w:val="en-US" w:eastAsia="zh-CN"/>
        </w:rPr>
        <w:t>12</w:t>
      </w:r>
      <w:r>
        <w:rPr>
          <w:rFonts w:hint="eastAsia" w:ascii="宋体" w:hAnsi="宋体" w:eastAsia="宋体" w:cs="宋体"/>
          <w:bCs/>
          <w:color w:val="auto"/>
          <w:sz w:val="24"/>
          <w:szCs w:val="24"/>
          <w:highlight w:val="none"/>
          <w:lang w:val="en-US" w:eastAsia="zh-CN"/>
        </w:rPr>
        <w:t>中标人</w:t>
      </w:r>
      <w:r>
        <w:rPr>
          <w:rFonts w:hint="eastAsia" w:ascii="宋体" w:hAnsi="宋体" w:eastAsia="宋体" w:cs="宋体"/>
          <w:bCs/>
          <w:color w:val="auto"/>
          <w:sz w:val="24"/>
          <w:szCs w:val="24"/>
          <w:highlight w:val="none"/>
        </w:rPr>
        <w:t>应当按照</w:t>
      </w:r>
      <w:r>
        <w:rPr>
          <w:rFonts w:hint="eastAsia" w:ascii="宋体" w:hAnsi="宋体" w:eastAsia="宋体" w:cs="宋体"/>
          <w:bCs/>
          <w:color w:val="auto"/>
          <w:sz w:val="24"/>
          <w:szCs w:val="24"/>
          <w:highlight w:val="none"/>
          <w:lang w:val="en-US" w:eastAsia="zh-CN"/>
        </w:rPr>
        <w:t>协议</w:t>
      </w:r>
      <w:r>
        <w:rPr>
          <w:rFonts w:hint="eastAsia" w:ascii="宋体" w:hAnsi="宋体" w:eastAsia="宋体" w:cs="宋体"/>
          <w:bCs/>
          <w:color w:val="auto"/>
          <w:sz w:val="24"/>
          <w:szCs w:val="24"/>
          <w:highlight w:val="none"/>
        </w:rPr>
        <w:t>约定履行义务，完成中标项目。</w:t>
      </w:r>
    </w:p>
    <w:p w14:paraId="65A75031">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val="en-US" w:eastAsia="zh-CN"/>
        </w:rPr>
        <w:t>6.13中标人</w:t>
      </w:r>
      <w:r>
        <w:rPr>
          <w:rFonts w:hint="eastAsia" w:ascii="宋体" w:hAnsi="宋体" w:eastAsia="宋体" w:cs="宋体"/>
          <w:bCs/>
          <w:color w:val="auto"/>
          <w:sz w:val="24"/>
          <w:szCs w:val="24"/>
          <w:highlight w:val="none"/>
        </w:rPr>
        <w:t>不得将部分</w:t>
      </w:r>
      <w:r>
        <w:rPr>
          <w:rFonts w:hint="eastAsia" w:ascii="宋体" w:hAnsi="宋体" w:eastAsia="宋体" w:cs="宋体"/>
          <w:bCs/>
          <w:color w:val="auto"/>
          <w:sz w:val="24"/>
          <w:szCs w:val="24"/>
          <w:highlight w:val="none"/>
          <w:lang w:val="en-US" w:eastAsia="zh-CN"/>
        </w:rPr>
        <w:t>产品</w:t>
      </w:r>
      <w:r>
        <w:rPr>
          <w:rFonts w:hint="eastAsia" w:ascii="宋体" w:hAnsi="宋体" w:eastAsia="宋体" w:cs="宋体"/>
          <w:bCs/>
          <w:color w:val="auto"/>
          <w:sz w:val="24"/>
          <w:szCs w:val="24"/>
          <w:highlight w:val="none"/>
        </w:rPr>
        <w:t>或全部</w:t>
      </w:r>
      <w:r>
        <w:rPr>
          <w:rFonts w:hint="eastAsia" w:ascii="宋体" w:hAnsi="宋体" w:eastAsia="宋体" w:cs="宋体"/>
          <w:bCs/>
          <w:color w:val="auto"/>
          <w:sz w:val="24"/>
          <w:szCs w:val="24"/>
          <w:highlight w:val="none"/>
          <w:lang w:val="en-US" w:eastAsia="zh-CN"/>
        </w:rPr>
        <w:t>产品</w:t>
      </w:r>
      <w:r>
        <w:rPr>
          <w:rFonts w:hint="eastAsia" w:ascii="宋体" w:hAnsi="宋体" w:eastAsia="宋体" w:cs="宋体"/>
          <w:bCs/>
          <w:color w:val="auto"/>
          <w:sz w:val="24"/>
          <w:szCs w:val="24"/>
          <w:highlight w:val="none"/>
        </w:rPr>
        <w:t>交由他人承担，一经发现有违规现象取消其</w:t>
      </w:r>
      <w:r>
        <w:rPr>
          <w:rFonts w:hint="eastAsia" w:ascii="宋体" w:hAnsi="宋体" w:eastAsia="宋体" w:cs="宋体"/>
          <w:bCs/>
          <w:color w:val="auto"/>
          <w:sz w:val="24"/>
          <w:szCs w:val="24"/>
          <w:highlight w:val="none"/>
          <w:lang w:val="en-US" w:eastAsia="zh-CN"/>
        </w:rPr>
        <w:t>中标</w:t>
      </w:r>
      <w:r>
        <w:rPr>
          <w:rFonts w:hint="eastAsia" w:ascii="宋体" w:hAnsi="宋体" w:eastAsia="宋体" w:cs="宋体"/>
          <w:bCs/>
          <w:color w:val="auto"/>
          <w:sz w:val="24"/>
          <w:szCs w:val="24"/>
          <w:highlight w:val="none"/>
        </w:rPr>
        <w:t>资格，</w:t>
      </w:r>
      <w:r>
        <w:rPr>
          <w:rFonts w:hint="eastAsia" w:ascii="宋体" w:hAnsi="宋体" w:eastAsia="宋体" w:cs="宋体"/>
          <w:bCs/>
          <w:color w:val="auto"/>
          <w:sz w:val="24"/>
          <w:szCs w:val="24"/>
          <w:highlight w:val="none"/>
          <w:lang w:eastAsia="zh-CN"/>
        </w:rPr>
        <w:t>扣除</w:t>
      </w:r>
      <w:r>
        <w:rPr>
          <w:rFonts w:hint="eastAsia" w:ascii="宋体" w:hAnsi="宋体" w:eastAsia="宋体" w:cs="宋体"/>
          <w:bCs/>
          <w:color w:val="auto"/>
          <w:sz w:val="24"/>
          <w:szCs w:val="24"/>
          <w:highlight w:val="none"/>
        </w:rPr>
        <w:t>其全部履约保证金。</w:t>
      </w:r>
    </w:p>
    <w:p w14:paraId="29CAB974">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val="en-US" w:eastAsia="zh-CN"/>
        </w:rPr>
        <w:t>6.14</w:t>
      </w:r>
      <w:r>
        <w:rPr>
          <w:rFonts w:hint="eastAsia" w:ascii="宋体" w:hAnsi="宋体" w:eastAsia="宋体" w:cs="宋体"/>
          <w:bCs/>
          <w:color w:val="auto"/>
          <w:sz w:val="24"/>
          <w:szCs w:val="24"/>
          <w:highlight w:val="none"/>
        </w:rPr>
        <w:t>实行配送单位退出制度。凡有下列情况之一的，</w:t>
      </w:r>
      <w:r>
        <w:rPr>
          <w:rFonts w:hint="eastAsia" w:ascii="宋体" w:hAnsi="宋体" w:eastAsia="宋体" w:cs="宋体"/>
          <w:bCs/>
          <w:color w:val="auto"/>
          <w:sz w:val="24"/>
          <w:szCs w:val="24"/>
          <w:highlight w:val="none"/>
          <w:lang w:val="en-US" w:eastAsia="zh-CN"/>
        </w:rPr>
        <w:t>采购人</w:t>
      </w:r>
      <w:r>
        <w:rPr>
          <w:rFonts w:hint="eastAsia" w:ascii="宋体" w:hAnsi="宋体" w:eastAsia="宋体" w:cs="宋体"/>
          <w:bCs/>
          <w:color w:val="auto"/>
          <w:sz w:val="24"/>
          <w:szCs w:val="24"/>
          <w:highlight w:val="none"/>
        </w:rPr>
        <w:t>可无条件取消</w:t>
      </w:r>
      <w:r>
        <w:rPr>
          <w:rFonts w:hint="eastAsia" w:ascii="宋体" w:hAnsi="宋体" w:eastAsia="宋体" w:cs="宋体"/>
          <w:bCs/>
          <w:color w:val="auto"/>
          <w:sz w:val="24"/>
          <w:szCs w:val="24"/>
          <w:highlight w:val="none"/>
          <w:lang w:val="en-US" w:eastAsia="zh-CN"/>
        </w:rPr>
        <w:t>中标人</w:t>
      </w:r>
      <w:r>
        <w:rPr>
          <w:rFonts w:hint="eastAsia" w:ascii="宋体" w:hAnsi="宋体" w:eastAsia="宋体" w:cs="宋体"/>
          <w:bCs/>
          <w:color w:val="auto"/>
          <w:sz w:val="24"/>
          <w:szCs w:val="24"/>
          <w:highlight w:val="none"/>
        </w:rPr>
        <w:t>食堂食品原材料统一配送资格</w:t>
      </w:r>
      <w:r>
        <w:rPr>
          <w:rFonts w:hint="eastAsia" w:ascii="宋体" w:hAnsi="宋体" w:cs="宋体"/>
          <w:bCs/>
          <w:color w:val="auto"/>
          <w:sz w:val="24"/>
          <w:szCs w:val="24"/>
          <w:highlight w:val="none"/>
          <w:lang w:eastAsia="zh-CN"/>
        </w:rPr>
        <w:t>，</w:t>
      </w:r>
      <w:r>
        <w:rPr>
          <w:rFonts w:hint="eastAsia" w:ascii="宋体" w:hAnsi="宋体" w:cs="宋体"/>
          <w:bCs/>
          <w:color w:val="auto"/>
          <w:sz w:val="24"/>
          <w:szCs w:val="24"/>
          <w:highlight w:val="none"/>
          <w:lang w:val="en-US" w:eastAsia="zh-CN"/>
        </w:rPr>
        <w:t>将</w:t>
      </w:r>
      <w:r>
        <w:rPr>
          <w:rFonts w:hint="eastAsia" w:ascii="宋体" w:hAnsi="宋体" w:eastAsia="宋体" w:cs="宋体"/>
          <w:bCs/>
          <w:color w:val="auto"/>
          <w:sz w:val="24"/>
          <w:szCs w:val="24"/>
          <w:highlight w:val="none"/>
          <w:lang w:val="en-US" w:eastAsia="zh-CN"/>
        </w:rPr>
        <w:t>扣除</w:t>
      </w:r>
      <w:r>
        <w:rPr>
          <w:rFonts w:hint="eastAsia" w:ascii="宋体" w:hAnsi="宋体" w:eastAsia="宋体" w:cs="宋体"/>
          <w:bCs/>
          <w:color w:val="auto"/>
          <w:sz w:val="24"/>
          <w:szCs w:val="24"/>
          <w:highlight w:val="none"/>
        </w:rPr>
        <w:t>全部履约保证金，并承担由此造成的经济责任和法律责任：</w:t>
      </w:r>
    </w:p>
    <w:p w14:paraId="04B8DA61">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cs="宋体"/>
          <w:bCs/>
          <w:color w:val="auto"/>
          <w:sz w:val="24"/>
          <w:szCs w:val="24"/>
          <w:highlight w:val="none"/>
          <w:lang w:val="en-US" w:eastAsia="zh-CN"/>
        </w:rPr>
      </w:pPr>
      <w:r>
        <w:rPr>
          <w:rFonts w:hint="eastAsia" w:ascii="宋体" w:hAnsi="宋体" w:eastAsia="宋体" w:cs="宋体"/>
          <w:bCs/>
          <w:color w:val="auto"/>
          <w:sz w:val="24"/>
          <w:szCs w:val="24"/>
          <w:highlight w:val="none"/>
        </w:rPr>
        <w:t>（1）</w:t>
      </w:r>
      <w:r>
        <w:rPr>
          <w:rFonts w:hint="eastAsia" w:ascii="宋体" w:hAnsi="宋体" w:cs="宋体"/>
          <w:bCs/>
          <w:color w:val="auto"/>
          <w:sz w:val="24"/>
          <w:szCs w:val="24"/>
          <w:highlight w:val="none"/>
          <w:lang w:val="en-US" w:eastAsia="zh-CN"/>
        </w:rPr>
        <w:t>出现较轻食品质量，但不影响采购单位正常运行的，两次（含）以上的；</w:t>
      </w:r>
    </w:p>
    <w:p w14:paraId="3BDA1081">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cs="宋体"/>
          <w:bCs/>
          <w:color w:val="auto"/>
          <w:sz w:val="24"/>
          <w:szCs w:val="24"/>
          <w:highlight w:val="none"/>
          <w:lang w:val="en-US" w:eastAsia="zh-CN"/>
        </w:rPr>
        <w:t>（2）</w:t>
      </w:r>
      <w:r>
        <w:rPr>
          <w:rFonts w:hint="eastAsia" w:ascii="宋体" w:hAnsi="宋体" w:eastAsia="宋体" w:cs="宋体"/>
          <w:bCs/>
          <w:color w:val="auto"/>
          <w:sz w:val="24"/>
          <w:szCs w:val="24"/>
          <w:highlight w:val="none"/>
        </w:rPr>
        <w:t xml:space="preserve">因配送食品质量问题引发食品安全事故； </w:t>
      </w:r>
    </w:p>
    <w:p w14:paraId="518BFC41">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w:t>
      </w:r>
      <w:r>
        <w:rPr>
          <w:rFonts w:hint="eastAsia" w:ascii="宋体" w:hAnsi="宋体" w:cs="宋体"/>
          <w:bCs/>
          <w:color w:val="auto"/>
          <w:sz w:val="24"/>
          <w:szCs w:val="24"/>
          <w:highlight w:val="none"/>
          <w:lang w:val="en-US" w:eastAsia="zh-CN"/>
        </w:rPr>
        <w:t>3</w:t>
      </w:r>
      <w:r>
        <w:rPr>
          <w:rFonts w:hint="eastAsia" w:ascii="宋体" w:hAnsi="宋体" w:eastAsia="宋体" w:cs="宋体"/>
          <w:bCs/>
          <w:color w:val="auto"/>
          <w:sz w:val="24"/>
          <w:szCs w:val="24"/>
          <w:highlight w:val="none"/>
        </w:rPr>
        <w:t>）配送单位存在严重安全隐患整改不到位；</w:t>
      </w:r>
    </w:p>
    <w:p w14:paraId="08547BA7">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lang w:eastAsia="zh-CN"/>
        </w:rPr>
      </w:pPr>
      <w:r>
        <w:rPr>
          <w:rFonts w:hint="eastAsia" w:ascii="宋体" w:hAnsi="宋体" w:eastAsia="宋体" w:cs="宋体"/>
          <w:bCs/>
          <w:color w:val="auto"/>
          <w:sz w:val="24"/>
          <w:szCs w:val="24"/>
          <w:highlight w:val="none"/>
        </w:rPr>
        <w:t>（</w:t>
      </w:r>
      <w:r>
        <w:rPr>
          <w:rFonts w:hint="eastAsia" w:ascii="宋体" w:hAnsi="宋体" w:cs="宋体"/>
          <w:bCs/>
          <w:color w:val="auto"/>
          <w:sz w:val="24"/>
          <w:szCs w:val="24"/>
          <w:highlight w:val="none"/>
          <w:lang w:val="en-US" w:eastAsia="zh-CN"/>
        </w:rPr>
        <w:t>4</w:t>
      </w:r>
      <w:r>
        <w:rPr>
          <w:rFonts w:hint="eastAsia" w:ascii="宋体" w:hAnsi="宋体" w:eastAsia="宋体" w:cs="宋体"/>
          <w:bCs/>
          <w:color w:val="auto"/>
          <w:sz w:val="24"/>
          <w:szCs w:val="24"/>
          <w:highlight w:val="none"/>
        </w:rPr>
        <w:t>）在同一年度内因配送单位配送假冒伪劣食品行为两次</w:t>
      </w:r>
      <w:r>
        <w:rPr>
          <w:rFonts w:hint="eastAsia" w:ascii="宋体" w:hAnsi="宋体" w:cs="宋体"/>
          <w:bCs/>
          <w:color w:val="auto"/>
          <w:sz w:val="24"/>
          <w:szCs w:val="24"/>
          <w:highlight w:val="none"/>
          <w:lang w:val="en-US" w:eastAsia="zh-CN"/>
        </w:rPr>
        <w:t>（含）</w:t>
      </w:r>
      <w:r>
        <w:rPr>
          <w:rFonts w:hint="eastAsia" w:ascii="宋体" w:hAnsi="宋体" w:eastAsia="宋体" w:cs="宋体"/>
          <w:bCs/>
          <w:color w:val="auto"/>
          <w:sz w:val="24"/>
          <w:szCs w:val="24"/>
          <w:highlight w:val="none"/>
        </w:rPr>
        <w:t>以上的</w:t>
      </w:r>
      <w:r>
        <w:rPr>
          <w:rFonts w:hint="eastAsia" w:ascii="宋体" w:hAnsi="宋体" w:eastAsia="宋体" w:cs="宋体"/>
          <w:bCs/>
          <w:color w:val="auto"/>
          <w:sz w:val="24"/>
          <w:szCs w:val="24"/>
          <w:highlight w:val="none"/>
          <w:lang w:eastAsia="zh-CN"/>
        </w:rPr>
        <w:t>；</w:t>
      </w:r>
    </w:p>
    <w:p w14:paraId="748D3E9B">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cs="宋体"/>
          <w:bCs/>
          <w:color w:val="auto"/>
          <w:sz w:val="24"/>
          <w:szCs w:val="24"/>
          <w:highlight w:val="none"/>
          <w:lang w:eastAsia="zh-CN"/>
        </w:rPr>
      </w:pPr>
      <w:r>
        <w:rPr>
          <w:rFonts w:hint="eastAsia" w:ascii="宋体" w:hAnsi="宋体" w:eastAsia="宋体" w:cs="宋体"/>
          <w:bCs/>
          <w:color w:val="auto"/>
          <w:sz w:val="24"/>
          <w:szCs w:val="24"/>
          <w:highlight w:val="none"/>
        </w:rPr>
        <w:t>（</w:t>
      </w:r>
      <w:r>
        <w:rPr>
          <w:rFonts w:hint="eastAsia" w:ascii="宋体" w:hAnsi="宋体" w:cs="宋体"/>
          <w:bCs/>
          <w:color w:val="auto"/>
          <w:sz w:val="24"/>
          <w:szCs w:val="24"/>
          <w:highlight w:val="none"/>
          <w:lang w:val="en-US" w:eastAsia="zh-CN"/>
        </w:rPr>
        <w:t>5</w:t>
      </w:r>
      <w:r>
        <w:rPr>
          <w:rFonts w:hint="eastAsia" w:ascii="宋体" w:hAnsi="宋体" w:eastAsia="宋体" w:cs="宋体"/>
          <w:bCs/>
          <w:color w:val="auto"/>
          <w:sz w:val="24"/>
          <w:szCs w:val="24"/>
          <w:highlight w:val="none"/>
        </w:rPr>
        <w:t>）因存在不廉洁行为等造成不良社会影响的</w:t>
      </w:r>
      <w:r>
        <w:rPr>
          <w:rFonts w:hint="eastAsia" w:ascii="宋体" w:hAnsi="宋体" w:cs="宋体"/>
          <w:bCs/>
          <w:color w:val="auto"/>
          <w:sz w:val="24"/>
          <w:szCs w:val="24"/>
          <w:highlight w:val="none"/>
          <w:lang w:eastAsia="zh-CN"/>
        </w:rPr>
        <w:t>；</w:t>
      </w:r>
    </w:p>
    <w:p w14:paraId="422F9A6F">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cs="宋体"/>
          <w:bCs/>
          <w:color w:val="auto"/>
          <w:sz w:val="24"/>
          <w:szCs w:val="24"/>
          <w:highlight w:val="none"/>
          <w:lang w:val="en-US" w:eastAsia="zh-CN"/>
        </w:rPr>
      </w:pPr>
      <w:r>
        <w:rPr>
          <w:rFonts w:hint="eastAsia" w:ascii="宋体" w:hAnsi="宋体" w:cs="宋体"/>
          <w:bCs/>
          <w:color w:val="auto"/>
          <w:sz w:val="24"/>
          <w:szCs w:val="24"/>
          <w:highlight w:val="none"/>
          <w:lang w:eastAsia="zh-CN"/>
        </w:rPr>
        <w:t>（</w:t>
      </w:r>
      <w:r>
        <w:rPr>
          <w:rFonts w:hint="eastAsia" w:ascii="宋体" w:hAnsi="宋体" w:cs="宋体"/>
          <w:bCs/>
          <w:color w:val="auto"/>
          <w:sz w:val="24"/>
          <w:szCs w:val="24"/>
          <w:highlight w:val="none"/>
          <w:lang w:val="en-US" w:eastAsia="zh-CN"/>
        </w:rPr>
        <w:t>6</w:t>
      </w:r>
      <w:r>
        <w:rPr>
          <w:rFonts w:hint="eastAsia" w:ascii="宋体" w:hAnsi="宋体" w:cs="宋体"/>
          <w:bCs/>
          <w:color w:val="auto"/>
          <w:sz w:val="24"/>
          <w:szCs w:val="24"/>
          <w:highlight w:val="none"/>
          <w:lang w:eastAsia="zh-CN"/>
        </w:rPr>
        <w:t>）</w:t>
      </w:r>
      <w:r>
        <w:rPr>
          <w:rFonts w:hint="eastAsia" w:ascii="宋体" w:hAnsi="宋体" w:cs="宋体"/>
          <w:bCs/>
          <w:color w:val="auto"/>
          <w:sz w:val="24"/>
          <w:szCs w:val="24"/>
          <w:highlight w:val="none"/>
          <w:lang w:val="en-US" w:eastAsia="zh-CN"/>
        </w:rPr>
        <w:t>不遵守定价规则两次（含）以上的；</w:t>
      </w:r>
    </w:p>
    <w:p w14:paraId="60DAB1C1">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lang w:val="en-US" w:eastAsia="zh-CN"/>
        </w:rPr>
      </w:pPr>
      <w:r>
        <w:rPr>
          <w:rFonts w:hint="eastAsia" w:ascii="宋体" w:hAnsi="宋体" w:cs="宋体"/>
          <w:bCs/>
          <w:color w:val="auto"/>
          <w:sz w:val="24"/>
          <w:szCs w:val="24"/>
          <w:highlight w:val="none"/>
          <w:lang w:val="en-US" w:eastAsia="zh-CN"/>
        </w:rPr>
        <w:t>（7）未按采购单位要求及时配送到位，并影响到采购单位正常运行的，两次（含）以上的；</w:t>
      </w:r>
    </w:p>
    <w:p w14:paraId="14C30BA3">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val="en-US" w:eastAsia="zh-CN"/>
        </w:rPr>
        <w:t>6.</w:t>
      </w:r>
      <w:r>
        <w:rPr>
          <w:rFonts w:hint="eastAsia" w:ascii="宋体" w:hAnsi="宋体" w:eastAsia="宋体" w:cs="Times New Roman"/>
          <w:bCs/>
          <w:color w:val="auto"/>
          <w:sz w:val="24"/>
          <w:szCs w:val="24"/>
          <w:highlight w:val="none"/>
          <w:lang w:val="en-US" w:eastAsia="zh-CN"/>
        </w:rPr>
        <w:t>15</w:t>
      </w:r>
      <w:r>
        <w:rPr>
          <w:rFonts w:hint="eastAsia" w:ascii="宋体" w:hAnsi="宋体" w:eastAsia="宋体" w:cs="宋体"/>
          <w:bCs/>
          <w:color w:val="auto"/>
          <w:sz w:val="24"/>
          <w:szCs w:val="24"/>
          <w:highlight w:val="none"/>
          <w:lang w:val="en-US" w:eastAsia="zh-CN"/>
        </w:rPr>
        <w:t>采购人</w:t>
      </w:r>
      <w:r>
        <w:rPr>
          <w:rFonts w:hint="eastAsia" w:ascii="宋体" w:hAnsi="宋体" w:eastAsia="宋体" w:cs="宋体"/>
          <w:bCs/>
          <w:color w:val="auto"/>
          <w:sz w:val="24"/>
          <w:szCs w:val="24"/>
          <w:highlight w:val="none"/>
        </w:rPr>
        <w:t>不保证</w:t>
      </w:r>
      <w:r>
        <w:rPr>
          <w:rFonts w:hint="eastAsia" w:ascii="宋体" w:hAnsi="宋体" w:eastAsia="宋体" w:cs="宋体"/>
          <w:bCs/>
          <w:color w:val="auto"/>
          <w:sz w:val="24"/>
          <w:szCs w:val="24"/>
          <w:highlight w:val="none"/>
          <w:lang w:val="en-US" w:eastAsia="zh-CN"/>
        </w:rPr>
        <w:t>中标人</w:t>
      </w:r>
      <w:r>
        <w:rPr>
          <w:rFonts w:hint="eastAsia" w:ascii="宋体" w:hAnsi="宋体" w:eastAsia="宋体" w:cs="宋体"/>
          <w:bCs/>
          <w:color w:val="auto"/>
          <w:sz w:val="24"/>
          <w:szCs w:val="24"/>
          <w:highlight w:val="none"/>
        </w:rPr>
        <w:t>的销量</w:t>
      </w:r>
      <w:r>
        <w:rPr>
          <w:rFonts w:hint="eastAsia" w:ascii="宋体" w:hAnsi="宋体" w:cs="宋体"/>
          <w:bCs/>
          <w:color w:val="auto"/>
          <w:sz w:val="24"/>
          <w:szCs w:val="24"/>
          <w:highlight w:val="none"/>
          <w:lang w:val="en-US" w:eastAsia="zh-CN"/>
        </w:rPr>
        <w:t>及</w:t>
      </w:r>
      <w:r>
        <w:rPr>
          <w:rFonts w:hint="eastAsia" w:ascii="宋体" w:hAnsi="宋体" w:eastAsia="宋体" w:cs="宋体"/>
          <w:bCs/>
          <w:color w:val="auto"/>
          <w:sz w:val="24"/>
          <w:szCs w:val="24"/>
          <w:highlight w:val="none"/>
        </w:rPr>
        <w:t>营业额。</w:t>
      </w:r>
    </w:p>
    <w:p w14:paraId="5096FC27">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default"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6.</w:t>
      </w:r>
      <w:r>
        <w:rPr>
          <w:rFonts w:hint="eastAsia" w:ascii="宋体" w:hAnsi="宋体" w:eastAsia="宋体" w:cs="Times New Roman"/>
          <w:bCs/>
          <w:color w:val="auto"/>
          <w:sz w:val="24"/>
          <w:szCs w:val="24"/>
          <w:highlight w:val="none"/>
          <w:lang w:val="en-US" w:eastAsia="zh-CN"/>
        </w:rPr>
        <w:t>16</w:t>
      </w:r>
      <w:r>
        <w:rPr>
          <w:rFonts w:hint="eastAsia" w:ascii="宋体" w:hAnsi="宋体" w:eastAsia="宋体" w:cs="宋体"/>
          <w:bCs/>
          <w:color w:val="auto"/>
          <w:sz w:val="24"/>
          <w:szCs w:val="24"/>
          <w:highlight w:val="none"/>
          <w:lang w:val="en-US" w:eastAsia="zh-CN"/>
        </w:rPr>
        <w:t>如采购人报送的订货清单中需要配送的原材料有中标人不能配送的，需于接到订货清单后1小时内回复采购人。如采购人发现该原材料在宁波大市范围内中大型超市或市场内出售的，采购人有权要求中标人去购买并进行配送，并</w:t>
      </w:r>
      <w:r>
        <w:rPr>
          <w:rFonts w:hint="eastAsia" w:ascii="宋体" w:hAnsi="宋体" w:cs="宋体"/>
          <w:bCs/>
          <w:color w:val="auto"/>
          <w:sz w:val="24"/>
          <w:szCs w:val="24"/>
          <w:highlight w:val="none"/>
          <w:lang w:val="en-US" w:eastAsia="zh-CN"/>
        </w:rPr>
        <w:t>对中标人</w:t>
      </w:r>
      <w:r>
        <w:rPr>
          <w:rFonts w:hint="eastAsia" w:ascii="宋体" w:hAnsi="宋体" w:eastAsia="宋体" w:cs="宋体"/>
          <w:bCs/>
          <w:color w:val="auto"/>
          <w:sz w:val="24"/>
          <w:szCs w:val="24"/>
          <w:highlight w:val="none"/>
          <w:lang w:val="en-US" w:eastAsia="zh-CN"/>
        </w:rPr>
        <w:t>扣500元</w:t>
      </w:r>
      <w:r>
        <w:rPr>
          <w:rFonts w:hint="eastAsia" w:ascii="宋体" w:hAnsi="宋体" w:cs="宋体"/>
          <w:bCs/>
          <w:color w:val="auto"/>
          <w:sz w:val="24"/>
          <w:szCs w:val="24"/>
          <w:highlight w:val="none"/>
          <w:lang w:val="en-US" w:eastAsia="zh-CN"/>
        </w:rPr>
        <w:t>/次。中标人拒不配送的，或出现3次以上上述情况的，采购人有权取消定点采购合同。</w:t>
      </w:r>
    </w:p>
    <w:p w14:paraId="1C407C3C">
      <w:pPr>
        <w:widowControl/>
        <w:shd w:val="clear"/>
        <w:adjustRightInd/>
        <w:spacing w:line="360" w:lineRule="auto"/>
        <w:jc w:val="left"/>
        <w:rPr>
          <w:rFonts w:hint="eastAsia" w:ascii="宋体" w:hAnsi="宋体" w:eastAsia="宋体" w:cs="宋体"/>
          <w:b/>
          <w:color w:val="auto"/>
          <w:kern w:val="0"/>
          <w:sz w:val="24"/>
          <w:szCs w:val="24"/>
          <w:highlight w:val="none"/>
          <w:lang w:val="en-US" w:eastAsia="zh-CN"/>
        </w:rPr>
      </w:pPr>
    </w:p>
    <w:p w14:paraId="547A25E5">
      <w:pPr>
        <w:widowControl/>
        <w:shd w:val="clear"/>
        <w:adjustRightInd/>
        <w:spacing w:line="360" w:lineRule="auto"/>
        <w:jc w:val="left"/>
        <w:rPr>
          <w:rFonts w:hint="eastAsia" w:ascii="宋体" w:hAnsi="宋体" w:eastAsia="宋体" w:cs="宋体"/>
          <w:b/>
          <w:color w:val="auto"/>
          <w:kern w:val="0"/>
          <w:sz w:val="24"/>
          <w:szCs w:val="24"/>
          <w:highlight w:val="none"/>
          <w:lang w:val="en-US" w:eastAsia="zh-CN"/>
        </w:rPr>
      </w:pPr>
      <w:r>
        <w:rPr>
          <w:rFonts w:hint="eastAsia" w:ascii="宋体" w:hAnsi="宋体" w:eastAsia="宋体" w:cs="宋体"/>
          <w:b/>
          <w:color w:val="auto"/>
          <w:kern w:val="0"/>
          <w:sz w:val="24"/>
          <w:szCs w:val="24"/>
          <w:highlight w:val="none"/>
          <w:lang w:val="en-US" w:eastAsia="zh-CN"/>
        </w:rPr>
        <w:t>七、验收</w:t>
      </w:r>
    </w:p>
    <w:p w14:paraId="10B947DA">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val="en-US" w:eastAsia="zh-CN"/>
        </w:rPr>
        <w:t>7.1</w:t>
      </w:r>
      <w:r>
        <w:rPr>
          <w:rFonts w:hint="eastAsia" w:ascii="宋体" w:hAnsi="宋体" w:eastAsia="宋体" w:cs="宋体"/>
          <w:bCs/>
          <w:color w:val="auto"/>
          <w:sz w:val="24"/>
          <w:szCs w:val="24"/>
          <w:highlight w:val="none"/>
        </w:rPr>
        <w:t>验收标准：按照国家及行业相关标准及招标文件规定验收，如验收达不到规定要求，造成一定的影响，定点供货商承担一切责任，并赔偿所造成的损失。</w:t>
      </w:r>
    </w:p>
    <w:p w14:paraId="7A59F583">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val="en-US" w:eastAsia="zh-CN"/>
        </w:rPr>
        <w:t>7.2</w:t>
      </w:r>
      <w:r>
        <w:rPr>
          <w:rFonts w:hint="eastAsia" w:ascii="宋体" w:hAnsi="宋体" w:eastAsia="宋体" w:cs="Times New Roman"/>
          <w:bCs/>
          <w:color w:val="auto"/>
          <w:sz w:val="24"/>
          <w:szCs w:val="24"/>
          <w:highlight w:val="none"/>
        </w:rPr>
        <w:t>验收</w:t>
      </w:r>
      <w:r>
        <w:rPr>
          <w:rFonts w:hint="eastAsia" w:ascii="宋体" w:hAnsi="宋体" w:eastAsia="宋体" w:cs="宋体"/>
          <w:bCs/>
          <w:color w:val="auto"/>
          <w:sz w:val="24"/>
          <w:szCs w:val="24"/>
          <w:highlight w:val="none"/>
        </w:rPr>
        <w:t>解决：采购人对服务质量提出异议要求检验或检测的，结果为合格的，费用由采购人承担，结果为不合格或达不到本条标准的，其费用由定点供货商承担。</w:t>
      </w:r>
    </w:p>
    <w:p w14:paraId="36CAE7E4">
      <w:pPr>
        <w:shd w:val="clear"/>
        <w:adjustRightInd/>
        <w:spacing w:line="400" w:lineRule="exact"/>
        <w:rPr>
          <w:rFonts w:hint="eastAsia" w:ascii="宋体" w:hAnsi="宋体" w:eastAsia="宋体" w:cs="宋体"/>
          <w:bCs/>
          <w:color w:val="auto"/>
          <w:szCs w:val="21"/>
          <w:highlight w:val="none"/>
        </w:rPr>
      </w:pPr>
    </w:p>
    <w:p w14:paraId="18E999BD">
      <w:pPr>
        <w:widowControl/>
        <w:shd w:val="clear"/>
        <w:adjustRightInd/>
        <w:spacing w:line="360" w:lineRule="auto"/>
        <w:jc w:val="left"/>
        <w:rPr>
          <w:rFonts w:hint="eastAsia" w:ascii="宋体" w:hAnsi="宋体" w:eastAsia="宋体" w:cs="宋体"/>
          <w:b/>
          <w:color w:val="auto"/>
          <w:kern w:val="0"/>
          <w:sz w:val="24"/>
          <w:szCs w:val="24"/>
          <w:highlight w:val="none"/>
          <w:lang w:val="en-US" w:eastAsia="zh-CN"/>
        </w:rPr>
      </w:pPr>
      <w:r>
        <w:rPr>
          <w:rFonts w:hint="eastAsia" w:ascii="宋体" w:hAnsi="宋体" w:eastAsia="宋体" w:cs="宋体"/>
          <w:b/>
          <w:color w:val="auto"/>
          <w:kern w:val="0"/>
          <w:sz w:val="24"/>
          <w:szCs w:val="24"/>
          <w:highlight w:val="none"/>
          <w:lang w:val="en-US" w:eastAsia="zh-CN"/>
        </w:rPr>
        <w:t>八、不可抗力</w:t>
      </w:r>
    </w:p>
    <w:p w14:paraId="1DD05A12">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val="en-US" w:eastAsia="zh-CN"/>
        </w:rPr>
        <w:t>8.1</w:t>
      </w:r>
      <w:r>
        <w:rPr>
          <w:rFonts w:hint="eastAsia" w:ascii="宋体" w:hAnsi="宋体" w:eastAsia="宋体" w:cs="宋体"/>
          <w:bCs/>
          <w:color w:val="auto"/>
          <w:sz w:val="24"/>
          <w:szCs w:val="24"/>
          <w:highlight w:val="none"/>
        </w:rPr>
        <w:t>如一旦有构成不可抗力的事件发生，且签约被认为无力履行全部或部分合同中规定的职责，</w:t>
      </w:r>
      <w:r>
        <w:rPr>
          <w:rFonts w:hint="eastAsia" w:ascii="宋体" w:hAnsi="宋体" w:eastAsia="宋体" w:cs="宋体"/>
          <w:bCs/>
          <w:color w:val="auto"/>
          <w:sz w:val="24"/>
          <w:szCs w:val="24"/>
          <w:highlight w:val="none"/>
          <w:lang w:val="en-US" w:eastAsia="zh-CN"/>
        </w:rPr>
        <w:t>中标人</w:t>
      </w:r>
      <w:r>
        <w:rPr>
          <w:rFonts w:hint="eastAsia" w:ascii="宋体" w:hAnsi="宋体" w:eastAsia="宋体" w:cs="宋体"/>
          <w:bCs/>
          <w:color w:val="auto"/>
          <w:sz w:val="24"/>
          <w:szCs w:val="24"/>
          <w:highlight w:val="none"/>
        </w:rPr>
        <w:t>需以书面形式通知</w:t>
      </w:r>
      <w:r>
        <w:rPr>
          <w:rFonts w:hint="eastAsia" w:ascii="宋体" w:hAnsi="宋体" w:eastAsia="宋体" w:cs="宋体"/>
          <w:bCs/>
          <w:color w:val="auto"/>
          <w:sz w:val="24"/>
          <w:szCs w:val="24"/>
          <w:highlight w:val="none"/>
          <w:lang w:val="en-US" w:eastAsia="zh-CN"/>
        </w:rPr>
        <w:t>采购</w:t>
      </w:r>
      <w:r>
        <w:rPr>
          <w:rFonts w:hint="eastAsia" w:ascii="宋体" w:hAnsi="宋体" w:eastAsia="宋体" w:cs="宋体"/>
          <w:bCs/>
          <w:color w:val="auto"/>
          <w:sz w:val="24"/>
          <w:szCs w:val="24"/>
          <w:highlight w:val="none"/>
        </w:rPr>
        <w:t>人并告知有关细节。</w:t>
      </w:r>
    </w:p>
    <w:p w14:paraId="44415369">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val="en-US" w:eastAsia="zh-CN"/>
        </w:rPr>
        <w:t>8.2</w:t>
      </w:r>
      <w:r>
        <w:rPr>
          <w:rFonts w:hint="eastAsia" w:ascii="宋体" w:hAnsi="宋体" w:eastAsia="宋体" w:cs="宋体"/>
          <w:bCs/>
          <w:color w:val="auto"/>
          <w:sz w:val="24"/>
          <w:szCs w:val="24"/>
          <w:highlight w:val="none"/>
        </w:rPr>
        <w:t>本条款中的不可抗力应解释为大自然、战争（无论是否公开宣战）、入侵、暴动、叛乱、国家政策，</w:t>
      </w:r>
      <w:r>
        <w:rPr>
          <w:rFonts w:hint="eastAsia" w:ascii="宋体" w:hAnsi="宋体" w:cs="宋体"/>
          <w:bCs/>
          <w:color w:val="auto"/>
          <w:sz w:val="24"/>
          <w:szCs w:val="24"/>
          <w:highlight w:val="none"/>
          <w:lang w:eastAsia="zh-CN"/>
        </w:rPr>
        <w:t>或其他具有</w:t>
      </w:r>
      <w:r>
        <w:rPr>
          <w:rFonts w:hint="eastAsia" w:ascii="宋体" w:hAnsi="宋体" w:eastAsia="宋体" w:cs="宋体"/>
          <w:bCs/>
          <w:color w:val="auto"/>
          <w:sz w:val="24"/>
          <w:szCs w:val="24"/>
          <w:highlight w:val="none"/>
        </w:rPr>
        <w:t>相似性质的事件。</w:t>
      </w:r>
    </w:p>
    <w:p w14:paraId="37767184">
      <w:pPr>
        <w:shd w:val="clear"/>
        <w:adjustRightInd/>
        <w:spacing w:line="400" w:lineRule="exact"/>
        <w:ind w:firstLine="420" w:firstLineChars="200"/>
        <w:rPr>
          <w:rFonts w:hint="eastAsia" w:ascii="宋体" w:hAnsi="宋体" w:eastAsia="宋体" w:cs="宋体"/>
          <w:bCs/>
          <w:color w:val="auto"/>
          <w:szCs w:val="21"/>
          <w:highlight w:val="none"/>
        </w:rPr>
      </w:pPr>
    </w:p>
    <w:p w14:paraId="7C40F35B">
      <w:pPr>
        <w:widowControl/>
        <w:shd w:val="clear"/>
        <w:adjustRightInd/>
        <w:spacing w:line="360" w:lineRule="auto"/>
        <w:jc w:val="left"/>
        <w:rPr>
          <w:rFonts w:hint="eastAsia" w:ascii="宋体" w:hAnsi="宋体" w:eastAsia="宋体" w:cs="宋体"/>
          <w:b/>
          <w:color w:val="auto"/>
          <w:kern w:val="0"/>
          <w:sz w:val="24"/>
          <w:szCs w:val="24"/>
          <w:highlight w:val="none"/>
          <w:lang w:val="en-US" w:eastAsia="zh-CN"/>
        </w:rPr>
      </w:pPr>
      <w:r>
        <w:rPr>
          <w:rFonts w:hint="eastAsia" w:ascii="宋体" w:hAnsi="宋体" w:eastAsia="宋体" w:cs="宋体"/>
          <w:b/>
          <w:color w:val="auto"/>
          <w:kern w:val="0"/>
          <w:sz w:val="24"/>
          <w:szCs w:val="24"/>
          <w:highlight w:val="none"/>
          <w:lang w:val="en-US" w:eastAsia="zh-CN"/>
        </w:rPr>
        <w:t>九、</w:t>
      </w:r>
      <w:r>
        <w:rPr>
          <w:rFonts w:hint="eastAsia" w:ascii="宋体" w:hAnsi="宋体" w:cs="宋体"/>
          <w:b/>
          <w:color w:val="auto"/>
          <w:kern w:val="0"/>
          <w:sz w:val="24"/>
          <w:szCs w:val="24"/>
          <w:highlight w:val="none"/>
          <w:lang w:val="en-US" w:eastAsia="zh-CN"/>
        </w:rPr>
        <w:t>投诉</w:t>
      </w:r>
    </w:p>
    <w:p w14:paraId="6AA7DD80">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为了维护</w:t>
      </w:r>
      <w:r>
        <w:rPr>
          <w:rFonts w:hint="eastAsia" w:ascii="宋体" w:hAnsi="宋体" w:eastAsia="宋体" w:cs="Times New Roman"/>
          <w:bCs/>
          <w:color w:val="auto"/>
          <w:sz w:val="24"/>
          <w:szCs w:val="24"/>
          <w:highlight w:val="none"/>
        </w:rPr>
        <w:t>双方</w:t>
      </w:r>
      <w:r>
        <w:rPr>
          <w:rFonts w:hint="eastAsia" w:ascii="宋体" w:hAnsi="宋体" w:eastAsia="宋体" w:cs="宋体"/>
          <w:bCs/>
          <w:color w:val="auto"/>
          <w:sz w:val="24"/>
          <w:szCs w:val="24"/>
          <w:highlight w:val="none"/>
        </w:rPr>
        <w:t>的权益，保证</w:t>
      </w:r>
      <w:r>
        <w:rPr>
          <w:rFonts w:hint="eastAsia" w:ascii="宋体" w:hAnsi="宋体" w:cs="宋体"/>
          <w:bCs/>
          <w:color w:val="auto"/>
          <w:sz w:val="24"/>
          <w:szCs w:val="24"/>
          <w:highlight w:val="none"/>
          <w:lang w:val="en-US" w:eastAsia="zh-CN"/>
        </w:rPr>
        <w:t>项目</w:t>
      </w:r>
      <w:r>
        <w:rPr>
          <w:rFonts w:hint="eastAsia" w:ascii="宋体" w:hAnsi="宋体" w:eastAsia="宋体" w:cs="宋体"/>
          <w:bCs/>
          <w:color w:val="auto"/>
          <w:sz w:val="24"/>
          <w:szCs w:val="24"/>
          <w:highlight w:val="none"/>
        </w:rPr>
        <w:t>顺利执行，本</w:t>
      </w:r>
      <w:r>
        <w:rPr>
          <w:rFonts w:hint="eastAsia" w:ascii="宋体" w:hAnsi="宋体" w:eastAsia="宋体" w:cs="宋体"/>
          <w:bCs/>
          <w:color w:val="auto"/>
          <w:sz w:val="24"/>
          <w:szCs w:val="24"/>
          <w:highlight w:val="none"/>
          <w:lang w:val="en-US" w:eastAsia="zh-CN"/>
        </w:rPr>
        <w:t>项目</w:t>
      </w:r>
      <w:r>
        <w:rPr>
          <w:rFonts w:hint="eastAsia" w:ascii="宋体" w:hAnsi="宋体" w:eastAsia="宋体" w:cs="宋体"/>
          <w:bCs/>
          <w:color w:val="auto"/>
          <w:sz w:val="24"/>
          <w:szCs w:val="24"/>
          <w:highlight w:val="none"/>
        </w:rPr>
        <w:t>建立投诉监管制。具体方式为：</w:t>
      </w:r>
    </w:p>
    <w:p w14:paraId="577F7EAF">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val="en-US" w:eastAsia="zh-CN"/>
        </w:rPr>
        <w:t>9.1采购人</w:t>
      </w:r>
      <w:r>
        <w:rPr>
          <w:rFonts w:hint="eastAsia" w:ascii="宋体" w:hAnsi="宋体" w:eastAsia="宋体" w:cs="宋体"/>
          <w:bCs/>
          <w:color w:val="auto"/>
          <w:sz w:val="24"/>
          <w:szCs w:val="24"/>
          <w:highlight w:val="none"/>
        </w:rPr>
        <w:t>可就</w:t>
      </w:r>
      <w:r>
        <w:rPr>
          <w:rFonts w:hint="eastAsia" w:ascii="宋体" w:hAnsi="宋体" w:eastAsia="宋体" w:cs="宋体"/>
          <w:bCs/>
          <w:color w:val="auto"/>
          <w:sz w:val="24"/>
          <w:szCs w:val="24"/>
          <w:highlight w:val="none"/>
          <w:lang w:val="en-US" w:eastAsia="zh-CN"/>
        </w:rPr>
        <w:t>中标人</w:t>
      </w:r>
      <w:r>
        <w:rPr>
          <w:rFonts w:hint="eastAsia" w:ascii="宋体" w:hAnsi="宋体" w:eastAsia="宋体" w:cs="宋体"/>
          <w:bCs/>
          <w:color w:val="auto"/>
          <w:sz w:val="24"/>
          <w:szCs w:val="24"/>
          <w:highlight w:val="none"/>
        </w:rPr>
        <w:t>提供货物的质量、价格、服务等问题向海曙区</w:t>
      </w:r>
      <w:r>
        <w:rPr>
          <w:rFonts w:hint="eastAsia" w:ascii="宋体" w:hAnsi="宋体" w:eastAsia="宋体" w:cs="宋体"/>
          <w:bCs/>
          <w:color w:val="auto"/>
          <w:sz w:val="24"/>
          <w:szCs w:val="24"/>
          <w:highlight w:val="none"/>
          <w:lang w:val="en-US" w:eastAsia="zh-CN"/>
        </w:rPr>
        <w:t>政务办</w:t>
      </w:r>
      <w:r>
        <w:rPr>
          <w:rFonts w:hint="eastAsia" w:ascii="宋体" w:hAnsi="宋体" w:eastAsia="宋体" w:cs="宋体"/>
          <w:bCs/>
          <w:color w:val="auto"/>
          <w:sz w:val="24"/>
          <w:szCs w:val="24"/>
          <w:highlight w:val="none"/>
        </w:rPr>
        <w:t>、监察局、监管部门或法定检验机构投诉；海曙区</w:t>
      </w:r>
      <w:r>
        <w:rPr>
          <w:rFonts w:hint="eastAsia" w:ascii="宋体" w:hAnsi="宋体" w:eastAsia="宋体" w:cs="宋体"/>
          <w:bCs/>
          <w:color w:val="auto"/>
          <w:sz w:val="24"/>
          <w:szCs w:val="24"/>
          <w:highlight w:val="none"/>
          <w:lang w:val="en-US" w:eastAsia="zh-CN"/>
        </w:rPr>
        <w:t>政务办</w:t>
      </w:r>
      <w:r>
        <w:rPr>
          <w:rFonts w:hint="eastAsia" w:ascii="宋体" w:hAnsi="宋体" w:eastAsia="宋体" w:cs="宋体"/>
          <w:bCs/>
          <w:color w:val="auto"/>
          <w:sz w:val="24"/>
          <w:szCs w:val="24"/>
          <w:highlight w:val="none"/>
        </w:rPr>
        <w:t>、监察局、监管部门或法定检验机构将对</w:t>
      </w:r>
      <w:r>
        <w:rPr>
          <w:rFonts w:hint="eastAsia" w:ascii="宋体" w:hAnsi="宋体" w:eastAsia="宋体" w:cs="宋体"/>
          <w:bCs/>
          <w:color w:val="auto"/>
          <w:sz w:val="24"/>
          <w:szCs w:val="24"/>
          <w:highlight w:val="none"/>
          <w:lang w:val="en-US" w:eastAsia="zh-CN"/>
        </w:rPr>
        <w:t>采购人</w:t>
      </w:r>
      <w:r>
        <w:rPr>
          <w:rFonts w:hint="eastAsia" w:ascii="宋体" w:hAnsi="宋体" w:eastAsia="宋体" w:cs="宋体"/>
          <w:bCs/>
          <w:color w:val="auto"/>
          <w:sz w:val="24"/>
          <w:szCs w:val="24"/>
          <w:highlight w:val="none"/>
        </w:rPr>
        <w:t>的投诉进行核查，如情况属实，经有关部门批准后，第一次</w:t>
      </w:r>
      <w:r>
        <w:rPr>
          <w:rFonts w:hint="eastAsia" w:ascii="宋体" w:hAnsi="宋体" w:eastAsia="宋体" w:cs="宋体"/>
          <w:bCs/>
          <w:color w:val="auto"/>
          <w:sz w:val="24"/>
          <w:szCs w:val="24"/>
          <w:highlight w:val="none"/>
          <w:lang w:val="en-US" w:eastAsia="zh-CN"/>
        </w:rPr>
        <w:t>扣除</w:t>
      </w:r>
      <w:r>
        <w:rPr>
          <w:rFonts w:hint="eastAsia" w:ascii="宋体" w:hAnsi="宋体" w:eastAsia="宋体" w:cs="宋体"/>
          <w:bCs/>
          <w:color w:val="auto"/>
          <w:sz w:val="24"/>
          <w:szCs w:val="24"/>
          <w:highlight w:val="none"/>
        </w:rPr>
        <w:t>50%的履约保证金，定点供应商</w:t>
      </w:r>
      <w:r>
        <w:rPr>
          <w:rFonts w:hint="eastAsia" w:ascii="宋体" w:hAnsi="宋体" w:eastAsia="宋体" w:cs="宋体"/>
          <w:bCs/>
          <w:color w:val="auto"/>
          <w:sz w:val="24"/>
          <w:szCs w:val="24"/>
          <w:highlight w:val="none"/>
          <w:lang w:val="en-US" w:eastAsia="zh-CN"/>
        </w:rPr>
        <w:t>须在</w:t>
      </w:r>
      <w:r>
        <w:rPr>
          <w:rFonts w:hint="eastAsia" w:ascii="宋体" w:hAnsi="宋体" w:eastAsia="宋体" w:cs="宋体"/>
          <w:bCs/>
          <w:color w:val="auto"/>
          <w:sz w:val="24"/>
          <w:szCs w:val="24"/>
          <w:highlight w:val="none"/>
        </w:rPr>
        <w:t>五日内补足</w:t>
      </w:r>
      <w:r>
        <w:rPr>
          <w:rFonts w:hint="eastAsia" w:ascii="宋体" w:hAnsi="宋体" w:eastAsia="宋体" w:cs="宋体"/>
          <w:bCs/>
          <w:color w:val="auto"/>
          <w:sz w:val="24"/>
          <w:szCs w:val="24"/>
          <w:highlight w:val="none"/>
          <w:lang w:val="en-US" w:eastAsia="zh-CN"/>
        </w:rPr>
        <w:t>扣除</w:t>
      </w:r>
      <w:r>
        <w:rPr>
          <w:rFonts w:hint="eastAsia" w:ascii="宋体" w:hAnsi="宋体" w:eastAsia="宋体" w:cs="宋体"/>
          <w:bCs/>
          <w:color w:val="auto"/>
          <w:sz w:val="24"/>
          <w:szCs w:val="24"/>
          <w:highlight w:val="none"/>
        </w:rPr>
        <w:t>款项；第二次</w:t>
      </w:r>
      <w:r>
        <w:rPr>
          <w:rFonts w:hint="eastAsia" w:ascii="宋体" w:hAnsi="宋体" w:eastAsia="宋体" w:cs="宋体"/>
          <w:bCs/>
          <w:color w:val="auto"/>
          <w:sz w:val="24"/>
          <w:szCs w:val="24"/>
          <w:highlight w:val="none"/>
          <w:lang w:val="en-US" w:eastAsia="zh-CN"/>
        </w:rPr>
        <w:t>扣除</w:t>
      </w:r>
      <w:r>
        <w:rPr>
          <w:rFonts w:hint="eastAsia" w:ascii="宋体" w:hAnsi="宋体" w:eastAsia="宋体" w:cs="宋体"/>
          <w:bCs/>
          <w:color w:val="auto"/>
          <w:sz w:val="24"/>
          <w:szCs w:val="24"/>
          <w:highlight w:val="none"/>
        </w:rPr>
        <w:t>剩余的履约保证金，并取消定点供应商资格。</w:t>
      </w:r>
    </w:p>
    <w:p w14:paraId="2C305280">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val="en-US" w:eastAsia="zh-CN"/>
        </w:rPr>
        <w:t>9.2中标人</w:t>
      </w:r>
      <w:r>
        <w:rPr>
          <w:rFonts w:hint="eastAsia" w:ascii="宋体" w:hAnsi="宋体" w:eastAsia="宋体" w:cs="宋体"/>
          <w:bCs/>
          <w:color w:val="auto"/>
          <w:sz w:val="24"/>
          <w:szCs w:val="24"/>
          <w:highlight w:val="none"/>
        </w:rPr>
        <w:t>可就</w:t>
      </w:r>
      <w:r>
        <w:rPr>
          <w:rFonts w:hint="eastAsia" w:ascii="宋体" w:hAnsi="宋体" w:eastAsia="宋体" w:cs="宋体"/>
          <w:bCs/>
          <w:color w:val="auto"/>
          <w:sz w:val="24"/>
          <w:szCs w:val="24"/>
          <w:highlight w:val="none"/>
          <w:lang w:val="en-US" w:eastAsia="zh-CN"/>
        </w:rPr>
        <w:t>采购人</w:t>
      </w:r>
      <w:r>
        <w:rPr>
          <w:rFonts w:hint="eastAsia" w:ascii="宋体" w:hAnsi="宋体" w:eastAsia="宋体" w:cs="宋体"/>
          <w:bCs/>
          <w:color w:val="auto"/>
          <w:sz w:val="24"/>
          <w:szCs w:val="24"/>
          <w:highlight w:val="none"/>
        </w:rPr>
        <w:t>的违反合同规定或违纪事项，向相关部门对</w:t>
      </w:r>
      <w:r>
        <w:rPr>
          <w:rFonts w:hint="eastAsia" w:ascii="宋体" w:hAnsi="宋体" w:eastAsia="宋体" w:cs="宋体"/>
          <w:bCs/>
          <w:color w:val="auto"/>
          <w:sz w:val="24"/>
          <w:szCs w:val="24"/>
          <w:highlight w:val="none"/>
          <w:lang w:val="en-US" w:eastAsia="zh-CN"/>
        </w:rPr>
        <w:t>中标人</w:t>
      </w:r>
      <w:r>
        <w:rPr>
          <w:rFonts w:hint="eastAsia" w:ascii="宋体" w:hAnsi="宋体" w:eastAsia="宋体" w:cs="宋体"/>
          <w:bCs/>
          <w:color w:val="auto"/>
          <w:sz w:val="24"/>
          <w:szCs w:val="24"/>
          <w:highlight w:val="none"/>
        </w:rPr>
        <w:t>的投诉进行调查处理。</w:t>
      </w:r>
    </w:p>
    <w:p w14:paraId="0B515D3B">
      <w:pPr>
        <w:shd w:val="clear"/>
        <w:adjustRightInd/>
        <w:spacing w:line="400" w:lineRule="exact"/>
        <w:ind w:firstLine="480" w:firstLineChars="200"/>
        <w:rPr>
          <w:rFonts w:hint="eastAsia" w:ascii="宋体" w:hAnsi="宋体" w:eastAsia="宋体" w:cs="宋体"/>
          <w:bCs/>
          <w:color w:val="auto"/>
          <w:sz w:val="24"/>
          <w:szCs w:val="24"/>
          <w:highlight w:val="none"/>
        </w:rPr>
      </w:pPr>
    </w:p>
    <w:p w14:paraId="05BCE661">
      <w:pPr>
        <w:widowControl/>
        <w:adjustRightInd/>
        <w:spacing w:line="360" w:lineRule="auto"/>
        <w:jc w:val="left"/>
        <w:rPr>
          <w:rFonts w:hint="eastAsia" w:ascii="宋体" w:hAnsi="宋体" w:eastAsia="宋体" w:cs="宋体"/>
          <w:b/>
          <w:color w:val="auto"/>
          <w:kern w:val="0"/>
          <w:sz w:val="24"/>
          <w:szCs w:val="24"/>
          <w:highlight w:val="none"/>
          <w:lang w:val="en-US" w:eastAsia="zh-CN"/>
        </w:rPr>
      </w:pPr>
      <w:r>
        <w:rPr>
          <w:rFonts w:hint="eastAsia" w:ascii="宋体" w:hAnsi="宋体" w:eastAsia="宋体" w:cs="宋体"/>
          <w:b/>
          <w:color w:val="auto"/>
          <w:kern w:val="0"/>
          <w:sz w:val="24"/>
          <w:szCs w:val="24"/>
          <w:highlight w:val="none"/>
          <w:lang w:val="en-US" w:eastAsia="zh-CN"/>
        </w:rPr>
        <w:t>十、惩处</w:t>
      </w:r>
    </w:p>
    <w:p w14:paraId="183881C2">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10.1如中标人首次出现以下情况之一的，采购人有权扣除50%的履约保证金，</w:t>
      </w:r>
      <w:r>
        <w:rPr>
          <w:rFonts w:hint="eastAsia" w:ascii="宋体" w:hAnsi="宋体" w:cs="宋体"/>
          <w:bCs/>
          <w:color w:val="auto"/>
          <w:sz w:val="24"/>
          <w:szCs w:val="24"/>
          <w:highlight w:val="none"/>
          <w:lang w:val="en-US" w:eastAsia="zh-CN"/>
        </w:rPr>
        <w:t>中标人</w:t>
      </w:r>
      <w:r>
        <w:rPr>
          <w:rFonts w:hint="eastAsia" w:ascii="宋体" w:hAnsi="宋体" w:eastAsia="宋体" w:cs="宋体"/>
          <w:bCs/>
          <w:color w:val="auto"/>
          <w:sz w:val="24"/>
          <w:szCs w:val="24"/>
          <w:highlight w:val="none"/>
          <w:lang w:val="en-US" w:eastAsia="zh-CN"/>
        </w:rPr>
        <w:t>须在五日内补足扣除款项：</w:t>
      </w:r>
    </w:p>
    <w:p w14:paraId="61F51ED5">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w:t>
      </w:r>
      <w:r>
        <w:rPr>
          <w:rFonts w:hint="eastAsia" w:ascii="宋体" w:hAnsi="宋体" w:cs="宋体"/>
          <w:bCs/>
          <w:color w:val="auto"/>
          <w:sz w:val="24"/>
          <w:szCs w:val="24"/>
          <w:highlight w:val="none"/>
          <w:lang w:val="en-US" w:eastAsia="zh-CN"/>
        </w:rPr>
        <w:t>出现较轻食品质量，但不影响采购单位正常运行的</w:t>
      </w:r>
      <w:r>
        <w:rPr>
          <w:rFonts w:hint="eastAsia" w:ascii="宋体" w:hAnsi="宋体" w:eastAsia="宋体" w:cs="宋体"/>
          <w:bCs/>
          <w:color w:val="auto"/>
          <w:sz w:val="24"/>
          <w:szCs w:val="24"/>
          <w:highlight w:val="none"/>
        </w:rPr>
        <w:t xml:space="preserve">； </w:t>
      </w:r>
    </w:p>
    <w:p w14:paraId="47697CDA">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cs="宋体"/>
          <w:bCs/>
          <w:color w:val="auto"/>
          <w:sz w:val="24"/>
          <w:szCs w:val="24"/>
          <w:highlight w:val="none"/>
          <w:lang w:val="en-US" w:eastAsia="zh-CN"/>
        </w:rPr>
      </w:pPr>
      <w:r>
        <w:rPr>
          <w:rFonts w:hint="eastAsia" w:ascii="宋体" w:hAnsi="宋体" w:cs="宋体"/>
          <w:bCs/>
          <w:color w:val="auto"/>
          <w:sz w:val="24"/>
          <w:szCs w:val="24"/>
          <w:highlight w:val="none"/>
          <w:lang w:eastAsia="zh-CN"/>
        </w:rPr>
        <w:t>（</w:t>
      </w:r>
      <w:r>
        <w:rPr>
          <w:rFonts w:hint="eastAsia" w:ascii="宋体" w:hAnsi="宋体" w:cs="宋体"/>
          <w:bCs/>
          <w:color w:val="auto"/>
          <w:sz w:val="24"/>
          <w:szCs w:val="24"/>
          <w:highlight w:val="none"/>
          <w:lang w:val="en-US" w:eastAsia="zh-CN"/>
        </w:rPr>
        <w:t>2</w:t>
      </w:r>
      <w:r>
        <w:rPr>
          <w:rFonts w:hint="eastAsia" w:ascii="宋体" w:hAnsi="宋体" w:cs="宋体"/>
          <w:bCs/>
          <w:color w:val="auto"/>
          <w:sz w:val="24"/>
          <w:szCs w:val="24"/>
          <w:highlight w:val="none"/>
          <w:lang w:eastAsia="zh-CN"/>
        </w:rPr>
        <w:t>）</w:t>
      </w:r>
      <w:r>
        <w:rPr>
          <w:rFonts w:hint="eastAsia" w:ascii="宋体" w:hAnsi="宋体" w:cs="宋体"/>
          <w:bCs/>
          <w:color w:val="auto"/>
          <w:sz w:val="24"/>
          <w:szCs w:val="24"/>
          <w:highlight w:val="none"/>
          <w:lang w:val="en-US" w:eastAsia="zh-CN"/>
        </w:rPr>
        <w:t>不遵守定价规则的；</w:t>
      </w:r>
    </w:p>
    <w:p w14:paraId="238A6F66">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lang w:val="en-US" w:eastAsia="zh-CN"/>
        </w:rPr>
      </w:pPr>
      <w:r>
        <w:rPr>
          <w:rFonts w:hint="eastAsia" w:ascii="宋体" w:hAnsi="宋体" w:cs="宋体"/>
          <w:bCs/>
          <w:color w:val="auto"/>
          <w:sz w:val="24"/>
          <w:szCs w:val="24"/>
          <w:highlight w:val="none"/>
          <w:lang w:val="en-US" w:eastAsia="zh-CN"/>
        </w:rPr>
        <w:t>（3）未按采购单位要求及时配送到位，并影响到采购单位正常运行的。</w:t>
      </w:r>
    </w:p>
    <w:p w14:paraId="1DA9411D">
      <w:pPr>
        <w:widowControl/>
        <w:shd w:val="clear"/>
        <w:adjustRightInd/>
        <w:spacing w:line="360" w:lineRule="auto"/>
        <w:jc w:val="left"/>
        <w:rPr>
          <w:rFonts w:hint="eastAsia" w:ascii="宋体" w:hAnsi="宋体" w:eastAsia="宋体" w:cs="宋体"/>
          <w:b/>
          <w:color w:val="auto"/>
          <w:kern w:val="0"/>
          <w:sz w:val="24"/>
          <w:szCs w:val="24"/>
          <w:highlight w:val="none"/>
          <w:lang w:val="en-US" w:eastAsia="zh-CN"/>
        </w:rPr>
      </w:pPr>
    </w:p>
    <w:p w14:paraId="75AE92C1">
      <w:pPr>
        <w:widowControl/>
        <w:shd w:val="clear"/>
        <w:adjustRightInd/>
        <w:spacing w:line="360" w:lineRule="auto"/>
        <w:jc w:val="left"/>
        <w:rPr>
          <w:rFonts w:hint="default" w:ascii="宋体" w:hAnsi="宋体" w:eastAsia="宋体" w:cs="宋体"/>
          <w:b/>
          <w:color w:val="auto"/>
          <w:kern w:val="0"/>
          <w:sz w:val="24"/>
          <w:szCs w:val="24"/>
          <w:highlight w:val="none"/>
          <w:lang w:val="en-US" w:eastAsia="zh-CN"/>
        </w:rPr>
      </w:pPr>
      <w:r>
        <w:rPr>
          <w:rFonts w:hint="eastAsia" w:ascii="宋体" w:hAnsi="宋体" w:eastAsia="宋体" w:cs="宋体"/>
          <w:b/>
          <w:color w:val="auto"/>
          <w:kern w:val="0"/>
          <w:sz w:val="24"/>
          <w:szCs w:val="24"/>
          <w:highlight w:val="none"/>
          <w:lang w:val="en-US" w:eastAsia="zh-CN"/>
        </w:rPr>
        <w:t>十</w:t>
      </w:r>
      <w:r>
        <w:rPr>
          <w:rFonts w:hint="eastAsia" w:ascii="宋体" w:hAnsi="宋体" w:cs="宋体"/>
          <w:b/>
          <w:color w:val="auto"/>
          <w:kern w:val="0"/>
          <w:sz w:val="24"/>
          <w:szCs w:val="24"/>
          <w:highlight w:val="none"/>
          <w:lang w:val="en-US" w:eastAsia="zh-CN"/>
        </w:rPr>
        <w:t>一</w:t>
      </w:r>
      <w:r>
        <w:rPr>
          <w:rFonts w:hint="eastAsia" w:ascii="宋体" w:hAnsi="宋体" w:eastAsia="宋体" w:cs="宋体"/>
          <w:b/>
          <w:color w:val="auto"/>
          <w:kern w:val="0"/>
          <w:sz w:val="24"/>
          <w:szCs w:val="24"/>
          <w:highlight w:val="none"/>
          <w:lang w:val="en-US" w:eastAsia="zh-CN"/>
        </w:rPr>
        <w:t>、其他要求</w:t>
      </w:r>
    </w:p>
    <w:p w14:paraId="0F62AD90">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1</w:t>
      </w:r>
      <w:r>
        <w:rPr>
          <w:rFonts w:hint="eastAsia" w:ascii="宋体" w:hAnsi="宋体" w:cs="宋体"/>
          <w:bCs/>
          <w:color w:val="auto"/>
          <w:sz w:val="24"/>
          <w:szCs w:val="24"/>
          <w:highlight w:val="none"/>
          <w:lang w:val="en-US" w:eastAsia="zh-CN"/>
        </w:rPr>
        <w:t>1</w:t>
      </w:r>
      <w:r>
        <w:rPr>
          <w:rFonts w:hint="eastAsia" w:ascii="宋体" w:hAnsi="宋体" w:eastAsia="宋体" w:cs="宋体"/>
          <w:bCs/>
          <w:color w:val="auto"/>
          <w:sz w:val="24"/>
          <w:szCs w:val="24"/>
          <w:highlight w:val="none"/>
          <w:lang w:val="en-US" w:eastAsia="zh-CN"/>
        </w:rPr>
        <w:t>.1供应商应具有完善的管理体系，且具有丰富的食堂原材料配送业绩。</w:t>
      </w:r>
    </w:p>
    <w:p w14:paraId="25326B2F">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1</w:t>
      </w:r>
      <w:r>
        <w:rPr>
          <w:rFonts w:hint="eastAsia" w:ascii="宋体" w:hAnsi="宋体" w:cs="宋体"/>
          <w:bCs/>
          <w:color w:val="auto"/>
          <w:sz w:val="24"/>
          <w:szCs w:val="24"/>
          <w:highlight w:val="none"/>
          <w:lang w:val="en-US" w:eastAsia="zh-CN"/>
        </w:rPr>
        <w:t>1</w:t>
      </w:r>
      <w:r>
        <w:rPr>
          <w:rFonts w:hint="eastAsia" w:ascii="宋体" w:hAnsi="宋体" w:eastAsia="宋体" w:cs="宋体"/>
          <w:bCs/>
          <w:color w:val="auto"/>
          <w:sz w:val="24"/>
          <w:szCs w:val="24"/>
          <w:highlight w:val="none"/>
          <w:lang w:val="en-US" w:eastAsia="zh-CN"/>
        </w:rPr>
        <w:t>.2针对本项目的实际情况，供应商应具备一定的配送能力及质量实际控制能力：需投入配送车辆、制定配送方案，并投入质检室、质检设备、质检人员，同时制定合理的检测措施，提供一定数量的原材料质检报告、合格证。</w:t>
      </w:r>
    </w:p>
    <w:p w14:paraId="641E63A3">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lang w:val="en-US" w:eastAsia="zh-CN"/>
        </w:rPr>
      </w:pPr>
      <w:r>
        <w:rPr>
          <w:rFonts w:hint="eastAsia" w:ascii="宋体" w:hAnsi="宋体" w:cs="宋体"/>
          <w:bCs/>
          <w:color w:val="auto"/>
          <w:sz w:val="24"/>
          <w:szCs w:val="24"/>
          <w:highlight w:val="none"/>
          <w:lang w:val="en-US" w:eastAsia="zh-CN"/>
        </w:rPr>
        <w:t>11</w:t>
      </w:r>
      <w:r>
        <w:rPr>
          <w:rFonts w:hint="eastAsia" w:ascii="宋体" w:hAnsi="宋体" w:eastAsia="宋体" w:cs="宋体"/>
          <w:bCs/>
          <w:color w:val="auto"/>
          <w:sz w:val="24"/>
          <w:szCs w:val="24"/>
          <w:highlight w:val="none"/>
          <w:lang w:val="en-US" w:eastAsia="zh-CN"/>
        </w:rPr>
        <w:t>.3供应商应为本项目配备具体的服务人员，并制定详细的人员管理方案（包括人事管理、考核奖惩）。</w:t>
      </w:r>
    </w:p>
    <w:p w14:paraId="320CB32F">
      <w:pPr>
        <w:keepNext w:val="0"/>
        <w:keepLines w:val="0"/>
        <w:pageBreakBefore w:val="0"/>
        <w:widowControl/>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11.4为保障项目顺利实施，供应商需具备原材料的生产或加工场地，配备500m³以上的冷库（冷藏、保鲜）以保障原材料的新鲜程度。</w:t>
      </w:r>
    </w:p>
    <w:p w14:paraId="7F90EB39">
      <w:pPr>
        <w:keepNext w:val="0"/>
        <w:keepLines w:val="0"/>
        <w:pageBreakBefore w:val="0"/>
        <w:widowControl/>
        <w:tabs>
          <w:tab w:val="left" w:pos="851"/>
        </w:tabs>
        <w:kinsoku/>
        <w:wordWrap/>
        <w:overflowPunct/>
        <w:topLinePunct w:val="0"/>
        <w:autoSpaceDE/>
        <w:autoSpaceDN/>
        <w:bidi w:val="0"/>
        <w:adjustRightInd/>
        <w:snapToGrid/>
        <w:spacing w:line="360" w:lineRule="auto"/>
        <w:ind w:firstLine="480" w:firstLineChars="200"/>
        <w:textAlignment w:val="auto"/>
        <w:rPr>
          <w:rFonts w:hint="default"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11.5供应商应具备自有或合作的农产品生产、种养殖基地，提供服务响应及服务便捷性方案。</w:t>
      </w:r>
    </w:p>
    <w:p w14:paraId="713B1498">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1</w:t>
      </w:r>
      <w:r>
        <w:rPr>
          <w:rFonts w:hint="eastAsia" w:ascii="宋体" w:hAnsi="宋体" w:cs="宋体"/>
          <w:bCs/>
          <w:color w:val="auto"/>
          <w:sz w:val="24"/>
          <w:szCs w:val="24"/>
          <w:highlight w:val="none"/>
          <w:lang w:val="en-US" w:eastAsia="zh-CN"/>
        </w:rPr>
        <w:t>1</w:t>
      </w:r>
      <w:r>
        <w:rPr>
          <w:rFonts w:hint="eastAsia" w:ascii="宋体" w:hAnsi="宋体" w:eastAsia="宋体" w:cs="宋体"/>
          <w:bCs/>
          <w:color w:val="auto"/>
          <w:sz w:val="24"/>
          <w:szCs w:val="24"/>
          <w:highlight w:val="none"/>
          <w:lang w:val="en-US" w:eastAsia="zh-CN"/>
        </w:rPr>
        <w:t>.6供应商应为本项目提供售后服务保证（包括食品保障方案：食品送达时间、数量保证、食品安全保证、原材料供应体系）及质量问题处罚与改进措施。</w:t>
      </w:r>
    </w:p>
    <w:p w14:paraId="44F23C39">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1</w:t>
      </w:r>
      <w:r>
        <w:rPr>
          <w:rFonts w:hint="eastAsia" w:ascii="宋体" w:hAnsi="宋体" w:cs="宋体"/>
          <w:bCs/>
          <w:color w:val="auto"/>
          <w:sz w:val="24"/>
          <w:szCs w:val="24"/>
          <w:highlight w:val="none"/>
          <w:lang w:val="en-US" w:eastAsia="zh-CN"/>
        </w:rPr>
        <w:t>1</w:t>
      </w:r>
      <w:r>
        <w:rPr>
          <w:rFonts w:hint="eastAsia" w:ascii="宋体" w:hAnsi="宋体" w:eastAsia="宋体" w:cs="宋体"/>
          <w:bCs/>
          <w:color w:val="auto"/>
          <w:sz w:val="24"/>
          <w:szCs w:val="24"/>
          <w:highlight w:val="none"/>
          <w:lang w:val="en-US" w:eastAsia="zh-CN"/>
        </w:rPr>
        <w:t>.7供应商需制定完善的规章制度（包括安全防范管理、卫生保障制度、文明服务制度、应急管理制度、企业内部考核制度）。</w:t>
      </w:r>
    </w:p>
    <w:p w14:paraId="765A0A77">
      <w:pPr>
        <w:widowControl/>
        <w:tabs>
          <w:tab w:val="left" w:pos="851"/>
        </w:tabs>
        <w:adjustRightInd/>
        <w:spacing w:line="360" w:lineRule="auto"/>
        <w:ind w:firstLine="480" w:firstLineChars="200"/>
        <w:jc w:val="left"/>
        <w:rPr>
          <w:rFonts w:hint="eastAsia" w:ascii="宋体" w:hAnsi="宋体" w:eastAsia="宋体" w:cs="宋体"/>
          <w:bCs/>
          <w:color w:val="auto"/>
          <w:sz w:val="24"/>
          <w:szCs w:val="24"/>
          <w:highlight w:val="none"/>
          <w:lang w:val="en-US" w:eastAsia="zh-CN"/>
        </w:rPr>
        <w:sectPr>
          <w:pgSz w:w="11907" w:h="16840"/>
          <w:pgMar w:top="1474" w:right="1814" w:bottom="1474" w:left="1814" w:header="851" w:footer="851" w:gutter="0"/>
          <w:cols w:space="720" w:num="1"/>
        </w:sectPr>
      </w:pPr>
      <w:r>
        <w:rPr>
          <w:rFonts w:hint="eastAsia" w:ascii="宋体" w:hAnsi="宋体" w:eastAsia="宋体" w:cs="宋体"/>
          <w:bCs/>
          <w:color w:val="auto"/>
          <w:sz w:val="24"/>
          <w:szCs w:val="24"/>
          <w:highlight w:val="none"/>
          <w:lang w:val="en-US" w:eastAsia="zh-CN"/>
        </w:rPr>
        <w:t>1</w:t>
      </w:r>
      <w:r>
        <w:rPr>
          <w:rFonts w:hint="eastAsia" w:ascii="宋体" w:hAnsi="宋体" w:cs="宋体"/>
          <w:bCs/>
          <w:color w:val="auto"/>
          <w:sz w:val="24"/>
          <w:szCs w:val="24"/>
          <w:highlight w:val="none"/>
          <w:lang w:val="en-US" w:eastAsia="zh-CN"/>
        </w:rPr>
        <w:t>1</w:t>
      </w:r>
      <w:r>
        <w:rPr>
          <w:rFonts w:hint="eastAsia" w:ascii="宋体" w:hAnsi="宋体" w:eastAsia="宋体" w:cs="宋体"/>
          <w:bCs/>
          <w:color w:val="auto"/>
          <w:sz w:val="24"/>
          <w:szCs w:val="24"/>
          <w:highlight w:val="none"/>
          <w:lang w:val="en-US" w:eastAsia="zh-CN"/>
        </w:rPr>
        <w:t>.8为应对服务过程中可能出现的应急情况，供应商应制定科学可行的应急预案（食品质量保障、时限保障），配备应急团队及车辆。同时针对特殊时期（包括抗台防雪、停水、停电）制定有针对性的应急保障方案，并积极分析本项目配送过程中可能出现的突发情况提出有效的应对措施。</w:t>
      </w:r>
    </w:p>
    <w:p w14:paraId="2A019A2A">
      <w:pPr>
        <w:jc w:val="center"/>
        <w:rPr>
          <w:rFonts w:ascii="宋体" w:hAnsi="宋体" w:cs="宋体"/>
          <w:b/>
          <w:color w:val="auto"/>
          <w:sz w:val="36"/>
          <w:szCs w:val="36"/>
          <w:highlight w:val="none"/>
        </w:rPr>
      </w:pPr>
      <w:r>
        <w:rPr>
          <w:rFonts w:hint="eastAsia" w:ascii="宋体" w:hAnsi="宋体" w:cs="宋体"/>
          <w:b/>
          <w:color w:val="auto"/>
          <w:sz w:val="36"/>
          <w:szCs w:val="36"/>
          <w:highlight w:val="none"/>
        </w:rPr>
        <w:t xml:space="preserve">第四部分   </w:t>
      </w:r>
      <w:bookmarkStart w:id="29" w:name="_Toc184313306"/>
      <w:bookmarkEnd w:id="29"/>
      <w:bookmarkStart w:id="30" w:name="_Toc184312117"/>
      <w:bookmarkEnd w:id="30"/>
      <w:bookmarkStart w:id="31" w:name="_Toc184314463"/>
      <w:bookmarkEnd w:id="31"/>
      <w:bookmarkStart w:id="32" w:name="_Toc184314423"/>
      <w:bookmarkEnd w:id="32"/>
      <w:bookmarkStart w:id="33" w:name="_Toc184312115"/>
      <w:bookmarkEnd w:id="33"/>
      <w:bookmarkStart w:id="34" w:name="_Toc184310305"/>
      <w:bookmarkEnd w:id="34"/>
      <w:bookmarkStart w:id="35" w:name="_Toc184313299"/>
      <w:bookmarkEnd w:id="35"/>
      <w:bookmarkStart w:id="36" w:name="_Toc184308080"/>
      <w:bookmarkEnd w:id="36"/>
      <w:bookmarkStart w:id="37" w:name="_Toc184308056"/>
      <w:bookmarkEnd w:id="37"/>
      <w:bookmarkStart w:id="38" w:name="_Toc184310304"/>
      <w:bookmarkEnd w:id="38"/>
      <w:bookmarkStart w:id="39" w:name="_Toc184313250"/>
      <w:bookmarkEnd w:id="39"/>
      <w:bookmarkStart w:id="40" w:name="_Toc184313266"/>
      <w:bookmarkEnd w:id="40"/>
      <w:bookmarkStart w:id="41" w:name="_Toc184313252"/>
      <w:bookmarkEnd w:id="41"/>
      <w:bookmarkStart w:id="42" w:name="_Toc184310322"/>
      <w:bookmarkEnd w:id="42"/>
      <w:bookmarkStart w:id="43" w:name="_Toc184314480"/>
      <w:bookmarkEnd w:id="43"/>
      <w:bookmarkStart w:id="44" w:name="_Toc184310315"/>
      <w:bookmarkEnd w:id="44"/>
      <w:bookmarkStart w:id="45" w:name="_Toc184308039"/>
      <w:bookmarkEnd w:id="45"/>
      <w:bookmarkStart w:id="46" w:name="_Toc184314414"/>
      <w:bookmarkEnd w:id="46"/>
      <w:bookmarkStart w:id="47" w:name="_Toc184314422"/>
      <w:bookmarkEnd w:id="47"/>
      <w:bookmarkStart w:id="48" w:name="_Toc184310299"/>
      <w:bookmarkEnd w:id="48"/>
      <w:bookmarkStart w:id="49" w:name="_Toc184312079"/>
      <w:bookmarkEnd w:id="49"/>
      <w:bookmarkStart w:id="50" w:name="_Toc184313303"/>
      <w:bookmarkEnd w:id="50"/>
      <w:bookmarkStart w:id="51" w:name="_Toc184308068"/>
      <w:bookmarkEnd w:id="51"/>
      <w:bookmarkStart w:id="52" w:name="_Toc184313276"/>
      <w:bookmarkEnd w:id="52"/>
      <w:bookmarkStart w:id="53" w:name="_Toc184313280"/>
      <w:bookmarkEnd w:id="53"/>
      <w:bookmarkStart w:id="54" w:name="_Toc184308086"/>
      <w:bookmarkEnd w:id="54"/>
      <w:bookmarkStart w:id="55" w:name="_Toc184312087"/>
      <w:bookmarkEnd w:id="55"/>
      <w:bookmarkStart w:id="56" w:name="_Toc184312071"/>
      <w:bookmarkEnd w:id="56"/>
      <w:bookmarkStart w:id="57" w:name="_Toc184314411"/>
      <w:bookmarkEnd w:id="57"/>
      <w:bookmarkStart w:id="58" w:name="_Toc184313264"/>
      <w:bookmarkEnd w:id="58"/>
      <w:bookmarkStart w:id="59" w:name="_Toc184308077"/>
      <w:bookmarkEnd w:id="59"/>
      <w:bookmarkStart w:id="60" w:name="_Toc184314481"/>
      <w:bookmarkEnd w:id="60"/>
      <w:bookmarkStart w:id="61" w:name="_Toc184310340"/>
      <w:bookmarkEnd w:id="61"/>
      <w:bookmarkStart w:id="62" w:name="_Toc184310327"/>
      <w:bookmarkEnd w:id="62"/>
      <w:bookmarkStart w:id="63" w:name="_Toc184313310"/>
      <w:bookmarkEnd w:id="63"/>
      <w:bookmarkStart w:id="64" w:name="_Toc184314417"/>
      <w:bookmarkEnd w:id="64"/>
      <w:bookmarkStart w:id="65" w:name="_Toc184308041"/>
      <w:bookmarkEnd w:id="65"/>
      <w:bookmarkStart w:id="66" w:name="_Toc184308079"/>
      <w:bookmarkEnd w:id="66"/>
      <w:bookmarkStart w:id="67" w:name="_Toc184308107"/>
      <w:bookmarkEnd w:id="67"/>
      <w:bookmarkStart w:id="68" w:name="_Toc184308073"/>
      <w:bookmarkEnd w:id="68"/>
      <w:bookmarkStart w:id="69" w:name="_Toc184308057"/>
      <w:bookmarkEnd w:id="69"/>
      <w:bookmarkStart w:id="70" w:name="_Toc184314432"/>
      <w:bookmarkEnd w:id="70"/>
      <w:bookmarkStart w:id="71" w:name="_Toc184313261"/>
      <w:bookmarkEnd w:id="71"/>
      <w:bookmarkStart w:id="72" w:name="_Toc184313251"/>
      <w:bookmarkEnd w:id="72"/>
      <w:bookmarkStart w:id="73" w:name="_Toc184310317"/>
      <w:bookmarkEnd w:id="73"/>
      <w:bookmarkStart w:id="74" w:name="_Toc184308053"/>
      <w:bookmarkEnd w:id="74"/>
      <w:bookmarkStart w:id="75" w:name="_Toc184313238"/>
      <w:bookmarkEnd w:id="75"/>
      <w:bookmarkStart w:id="76" w:name="_Toc184310336"/>
      <w:bookmarkEnd w:id="76"/>
      <w:bookmarkStart w:id="77" w:name="_Toc184310284"/>
      <w:bookmarkEnd w:id="77"/>
      <w:bookmarkStart w:id="78" w:name="_Toc184314460"/>
      <w:bookmarkEnd w:id="78"/>
      <w:bookmarkStart w:id="79" w:name="_Toc184313269"/>
      <w:bookmarkEnd w:id="79"/>
      <w:bookmarkStart w:id="80" w:name="_Toc184308083"/>
      <w:bookmarkEnd w:id="80"/>
      <w:bookmarkStart w:id="81" w:name="_Toc184314434"/>
      <w:bookmarkEnd w:id="81"/>
      <w:bookmarkStart w:id="82" w:name="_Toc184312077"/>
      <w:bookmarkEnd w:id="82"/>
      <w:bookmarkStart w:id="83" w:name="_Toc184310297"/>
      <w:bookmarkEnd w:id="83"/>
      <w:bookmarkStart w:id="84" w:name="_Toc184310313"/>
      <w:bookmarkEnd w:id="84"/>
      <w:bookmarkStart w:id="85" w:name="_Toc184312083"/>
      <w:bookmarkEnd w:id="85"/>
      <w:bookmarkStart w:id="86" w:name="_Toc184314454"/>
      <w:bookmarkEnd w:id="86"/>
      <w:bookmarkStart w:id="87" w:name="_Toc184310311"/>
      <w:bookmarkEnd w:id="87"/>
      <w:bookmarkStart w:id="88" w:name="_Toc184310324"/>
      <w:bookmarkEnd w:id="88"/>
      <w:bookmarkStart w:id="89" w:name="_Toc184313258"/>
      <w:bookmarkEnd w:id="89"/>
      <w:bookmarkStart w:id="90" w:name="_Toc184313294"/>
      <w:bookmarkEnd w:id="90"/>
      <w:bookmarkStart w:id="91" w:name="_Toc184312092"/>
      <w:bookmarkEnd w:id="91"/>
      <w:bookmarkStart w:id="92" w:name="_Toc184313248"/>
      <w:bookmarkEnd w:id="92"/>
      <w:bookmarkStart w:id="93" w:name="_Toc184313274"/>
      <w:bookmarkEnd w:id="93"/>
      <w:bookmarkStart w:id="94" w:name="_Toc184313254"/>
      <w:bookmarkEnd w:id="94"/>
      <w:bookmarkStart w:id="95" w:name="_Toc184314412"/>
      <w:bookmarkEnd w:id="95"/>
      <w:bookmarkStart w:id="96" w:name="_Toc184313253"/>
      <w:bookmarkEnd w:id="96"/>
      <w:bookmarkStart w:id="97" w:name="_Toc184312123"/>
      <w:bookmarkEnd w:id="97"/>
      <w:bookmarkStart w:id="98" w:name="_Toc184308082"/>
      <w:bookmarkEnd w:id="98"/>
      <w:bookmarkStart w:id="99" w:name="_Toc184308072"/>
      <w:bookmarkEnd w:id="99"/>
      <w:bookmarkStart w:id="100" w:name="_Toc184312100"/>
      <w:bookmarkEnd w:id="100"/>
      <w:bookmarkStart w:id="101" w:name="_Toc184314443"/>
      <w:bookmarkEnd w:id="101"/>
      <w:bookmarkStart w:id="102" w:name="_Toc184313260"/>
      <w:bookmarkEnd w:id="102"/>
      <w:bookmarkStart w:id="103" w:name="_Toc184313278"/>
      <w:bookmarkEnd w:id="103"/>
      <w:bookmarkStart w:id="104" w:name="_Toc184308037"/>
      <w:bookmarkEnd w:id="104"/>
      <w:bookmarkStart w:id="105" w:name="_Toc184308108"/>
      <w:bookmarkEnd w:id="105"/>
      <w:bookmarkStart w:id="106" w:name="_Toc184314415"/>
      <w:bookmarkEnd w:id="106"/>
      <w:bookmarkStart w:id="107" w:name="_Toc184308045"/>
      <w:bookmarkEnd w:id="107"/>
      <w:bookmarkStart w:id="108" w:name="_Toc184310344"/>
      <w:bookmarkEnd w:id="108"/>
      <w:bookmarkStart w:id="109" w:name="_Toc184308047"/>
      <w:bookmarkEnd w:id="109"/>
      <w:bookmarkStart w:id="110" w:name="_Toc184312133"/>
      <w:bookmarkEnd w:id="110"/>
      <w:bookmarkStart w:id="111" w:name="_Toc184312096"/>
      <w:bookmarkEnd w:id="111"/>
      <w:bookmarkStart w:id="112" w:name="_Toc184308051"/>
      <w:bookmarkEnd w:id="112"/>
      <w:bookmarkStart w:id="113" w:name="_Toc184314421"/>
      <w:bookmarkEnd w:id="113"/>
      <w:bookmarkStart w:id="114" w:name="_Toc184312116"/>
      <w:bookmarkEnd w:id="114"/>
      <w:bookmarkStart w:id="115" w:name="_Toc184310292"/>
      <w:bookmarkEnd w:id="115"/>
      <w:bookmarkStart w:id="116" w:name="_Toc184314439"/>
      <w:bookmarkEnd w:id="116"/>
      <w:bookmarkStart w:id="117" w:name="_Toc184313257"/>
      <w:bookmarkEnd w:id="117"/>
      <w:bookmarkStart w:id="118" w:name="_Toc184314462"/>
      <w:bookmarkEnd w:id="118"/>
      <w:bookmarkStart w:id="119" w:name="_Toc184312070"/>
      <w:bookmarkEnd w:id="119"/>
      <w:bookmarkStart w:id="120" w:name="_Toc184308093"/>
      <w:bookmarkEnd w:id="120"/>
      <w:bookmarkStart w:id="121" w:name="_Toc184313241"/>
      <w:bookmarkEnd w:id="121"/>
      <w:bookmarkStart w:id="122" w:name="_Toc184312128"/>
      <w:bookmarkEnd w:id="122"/>
      <w:bookmarkStart w:id="123" w:name="_Toc184313279"/>
      <w:bookmarkEnd w:id="123"/>
      <w:bookmarkStart w:id="124" w:name="_Toc184312094"/>
      <w:bookmarkEnd w:id="124"/>
      <w:bookmarkStart w:id="125" w:name="_Toc184314440"/>
      <w:bookmarkEnd w:id="125"/>
      <w:bookmarkStart w:id="126" w:name="_Toc184308040"/>
      <w:bookmarkEnd w:id="126"/>
      <w:bookmarkStart w:id="127" w:name="_Toc184310308"/>
      <w:bookmarkEnd w:id="127"/>
      <w:bookmarkStart w:id="128" w:name="_Toc184310295"/>
      <w:bookmarkEnd w:id="128"/>
      <w:bookmarkStart w:id="129" w:name="_Toc184312127"/>
      <w:bookmarkEnd w:id="129"/>
      <w:bookmarkStart w:id="130" w:name="_Toc184314461"/>
      <w:bookmarkEnd w:id="130"/>
      <w:bookmarkStart w:id="131" w:name="_Toc184312132"/>
      <w:bookmarkEnd w:id="131"/>
      <w:bookmarkStart w:id="132" w:name="_Toc184308062"/>
      <w:bookmarkEnd w:id="132"/>
      <w:bookmarkStart w:id="133" w:name="_Toc184312089"/>
      <w:bookmarkEnd w:id="133"/>
      <w:bookmarkStart w:id="134" w:name="_Toc184312106"/>
      <w:bookmarkEnd w:id="134"/>
      <w:bookmarkStart w:id="135" w:name="_Toc184313275"/>
      <w:bookmarkEnd w:id="135"/>
      <w:bookmarkStart w:id="136" w:name="_Toc184313249"/>
      <w:bookmarkEnd w:id="136"/>
      <w:bookmarkStart w:id="137" w:name="_Toc184310342"/>
      <w:bookmarkEnd w:id="137"/>
      <w:bookmarkStart w:id="138" w:name="_Toc184312073"/>
      <w:bookmarkEnd w:id="138"/>
      <w:bookmarkStart w:id="139" w:name="_Toc184308096"/>
      <w:bookmarkEnd w:id="139"/>
      <w:bookmarkStart w:id="140" w:name="_Toc184310300"/>
      <w:bookmarkEnd w:id="140"/>
      <w:bookmarkStart w:id="141" w:name="_Toc184313295"/>
      <w:bookmarkEnd w:id="141"/>
      <w:bookmarkStart w:id="142" w:name="_Toc184313287"/>
      <w:bookmarkEnd w:id="142"/>
      <w:bookmarkStart w:id="143" w:name="_Toc184314444"/>
      <w:bookmarkEnd w:id="143"/>
      <w:bookmarkStart w:id="144" w:name="_Toc184314465"/>
      <w:bookmarkEnd w:id="144"/>
      <w:bookmarkStart w:id="145" w:name="_Toc184313309"/>
      <w:bookmarkEnd w:id="145"/>
      <w:bookmarkStart w:id="146" w:name="_Toc184310337"/>
      <w:bookmarkEnd w:id="146"/>
      <w:bookmarkStart w:id="147" w:name="_Toc184310275"/>
      <w:bookmarkEnd w:id="147"/>
      <w:bookmarkStart w:id="148" w:name="_Toc184310298"/>
      <w:bookmarkEnd w:id="148"/>
      <w:bookmarkStart w:id="149" w:name="_Toc184312072"/>
      <w:bookmarkEnd w:id="149"/>
      <w:bookmarkStart w:id="150" w:name="_Toc184313285"/>
      <w:bookmarkEnd w:id="150"/>
      <w:bookmarkStart w:id="151" w:name="_Toc184310341"/>
      <w:bookmarkEnd w:id="151"/>
      <w:bookmarkStart w:id="152" w:name="_Toc184312125"/>
      <w:bookmarkEnd w:id="152"/>
      <w:bookmarkStart w:id="153" w:name="_Toc184312139"/>
      <w:bookmarkEnd w:id="153"/>
      <w:bookmarkStart w:id="154" w:name="_Toc184314420"/>
      <w:bookmarkEnd w:id="154"/>
      <w:bookmarkStart w:id="155" w:name="_Toc184314464"/>
      <w:bookmarkEnd w:id="155"/>
      <w:bookmarkStart w:id="156" w:name="_Toc184313292"/>
      <w:bookmarkEnd w:id="156"/>
      <w:bookmarkStart w:id="157" w:name="_Toc184310343"/>
      <w:bookmarkEnd w:id="157"/>
      <w:bookmarkStart w:id="158" w:name="_Toc184308106"/>
      <w:bookmarkEnd w:id="158"/>
      <w:bookmarkStart w:id="159" w:name="_Toc184312122"/>
      <w:bookmarkEnd w:id="159"/>
      <w:bookmarkStart w:id="160" w:name="_Toc184308085"/>
      <w:bookmarkEnd w:id="160"/>
      <w:bookmarkStart w:id="161" w:name="_Toc184310274"/>
      <w:bookmarkEnd w:id="161"/>
      <w:bookmarkStart w:id="162" w:name="_Toc184308075"/>
      <w:bookmarkEnd w:id="162"/>
      <w:bookmarkStart w:id="163" w:name="_Toc184312090"/>
      <w:bookmarkEnd w:id="163"/>
      <w:bookmarkStart w:id="164" w:name="_Toc184310276"/>
      <w:bookmarkEnd w:id="164"/>
      <w:bookmarkStart w:id="165" w:name="_Toc184310288"/>
      <w:bookmarkEnd w:id="165"/>
      <w:bookmarkStart w:id="166" w:name="_Toc184313271"/>
      <w:bookmarkEnd w:id="166"/>
      <w:bookmarkStart w:id="167" w:name="_Toc184313283"/>
      <w:bookmarkEnd w:id="167"/>
      <w:bookmarkStart w:id="168" w:name="_Toc184314473"/>
      <w:bookmarkEnd w:id="168"/>
      <w:bookmarkStart w:id="169" w:name="_Toc184312084"/>
      <w:bookmarkEnd w:id="169"/>
      <w:bookmarkStart w:id="170" w:name="_Toc184310334"/>
      <w:bookmarkEnd w:id="170"/>
      <w:bookmarkStart w:id="171" w:name="_Toc184314431"/>
      <w:bookmarkEnd w:id="171"/>
      <w:bookmarkStart w:id="172" w:name="_Toc184308059"/>
      <w:bookmarkEnd w:id="172"/>
      <w:bookmarkStart w:id="173" w:name="_Toc184308088"/>
      <w:bookmarkEnd w:id="173"/>
      <w:bookmarkStart w:id="174" w:name="_Toc184312088"/>
      <w:bookmarkEnd w:id="174"/>
      <w:bookmarkStart w:id="175" w:name="_Toc184308071"/>
      <w:bookmarkEnd w:id="175"/>
      <w:bookmarkStart w:id="176" w:name="_Toc184310326"/>
      <w:bookmarkEnd w:id="176"/>
      <w:bookmarkStart w:id="177" w:name="_Toc184313267"/>
      <w:bookmarkEnd w:id="177"/>
      <w:bookmarkStart w:id="178" w:name="_Toc184314430"/>
      <w:bookmarkEnd w:id="178"/>
      <w:bookmarkStart w:id="179" w:name="_Toc184312068"/>
      <w:bookmarkEnd w:id="179"/>
      <w:bookmarkStart w:id="180" w:name="_Toc184312099"/>
      <w:bookmarkEnd w:id="180"/>
      <w:bookmarkStart w:id="181" w:name="_Toc184312091"/>
      <w:bookmarkEnd w:id="181"/>
      <w:bookmarkStart w:id="182" w:name="_Toc184308063"/>
      <w:bookmarkEnd w:id="182"/>
      <w:bookmarkStart w:id="183" w:name="_Toc184308044"/>
      <w:bookmarkEnd w:id="183"/>
      <w:bookmarkStart w:id="184" w:name="_Toc184310333"/>
      <w:bookmarkEnd w:id="184"/>
      <w:bookmarkStart w:id="185" w:name="_Toc184308060"/>
      <w:bookmarkEnd w:id="185"/>
      <w:bookmarkStart w:id="186" w:name="_Toc184312081"/>
      <w:bookmarkEnd w:id="186"/>
      <w:bookmarkStart w:id="187" w:name="_Toc184314419"/>
      <w:bookmarkEnd w:id="187"/>
      <w:bookmarkStart w:id="188" w:name="_Toc184314424"/>
      <w:bookmarkEnd w:id="188"/>
      <w:bookmarkStart w:id="189" w:name="_Toc184308099"/>
      <w:bookmarkEnd w:id="189"/>
      <w:bookmarkStart w:id="190" w:name="_Toc184312110"/>
      <w:bookmarkEnd w:id="190"/>
      <w:bookmarkStart w:id="191" w:name="_Toc184308070"/>
      <w:bookmarkEnd w:id="191"/>
      <w:bookmarkStart w:id="192" w:name="_Toc184314469"/>
      <w:bookmarkEnd w:id="192"/>
      <w:bookmarkStart w:id="193" w:name="_Toc184312086"/>
      <w:bookmarkEnd w:id="193"/>
      <w:bookmarkStart w:id="194" w:name="_Toc184313286"/>
      <w:bookmarkEnd w:id="194"/>
      <w:bookmarkStart w:id="195" w:name="_Toc184310316"/>
      <w:bookmarkEnd w:id="195"/>
      <w:bookmarkStart w:id="196" w:name="_Toc184312131"/>
      <w:bookmarkEnd w:id="196"/>
      <w:bookmarkStart w:id="197" w:name="_Toc184312093"/>
      <w:bookmarkEnd w:id="197"/>
      <w:bookmarkStart w:id="198" w:name="_Toc184313272"/>
      <w:bookmarkEnd w:id="198"/>
      <w:bookmarkStart w:id="199" w:name="_Toc184314458"/>
      <w:bookmarkEnd w:id="199"/>
      <w:bookmarkStart w:id="200" w:name="_Toc184310339"/>
      <w:bookmarkEnd w:id="200"/>
      <w:bookmarkStart w:id="201" w:name="_Toc184310285"/>
      <w:bookmarkEnd w:id="201"/>
      <w:bookmarkStart w:id="202" w:name="_Toc184310291"/>
      <w:bookmarkEnd w:id="202"/>
      <w:bookmarkStart w:id="203" w:name="_Toc184314470"/>
      <w:bookmarkEnd w:id="203"/>
      <w:bookmarkStart w:id="204" w:name="_Toc184312067"/>
      <w:bookmarkEnd w:id="204"/>
      <w:bookmarkStart w:id="205" w:name="_Toc184310312"/>
      <w:bookmarkEnd w:id="205"/>
      <w:bookmarkStart w:id="206" w:name="_Toc184310301"/>
      <w:bookmarkEnd w:id="206"/>
      <w:bookmarkStart w:id="207" w:name="_Toc184308058"/>
      <w:bookmarkEnd w:id="207"/>
      <w:bookmarkStart w:id="208" w:name="_Toc184310290"/>
      <w:bookmarkEnd w:id="208"/>
      <w:bookmarkStart w:id="209" w:name="_Toc184310272"/>
      <w:bookmarkEnd w:id="209"/>
      <w:bookmarkStart w:id="210" w:name="_Toc184308065"/>
      <w:bookmarkEnd w:id="210"/>
      <w:bookmarkStart w:id="211" w:name="_Toc184310289"/>
      <w:bookmarkEnd w:id="211"/>
      <w:bookmarkStart w:id="212" w:name="_Toc184314410"/>
      <w:bookmarkEnd w:id="212"/>
      <w:bookmarkStart w:id="213" w:name="_Toc184313282"/>
      <w:bookmarkEnd w:id="213"/>
      <w:bookmarkStart w:id="214" w:name="_Toc184310296"/>
      <w:bookmarkEnd w:id="214"/>
      <w:bookmarkStart w:id="215" w:name="_Toc184312118"/>
      <w:bookmarkEnd w:id="215"/>
      <w:bookmarkStart w:id="216" w:name="_Toc184314416"/>
      <w:bookmarkEnd w:id="216"/>
      <w:bookmarkStart w:id="217" w:name="_Toc184313304"/>
      <w:bookmarkEnd w:id="217"/>
      <w:bookmarkStart w:id="218" w:name="_Toc184312069"/>
      <w:bookmarkEnd w:id="218"/>
      <w:bookmarkStart w:id="219" w:name="_Toc184310286"/>
      <w:bookmarkEnd w:id="219"/>
      <w:bookmarkStart w:id="220" w:name="_Toc184308049"/>
      <w:bookmarkEnd w:id="220"/>
      <w:bookmarkStart w:id="221" w:name="_Toc184308090"/>
      <w:bookmarkEnd w:id="221"/>
      <w:bookmarkStart w:id="222" w:name="_Toc184308098"/>
      <w:bookmarkEnd w:id="222"/>
      <w:bookmarkStart w:id="223" w:name="_Toc184314477"/>
      <w:bookmarkEnd w:id="223"/>
      <w:bookmarkStart w:id="224" w:name="_Toc184310302"/>
      <w:bookmarkEnd w:id="224"/>
      <w:bookmarkStart w:id="225" w:name="_Toc184308084"/>
      <w:bookmarkEnd w:id="225"/>
      <w:bookmarkStart w:id="226" w:name="_Toc184312109"/>
      <w:bookmarkEnd w:id="226"/>
      <w:bookmarkStart w:id="227" w:name="_Toc184310338"/>
      <w:bookmarkEnd w:id="227"/>
      <w:bookmarkStart w:id="228" w:name="_Toc184313255"/>
      <w:bookmarkEnd w:id="228"/>
      <w:bookmarkStart w:id="229" w:name="_Toc184312114"/>
      <w:bookmarkEnd w:id="229"/>
      <w:bookmarkStart w:id="230" w:name="_Toc184312119"/>
      <w:bookmarkEnd w:id="230"/>
      <w:bookmarkStart w:id="231" w:name="_Toc184314441"/>
      <w:bookmarkEnd w:id="231"/>
      <w:bookmarkStart w:id="232" w:name="_Toc184313268"/>
      <w:bookmarkEnd w:id="232"/>
      <w:bookmarkStart w:id="233" w:name="_Toc184313288"/>
      <w:bookmarkEnd w:id="233"/>
      <w:bookmarkStart w:id="234" w:name="_Toc184308091"/>
      <w:bookmarkEnd w:id="234"/>
      <w:bookmarkStart w:id="235" w:name="_Toc184313307"/>
      <w:bookmarkEnd w:id="235"/>
      <w:bookmarkStart w:id="236" w:name="_Toc184313277"/>
      <w:bookmarkEnd w:id="236"/>
      <w:bookmarkStart w:id="237" w:name="_Toc184314450"/>
      <w:bookmarkEnd w:id="237"/>
      <w:bookmarkStart w:id="238" w:name="_Toc184312082"/>
      <w:bookmarkEnd w:id="238"/>
      <w:bookmarkStart w:id="239" w:name="_Toc184312074"/>
      <w:bookmarkEnd w:id="239"/>
      <w:bookmarkStart w:id="240" w:name="_Toc184313300"/>
      <w:bookmarkEnd w:id="240"/>
      <w:bookmarkStart w:id="241" w:name="_Toc184310335"/>
      <w:bookmarkEnd w:id="241"/>
      <w:bookmarkStart w:id="242" w:name="_Toc184308078"/>
      <w:bookmarkEnd w:id="242"/>
      <w:bookmarkStart w:id="243" w:name="_Toc184310283"/>
      <w:bookmarkEnd w:id="243"/>
      <w:bookmarkStart w:id="244" w:name="_Toc184308076"/>
      <w:bookmarkEnd w:id="244"/>
      <w:bookmarkStart w:id="245" w:name="_Toc184314479"/>
      <w:bookmarkEnd w:id="245"/>
      <w:bookmarkStart w:id="246" w:name="_Toc184314445"/>
      <w:bookmarkEnd w:id="246"/>
      <w:bookmarkStart w:id="247" w:name="_Toc184308069"/>
      <w:bookmarkEnd w:id="247"/>
      <w:bookmarkStart w:id="248" w:name="_Toc184312101"/>
      <w:bookmarkEnd w:id="248"/>
      <w:bookmarkStart w:id="249" w:name="_Toc184314455"/>
      <w:bookmarkEnd w:id="249"/>
      <w:bookmarkStart w:id="250" w:name="_Toc184308055"/>
      <w:bookmarkEnd w:id="250"/>
      <w:bookmarkStart w:id="251" w:name="_Toc184312111"/>
      <w:bookmarkEnd w:id="251"/>
      <w:bookmarkStart w:id="252" w:name="_Toc184308104"/>
      <w:bookmarkEnd w:id="252"/>
      <w:bookmarkStart w:id="253" w:name="_Toc184312075"/>
      <w:bookmarkEnd w:id="253"/>
      <w:bookmarkStart w:id="254" w:name="_Toc184310318"/>
      <w:bookmarkEnd w:id="254"/>
      <w:bookmarkStart w:id="255" w:name="_Toc184312135"/>
      <w:bookmarkEnd w:id="255"/>
      <w:bookmarkStart w:id="256" w:name="_Toc184313291"/>
      <w:bookmarkEnd w:id="256"/>
      <w:bookmarkStart w:id="257" w:name="_Toc184314467"/>
      <w:bookmarkEnd w:id="257"/>
      <w:bookmarkStart w:id="258" w:name="_Toc184312124"/>
      <w:bookmarkEnd w:id="258"/>
      <w:bookmarkStart w:id="259" w:name="_Toc184310281"/>
      <w:bookmarkEnd w:id="259"/>
      <w:bookmarkStart w:id="260" w:name="_Toc184310310"/>
      <w:bookmarkEnd w:id="260"/>
      <w:bookmarkStart w:id="261" w:name="_Toc184308067"/>
      <w:bookmarkEnd w:id="261"/>
      <w:bookmarkStart w:id="262" w:name="_Toc184314472"/>
      <w:bookmarkEnd w:id="262"/>
      <w:bookmarkStart w:id="263" w:name="_Toc184312138"/>
      <w:bookmarkEnd w:id="263"/>
      <w:bookmarkStart w:id="264" w:name="_Toc184310303"/>
      <w:bookmarkEnd w:id="264"/>
      <w:bookmarkStart w:id="265" w:name="_Toc184314459"/>
      <w:bookmarkEnd w:id="265"/>
      <w:bookmarkStart w:id="266" w:name="_Toc184313281"/>
      <w:bookmarkEnd w:id="266"/>
      <w:bookmarkStart w:id="267" w:name="_Toc184313273"/>
      <w:bookmarkEnd w:id="267"/>
      <w:bookmarkStart w:id="268" w:name="_Toc184314451"/>
      <w:bookmarkEnd w:id="268"/>
      <w:bookmarkStart w:id="269" w:name="_Toc184310294"/>
      <w:bookmarkEnd w:id="269"/>
      <w:bookmarkStart w:id="270" w:name="_Toc184314453"/>
      <w:bookmarkEnd w:id="270"/>
      <w:bookmarkStart w:id="271" w:name="_Toc184310278"/>
      <w:bookmarkEnd w:id="271"/>
      <w:bookmarkStart w:id="272" w:name="_Toc184308061"/>
      <w:bookmarkEnd w:id="272"/>
      <w:bookmarkStart w:id="273" w:name="_Toc184312121"/>
      <w:bookmarkEnd w:id="273"/>
      <w:bookmarkStart w:id="274" w:name="_Toc184308095"/>
      <w:bookmarkEnd w:id="274"/>
      <w:bookmarkStart w:id="275" w:name="_Toc184312108"/>
      <w:bookmarkEnd w:id="275"/>
      <w:bookmarkStart w:id="276" w:name="_Toc184312102"/>
      <w:bookmarkEnd w:id="276"/>
      <w:bookmarkStart w:id="277" w:name="_Toc184308101"/>
      <w:bookmarkEnd w:id="277"/>
      <w:bookmarkStart w:id="278" w:name="_Toc184314435"/>
      <w:bookmarkEnd w:id="278"/>
      <w:bookmarkStart w:id="279" w:name="_Toc184313289"/>
      <w:bookmarkEnd w:id="279"/>
      <w:bookmarkStart w:id="280" w:name="_Toc184314456"/>
      <w:bookmarkEnd w:id="280"/>
      <w:bookmarkStart w:id="281" w:name="_Toc184313263"/>
      <w:bookmarkEnd w:id="281"/>
      <w:bookmarkStart w:id="282" w:name="_Toc184310280"/>
      <w:bookmarkEnd w:id="282"/>
      <w:bookmarkStart w:id="283" w:name="_Toc184312126"/>
      <w:bookmarkEnd w:id="283"/>
      <w:bookmarkStart w:id="284" w:name="_Toc184312120"/>
      <w:bookmarkEnd w:id="284"/>
      <w:bookmarkStart w:id="285" w:name="_Toc184308042"/>
      <w:bookmarkEnd w:id="285"/>
      <w:bookmarkStart w:id="286" w:name="_Toc184308046"/>
      <w:bookmarkEnd w:id="286"/>
      <w:bookmarkStart w:id="287" w:name="_Toc184313243"/>
      <w:bookmarkEnd w:id="287"/>
      <w:bookmarkStart w:id="288" w:name="_Toc184314446"/>
      <w:bookmarkEnd w:id="288"/>
      <w:bookmarkStart w:id="289" w:name="_Toc184314452"/>
      <w:bookmarkEnd w:id="289"/>
      <w:bookmarkStart w:id="290" w:name="_Toc184308043"/>
      <w:bookmarkEnd w:id="290"/>
      <w:bookmarkStart w:id="291" w:name="_Toc184310287"/>
      <w:bookmarkEnd w:id="291"/>
      <w:bookmarkStart w:id="292" w:name="_Toc184310320"/>
      <w:bookmarkEnd w:id="292"/>
      <w:bookmarkStart w:id="293" w:name="_Toc184314457"/>
      <w:bookmarkEnd w:id="293"/>
      <w:bookmarkStart w:id="294" w:name="_Toc184308052"/>
      <w:bookmarkEnd w:id="294"/>
      <w:bookmarkStart w:id="295" w:name="_Toc184308064"/>
      <w:bookmarkEnd w:id="295"/>
      <w:bookmarkStart w:id="296" w:name="_Toc184314437"/>
      <w:bookmarkEnd w:id="296"/>
      <w:bookmarkStart w:id="297" w:name="_Toc184308092"/>
      <w:bookmarkEnd w:id="297"/>
      <w:bookmarkStart w:id="298" w:name="_Toc184313244"/>
      <w:bookmarkEnd w:id="298"/>
      <w:bookmarkStart w:id="299" w:name="_Toc184312107"/>
      <w:bookmarkEnd w:id="299"/>
      <w:bookmarkStart w:id="300" w:name="_Toc184313297"/>
      <w:bookmarkEnd w:id="300"/>
      <w:bookmarkStart w:id="301" w:name="_Toc184313242"/>
      <w:bookmarkEnd w:id="301"/>
      <w:bookmarkStart w:id="302" w:name="_Toc184313296"/>
      <w:bookmarkEnd w:id="302"/>
      <w:bookmarkStart w:id="303" w:name="_Toc184314478"/>
      <w:bookmarkEnd w:id="303"/>
      <w:bookmarkStart w:id="304" w:name="_Toc184312134"/>
      <w:bookmarkEnd w:id="304"/>
      <w:bookmarkStart w:id="305" w:name="_Toc184310323"/>
      <w:bookmarkEnd w:id="305"/>
      <w:bookmarkStart w:id="306" w:name="_Toc184310330"/>
      <w:bookmarkEnd w:id="306"/>
      <w:bookmarkStart w:id="307" w:name="_Toc184313247"/>
      <w:bookmarkEnd w:id="307"/>
      <w:bookmarkStart w:id="308" w:name="_Toc184313239"/>
      <w:bookmarkEnd w:id="308"/>
      <w:bookmarkStart w:id="309" w:name="_Toc184310306"/>
      <w:bookmarkEnd w:id="309"/>
      <w:bookmarkStart w:id="310" w:name="_Toc184312112"/>
      <w:bookmarkEnd w:id="310"/>
      <w:bookmarkStart w:id="311" w:name="_Toc184310307"/>
      <w:bookmarkEnd w:id="311"/>
      <w:bookmarkStart w:id="312" w:name="_Toc184310325"/>
      <w:bookmarkEnd w:id="312"/>
      <w:bookmarkStart w:id="313" w:name="_Toc184308066"/>
      <w:bookmarkEnd w:id="313"/>
      <w:bookmarkStart w:id="314" w:name="_Toc184312095"/>
      <w:bookmarkEnd w:id="314"/>
      <w:bookmarkStart w:id="315" w:name="_Toc184313293"/>
      <w:bookmarkEnd w:id="315"/>
      <w:bookmarkStart w:id="316" w:name="_Toc184312113"/>
      <w:bookmarkEnd w:id="316"/>
      <w:bookmarkStart w:id="317" w:name="_Toc184312098"/>
      <w:bookmarkEnd w:id="317"/>
      <w:bookmarkStart w:id="318" w:name="_Toc184313256"/>
      <w:bookmarkEnd w:id="318"/>
      <w:bookmarkStart w:id="319" w:name="_Toc184310279"/>
      <w:bookmarkEnd w:id="319"/>
      <w:bookmarkStart w:id="320" w:name="_Toc184314447"/>
      <w:bookmarkEnd w:id="320"/>
      <w:bookmarkStart w:id="321" w:name="_Toc184313262"/>
      <w:bookmarkEnd w:id="321"/>
      <w:bookmarkStart w:id="322" w:name="_Toc184312103"/>
      <w:bookmarkEnd w:id="322"/>
      <w:bookmarkStart w:id="323" w:name="_Toc184313259"/>
      <w:bookmarkEnd w:id="323"/>
      <w:bookmarkStart w:id="324" w:name="_Toc184314428"/>
      <w:bookmarkEnd w:id="324"/>
      <w:bookmarkStart w:id="325" w:name="_Toc184314438"/>
      <w:bookmarkEnd w:id="325"/>
      <w:bookmarkStart w:id="326" w:name="_Toc184312137"/>
      <w:bookmarkEnd w:id="326"/>
      <w:bookmarkStart w:id="327" w:name="_Toc184314433"/>
      <w:bookmarkEnd w:id="327"/>
      <w:bookmarkStart w:id="328" w:name="_Toc184314442"/>
      <w:bookmarkEnd w:id="328"/>
      <w:bookmarkStart w:id="329" w:name="_Toc184312078"/>
      <w:bookmarkEnd w:id="329"/>
      <w:bookmarkStart w:id="330" w:name="_Toc184314436"/>
      <w:bookmarkEnd w:id="330"/>
      <w:bookmarkStart w:id="331" w:name="_Toc184313301"/>
      <w:bookmarkEnd w:id="331"/>
      <w:bookmarkStart w:id="332" w:name="_Toc184313298"/>
      <w:bookmarkEnd w:id="332"/>
      <w:bookmarkStart w:id="333" w:name="_Toc184312136"/>
      <w:bookmarkEnd w:id="333"/>
      <w:bookmarkStart w:id="334" w:name="_Toc184310309"/>
      <w:bookmarkEnd w:id="334"/>
      <w:bookmarkStart w:id="335" w:name="_Toc184308097"/>
      <w:bookmarkEnd w:id="335"/>
      <w:bookmarkStart w:id="336" w:name="_Toc184312076"/>
      <w:bookmarkEnd w:id="336"/>
      <w:bookmarkStart w:id="337" w:name="_Toc184308089"/>
      <w:bookmarkEnd w:id="337"/>
      <w:bookmarkStart w:id="338" w:name="_Toc184310328"/>
      <w:bookmarkEnd w:id="338"/>
      <w:bookmarkStart w:id="339" w:name="_Toc184314413"/>
      <w:bookmarkEnd w:id="339"/>
      <w:bookmarkStart w:id="340" w:name="_Toc184314426"/>
      <w:bookmarkEnd w:id="340"/>
      <w:bookmarkStart w:id="341" w:name="_Toc184308105"/>
      <w:bookmarkEnd w:id="341"/>
      <w:bookmarkStart w:id="342" w:name="_Toc184312130"/>
      <w:bookmarkEnd w:id="342"/>
      <w:bookmarkStart w:id="343" w:name="_Toc184313308"/>
      <w:bookmarkEnd w:id="343"/>
      <w:bookmarkStart w:id="344" w:name="_Toc184313265"/>
      <w:bookmarkEnd w:id="344"/>
      <w:bookmarkStart w:id="345" w:name="_Toc184308103"/>
      <w:bookmarkEnd w:id="345"/>
      <w:bookmarkStart w:id="346" w:name="_Toc184308081"/>
      <w:bookmarkEnd w:id="346"/>
      <w:bookmarkStart w:id="347" w:name="_Toc184308074"/>
      <w:bookmarkEnd w:id="347"/>
      <w:bookmarkStart w:id="348" w:name="_Toc184310282"/>
      <w:bookmarkEnd w:id="348"/>
      <w:bookmarkStart w:id="349" w:name="_Toc184312104"/>
      <w:bookmarkEnd w:id="349"/>
      <w:bookmarkStart w:id="350" w:name="_Toc184312085"/>
      <w:bookmarkEnd w:id="350"/>
      <w:bookmarkStart w:id="351" w:name="_Toc184314482"/>
      <w:bookmarkEnd w:id="351"/>
      <w:bookmarkStart w:id="352" w:name="_Toc184308102"/>
      <w:bookmarkEnd w:id="352"/>
      <w:bookmarkStart w:id="353" w:name="_Toc184310273"/>
      <w:bookmarkEnd w:id="353"/>
      <w:bookmarkStart w:id="354" w:name="_Toc184312129"/>
      <w:bookmarkEnd w:id="354"/>
      <w:bookmarkStart w:id="355" w:name="_Toc184310329"/>
      <w:bookmarkEnd w:id="355"/>
      <w:bookmarkStart w:id="356" w:name="_Toc184314466"/>
      <w:bookmarkEnd w:id="356"/>
      <w:bookmarkStart w:id="357" w:name="_Toc184308054"/>
      <w:bookmarkEnd w:id="357"/>
      <w:bookmarkStart w:id="358" w:name="_Toc184310319"/>
      <w:bookmarkEnd w:id="358"/>
      <w:bookmarkStart w:id="359" w:name="_Toc184308100"/>
      <w:bookmarkEnd w:id="359"/>
      <w:bookmarkStart w:id="360" w:name="_Toc184310321"/>
      <w:bookmarkEnd w:id="360"/>
      <w:bookmarkStart w:id="361" w:name="_Toc184314427"/>
      <w:bookmarkEnd w:id="361"/>
      <w:bookmarkStart w:id="362" w:name="_Toc184310314"/>
      <w:bookmarkEnd w:id="362"/>
      <w:bookmarkStart w:id="363" w:name="_Toc184313302"/>
      <w:bookmarkEnd w:id="363"/>
      <w:bookmarkStart w:id="364" w:name="_Toc184308094"/>
      <w:bookmarkEnd w:id="364"/>
      <w:bookmarkStart w:id="365" w:name="_Toc184313246"/>
      <w:bookmarkEnd w:id="365"/>
      <w:bookmarkStart w:id="366" w:name="_Toc184308087"/>
      <w:bookmarkEnd w:id="366"/>
      <w:bookmarkStart w:id="367" w:name="_Toc184313245"/>
      <w:bookmarkEnd w:id="367"/>
      <w:bookmarkStart w:id="368" w:name="_Toc184314474"/>
      <w:bookmarkEnd w:id="368"/>
      <w:bookmarkStart w:id="369" w:name="_Toc184310332"/>
      <w:bookmarkEnd w:id="369"/>
      <w:bookmarkStart w:id="370" w:name="_Toc184308048"/>
      <w:bookmarkEnd w:id="370"/>
      <w:bookmarkStart w:id="371" w:name="_Toc184312105"/>
      <w:bookmarkEnd w:id="371"/>
      <w:bookmarkStart w:id="372" w:name="_Toc184313240"/>
      <w:bookmarkEnd w:id="372"/>
      <w:bookmarkStart w:id="373" w:name="_Toc184313284"/>
      <w:bookmarkEnd w:id="373"/>
      <w:bookmarkStart w:id="374" w:name="_Toc184308050"/>
      <w:bookmarkEnd w:id="374"/>
      <w:bookmarkStart w:id="375" w:name="_Toc184314448"/>
      <w:bookmarkEnd w:id="375"/>
      <w:bookmarkStart w:id="376" w:name="_Toc184314468"/>
      <w:bookmarkEnd w:id="376"/>
      <w:bookmarkStart w:id="377" w:name="_Toc184312080"/>
      <w:bookmarkEnd w:id="377"/>
      <w:bookmarkStart w:id="378" w:name="_Toc184312097"/>
      <w:bookmarkEnd w:id="378"/>
      <w:bookmarkStart w:id="379" w:name="_Toc184308036"/>
      <w:bookmarkEnd w:id="379"/>
      <w:bookmarkStart w:id="380" w:name="_Toc184313290"/>
      <w:bookmarkEnd w:id="380"/>
      <w:bookmarkStart w:id="381" w:name="_Toc184314418"/>
      <w:bookmarkEnd w:id="381"/>
      <w:bookmarkStart w:id="382" w:name="_Toc184308038"/>
      <w:bookmarkEnd w:id="382"/>
      <w:bookmarkStart w:id="383" w:name="_Toc184314476"/>
      <w:bookmarkEnd w:id="383"/>
      <w:bookmarkStart w:id="384" w:name="_Toc184314449"/>
      <w:bookmarkEnd w:id="384"/>
      <w:bookmarkStart w:id="385" w:name="_Toc184313305"/>
      <w:bookmarkEnd w:id="385"/>
      <w:bookmarkStart w:id="386" w:name="_Toc184314471"/>
      <w:bookmarkEnd w:id="386"/>
      <w:bookmarkStart w:id="387" w:name="_Toc184313270"/>
      <w:bookmarkEnd w:id="387"/>
      <w:bookmarkStart w:id="388" w:name="_Toc184310331"/>
      <w:bookmarkEnd w:id="388"/>
      <w:bookmarkStart w:id="389" w:name="_Toc184310293"/>
      <w:bookmarkEnd w:id="389"/>
      <w:bookmarkStart w:id="390" w:name="_Toc184314429"/>
      <w:bookmarkEnd w:id="390"/>
      <w:bookmarkStart w:id="391" w:name="_Toc184314475"/>
      <w:bookmarkEnd w:id="391"/>
      <w:bookmarkStart w:id="392" w:name="_Toc184310277"/>
      <w:bookmarkEnd w:id="392"/>
      <w:bookmarkStart w:id="393" w:name="_Toc184314425"/>
      <w:bookmarkEnd w:id="393"/>
      <w:r>
        <w:rPr>
          <w:rFonts w:hint="eastAsia" w:ascii="宋体" w:hAnsi="宋体" w:cs="宋体"/>
          <w:b/>
          <w:color w:val="auto"/>
          <w:sz w:val="36"/>
          <w:szCs w:val="36"/>
          <w:highlight w:val="none"/>
        </w:rPr>
        <w:t>评标办法</w:t>
      </w:r>
    </w:p>
    <w:p w14:paraId="7D8EC571">
      <w:pPr>
        <w:shd w:val="clear"/>
        <w:snapToGrid w:val="0"/>
        <w:spacing w:line="360" w:lineRule="auto"/>
        <w:jc w:val="center"/>
        <w:rPr>
          <w:rFonts w:hint="eastAsia" w:ascii="宋体" w:hAnsi="宋体" w:cs="宋体"/>
          <w:b/>
          <w:color w:val="auto"/>
          <w:sz w:val="32"/>
          <w:szCs w:val="20"/>
          <w:highlight w:val="none"/>
        </w:rPr>
      </w:pPr>
      <w:r>
        <w:rPr>
          <w:rFonts w:hint="eastAsia" w:ascii="宋体" w:hAnsi="宋体" w:cs="宋体"/>
          <w:b/>
          <w:color w:val="auto"/>
          <w:sz w:val="32"/>
          <w:szCs w:val="20"/>
          <w:highlight w:val="none"/>
        </w:rPr>
        <w:t>评标办法前附表</w:t>
      </w:r>
      <w:r>
        <w:rPr>
          <w:rFonts w:hint="eastAsia" w:ascii="宋体" w:hAnsi="宋体" w:cs="宋体"/>
          <w:b/>
          <w:color w:val="auto"/>
          <w:sz w:val="32"/>
          <w:szCs w:val="20"/>
          <w:highlight w:val="none"/>
          <w:lang w:eastAsia="zh-CN"/>
        </w:rPr>
        <w:t>（</w:t>
      </w:r>
      <w:r>
        <w:rPr>
          <w:rFonts w:hint="eastAsia" w:ascii="宋体" w:hAnsi="宋体" w:cs="宋体"/>
          <w:b/>
          <w:color w:val="auto"/>
          <w:sz w:val="32"/>
          <w:szCs w:val="20"/>
          <w:highlight w:val="none"/>
          <w:lang w:val="en-US" w:eastAsia="zh-CN"/>
        </w:rPr>
        <w:t>适用于所有标项</w:t>
      </w:r>
      <w:r>
        <w:rPr>
          <w:rFonts w:hint="eastAsia" w:ascii="宋体" w:hAnsi="宋体" w:cs="宋体"/>
          <w:b/>
          <w:color w:val="auto"/>
          <w:sz w:val="32"/>
          <w:szCs w:val="20"/>
          <w:highlight w:val="none"/>
          <w:lang w:eastAsia="zh-CN"/>
        </w:rPr>
        <w:t>）</w:t>
      </w:r>
    </w:p>
    <w:tbl>
      <w:tblPr>
        <w:tblStyle w:val="63"/>
        <w:tblW w:w="839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9"/>
        <w:gridCol w:w="1100"/>
        <w:gridCol w:w="1509"/>
        <w:gridCol w:w="3638"/>
        <w:gridCol w:w="600"/>
        <w:gridCol w:w="692"/>
      </w:tblGrid>
      <w:tr w14:paraId="022759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59" w:type="dxa"/>
            <w:noWrap w:val="0"/>
            <w:vAlign w:val="center"/>
          </w:tcPr>
          <w:p w14:paraId="00118A6A">
            <w:pPr>
              <w:keepNext w:val="0"/>
              <w:keepLines w:val="0"/>
              <w:pageBreakBefore w:val="0"/>
              <w:widowControl w:val="0"/>
              <w:kinsoku/>
              <w:wordWrap/>
              <w:overflowPunct/>
              <w:topLinePunct w:val="0"/>
              <w:autoSpaceDE/>
              <w:autoSpaceDN/>
              <w:bidi w:val="0"/>
              <w:adjustRightInd/>
              <w:snapToGrid/>
              <w:spacing w:line="24" w:lineRule="atLeast"/>
              <w:jc w:val="center"/>
              <w:textAlignment w:val="auto"/>
              <w:rPr>
                <w:rFonts w:ascii="Times New Roman" w:hAnsi="Times New Roman" w:eastAsia="宋体" w:cs="Times New Roman"/>
                <w:color w:val="auto"/>
                <w:sz w:val="24"/>
                <w:szCs w:val="24"/>
                <w:highlight w:val="none"/>
              </w:rPr>
            </w:pPr>
            <w:r>
              <w:rPr>
                <w:rFonts w:ascii="Times New Roman" w:hAnsi="Times New Roman" w:eastAsia="宋体" w:cs="Times New Roman"/>
                <w:color w:val="auto"/>
                <w:sz w:val="24"/>
                <w:szCs w:val="24"/>
                <w:highlight w:val="none"/>
              </w:rPr>
              <w:t>类  别</w:t>
            </w:r>
          </w:p>
        </w:tc>
        <w:tc>
          <w:tcPr>
            <w:tcW w:w="6247" w:type="dxa"/>
            <w:gridSpan w:val="3"/>
            <w:noWrap w:val="0"/>
            <w:vAlign w:val="center"/>
          </w:tcPr>
          <w:p w14:paraId="330AD7FF">
            <w:pPr>
              <w:keepNext w:val="0"/>
              <w:keepLines w:val="0"/>
              <w:pageBreakBefore w:val="0"/>
              <w:widowControl w:val="0"/>
              <w:kinsoku/>
              <w:wordWrap/>
              <w:overflowPunct/>
              <w:topLinePunct w:val="0"/>
              <w:autoSpaceDE/>
              <w:autoSpaceDN/>
              <w:bidi w:val="0"/>
              <w:adjustRightInd/>
              <w:snapToGrid/>
              <w:spacing w:line="24" w:lineRule="atLeast"/>
              <w:jc w:val="center"/>
              <w:textAlignment w:val="auto"/>
              <w:rPr>
                <w:rFonts w:ascii="Times New Roman" w:hAnsi="Times New Roman" w:eastAsia="宋体" w:cs="Times New Roman"/>
                <w:color w:val="auto"/>
                <w:sz w:val="24"/>
                <w:szCs w:val="24"/>
                <w:highlight w:val="none"/>
              </w:rPr>
            </w:pPr>
            <w:r>
              <w:rPr>
                <w:rFonts w:hint="eastAsia" w:ascii="Times New Roman" w:hAnsi="Times New Roman" w:eastAsia="宋体" w:cs="Times New Roman"/>
                <w:b/>
                <w:color w:val="auto"/>
                <w:sz w:val="24"/>
                <w:szCs w:val="24"/>
                <w:highlight w:val="none"/>
              </w:rPr>
              <w:t>原材料类</w:t>
            </w:r>
            <w:r>
              <w:rPr>
                <w:rFonts w:ascii="Times New Roman" w:hAnsi="Times New Roman" w:eastAsia="宋体" w:cs="Times New Roman"/>
                <w:color w:val="auto"/>
                <w:sz w:val="24"/>
                <w:szCs w:val="24"/>
                <w:highlight w:val="none"/>
              </w:rPr>
              <w:t>评标内容</w:t>
            </w:r>
          </w:p>
        </w:tc>
        <w:tc>
          <w:tcPr>
            <w:tcW w:w="600" w:type="dxa"/>
            <w:noWrap w:val="0"/>
            <w:vAlign w:val="center"/>
          </w:tcPr>
          <w:p w14:paraId="4F20110C">
            <w:pPr>
              <w:widowControl w:val="0"/>
              <w:adjustRightInd/>
              <w:spacing w:line="240" w:lineRule="auto"/>
              <w:jc w:val="center"/>
              <w:textAlignment w:val="auto"/>
              <w:rPr>
                <w:rFonts w:hint="eastAsia" w:ascii="宋体" w:hAnsi="宋体" w:eastAsia="宋体" w:cs="Times New Roman"/>
                <w:snapToGrid w:val="0"/>
                <w:color w:val="auto"/>
                <w:spacing w:val="-4"/>
                <w:kern w:val="2"/>
                <w:sz w:val="24"/>
                <w:szCs w:val="24"/>
                <w:highlight w:val="none"/>
                <w:lang w:val="en-US" w:eastAsia="zh-CN" w:bidi="ar-SA"/>
              </w:rPr>
            </w:pPr>
            <w:r>
              <w:rPr>
                <w:rFonts w:hint="eastAsia" w:ascii="宋体" w:hAnsi="宋体" w:eastAsia="宋体" w:cs="Times New Roman"/>
                <w:snapToGrid w:val="0"/>
                <w:color w:val="auto"/>
                <w:spacing w:val="-4"/>
                <w:kern w:val="2"/>
                <w:sz w:val="24"/>
                <w:szCs w:val="24"/>
                <w:highlight w:val="none"/>
              </w:rPr>
              <w:t>分值</w:t>
            </w:r>
          </w:p>
        </w:tc>
        <w:tc>
          <w:tcPr>
            <w:tcW w:w="692" w:type="dxa"/>
            <w:noWrap w:val="0"/>
            <w:vAlign w:val="center"/>
          </w:tcPr>
          <w:p w14:paraId="09805A43">
            <w:pPr>
              <w:widowControl w:val="0"/>
              <w:adjustRightInd/>
              <w:spacing w:line="240" w:lineRule="auto"/>
              <w:jc w:val="center"/>
              <w:textAlignment w:val="auto"/>
              <w:rPr>
                <w:rFonts w:hint="eastAsia" w:ascii="宋体" w:hAnsi="宋体" w:eastAsia="宋体" w:cs="Times New Roman"/>
                <w:snapToGrid w:val="0"/>
                <w:color w:val="auto"/>
                <w:spacing w:val="-4"/>
                <w:kern w:val="2"/>
                <w:sz w:val="24"/>
                <w:szCs w:val="24"/>
                <w:highlight w:val="none"/>
                <w:lang w:val="en-US" w:eastAsia="zh-CN" w:bidi="ar-SA"/>
              </w:rPr>
            </w:pPr>
            <w:r>
              <w:rPr>
                <w:rFonts w:hint="eastAsia" w:ascii="宋体" w:hAnsi="宋体" w:eastAsia="宋体" w:cs="Times New Roman"/>
                <w:snapToGrid w:val="0"/>
                <w:color w:val="auto"/>
                <w:spacing w:val="-4"/>
                <w:kern w:val="2"/>
                <w:sz w:val="24"/>
                <w:szCs w:val="24"/>
                <w:highlight w:val="none"/>
              </w:rPr>
              <w:t>分值类型</w:t>
            </w:r>
          </w:p>
        </w:tc>
      </w:tr>
      <w:tr w14:paraId="3FA68C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59" w:type="dxa"/>
            <w:noWrap w:val="0"/>
            <w:vAlign w:val="center"/>
          </w:tcPr>
          <w:p w14:paraId="1AAB6262">
            <w:pPr>
              <w:keepNext w:val="0"/>
              <w:keepLines w:val="0"/>
              <w:pageBreakBefore w:val="0"/>
              <w:widowControl w:val="0"/>
              <w:kinsoku/>
              <w:wordWrap/>
              <w:overflowPunct/>
              <w:topLinePunct w:val="0"/>
              <w:autoSpaceDE/>
              <w:autoSpaceDN/>
              <w:bidi w:val="0"/>
              <w:adjustRightInd/>
              <w:snapToGrid/>
              <w:spacing w:line="24" w:lineRule="atLeast"/>
              <w:jc w:val="center"/>
              <w:textAlignment w:val="auto"/>
              <w:rPr>
                <w:rFonts w:ascii="Times New Roman" w:hAnsi="Times New Roman" w:eastAsia="宋体" w:cs="Times New Roman"/>
                <w:color w:val="auto"/>
                <w:sz w:val="24"/>
                <w:szCs w:val="24"/>
                <w:highlight w:val="none"/>
              </w:rPr>
            </w:pPr>
            <w:r>
              <w:rPr>
                <w:rFonts w:ascii="Times New Roman" w:hAnsi="Times New Roman" w:eastAsia="宋体" w:cs="Times New Roman"/>
                <w:color w:val="auto"/>
                <w:sz w:val="24"/>
                <w:szCs w:val="24"/>
                <w:highlight w:val="none"/>
              </w:rPr>
              <w:t>价格分</w:t>
            </w:r>
          </w:p>
          <w:p w14:paraId="60ABE7A9">
            <w:pPr>
              <w:keepNext w:val="0"/>
              <w:keepLines w:val="0"/>
              <w:pageBreakBefore w:val="0"/>
              <w:widowControl w:val="0"/>
              <w:kinsoku/>
              <w:wordWrap/>
              <w:overflowPunct/>
              <w:topLinePunct w:val="0"/>
              <w:autoSpaceDE/>
              <w:autoSpaceDN/>
              <w:bidi w:val="0"/>
              <w:adjustRightInd/>
              <w:snapToGrid/>
              <w:spacing w:line="24" w:lineRule="atLeast"/>
              <w:jc w:val="center"/>
              <w:textAlignment w:val="auto"/>
              <w:rPr>
                <w:rFonts w:ascii="Times New Roman" w:hAnsi="Times New Roman" w:eastAsia="宋体" w:cs="Times New Roman"/>
                <w:color w:val="auto"/>
                <w:sz w:val="24"/>
                <w:szCs w:val="24"/>
                <w:highlight w:val="none"/>
              </w:rPr>
            </w:pPr>
            <w:r>
              <w:rPr>
                <w:rFonts w:hint="eastAsia" w:ascii="Times New Roman" w:hAnsi="Times New Roman" w:eastAsia="宋体" w:cs="Times New Roman"/>
                <w:color w:val="auto"/>
                <w:sz w:val="24"/>
                <w:szCs w:val="24"/>
                <w:highlight w:val="none"/>
                <w:lang w:val="en-US" w:eastAsia="zh-CN"/>
              </w:rPr>
              <w:t>15</w:t>
            </w:r>
            <w:r>
              <w:rPr>
                <w:rFonts w:ascii="Times New Roman" w:hAnsi="Times New Roman" w:eastAsia="宋体" w:cs="Times New Roman"/>
                <w:color w:val="auto"/>
                <w:sz w:val="24"/>
                <w:szCs w:val="24"/>
                <w:highlight w:val="none"/>
              </w:rPr>
              <w:t>分</w:t>
            </w:r>
          </w:p>
        </w:tc>
        <w:tc>
          <w:tcPr>
            <w:tcW w:w="6247" w:type="dxa"/>
            <w:gridSpan w:val="3"/>
            <w:noWrap w:val="0"/>
            <w:vAlign w:val="center"/>
          </w:tcPr>
          <w:p w14:paraId="760F89CE">
            <w:pPr>
              <w:keepNext w:val="0"/>
              <w:keepLines w:val="0"/>
              <w:pageBreakBefore w:val="0"/>
              <w:widowControl w:val="0"/>
              <w:kinsoku/>
              <w:wordWrap/>
              <w:overflowPunct/>
              <w:topLinePunct w:val="0"/>
              <w:autoSpaceDE/>
              <w:autoSpaceDN/>
              <w:bidi w:val="0"/>
              <w:adjustRightInd/>
              <w:snapToGrid/>
              <w:spacing w:line="24" w:lineRule="atLeast"/>
              <w:textAlignment w:val="auto"/>
              <w:rPr>
                <w:rFonts w:hint="eastAsia" w:ascii="宋体" w:hAnsi="宋体" w:eastAsia="宋体" w:cs="宋体"/>
                <w:color w:val="auto"/>
                <w:sz w:val="24"/>
                <w:szCs w:val="24"/>
                <w:highlight w:val="none"/>
                <w:lang w:val="en-US" w:eastAsia="zh-CN"/>
              </w:rPr>
            </w:pPr>
            <w:r>
              <w:rPr>
                <w:rFonts w:hint="eastAsia" w:ascii="Times New Roman" w:hAnsi="Times New Roman" w:eastAsia="宋体" w:cs="Times New Roman"/>
                <w:color w:val="auto"/>
                <w:sz w:val="24"/>
                <w:szCs w:val="24"/>
                <w:highlight w:val="none"/>
              </w:rPr>
              <w:t>参与评审的</w:t>
            </w:r>
            <w:r>
              <w:rPr>
                <w:rFonts w:hint="eastAsia" w:ascii="宋体" w:hAnsi="宋体" w:eastAsia="宋体" w:cs="宋体"/>
                <w:color w:val="auto"/>
                <w:sz w:val="24"/>
                <w:szCs w:val="24"/>
                <w:highlight w:val="none"/>
                <w:lang w:val="en-US" w:eastAsia="zh-CN"/>
              </w:rPr>
              <w:t>投标折扣系数</w:t>
            </w:r>
            <w:r>
              <w:rPr>
                <w:rFonts w:hint="eastAsia" w:ascii="Times New Roman" w:hAnsi="Times New Roman" w:eastAsia="宋体" w:cs="Times New Roman"/>
                <w:color w:val="auto"/>
                <w:sz w:val="24"/>
                <w:szCs w:val="24"/>
                <w:highlight w:val="none"/>
              </w:rPr>
              <w:t>=</w:t>
            </w:r>
            <w:r>
              <w:rPr>
                <w:rFonts w:hint="eastAsia" w:ascii="宋体" w:hAnsi="宋体" w:eastAsia="宋体" w:cs="宋体"/>
                <w:color w:val="auto"/>
                <w:sz w:val="24"/>
                <w:szCs w:val="24"/>
                <w:highlight w:val="none"/>
                <w:lang w:val="en-US" w:eastAsia="zh-CN"/>
              </w:rPr>
              <w:t>投标折扣系数</w:t>
            </w:r>
          </w:p>
          <w:p w14:paraId="3A8327E6">
            <w:pPr>
              <w:keepNext w:val="0"/>
              <w:keepLines w:val="0"/>
              <w:pageBreakBefore w:val="0"/>
              <w:widowControl w:val="0"/>
              <w:kinsoku/>
              <w:wordWrap/>
              <w:overflowPunct/>
              <w:topLinePunct w:val="0"/>
              <w:autoSpaceDE/>
              <w:autoSpaceDN/>
              <w:bidi w:val="0"/>
              <w:adjustRightInd/>
              <w:snapToGrid/>
              <w:spacing w:line="24" w:lineRule="atLeast"/>
              <w:textAlignment w:val="auto"/>
              <w:rPr>
                <w:rFonts w:hint="eastAsia" w:ascii="Times New Roman" w:hAnsi="Times New Roman" w:eastAsia="宋体" w:cs="Times New Roman"/>
                <w:color w:val="auto"/>
                <w:sz w:val="24"/>
                <w:szCs w:val="24"/>
                <w:highlight w:val="none"/>
              </w:rPr>
            </w:pPr>
            <w:r>
              <w:rPr>
                <w:rFonts w:hint="eastAsia" w:ascii="Times New Roman" w:hAnsi="Times New Roman" w:eastAsia="宋体" w:cs="Times New Roman"/>
                <w:color w:val="auto"/>
                <w:sz w:val="24"/>
                <w:szCs w:val="24"/>
                <w:highlight w:val="none"/>
              </w:rPr>
              <w:t>以满足招标要求的该副食品类别有效投标（初步评审合格且商务技术、报价部分评审合格）中的最低的参与评审的</w:t>
            </w:r>
            <w:r>
              <w:rPr>
                <w:rFonts w:hint="eastAsia" w:ascii="宋体" w:hAnsi="宋体" w:eastAsia="宋体" w:cs="宋体"/>
                <w:color w:val="auto"/>
                <w:sz w:val="24"/>
                <w:szCs w:val="24"/>
                <w:highlight w:val="none"/>
                <w:lang w:val="en-US" w:eastAsia="zh-CN"/>
              </w:rPr>
              <w:t>投标折扣系数</w:t>
            </w:r>
            <w:r>
              <w:rPr>
                <w:rFonts w:hint="eastAsia" w:ascii="Times New Roman" w:hAnsi="Times New Roman" w:eastAsia="宋体" w:cs="Times New Roman"/>
                <w:color w:val="auto"/>
                <w:sz w:val="24"/>
                <w:szCs w:val="24"/>
                <w:highlight w:val="none"/>
              </w:rPr>
              <w:t>为评标基准价，得该类别满分；该类别投标报价得分计算公式如下：投标报价得分=最低的参与评审的</w:t>
            </w:r>
            <w:r>
              <w:rPr>
                <w:rFonts w:hint="eastAsia" w:ascii="宋体" w:hAnsi="宋体" w:eastAsia="宋体" w:cs="宋体"/>
                <w:color w:val="auto"/>
                <w:sz w:val="24"/>
                <w:szCs w:val="24"/>
                <w:highlight w:val="none"/>
                <w:lang w:val="en-US" w:eastAsia="zh-CN"/>
              </w:rPr>
              <w:t>投标折扣系数</w:t>
            </w:r>
            <w:r>
              <w:rPr>
                <w:rFonts w:hint="eastAsia" w:ascii="Times New Roman" w:hAnsi="Times New Roman" w:eastAsia="宋体" w:cs="Times New Roman"/>
                <w:color w:val="auto"/>
                <w:sz w:val="24"/>
                <w:szCs w:val="24"/>
                <w:highlight w:val="none"/>
              </w:rPr>
              <w:t>/参与评审的</w:t>
            </w:r>
            <w:r>
              <w:rPr>
                <w:rFonts w:hint="eastAsia" w:ascii="宋体" w:hAnsi="宋体" w:eastAsia="宋体" w:cs="宋体"/>
                <w:color w:val="auto"/>
                <w:sz w:val="24"/>
                <w:szCs w:val="24"/>
                <w:highlight w:val="none"/>
                <w:lang w:val="en-US" w:eastAsia="zh-CN"/>
              </w:rPr>
              <w:t>投标折扣系数</w:t>
            </w:r>
            <w:r>
              <w:rPr>
                <w:rFonts w:hint="eastAsia" w:ascii="Times New Roman" w:hAnsi="Times New Roman" w:eastAsia="宋体" w:cs="Times New Roman"/>
                <w:color w:val="auto"/>
                <w:sz w:val="24"/>
                <w:szCs w:val="24"/>
                <w:highlight w:val="none"/>
              </w:rPr>
              <w:t>×该类别价格分满分值占本评分标准总分值的百分比×100。供应商最终价格得分为供应商在各类别所得价格分之和。</w:t>
            </w:r>
          </w:p>
          <w:p w14:paraId="0F80884F">
            <w:pPr>
              <w:keepNext w:val="0"/>
              <w:keepLines w:val="0"/>
              <w:pageBreakBefore w:val="0"/>
              <w:widowControl w:val="0"/>
              <w:kinsoku/>
              <w:wordWrap/>
              <w:overflowPunct/>
              <w:topLinePunct w:val="0"/>
              <w:autoSpaceDE/>
              <w:autoSpaceDN/>
              <w:bidi w:val="0"/>
              <w:adjustRightInd/>
              <w:snapToGrid/>
              <w:spacing w:line="24" w:lineRule="atLeast"/>
              <w:textAlignment w:val="auto"/>
              <w:rPr>
                <w:rFonts w:hint="eastAsia" w:ascii="Times New Roman" w:hAnsi="Times New Roman" w:eastAsia="宋体" w:cs="Times New Roman"/>
                <w:b/>
                <w:color w:val="auto"/>
                <w:sz w:val="24"/>
                <w:szCs w:val="24"/>
                <w:highlight w:val="none"/>
              </w:rPr>
            </w:pPr>
            <w:r>
              <w:rPr>
                <w:rFonts w:ascii="Times New Roman" w:hAnsi="Times New Roman" w:eastAsia="宋体" w:cs="Times New Roman"/>
                <w:b/>
                <w:color w:val="auto"/>
                <w:sz w:val="24"/>
                <w:szCs w:val="24"/>
                <w:highlight w:val="none"/>
              </w:rPr>
              <w:t>各副食品类别</w:t>
            </w:r>
            <w:r>
              <w:rPr>
                <w:rFonts w:hint="eastAsia" w:ascii="Times New Roman" w:hAnsi="Times New Roman" w:eastAsia="宋体" w:cs="Times New Roman"/>
                <w:b/>
                <w:color w:val="auto"/>
                <w:sz w:val="24"/>
                <w:szCs w:val="24"/>
                <w:highlight w:val="none"/>
              </w:rPr>
              <w:t>价格分</w:t>
            </w:r>
            <w:r>
              <w:rPr>
                <w:rFonts w:ascii="Times New Roman" w:hAnsi="Times New Roman" w:eastAsia="宋体" w:cs="Times New Roman"/>
                <w:b/>
                <w:color w:val="auto"/>
                <w:sz w:val="24"/>
                <w:szCs w:val="24"/>
                <w:highlight w:val="none"/>
              </w:rPr>
              <w:t>满分</w:t>
            </w:r>
            <w:r>
              <w:rPr>
                <w:rFonts w:hint="eastAsia" w:ascii="Times New Roman" w:hAnsi="Times New Roman" w:eastAsia="宋体" w:cs="Times New Roman"/>
                <w:b/>
                <w:color w:val="auto"/>
                <w:sz w:val="24"/>
                <w:szCs w:val="24"/>
                <w:highlight w:val="none"/>
              </w:rPr>
              <w:t>值：</w:t>
            </w:r>
          </w:p>
          <w:p w14:paraId="3E2FFC0B">
            <w:pPr>
              <w:keepNext w:val="0"/>
              <w:keepLines w:val="0"/>
              <w:pageBreakBefore w:val="0"/>
              <w:widowControl w:val="0"/>
              <w:kinsoku/>
              <w:wordWrap/>
              <w:overflowPunct/>
              <w:topLinePunct w:val="0"/>
              <w:autoSpaceDE/>
              <w:autoSpaceDN/>
              <w:bidi w:val="0"/>
              <w:adjustRightInd/>
              <w:snapToGrid/>
              <w:spacing w:line="24" w:lineRule="atLeast"/>
              <w:textAlignment w:val="auto"/>
              <w:rPr>
                <w:rFonts w:hint="eastAsia" w:cs="Times New Roman"/>
                <w:b/>
                <w:color w:val="auto"/>
                <w:sz w:val="24"/>
                <w:szCs w:val="24"/>
                <w:highlight w:val="none"/>
                <w:lang w:val="en-US" w:eastAsia="zh-CN"/>
              </w:rPr>
            </w:pPr>
            <w:r>
              <w:rPr>
                <w:rFonts w:hint="eastAsia" w:ascii="Times New Roman" w:hAnsi="Times New Roman" w:eastAsia="宋体" w:cs="Times New Roman"/>
                <w:b/>
                <w:color w:val="auto"/>
                <w:sz w:val="24"/>
                <w:szCs w:val="24"/>
                <w:highlight w:val="none"/>
                <w:lang w:val="en-US" w:eastAsia="zh-CN"/>
              </w:rPr>
              <w:t>标项1：蔬菜类：</w:t>
            </w:r>
            <w:r>
              <w:rPr>
                <w:rFonts w:hint="eastAsia" w:cs="Times New Roman"/>
                <w:b/>
                <w:color w:val="auto"/>
                <w:sz w:val="24"/>
                <w:szCs w:val="24"/>
                <w:highlight w:val="none"/>
                <w:lang w:val="en-US" w:eastAsia="zh-CN"/>
              </w:rPr>
              <w:t>8分，豆制品类：7分；</w:t>
            </w:r>
          </w:p>
          <w:p w14:paraId="286C9C36">
            <w:pPr>
              <w:keepNext w:val="0"/>
              <w:keepLines w:val="0"/>
              <w:pageBreakBefore w:val="0"/>
              <w:widowControl w:val="0"/>
              <w:kinsoku/>
              <w:wordWrap/>
              <w:overflowPunct/>
              <w:topLinePunct w:val="0"/>
              <w:autoSpaceDE/>
              <w:autoSpaceDN/>
              <w:bidi w:val="0"/>
              <w:adjustRightInd/>
              <w:snapToGrid/>
              <w:spacing w:line="24" w:lineRule="atLeast"/>
              <w:textAlignment w:val="auto"/>
              <w:rPr>
                <w:rFonts w:hint="eastAsia" w:cs="Times New Roman"/>
                <w:b/>
                <w:color w:val="auto"/>
                <w:sz w:val="24"/>
                <w:szCs w:val="24"/>
                <w:highlight w:val="none"/>
                <w:lang w:val="en-US" w:eastAsia="zh-CN"/>
              </w:rPr>
            </w:pPr>
            <w:r>
              <w:rPr>
                <w:rFonts w:hint="eastAsia" w:cs="Times New Roman"/>
                <w:b/>
                <w:color w:val="auto"/>
                <w:sz w:val="24"/>
                <w:szCs w:val="24"/>
                <w:highlight w:val="none"/>
                <w:lang w:val="en-US" w:eastAsia="zh-CN"/>
              </w:rPr>
              <w:t>标项2：水果类：15分；</w:t>
            </w:r>
          </w:p>
          <w:p w14:paraId="71D027CF">
            <w:pPr>
              <w:keepNext w:val="0"/>
              <w:keepLines w:val="0"/>
              <w:pageBreakBefore w:val="0"/>
              <w:widowControl w:val="0"/>
              <w:kinsoku/>
              <w:wordWrap/>
              <w:overflowPunct/>
              <w:topLinePunct w:val="0"/>
              <w:autoSpaceDE/>
              <w:autoSpaceDN/>
              <w:bidi w:val="0"/>
              <w:adjustRightInd/>
              <w:snapToGrid/>
              <w:spacing w:line="24" w:lineRule="atLeast"/>
              <w:textAlignment w:val="auto"/>
              <w:rPr>
                <w:rFonts w:ascii="Times New Roman" w:hAnsi="Times New Roman" w:eastAsia="宋体" w:cs="Times New Roman"/>
                <w:color w:val="auto"/>
                <w:sz w:val="24"/>
                <w:szCs w:val="24"/>
                <w:highlight w:val="none"/>
              </w:rPr>
            </w:pPr>
            <w:r>
              <w:rPr>
                <w:rFonts w:hint="eastAsia" w:cs="Times New Roman"/>
                <w:b/>
                <w:color w:val="auto"/>
                <w:sz w:val="24"/>
                <w:szCs w:val="24"/>
                <w:highlight w:val="none"/>
                <w:lang w:val="en-US" w:eastAsia="zh-CN"/>
              </w:rPr>
              <w:t>标项3：其他杂项类：15分</w:t>
            </w:r>
          </w:p>
        </w:tc>
        <w:tc>
          <w:tcPr>
            <w:tcW w:w="600" w:type="dxa"/>
            <w:noWrap w:val="0"/>
            <w:vAlign w:val="center"/>
          </w:tcPr>
          <w:p w14:paraId="7F706D9F">
            <w:pPr>
              <w:widowControl/>
              <w:adjustRightInd/>
              <w:spacing w:line="240" w:lineRule="auto"/>
              <w:jc w:val="center"/>
              <w:textAlignment w:val="auto"/>
              <w:rPr>
                <w:rFonts w:hint="default" w:ascii="宋体" w:hAnsi="宋体" w:eastAsia="宋体" w:cs="Times New Roman"/>
                <w:color w:val="auto"/>
                <w:kern w:val="2"/>
                <w:sz w:val="24"/>
                <w:szCs w:val="24"/>
                <w:highlight w:val="none"/>
                <w:lang w:val="en-US" w:eastAsia="zh-CN"/>
              </w:rPr>
            </w:pPr>
            <w:r>
              <w:rPr>
                <w:rFonts w:hint="eastAsia" w:ascii="宋体" w:hAnsi="宋体" w:eastAsia="宋体" w:cs="Times New Roman"/>
                <w:color w:val="auto"/>
                <w:kern w:val="2"/>
                <w:sz w:val="24"/>
                <w:szCs w:val="24"/>
                <w:highlight w:val="none"/>
                <w:lang w:val="en-US" w:eastAsia="zh-CN"/>
              </w:rPr>
              <w:t>15</w:t>
            </w:r>
          </w:p>
        </w:tc>
        <w:tc>
          <w:tcPr>
            <w:tcW w:w="692" w:type="dxa"/>
            <w:noWrap w:val="0"/>
            <w:vAlign w:val="center"/>
          </w:tcPr>
          <w:p w14:paraId="31DDBF3E">
            <w:pPr>
              <w:widowControl/>
              <w:shd w:val="clear" w:color="auto" w:fill="auto"/>
              <w:adjustRightInd/>
              <w:spacing w:line="240" w:lineRule="auto"/>
              <w:jc w:val="center"/>
              <w:textAlignment w:val="auto"/>
              <w:rPr>
                <w:rFonts w:hint="eastAsia" w:ascii="宋体" w:hAnsi="宋体" w:eastAsia="宋体" w:cs="Times New Roman"/>
                <w:snapToGrid w:val="0"/>
                <w:color w:val="auto"/>
                <w:spacing w:val="-4"/>
                <w:kern w:val="2"/>
                <w:sz w:val="24"/>
                <w:szCs w:val="24"/>
                <w:highlight w:val="none"/>
                <w:lang w:val="en-US" w:eastAsia="zh-CN" w:bidi="ar-SA"/>
              </w:rPr>
            </w:pPr>
            <w:r>
              <w:rPr>
                <w:rFonts w:hint="eastAsia" w:ascii="宋体" w:hAnsi="宋体" w:eastAsia="宋体" w:cs="Times New Roman"/>
                <w:snapToGrid w:val="0"/>
                <w:color w:val="auto"/>
                <w:spacing w:val="-4"/>
                <w:kern w:val="2"/>
                <w:sz w:val="24"/>
                <w:szCs w:val="24"/>
                <w:highlight w:val="none"/>
                <w:lang w:val="en-US" w:eastAsia="zh-CN" w:bidi="ar-SA"/>
              </w:rPr>
              <w:t>客观评议</w:t>
            </w:r>
          </w:p>
        </w:tc>
      </w:tr>
      <w:tr w14:paraId="6BF287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59" w:type="dxa"/>
            <w:vMerge w:val="restart"/>
            <w:noWrap w:val="0"/>
            <w:vAlign w:val="center"/>
          </w:tcPr>
          <w:p w14:paraId="521F0F4D">
            <w:pPr>
              <w:keepNext w:val="0"/>
              <w:keepLines w:val="0"/>
              <w:pageBreakBefore w:val="0"/>
              <w:widowControl w:val="0"/>
              <w:kinsoku/>
              <w:wordWrap/>
              <w:overflowPunct/>
              <w:topLinePunct w:val="0"/>
              <w:autoSpaceDE/>
              <w:autoSpaceDN/>
              <w:bidi w:val="0"/>
              <w:adjustRightInd/>
              <w:snapToGrid/>
              <w:spacing w:line="24" w:lineRule="atLeast"/>
              <w:textAlignment w:val="auto"/>
              <w:rPr>
                <w:rFonts w:ascii="Times New Roman" w:hAnsi="Times New Roman" w:eastAsia="宋体" w:cs="Times New Roman"/>
                <w:color w:val="auto"/>
                <w:sz w:val="24"/>
                <w:szCs w:val="24"/>
                <w:highlight w:val="none"/>
              </w:rPr>
            </w:pPr>
            <w:r>
              <w:rPr>
                <w:rFonts w:ascii="Times New Roman" w:hAnsi="Times New Roman" w:eastAsia="宋体" w:cs="Times New Roman"/>
                <w:color w:val="auto"/>
                <w:sz w:val="24"/>
                <w:szCs w:val="24"/>
                <w:highlight w:val="none"/>
              </w:rPr>
              <w:t>商务技术分</w:t>
            </w:r>
            <w:r>
              <w:rPr>
                <w:rFonts w:hint="eastAsia" w:ascii="Times New Roman" w:hAnsi="Times New Roman" w:eastAsia="宋体" w:cs="Times New Roman"/>
                <w:color w:val="auto"/>
                <w:sz w:val="24"/>
                <w:szCs w:val="24"/>
                <w:highlight w:val="none"/>
                <w:lang w:val="en-US" w:eastAsia="zh-CN"/>
              </w:rPr>
              <w:t>85</w:t>
            </w:r>
            <w:r>
              <w:rPr>
                <w:rFonts w:ascii="Times New Roman" w:hAnsi="Times New Roman" w:eastAsia="宋体" w:cs="Times New Roman"/>
                <w:color w:val="auto"/>
                <w:sz w:val="24"/>
                <w:szCs w:val="24"/>
                <w:highlight w:val="none"/>
              </w:rPr>
              <w:t>分</w:t>
            </w:r>
          </w:p>
        </w:tc>
        <w:tc>
          <w:tcPr>
            <w:tcW w:w="1100" w:type="dxa"/>
            <w:noWrap w:val="0"/>
            <w:vAlign w:val="center"/>
          </w:tcPr>
          <w:p w14:paraId="2FF6AB65">
            <w:pPr>
              <w:keepNext w:val="0"/>
              <w:keepLines w:val="0"/>
              <w:pageBreakBefore w:val="0"/>
              <w:widowControl w:val="0"/>
              <w:kinsoku/>
              <w:wordWrap/>
              <w:overflowPunct/>
              <w:topLinePunct w:val="0"/>
              <w:autoSpaceDE/>
              <w:autoSpaceDN/>
              <w:bidi w:val="0"/>
              <w:adjustRightInd/>
              <w:snapToGrid/>
              <w:spacing w:line="24" w:lineRule="atLeast"/>
              <w:jc w:val="center"/>
              <w:textAlignment w:val="auto"/>
              <w:rPr>
                <w:rFonts w:ascii="Times New Roman" w:hAnsi="Times New Roman" w:eastAsia="宋体" w:cs="Times New Roman"/>
                <w:color w:val="auto"/>
                <w:sz w:val="24"/>
                <w:szCs w:val="24"/>
                <w:highlight w:val="none"/>
              </w:rPr>
            </w:pPr>
            <w:r>
              <w:rPr>
                <w:rFonts w:hint="eastAsia" w:ascii="Times New Roman" w:hAnsi="Times New Roman" w:eastAsia="宋体" w:cs="Times New Roman"/>
                <w:color w:val="auto"/>
                <w:sz w:val="24"/>
                <w:szCs w:val="24"/>
                <w:highlight w:val="none"/>
              </w:rPr>
              <w:t>1、</w:t>
            </w:r>
            <w:r>
              <w:rPr>
                <w:rFonts w:hint="eastAsia" w:ascii="Times New Roman" w:hAnsi="Times New Roman" w:eastAsia="宋体" w:cs="Times New Roman"/>
                <w:color w:val="auto"/>
                <w:sz w:val="24"/>
                <w:szCs w:val="24"/>
                <w:highlight w:val="none"/>
                <w:lang w:eastAsia="zh-CN"/>
              </w:rPr>
              <w:t>履约能力</w:t>
            </w:r>
            <w:r>
              <w:rPr>
                <w:rFonts w:hint="eastAsia" w:ascii="Times New Roman" w:hAnsi="Times New Roman" w:eastAsia="宋体" w:cs="Times New Roman"/>
                <w:color w:val="auto"/>
                <w:sz w:val="24"/>
                <w:szCs w:val="24"/>
                <w:highlight w:val="none"/>
              </w:rPr>
              <w:t>（</w:t>
            </w:r>
            <w:r>
              <w:rPr>
                <w:rFonts w:hint="eastAsia" w:ascii="Times New Roman" w:hAnsi="Times New Roman" w:eastAsia="宋体" w:cs="Times New Roman"/>
                <w:color w:val="auto"/>
                <w:sz w:val="24"/>
                <w:szCs w:val="24"/>
                <w:highlight w:val="none"/>
                <w:lang w:val="en-US" w:eastAsia="zh-CN"/>
              </w:rPr>
              <w:t>2.5</w:t>
            </w:r>
            <w:r>
              <w:rPr>
                <w:rFonts w:hint="eastAsia" w:ascii="Times New Roman" w:hAnsi="Times New Roman" w:eastAsia="宋体" w:cs="Times New Roman"/>
                <w:color w:val="auto"/>
                <w:sz w:val="24"/>
                <w:szCs w:val="24"/>
                <w:highlight w:val="none"/>
              </w:rPr>
              <w:t>分）</w:t>
            </w:r>
          </w:p>
        </w:tc>
        <w:tc>
          <w:tcPr>
            <w:tcW w:w="5147" w:type="dxa"/>
            <w:gridSpan w:val="2"/>
            <w:noWrap w:val="0"/>
            <w:vAlign w:val="center"/>
          </w:tcPr>
          <w:p w14:paraId="549C4990">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1.1供应商具备有效的质量管理体系认证、环境管理体系认证、职业健康安全管理体系认证，任意一个认证得0.5分；具备有效的食品安全管理体系认证，得1分；最高得2.5分。（投标文件中须提供以上认证证书复印件加盖公章，未提供不得分。）</w:t>
            </w:r>
          </w:p>
        </w:tc>
        <w:tc>
          <w:tcPr>
            <w:tcW w:w="600" w:type="dxa"/>
            <w:noWrap w:val="0"/>
            <w:vAlign w:val="center"/>
          </w:tcPr>
          <w:p w14:paraId="5FEFC1F2">
            <w:pPr>
              <w:widowControl/>
              <w:adjustRightInd/>
              <w:spacing w:line="240" w:lineRule="auto"/>
              <w:jc w:val="center"/>
              <w:textAlignment w:val="auto"/>
              <w:rPr>
                <w:rFonts w:hint="default" w:ascii="宋体" w:hAnsi="宋体" w:eastAsia="宋体" w:cs="Times New Roman"/>
                <w:color w:val="auto"/>
                <w:kern w:val="2"/>
                <w:sz w:val="24"/>
                <w:szCs w:val="24"/>
                <w:highlight w:val="none"/>
                <w:lang w:val="en-US" w:eastAsia="zh-CN"/>
              </w:rPr>
            </w:pPr>
            <w:r>
              <w:rPr>
                <w:rFonts w:hint="eastAsia" w:ascii="宋体" w:hAnsi="宋体" w:eastAsia="宋体" w:cs="Times New Roman"/>
                <w:color w:val="auto"/>
                <w:kern w:val="2"/>
                <w:sz w:val="24"/>
                <w:szCs w:val="24"/>
                <w:highlight w:val="none"/>
                <w:lang w:val="en-US" w:eastAsia="zh-CN"/>
              </w:rPr>
              <w:t>2.5</w:t>
            </w:r>
          </w:p>
        </w:tc>
        <w:tc>
          <w:tcPr>
            <w:tcW w:w="692" w:type="dxa"/>
            <w:noWrap w:val="0"/>
            <w:vAlign w:val="center"/>
          </w:tcPr>
          <w:p w14:paraId="176C82DA">
            <w:pPr>
              <w:widowControl/>
              <w:shd w:val="clear" w:color="auto" w:fill="auto"/>
              <w:adjustRightInd/>
              <w:spacing w:line="240" w:lineRule="auto"/>
              <w:jc w:val="center"/>
              <w:textAlignment w:val="auto"/>
              <w:rPr>
                <w:rFonts w:hint="eastAsia" w:ascii="宋体" w:hAnsi="宋体" w:eastAsia="宋体" w:cs="Times New Roman"/>
                <w:snapToGrid w:val="0"/>
                <w:color w:val="auto"/>
                <w:spacing w:val="-4"/>
                <w:kern w:val="2"/>
                <w:sz w:val="24"/>
                <w:szCs w:val="24"/>
                <w:highlight w:val="none"/>
                <w:lang w:val="en-US" w:eastAsia="zh-CN" w:bidi="ar-SA"/>
              </w:rPr>
            </w:pPr>
            <w:r>
              <w:rPr>
                <w:rFonts w:hint="eastAsia" w:ascii="宋体" w:hAnsi="宋体" w:eastAsia="宋体" w:cs="Times New Roman"/>
                <w:snapToGrid w:val="0"/>
                <w:color w:val="auto"/>
                <w:spacing w:val="-4"/>
                <w:kern w:val="2"/>
                <w:sz w:val="24"/>
                <w:szCs w:val="24"/>
                <w:highlight w:val="none"/>
                <w:lang w:val="en-US" w:eastAsia="zh-CN" w:bidi="ar-SA"/>
              </w:rPr>
              <w:t>客观评议</w:t>
            </w:r>
          </w:p>
        </w:tc>
      </w:tr>
      <w:tr w14:paraId="208454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8" w:hRule="atLeast"/>
        </w:trPr>
        <w:tc>
          <w:tcPr>
            <w:tcW w:w="859" w:type="dxa"/>
            <w:vMerge w:val="continue"/>
            <w:noWrap w:val="0"/>
            <w:vAlign w:val="center"/>
          </w:tcPr>
          <w:p w14:paraId="3862207F">
            <w:pPr>
              <w:keepNext w:val="0"/>
              <w:keepLines w:val="0"/>
              <w:pageBreakBefore w:val="0"/>
              <w:widowControl w:val="0"/>
              <w:kinsoku/>
              <w:wordWrap/>
              <w:overflowPunct/>
              <w:topLinePunct w:val="0"/>
              <w:autoSpaceDE/>
              <w:autoSpaceDN/>
              <w:bidi w:val="0"/>
              <w:adjustRightInd/>
              <w:snapToGrid/>
              <w:spacing w:line="24" w:lineRule="atLeast"/>
              <w:jc w:val="center"/>
              <w:textAlignment w:val="auto"/>
              <w:rPr>
                <w:rFonts w:ascii="Times New Roman" w:hAnsi="Times New Roman" w:eastAsia="宋体" w:cs="Times New Roman"/>
                <w:color w:val="auto"/>
                <w:sz w:val="24"/>
                <w:szCs w:val="24"/>
                <w:highlight w:val="none"/>
              </w:rPr>
            </w:pPr>
          </w:p>
        </w:tc>
        <w:tc>
          <w:tcPr>
            <w:tcW w:w="1100" w:type="dxa"/>
            <w:noWrap w:val="0"/>
            <w:vAlign w:val="center"/>
          </w:tcPr>
          <w:p w14:paraId="72C7C825">
            <w:pPr>
              <w:keepNext w:val="0"/>
              <w:keepLines w:val="0"/>
              <w:pageBreakBefore w:val="0"/>
              <w:widowControl w:val="0"/>
              <w:kinsoku/>
              <w:wordWrap/>
              <w:overflowPunct/>
              <w:topLinePunct w:val="0"/>
              <w:autoSpaceDE/>
              <w:autoSpaceDN/>
              <w:bidi w:val="0"/>
              <w:adjustRightInd/>
              <w:snapToGrid/>
              <w:spacing w:line="24" w:lineRule="atLeast"/>
              <w:jc w:val="center"/>
              <w:textAlignment w:val="auto"/>
              <w:rPr>
                <w:rFonts w:hint="eastAsia" w:ascii="Times New Roman" w:hAnsi="Times New Roman" w:eastAsia="宋体" w:cs="Times New Roman"/>
                <w:color w:val="auto"/>
                <w:sz w:val="24"/>
                <w:szCs w:val="24"/>
                <w:highlight w:val="none"/>
                <w:lang w:val="en-US" w:eastAsia="zh-CN"/>
              </w:rPr>
            </w:pPr>
            <w:r>
              <w:rPr>
                <w:rFonts w:hint="eastAsia" w:ascii="Times New Roman" w:hAnsi="Times New Roman" w:eastAsia="宋体" w:cs="Times New Roman"/>
                <w:color w:val="auto"/>
                <w:sz w:val="24"/>
                <w:szCs w:val="24"/>
                <w:highlight w:val="none"/>
                <w:lang w:val="en-US" w:eastAsia="zh-CN"/>
              </w:rPr>
              <w:t>2、业绩（1.5分）</w:t>
            </w:r>
          </w:p>
          <w:p w14:paraId="6999C87C">
            <w:pPr>
              <w:keepNext w:val="0"/>
              <w:keepLines w:val="0"/>
              <w:pageBreakBefore w:val="0"/>
              <w:widowControl w:val="0"/>
              <w:kinsoku/>
              <w:wordWrap/>
              <w:overflowPunct/>
              <w:topLinePunct w:val="0"/>
              <w:autoSpaceDE/>
              <w:autoSpaceDN/>
              <w:bidi w:val="0"/>
              <w:adjustRightInd/>
              <w:snapToGrid/>
              <w:spacing w:line="24" w:lineRule="atLeast"/>
              <w:jc w:val="center"/>
              <w:textAlignment w:val="auto"/>
              <w:rPr>
                <w:rFonts w:hint="eastAsia" w:ascii="Times New Roman" w:hAnsi="Times New Roman" w:eastAsia="宋体" w:cs="Times New Roman"/>
                <w:color w:val="auto"/>
                <w:sz w:val="24"/>
                <w:szCs w:val="24"/>
                <w:highlight w:val="none"/>
                <w:lang w:val="en-US" w:eastAsia="zh-CN"/>
              </w:rPr>
            </w:pPr>
          </w:p>
        </w:tc>
        <w:tc>
          <w:tcPr>
            <w:tcW w:w="5147" w:type="dxa"/>
            <w:gridSpan w:val="2"/>
            <w:noWrap w:val="0"/>
            <w:vAlign w:val="center"/>
          </w:tcPr>
          <w:p w14:paraId="27B5A716">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2.1 202</w:t>
            </w: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lang w:val="en-US" w:eastAsia="zh-CN"/>
              </w:rPr>
              <w:t>年1月1日以来（以合同签订时间为准），供应商完成过同类食堂原材料配送项目的。每一例业绩得0.5分；最多得1.5分。（投标文件中须提供供货合同复印件，未提供不得分。）</w:t>
            </w:r>
          </w:p>
        </w:tc>
        <w:tc>
          <w:tcPr>
            <w:tcW w:w="600" w:type="dxa"/>
            <w:noWrap w:val="0"/>
            <w:vAlign w:val="center"/>
          </w:tcPr>
          <w:p w14:paraId="3D9809C1">
            <w:pPr>
              <w:widowControl/>
              <w:adjustRightInd/>
              <w:spacing w:line="240" w:lineRule="auto"/>
              <w:jc w:val="center"/>
              <w:textAlignment w:val="auto"/>
              <w:rPr>
                <w:rFonts w:hint="default" w:ascii="宋体" w:hAnsi="宋体" w:eastAsia="宋体" w:cs="Times New Roman"/>
                <w:color w:val="auto"/>
                <w:kern w:val="2"/>
                <w:sz w:val="24"/>
                <w:szCs w:val="24"/>
                <w:highlight w:val="none"/>
                <w:lang w:val="en-US" w:eastAsia="zh-CN"/>
              </w:rPr>
            </w:pPr>
            <w:r>
              <w:rPr>
                <w:rFonts w:hint="eastAsia" w:ascii="宋体" w:hAnsi="宋体" w:eastAsia="宋体" w:cs="Times New Roman"/>
                <w:color w:val="auto"/>
                <w:kern w:val="2"/>
                <w:sz w:val="24"/>
                <w:szCs w:val="24"/>
                <w:highlight w:val="none"/>
                <w:lang w:val="en-US" w:eastAsia="zh-CN"/>
              </w:rPr>
              <w:t>1.5</w:t>
            </w:r>
          </w:p>
        </w:tc>
        <w:tc>
          <w:tcPr>
            <w:tcW w:w="692" w:type="dxa"/>
            <w:noWrap w:val="0"/>
            <w:vAlign w:val="center"/>
          </w:tcPr>
          <w:p w14:paraId="4F5DCA27">
            <w:pPr>
              <w:widowControl/>
              <w:shd w:val="clear" w:color="auto" w:fill="auto"/>
              <w:adjustRightInd/>
              <w:spacing w:line="240" w:lineRule="auto"/>
              <w:jc w:val="center"/>
              <w:textAlignment w:val="auto"/>
              <w:rPr>
                <w:rFonts w:hint="eastAsia" w:ascii="宋体" w:hAnsi="宋体" w:eastAsia="宋体" w:cs="Times New Roman"/>
                <w:snapToGrid w:val="0"/>
                <w:color w:val="auto"/>
                <w:spacing w:val="-4"/>
                <w:kern w:val="2"/>
                <w:sz w:val="24"/>
                <w:szCs w:val="24"/>
                <w:highlight w:val="none"/>
                <w:lang w:val="en-US" w:eastAsia="zh-CN" w:bidi="ar-SA"/>
              </w:rPr>
            </w:pPr>
            <w:r>
              <w:rPr>
                <w:rFonts w:hint="eastAsia" w:ascii="宋体" w:hAnsi="宋体" w:eastAsia="宋体" w:cs="Times New Roman"/>
                <w:snapToGrid w:val="0"/>
                <w:color w:val="auto"/>
                <w:spacing w:val="-4"/>
                <w:kern w:val="2"/>
                <w:sz w:val="24"/>
                <w:szCs w:val="24"/>
                <w:highlight w:val="none"/>
                <w:lang w:val="en-US" w:eastAsia="zh-CN" w:bidi="ar-SA"/>
              </w:rPr>
              <w:t>客观评议</w:t>
            </w:r>
          </w:p>
        </w:tc>
      </w:tr>
      <w:tr w14:paraId="32AC68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7" w:hRule="atLeast"/>
        </w:trPr>
        <w:tc>
          <w:tcPr>
            <w:tcW w:w="859" w:type="dxa"/>
            <w:vMerge w:val="continue"/>
            <w:noWrap w:val="0"/>
            <w:vAlign w:val="center"/>
          </w:tcPr>
          <w:p w14:paraId="2378B8E1">
            <w:pPr>
              <w:keepNext w:val="0"/>
              <w:keepLines w:val="0"/>
              <w:pageBreakBefore w:val="0"/>
              <w:widowControl w:val="0"/>
              <w:kinsoku/>
              <w:wordWrap/>
              <w:overflowPunct/>
              <w:topLinePunct w:val="0"/>
              <w:autoSpaceDE/>
              <w:autoSpaceDN/>
              <w:bidi w:val="0"/>
              <w:adjustRightInd/>
              <w:snapToGrid/>
              <w:spacing w:line="24" w:lineRule="atLeast"/>
              <w:jc w:val="center"/>
              <w:textAlignment w:val="auto"/>
              <w:rPr>
                <w:rFonts w:ascii="Times New Roman" w:hAnsi="Times New Roman" w:eastAsia="宋体" w:cs="Times New Roman"/>
                <w:color w:val="auto"/>
                <w:sz w:val="24"/>
                <w:szCs w:val="24"/>
                <w:highlight w:val="none"/>
              </w:rPr>
            </w:pPr>
          </w:p>
        </w:tc>
        <w:tc>
          <w:tcPr>
            <w:tcW w:w="1100" w:type="dxa"/>
            <w:vMerge w:val="restart"/>
            <w:noWrap w:val="0"/>
            <w:vAlign w:val="center"/>
          </w:tcPr>
          <w:p w14:paraId="7713335A">
            <w:pPr>
              <w:keepNext w:val="0"/>
              <w:keepLines w:val="0"/>
              <w:pageBreakBefore w:val="0"/>
              <w:widowControl w:val="0"/>
              <w:kinsoku/>
              <w:wordWrap/>
              <w:overflowPunct/>
              <w:topLinePunct w:val="0"/>
              <w:autoSpaceDE/>
              <w:autoSpaceDN/>
              <w:bidi w:val="0"/>
              <w:adjustRightInd/>
              <w:snapToGrid/>
              <w:spacing w:line="24" w:lineRule="atLeast"/>
              <w:jc w:val="center"/>
              <w:textAlignment w:val="auto"/>
              <w:rPr>
                <w:rFonts w:hint="eastAsia" w:ascii="Times New Roman" w:hAnsi="Times New Roman" w:eastAsia="宋体" w:cs="Times New Roman"/>
                <w:color w:val="auto"/>
                <w:sz w:val="24"/>
                <w:szCs w:val="24"/>
                <w:highlight w:val="none"/>
                <w:lang w:val="en-US" w:eastAsia="zh-CN"/>
              </w:rPr>
            </w:pPr>
            <w:r>
              <w:rPr>
                <w:rFonts w:hint="eastAsia" w:ascii="Times New Roman" w:hAnsi="Times New Roman" w:eastAsia="宋体" w:cs="Times New Roman"/>
                <w:color w:val="auto"/>
                <w:sz w:val="24"/>
                <w:szCs w:val="24"/>
                <w:highlight w:val="none"/>
                <w:lang w:val="en-US" w:eastAsia="zh-CN"/>
              </w:rPr>
              <w:t>3、配送能力（8分）</w:t>
            </w:r>
          </w:p>
        </w:tc>
        <w:tc>
          <w:tcPr>
            <w:tcW w:w="5147" w:type="dxa"/>
            <w:gridSpan w:val="2"/>
            <w:noWrap w:val="0"/>
            <w:vAlign w:val="center"/>
          </w:tcPr>
          <w:p w14:paraId="39BF58B0">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3.1各供应商为本项目拟投入的配送车辆：</w:t>
            </w:r>
          </w:p>
          <w:p w14:paraId="04C7C755">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自有的，每提供1辆得1分；租赁的，每提供1辆得0.5分；本项满分4分。</w:t>
            </w:r>
          </w:p>
          <w:p w14:paraId="7B6A1AAB">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自有的，投标文件中须提供车辆照片（能显示车牌）、行驶证、购买发票加盖公章；租赁的，投标文件中须提供车辆照片（能显示车牌）、行驶证、购买发票及租赁合同加盖公章。如提供的证明材料不全的，本项不得分】</w:t>
            </w:r>
          </w:p>
        </w:tc>
        <w:tc>
          <w:tcPr>
            <w:tcW w:w="600" w:type="dxa"/>
            <w:noWrap w:val="0"/>
            <w:vAlign w:val="center"/>
          </w:tcPr>
          <w:p w14:paraId="0BEEC9C9">
            <w:pPr>
              <w:widowControl/>
              <w:adjustRightInd/>
              <w:spacing w:line="240" w:lineRule="auto"/>
              <w:jc w:val="center"/>
              <w:textAlignment w:val="auto"/>
              <w:rPr>
                <w:rFonts w:hint="eastAsia" w:ascii="宋体" w:hAnsi="宋体" w:eastAsia="宋体" w:cs="Times New Roman"/>
                <w:color w:val="auto"/>
                <w:kern w:val="2"/>
                <w:sz w:val="24"/>
                <w:szCs w:val="24"/>
                <w:highlight w:val="none"/>
                <w:lang w:val="en-US" w:eastAsia="zh-CN"/>
              </w:rPr>
            </w:pPr>
            <w:r>
              <w:rPr>
                <w:rFonts w:hint="eastAsia" w:ascii="宋体" w:hAnsi="宋体" w:eastAsia="宋体" w:cs="Times New Roman"/>
                <w:color w:val="auto"/>
                <w:kern w:val="2"/>
                <w:sz w:val="24"/>
                <w:szCs w:val="24"/>
                <w:highlight w:val="none"/>
                <w:lang w:val="en-US" w:eastAsia="zh-CN"/>
              </w:rPr>
              <w:t>4</w:t>
            </w:r>
          </w:p>
        </w:tc>
        <w:tc>
          <w:tcPr>
            <w:tcW w:w="692" w:type="dxa"/>
            <w:noWrap w:val="0"/>
            <w:vAlign w:val="center"/>
          </w:tcPr>
          <w:p w14:paraId="6734CF28">
            <w:pPr>
              <w:widowControl/>
              <w:shd w:val="clear" w:color="auto" w:fill="auto"/>
              <w:adjustRightInd/>
              <w:spacing w:line="240" w:lineRule="auto"/>
              <w:jc w:val="center"/>
              <w:textAlignment w:val="auto"/>
              <w:rPr>
                <w:rFonts w:hint="eastAsia" w:ascii="宋体" w:hAnsi="宋体" w:eastAsia="宋体" w:cs="Times New Roman"/>
                <w:snapToGrid w:val="0"/>
                <w:color w:val="auto"/>
                <w:spacing w:val="-4"/>
                <w:kern w:val="2"/>
                <w:sz w:val="24"/>
                <w:szCs w:val="24"/>
                <w:highlight w:val="none"/>
                <w:lang w:val="en-US" w:eastAsia="zh-CN" w:bidi="ar-SA"/>
              </w:rPr>
            </w:pPr>
            <w:r>
              <w:rPr>
                <w:rFonts w:hint="eastAsia" w:ascii="宋体" w:hAnsi="宋体" w:eastAsia="宋体" w:cs="Times New Roman"/>
                <w:snapToGrid w:val="0"/>
                <w:color w:val="auto"/>
                <w:spacing w:val="-4"/>
                <w:kern w:val="2"/>
                <w:sz w:val="24"/>
                <w:szCs w:val="24"/>
                <w:highlight w:val="none"/>
                <w:lang w:val="en-US" w:eastAsia="zh-CN" w:bidi="ar-SA"/>
              </w:rPr>
              <w:t>客观评议</w:t>
            </w:r>
          </w:p>
        </w:tc>
      </w:tr>
      <w:tr w14:paraId="15209D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59" w:type="dxa"/>
            <w:vMerge w:val="continue"/>
            <w:noWrap w:val="0"/>
            <w:vAlign w:val="center"/>
          </w:tcPr>
          <w:p w14:paraId="54873708">
            <w:pPr>
              <w:keepNext w:val="0"/>
              <w:keepLines w:val="0"/>
              <w:pageBreakBefore w:val="0"/>
              <w:widowControl w:val="0"/>
              <w:kinsoku/>
              <w:wordWrap/>
              <w:overflowPunct/>
              <w:topLinePunct w:val="0"/>
              <w:autoSpaceDE/>
              <w:autoSpaceDN/>
              <w:bidi w:val="0"/>
              <w:adjustRightInd/>
              <w:snapToGrid/>
              <w:spacing w:line="24" w:lineRule="atLeast"/>
              <w:jc w:val="center"/>
              <w:textAlignment w:val="auto"/>
              <w:rPr>
                <w:rFonts w:ascii="Times New Roman" w:hAnsi="Times New Roman" w:eastAsia="宋体" w:cs="Times New Roman"/>
                <w:color w:val="auto"/>
                <w:sz w:val="24"/>
                <w:szCs w:val="24"/>
                <w:highlight w:val="none"/>
              </w:rPr>
            </w:pPr>
          </w:p>
        </w:tc>
        <w:tc>
          <w:tcPr>
            <w:tcW w:w="1100" w:type="dxa"/>
            <w:vMerge w:val="continue"/>
            <w:noWrap w:val="0"/>
            <w:vAlign w:val="center"/>
          </w:tcPr>
          <w:p w14:paraId="124D83D2">
            <w:pPr>
              <w:keepNext w:val="0"/>
              <w:keepLines w:val="0"/>
              <w:pageBreakBefore w:val="0"/>
              <w:widowControl w:val="0"/>
              <w:kinsoku/>
              <w:wordWrap/>
              <w:overflowPunct/>
              <w:topLinePunct w:val="0"/>
              <w:autoSpaceDE/>
              <w:autoSpaceDN/>
              <w:bidi w:val="0"/>
              <w:adjustRightInd/>
              <w:snapToGrid/>
              <w:spacing w:line="24" w:lineRule="atLeast"/>
              <w:textAlignment w:val="auto"/>
              <w:rPr>
                <w:rFonts w:ascii="Times New Roman" w:hAnsi="Times New Roman" w:eastAsia="宋体" w:cs="Times New Roman"/>
                <w:color w:val="auto"/>
                <w:sz w:val="24"/>
                <w:szCs w:val="24"/>
                <w:highlight w:val="none"/>
              </w:rPr>
            </w:pPr>
          </w:p>
        </w:tc>
        <w:tc>
          <w:tcPr>
            <w:tcW w:w="5147" w:type="dxa"/>
            <w:gridSpan w:val="2"/>
            <w:noWrap w:val="0"/>
            <w:vAlign w:val="center"/>
          </w:tcPr>
          <w:p w14:paraId="1300267B">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3.2根据供应商制定的配送方案进行评议：</w:t>
            </w:r>
          </w:p>
          <w:p w14:paraId="5FD6A9FE">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①配送车辆保障方案可行，食品配送方案科学，可以有效实施的得4分；</w:t>
            </w:r>
          </w:p>
          <w:p w14:paraId="6BFDD4B7">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②配送车辆保障方案基本可行，食品配送方案基本能满足本项目实施要求的得2分；</w:t>
            </w:r>
          </w:p>
          <w:p w14:paraId="52E01BAC">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③配送车辆保障方案不可行，食品配送方案不科学的得1分。</w:t>
            </w:r>
          </w:p>
          <w:p w14:paraId="308FADDB">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④</w:t>
            </w:r>
            <w:r>
              <w:rPr>
                <w:rFonts w:hint="default" w:ascii="宋体" w:hAnsi="宋体" w:eastAsia="宋体" w:cs="宋体"/>
                <w:color w:val="auto"/>
                <w:sz w:val="24"/>
                <w:szCs w:val="24"/>
                <w:highlight w:val="none"/>
                <w:lang w:val="en-US" w:eastAsia="zh-CN"/>
              </w:rPr>
              <w:t>未提供相关内容的不得分。</w:t>
            </w:r>
          </w:p>
          <w:p w14:paraId="596FAAC1">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（投标文件中需提供相关证明材料</w:t>
            </w:r>
            <w:r>
              <w:rPr>
                <w:rFonts w:hint="eastAsia" w:ascii="宋体" w:hAnsi="宋体" w:cs="宋体"/>
                <w:color w:val="auto"/>
                <w:sz w:val="24"/>
                <w:szCs w:val="24"/>
                <w:highlight w:val="none"/>
                <w:lang w:val="en-US" w:eastAsia="zh-CN"/>
              </w:rPr>
              <w:t>，如涉及</w:t>
            </w:r>
            <w:r>
              <w:rPr>
                <w:rFonts w:hint="eastAsia" w:ascii="宋体" w:hAnsi="宋体" w:eastAsia="宋体" w:cs="宋体"/>
                <w:color w:val="auto"/>
                <w:sz w:val="24"/>
                <w:szCs w:val="24"/>
                <w:highlight w:val="none"/>
                <w:lang w:val="en-US" w:eastAsia="zh-CN"/>
              </w:rPr>
              <w:t>冷冻冷藏</w:t>
            </w:r>
            <w:r>
              <w:rPr>
                <w:rFonts w:hint="eastAsia" w:ascii="宋体" w:hAnsi="宋体" w:cs="宋体"/>
                <w:color w:val="auto"/>
                <w:sz w:val="24"/>
                <w:szCs w:val="24"/>
                <w:highlight w:val="none"/>
                <w:lang w:val="en-US" w:eastAsia="zh-CN"/>
              </w:rPr>
              <w:t>的标项，需提供</w:t>
            </w:r>
            <w:r>
              <w:rPr>
                <w:rFonts w:hint="eastAsia" w:ascii="宋体" w:hAnsi="宋体" w:eastAsia="宋体" w:cs="宋体"/>
                <w:color w:val="auto"/>
                <w:sz w:val="24"/>
                <w:szCs w:val="24"/>
                <w:highlight w:val="none"/>
                <w:lang w:val="en-US" w:eastAsia="zh-CN"/>
              </w:rPr>
              <w:t>冷冻冷藏</w:t>
            </w:r>
            <w:r>
              <w:rPr>
                <w:rFonts w:hint="eastAsia" w:ascii="宋体" w:hAnsi="宋体" w:cs="宋体"/>
                <w:color w:val="auto"/>
                <w:sz w:val="24"/>
                <w:szCs w:val="24"/>
                <w:highlight w:val="none"/>
                <w:lang w:val="en-US" w:eastAsia="zh-CN"/>
              </w:rPr>
              <w:t>食品配送方案</w:t>
            </w:r>
            <w:r>
              <w:rPr>
                <w:rFonts w:hint="eastAsia" w:ascii="宋体" w:hAnsi="宋体" w:eastAsia="宋体" w:cs="宋体"/>
                <w:color w:val="auto"/>
                <w:sz w:val="24"/>
                <w:szCs w:val="24"/>
                <w:highlight w:val="none"/>
                <w:lang w:val="en-US" w:eastAsia="zh-CN"/>
              </w:rPr>
              <w:t>）</w:t>
            </w:r>
          </w:p>
        </w:tc>
        <w:tc>
          <w:tcPr>
            <w:tcW w:w="600" w:type="dxa"/>
            <w:noWrap w:val="0"/>
            <w:vAlign w:val="center"/>
          </w:tcPr>
          <w:p w14:paraId="31CEB906">
            <w:pPr>
              <w:widowControl/>
              <w:adjustRightInd/>
              <w:spacing w:line="240" w:lineRule="auto"/>
              <w:jc w:val="center"/>
              <w:textAlignment w:val="auto"/>
              <w:rPr>
                <w:rFonts w:hint="eastAsia" w:ascii="宋体" w:hAnsi="宋体" w:eastAsia="宋体" w:cs="Times New Roman"/>
                <w:color w:val="auto"/>
                <w:kern w:val="2"/>
                <w:sz w:val="24"/>
                <w:szCs w:val="24"/>
                <w:highlight w:val="none"/>
                <w:lang w:val="en-US" w:eastAsia="zh-CN"/>
              </w:rPr>
            </w:pPr>
            <w:r>
              <w:rPr>
                <w:rFonts w:hint="eastAsia" w:ascii="宋体" w:hAnsi="宋体" w:eastAsia="宋体" w:cs="Times New Roman"/>
                <w:color w:val="auto"/>
                <w:kern w:val="2"/>
                <w:sz w:val="24"/>
                <w:szCs w:val="24"/>
                <w:highlight w:val="none"/>
                <w:lang w:val="en-US" w:eastAsia="zh-CN"/>
              </w:rPr>
              <w:t>4</w:t>
            </w:r>
          </w:p>
        </w:tc>
        <w:tc>
          <w:tcPr>
            <w:tcW w:w="692" w:type="dxa"/>
            <w:noWrap w:val="0"/>
            <w:vAlign w:val="center"/>
          </w:tcPr>
          <w:p w14:paraId="3B6E2128">
            <w:pPr>
              <w:widowControl/>
              <w:shd w:val="clear" w:color="auto" w:fill="auto"/>
              <w:adjustRightInd/>
              <w:spacing w:line="240" w:lineRule="auto"/>
              <w:jc w:val="center"/>
              <w:textAlignment w:val="auto"/>
              <w:rPr>
                <w:rFonts w:hint="eastAsia" w:ascii="宋体" w:hAnsi="宋体" w:eastAsia="宋体" w:cs="Times New Roman"/>
                <w:snapToGrid w:val="0"/>
                <w:color w:val="auto"/>
                <w:spacing w:val="-4"/>
                <w:kern w:val="2"/>
                <w:sz w:val="24"/>
                <w:szCs w:val="24"/>
                <w:highlight w:val="none"/>
                <w:lang w:val="en-US" w:eastAsia="zh-CN" w:bidi="ar-SA"/>
              </w:rPr>
            </w:pPr>
            <w:r>
              <w:rPr>
                <w:rFonts w:hint="eastAsia" w:ascii="宋体" w:hAnsi="宋体" w:eastAsia="宋体" w:cs="Times New Roman"/>
                <w:snapToGrid w:val="0"/>
                <w:color w:val="auto"/>
                <w:spacing w:val="-4"/>
                <w:kern w:val="2"/>
                <w:sz w:val="24"/>
                <w:szCs w:val="24"/>
                <w:highlight w:val="none"/>
                <w:lang w:val="en-US" w:eastAsia="zh-CN"/>
              </w:rPr>
              <w:t>主观评议</w:t>
            </w:r>
          </w:p>
        </w:tc>
      </w:tr>
      <w:tr w14:paraId="3AC7D8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9" w:hRule="atLeast"/>
        </w:trPr>
        <w:tc>
          <w:tcPr>
            <w:tcW w:w="859" w:type="dxa"/>
            <w:vMerge w:val="continue"/>
            <w:noWrap w:val="0"/>
            <w:vAlign w:val="center"/>
          </w:tcPr>
          <w:p w14:paraId="7A53A785">
            <w:pPr>
              <w:keepNext w:val="0"/>
              <w:keepLines w:val="0"/>
              <w:pageBreakBefore w:val="0"/>
              <w:widowControl w:val="0"/>
              <w:kinsoku/>
              <w:wordWrap/>
              <w:overflowPunct/>
              <w:topLinePunct w:val="0"/>
              <w:autoSpaceDE/>
              <w:autoSpaceDN/>
              <w:bidi w:val="0"/>
              <w:adjustRightInd/>
              <w:snapToGrid/>
              <w:spacing w:line="24" w:lineRule="atLeast"/>
              <w:jc w:val="center"/>
              <w:textAlignment w:val="auto"/>
              <w:rPr>
                <w:rFonts w:ascii="Times New Roman" w:hAnsi="Times New Roman" w:eastAsia="宋体" w:cs="Times New Roman"/>
                <w:color w:val="auto"/>
                <w:sz w:val="24"/>
                <w:szCs w:val="24"/>
                <w:highlight w:val="none"/>
              </w:rPr>
            </w:pPr>
          </w:p>
        </w:tc>
        <w:tc>
          <w:tcPr>
            <w:tcW w:w="1100" w:type="dxa"/>
            <w:vMerge w:val="restart"/>
            <w:noWrap w:val="0"/>
            <w:vAlign w:val="center"/>
          </w:tcPr>
          <w:p w14:paraId="03AE8E01">
            <w:pPr>
              <w:keepNext w:val="0"/>
              <w:keepLines w:val="0"/>
              <w:pageBreakBefore w:val="0"/>
              <w:widowControl w:val="0"/>
              <w:kinsoku/>
              <w:wordWrap/>
              <w:overflowPunct/>
              <w:topLinePunct w:val="0"/>
              <w:autoSpaceDE/>
              <w:autoSpaceDN/>
              <w:bidi w:val="0"/>
              <w:adjustRightInd/>
              <w:snapToGrid/>
              <w:spacing w:line="24" w:lineRule="atLeast"/>
              <w:textAlignment w:val="auto"/>
              <w:rPr>
                <w:rFonts w:hint="eastAsia" w:ascii="Times New Roman" w:hAnsi="Times New Roman" w:eastAsia="宋体" w:cs="Times New Roman"/>
                <w:color w:val="auto"/>
                <w:sz w:val="24"/>
                <w:szCs w:val="24"/>
                <w:highlight w:val="none"/>
              </w:rPr>
            </w:pPr>
            <w:r>
              <w:rPr>
                <w:rFonts w:hint="eastAsia" w:ascii="Times New Roman" w:hAnsi="Times New Roman" w:eastAsia="宋体" w:cs="Times New Roman"/>
                <w:color w:val="auto"/>
                <w:sz w:val="24"/>
                <w:szCs w:val="24"/>
                <w:highlight w:val="none"/>
              </w:rPr>
              <w:t>4、质量</w:t>
            </w:r>
            <w:r>
              <w:rPr>
                <w:rFonts w:hint="eastAsia" w:ascii="Times New Roman" w:hAnsi="Times New Roman" w:eastAsia="宋体" w:cs="Times New Roman"/>
                <w:color w:val="auto"/>
                <w:sz w:val="24"/>
                <w:szCs w:val="24"/>
                <w:highlight w:val="none"/>
                <w:lang w:eastAsia="zh-CN"/>
              </w:rPr>
              <w:t>实际</w:t>
            </w:r>
            <w:r>
              <w:rPr>
                <w:rFonts w:hint="eastAsia" w:ascii="Times New Roman" w:hAnsi="Times New Roman" w:eastAsia="宋体" w:cs="Times New Roman"/>
                <w:color w:val="auto"/>
                <w:sz w:val="24"/>
                <w:szCs w:val="24"/>
                <w:highlight w:val="none"/>
              </w:rPr>
              <w:t>控制能力（</w:t>
            </w:r>
            <w:r>
              <w:rPr>
                <w:rFonts w:hint="eastAsia" w:ascii="Times New Roman" w:hAnsi="Times New Roman" w:eastAsia="宋体" w:cs="Times New Roman"/>
                <w:color w:val="auto"/>
                <w:sz w:val="24"/>
                <w:szCs w:val="24"/>
                <w:highlight w:val="none"/>
                <w:lang w:val="en-US" w:eastAsia="zh-CN"/>
              </w:rPr>
              <w:t>10</w:t>
            </w:r>
            <w:r>
              <w:rPr>
                <w:rFonts w:hint="eastAsia" w:ascii="Times New Roman" w:hAnsi="Times New Roman" w:eastAsia="宋体" w:cs="Times New Roman"/>
                <w:color w:val="auto"/>
                <w:sz w:val="24"/>
                <w:szCs w:val="24"/>
                <w:highlight w:val="none"/>
              </w:rPr>
              <w:t>分）</w:t>
            </w:r>
          </w:p>
        </w:tc>
        <w:tc>
          <w:tcPr>
            <w:tcW w:w="5147" w:type="dxa"/>
            <w:gridSpan w:val="2"/>
            <w:noWrap w:val="0"/>
            <w:vAlign w:val="center"/>
          </w:tcPr>
          <w:p w14:paraId="165A00D9">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4.1评委根据供应商提供的质检室建设</w:t>
            </w:r>
            <w:r>
              <w:rPr>
                <w:rFonts w:hint="eastAsia" w:ascii="宋体" w:hAnsi="宋体" w:cs="宋体"/>
                <w:color w:val="auto"/>
                <w:sz w:val="24"/>
                <w:szCs w:val="24"/>
                <w:highlight w:val="none"/>
                <w:lang w:val="en-US" w:eastAsia="zh-CN"/>
              </w:rPr>
              <w:t>及质检设备投入情况及检测措施方案进行评议：</w:t>
            </w:r>
          </w:p>
          <w:p w14:paraId="015E1E7A">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①质检室建设方案合理，设备投入齐全，有针对本项目的检测措施方案的得5分；</w:t>
            </w:r>
          </w:p>
          <w:p w14:paraId="67249621">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②质检室建设方案基本合理，有一定数量的质检设备但种类略有欠缺，检测措施方案基本能满足项目要求的得3分；</w:t>
            </w:r>
          </w:p>
          <w:p w14:paraId="71C33504">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③质检室建设方案不合理，质检设备数量少，检测措施方案不合理的得1分。</w:t>
            </w:r>
          </w:p>
          <w:p w14:paraId="64F592A8">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④</w:t>
            </w:r>
            <w:r>
              <w:rPr>
                <w:rFonts w:hint="default" w:ascii="宋体" w:hAnsi="宋体" w:eastAsia="宋体" w:cs="宋体"/>
                <w:color w:val="auto"/>
                <w:sz w:val="24"/>
                <w:szCs w:val="24"/>
                <w:highlight w:val="none"/>
                <w:lang w:val="en-US" w:eastAsia="zh-CN"/>
              </w:rPr>
              <w:t>未提供相关内容的不得分。</w:t>
            </w:r>
          </w:p>
          <w:p w14:paraId="4C76B751">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ascii="Times New Roman" w:hAnsi="Times New Roman" w:eastAsia="宋体" w:cs="Times New Roman"/>
                <w:color w:val="auto"/>
                <w:sz w:val="24"/>
                <w:szCs w:val="24"/>
                <w:highlight w:val="none"/>
              </w:rPr>
            </w:pP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投标文件中要求提供质检室照片，及其他证明供应商质检室情况的证明材料</w:t>
            </w: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质检设备（清单、购置发票与现场照片）</w:t>
            </w: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w:t>
            </w:r>
          </w:p>
        </w:tc>
        <w:tc>
          <w:tcPr>
            <w:tcW w:w="600" w:type="dxa"/>
            <w:noWrap w:val="0"/>
            <w:vAlign w:val="center"/>
          </w:tcPr>
          <w:p w14:paraId="4DFB9EF8">
            <w:pPr>
              <w:widowControl/>
              <w:shd w:val="clear"/>
              <w:adjustRightInd/>
              <w:spacing w:line="240" w:lineRule="auto"/>
              <w:jc w:val="center"/>
              <w:textAlignment w:val="auto"/>
              <w:rPr>
                <w:rFonts w:hint="eastAsia" w:ascii="宋体" w:hAnsi="宋体" w:eastAsia="宋体" w:cs="Times New Roman"/>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rPr>
              <w:t>5</w:t>
            </w:r>
          </w:p>
        </w:tc>
        <w:tc>
          <w:tcPr>
            <w:tcW w:w="692" w:type="dxa"/>
            <w:noWrap w:val="0"/>
            <w:vAlign w:val="center"/>
          </w:tcPr>
          <w:p w14:paraId="4688A0AF">
            <w:pPr>
              <w:widowControl/>
              <w:shd w:val="clear" w:color="auto"/>
              <w:adjustRightInd/>
              <w:spacing w:line="240" w:lineRule="auto"/>
              <w:jc w:val="center"/>
              <w:textAlignment w:val="auto"/>
              <w:rPr>
                <w:rFonts w:hint="eastAsia" w:ascii="宋体" w:hAnsi="宋体" w:eastAsia="宋体" w:cs="Times New Roman"/>
                <w:snapToGrid w:val="0"/>
                <w:color w:val="auto"/>
                <w:spacing w:val="-4"/>
                <w:kern w:val="2"/>
                <w:sz w:val="24"/>
                <w:szCs w:val="24"/>
                <w:highlight w:val="none"/>
                <w:lang w:val="en-US" w:eastAsia="zh-CN" w:bidi="ar-SA"/>
              </w:rPr>
            </w:pPr>
            <w:r>
              <w:rPr>
                <w:rFonts w:hint="eastAsia" w:ascii="宋体" w:hAnsi="宋体" w:eastAsia="宋体" w:cs="宋体"/>
                <w:snapToGrid w:val="0"/>
                <w:color w:val="auto"/>
                <w:spacing w:val="-4"/>
                <w:kern w:val="2"/>
                <w:sz w:val="24"/>
                <w:szCs w:val="24"/>
                <w:highlight w:val="none"/>
                <w:lang w:val="en-US" w:eastAsia="zh-CN"/>
              </w:rPr>
              <w:t>主观评议</w:t>
            </w:r>
          </w:p>
        </w:tc>
      </w:tr>
      <w:tr w14:paraId="2A7645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9" w:hRule="atLeast"/>
        </w:trPr>
        <w:tc>
          <w:tcPr>
            <w:tcW w:w="859" w:type="dxa"/>
            <w:vMerge w:val="continue"/>
            <w:noWrap w:val="0"/>
            <w:vAlign w:val="center"/>
          </w:tcPr>
          <w:p w14:paraId="31E01DBF">
            <w:pPr>
              <w:keepNext w:val="0"/>
              <w:keepLines w:val="0"/>
              <w:pageBreakBefore w:val="0"/>
              <w:widowControl w:val="0"/>
              <w:kinsoku/>
              <w:wordWrap/>
              <w:overflowPunct/>
              <w:topLinePunct w:val="0"/>
              <w:autoSpaceDE/>
              <w:autoSpaceDN/>
              <w:bidi w:val="0"/>
              <w:adjustRightInd/>
              <w:snapToGrid/>
              <w:spacing w:line="24" w:lineRule="atLeast"/>
              <w:textAlignment w:val="auto"/>
              <w:rPr>
                <w:rFonts w:ascii="Times New Roman" w:hAnsi="Times New Roman" w:eastAsia="宋体" w:cs="Times New Roman"/>
                <w:color w:val="auto"/>
                <w:sz w:val="24"/>
                <w:szCs w:val="24"/>
                <w:highlight w:val="none"/>
              </w:rPr>
            </w:pPr>
          </w:p>
        </w:tc>
        <w:tc>
          <w:tcPr>
            <w:tcW w:w="1100" w:type="dxa"/>
            <w:vMerge w:val="continue"/>
            <w:noWrap w:val="0"/>
            <w:vAlign w:val="center"/>
          </w:tcPr>
          <w:p w14:paraId="6284484C">
            <w:pPr>
              <w:keepNext w:val="0"/>
              <w:keepLines w:val="0"/>
              <w:pageBreakBefore w:val="0"/>
              <w:widowControl w:val="0"/>
              <w:kinsoku/>
              <w:wordWrap/>
              <w:overflowPunct/>
              <w:topLinePunct w:val="0"/>
              <w:autoSpaceDE/>
              <w:autoSpaceDN/>
              <w:bidi w:val="0"/>
              <w:adjustRightInd/>
              <w:snapToGrid/>
              <w:spacing w:line="24" w:lineRule="atLeast"/>
              <w:textAlignment w:val="auto"/>
              <w:rPr>
                <w:rFonts w:ascii="Times New Roman" w:hAnsi="Times New Roman" w:eastAsia="宋体" w:cs="Times New Roman"/>
                <w:color w:val="auto"/>
                <w:sz w:val="24"/>
                <w:szCs w:val="24"/>
                <w:highlight w:val="none"/>
              </w:rPr>
            </w:pPr>
          </w:p>
        </w:tc>
        <w:tc>
          <w:tcPr>
            <w:tcW w:w="5147" w:type="dxa"/>
            <w:gridSpan w:val="2"/>
            <w:noWrap w:val="0"/>
            <w:vAlign w:val="center"/>
          </w:tcPr>
          <w:p w14:paraId="79B5D684">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4.</w:t>
            </w:r>
            <w:r>
              <w:rPr>
                <w:rFonts w:hint="eastAsia" w:ascii="宋体" w:hAnsi="宋体" w:eastAsia="宋体" w:cs="宋体"/>
                <w:color w:val="auto"/>
                <w:sz w:val="24"/>
                <w:szCs w:val="24"/>
                <w:highlight w:val="none"/>
                <w:lang w:val="en-US" w:eastAsia="zh-CN"/>
              </w:rPr>
              <w:t>2根据供应商提供的</w:t>
            </w:r>
            <w:r>
              <w:rPr>
                <w:rFonts w:hint="eastAsia" w:ascii="宋体" w:hAnsi="宋体" w:cs="宋体"/>
                <w:color w:val="auto"/>
                <w:sz w:val="24"/>
                <w:szCs w:val="24"/>
                <w:highlight w:val="none"/>
                <w:lang w:val="en-US" w:eastAsia="zh-CN"/>
              </w:rPr>
              <w:t>质检人员技术能力、经验及</w:t>
            </w:r>
            <w:r>
              <w:rPr>
                <w:rFonts w:hint="eastAsia" w:ascii="宋体" w:hAnsi="宋体" w:eastAsia="宋体" w:cs="宋体"/>
                <w:color w:val="auto"/>
                <w:sz w:val="24"/>
                <w:szCs w:val="24"/>
                <w:highlight w:val="none"/>
                <w:lang w:val="en-US" w:eastAsia="zh-CN"/>
              </w:rPr>
              <w:t>最能反映检测水平结果</w:t>
            </w:r>
            <w:r>
              <w:rPr>
                <w:rFonts w:hint="eastAsia" w:ascii="宋体" w:hAnsi="宋体" w:cs="宋体"/>
                <w:color w:val="auto"/>
                <w:sz w:val="24"/>
                <w:szCs w:val="24"/>
                <w:highlight w:val="none"/>
                <w:lang w:val="en-US" w:eastAsia="zh-CN"/>
              </w:rPr>
              <w:t>的</w:t>
            </w:r>
            <w:r>
              <w:rPr>
                <w:rFonts w:hint="eastAsia" w:ascii="宋体" w:hAnsi="宋体" w:eastAsia="宋体" w:cs="宋体"/>
                <w:color w:val="auto"/>
                <w:sz w:val="24"/>
                <w:szCs w:val="24"/>
                <w:highlight w:val="none"/>
                <w:lang w:val="en-US" w:eastAsia="zh-CN"/>
              </w:rPr>
              <w:t>质检报告、合格证进行评议：</w:t>
            </w:r>
          </w:p>
          <w:p w14:paraId="3BF1314C">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①质检人员技术能力优异、质检经验丰富，质检报告或合格证的种类齐全且能反映检测水平的得5分；</w:t>
            </w:r>
          </w:p>
          <w:p w14:paraId="106FC567">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②质检人员技术能力略有欠缺、质检经验一般，质检报告或合格证的种类基本符合项目要求，但数量略有欠缺，仅能反映部分产品的检测水平的得3分；</w:t>
            </w:r>
          </w:p>
          <w:p w14:paraId="08112CFA">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③质检人员技术能力差、质检经验少，质检报告或合格证的种类或数量少，不能反映大部分产品的检测水平的得1分。</w:t>
            </w:r>
          </w:p>
          <w:p w14:paraId="16B2F7F8">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④</w:t>
            </w:r>
            <w:r>
              <w:rPr>
                <w:rFonts w:hint="default" w:ascii="宋体" w:hAnsi="宋体" w:eastAsia="宋体" w:cs="宋体"/>
                <w:color w:val="auto"/>
                <w:sz w:val="24"/>
                <w:szCs w:val="24"/>
                <w:highlight w:val="none"/>
                <w:lang w:val="en-US" w:eastAsia="zh-CN"/>
              </w:rPr>
              <w:t>未提供相关内容的不得分。</w:t>
            </w:r>
          </w:p>
          <w:p w14:paraId="518026EC">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Times New Roman" w:hAnsi="Times New Roman" w:eastAsia="宋体" w:cs="Times New Roman"/>
                <w:color w:val="auto"/>
                <w:sz w:val="24"/>
                <w:szCs w:val="24"/>
                <w:highlight w:val="none"/>
                <w:lang w:eastAsia="zh-CN"/>
              </w:rPr>
            </w:pPr>
            <w:r>
              <w:rPr>
                <w:rFonts w:hint="eastAsia" w:ascii="宋体" w:hAnsi="宋体" w:eastAsia="宋体" w:cs="宋体"/>
                <w:color w:val="auto"/>
                <w:sz w:val="24"/>
                <w:szCs w:val="24"/>
                <w:highlight w:val="none"/>
                <w:lang w:val="en-US" w:eastAsia="zh-CN"/>
              </w:rPr>
              <w:t>（投标文件中需提供供应商质检人员情况的证明材料</w:t>
            </w:r>
            <w:r>
              <w:rPr>
                <w:rFonts w:hint="eastAsia" w:ascii="宋体" w:hAnsi="宋体" w:cs="宋体"/>
                <w:color w:val="auto"/>
                <w:sz w:val="24"/>
                <w:szCs w:val="24"/>
                <w:highlight w:val="none"/>
                <w:lang w:val="en-US" w:eastAsia="zh-CN"/>
              </w:rPr>
              <w:t>，离开标日最接近的且</w:t>
            </w:r>
            <w:r>
              <w:rPr>
                <w:rFonts w:hint="eastAsia" w:ascii="宋体" w:hAnsi="宋体" w:eastAsia="宋体" w:cs="宋体"/>
                <w:color w:val="auto"/>
                <w:sz w:val="24"/>
                <w:szCs w:val="24"/>
                <w:highlight w:val="none"/>
                <w:lang w:val="en-US" w:eastAsia="zh-CN"/>
              </w:rPr>
              <w:t>最能反映检测水平结果的各类品种质检报告、合格证）</w:t>
            </w:r>
          </w:p>
        </w:tc>
        <w:tc>
          <w:tcPr>
            <w:tcW w:w="600" w:type="dxa"/>
            <w:noWrap w:val="0"/>
            <w:vAlign w:val="center"/>
          </w:tcPr>
          <w:p w14:paraId="658561D3">
            <w:pPr>
              <w:widowControl/>
              <w:shd w:val="clear"/>
              <w:adjustRightInd/>
              <w:spacing w:line="240" w:lineRule="auto"/>
              <w:jc w:val="center"/>
              <w:textAlignment w:val="auto"/>
              <w:rPr>
                <w:rFonts w:hint="eastAsia" w:ascii="宋体" w:hAnsi="宋体" w:eastAsia="宋体" w:cs="Times New Roman"/>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rPr>
              <w:t>5</w:t>
            </w:r>
          </w:p>
        </w:tc>
        <w:tc>
          <w:tcPr>
            <w:tcW w:w="692" w:type="dxa"/>
            <w:noWrap w:val="0"/>
            <w:vAlign w:val="center"/>
          </w:tcPr>
          <w:p w14:paraId="178D1194">
            <w:pPr>
              <w:widowControl/>
              <w:shd w:val="clear" w:color="auto"/>
              <w:adjustRightInd/>
              <w:spacing w:line="240" w:lineRule="auto"/>
              <w:jc w:val="center"/>
              <w:textAlignment w:val="auto"/>
              <w:rPr>
                <w:rFonts w:hint="eastAsia" w:ascii="宋体" w:hAnsi="宋体" w:eastAsia="宋体" w:cs="Times New Roman"/>
                <w:snapToGrid w:val="0"/>
                <w:color w:val="auto"/>
                <w:spacing w:val="-4"/>
                <w:kern w:val="2"/>
                <w:sz w:val="24"/>
                <w:szCs w:val="24"/>
                <w:highlight w:val="none"/>
                <w:lang w:val="en-US" w:eastAsia="zh-CN" w:bidi="ar-SA"/>
              </w:rPr>
            </w:pPr>
            <w:r>
              <w:rPr>
                <w:rFonts w:hint="eastAsia" w:ascii="宋体" w:hAnsi="宋体" w:eastAsia="宋体" w:cs="宋体"/>
                <w:snapToGrid w:val="0"/>
                <w:color w:val="auto"/>
                <w:spacing w:val="-4"/>
                <w:kern w:val="2"/>
                <w:sz w:val="24"/>
                <w:szCs w:val="24"/>
                <w:highlight w:val="none"/>
                <w:lang w:val="en-US" w:eastAsia="zh-CN"/>
              </w:rPr>
              <w:t>主观评议</w:t>
            </w:r>
          </w:p>
        </w:tc>
      </w:tr>
      <w:tr w14:paraId="3D718C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59" w:type="dxa"/>
            <w:vMerge w:val="continue"/>
            <w:noWrap w:val="0"/>
            <w:vAlign w:val="center"/>
          </w:tcPr>
          <w:p w14:paraId="057A2C1C">
            <w:pPr>
              <w:keepNext w:val="0"/>
              <w:keepLines w:val="0"/>
              <w:pageBreakBefore w:val="0"/>
              <w:widowControl w:val="0"/>
              <w:kinsoku/>
              <w:wordWrap/>
              <w:overflowPunct/>
              <w:topLinePunct w:val="0"/>
              <w:autoSpaceDE/>
              <w:autoSpaceDN/>
              <w:bidi w:val="0"/>
              <w:adjustRightInd/>
              <w:snapToGrid/>
              <w:spacing w:line="24" w:lineRule="atLeast"/>
              <w:jc w:val="center"/>
              <w:textAlignment w:val="auto"/>
              <w:rPr>
                <w:rFonts w:ascii="Times New Roman" w:hAnsi="Times New Roman" w:eastAsia="宋体" w:cs="Times New Roman"/>
                <w:color w:val="auto"/>
                <w:sz w:val="24"/>
                <w:szCs w:val="24"/>
                <w:highlight w:val="none"/>
              </w:rPr>
            </w:pPr>
          </w:p>
        </w:tc>
        <w:tc>
          <w:tcPr>
            <w:tcW w:w="1100" w:type="dxa"/>
            <w:vMerge w:val="restart"/>
            <w:noWrap w:val="0"/>
            <w:vAlign w:val="center"/>
          </w:tcPr>
          <w:p w14:paraId="7E6BB8ED">
            <w:pPr>
              <w:keepNext w:val="0"/>
              <w:keepLines w:val="0"/>
              <w:pageBreakBefore w:val="0"/>
              <w:widowControl w:val="0"/>
              <w:kinsoku/>
              <w:wordWrap/>
              <w:overflowPunct/>
              <w:topLinePunct w:val="0"/>
              <w:autoSpaceDE/>
              <w:autoSpaceDN/>
              <w:bidi w:val="0"/>
              <w:adjustRightInd/>
              <w:snapToGrid/>
              <w:spacing w:line="24" w:lineRule="atLeast"/>
              <w:textAlignment w:val="auto"/>
              <w:rPr>
                <w:rFonts w:hint="eastAsia" w:ascii="Times New Roman" w:hAnsi="Times New Roman" w:eastAsia="宋体" w:cs="Times New Roman"/>
                <w:color w:val="auto"/>
                <w:sz w:val="24"/>
                <w:szCs w:val="24"/>
                <w:highlight w:val="none"/>
              </w:rPr>
            </w:pPr>
            <w:r>
              <w:rPr>
                <w:rFonts w:hint="eastAsia" w:ascii="Times New Roman" w:hAnsi="Times New Roman" w:eastAsia="宋体" w:cs="Times New Roman"/>
                <w:color w:val="auto"/>
                <w:sz w:val="24"/>
                <w:szCs w:val="24"/>
                <w:highlight w:val="none"/>
              </w:rPr>
              <w:t>5、</w:t>
            </w:r>
            <w:r>
              <w:rPr>
                <w:rFonts w:ascii="Times New Roman" w:hAnsi="Times New Roman" w:eastAsia="宋体" w:cs="Times New Roman"/>
                <w:color w:val="auto"/>
                <w:sz w:val="24"/>
                <w:szCs w:val="24"/>
                <w:highlight w:val="none"/>
              </w:rPr>
              <w:t>本项目人员配备及人员管理方案</w:t>
            </w:r>
            <w:r>
              <w:rPr>
                <w:rFonts w:hint="eastAsia" w:ascii="Times New Roman" w:hAnsi="Times New Roman" w:eastAsia="宋体" w:cs="Times New Roman"/>
                <w:color w:val="auto"/>
                <w:sz w:val="24"/>
                <w:szCs w:val="24"/>
                <w:highlight w:val="none"/>
              </w:rPr>
              <w:t>（</w:t>
            </w:r>
            <w:r>
              <w:rPr>
                <w:rFonts w:hint="eastAsia" w:ascii="Times New Roman" w:hAnsi="Times New Roman" w:eastAsia="宋体" w:cs="Times New Roman"/>
                <w:color w:val="auto"/>
                <w:sz w:val="24"/>
                <w:szCs w:val="24"/>
                <w:highlight w:val="none"/>
                <w:lang w:val="en-US" w:eastAsia="zh-CN"/>
              </w:rPr>
              <w:t>8</w:t>
            </w:r>
            <w:r>
              <w:rPr>
                <w:rFonts w:hint="eastAsia" w:ascii="Times New Roman" w:hAnsi="Times New Roman" w:eastAsia="宋体" w:cs="Times New Roman"/>
                <w:color w:val="auto"/>
                <w:sz w:val="24"/>
                <w:szCs w:val="24"/>
                <w:highlight w:val="none"/>
              </w:rPr>
              <w:t>分）</w:t>
            </w:r>
          </w:p>
        </w:tc>
        <w:tc>
          <w:tcPr>
            <w:tcW w:w="5147" w:type="dxa"/>
            <w:gridSpan w:val="2"/>
            <w:noWrap w:val="0"/>
            <w:vAlign w:val="center"/>
          </w:tcPr>
          <w:p w14:paraId="32BBCF6A">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5.1评委根据投入本项目的人员配备方案进行评议：</w:t>
            </w:r>
          </w:p>
          <w:p w14:paraId="4F19A10A">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①人员分工合理、组织架构科学完善，完全满足本项目对人员投入的要求得</w:t>
            </w: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lang w:val="en-US" w:eastAsia="zh-CN"/>
              </w:rPr>
              <w:t>分；</w:t>
            </w:r>
          </w:p>
          <w:p w14:paraId="5EAA40CA">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②人员分工基本符合项目要求，有基础的组织架构，人员配置基本能满足项目的要求但略有欠缺的得</w:t>
            </w:r>
            <w:r>
              <w:rPr>
                <w:rFonts w:hint="eastAsia" w:ascii="宋体" w:hAnsi="宋体" w:cs="宋体"/>
                <w:color w:val="auto"/>
                <w:sz w:val="24"/>
                <w:szCs w:val="24"/>
                <w:highlight w:val="none"/>
                <w:lang w:val="en-US" w:eastAsia="zh-CN"/>
              </w:rPr>
              <w:t>2</w:t>
            </w:r>
            <w:r>
              <w:rPr>
                <w:rFonts w:hint="eastAsia" w:ascii="宋体" w:hAnsi="宋体" w:eastAsia="宋体" w:cs="宋体"/>
                <w:color w:val="auto"/>
                <w:sz w:val="24"/>
                <w:szCs w:val="24"/>
                <w:highlight w:val="none"/>
                <w:lang w:val="en-US" w:eastAsia="zh-CN"/>
              </w:rPr>
              <w:t>分；</w:t>
            </w:r>
          </w:p>
          <w:p w14:paraId="4038EC6D">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③人员分工不合理、组织架构不科学，人员总体配置与项目的实际需求差距较大的得1分。</w:t>
            </w:r>
          </w:p>
          <w:p w14:paraId="4586CD11">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④</w:t>
            </w:r>
            <w:r>
              <w:rPr>
                <w:rFonts w:hint="default" w:ascii="宋体" w:hAnsi="宋体" w:eastAsia="宋体" w:cs="宋体"/>
                <w:color w:val="auto"/>
                <w:sz w:val="24"/>
                <w:szCs w:val="24"/>
                <w:highlight w:val="none"/>
                <w:lang w:val="en-US" w:eastAsia="zh-CN"/>
              </w:rPr>
              <w:t>未提供相关内容的不得分。</w:t>
            </w:r>
          </w:p>
          <w:p w14:paraId="4AFF91B0">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Times New Roman" w:hAnsi="Times New Roman" w:eastAsia="宋体" w:cs="Times New Roman"/>
                <w:color w:val="auto"/>
                <w:sz w:val="24"/>
                <w:szCs w:val="24"/>
                <w:highlight w:val="none"/>
                <w:lang w:val="en-US" w:eastAsia="zh-CN"/>
              </w:rPr>
            </w:pPr>
            <w:r>
              <w:rPr>
                <w:rFonts w:hint="eastAsia" w:ascii="宋体" w:hAnsi="宋体" w:eastAsia="宋体" w:cs="宋体"/>
                <w:color w:val="auto"/>
                <w:sz w:val="24"/>
                <w:szCs w:val="24"/>
                <w:highlight w:val="none"/>
                <w:lang w:val="en-US" w:eastAsia="zh-CN"/>
              </w:rPr>
              <w:t>（投标文</w:t>
            </w:r>
            <w:bookmarkStart w:id="520" w:name="_GoBack"/>
            <w:r>
              <w:rPr>
                <w:rFonts w:hint="eastAsia" w:ascii="宋体" w:hAnsi="宋体" w:eastAsia="宋体" w:cs="宋体"/>
                <w:color w:val="auto"/>
                <w:sz w:val="24"/>
                <w:szCs w:val="24"/>
                <w:highlight w:val="none"/>
                <w:lang w:val="en-US" w:eastAsia="zh-CN"/>
              </w:rPr>
              <w:t>件中须提供人员清单</w:t>
            </w:r>
            <w:bookmarkEnd w:id="520"/>
            <w:r>
              <w:rPr>
                <w:rFonts w:hint="eastAsia" w:ascii="宋体" w:hAnsi="宋体" w:eastAsia="宋体" w:cs="宋体"/>
                <w:color w:val="auto"/>
                <w:sz w:val="24"/>
                <w:szCs w:val="24"/>
                <w:highlight w:val="none"/>
                <w:lang w:val="en-US" w:eastAsia="zh-CN"/>
              </w:rPr>
              <w:t>及人员有效的健康证，并提供近开标日前三个月任意一个月供应商为其交纳的社保证明资料复印件加盖公章。如拟投入人员缺上述任意一样证明材料，本项不得分）</w:t>
            </w:r>
          </w:p>
        </w:tc>
        <w:tc>
          <w:tcPr>
            <w:tcW w:w="600" w:type="dxa"/>
            <w:noWrap w:val="0"/>
            <w:vAlign w:val="center"/>
          </w:tcPr>
          <w:p w14:paraId="67B7B411">
            <w:pPr>
              <w:widowControl/>
              <w:shd w:val="clear"/>
              <w:adjustRightInd/>
              <w:spacing w:line="240" w:lineRule="auto"/>
              <w:jc w:val="center"/>
              <w:textAlignment w:val="auto"/>
              <w:rPr>
                <w:rFonts w:hint="eastAsia" w:ascii="宋体" w:hAnsi="宋体" w:eastAsia="宋体" w:cs="Times New Roman"/>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rPr>
              <w:t>4</w:t>
            </w:r>
          </w:p>
        </w:tc>
        <w:tc>
          <w:tcPr>
            <w:tcW w:w="692" w:type="dxa"/>
            <w:noWrap w:val="0"/>
            <w:vAlign w:val="center"/>
          </w:tcPr>
          <w:p w14:paraId="7A8B6E5B">
            <w:pPr>
              <w:widowControl/>
              <w:shd w:val="clear" w:color="auto"/>
              <w:adjustRightInd/>
              <w:spacing w:line="240" w:lineRule="auto"/>
              <w:jc w:val="center"/>
              <w:textAlignment w:val="auto"/>
              <w:rPr>
                <w:rFonts w:hint="eastAsia" w:ascii="宋体" w:hAnsi="宋体" w:eastAsia="宋体" w:cs="Times New Roman"/>
                <w:snapToGrid w:val="0"/>
                <w:color w:val="auto"/>
                <w:spacing w:val="-4"/>
                <w:kern w:val="2"/>
                <w:sz w:val="24"/>
                <w:szCs w:val="24"/>
                <w:highlight w:val="none"/>
                <w:lang w:val="en-US" w:eastAsia="zh-CN" w:bidi="ar-SA"/>
              </w:rPr>
            </w:pPr>
            <w:r>
              <w:rPr>
                <w:rFonts w:hint="eastAsia" w:ascii="宋体" w:hAnsi="宋体" w:eastAsia="宋体" w:cs="宋体"/>
                <w:snapToGrid w:val="0"/>
                <w:color w:val="auto"/>
                <w:spacing w:val="-4"/>
                <w:kern w:val="2"/>
                <w:sz w:val="24"/>
                <w:szCs w:val="24"/>
                <w:highlight w:val="none"/>
                <w:lang w:val="en-US" w:eastAsia="zh-CN"/>
              </w:rPr>
              <w:t>主观评议</w:t>
            </w:r>
          </w:p>
        </w:tc>
      </w:tr>
      <w:tr w14:paraId="7731CB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8" w:hRule="atLeast"/>
        </w:trPr>
        <w:tc>
          <w:tcPr>
            <w:tcW w:w="859" w:type="dxa"/>
            <w:vMerge w:val="continue"/>
            <w:noWrap w:val="0"/>
            <w:vAlign w:val="center"/>
          </w:tcPr>
          <w:p w14:paraId="0665CA02">
            <w:pPr>
              <w:keepNext w:val="0"/>
              <w:keepLines w:val="0"/>
              <w:pageBreakBefore w:val="0"/>
              <w:widowControl w:val="0"/>
              <w:kinsoku/>
              <w:wordWrap/>
              <w:overflowPunct/>
              <w:topLinePunct w:val="0"/>
              <w:autoSpaceDE/>
              <w:autoSpaceDN/>
              <w:bidi w:val="0"/>
              <w:adjustRightInd/>
              <w:snapToGrid/>
              <w:spacing w:line="24" w:lineRule="atLeast"/>
              <w:jc w:val="center"/>
              <w:textAlignment w:val="auto"/>
              <w:rPr>
                <w:rFonts w:ascii="Times New Roman" w:hAnsi="Times New Roman" w:eastAsia="宋体" w:cs="Times New Roman"/>
                <w:color w:val="auto"/>
                <w:sz w:val="24"/>
                <w:szCs w:val="24"/>
                <w:highlight w:val="none"/>
              </w:rPr>
            </w:pPr>
          </w:p>
        </w:tc>
        <w:tc>
          <w:tcPr>
            <w:tcW w:w="1100" w:type="dxa"/>
            <w:vMerge w:val="continue"/>
            <w:noWrap w:val="0"/>
            <w:vAlign w:val="center"/>
          </w:tcPr>
          <w:p w14:paraId="464104EC">
            <w:pPr>
              <w:keepNext w:val="0"/>
              <w:keepLines w:val="0"/>
              <w:pageBreakBefore w:val="0"/>
              <w:widowControl w:val="0"/>
              <w:kinsoku/>
              <w:wordWrap/>
              <w:overflowPunct/>
              <w:topLinePunct w:val="0"/>
              <w:autoSpaceDE/>
              <w:autoSpaceDN/>
              <w:bidi w:val="0"/>
              <w:adjustRightInd/>
              <w:snapToGrid/>
              <w:spacing w:line="24" w:lineRule="atLeast"/>
              <w:textAlignment w:val="auto"/>
              <w:rPr>
                <w:rFonts w:hint="eastAsia" w:ascii="Times New Roman" w:hAnsi="Times New Roman" w:eastAsia="宋体" w:cs="Times New Roman"/>
                <w:color w:val="auto"/>
                <w:sz w:val="24"/>
                <w:szCs w:val="24"/>
                <w:highlight w:val="none"/>
              </w:rPr>
            </w:pPr>
          </w:p>
        </w:tc>
        <w:tc>
          <w:tcPr>
            <w:tcW w:w="5147" w:type="dxa"/>
            <w:gridSpan w:val="2"/>
            <w:noWrap w:val="0"/>
            <w:vAlign w:val="center"/>
          </w:tcPr>
          <w:p w14:paraId="753E0072">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5.2根据供应商针对本项目制定的人员管理方案进行评议：</w:t>
            </w:r>
          </w:p>
          <w:p w14:paraId="18A55CD4">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①人事管理制度科学、奖惩制度规范、绩效考核制度健全，可以有效实施的</w:t>
            </w:r>
            <w:r>
              <w:rPr>
                <w:rFonts w:hint="default" w:ascii="宋体" w:hAnsi="宋体" w:eastAsia="宋体" w:cs="宋体"/>
                <w:color w:val="auto"/>
                <w:sz w:val="24"/>
                <w:szCs w:val="24"/>
                <w:highlight w:val="none"/>
                <w:lang w:val="en-US" w:eastAsia="zh-CN"/>
              </w:rPr>
              <w:t>得</w:t>
            </w:r>
            <w:r>
              <w:rPr>
                <w:rFonts w:hint="eastAsia" w:ascii="宋体" w:hAnsi="宋体" w:cs="宋体"/>
                <w:color w:val="auto"/>
                <w:sz w:val="24"/>
                <w:szCs w:val="24"/>
                <w:highlight w:val="none"/>
                <w:lang w:val="en-US" w:eastAsia="zh-CN"/>
              </w:rPr>
              <w:t>4</w:t>
            </w:r>
            <w:r>
              <w:rPr>
                <w:rFonts w:hint="default" w:ascii="宋体" w:hAnsi="宋体" w:eastAsia="宋体" w:cs="宋体"/>
                <w:color w:val="auto"/>
                <w:sz w:val="24"/>
                <w:szCs w:val="24"/>
                <w:highlight w:val="none"/>
                <w:lang w:val="en-US" w:eastAsia="zh-CN"/>
              </w:rPr>
              <w:t>分；</w:t>
            </w:r>
          </w:p>
          <w:p w14:paraId="017695BC">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default" w:ascii="宋体" w:hAnsi="宋体" w:eastAsia="宋体" w:cs="宋体"/>
                <w:color w:val="auto"/>
                <w:sz w:val="24"/>
                <w:szCs w:val="24"/>
                <w:highlight w:val="none"/>
                <w:lang w:val="en-US" w:eastAsia="zh-CN"/>
              </w:rPr>
            </w:pPr>
            <w:r>
              <w:rPr>
                <w:rFonts w:hint="default" w:ascii="宋体" w:hAnsi="宋体" w:eastAsia="宋体" w:cs="宋体"/>
                <w:color w:val="auto"/>
                <w:sz w:val="24"/>
                <w:szCs w:val="24"/>
                <w:highlight w:val="none"/>
                <w:lang w:val="en-US" w:eastAsia="zh-CN"/>
              </w:rPr>
              <w:t>②</w:t>
            </w:r>
            <w:r>
              <w:rPr>
                <w:rFonts w:hint="eastAsia" w:ascii="宋体" w:hAnsi="宋体" w:eastAsia="宋体" w:cs="宋体"/>
                <w:color w:val="auto"/>
                <w:sz w:val="24"/>
                <w:szCs w:val="24"/>
                <w:highlight w:val="none"/>
                <w:lang w:val="en-US" w:eastAsia="zh-CN"/>
              </w:rPr>
              <w:t>人事管理制度、</w:t>
            </w:r>
            <w:r>
              <w:rPr>
                <w:rFonts w:hint="default" w:ascii="宋体" w:hAnsi="宋体" w:eastAsia="宋体" w:cs="宋体"/>
                <w:color w:val="auto"/>
                <w:sz w:val="24"/>
                <w:szCs w:val="24"/>
                <w:highlight w:val="none"/>
                <w:lang w:val="en-US" w:eastAsia="zh-CN"/>
              </w:rPr>
              <w:t>奖惩制度、绩效考核制度完整</w:t>
            </w:r>
            <w:r>
              <w:rPr>
                <w:rFonts w:hint="eastAsia" w:ascii="宋体" w:hAnsi="宋体" w:eastAsia="宋体" w:cs="宋体"/>
                <w:color w:val="auto"/>
                <w:sz w:val="24"/>
                <w:szCs w:val="24"/>
                <w:highlight w:val="none"/>
                <w:lang w:val="en-US" w:eastAsia="zh-CN"/>
              </w:rPr>
              <w:t>，</w:t>
            </w:r>
            <w:r>
              <w:rPr>
                <w:rFonts w:hint="default" w:ascii="宋体" w:hAnsi="宋体" w:eastAsia="宋体" w:cs="宋体"/>
                <w:color w:val="auto"/>
                <w:sz w:val="24"/>
                <w:szCs w:val="24"/>
                <w:highlight w:val="none"/>
                <w:lang w:val="en-US" w:eastAsia="zh-CN"/>
              </w:rPr>
              <w:t>有利管理</w:t>
            </w:r>
            <w:r>
              <w:rPr>
                <w:rFonts w:hint="eastAsia" w:ascii="宋体" w:hAnsi="宋体" w:eastAsia="宋体" w:cs="宋体"/>
                <w:color w:val="auto"/>
                <w:sz w:val="24"/>
                <w:szCs w:val="24"/>
                <w:highlight w:val="none"/>
                <w:lang w:val="en-US" w:eastAsia="zh-CN"/>
              </w:rPr>
              <w:t>但略有欠缺</w:t>
            </w:r>
            <w:r>
              <w:rPr>
                <w:rFonts w:hint="default" w:ascii="宋体" w:hAnsi="宋体" w:eastAsia="宋体" w:cs="宋体"/>
                <w:color w:val="auto"/>
                <w:sz w:val="24"/>
                <w:szCs w:val="24"/>
                <w:highlight w:val="none"/>
                <w:lang w:val="en-US" w:eastAsia="zh-CN"/>
              </w:rPr>
              <w:t>的得</w:t>
            </w:r>
            <w:r>
              <w:rPr>
                <w:rFonts w:hint="eastAsia" w:ascii="宋体" w:hAnsi="宋体" w:cs="宋体"/>
                <w:color w:val="auto"/>
                <w:sz w:val="24"/>
                <w:szCs w:val="24"/>
                <w:highlight w:val="none"/>
                <w:lang w:val="en-US" w:eastAsia="zh-CN"/>
              </w:rPr>
              <w:t>2</w:t>
            </w:r>
            <w:r>
              <w:rPr>
                <w:rFonts w:hint="default" w:ascii="宋体" w:hAnsi="宋体" w:eastAsia="宋体" w:cs="宋体"/>
                <w:color w:val="auto"/>
                <w:sz w:val="24"/>
                <w:szCs w:val="24"/>
                <w:highlight w:val="none"/>
                <w:lang w:val="en-US" w:eastAsia="zh-CN"/>
              </w:rPr>
              <w:t>分；</w:t>
            </w:r>
          </w:p>
          <w:p w14:paraId="293C81A0">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default" w:ascii="宋体" w:hAnsi="宋体" w:eastAsia="宋体" w:cs="宋体"/>
                <w:color w:val="auto"/>
                <w:sz w:val="24"/>
                <w:szCs w:val="24"/>
                <w:highlight w:val="none"/>
                <w:lang w:val="en-US" w:eastAsia="zh-CN"/>
              </w:rPr>
            </w:pPr>
            <w:r>
              <w:rPr>
                <w:rFonts w:hint="default" w:ascii="宋体" w:hAnsi="宋体" w:eastAsia="宋体" w:cs="宋体"/>
                <w:color w:val="auto"/>
                <w:sz w:val="24"/>
                <w:szCs w:val="24"/>
                <w:highlight w:val="none"/>
                <w:lang w:val="en-US" w:eastAsia="zh-CN"/>
              </w:rPr>
              <w:t>③</w:t>
            </w:r>
            <w:r>
              <w:rPr>
                <w:rFonts w:hint="eastAsia" w:ascii="宋体" w:hAnsi="宋体" w:eastAsia="宋体" w:cs="宋体"/>
                <w:color w:val="auto"/>
                <w:sz w:val="24"/>
                <w:szCs w:val="24"/>
                <w:highlight w:val="none"/>
                <w:lang w:val="en-US" w:eastAsia="zh-CN"/>
              </w:rPr>
              <w:t>人事管理制度、</w:t>
            </w:r>
            <w:r>
              <w:rPr>
                <w:rFonts w:hint="default" w:ascii="宋体" w:hAnsi="宋体" w:eastAsia="宋体" w:cs="宋体"/>
                <w:color w:val="auto"/>
                <w:sz w:val="24"/>
                <w:szCs w:val="24"/>
                <w:highlight w:val="none"/>
                <w:lang w:val="en-US" w:eastAsia="zh-CN"/>
              </w:rPr>
              <w:t>奖惩制度、考核制度存在缺陷，</w:t>
            </w:r>
            <w:r>
              <w:rPr>
                <w:rFonts w:hint="eastAsia" w:ascii="宋体" w:hAnsi="宋体" w:eastAsia="宋体" w:cs="宋体"/>
                <w:color w:val="auto"/>
                <w:sz w:val="24"/>
                <w:szCs w:val="24"/>
                <w:highlight w:val="none"/>
                <w:lang w:val="en-US" w:eastAsia="zh-CN"/>
              </w:rPr>
              <w:t>实行上有困难</w:t>
            </w:r>
            <w:r>
              <w:rPr>
                <w:rFonts w:hint="default" w:ascii="宋体" w:hAnsi="宋体" w:eastAsia="宋体" w:cs="宋体"/>
                <w:color w:val="auto"/>
                <w:sz w:val="24"/>
                <w:szCs w:val="24"/>
                <w:highlight w:val="none"/>
                <w:lang w:val="en-US" w:eastAsia="zh-CN"/>
              </w:rPr>
              <w:t>的得</w:t>
            </w:r>
            <w:r>
              <w:rPr>
                <w:rFonts w:hint="eastAsia" w:ascii="宋体" w:hAnsi="宋体" w:eastAsia="宋体" w:cs="宋体"/>
                <w:color w:val="auto"/>
                <w:sz w:val="24"/>
                <w:szCs w:val="24"/>
                <w:highlight w:val="none"/>
                <w:lang w:val="en-US" w:eastAsia="zh-CN"/>
              </w:rPr>
              <w:t>1</w:t>
            </w:r>
            <w:r>
              <w:rPr>
                <w:rFonts w:hint="default" w:ascii="宋体" w:hAnsi="宋体" w:eastAsia="宋体" w:cs="宋体"/>
                <w:color w:val="auto"/>
                <w:sz w:val="24"/>
                <w:szCs w:val="24"/>
                <w:highlight w:val="none"/>
                <w:lang w:val="en-US" w:eastAsia="zh-CN"/>
              </w:rPr>
              <w:t>分；</w:t>
            </w:r>
          </w:p>
          <w:p w14:paraId="58E2CF2D">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Times New Roman" w:hAnsi="Times New Roman" w:eastAsia="宋体" w:cs="Times New Roman"/>
                <w:color w:val="auto"/>
                <w:sz w:val="24"/>
                <w:szCs w:val="24"/>
                <w:highlight w:val="none"/>
                <w:lang w:val="en-US" w:eastAsia="zh-CN"/>
              </w:rPr>
            </w:pPr>
            <w:r>
              <w:rPr>
                <w:rFonts w:hint="default" w:ascii="宋体" w:hAnsi="宋体" w:eastAsia="宋体" w:cs="宋体"/>
                <w:color w:val="auto"/>
                <w:sz w:val="24"/>
                <w:szCs w:val="24"/>
                <w:highlight w:val="none"/>
                <w:lang w:val="en-US" w:eastAsia="zh-CN"/>
              </w:rPr>
              <w:t>④未提供相关内容的不得分。</w:t>
            </w:r>
          </w:p>
        </w:tc>
        <w:tc>
          <w:tcPr>
            <w:tcW w:w="600" w:type="dxa"/>
            <w:noWrap w:val="0"/>
            <w:vAlign w:val="center"/>
          </w:tcPr>
          <w:p w14:paraId="1766BA5C">
            <w:pPr>
              <w:widowControl/>
              <w:shd w:val="clear"/>
              <w:adjustRightInd/>
              <w:spacing w:line="240" w:lineRule="auto"/>
              <w:jc w:val="center"/>
              <w:textAlignment w:val="auto"/>
              <w:rPr>
                <w:rFonts w:hint="eastAsia" w:ascii="宋体" w:hAnsi="宋体" w:eastAsia="宋体" w:cs="Times New Roman"/>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rPr>
              <w:t>4</w:t>
            </w:r>
          </w:p>
        </w:tc>
        <w:tc>
          <w:tcPr>
            <w:tcW w:w="692" w:type="dxa"/>
            <w:noWrap w:val="0"/>
            <w:vAlign w:val="center"/>
          </w:tcPr>
          <w:p w14:paraId="4F4B5A0B">
            <w:pPr>
              <w:widowControl/>
              <w:shd w:val="clear" w:color="auto"/>
              <w:adjustRightInd/>
              <w:spacing w:line="240" w:lineRule="auto"/>
              <w:jc w:val="center"/>
              <w:textAlignment w:val="auto"/>
              <w:rPr>
                <w:rFonts w:hint="eastAsia" w:ascii="宋体" w:hAnsi="宋体" w:eastAsia="宋体" w:cs="Times New Roman"/>
                <w:snapToGrid w:val="0"/>
                <w:color w:val="auto"/>
                <w:spacing w:val="-4"/>
                <w:kern w:val="2"/>
                <w:sz w:val="24"/>
                <w:szCs w:val="24"/>
                <w:highlight w:val="none"/>
                <w:lang w:val="en-US" w:eastAsia="zh-CN" w:bidi="ar-SA"/>
              </w:rPr>
            </w:pPr>
            <w:r>
              <w:rPr>
                <w:rFonts w:hint="eastAsia" w:ascii="宋体" w:hAnsi="宋体" w:eastAsia="宋体" w:cs="宋体"/>
                <w:snapToGrid w:val="0"/>
                <w:color w:val="auto"/>
                <w:spacing w:val="-4"/>
                <w:kern w:val="2"/>
                <w:sz w:val="24"/>
                <w:szCs w:val="24"/>
                <w:highlight w:val="none"/>
                <w:lang w:val="en-US" w:eastAsia="zh-CN"/>
              </w:rPr>
              <w:t>主观评议</w:t>
            </w:r>
          </w:p>
        </w:tc>
      </w:tr>
      <w:tr w14:paraId="61F246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59" w:type="dxa"/>
            <w:vMerge w:val="continue"/>
            <w:noWrap w:val="0"/>
            <w:vAlign w:val="center"/>
          </w:tcPr>
          <w:p w14:paraId="7D0447A9">
            <w:pPr>
              <w:keepNext w:val="0"/>
              <w:keepLines w:val="0"/>
              <w:pageBreakBefore w:val="0"/>
              <w:widowControl w:val="0"/>
              <w:kinsoku/>
              <w:wordWrap/>
              <w:overflowPunct/>
              <w:topLinePunct w:val="0"/>
              <w:autoSpaceDE/>
              <w:autoSpaceDN/>
              <w:bidi w:val="0"/>
              <w:adjustRightInd/>
              <w:snapToGrid/>
              <w:spacing w:line="24" w:lineRule="atLeast"/>
              <w:jc w:val="center"/>
              <w:textAlignment w:val="auto"/>
              <w:rPr>
                <w:rFonts w:ascii="Times New Roman" w:hAnsi="Times New Roman" w:eastAsia="宋体" w:cs="Times New Roman"/>
                <w:color w:val="auto"/>
                <w:sz w:val="24"/>
                <w:szCs w:val="24"/>
                <w:highlight w:val="none"/>
              </w:rPr>
            </w:pPr>
          </w:p>
        </w:tc>
        <w:tc>
          <w:tcPr>
            <w:tcW w:w="1100" w:type="dxa"/>
            <w:vMerge w:val="restart"/>
            <w:noWrap w:val="0"/>
            <w:vAlign w:val="center"/>
          </w:tcPr>
          <w:p w14:paraId="534AAE42">
            <w:pPr>
              <w:keepNext w:val="0"/>
              <w:keepLines w:val="0"/>
              <w:pageBreakBefore w:val="0"/>
              <w:widowControl w:val="0"/>
              <w:kinsoku/>
              <w:wordWrap/>
              <w:overflowPunct/>
              <w:topLinePunct w:val="0"/>
              <w:autoSpaceDE/>
              <w:autoSpaceDN/>
              <w:bidi w:val="0"/>
              <w:adjustRightInd/>
              <w:snapToGrid/>
              <w:spacing w:line="24" w:lineRule="atLeast"/>
              <w:jc w:val="center"/>
              <w:textAlignment w:val="auto"/>
              <w:rPr>
                <w:rFonts w:hint="eastAsia" w:ascii="Times New Roman" w:hAnsi="Times New Roman" w:eastAsia="宋体" w:cs="Times New Roman"/>
                <w:color w:val="auto"/>
                <w:sz w:val="24"/>
                <w:szCs w:val="24"/>
                <w:highlight w:val="none"/>
              </w:rPr>
            </w:pPr>
            <w:r>
              <w:rPr>
                <w:rFonts w:hint="eastAsia" w:ascii="Times New Roman" w:hAnsi="Times New Roman" w:eastAsia="宋体" w:cs="Times New Roman"/>
                <w:color w:val="auto"/>
                <w:sz w:val="24"/>
                <w:szCs w:val="24"/>
                <w:highlight w:val="none"/>
              </w:rPr>
              <w:t>6、</w:t>
            </w:r>
            <w:r>
              <w:rPr>
                <w:rFonts w:hint="eastAsia" w:ascii="Times New Roman" w:hAnsi="Times New Roman" w:eastAsia="宋体" w:cs="Times New Roman"/>
                <w:color w:val="auto"/>
                <w:sz w:val="24"/>
                <w:szCs w:val="24"/>
                <w:highlight w:val="none"/>
                <w:lang w:eastAsia="zh-CN"/>
              </w:rPr>
              <w:t>综合</w:t>
            </w:r>
            <w:r>
              <w:rPr>
                <w:rFonts w:hint="eastAsia" w:ascii="Times New Roman" w:hAnsi="Times New Roman" w:eastAsia="宋体" w:cs="Times New Roman"/>
                <w:color w:val="auto"/>
                <w:sz w:val="24"/>
                <w:szCs w:val="24"/>
                <w:highlight w:val="none"/>
              </w:rPr>
              <w:t>服务</w:t>
            </w:r>
            <w:r>
              <w:rPr>
                <w:rFonts w:hint="eastAsia" w:ascii="Times New Roman" w:hAnsi="Times New Roman" w:eastAsia="宋体" w:cs="Times New Roman"/>
                <w:color w:val="auto"/>
                <w:sz w:val="24"/>
                <w:szCs w:val="24"/>
                <w:highlight w:val="none"/>
                <w:lang w:eastAsia="zh-CN"/>
              </w:rPr>
              <w:t>与</w:t>
            </w:r>
            <w:r>
              <w:rPr>
                <w:rFonts w:hint="eastAsia" w:ascii="Times New Roman" w:hAnsi="Times New Roman" w:eastAsia="宋体" w:cs="Times New Roman"/>
                <w:color w:val="auto"/>
                <w:sz w:val="24"/>
                <w:szCs w:val="24"/>
                <w:highlight w:val="none"/>
              </w:rPr>
              <w:t>便捷性（</w:t>
            </w:r>
            <w:r>
              <w:rPr>
                <w:rFonts w:hint="eastAsia" w:ascii="Times New Roman" w:hAnsi="Times New Roman" w:eastAsia="宋体" w:cs="Times New Roman"/>
                <w:color w:val="auto"/>
                <w:sz w:val="24"/>
                <w:szCs w:val="24"/>
                <w:highlight w:val="none"/>
                <w:lang w:val="en-US" w:eastAsia="zh-CN"/>
              </w:rPr>
              <w:t>17</w:t>
            </w:r>
            <w:r>
              <w:rPr>
                <w:rFonts w:hint="eastAsia" w:ascii="Times New Roman" w:hAnsi="Times New Roman" w:eastAsia="宋体" w:cs="Times New Roman"/>
                <w:color w:val="auto"/>
                <w:sz w:val="24"/>
                <w:szCs w:val="24"/>
                <w:highlight w:val="none"/>
              </w:rPr>
              <w:t>分）</w:t>
            </w:r>
          </w:p>
        </w:tc>
        <w:tc>
          <w:tcPr>
            <w:tcW w:w="5147" w:type="dxa"/>
            <w:gridSpan w:val="2"/>
            <w:noWrap w:val="0"/>
            <w:vAlign w:val="center"/>
          </w:tcPr>
          <w:p w14:paraId="35379ADE">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cs="宋体"/>
                <w:color w:val="auto"/>
                <w:sz w:val="24"/>
                <w:szCs w:val="24"/>
                <w:highlight w:val="none"/>
                <w:lang w:val="en-US" w:eastAsia="zh-CN"/>
              </w:rPr>
            </w:pPr>
            <w:r>
              <w:rPr>
                <w:rFonts w:hint="default"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lang w:val="en-US" w:eastAsia="zh-CN"/>
              </w:rPr>
              <w:t>1根据供应商提供的生产或加工场地情况（包括场地布局合理、生产加工设备齐全）进行评议：</w:t>
            </w:r>
            <w:r>
              <w:rPr>
                <w:rFonts w:hint="eastAsia" w:ascii="宋体" w:hAnsi="宋体" w:cs="宋体"/>
                <w:color w:val="auto"/>
                <w:sz w:val="24"/>
                <w:szCs w:val="24"/>
                <w:highlight w:val="none"/>
                <w:lang w:val="en-US" w:eastAsia="zh-CN"/>
              </w:rPr>
              <w:t>①</w:t>
            </w:r>
            <w:r>
              <w:rPr>
                <w:rFonts w:hint="eastAsia" w:ascii="宋体" w:hAnsi="宋体" w:eastAsia="宋体" w:cs="宋体"/>
                <w:color w:val="auto"/>
                <w:sz w:val="24"/>
                <w:szCs w:val="24"/>
                <w:highlight w:val="none"/>
                <w:lang w:val="en-US" w:eastAsia="zh-CN"/>
              </w:rPr>
              <w:t>生产或加工场地布局</w:t>
            </w:r>
            <w:r>
              <w:rPr>
                <w:rFonts w:hint="eastAsia" w:ascii="宋体" w:hAnsi="宋体" w:cs="宋体"/>
                <w:color w:val="auto"/>
                <w:sz w:val="24"/>
                <w:szCs w:val="24"/>
                <w:highlight w:val="none"/>
                <w:lang w:val="en-US" w:eastAsia="zh-CN"/>
              </w:rPr>
              <w:t>合理，</w:t>
            </w:r>
            <w:r>
              <w:rPr>
                <w:rFonts w:hint="eastAsia" w:ascii="宋体" w:hAnsi="宋体" w:eastAsia="宋体" w:cs="宋体"/>
                <w:color w:val="auto"/>
                <w:sz w:val="24"/>
                <w:szCs w:val="24"/>
                <w:highlight w:val="none"/>
                <w:lang w:val="en-US" w:eastAsia="zh-CN"/>
              </w:rPr>
              <w:t>生产加工设备</w:t>
            </w:r>
            <w:r>
              <w:rPr>
                <w:rFonts w:hint="eastAsia" w:ascii="宋体" w:hAnsi="宋体" w:cs="宋体"/>
                <w:color w:val="auto"/>
                <w:sz w:val="24"/>
                <w:szCs w:val="24"/>
                <w:highlight w:val="none"/>
                <w:lang w:val="en-US" w:eastAsia="zh-CN"/>
              </w:rPr>
              <w:t>齐全，有针对本项目的</w:t>
            </w:r>
            <w:r>
              <w:rPr>
                <w:rFonts w:hint="eastAsia" w:ascii="宋体" w:hAnsi="宋体" w:eastAsia="宋体" w:cs="宋体"/>
                <w:color w:val="auto"/>
                <w:sz w:val="24"/>
                <w:szCs w:val="24"/>
                <w:highlight w:val="none"/>
                <w:lang w:val="en-US" w:eastAsia="zh-CN"/>
              </w:rPr>
              <w:t>生产或加工</w:t>
            </w:r>
            <w:r>
              <w:rPr>
                <w:rFonts w:hint="eastAsia" w:ascii="宋体" w:hAnsi="宋体" w:cs="宋体"/>
                <w:color w:val="auto"/>
                <w:sz w:val="24"/>
                <w:szCs w:val="24"/>
                <w:highlight w:val="none"/>
                <w:lang w:val="en-US" w:eastAsia="zh-CN"/>
              </w:rPr>
              <w:t>方案的得4分；</w:t>
            </w:r>
          </w:p>
          <w:p w14:paraId="74C38387">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②</w:t>
            </w:r>
            <w:r>
              <w:rPr>
                <w:rFonts w:hint="eastAsia" w:ascii="宋体" w:hAnsi="宋体" w:eastAsia="宋体" w:cs="宋体"/>
                <w:color w:val="auto"/>
                <w:sz w:val="24"/>
                <w:szCs w:val="24"/>
                <w:highlight w:val="none"/>
                <w:lang w:val="en-US" w:eastAsia="zh-CN"/>
              </w:rPr>
              <w:t>生产或加工场地布局</w:t>
            </w:r>
            <w:r>
              <w:rPr>
                <w:rFonts w:hint="eastAsia" w:ascii="宋体" w:hAnsi="宋体" w:cs="宋体"/>
                <w:color w:val="auto"/>
                <w:sz w:val="24"/>
                <w:szCs w:val="24"/>
                <w:highlight w:val="none"/>
                <w:lang w:val="en-US" w:eastAsia="zh-CN"/>
              </w:rPr>
              <w:t>基本合理，有一定数量的</w:t>
            </w:r>
            <w:r>
              <w:rPr>
                <w:rFonts w:hint="eastAsia" w:ascii="宋体" w:hAnsi="宋体" w:eastAsia="宋体" w:cs="宋体"/>
                <w:color w:val="auto"/>
                <w:sz w:val="24"/>
                <w:szCs w:val="24"/>
                <w:highlight w:val="none"/>
                <w:lang w:val="en-US" w:eastAsia="zh-CN"/>
              </w:rPr>
              <w:t>生产加工设备</w:t>
            </w:r>
            <w:r>
              <w:rPr>
                <w:rFonts w:hint="eastAsia" w:ascii="宋体" w:hAnsi="宋体" w:cs="宋体"/>
                <w:color w:val="auto"/>
                <w:sz w:val="24"/>
                <w:szCs w:val="24"/>
                <w:highlight w:val="none"/>
                <w:lang w:val="en-US" w:eastAsia="zh-CN"/>
              </w:rPr>
              <w:t>但种类略有欠缺，</w:t>
            </w:r>
            <w:r>
              <w:rPr>
                <w:rFonts w:hint="eastAsia" w:ascii="宋体" w:hAnsi="宋体" w:eastAsia="宋体" w:cs="宋体"/>
                <w:color w:val="auto"/>
                <w:sz w:val="24"/>
                <w:szCs w:val="24"/>
                <w:highlight w:val="none"/>
                <w:lang w:val="en-US" w:eastAsia="zh-CN"/>
              </w:rPr>
              <w:t>生产或加工</w:t>
            </w:r>
            <w:r>
              <w:rPr>
                <w:rFonts w:hint="eastAsia" w:ascii="宋体" w:hAnsi="宋体" w:cs="宋体"/>
                <w:color w:val="auto"/>
                <w:sz w:val="24"/>
                <w:szCs w:val="24"/>
                <w:highlight w:val="none"/>
                <w:lang w:val="en-US" w:eastAsia="zh-CN"/>
              </w:rPr>
              <w:t>方案基本能满足项目要求的得2分；</w:t>
            </w:r>
          </w:p>
          <w:p w14:paraId="2DA22005">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③</w:t>
            </w:r>
            <w:r>
              <w:rPr>
                <w:rFonts w:hint="eastAsia" w:ascii="宋体" w:hAnsi="宋体" w:eastAsia="宋体" w:cs="宋体"/>
                <w:color w:val="auto"/>
                <w:sz w:val="24"/>
                <w:szCs w:val="24"/>
                <w:highlight w:val="none"/>
                <w:lang w:val="en-US" w:eastAsia="zh-CN"/>
              </w:rPr>
              <w:t>生产或加工场地布局</w:t>
            </w:r>
            <w:r>
              <w:rPr>
                <w:rFonts w:hint="eastAsia" w:ascii="宋体" w:hAnsi="宋体" w:cs="宋体"/>
                <w:color w:val="auto"/>
                <w:sz w:val="24"/>
                <w:szCs w:val="24"/>
                <w:highlight w:val="none"/>
                <w:lang w:val="en-US" w:eastAsia="zh-CN"/>
              </w:rPr>
              <w:t>不合理，</w:t>
            </w:r>
            <w:r>
              <w:rPr>
                <w:rFonts w:hint="eastAsia" w:ascii="宋体" w:hAnsi="宋体" w:eastAsia="宋体" w:cs="宋体"/>
                <w:color w:val="auto"/>
                <w:sz w:val="24"/>
                <w:szCs w:val="24"/>
                <w:highlight w:val="none"/>
                <w:lang w:val="en-US" w:eastAsia="zh-CN"/>
              </w:rPr>
              <w:t>生产加工设备</w:t>
            </w:r>
            <w:r>
              <w:rPr>
                <w:rFonts w:hint="eastAsia" w:ascii="宋体" w:hAnsi="宋体" w:cs="宋体"/>
                <w:color w:val="auto"/>
                <w:sz w:val="24"/>
                <w:szCs w:val="24"/>
                <w:highlight w:val="none"/>
                <w:lang w:val="en-US" w:eastAsia="zh-CN"/>
              </w:rPr>
              <w:t>数量少，</w:t>
            </w:r>
            <w:r>
              <w:rPr>
                <w:rFonts w:hint="eastAsia" w:ascii="宋体" w:hAnsi="宋体" w:eastAsia="宋体" w:cs="宋体"/>
                <w:color w:val="auto"/>
                <w:sz w:val="24"/>
                <w:szCs w:val="24"/>
                <w:highlight w:val="none"/>
                <w:lang w:val="en-US" w:eastAsia="zh-CN"/>
              </w:rPr>
              <w:t>生产或加工</w:t>
            </w:r>
            <w:r>
              <w:rPr>
                <w:rFonts w:hint="eastAsia" w:ascii="宋体" w:hAnsi="宋体" w:cs="宋体"/>
                <w:color w:val="auto"/>
                <w:sz w:val="24"/>
                <w:szCs w:val="24"/>
                <w:highlight w:val="none"/>
                <w:lang w:val="en-US" w:eastAsia="zh-CN"/>
              </w:rPr>
              <w:t>方案不合理的得1分。</w:t>
            </w:r>
          </w:p>
          <w:p w14:paraId="1AB70C55">
            <w:pPr>
              <w:keepNext w:val="0"/>
              <w:keepLines w:val="0"/>
              <w:pageBreakBefore w:val="0"/>
              <w:widowControl w:val="0"/>
              <w:kinsoku/>
              <w:wordWrap/>
              <w:overflowPunct/>
              <w:topLinePunct w:val="0"/>
              <w:autoSpaceDE/>
              <w:autoSpaceDN/>
              <w:bidi w:val="0"/>
              <w:adjustRightInd/>
              <w:snapToGrid/>
              <w:spacing w:line="24" w:lineRule="atLeast"/>
              <w:textAlignment w:val="auto"/>
              <w:rPr>
                <w:rFonts w:hint="default" w:ascii="Times New Roman" w:hAnsi="Times New Roman" w:eastAsia="宋体" w:cs="Times New Roman"/>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④</w:t>
            </w:r>
            <w:r>
              <w:rPr>
                <w:rFonts w:hint="default" w:ascii="宋体" w:hAnsi="宋体" w:eastAsia="宋体" w:cs="宋体"/>
                <w:color w:val="auto"/>
                <w:sz w:val="24"/>
                <w:szCs w:val="24"/>
                <w:highlight w:val="none"/>
                <w:lang w:val="en-US" w:eastAsia="zh-CN"/>
              </w:rPr>
              <w:t>未提供相关内容的不得分。</w:t>
            </w:r>
          </w:p>
        </w:tc>
        <w:tc>
          <w:tcPr>
            <w:tcW w:w="600" w:type="dxa"/>
            <w:noWrap w:val="0"/>
            <w:vAlign w:val="center"/>
          </w:tcPr>
          <w:p w14:paraId="37BF73E5">
            <w:pPr>
              <w:widowControl/>
              <w:adjustRightInd/>
              <w:spacing w:line="240" w:lineRule="auto"/>
              <w:jc w:val="center"/>
              <w:textAlignment w:val="auto"/>
              <w:rPr>
                <w:rFonts w:hint="default"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4</w:t>
            </w:r>
          </w:p>
        </w:tc>
        <w:tc>
          <w:tcPr>
            <w:tcW w:w="692" w:type="dxa"/>
            <w:noWrap w:val="0"/>
            <w:vAlign w:val="center"/>
          </w:tcPr>
          <w:p w14:paraId="7202DCFA">
            <w:pPr>
              <w:widowControl/>
              <w:shd w:val="clear" w:color="auto" w:fill="auto"/>
              <w:adjustRightInd/>
              <w:spacing w:line="240" w:lineRule="auto"/>
              <w:jc w:val="center"/>
              <w:textAlignment w:val="auto"/>
              <w:rPr>
                <w:rFonts w:hint="eastAsia" w:ascii="宋体" w:hAnsi="宋体" w:eastAsia="宋体" w:cs="Times New Roman"/>
                <w:snapToGrid w:val="0"/>
                <w:color w:val="auto"/>
                <w:spacing w:val="-4"/>
                <w:kern w:val="2"/>
                <w:sz w:val="24"/>
                <w:szCs w:val="24"/>
                <w:highlight w:val="none"/>
                <w:lang w:val="en-US" w:eastAsia="zh-CN" w:bidi="ar-SA"/>
              </w:rPr>
            </w:pPr>
            <w:r>
              <w:rPr>
                <w:rFonts w:hint="eastAsia" w:ascii="宋体" w:hAnsi="宋体" w:eastAsia="宋体" w:cs="Times New Roman"/>
                <w:snapToGrid w:val="0"/>
                <w:color w:val="auto"/>
                <w:spacing w:val="-4"/>
                <w:kern w:val="2"/>
                <w:sz w:val="24"/>
                <w:szCs w:val="24"/>
                <w:highlight w:val="none"/>
                <w:lang w:val="en-US" w:eastAsia="zh-CN" w:bidi="ar-SA"/>
              </w:rPr>
              <w:t>主观评议</w:t>
            </w:r>
          </w:p>
        </w:tc>
      </w:tr>
      <w:tr w14:paraId="5336B0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59" w:type="dxa"/>
            <w:vMerge w:val="continue"/>
            <w:noWrap w:val="0"/>
            <w:vAlign w:val="center"/>
          </w:tcPr>
          <w:p w14:paraId="502B90C4">
            <w:pPr>
              <w:keepNext w:val="0"/>
              <w:keepLines w:val="0"/>
              <w:pageBreakBefore w:val="0"/>
              <w:widowControl w:val="0"/>
              <w:kinsoku/>
              <w:wordWrap/>
              <w:overflowPunct/>
              <w:topLinePunct w:val="0"/>
              <w:autoSpaceDE/>
              <w:autoSpaceDN/>
              <w:bidi w:val="0"/>
              <w:adjustRightInd/>
              <w:snapToGrid/>
              <w:spacing w:line="24" w:lineRule="atLeast"/>
              <w:jc w:val="center"/>
              <w:textAlignment w:val="auto"/>
              <w:rPr>
                <w:rFonts w:ascii="Times New Roman" w:hAnsi="Times New Roman" w:eastAsia="宋体" w:cs="Times New Roman"/>
                <w:color w:val="auto"/>
                <w:sz w:val="24"/>
                <w:szCs w:val="24"/>
                <w:highlight w:val="none"/>
              </w:rPr>
            </w:pPr>
          </w:p>
        </w:tc>
        <w:tc>
          <w:tcPr>
            <w:tcW w:w="1100" w:type="dxa"/>
            <w:vMerge w:val="continue"/>
            <w:noWrap w:val="0"/>
            <w:vAlign w:val="center"/>
          </w:tcPr>
          <w:p w14:paraId="1CFE95D3">
            <w:pPr>
              <w:keepNext w:val="0"/>
              <w:keepLines w:val="0"/>
              <w:pageBreakBefore w:val="0"/>
              <w:widowControl w:val="0"/>
              <w:kinsoku/>
              <w:wordWrap/>
              <w:overflowPunct/>
              <w:topLinePunct w:val="0"/>
              <w:autoSpaceDE/>
              <w:autoSpaceDN/>
              <w:bidi w:val="0"/>
              <w:adjustRightInd/>
              <w:snapToGrid/>
              <w:spacing w:line="24" w:lineRule="atLeast"/>
              <w:textAlignment w:val="auto"/>
              <w:rPr>
                <w:rFonts w:hint="eastAsia" w:ascii="Times New Roman" w:hAnsi="Times New Roman" w:eastAsia="宋体" w:cs="Times New Roman"/>
                <w:color w:val="auto"/>
                <w:sz w:val="24"/>
                <w:szCs w:val="24"/>
                <w:highlight w:val="none"/>
              </w:rPr>
            </w:pPr>
          </w:p>
        </w:tc>
        <w:tc>
          <w:tcPr>
            <w:tcW w:w="5147" w:type="dxa"/>
            <w:gridSpan w:val="2"/>
            <w:noWrap w:val="0"/>
            <w:vAlign w:val="center"/>
          </w:tcPr>
          <w:p w14:paraId="687FCAC5">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6.2根据各供应商提供的冷库体积大小进行评议：</w:t>
            </w:r>
          </w:p>
          <w:p w14:paraId="1D27B601">
            <w:pPr>
              <w:keepNext w:val="0"/>
              <w:keepLines w:val="0"/>
              <w:pageBreakBefore w:val="0"/>
              <w:widowControl w:val="0"/>
              <w:kinsoku/>
              <w:wordWrap/>
              <w:overflowPunct/>
              <w:topLinePunct w:val="0"/>
              <w:autoSpaceDE/>
              <w:autoSpaceDN/>
              <w:bidi w:val="0"/>
              <w:adjustRightInd/>
              <w:snapToGrid/>
              <w:spacing w:line="24" w:lineRule="atLeast"/>
              <w:textAlignment w:val="auto"/>
              <w:rPr>
                <w:rFonts w:hint="default" w:ascii="Times New Roman" w:hAnsi="Times New Roman" w:eastAsia="宋体" w:cs="Times New Roman"/>
                <w:color w:val="auto"/>
                <w:sz w:val="24"/>
                <w:szCs w:val="24"/>
                <w:highlight w:val="none"/>
                <w:lang w:val="en-US" w:eastAsia="zh-CN"/>
              </w:rPr>
            </w:pPr>
            <w:r>
              <w:rPr>
                <w:rFonts w:hint="eastAsia" w:ascii="Times New Roman" w:hAnsi="Times New Roman" w:eastAsia="宋体" w:cs="Times New Roman"/>
                <w:color w:val="auto"/>
                <w:sz w:val="24"/>
                <w:szCs w:val="24"/>
                <w:highlight w:val="none"/>
                <w:lang w:val="en-US" w:eastAsia="zh-CN"/>
              </w:rPr>
              <w:t>①自有冷库：</w:t>
            </w:r>
          </w:p>
          <w:p w14:paraId="4FBCA6AE">
            <w:pPr>
              <w:keepNext w:val="0"/>
              <w:keepLines w:val="0"/>
              <w:pageBreakBefore w:val="0"/>
              <w:widowControl w:val="0"/>
              <w:kinsoku/>
              <w:wordWrap/>
              <w:overflowPunct/>
              <w:topLinePunct w:val="0"/>
              <w:autoSpaceDE/>
              <w:autoSpaceDN/>
              <w:bidi w:val="0"/>
              <w:adjustRightInd/>
              <w:snapToGrid/>
              <w:spacing w:line="24" w:lineRule="atLeast"/>
              <w:textAlignment w:val="auto"/>
              <w:rPr>
                <w:rFonts w:hint="eastAsia" w:ascii="Times New Roman" w:hAnsi="Times New Roman" w:eastAsia="宋体" w:cs="Times New Roman"/>
                <w:color w:val="auto"/>
                <w:sz w:val="24"/>
                <w:szCs w:val="24"/>
                <w:highlight w:val="none"/>
                <w:lang w:val="en-US" w:eastAsia="zh-CN"/>
              </w:rPr>
            </w:pPr>
            <w:r>
              <w:rPr>
                <w:rFonts w:hint="eastAsia" w:ascii="Times New Roman" w:hAnsi="Times New Roman" w:eastAsia="宋体" w:cs="Times New Roman"/>
                <w:color w:val="auto"/>
                <w:sz w:val="24"/>
                <w:szCs w:val="24"/>
                <w:highlight w:val="none"/>
                <w:lang w:val="en-US" w:eastAsia="zh-CN"/>
              </w:rPr>
              <w:t>2500m</w:t>
            </w:r>
            <w:r>
              <w:rPr>
                <w:rFonts w:hint="eastAsia" w:ascii="Times New Roman" w:hAnsi="Times New Roman" w:eastAsia="宋体" w:cs="Times New Roman"/>
                <w:color w:val="auto"/>
                <w:sz w:val="24"/>
                <w:szCs w:val="24"/>
                <w:highlight w:val="none"/>
                <w:vertAlign w:val="superscript"/>
                <w:lang w:val="en-US" w:eastAsia="zh-CN"/>
              </w:rPr>
              <w:t>3</w:t>
            </w:r>
            <w:r>
              <w:rPr>
                <w:rFonts w:hint="eastAsia" w:ascii="Times New Roman" w:hAnsi="Times New Roman" w:eastAsia="宋体" w:cs="Times New Roman"/>
                <w:color w:val="auto"/>
                <w:sz w:val="24"/>
                <w:szCs w:val="24"/>
                <w:highlight w:val="none"/>
                <w:lang w:val="en-US" w:eastAsia="zh-CN"/>
              </w:rPr>
              <w:t>≤体积，得5分；</w:t>
            </w:r>
          </w:p>
          <w:p w14:paraId="29139460">
            <w:pPr>
              <w:keepNext w:val="0"/>
              <w:keepLines w:val="0"/>
              <w:pageBreakBefore w:val="0"/>
              <w:widowControl w:val="0"/>
              <w:kinsoku/>
              <w:wordWrap/>
              <w:overflowPunct/>
              <w:topLinePunct w:val="0"/>
              <w:autoSpaceDE/>
              <w:autoSpaceDN/>
              <w:bidi w:val="0"/>
              <w:adjustRightInd/>
              <w:snapToGrid/>
              <w:spacing w:line="24" w:lineRule="atLeast"/>
              <w:textAlignment w:val="auto"/>
              <w:rPr>
                <w:rFonts w:hint="default" w:ascii="Times New Roman" w:hAnsi="Times New Roman" w:eastAsia="宋体" w:cs="Times New Roman"/>
                <w:color w:val="auto"/>
                <w:sz w:val="24"/>
                <w:szCs w:val="24"/>
                <w:highlight w:val="none"/>
                <w:lang w:val="en-US" w:eastAsia="zh-CN"/>
              </w:rPr>
            </w:pPr>
            <w:r>
              <w:rPr>
                <w:rFonts w:hint="eastAsia" w:ascii="Times New Roman" w:hAnsi="Times New Roman" w:eastAsia="宋体" w:cs="Times New Roman"/>
                <w:color w:val="auto"/>
                <w:sz w:val="24"/>
                <w:szCs w:val="24"/>
                <w:highlight w:val="none"/>
                <w:lang w:val="en-US" w:eastAsia="zh-CN"/>
              </w:rPr>
              <w:t>2000m</w:t>
            </w:r>
            <w:r>
              <w:rPr>
                <w:rFonts w:hint="eastAsia" w:ascii="Times New Roman" w:hAnsi="Times New Roman" w:eastAsia="宋体" w:cs="Times New Roman"/>
                <w:color w:val="auto"/>
                <w:sz w:val="24"/>
                <w:szCs w:val="24"/>
                <w:highlight w:val="none"/>
                <w:vertAlign w:val="superscript"/>
                <w:lang w:val="en-US" w:eastAsia="zh-CN"/>
              </w:rPr>
              <w:t>3</w:t>
            </w:r>
            <w:r>
              <w:rPr>
                <w:rFonts w:hint="eastAsia" w:ascii="Times New Roman" w:hAnsi="Times New Roman" w:eastAsia="宋体" w:cs="Times New Roman"/>
                <w:color w:val="auto"/>
                <w:sz w:val="24"/>
                <w:szCs w:val="24"/>
                <w:highlight w:val="none"/>
                <w:lang w:val="en-US" w:eastAsia="zh-CN"/>
              </w:rPr>
              <w:t>≤体积＜2500m</w:t>
            </w:r>
            <w:r>
              <w:rPr>
                <w:rFonts w:hint="eastAsia" w:ascii="Times New Roman" w:hAnsi="Times New Roman" w:eastAsia="宋体" w:cs="Times New Roman"/>
                <w:color w:val="auto"/>
                <w:sz w:val="24"/>
                <w:szCs w:val="24"/>
                <w:highlight w:val="none"/>
                <w:vertAlign w:val="superscript"/>
                <w:lang w:val="en-US" w:eastAsia="zh-CN"/>
              </w:rPr>
              <w:t>3</w:t>
            </w:r>
            <w:r>
              <w:rPr>
                <w:rFonts w:hint="eastAsia" w:ascii="Times New Roman" w:hAnsi="Times New Roman" w:eastAsia="宋体" w:cs="Times New Roman"/>
                <w:color w:val="auto"/>
                <w:sz w:val="24"/>
                <w:szCs w:val="24"/>
                <w:highlight w:val="none"/>
                <w:lang w:val="en-US" w:eastAsia="zh-CN"/>
              </w:rPr>
              <w:t>，得4分；</w:t>
            </w:r>
          </w:p>
          <w:p w14:paraId="28E852EE">
            <w:pPr>
              <w:keepNext w:val="0"/>
              <w:keepLines w:val="0"/>
              <w:pageBreakBefore w:val="0"/>
              <w:widowControl w:val="0"/>
              <w:kinsoku/>
              <w:wordWrap/>
              <w:overflowPunct/>
              <w:topLinePunct w:val="0"/>
              <w:autoSpaceDE/>
              <w:autoSpaceDN/>
              <w:bidi w:val="0"/>
              <w:adjustRightInd/>
              <w:snapToGrid/>
              <w:spacing w:line="24" w:lineRule="atLeast"/>
              <w:textAlignment w:val="auto"/>
              <w:rPr>
                <w:rFonts w:hint="default" w:ascii="Times New Roman" w:hAnsi="Times New Roman" w:eastAsia="宋体" w:cs="Times New Roman"/>
                <w:color w:val="auto"/>
                <w:sz w:val="24"/>
                <w:szCs w:val="24"/>
                <w:highlight w:val="none"/>
                <w:lang w:val="en-US" w:eastAsia="zh-CN"/>
              </w:rPr>
            </w:pPr>
            <w:r>
              <w:rPr>
                <w:rFonts w:hint="eastAsia" w:ascii="Times New Roman" w:hAnsi="Times New Roman" w:eastAsia="宋体" w:cs="Times New Roman"/>
                <w:color w:val="auto"/>
                <w:sz w:val="24"/>
                <w:szCs w:val="24"/>
                <w:highlight w:val="none"/>
                <w:lang w:val="en-US" w:eastAsia="zh-CN"/>
              </w:rPr>
              <w:t>1500m</w:t>
            </w:r>
            <w:r>
              <w:rPr>
                <w:rFonts w:hint="eastAsia" w:ascii="Times New Roman" w:hAnsi="Times New Roman" w:eastAsia="宋体" w:cs="Times New Roman"/>
                <w:color w:val="auto"/>
                <w:sz w:val="24"/>
                <w:szCs w:val="24"/>
                <w:highlight w:val="none"/>
                <w:vertAlign w:val="superscript"/>
                <w:lang w:val="en-US" w:eastAsia="zh-CN"/>
              </w:rPr>
              <w:t>3</w:t>
            </w:r>
            <w:r>
              <w:rPr>
                <w:rFonts w:hint="eastAsia" w:ascii="Times New Roman" w:hAnsi="Times New Roman" w:eastAsia="宋体" w:cs="Times New Roman"/>
                <w:color w:val="auto"/>
                <w:sz w:val="24"/>
                <w:szCs w:val="24"/>
                <w:highlight w:val="none"/>
                <w:lang w:val="en-US" w:eastAsia="zh-CN"/>
              </w:rPr>
              <w:t>≤体积＜2000m</w:t>
            </w:r>
            <w:r>
              <w:rPr>
                <w:rFonts w:hint="eastAsia" w:ascii="Times New Roman" w:hAnsi="Times New Roman" w:eastAsia="宋体" w:cs="Times New Roman"/>
                <w:color w:val="auto"/>
                <w:sz w:val="24"/>
                <w:szCs w:val="24"/>
                <w:highlight w:val="none"/>
                <w:vertAlign w:val="superscript"/>
                <w:lang w:val="en-US" w:eastAsia="zh-CN"/>
              </w:rPr>
              <w:t>3</w:t>
            </w:r>
            <w:r>
              <w:rPr>
                <w:rFonts w:hint="eastAsia" w:ascii="Times New Roman" w:hAnsi="Times New Roman" w:eastAsia="宋体" w:cs="Times New Roman"/>
                <w:color w:val="auto"/>
                <w:sz w:val="24"/>
                <w:szCs w:val="24"/>
                <w:highlight w:val="none"/>
                <w:lang w:val="en-US" w:eastAsia="zh-CN"/>
              </w:rPr>
              <w:t>，得3分；</w:t>
            </w:r>
          </w:p>
          <w:p w14:paraId="0DCB497D">
            <w:pPr>
              <w:keepNext w:val="0"/>
              <w:keepLines w:val="0"/>
              <w:pageBreakBefore w:val="0"/>
              <w:widowControl w:val="0"/>
              <w:kinsoku/>
              <w:wordWrap/>
              <w:overflowPunct/>
              <w:topLinePunct w:val="0"/>
              <w:autoSpaceDE/>
              <w:autoSpaceDN/>
              <w:bidi w:val="0"/>
              <w:adjustRightInd/>
              <w:snapToGrid/>
              <w:spacing w:line="24" w:lineRule="atLeast"/>
              <w:textAlignment w:val="auto"/>
              <w:rPr>
                <w:rFonts w:hint="eastAsia" w:ascii="Times New Roman" w:hAnsi="Times New Roman" w:eastAsia="宋体" w:cs="Times New Roman"/>
                <w:color w:val="auto"/>
                <w:sz w:val="24"/>
                <w:szCs w:val="24"/>
                <w:highlight w:val="none"/>
                <w:lang w:val="en-US" w:eastAsia="zh-CN"/>
              </w:rPr>
            </w:pPr>
            <w:r>
              <w:rPr>
                <w:rFonts w:hint="eastAsia" w:ascii="Times New Roman" w:hAnsi="Times New Roman" w:eastAsia="宋体" w:cs="Times New Roman"/>
                <w:color w:val="auto"/>
                <w:sz w:val="24"/>
                <w:szCs w:val="24"/>
                <w:highlight w:val="none"/>
                <w:lang w:val="en-US" w:eastAsia="zh-CN"/>
              </w:rPr>
              <w:t>1000m</w:t>
            </w:r>
            <w:r>
              <w:rPr>
                <w:rFonts w:hint="eastAsia" w:ascii="Times New Roman" w:hAnsi="Times New Roman" w:eastAsia="宋体" w:cs="Times New Roman"/>
                <w:color w:val="auto"/>
                <w:sz w:val="24"/>
                <w:szCs w:val="24"/>
                <w:highlight w:val="none"/>
                <w:vertAlign w:val="superscript"/>
                <w:lang w:val="en-US" w:eastAsia="zh-CN"/>
              </w:rPr>
              <w:t>3</w:t>
            </w:r>
            <w:r>
              <w:rPr>
                <w:rFonts w:hint="eastAsia" w:ascii="Times New Roman" w:hAnsi="Times New Roman" w:eastAsia="宋体" w:cs="Times New Roman"/>
                <w:color w:val="auto"/>
                <w:sz w:val="24"/>
                <w:szCs w:val="24"/>
                <w:highlight w:val="none"/>
                <w:lang w:val="en-US" w:eastAsia="zh-CN"/>
              </w:rPr>
              <w:t>≤体积＜1500m</w:t>
            </w:r>
            <w:r>
              <w:rPr>
                <w:rFonts w:hint="eastAsia" w:ascii="Times New Roman" w:hAnsi="Times New Roman" w:eastAsia="宋体" w:cs="Times New Roman"/>
                <w:color w:val="auto"/>
                <w:sz w:val="24"/>
                <w:szCs w:val="24"/>
                <w:highlight w:val="none"/>
                <w:vertAlign w:val="superscript"/>
                <w:lang w:val="en-US" w:eastAsia="zh-CN"/>
              </w:rPr>
              <w:t>3</w:t>
            </w:r>
            <w:r>
              <w:rPr>
                <w:rFonts w:hint="eastAsia" w:ascii="Times New Roman" w:hAnsi="Times New Roman" w:eastAsia="宋体" w:cs="Times New Roman"/>
                <w:color w:val="auto"/>
                <w:sz w:val="24"/>
                <w:szCs w:val="24"/>
                <w:highlight w:val="none"/>
                <w:lang w:val="en-US" w:eastAsia="zh-CN"/>
              </w:rPr>
              <w:t>，得2分；</w:t>
            </w:r>
          </w:p>
          <w:p w14:paraId="7F28DF43">
            <w:pPr>
              <w:keepNext w:val="0"/>
              <w:keepLines w:val="0"/>
              <w:pageBreakBefore w:val="0"/>
              <w:widowControl w:val="0"/>
              <w:kinsoku/>
              <w:wordWrap/>
              <w:overflowPunct/>
              <w:topLinePunct w:val="0"/>
              <w:autoSpaceDE/>
              <w:autoSpaceDN/>
              <w:bidi w:val="0"/>
              <w:adjustRightInd/>
              <w:snapToGrid/>
              <w:spacing w:line="24" w:lineRule="atLeast"/>
              <w:textAlignment w:val="auto"/>
              <w:rPr>
                <w:rFonts w:hint="eastAsia" w:ascii="Times New Roman" w:hAnsi="Times New Roman" w:eastAsia="宋体" w:cs="Times New Roman"/>
                <w:color w:val="auto"/>
                <w:sz w:val="24"/>
                <w:szCs w:val="24"/>
                <w:highlight w:val="none"/>
                <w:lang w:val="en-US" w:eastAsia="zh-CN"/>
              </w:rPr>
            </w:pPr>
            <w:r>
              <w:rPr>
                <w:rFonts w:hint="eastAsia" w:ascii="Times New Roman" w:hAnsi="Times New Roman" w:eastAsia="宋体" w:cs="Times New Roman"/>
                <w:color w:val="auto"/>
                <w:sz w:val="24"/>
                <w:szCs w:val="24"/>
                <w:highlight w:val="none"/>
                <w:lang w:val="en-US" w:eastAsia="zh-CN"/>
              </w:rPr>
              <w:t>500m</w:t>
            </w:r>
            <w:r>
              <w:rPr>
                <w:rFonts w:hint="eastAsia" w:ascii="Times New Roman" w:hAnsi="Times New Roman" w:eastAsia="宋体" w:cs="Times New Roman"/>
                <w:color w:val="auto"/>
                <w:sz w:val="24"/>
                <w:szCs w:val="24"/>
                <w:highlight w:val="none"/>
                <w:vertAlign w:val="superscript"/>
                <w:lang w:val="en-US" w:eastAsia="zh-CN"/>
              </w:rPr>
              <w:t>3</w:t>
            </w:r>
            <w:r>
              <w:rPr>
                <w:rFonts w:hint="eastAsia" w:ascii="Times New Roman" w:hAnsi="Times New Roman" w:eastAsia="宋体" w:cs="Times New Roman"/>
                <w:color w:val="auto"/>
                <w:sz w:val="24"/>
                <w:szCs w:val="24"/>
                <w:highlight w:val="none"/>
                <w:lang w:val="en-US" w:eastAsia="zh-CN"/>
              </w:rPr>
              <w:t>≤体积＜1000m</w:t>
            </w:r>
            <w:r>
              <w:rPr>
                <w:rFonts w:hint="eastAsia" w:ascii="Times New Roman" w:hAnsi="Times New Roman" w:eastAsia="宋体" w:cs="Times New Roman"/>
                <w:color w:val="auto"/>
                <w:sz w:val="24"/>
                <w:szCs w:val="24"/>
                <w:highlight w:val="none"/>
                <w:vertAlign w:val="superscript"/>
                <w:lang w:val="en-US" w:eastAsia="zh-CN"/>
              </w:rPr>
              <w:t>3</w:t>
            </w:r>
            <w:r>
              <w:rPr>
                <w:rFonts w:hint="eastAsia" w:ascii="Times New Roman" w:hAnsi="Times New Roman" w:eastAsia="宋体" w:cs="Times New Roman"/>
                <w:color w:val="auto"/>
                <w:sz w:val="24"/>
                <w:szCs w:val="24"/>
                <w:highlight w:val="none"/>
                <w:lang w:val="en-US" w:eastAsia="zh-CN"/>
              </w:rPr>
              <w:t>，得1分；</w:t>
            </w:r>
          </w:p>
          <w:p w14:paraId="63BAC70E">
            <w:pPr>
              <w:keepNext w:val="0"/>
              <w:keepLines w:val="0"/>
              <w:pageBreakBefore w:val="0"/>
              <w:widowControl w:val="0"/>
              <w:kinsoku/>
              <w:wordWrap/>
              <w:overflowPunct/>
              <w:topLinePunct w:val="0"/>
              <w:autoSpaceDE/>
              <w:autoSpaceDN/>
              <w:bidi w:val="0"/>
              <w:adjustRightInd/>
              <w:snapToGrid/>
              <w:spacing w:line="24" w:lineRule="atLeast"/>
              <w:textAlignment w:val="auto"/>
              <w:rPr>
                <w:rFonts w:hint="eastAsia" w:ascii="Times New Roman" w:hAnsi="Times New Roman" w:eastAsia="宋体" w:cs="Times New Roman"/>
                <w:color w:val="auto"/>
                <w:sz w:val="24"/>
                <w:szCs w:val="24"/>
                <w:highlight w:val="none"/>
              </w:rPr>
            </w:pPr>
            <w:r>
              <w:rPr>
                <w:rFonts w:hint="eastAsia" w:ascii="Times New Roman" w:hAnsi="Times New Roman" w:eastAsia="宋体" w:cs="Times New Roman"/>
                <w:color w:val="auto"/>
                <w:sz w:val="24"/>
                <w:szCs w:val="24"/>
                <w:highlight w:val="none"/>
                <w:lang w:val="en-US" w:eastAsia="zh-CN"/>
              </w:rPr>
              <w:t>体积＜500m</w:t>
            </w:r>
            <w:r>
              <w:rPr>
                <w:rFonts w:hint="eastAsia" w:ascii="Times New Roman" w:hAnsi="Times New Roman" w:eastAsia="宋体" w:cs="Times New Roman"/>
                <w:color w:val="auto"/>
                <w:sz w:val="24"/>
                <w:szCs w:val="24"/>
                <w:highlight w:val="none"/>
                <w:vertAlign w:val="superscript"/>
                <w:lang w:val="en-US" w:eastAsia="zh-CN"/>
              </w:rPr>
              <w:t>3</w:t>
            </w:r>
            <w:r>
              <w:rPr>
                <w:rFonts w:hint="eastAsia" w:ascii="Times New Roman" w:hAnsi="Times New Roman" w:eastAsia="宋体" w:cs="Times New Roman"/>
                <w:color w:val="auto"/>
                <w:sz w:val="24"/>
                <w:szCs w:val="24"/>
                <w:highlight w:val="none"/>
                <w:lang w:val="en-US" w:eastAsia="zh-CN"/>
              </w:rPr>
              <w:t>，得0分。</w:t>
            </w:r>
          </w:p>
          <w:p w14:paraId="55EB85FA">
            <w:pPr>
              <w:keepNext w:val="0"/>
              <w:keepLines w:val="0"/>
              <w:pageBreakBefore w:val="0"/>
              <w:widowControl w:val="0"/>
              <w:kinsoku/>
              <w:wordWrap/>
              <w:overflowPunct/>
              <w:topLinePunct w:val="0"/>
              <w:autoSpaceDE/>
              <w:autoSpaceDN/>
              <w:bidi w:val="0"/>
              <w:adjustRightInd/>
              <w:snapToGrid/>
              <w:spacing w:line="24" w:lineRule="atLeast"/>
              <w:textAlignment w:val="auto"/>
              <w:rPr>
                <w:rFonts w:hint="eastAsia" w:ascii="Times New Roman" w:hAnsi="Times New Roman" w:eastAsia="宋体" w:cs="Times New Roman"/>
                <w:color w:val="auto"/>
                <w:sz w:val="24"/>
                <w:szCs w:val="24"/>
                <w:highlight w:val="none"/>
                <w:lang w:val="en-US" w:eastAsia="zh-CN"/>
              </w:rPr>
            </w:pPr>
            <w:r>
              <w:rPr>
                <w:rFonts w:hint="eastAsia" w:ascii="Times New Roman" w:hAnsi="Times New Roman" w:eastAsia="宋体" w:cs="Times New Roman"/>
                <w:color w:val="auto"/>
                <w:sz w:val="24"/>
                <w:szCs w:val="24"/>
                <w:highlight w:val="none"/>
                <w:lang w:val="en-US" w:eastAsia="zh-CN"/>
              </w:rPr>
              <w:t>②租赁冷库：</w:t>
            </w:r>
          </w:p>
          <w:p w14:paraId="220A0283">
            <w:pPr>
              <w:keepNext w:val="0"/>
              <w:keepLines w:val="0"/>
              <w:pageBreakBefore w:val="0"/>
              <w:widowControl w:val="0"/>
              <w:kinsoku/>
              <w:wordWrap/>
              <w:overflowPunct/>
              <w:topLinePunct w:val="0"/>
              <w:autoSpaceDE/>
              <w:autoSpaceDN/>
              <w:bidi w:val="0"/>
              <w:adjustRightInd/>
              <w:snapToGrid/>
              <w:spacing w:line="24" w:lineRule="atLeast"/>
              <w:textAlignment w:val="auto"/>
              <w:rPr>
                <w:rFonts w:hint="eastAsia" w:ascii="Times New Roman" w:hAnsi="Times New Roman" w:eastAsia="宋体" w:cs="Times New Roman"/>
                <w:color w:val="auto"/>
                <w:sz w:val="24"/>
                <w:szCs w:val="24"/>
                <w:highlight w:val="none"/>
                <w:lang w:val="en-US" w:eastAsia="zh-CN"/>
              </w:rPr>
            </w:pPr>
            <w:r>
              <w:rPr>
                <w:rFonts w:hint="eastAsia" w:ascii="Times New Roman" w:hAnsi="Times New Roman" w:eastAsia="宋体" w:cs="Times New Roman"/>
                <w:color w:val="auto"/>
                <w:sz w:val="24"/>
                <w:szCs w:val="24"/>
                <w:highlight w:val="none"/>
                <w:lang w:val="en-US" w:eastAsia="zh-CN"/>
              </w:rPr>
              <w:t>2500m</w:t>
            </w:r>
            <w:r>
              <w:rPr>
                <w:rFonts w:hint="eastAsia" w:ascii="Times New Roman" w:hAnsi="Times New Roman" w:eastAsia="宋体" w:cs="Times New Roman"/>
                <w:color w:val="auto"/>
                <w:sz w:val="24"/>
                <w:szCs w:val="24"/>
                <w:highlight w:val="none"/>
                <w:vertAlign w:val="superscript"/>
                <w:lang w:val="en-US" w:eastAsia="zh-CN"/>
              </w:rPr>
              <w:t>3</w:t>
            </w:r>
            <w:r>
              <w:rPr>
                <w:rFonts w:hint="eastAsia" w:ascii="Times New Roman" w:hAnsi="Times New Roman" w:eastAsia="宋体" w:cs="Times New Roman"/>
                <w:color w:val="auto"/>
                <w:sz w:val="24"/>
                <w:szCs w:val="24"/>
                <w:highlight w:val="none"/>
                <w:lang w:val="en-US" w:eastAsia="zh-CN"/>
              </w:rPr>
              <w:t>≤体积，得2.5分；</w:t>
            </w:r>
          </w:p>
          <w:p w14:paraId="2B437A93">
            <w:pPr>
              <w:keepNext w:val="0"/>
              <w:keepLines w:val="0"/>
              <w:pageBreakBefore w:val="0"/>
              <w:widowControl w:val="0"/>
              <w:kinsoku/>
              <w:wordWrap/>
              <w:overflowPunct/>
              <w:topLinePunct w:val="0"/>
              <w:autoSpaceDE/>
              <w:autoSpaceDN/>
              <w:bidi w:val="0"/>
              <w:adjustRightInd/>
              <w:snapToGrid/>
              <w:spacing w:line="24" w:lineRule="atLeast"/>
              <w:textAlignment w:val="auto"/>
              <w:rPr>
                <w:rFonts w:hint="default" w:ascii="Times New Roman" w:hAnsi="Times New Roman" w:eastAsia="宋体" w:cs="Times New Roman"/>
                <w:color w:val="auto"/>
                <w:sz w:val="24"/>
                <w:szCs w:val="24"/>
                <w:highlight w:val="none"/>
                <w:lang w:val="en-US" w:eastAsia="zh-CN"/>
              </w:rPr>
            </w:pPr>
            <w:r>
              <w:rPr>
                <w:rFonts w:hint="eastAsia" w:ascii="Times New Roman" w:hAnsi="Times New Roman" w:eastAsia="宋体" w:cs="Times New Roman"/>
                <w:color w:val="auto"/>
                <w:sz w:val="24"/>
                <w:szCs w:val="24"/>
                <w:highlight w:val="none"/>
                <w:lang w:val="en-US" w:eastAsia="zh-CN"/>
              </w:rPr>
              <w:t>2000m</w:t>
            </w:r>
            <w:r>
              <w:rPr>
                <w:rFonts w:hint="eastAsia" w:ascii="Times New Roman" w:hAnsi="Times New Roman" w:eastAsia="宋体" w:cs="Times New Roman"/>
                <w:color w:val="auto"/>
                <w:sz w:val="24"/>
                <w:szCs w:val="24"/>
                <w:highlight w:val="none"/>
                <w:vertAlign w:val="superscript"/>
                <w:lang w:val="en-US" w:eastAsia="zh-CN"/>
              </w:rPr>
              <w:t>3</w:t>
            </w:r>
            <w:r>
              <w:rPr>
                <w:rFonts w:hint="eastAsia" w:ascii="Times New Roman" w:hAnsi="Times New Roman" w:eastAsia="宋体" w:cs="Times New Roman"/>
                <w:color w:val="auto"/>
                <w:sz w:val="24"/>
                <w:szCs w:val="24"/>
                <w:highlight w:val="none"/>
                <w:lang w:val="en-US" w:eastAsia="zh-CN"/>
              </w:rPr>
              <w:t>≤体积＜2500m</w:t>
            </w:r>
            <w:r>
              <w:rPr>
                <w:rFonts w:hint="eastAsia" w:ascii="Times New Roman" w:hAnsi="Times New Roman" w:eastAsia="宋体" w:cs="Times New Roman"/>
                <w:color w:val="auto"/>
                <w:sz w:val="24"/>
                <w:szCs w:val="24"/>
                <w:highlight w:val="none"/>
                <w:vertAlign w:val="superscript"/>
                <w:lang w:val="en-US" w:eastAsia="zh-CN"/>
              </w:rPr>
              <w:t>3</w:t>
            </w:r>
            <w:r>
              <w:rPr>
                <w:rFonts w:hint="eastAsia" w:ascii="Times New Roman" w:hAnsi="Times New Roman" w:eastAsia="宋体" w:cs="Times New Roman"/>
                <w:color w:val="auto"/>
                <w:sz w:val="24"/>
                <w:szCs w:val="24"/>
                <w:highlight w:val="none"/>
                <w:lang w:val="en-US" w:eastAsia="zh-CN"/>
              </w:rPr>
              <w:t>，得2分；</w:t>
            </w:r>
          </w:p>
          <w:p w14:paraId="0DBE6618">
            <w:pPr>
              <w:keepNext w:val="0"/>
              <w:keepLines w:val="0"/>
              <w:pageBreakBefore w:val="0"/>
              <w:widowControl w:val="0"/>
              <w:kinsoku/>
              <w:wordWrap/>
              <w:overflowPunct/>
              <w:topLinePunct w:val="0"/>
              <w:autoSpaceDE/>
              <w:autoSpaceDN/>
              <w:bidi w:val="0"/>
              <w:adjustRightInd/>
              <w:snapToGrid/>
              <w:spacing w:line="24" w:lineRule="atLeast"/>
              <w:textAlignment w:val="auto"/>
              <w:rPr>
                <w:rFonts w:hint="default" w:ascii="Times New Roman" w:hAnsi="Times New Roman" w:eastAsia="宋体" w:cs="Times New Roman"/>
                <w:color w:val="auto"/>
                <w:sz w:val="24"/>
                <w:szCs w:val="24"/>
                <w:highlight w:val="none"/>
                <w:lang w:val="en-US" w:eastAsia="zh-CN"/>
              </w:rPr>
            </w:pPr>
            <w:r>
              <w:rPr>
                <w:rFonts w:hint="eastAsia" w:ascii="Times New Roman" w:hAnsi="Times New Roman" w:eastAsia="宋体" w:cs="Times New Roman"/>
                <w:color w:val="auto"/>
                <w:sz w:val="24"/>
                <w:szCs w:val="24"/>
                <w:highlight w:val="none"/>
                <w:lang w:val="en-US" w:eastAsia="zh-CN"/>
              </w:rPr>
              <w:t>1500m</w:t>
            </w:r>
            <w:r>
              <w:rPr>
                <w:rFonts w:hint="eastAsia" w:ascii="Times New Roman" w:hAnsi="Times New Roman" w:eastAsia="宋体" w:cs="Times New Roman"/>
                <w:color w:val="auto"/>
                <w:sz w:val="24"/>
                <w:szCs w:val="24"/>
                <w:highlight w:val="none"/>
                <w:vertAlign w:val="superscript"/>
                <w:lang w:val="en-US" w:eastAsia="zh-CN"/>
              </w:rPr>
              <w:t>3</w:t>
            </w:r>
            <w:r>
              <w:rPr>
                <w:rFonts w:hint="eastAsia" w:ascii="Times New Roman" w:hAnsi="Times New Roman" w:eastAsia="宋体" w:cs="Times New Roman"/>
                <w:color w:val="auto"/>
                <w:sz w:val="24"/>
                <w:szCs w:val="24"/>
                <w:highlight w:val="none"/>
                <w:lang w:val="en-US" w:eastAsia="zh-CN"/>
              </w:rPr>
              <w:t>≤体积＜2000m</w:t>
            </w:r>
            <w:r>
              <w:rPr>
                <w:rFonts w:hint="eastAsia" w:ascii="Times New Roman" w:hAnsi="Times New Roman" w:eastAsia="宋体" w:cs="Times New Roman"/>
                <w:color w:val="auto"/>
                <w:sz w:val="24"/>
                <w:szCs w:val="24"/>
                <w:highlight w:val="none"/>
                <w:vertAlign w:val="superscript"/>
                <w:lang w:val="en-US" w:eastAsia="zh-CN"/>
              </w:rPr>
              <w:t>3</w:t>
            </w:r>
            <w:r>
              <w:rPr>
                <w:rFonts w:hint="eastAsia" w:ascii="Times New Roman" w:hAnsi="Times New Roman" w:eastAsia="宋体" w:cs="Times New Roman"/>
                <w:color w:val="auto"/>
                <w:sz w:val="24"/>
                <w:szCs w:val="24"/>
                <w:highlight w:val="none"/>
                <w:lang w:val="en-US" w:eastAsia="zh-CN"/>
              </w:rPr>
              <w:t>，得1.5分；</w:t>
            </w:r>
          </w:p>
          <w:p w14:paraId="7FFA8F14">
            <w:pPr>
              <w:keepNext w:val="0"/>
              <w:keepLines w:val="0"/>
              <w:pageBreakBefore w:val="0"/>
              <w:widowControl w:val="0"/>
              <w:kinsoku/>
              <w:wordWrap/>
              <w:overflowPunct/>
              <w:topLinePunct w:val="0"/>
              <w:autoSpaceDE/>
              <w:autoSpaceDN/>
              <w:bidi w:val="0"/>
              <w:adjustRightInd/>
              <w:snapToGrid/>
              <w:spacing w:line="24" w:lineRule="atLeast"/>
              <w:textAlignment w:val="auto"/>
              <w:rPr>
                <w:rFonts w:hint="eastAsia" w:ascii="Times New Roman" w:hAnsi="Times New Roman" w:eastAsia="宋体" w:cs="Times New Roman"/>
                <w:color w:val="auto"/>
                <w:sz w:val="24"/>
                <w:szCs w:val="24"/>
                <w:highlight w:val="none"/>
                <w:lang w:val="en-US" w:eastAsia="zh-CN"/>
              </w:rPr>
            </w:pPr>
            <w:r>
              <w:rPr>
                <w:rFonts w:hint="eastAsia" w:ascii="Times New Roman" w:hAnsi="Times New Roman" w:eastAsia="宋体" w:cs="Times New Roman"/>
                <w:color w:val="auto"/>
                <w:sz w:val="24"/>
                <w:szCs w:val="24"/>
                <w:highlight w:val="none"/>
                <w:lang w:val="en-US" w:eastAsia="zh-CN"/>
              </w:rPr>
              <w:t>1000m</w:t>
            </w:r>
            <w:r>
              <w:rPr>
                <w:rFonts w:hint="eastAsia" w:ascii="Times New Roman" w:hAnsi="Times New Roman" w:eastAsia="宋体" w:cs="Times New Roman"/>
                <w:color w:val="auto"/>
                <w:sz w:val="24"/>
                <w:szCs w:val="24"/>
                <w:highlight w:val="none"/>
                <w:vertAlign w:val="superscript"/>
                <w:lang w:val="en-US" w:eastAsia="zh-CN"/>
              </w:rPr>
              <w:t>3</w:t>
            </w:r>
            <w:r>
              <w:rPr>
                <w:rFonts w:hint="eastAsia" w:ascii="Times New Roman" w:hAnsi="Times New Roman" w:eastAsia="宋体" w:cs="Times New Roman"/>
                <w:color w:val="auto"/>
                <w:sz w:val="24"/>
                <w:szCs w:val="24"/>
                <w:highlight w:val="none"/>
                <w:lang w:val="en-US" w:eastAsia="zh-CN"/>
              </w:rPr>
              <w:t>≤体积＜1500m</w:t>
            </w:r>
            <w:r>
              <w:rPr>
                <w:rFonts w:hint="eastAsia" w:ascii="Times New Roman" w:hAnsi="Times New Roman" w:eastAsia="宋体" w:cs="Times New Roman"/>
                <w:color w:val="auto"/>
                <w:sz w:val="24"/>
                <w:szCs w:val="24"/>
                <w:highlight w:val="none"/>
                <w:vertAlign w:val="superscript"/>
                <w:lang w:val="en-US" w:eastAsia="zh-CN"/>
              </w:rPr>
              <w:t>3</w:t>
            </w:r>
            <w:r>
              <w:rPr>
                <w:rFonts w:hint="eastAsia" w:ascii="Times New Roman" w:hAnsi="Times New Roman" w:eastAsia="宋体" w:cs="Times New Roman"/>
                <w:color w:val="auto"/>
                <w:sz w:val="24"/>
                <w:szCs w:val="24"/>
                <w:highlight w:val="none"/>
                <w:lang w:val="en-US" w:eastAsia="zh-CN"/>
              </w:rPr>
              <w:t>，得1分；</w:t>
            </w:r>
          </w:p>
          <w:p w14:paraId="2786BAF2">
            <w:pPr>
              <w:keepNext w:val="0"/>
              <w:keepLines w:val="0"/>
              <w:pageBreakBefore w:val="0"/>
              <w:widowControl w:val="0"/>
              <w:kinsoku/>
              <w:wordWrap/>
              <w:overflowPunct/>
              <w:topLinePunct w:val="0"/>
              <w:autoSpaceDE/>
              <w:autoSpaceDN/>
              <w:bidi w:val="0"/>
              <w:adjustRightInd/>
              <w:snapToGrid/>
              <w:spacing w:line="24" w:lineRule="atLeast"/>
              <w:textAlignment w:val="auto"/>
              <w:rPr>
                <w:rFonts w:hint="eastAsia" w:ascii="Times New Roman" w:hAnsi="Times New Roman" w:eastAsia="宋体" w:cs="Times New Roman"/>
                <w:color w:val="auto"/>
                <w:sz w:val="24"/>
                <w:szCs w:val="24"/>
                <w:highlight w:val="none"/>
                <w:lang w:val="en-US" w:eastAsia="zh-CN"/>
              </w:rPr>
            </w:pPr>
            <w:r>
              <w:rPr>
                <w:rFonts w:hint="eastAsia" w:ascii="Times New Roman" w:hAnsi="Times New Roman" w:eastAsia="宋体" w:cs="Times New Roman"/>
                <w:color w:val="auto"/>
                <w:sz w:val="24"/>
                <w:szCs w:val="24"/>
                <w:highlight w:val="none"/>
                <w:lang w:val="en-US" w:eastAsia="zh-CN"/>
              </w:rPr>
              <w:t>500m</w:t>
            </w:r>
            <w:r>
              <w:rPr>
                <w:rFonts w:hint="eastAsia" w:ascii="Times New Roman" w:hAnsi="Times New Roman" w:eastAsia="宋体" w:cs="Times New Roman"/>
                <w:color w:val="auto"/>
                <w:sz w:val="24"/>
                <w:szCs w:val="24"/>
                <w:highlight w:val="none"/>
                <w:vertAlign w:val="superscript"/>
                <w:lang w:val="en-US" w:eastAsia="zh-CN"/>
              </w:rPr>
              <w:t>3</w:t>
            </w:r>
            <w:r>
              <w:rPr>
                <w:rFonts w:hint="eastAsia" w:ascii="Times New Roman" w:hAnsi="Times New Roman" w:eastAsia="宋体" w:cs="Times New Roman"/>
                <w:color w:val="auto"/>
                <w:sz w:val="24"/>
                <w:szCs w:val="24"/>
                <w:highlight w:val="none"/>
                <w:lang w:val="en-US" w:eastAsia="zh-CN"/>
              </w:rPr>
              <w:t>≤体积＜1000m</w:t>
            </w:r>
            <w:r>
              <w:rPr>
                <w:rFonts w:hint="eastAsia" w:ascii="Times New Roman" w:hAnsi="Times New Roman" w:eastAsia="宋体" w:cs="Times New Roman"/>
                <w:color w:val="auto"/>
                <w:sz w:val="24"/>
                <w:szCs w:val="24"/>
                <w:highlight w:val="none"/>
                <w:vertAlign w:val="superscript"/>
                <w:lang w:val="en-US" w:eastAsia="zh-CN"/>
              </w:rPr>
              <w:t>3</w:t>
            </w:r>
            <w:r>
              <w:rPr>
                <w:rFonts w:hint="eastAsia" w:ascii="Times New Roman" w:hAnsi="Times New Roman" w:eastAsia="宋体" w:cs="Times New Roman"/>
                <w:color w:val="auto"/>
                <w:sz w:val="24"/>
                <w:szCs w:val="24"/>
                <w:highlight w:val="none"/>
                <w:lang w:val="en-US" w:eastAsia="zh-CN"/>
              </w:rPr>
              <w:t>，得0.5分；</w:t>
            </w:r>
          </w:p>
          <w:p w14:paraId="0B192706">
            <w:pPr>
              <w:keepNext w:val="0"/>
              <w:keepLines w:val="0"/>
              <w:pageBreakBefore w:val="0"/>
              <w:widowControl w:val="0"/>
              <w:kinsoku/>
              <w:wordWrap/>
              <w:overflowPunct/>
              <w:topLinePunct w:val="0"/>
              <w:autoSpaceDE/>
              <w:autoSpaceDN/>
              <w:bidi w:val="0"/>
              <w:adjustRightInd/>
              <w:snapToGrid/>
              <w:spacing w:line="24" w:lineRule="atLeast"/>
              <w:textAlignment w:val="auto"/>
              <w:rPr>
                <w:rFonts w:hint="default" w:ascii="Times New Roman" w:hAnsi="Times New Roman" w:eastAsia="宋体" w:cs="Times New Roman"/>
                <w:color w:val="auto"/>
                <w:sz w:val="24"/>
                <w:szCs w:val="24"/>
                <w:highlight w:val="none"/>
                <w:lang w:val="en-US" w:eastAsia="zh-CN"/>
              </w:rPr>
            </w:pPr>
            <w:r>
              <w:rPr>
                <w:rFonts w:hint="eastAsia" w:ascii="Times New Roman" w:hAnsi="Times New Roman" w:eastAsia="宋体" w:cs="Times New Roman"/>
                <w:color w:val="auto"/>
                <w:sz w:val="24"/>
                <w:szCs w:val="24"/>
                <w:highlight w:val="none"/>
                <w:lang w:val="en-US" w:eastAsia="zh-CN"/>
              </w:rPr>
              <w:t>体积＜500m</w:t>
            </w:r>
            <w:r>
              <w:rPr>
                <w:rFonts w:hint="eastAsia" w:ascii="Times New Roman" w:hAnsi="Times New Roman" w:eastAsia="宋体" w:cs="Times New Roman"/>
                <w:color w:val="auto"/>
                <w:sz w:val="24"/>
                <w:szCs w:val="24"/>
                <w:highlight w:val="none"/>
                <w:vertAlign w:val="superscript"/>
                <w:lang w:val="en-US" w:eastAsia="zh-CN"/>
              </w:rPr>
              <w:t>3</w:t>
            </w:r>
            <w:r>
              <w:rPr>
                <w:rFonts w:hint="eastAsia" w:ascii="Times New Roman" w:hAnsi="Times New Roman" w:eastAsia="宋体" w:cs="Times New Roman"/>
                <w:color w:val="auto"/>
                <w:sz w:val="24"/>
                <w:szCs w:val="24"/>
                <w:highlight w:val="none"/>
                <w:lang w:val="en-US" w:eastAsia="zh-CN"/>
              </w:rPr>
              <w:t>，得0分。</w:t>
            </w:r>
          </w:p>
          <w:p w14:paraId="0082D4DB">
            <w:pPr>
              <w:keepNext w:val="0"/>
              <w:keepLines w:val="0"/>
              <w:pageBreakBefore w:val="0"/>
              <w:widowControl w:val="0"/>
              <w:kinsoku/>
              <w:wordWrap/>
              <w:overflowPunct/>
              <w:topLinePunct w:val="0"/>
              <w:autoSpaceDE/>
              <w:autoSpaceDN/>
              <w:bidi w:val="0"/>
              <w:adjustRightInd/>
              <w:snapToGrid/>
              <w:spacing w:line="24" w:lineRule="atLeast"/>
              <w:textAlignment w:val="auto"/>
              <w:rPr>
                <w:rFonts w:hint="eastAsia" w:ascii="Times New Roman" w:hAnsi="Times New Roman" w:eastAsia="宋体" w:cs="Times New Roman"/>
                <w:color w:val="auto"/>
                <w:sz w:val="24"/>
                <w:szCs w:val="24"/>
                <w:highlight w:val="none"/>
              </w:rPr>
            </w:pPr>
            <w:r>
              <w:rPr>
                <w:rFonts w:hint="eastAsia" w:ascii="Times New Roman" w:hAnsi="Times New Roman" w:eastAsia="宋体" w:cs="Times New Roman"/>
                <w:color w:val="auto"/>
                <w:sz w:val="24"/>
                <w:szCs w:val="24"/>
                <w:highlight w:val="none"/>
                <w:lang w:val="en-US" w:eastAsia="zh-CN"/>
              </w:rPr>
              <w:t>【多个冷库可累计计算体积，但自有冷库体积和租赁冷库体积需分别计算，不可叠加。如供应商同时具有自有或租赁的冷库，按①和②分别进行评审，将得分最高的一项作为供应商6.2项最终得分。如为自有冷库，需提供冷库照片、产权证及其他证明冷库体积大小的资料并加盖公章；如为租赁冷库，需提供冷库照片、租赁合同（如合同中无法体现冷库体积大小的，还需提供其他证明冷库体积大小的资料）加盖公章】</w:t>
            </w:r>
          </w:p>
        </w:tc>
        <w:tc>
          <w:tcPr>
            <w:tcW w:w="600" w:type="dxa"/>
            <w:noWrap w:val="0"/>
            <w:vAlign w:val="center"/>
          </w:tcPr>
          <w:p w14:paraId="540C1789">
            <w:pPr>
              <w:widowControl/>
              <w:adjustRightInd/>
              <w:spacing w:line="240" w:lineRule="auto"/>
              <w:jc w:val="center"/>
              <w:textAlignment w:val="auto"/>
              <w:rPr>
                <w:rFonts w:hint="eastAsia"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rPr>
              <w:t>5</w:t>
            </w:r>
          </w:p>
        </w:tc>
        <w:tc>
          <w:tcPr>
            <w:tcW w:w="692" w:type="dxa"/>
            <w:noWrap w:val="0"/>
            <w:vAlign w:val="center"/>
          </w:tcPr>
          <w:p w14:paraId="65EA40F7">
            <w:pPr>
              <w:widowControl/>
              <w:shd w:val="clear" w:color="auto" w:fill="auto"/>
              <w:adjustRightInd/>
              <w:spacing w:line="240" w:lineRule="auto"/>
              <w:jc w:val="center"/>
              <w:textAlignment w:val="auto"/>
              <w:rPr>
                <w:rFonts w:hint="eastAsia" w:ascii="宋体" w:hAnsi="宋体" w:eastAsia="宋体" w:cs="Times New Roman"/>
                <w:snapToGrid w:val="0"/>
                <w:color w:val="auto"/>
                <w:spacing w:val="-4"/>
                <w:kern w:val="2"/>
                <w:sz w:val="24"/>
                <w:szCs w:val="24"/>
                <w:highlight w:val="none"/>
                <w:lang w:val="en-US" w:eastAsia="zh-CN" w:bidi="ar-SA"/>
              </w:rPr>
            </w:pPr>
            <w:r>
              <w:rPr>
                <w:rFonts w:hint="eastAsia" w:ascii="宋体" w:hAnsi="宋体" w:eastAsia="宋体" w:cs="Times New Roman"/>
                <w:snapToGrid w:val="0"/>
                <w:color w:val="auto"/>
                <w:spacing w:val="-4"/>
                <w:kern w:val="2"/>
                <w:sz w:val="24"/>
                <w:szCs w:val="24"/>
                <w:highlight w:val="none"/>
                <w:lang w:val="en-US" w:eastAsia="zh-CN"/>
              </w:rPr>
              <w:t>客观评议</w:t>
            </w:r>
          </w:p>
        </w:tc>
      </w:tr>
      <w:tr w14:paraId="0BB511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8" w:hRule="atLeast"/>
        </w:trPr>
        <w:tc>
          <w:tcPr>
            <w:tcW w:w="859" w:type="dxa"/>
            <w:vMerge w:val="continue"/>
            <w:noWrap w:val="0"/>
            <w:vAlign w:val="center"/>
          </w:tcPr>
          <w:p w14:paraId="5D9ECE7F">
            <w:pPr>
              <w:keepNext w:val="0"/>
              <w:keepLines w:val="0"/>
              <w:pageBreakBefore w:val="0"/>
              <w:widowControl w:val="0"/>
              <w:kinsoku/>
              <w:wordWrap/>
              <w:overflowPunct/>
              <w:topLinePunct w:val="0"/>
              <w:autoSpaceDE/>
              <w:autoSpaceDN/>
              <w:bidi w:val="0"/>
              <w:adjustRightInd/>
              <w:snapToGrid/>
              <w:spacing w:line="24" w:lineRule="atLeast"/>
              <w:jc w:val="center"/>
              <w:textAlignment w:val="auto"/>
              <w:rPr>
                <w:rFonts w:ascii="Times New Roman" w:hAnsi="Times New Roman" w:eastAsia="宋体" w:cs="Times New Roman"/>
                <w:color w:val="auto"/>
                <w:sz w:val="24"/>
                <w:szCs w:val="24"/>
                <w:highlight w:val="none"/>
              </w:rPr>
            </w:pPr>
          </w:p>
        </w:tc>
        <w:tc>
          <w:tcPr>
            <w:tcW w:w="1100" w:type="dxa"/>
            <w:vMerge w:val="continue"/>
            <w:noWrap w:val="0"/>
            <w:vAlign w:val="center"/>
          </w:tcPr>
          <w:p w14:paraId="17EC46C4">
            <w:pPr>
              <w:keepNext w:val="0"/>
              <w:keepLines w:val="0"/>
              <w:pageBreakBefore w:val="0"/>
              <w:widowControl w:val="0"/>
              <w:kinsoku/>
              <w:wordWrap/>
              <w:overflowPunct/>
              <w:topLinePunct w:val="0"/>
              <w:autoSpaceDE/>
              <w:autoSpaceDN/>
              <w:bidi w:val="0"/>
              <w:adjustRightInd/>
              <w:snapToGrid/>
              <w:spacing w:line="24" w:lineRule="atLeast"/>
              <w:textAlignment w:val="auto"/>
              <w:rPr>
                <w:rFonts w:hint="eastAsia" w:ascii="Times New Roman" w:hAnsi="Times New Roman" w:eastAsia="宋体" w:cs="Times New Roman"/>
                <w:color w:val="auto"/>
                <w:sz w:val="24"/>
                <w:szCs w:val="24"/>
                <w:highlight w:val="none"/>
              </w:rPr>
            </w:pPr>
          </w:p>
        </w:tc>
        <w:tc>
          <w:tcPr>
            <w:tcW w:w="5147" w:type="dxa"/>
            <w:gridSpan w:val="2"/>
            <w:noWrap w:val="0"/>
            <w:vAlign w:val="center"/>
          </w:tcPr>
          <w:p w14:paraId="3CA6A6B8">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6.</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lang w:eastAsia="zh-CN"/>
              </w:rPr>
              <w:t>根据各供应商提供的自有</w:t>
            </w:r>
            <w:r>
              <w:rPr>
                <w:rFonts w:hint="eastAsia" w:ascii="宋体" w:hAnsi="宋体" w:eastAsia="宋体" w:cs="宋体"/>
                <w:color w:val="auto"/>
                <w:sz w:val="24"/>
                <w:szCs w:val="24"/>
                <w:highlight w:val="none"/>
                <w:lang w:val="en-US" w:eastAsia="zh-CN"/>
              </w:rPr>
              <w:t>或合作的农</w:t>
            </w:r>
            <w:r>
              <w:rPr>
                <w:rFonts w:hint="eastAsia" w:ascii="宋体" w:hAnsi="宋体" w:cs="宋体"/>
                <w:color w:val="auto"/>
                <w:sz w:val="24"/>
                <w:szCs w:val="24"/>
                <w:highlight w:val="none"/>
                <w:lang w:val="en-US" w:eastAsia="zh-CN"/>
              </w:rPr>
              <w:t>副</w:t>
            </w:r>
            <w:r>
              <w:rPr>
                <w:rFonts w:hint="eastAsia" w:ascii="宋体" w:hAnsi="宋体" w:eastAsia="宋体" w:cs="宋体"/>
                <w:color w:val="auto"/>
                <w:sz w:val="24"/>
                <w:szCs w:val="24"/>
                <w:highlight w:val="none"/>
                <w:lang w:val="en-US" w:eastAsia="zh-CN"/>
              </w:rPr>
              <w:t>产品生产、种养殖</w:t>
            </w:r>
            <w:r>
              <w:rPr>
                <w:rFonts w:hint="eastAsia" w:ascii="宋体" w:hAnsi="宋体" w:eastAsia="宋体" w:cs="宋体"/>
                <w:color w:val="auto"/>
                <w:sz w:val="24"/>
                <w:szCs w:val="24"/>
                <w:highlight w:val="none"/>
                <w:lang w:eastAsia="zh-CN"/>
              </w:rPr>
              <w:t>基地的情况进行评议：</w:t>
            </w:r>
          </w:p>
          <w:p w14:paraId="2E89BCF8">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①基地生产种植（养殖）种类多样，基地道路运输便捷的得4分；</w:t>
            </w:r>
          </w:p>
          <w:p w14:paraId="21B9250C">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②基地生产种植（养殖）种类基本能满足项目要求，基地道路运输便捷性略有欠缺的得2分；</w:t>
            </w:r>
          </w:p>
          <w:p w14:paraId="45AFFA08">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③基地生产种植（养殖）种类不能满足项目实际需求，基地道路运输不够便捷的得1分。</w:t>
            </w:r>
          </w:p>
          <w:p w14:paraId="2AB5D131">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④</w:t>
            </w:r>
            <w:r>
              <w:rPr>
                <w:rFonts w:hint="default" w:ascii="宋体" w:hAnsi="宋体" w:eastAsia="宋体" w:cs="宋体"/>
                <w:color w:val="auto"/>
                <w:sz w:val="24"/>
                <w:szCs w:val="24"/>
                <w:highlight w:val="none"/>
                <w:lang w:val="en-US" w:eastAsia="zh-CN"/>
              </w:rPr>
              <w:t>未提供相关内容的不得分。</w:t>
            </w:r>
          </w:p>
          <w:p w14:paraId="7117E18E">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（投标文件中</w:t>
            </w:r>
            <w:r>
              <w:rPr>
                <w:rFonts w:hint="eastAsia" w:ascii="宋体" w:hAnsi="宋体" w:eastAsia="宋体" w:cs="宋体"/>
                <w:color w:val="auto"/>
                <w:sz w:val="24"/>
                <w:szCs w:val="24"/>
                <w:highlight w:val="none"/>
                <w:lang w:val="en-US" w:eastAsia="zh-CN"/>
              </w:rPr>
              <w:t>需</w:t>
            </w:r>
            <w:r>
              <w:rPr>
                <w:rFonts w:hint="eastAsia" w:ascii="宋体" w:hAnsi="宋体" w:eastAsia="宋体" w:cs="宋体"/>
                <w:color w:val="auto"/>
                <w:sz w:val="24"/>
                <w:szCs w:val="24"/>
                <w:highlight w:val="none"/>
                <w:lang w:eastAsia="zh-CN"/>
              </w:rPr>
              <w:t>提供</w:t>
            </w:r>
            <w:r>
              <w:rPr>
                <w:rFonts w:hint="eastAsia" w:ascii="宋体" w:hAnsi="宋体" w:eastAsia="宋体" w:cs="宋体"/>
                <w:color w:val="auto"/>
                <w:sz w:val="24"/>
                <w:szCs w:val="24"/>
                <w:highlight w:val="none"/>
                <w:lang w:val="en-US" w:eastAsia="zh-CN"/>
              </w:rPr>
              <w:t>相关证明材料</w:t>
            </w:r>
            <w:r>
              <w:rPr>
                <w:rFonts w:hint="eastAsia" w:ascii="宋体" w:hAnsi="宋体" w:eastAsia="宋体" w:cs="宋体"/>
                <w:color w:val="auto"/>
                <w:sz w:val="24"/>
                <w:szCs w:val="24"/>
                <w:highlight w:val="none"/>
                <w:lang w:eastAsia="zh-CN"/>
              </w:rPr>
              <w:t>）</w:t>
            </w:r>
          </w:p>
        </w:tc>
        <w:tc>
          <w:tcPr>
            <w:tcW w:w="600" w:type="dxa"/>
            <w:noWrap w:val="0"/>
            <w:vAlign w:val="center"/>
          </w:tcPr>
          <w:p w14:paraId="4BA214B0">
            <w:pPr>
              <w:widowControl/>
              <w:adjustRightInd/>
              <w:spacing w:line="240" w:lineRule="auto"/>
              <w:jc w:val="center"/>
              <w:textAlignment w:val="auto"/>
              <w:rPr>
                <w:rFonts w:hint="eastAsia"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rPr>
              <w:t>4</w:t>
            </w:r>
          </w:p>
        </w:tc>
        <w:tc>
          <w:tcPr>
            <w:tcW w:w="692" w:type="dxa"/>
            <w:noWrap w:val="0"/>
            <w:vAlign w:val="center"/>
          </w:tcPr>
          <w:p w14:paraId="6A1D8DEF">
            <w:pPr>
              <w:widowControl/>
              <w:shd w:val="clear" w:color="auto" w:fill="auto"/>
              <w:adjustRightInd/>
              <w:spacing w:line="240" w:lineRule="auto"/>
              <w:jc w:val="center"/>
              <w:textAlignment w:val="auto"/>
              <w:rPr>
                <w:rFonts w:hint="eastAsia" w:ascii="宋体" w:hAnsi="宋体" w:eastAsia="宋体" w:cs="Times New Roman"/>
                <w:snapToGrid w:val="0"/>
                <w:color w:val="auto"/>
                <w:spacing w:val="-4"/>
                <w:kern w:val="2"/>
                <w:sz w:val="24"/>
                <w:szCs w:val="24"/>
                <w:highlight w:val="none"/>
                <w:lang w:val="en-US" w:eastAsia="zh-CN" w:bidi="ar-SA"/>
              </w:rPr>
            </w:pPr>
            <w:r>
              <w:rPr>
                <w:rFonts w:hint="eastAsia" w:ascii="宋体" w:hAnsi="宋体" w:eastAsia="宋体" w:cs="Times New Roman"/>
                <w:snapToGrid w:val="0"/>
                <w:color w:val="auto"/>
                <w:spacing w:val="-4"/>
                <w:kern w:val="2"/>
                <w:sz w:val="24"/>
                <w:szCs w:val="24"/>
                <w:highlight w:val="none"/>
                <w:lang w:val="en-US" w:eastAsia="zh-CN"/>
              </w:rPr>
              <w:t>主观评议</w:t>
            </w:r>
          </w:p>
        </w:tc>
      </w:tr>
      <w:tr w14:paraId="48F1CC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trPr>
        <w:tc>
          <w:tcPr>
            <w:tcW w:w="859" w:type="dxa"/>
            <w:vMerge w:val="continue"/>
            <w:noWrap w:val="0"/>
            <w:vAlign w:val="center"/>
          </w:tcPr>
          <w:p w14:paraId="6F8C41A3">
            <w:pPr>
              <w:keepNext w:val="0"/>
              <w:keepLines w:val="0"/>
              <w:pageBreakBefore w:val="0"/>
              <w:widowControl w:val="0"/>
              <w:kinsoku/>
              <w:wordWrap/>
              <w:overflowPunct/>
              <w:topLinePunct w:val="0"/>
              <w:autoSpaceDE/>
              <w:autoSpaceDN/>
              <w:bidi w:val="0"/>
              <w:adjustRightInd/>
              <w:snapToGrid/>
              <w:spacing w:line="24" w:lineRule="atLeast"/>
              <w:jc w:val="center"/>
              <w:textAlignment w:val="auto"/>
              <w:rPr>
                <w:rFonts w:ascii="Times New Roman" w:hAnsi="Times New Roman" w:eastAsia="宋体" w:cs="Times New Roman"/>
                <w:color w:val="auto"/>
                <w:sz w:val="24"/>
                <w:szCs w:val="24"/>
                <w:highlight w:val="none"/>
              </w:rPr>
            </w:pPr>
          </w:p>
        </w:tc>
        <w:tc>
          <w:tcPr>
            <w:tcW w:w="1100" w:type="dxa"/>
            <w:vMerge w:val="continue"/>
            <w:noWrap w:val="0"/>
            <w:vAlign w:val="center"/>
          </w:tcPr>
          <w:p w14:paraId="5A0A1C68">
            <w:pPr>
              <w:keepNext w:val="0"/>
              <w:keepLines w:val="0"/>
              <w:pageBreakBefore w:val="0"/>
              <w:widowControl w:val="0"/>
              <w:kinsoku/>
              <w:wordWrap/>
              <w:overflowPunct/>
              <w:topLinePunct w:val="0"/>
              <w:autoSpaceDE/>
              <w:autoSpaceDN/>
              <w:bidi w:val="0"/>
              <w:adjustRightInd/>
              <w:snapToGrid/>
              <w:spacing w:line="24" w:lineRule="atLeast"/>
              <w:textAlignment w:val="auto"/>
              <w:rPr>
                <w:rFonts w:hint="eastAsia" w:ascii="Times New Roman" w:hAnsi="Times New Roman" w:eastAsia="宋体" w:cs="Times New Roman"/>
                <w:color w:val="auto"/>
                <w:sz w:val="24"/>
                <w:szCs w:val="24"/>
                <w:highlight w:val="none"/>
              </w:rPr>
            </w:pPr>
          </w:p>
        </w:tc>
        <w:tc>
          <w:tcPr>
            <w:tcW w:w="5147" w:type="dxa"/>
            <w:gridSpan w:val="2"/>
            <w:noWrap w:val="0"/>
            <w:vAlign w:val="center"/>
          </w:tcPr>
          <w:p w14:paraId="0B9B7DBE">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6.4根据各供应商提供的服务响应内容、服务便捷性方案进行评议：</w:t>
            </w:r>
          </w:p>
          <w:p w14:paraId="29FF4824">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①服务响应内容全面，服务便捷性方案合理、可实施的得4分；</w:t>
            </w:r>
          </w:p>
          <w:p w14:paraId="5B623A80">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②服务响应内容较全面，服务便捷性方案略有欠缺但基本能满足项目要求的得2分；</w:t>
            </w:r>
          </w:p>
          <w:p w14:paraId="7562AF01">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③服务响应内容不全面，服务便捷性方案不能满足项目实际需求的得1分。</w:t>
            </w:r>
          </w:p>
          <w:p w14:paraId="1A903BC1">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④</w:t>
            </w:r>
            <w:r>
              <w:rPr>
                <w:rFonts w:hint="default" w:ascii="宋体" w:hAnsi="宋体" w:eastAsia="宋体" w:cs="宋体"/>
                <w:color w:val="auto"/>
                <w:sz w:val="24"/>
                <w:szCs w:val="24"/>
                <w:highlight w:val="none"/>
                <w:lang w:val="en-US" w:eastAsia="zh-CN"/>
              </w:rPr>
              <w:t>未提供相关内容的不得分。</w:t>
            </w:r>
          </w:p>
        </w:tc>
        <w:tc>
          <w:tcPr>
            <w:tcW w:w="600" w:type="dxa"/>
            <w:noWrap w:val="0"/>
            <w:vAlign w:val="center"/>
          </w:tcPr>
          <w:p w14:paraId="0E559BAD">
            <w:pPr>
              <w:widowControl/>
              <w:adjustRightInd/>
              <w:spacing w:line="240" w:lineRule="auto"/>
              <w:jc w:val="center"/>
              <w:textAlignment w:val="auto"/>
              <w:rPr>
                <w:rFonts w:hint="eastAsia"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rPr>
              <w:t>4</w:t>
            </w:r>
          </w:p>
        </w:tc>
        <w:tc>
          <w:tcPr>
            <w:tcW w:w="692" w:type="dxa"/>
            <w:noWrap w:val="0"/>
            <w:vAlign w:val="center"/>
          </w:tcPr>
          <w:p w14:paraId="5205E856">
            <w:pPr>
              <w:widowControl/>
              <w:shd w:val="clear" w:color="auto" w:fill="auto"/>
              <w:adjustRightInd/>
              <w:spacing w:line="240" w:lineRule="auto"/>
              <w:jc w:val="center"/>
              <w:textAlignment w:val="auto"/>
              <w:rPr>
                <w:rFonts w:hint="eastAsia" w:ascii="宋体" w:hAnsi="宋体" w:eastAsia="宋体" w:cs="Times New Roman"/>
                <w:snapToGrid w:val="0"/>
                <w:color w:val="auto"/>
                <w:spacing w:val="-4"/>
                <w:kern w:val="2"/>
                <w:sz w:val="24"/>
                <w:szCs w:val="24"/>
                <w:highlight w:val="none"/>
                <w:lang w:val="en-US" w:eastAsia="zh-CN" w:bidi="ar-SA"/>
              </w:rPr>
            </w:pPr>
            <w:r>
              <w:rPr>
                <w:rFonts w:hint="eastAsia" w:ascii="宋体" w:hAnsi="宋体" w:eastAsia="宋体" w:cs="Times New Roman"/>
                <w:snapToGrid w:val="0"/>
                <w:color w:val="auto"/>
                <w:spacing w:val="-4"/>
                <w:kern w:val="2"/>
                <w:sz w:val="24"/>
                <w:szCs w:val="24"/>
                <w:highlight w:val="none"/>
                <w:lang w:val="en-US" w:eastAsia="zh-CN"/>
              </w:rPr>
              <w:t>主观评议</w:t>
            </w:r>
          </w:p>
        </w:tc>
      </w:tr>
      <w:tr w14:paraId="7B29A5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97" w:hRule="atLeast"/>
        </w:trPr>
        <w:tc>
          <w:tcPr>
            <w:tcW w:w="859" w:type="dxa"/>
            <w:vMerge w:val="continue"/>
            <w:noWrap w:val="0"/>
            <w:vAlign w:val="center"/>
          </w:tcPr>
          <w:p w14:paraId="0D193F95">
            <w:pPr>
              <w:keepNext w:val="0"/>
              <w:keepLines w:val="0"/>
              <w:pageBreakBefore w:val="0"/>
              <w:widowControl w:val="0"/>
              <w:kinsoku/>
              <w:wordWrap/>
              <w:overflowPunct/>
              <w:topLinePunct w:val="0"/>
              <w:autoSpaceDE/>
              <w:autoSpaceDN/>
              <w:bidi w:val="0"/>
              <w:adjustRightInd/>
              <w:snapToGrid/>
              <w:spacing w:line="24" w:lineRule="atLeast"/>
              <w:jc w:val="center"/>
              <w:textAlignment w:val="auto"/>
              <w:rPr>
                <w:rFonts w:ascii="Times New Roman" w:hAnsi="Times New Roman" w:eastAsia="宋体" w:cs="Times New Roman"/>
                <w:color w:val="auto"/>
                <w:sz w:val="24"/>
                <w:szCs w:val="24"/>
                <w:highlight w:val="none"/>
              </w:rPr>
            </w:pPr>
          </w:p>
        </w:tc>
        <w:tc>
          <w:tcPr>
            <w:tcW w:w="1100" w:type="dxa"/>
            <w:vMerge w:val="restart"/>
            <w:noWrap w:val="0"/>
            <w:vAlign w:val="center"/>
          </w:tcPr>
          <w:p w14:paraId="6D4324B1">
            <w:pPr>
              <w:keepNext w:val="0"/>
              <w:keepLines w:val="0"/>
              <w:pageBreakBefore w:val="0"/>
              <w:widowControl w:val="0"/>
              <w:kinsoku/>
              <w:wordWrap/>
              <w:overflowPunct/>
              <w:topLinePunct w:val="0"/>
              <w:autoSpaceDE/>
              <w:autoSpaceDN/>
              <w:bidi w:val="0"/>
              <w:adjustRightInd/>
              <w:snapToGrid/>
              <w:spacing w:line="24" w:lineRule="atLeast"/>
              <w:textAlignment w:val="auto"/>
              <w:rPr>
                <w:rFonts w:hint="eastAsia" w:ascii="Times New Roman" w:hAnsi="Times New Roman" w:eastAsia="宋体" w:cs="Times New Roman"/>
                <w:color w:val="auto"/>
                <w:sz w:val="24"/>
                <w:szCs w:val="24"/>
                <w:highlight w:val="none"/>
              </w:rPr>
            </w:pPr>
            <w:r>
              <w:rPr>
                <w:rFonts w:hint="eastAsia" w:ascii="Times New Roman" w:hAnsi="Times New Roman" w:eastAsia="宋体" w:cs="Times New Roman"/>
                <w:color w:val="auto"/>
                <w:sz w:val="24"/>
                <w:szCs w:val="24"/>
                <w:highlight w:val="none"/>
              </w:rPr>
              <w:t>7、</w:t>
            </w:r>
            <w:r>
              <w:rPr>
                <w:rFonts w:ascii="Times New Roman" w:hAnsi="Times New Roman" w:eastAsia="宋体" w:cs="Times New Roman"/>
                <w:color w:val="auto"/>
                <w:sz w:val="24"/>
                <w:szCs w:val="24"/>
                <w:highlight w:val="none"/>
              </w:rPr>
              <w:t>售后服务保证承诺及质量问题处罚措施</w:t>
            </w:r>
            <w:r>
              <w:rPr>
                <w:rFonts w:hint="eastAsia" w:ascii="Times New Roman" w:hAnsi="Times New Roman" w:eastAsia="宋体" w:cs="Times New Roman"/>
                <w:color w:val="auto"/>
                <w:sz w:val="24"/>
                <w:szCs w:val="24"/>
                <w:highlight w:val="none"/>
              </w:rPr>
              <w:t>（</w:t>
            </w:r>
            <w:r>
              <w:rPr>
                <w:rFonts w:hint="eastAsia" w:ascii="Times New Roman" w:hAnsi="Times New Roman" w:eastAsia="宋体" w:cs="Times New Roman"/>
                <w:color w:val="auto"/>
                <w:sz w:val="24"/>
                <w:szCs w:val="24"/>
                <w:highlight w:val="none"/>
                <w:lang w:val="en-US" w:eastAsia="zh-CN"/>
              </w:rPr>
              <w:t>15</w:t>
            </w:r>
            <w:r>
              <w:rPr>
                <w:rFonts w:hint="eastAsia" w:ascii="Times New Roman" w:hAnsi="Times New Roman" w:eastAsia="宋体" w:cs="Times New Roman"/>
                <w:color w:val="auto"/>
                <w:sz w:val="24"/>
                <w:szCs w:val="24"/>
                <w:highlight w:val="none"/>
              </w:rPr>
              <w:t>分）</w:t>
            </w:r>
          </w:p>
        </w:tc>
        <w:tc>
          <w:tcPr>
            <w:tcW w:w="5147" w:type="dxa"/>
            <w:gridSpan w:val="2"/>
            <w:noWrap w:val="0"/>
            <w:vAlign w:val="center"/>
          </w:tcPr>
          <w:p w14:paraId="34FFE118">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7.1评委根据供应商提供的“食品安全责任险”进行评议（3分）：</w:t>
            </w:r>
          </w:p>
          <w:p w14:paraId="1C947E07">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1000万元≤保额，得3分；</w:t>
            </w:r>
          </w:p>
          <w:p w14:paraId="74C00CF6">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700万元≤保额＜1000万元，得2分；</w:t>
            </w:r>
          </w:p>
          <w:p w14:paraId="19FB0F0D">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400万元≤保额＜700万元，得1分；</w:t>
            </w:r>
          </w:p>
          <w:p w14:paraId="06B5410A">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保额＜400万元，得0分。</w:t>
            </w:r>
          </w:p>
          <w:p w14:paraId="6958CA34">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（投标文件中须提供保险单复印件加盖公章）</w:t>
            </w:r>
          </w:p>
        </w:tc>
        <w:tc>
          <w:tcPr>
            <w:tcW w:w="600" w:type="dxa"/>
            <w:noWrap w:val="0"/>
            <w:vAlign w:val="center"/>
          </w:tcPr>
          <w:p w14:paraId="30D7E1E1">
            <w:pPr>
              <w:widowControl/>
              <w:adjustRightInd/>
              <w:spacing w:line="240" w:lineRule="auto"/>
              <w:jc w:val="center"/>
              <w:textAlignment w:val="auto"/>
              <w:rPr>
                <w:rFonts w:hint="eastAsia"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rPr>
              <w:t>3</w:t>
            </w:r>
          </w:p>
        </w:tc>
        <w:tc>
          <w:tcPr>
            <w:tcW w:w="692" w:type="dxa"/>
            <w:noWrap w:val="0"/>
            <w:vAlign w:val="center"/>
          </w:tcPr>
          <w:p w14:paraId="3D3B66A6">
            <w:pPr>
              <w:widowControl/>
              <w:shd w:val="clear" w:color="auto" w:fill="auto"/>
              <w:adjustRightInd/>
              <w:spacing w:line="240" w:lineRule="auto"/>
              <w:jc w:val="center"/>
              <w:textAlignment w:val="auto"/>
              <w:rPr>
                <w:rFonts w:hint="eastAsia" w:ascii="宋体" w:hAnsi="宋体" w:eastAsia="宋体" w:cs="Times New Roman"/>
                <w:snapToGrid w:val="0"/>
                <w:color w:val="auto"/>
                <w:spacing w:val="-4"/>
                <w:kern w:val="2"/>
                <w:sz w:val="24"/>
                <w:szCs w:val="24"/>
                <w:highlight w:val="none"/>
                <w:lang w:val="en-US" w:eastAsia="zh-CN" w:bidi="ar-SA"/>
              </w:rPr>
            </w:pPr>
            <w:r>
              <w:rPr>
                <w:rFonts w:hint="eastAsia" w:ascii="宋体" w:hAnsi="宋体" w:eastAsia="宋体" w:cs="Times New Roman"/>
                <w:snapToGrid w:val="0"/>
                <w:color w:val="auto"/>
                <w:spacing w:val="-4"/>
                <w:kern w:val="2"/>
                <w:sz w:val="24"/>
                <w:szCs w:val="24"/>
                <w:highlight w:val="none"/>
                <w:lang w:val="en-US" w:eastAsia="zh-CN"/>
              </w:rPr>
              <w:t>客观评议</w:t>
            </w:r>
          </w:p>
        </w:tc>
      </w:tr>
      <w:tr w14:paraId="7B922B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9" w:hRule="atLeast"/>
        </w:trPr>
        <w:tc>
          <w:tcPr>
            <w:tcW w:w="859" w:type="dxa"/>
            <w:vMerge w:val="continue"/>
            <w:noWrap w:val="0"/>
            <w:vAlign w:val="center"/>
          </w:tcPr>
          <w:p w14:paraId="1E7DDA34">
            <w:pPr>
              <w:keepNext w:val="0"/>
              <w:keepLines w:val="0"/>
              <w:pageBreakBefore w:val="0"/>
              <w:widowControl w:val="0"/>
              <w:kinsoku/>
              <w:wordWrap/>
              <w:overflowPunct/>
              <w:topLinePunct w:val="0"/>
              <w:autoSpaceDE/>
              <w:autoSpaceDN/>
              <w:bidi w:val="0"/>
              <w:adjustRightInd/>
              <w:snapToGrid/>
              <w:spacing w:line="24" w:lineRule="atLeast"/>
              <w:jc w:val="center"/>
              <w:textAlignment w:val="auto"/>
              <w:rPr>
                <w:rFonts w:ascii="Times New Roman" w:hAnsi="Times New Roman" w:eastAsia="宋体" w:cs="Times New Roman"/>
                <w:color w:val="auto"/>
                <w:sz w:val="24"/>
                <w:szCs w:val="24"/>
                <w:highlight w:val="none"/>
              </w:rPr>
            </w:pPr>
          </w:p>
        </w:tc>
        <w:tc>
          <w:tcPr>
            <w:tcW w:w="1100" w:type="dxa"/>
            <w:vMerge w:val="continue"/>
            <w:noWrap w:val="0"/>
            <w:vAlign w:val="center"/>
          </w:tcPr>
          <w:p w14:paraId="1C238D4A">
            <w:pPr>
              <w:keepNext w:val="0"/>
              <w:keepLines w:val="0"/>
              <w:pageBreakBefore w:val="0"/>
              <w:widowControl w:val="0"/>
              <w:kinsoku/>
              <w:wordWrap/>
              <w:overflowPunct/>
              <w:topLinePunct w:val="0"/>
              <w:autoSpaceDE/>
              <w:autoSpaceDN/>
              <w:bidi w:val="0"/>
              <w:adjustRightInd/>
              <w:snapToGrid/>
              <w:spacing w:line="24" w:lineRule="atLeast"/>
              <w:textAlignment w:val="auto"/>
              <w:rPr>
                <w:rFonts w:ascii="Times New Roman" w:hAnsi="Times New Roman" w:eastAsia="宋体" w:cs="Times New Roman"/>
                <w:color w:val="auto"/>
                <w:sz w:val="24"/>
                <w:szCs w:val="24"/>
                <w:highlight w:val="none"/>
              </w:rPr>
            </w:pPr>
          </w:p>
        </w:tc>
        <w:tc>
          <w:tcPr>
            <w:tcW w:w="1509" w:type="dxa"/>
            <w:vMerge w:val="restart"/>
            <w:noWrap w:val="0"/>
            <w:vAlign w:val="center"/>
          </w:tcPr>
          <w:p w14:paraId="74DAA24E">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7.2食品保障方案（8分）</w:t>
            </w:r>
          </w:p>
        </w:tc>
        <w:tc>
          <w:tcPr>
            <w:tcW w:w="3638" w:type="dxa"/>
            <w:noWrap w:val="0"/>
            <w:vAlign w:val="center"/>
          </w:tcPr>
          <w:p w14:paraId="5C110294">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7.2.1根据供应商提供的食品送达时间保证方案、食品数量保证方案进行评议：</w:t>
            </w:r>
          </w:p>
          <w:p w14:paraId="7AFD7416">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①方案内容完全结合项目实际情况，便于实施，且对食品送达时间、数量保障有针对性措施的得</w:t>
            </w: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lang w:val="en-US" w:eastAsia="zh-CN"/>
              </w:rPr>
              <w:t>分；</w:t>
            </w:r>
          </w:p>
          <w:p w14:paraId="33D7226F">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②方案内容基本符合项目的要求，但存在一定缺陷有待改进的得</w:t>
            </w:r>
            <w:r>
              <w:rPr>
                <w:rFonts w:hint="eastAsia" w:ascii="宋体" w:hAnsi="宋体" w:cs="宋体"/>
                <w:color w:val="auto"/>
                <w:sz w:val="24"/>
                <w:szCs w:val="24"/>
                <w:highlight w:val="none"/>
                <w:lang w:val="en-US" w:eastAsia="zh-CN"/>
              </w:rPr>
              <w:t>2</w:t>
            </w:r>
            <w:r>
              <w:rPr>
                <w:rFonts w:hint="eastAsia" w:ascii="宋体" w:hAnsi="宋体" w:eastAsia="宋体" w:cs="宋体"/>
                <w:color w:val="auto"/>
                <w:sz w:val="24"/>
                <w:szCs w:val="24"/>
                <w:highlight w:val="none"/>
                <w:lang w:val="en-US" w:eastAsia="zh-CN"/>
              </w:rPr>
              <w:t>分；</w:t>
            </w:r>
          </w:p>
          <w:p w14:paraId="0B6C4C57">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③方案内容不完整，内容不充分，与本项目实际需求有差距的得1分；</w:t>
            </w:r>
          </w:p>
          <w:p w14:paraId="2DB90F13">
            <w:pPr>
              <w:keepNext w:val="0"/>
              <w:keepLines w:val="0"/>
              <w:pageBreakBefore w:val="0"/>
              <w:suppressLineNumbers w:val="0"/>
              <w:kinsoku/>
              <w:wordWrap/>
              <w:overflowPunct/>
              <w:topLinePunct w:val="0"/>
              <w:bidi w:val="0"/>
              <w:snapToGrid/>
              <w:spacing w:before="0" w:beforeAutospacing="0" w:after="0" w:afterAutospacing="0" w:line="240" w:lineRule="auto"/>
              <w:ind w:left="0" w:leftChars="0" w:right="0" w:rightChars="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④未提供相关内容的不得分。</w:t>
            </w:r>
          </w:p>
        </w:tc>
        <w:tc>
          <w:tcPr>
            <w:tcW w:w="600" w:type="dxa"/>
            <w:noWrap w:val="0"/>
            <w:vAlign w:val="center"/>
          </w:tcPr>
          <w:p w14:paraId="299BD36E">
            <w:pPr>
              <w:widowControl/>
              <w:shd w:val="clear"/>
              <w:adjustRightInd/>
              <w:spacing w:line="240" w:lineRule="auto"/>
              <w:jc w:val="center"/>
              <w:textAlignment w:val="auto"/>
              <w:rPr>
                <w:rFonts w:hint="eastAsia" w:ascii="Times New Roman" w:hAnsi="Times New Roman" w:eastAsia="宋体" w:cs="Times New Roman"/>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rPr>
              <w:t>4</w:t>
            </w:r>
          </w:p>
        </w:tc>
        <w:tc>
          <w:tcPr>
            <w:tcW w:w="692" w:type="dxa"/>
            <w:noWrap w:val="0"/>
            <w:vAlign w:val="center"/>
          </w:tcPr>
          <w:p w14:paraId="2DD55476">
            <w:pPr>
              <w:widowControl/>
              <w:shd w:val="clear" w:color="auto"/>
              <w:adjustRightInd/>
              <w:spacing w:line="240" w:lineRule="auto"/>
              <w:jc w:val="center"/>
              <w:textAlignment w:val="auto"/>
              <w:rPr>
                <w:rFonts w:hint="eastAsia" w:ascii="Times New Roman" w:hAnsi="Times New Roman" w:eastAsia="宋体" w:cs="Times New Roman"/>
                <w:color w:val="auto"/>
                <w:kern w:val="2"/>
                <w:sz w:val="24"/>
                <w:szCs w:val="24"/>
                <w:highlight w:val="none"/>
                <w:lang w:val="en-US" w:eastAsia="zh-CN" w:bidi="ar-SA"/>
              </w:rPr>
            </w:pPr>
            <w:r>
              <w:rPr>
                <w:rFonts w:hint="eastAsia" w:ascii="宋体" w:hAnsi="宋体" w:eastAsia="宋体" w:cs="宋体"/>
                <w:snapToGrid w:val="0"/>
                <w:color w:val="auto"/>
                <w:spacing w:val="-4"/>
                <w:kern w:val="2"/>
                <w:sz w:val="24"/>
                <w:szCs w:val="24"/>
                <w:highlight w:val="none"/>
                <w:lang w:val="en-US" w:eastAsia="zh-CN"/>
              </w:rPr>
              <w:t>主观评议</w:t>
            </w:r>
          </w:p>
        </w:tc>
      </w:tr>
      <w:tr w14:paraId="1E626F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9" w:hRule="atLeast"/>
        </w:trPr>
        <w:tc>
          <w:tcPr>
            <w:tcW w:w="859" w:type="dxa"/>
            <w:vMerge w:val="continue"/>
            <w:noWrap w:val="0"/>
            <w:vAlign w:val="center"/>
          </w:tcPr>
          <w:p w14:paraId="502BCE95">
            <w:pPr>
              <w:keepNext w:val="0"/>
              <w:keepLines w:val="0"/>
              <w:pageBreakBefore w:val="0"/>
              <w:widowControl w:val="0"/>
              <w:kinsoku/>
              <w:wordWrap/>
              <w:overflowPunct/>
              <w:topLinePunct w:val="0"/>
              <w:autoSpaceDE/>
              <w:autoSpaceDN/>
              <w:bidi w:val="0"/>
              <w:adjustRightInd/>
              <w:snapToGrid/>
              <w:spacing w:line="24" w:lineRule="atLeast"/>
              <w:jc w:val="center"/>
              <w:textAlignment w:val="auto"/>
              <w:rPr>
                <w:rFonts w:ascii="Times New Roman" w:hAnsi="Times New Roman" w:eastAsia="宋体" w:cs="Times New Roman"/>
                <w:color w:val="auto"/>
                <w:sz w:val="24"/>
                <w:szCs w:val="24"/>
                <w:highlight w:val="none"/>
              </w:rPr>
            </w:pPr>
          </w:p>
        </w:tc>
        <w:tc>
          <w:tcPr>
            <w:tcW w:w="1100" w:type="dxa"/>
            <w:vMerge w:val="continue"/>
            <w:noWrap w:val="0"/>
            <w:vAlign w:val="center"/>
          </w:tcPr>
          <w:p w14:paraId="637A85AC">
            <w:pPr>
              <w:keepNext w:val="0"/>
              <w:keepLines w:val="0"/>
              <w:pageBreakBefore w:val="0"/>
              <w:widowControl w:val="0"/>
              <w:kinsoku/>
              <w:wordWrap/>
              <w:overflowPunct/>
              <w:topLinePunct w:val="0"/>
              <w:autoSpaceDE/>
              <w:autoSpaceDN/>
              <w:bidi w:val="0"/>
              <w:adjustRightInd/>
              <w:snapToGrid/>
              <w:spacing w:line="24" w:lineRule="atLeast"/>
              <w:textAlignment w:val="auto"/>
              <w:rPr>
                <w:rFonts w:ascii="Times New Roman" w:hAnsi="Times New Roman" w:eastAsia="宋体" w:cs="Times New Roman"/>
                <w:color w:val="auto"/>
                <w:sz w:val="24"/>
                <w:szCs w:val="24"/>
                <w:highlight w:val="none"/>
              </w:rPr>
            </w:pPr>
          </w:p>
        </w:tc>
        <w:tc>
          <w:tcPr>
            <w:tcW w:w="1509" w:type="dxa"/>
            <w:vMerge w:val="continue"/>
            <w:noWrap w:val="0"/>
            <w:vAlign w:val="center"/>
          </w:tcPr>
          <w:p w14:paraId="2C608AEE">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auto"/>
                <w:sz w:val="24"/>
                <w:szCs w:val="24"/>
                <w:highlight w:val="none"/>
                <w:lang w:val="en-US" w:eastAsia="zh-CN"/>
              </w:rPr>
            </w:pPr>
          </w:p>
        </w:tc>
        <w:tc>
          <w:tcPr>
            <w:tcW w:w="3638" w:type="dxa"/>
            <w:noWrap w:val="0"/>
            <w:vAlign w:val="center"/>
          </w:tcPr>
          <w:p w14:paraId="1953DA96">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7.2.2根据供应商提供的食品安全保证方案、原材料供应体系进行评议：</w:t>
            </w:r>
          </w:p>
          <w:p w14:paraId="485E3EF9">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①方案内容完全结合项目实际情况，有利于方案实施，对食品安全保障和原材料供应有针对性措施的得</w:t>
            </w: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lang w:val="en-US" w:eastAsia="zh-CN"/>
              </w:rPr>
              <w:t>分；</w:t>
            </w:r>
          </w:p>
          <w:p w14:paraId="0301B1C2">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②方案内容基本符合项目的要求，但存在一定缺陷有待改进的得</w:t>
            </w:r>
            <w:r>
              <w:rPr>
                <w:rFonts w:hint="eastAsia" w:ascii="宋体" w:hAnsi="宋体" w:cs="宋体"/>
                <w:color w:val="auto"/>
                <w:sz w:val="24"/>
                <w:szCs w:val="24"/>
                <w:highlight w:val="none"/>
                <w:lang w:val="en-US" w:eastAsia="zh-CN"/>
              </w:rPr>
              <w:t>2</w:t>
            </w:r>
            <w:r>
              <w:rPr>
                <w:rFonts w:hint="eastAsia" w:ascii="宋体" w:hAnsi="宋体" w:eastAsia="宋体" w:cs="宋体"/>
                <w:color w:val="auto"/>
                <w:sz w:val="24"/>
                <w:szCs w:val="24"/>
                <w:highlight w:val="none"/>
                <w:lang w:val="en-US" w:eastAsia="zh-CN"/>
              </w:rPr>
              <w:t>分；</w:t>
            </w:r>
          </w:p>
          <w:p w14:paraId="38595662">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③方案内容不完整，内容不充分，与本项目实际需求有差距的得1分；</w:t>
            </w:r>
          </w:p>
          <w:p w14:paraId="6E185FBE">
            <w:pPr>
              <w:keepNext w:val="0"/>
              <w:keepLines w:val="0"/>
              <w:pageBreakBefore w:val="0"/>
              <w:suppressLineNumbers w:val="0"/>
              <w:kinsoku/>
              <w:wordWrap/>
              <w:overflowPunct/>
              <w:topLinePunct w:val="0"/>
              <w:bidi w:val="0"/>
              <w:snapToGrid/>
              <w:spacing w:before="0" w:beforeAutospacing="0" w:after="0" w:afterAutospacing="0" w:line="240" w:lineRule="auto"/>
              <w:ind w:left="0" w:leftChars="0" w:right="0" w:rightChars="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④未提供相关内容的不得分。</w:t>
            </w:r>
          </w:p>
        </w:tc>
        <w:tc>
          <w:tcPr>
            <w:tcW w:w="600" w:type="dxa"/>
            <w:noWrap w:val="0"/>
            <w:vAlign w:val="center"/>
          </w:tcPr>
          <w:p w14:paraId="53F3BE01">
            <w:pPr>
              <w:widowControl/>
              <w:shd w:val="clear"/>
              <w:adjustRightInd/>
              <w:spacing w:line="240" w:lineRule="auto"/>
              <w:jc w:val="center"/>
              <w:textAlignment w:val="auto"/>
              <w:rPr>
                <w:rFonts w:hint="eastAsia" w:ascii="Times New Roman" w:hAnsi="Times New Roman" w:eastAsia="宋体" w:cs="Times New Roman"/>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rPr>
              <w:t>4</w:t>
            </w:r>
          </w:p>
        </w:tc>
        <w:tc>
          <w:tcPr>
            <w:tcW w:w="692" w:type="dxa"/>
            <w:noWrap w:val="0"/>
            <w:vAlign w:val="center"/>
          </w:tcPr>
          <w:p w14:paraId="3259DCEF">
            <w:pPr>
              <w:widowControl/>
              <w:shd w:val="clear" w:color="auto"/>
              <w:adjustRightInd/>
              <w:spacing w:line="240" w:lineRule="auto"/>
              <w:jc w:val="center"/>
              <w:textAlignment w:val="auto"/>
              <w:rPr>
                <w:rFonts w:hint="eastAsia" w:ascii="Times New Roman" w:hAnsi="Times New Roman" w:eastAsia="宋体" w:cs="Times New Roman"/>
                <w:color w:val="auto"/>
                <w:kern w:val="2"/>
                <w:sz w:val="24"/>
                <w:szCs w:val="24"/>
                <w:highlight w:val="none"/>
                <w:lang w:val="en-US" w:eastAsia="zh-CN" w:bidi="ar-SA"/>
              </w:rPr>
            </w:pPr>
            <w:r>
              <w:rPr>
                <w:rFonts w:hint="eastAsia" w:ascii="宋体" w:hAnsi="宋体" w:eastAsia="宋体" w:cs="宋体"/>
                <w:snapToGrid w:val="0"/>
                <w:color w:val="auto"/>
                <w:spacing w:val="-4"/>
                <w:kern w:val="2"/>
                <w:sz w:val="24"/>
                <w:szCs w:val="24"/>
                <w:highlight w:val="none"/>
                <w:lang w:val="en-US" w:eastAsia="zh-CN"/>
              </w:rPr>
              <w:t>主观评议</w:t>
            </w:r>
          </w:p>
        </w:tc>
      </w:tr>
      <w:tr w14:paraId="2BB454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9" w:hRule="atLeast"/>
        </w:trPr>
        <w:tc>
          <w:tcPr>
            <w:tcW w:w="859" w:type="dxa"/>
            <w:vMerge w:val="continue"/>
            <w:noWrap w:val="0"/>
            <w:vAlign w:val="center"/>
          </w:tcPr>
          <w:p w14:paraId="00C278CD">
            <w:pPr>
              <w:keepNext w:val="0"/>
              <w:keepLines w:val="0"/>
              <w:pageBreakBefore w:val="0"/>
              <w:widowControl w:val="0"/>
              <w:kinsoku/>
              <w:wordWrap/>
              <w:overflowPunct/>
              <w:topLinePunct w:val="0"/>
              <w:autoSpaceDE/>
              <w:autoSpaceDN/>
              <w:bidi w:val="0"/>
              <w:adjustRightInd/>
              <w:snapToGrid/>
              <w:spacing w:line="24" w:lineRule="atLeast"/>
              <w:jc w:val="center"/>
              <w:textAlignment w:val="auto"/>
              <w:rPr>
                <w:rFonts w:ascii="Times New Roman" w:hAnsi="Times New Roman" w:eastAsia="宋体" w:cs="Times New Roman"/>
                <w:color w:val="auto"/>
                <w:sz w:val="24"/>
                <w:szCs w:val="24"/>
                <w:highlight w:val="none"/>
              </w:rPr>
            </w:pPr>
          </w:p>
        </w:tc>
        <w:tc>
          <w:tcPr>
            <w:tcW w:w="1100" w:type="dxa"/>
            <w:vMerge w:val="continue"/>
            <w:noWrap w:val="0"/>
            <w:vAlign w:val="center"/>
          </w:tcPr>
          <w:p w14:paraId="421350D6">
            <w:pPr>
              <w:keepNext w:val="0"/>
              <w:keepLines w:val="0"/>
              <w:pageBreakBefore w:val="0"/>
              <w:widowControl w:val="0"/>
              <w:kinsoku/>
              <w:wordWrap/>
              <w:overflowPunct/>
              <w:topLinePunct w:val="0"/>
              <w:autoSpaceDE/>
              <w:autoSpaceDN/>
              <w:bidi w:val="0"/>
              <w:adjustRightInd/>
              <w:snapToGrid/>
              <w:spacing w:line="24" w:lineRule="atLeast"/>
              <w:textAlignment w:val="auto"/>
              <w:rPr>
                <w:rFonts w:ascii="Times New Roman" w:hAnsi="Times New Roman" w:eastAsia="宋体" w:cs="Times New Roman"/>
                <w:color w:val="auto"/>
                <w:sz w:val="24"/>
                <w:szCs w:val="24"/>
                <w:highlight w:val="none"/>
              </w:rPr>
            </w:pPr>
          </w:p>
        </w:tc>
        <w:tc>
          <w:tcPr>
            <w:tcW w:w="5147" w:type="dxa"/>
            <w:gridSpan w:val="2"/>
            <w:noWrap w:val="0"/>
            <w:vAlign w:val="center"/>
          </w:tcPr>
          <w:p w14:paraId="299AF2C7">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7.3评委根据供应商提供的质量问题处罚与改进措施进行评议：</w:t>
            </w:r>
          </w:p>
          <w:p w14:paraId="7B7201D2">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①方案内容完全结合项目实际情况，处罚制度合理、改进措施完善的得</w:t>
            </w: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lang w:val="en-US" w:eastAsia="zh-CN"/>
              </w:rPr>
              <w:t>分；</w:t>
            </w:r>
          </w:p>
          <w:p w14:paraId="6C958915">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②方案内容基本符合项目的要求，但处罚制度或改进措施存在一定缺陷有待改进的得</w:t>
            </w:r>
            <w:r>
              <w:rPr>
                <w:rFonts w:hint="eastAsia" w:ascii="宋体" w:hAnsi="宋体" w:cs="宋体"/>
                <w:color w:val="auto"/>
                <w:sz w:val="24"/>
                <w:szCs w:val="24"/>
                <w:highlight w:val="none"/>
                <w:lang w:val="en-US" w:eastAsia="zh-CN"/>
              </w:rPr>
              <w:t>2</w:t>
            </w:r>
            <w:r>
              <w:rPr>
                <w:rFonts w:hint="eastAsia" w:ascii="宋体" w:hAnsi="宋体" w:eastAsia="宋体" w:cs="宋体"/>
                <w:color w:val="auto"/>
                <w:sz w:val="24"/>
                <w:szCs w:val="24"/>
                <w:highlight w:val="none"/>
                <w:lang w:val="en-US" w:eastAsia="zh-CN"/>
              </w:rPr>
              <w:t>分；</w:t>
            </w:r>
          </w:p>
          <w:p w14:paraId="78269934">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③措施内容不完整，不充分，与本项目实际需求有差距的得1分；</w:t>
            </w:r>
          </w:p>
          <w:p w14:paraId="6ED9DCF9">
            <w:pPr>
              <w:keepNext w:val="0"/>
              <w:keepLines w:val="0"/>
              <w:pageBreakBefore w:val="0"/>
              <w:widowControl w:val="0"/>
              <w:shd w:val="clear"/>
              <w:kinsoku/>
              <w:wordWrap/>
              <w:overflowPunct/>
              <w:topLinePunct w:val="0"/>
              <w:autoSpaceDE/>
              <w:autoSpaceDN/>
              <w:bidi w:val="0"/>
              <w:adjustRightInd/>
              <w:snapToGrid/>
              <w:spacing w:line="24" w:lineRule="atLeas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④未提供相关内容的不得分。</w:t>
            </w:r>
          </w:p>
        </w:tc>
        <w:tc>
          <w:tcPr>
            <w:tcW w:w="600" w:type="dxa"/>
            <w:noWrap w:val="0"/>
            <w:vAlign w:val="center"/>
          </w:tcPr>
          <w:p w14:paraId="685ACCB3">
            <w:pPr>
              <w:widowControl/>
              <w:adjustRightInd/>
              <w:spacing w:line="240" w:lineRule="auto"/>
              <w:jc w:val="center"/>
              <w:textAlignment w:val="auto"/>
              <w:rPr>
                <w:rFonts w:hint="eastAsia" w:ascii="Times New Roman" w:hAnsi="Times New Roman"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rPr>
              <w:t>4</w:t>
            </w:r>
          </w:p>
        </w:tc>
        <w:tc>
          <w:tcPr>
            <w:tcW w:w="692" w:type="dxa"/>
            <w:noWrap w:val="0"/>
            <w:vAlign w:val="center"/>
          </w:tcPr>
          <w:p w14:paraId="7C10E534">
            <w:pPr>
              <w:widowControl/>
              <w:shd w:val="clear" w:color="auto" w:fill="auto"/>
              <w:adjustRightInd/>
              <w:spacing w:line="240" w:lineRule="auto"/>
              <w:jc w:val="center"/>
              <w:textAlignment w:val="auto"/>
              <w:rPr>
                <w:rFonts w:hint="eastAsia" w:ascii="Times New Roman" w:hAnsi="Times New Roman" w:eastAsia="宋体" w:cs="Times New Roman"/>
                <w:color w:val="auto"/>
                <w:kern w:val="2"/>
                <w:sz w:val="24"/>
                <w:szCs w:val="24"/>
                <w:highlight w:val="none"/>
                <w:lang w:val="en-US" w:eastAsia="zh-CN" w:bidi="ar-SA"/>
              </w:rPr>
            </w:pPr>
            <w:r>
              <w:rPr>
                <w:rFonts w:hint="eastAsia" w:ascii="宋体" w:hAnsi="宋体" w:eastAsia="宋体" w:cs="Times New Roman"/>
                <w:snapToGrid w:val="0"/>
                <w:color w:val="auto"/>
                <w:spacing w:val="-4"/>
                <w:kern w:val="2"/>
                <w:sz w:val="24"/>
                <w:szCs w:val="24"/>
                <w:highlight w:val="none"/>
                <w:lang w:val="en-US" w:eastAsia="zh-CN"/>
              </w:rPr>
              <w:t>主观评议</w:t>
            </w:r>
          </w:p>
        </w:tc>
      </w:tr>
      <w:tr w14:paraId="709DBA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trPr>
        <w:tc>
          <w:tcPr>
            <w:tcW w:w="859" w:type="dxa"/>
            <w:vMerge w:val="continue"/>
            <w:noWrap w:val="0"/>
            <w:vAlign w:val="center"/>
          </w:tcPr>
          <w:p w14:paraId="32791B8C">
            <w:pPr>
              <w:keepNext w:val="0"/>
              <w:keepLines w:val="0"/>
              <w:pageBreakBefore w:val="0"/>
              <w:widowControl w:val="0"/>
              <w:kinsoku/>
              <w:wordWrap/>
              <w:overflowPunct/>
              <w:topLinePunct w:val="0"/>
              <w:autoSpaceDE/>
              <w:autoSpaceDN/>
              <w:bidi w:val="0"/>
              <w:adjustRightInd/>
              <w:snapToGrid/>
              <w:spacing w:line="24" w:lineRule="atLeast"/>
              <w:jc w:val="center"/>
              <w:textAlignment w:val="auto"/>
              <w:rPr>
                <w:rFonts w:ascii="Times New Roman" w:hAnsi="Times New Roman" w:eastAsia="宋体" w:cs="Times New Roman"/>
                <w:color w:val="auto"/>
                <w:sz w:val="24"/>
                <w:szCs w:val="24"/>
                <w:highlight w:val="none"/>
              </w:rPr>
            </w:pPr>
          </w:p>
        </w:tc>
        <w:tc>
          <w:tcPr>
            <w:tcW w:w="1100" w:type="dxa"/>
            <w:vMerge w:val="restart"/>
            <w:noWrap w:val="0"/>
            <w:vAlign w:val="center"/>
          </w:tcPr>
          <w:p w14:paraId="6943E597">
            <w:pPr>
              <w:keepNext w:val="0"/>
              <w:keepLines w:val="0"/>
              <w:pageBreakBefore w:val="0"/>
              <w:widowControl w:val="0"/>
              <w:kinsoku/>
              <w:wordWrap/>
              <w:overflowPunct/>
              <w:topLinePunct w:val="0"/>
              <w:autoSpaceDE/>
              <w:autoSpaceDN/>
              <w:bidi w:val="0"/>
              <w:adjustRightInd/>
              <w:snapToGrid/>
              <w:spacing w:line="24" w:lineRule="atLeast"/>
              <w:jc w:val="center"/>
              <w:textAlignment w:val="auto"/>
              <w:rPr>
                <w:rFonts w:ascii="Times New Roman" w:hAnsi="Times New Roman" w:eastAsia="宋体" w:cs="Times New Roman"/>
                <w:color w:val="auto"/>
                <w:sz w:val="24"/>
                <w:szCs w:val="24"/>
                <w:highlight w:val="none"/>
              </w:rPr>
            </w:pPr>
            <w:r>
              <w:rPr>
                <w:rFonts w:hint="eastAsia" w:ascii="Times New Roman" w:hAnsi="Times New Roman" w:eastAsia="宋体" w:cs="Times New Roman"/>
                <w:color w:val="auto"/>
                <w:sz w:val="24"/>
                <w:szCs w:val="24"/>
                <w:highlight w:val="none"/>
              </w:rPr>
              <w:t>8、</w:t>
            </w:r>
            <w:r>
              <w:rPr>
                <w:rFonts w:hint="eastAsia" w:ascii="Times New Roman" w:hAnsi="Times New Roman" w:eastAsia="宋体" w:cs="Times New Roman"/>
                <w:color w:val="auto"/>
                <w:sz w:val="24"/>
                <w:szCs w:val="24"/>
                <w:highlight w:val="none"/>
                <w:lang w:eastAsia="zh-CN"/>
              </w:rPr>
              <w:t>规章制度</w:t>
            </w:r>
            <w:r>
              <w:rPr>
                <w:rFonts w:hint="eastAsia" w:ascii="Times New Roman" w:hAnsi="Times New Roman" w:eastAsia="宋体" w:cs="Times New Roman"/>
                <w:color w:val="auto"/>
                <w:sz w:val="24"/>
                <w:szCs w:val="24"/>
                <w:highlight w:val="none"/>
              </w:rPr>
              <w:t>（</w:t>
            </w:r>
            <w:r>
              <w:rPr>
                <w:rFonts w:hint="eastAsia" w:ascii="Times New Roman" w:hAnsi="Times New Roman" w:eastAsia="宋体" w:cs="Times New Roman"/>
                <w:color w:val="auto"/>
                <w:sz w:val="24"/>
                <w:szCs w:val="24"/>
                <w:highlight w:val="none"/>
                <w:lang w:val="en-US" w:eastAsia="zh-CN"/>
              </w:rPr>
              <w:t>10</w:t>
            </w:r>
            <w:r>
              <w:rPr>
                <w:rFonts w:hint="eastAsia" w:ascii="Times New Roman" w:hAnsi="Times New Roman" w:eastAsia="宋体" w:cs="Times New Roman"/>
                <w:color w:val="auto"/>
                <w:sz w:val="24"/>
                <w:szCs w:val="24"/>
                <w:highlight w:val="none"/>
              </w:rPr>
              <w:t>分）</w:t>
            </w:r>
          </w:p>
        </w:tc>
        <w:tc>
          <w:tcPr>
            <w:tcW w:w="5147" w:type="dxa"/>
            <w:gridSpan w:val="2"/>
            <w:noWrap w:val="0"/>
            <w:vAlign w:val="center"/>
          </w:tcPr>
          <w:p w14:paraId="36E5218B">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8.1评委根据供应商为本项目提供的安全防范管理制度、卫生保障制度、文明服务制度进行评议：</w:t>
            </w:r>
          </w:p>
          <w:p w14:paraId="2746E67B">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①安全防范管理制度科学、卫生保障制度规范、文明服务制度健全，可以有效实施的</w:t>
            </w:r>
            <w:r>
              <w:rPr>
                <w:rFonts w:hint="default" w:ascii="宋体" w:hAnsi="宋体" w:eastAsia="宋体" w:cs="宋体"/>
                <w:color w:val="auto"/>
                <w:sz w:val="24"/>
                <w:szCs w:val="24"/>
                <w:highlight w:val="none"/>
                <w:lang w:val="en-US" w:eastAsia="zh-CN"/>
              </w:rPr>
              <w:t>得</w:t>
            </w:r>
            <w:r>
              <w:rPr>
                <w:rFonts w:hint="eastAsia" w:ascii="宋体" w:hAnsi="宋体" w:eastAsia="宋体" w:cs="宋体"/>
                <w:color w:val="auto"/>
                <w:sz w:val="24"/>
                <w:szCs w:val="24"/>
                <w:highlight w:val="none"/>
                <w:lang w:val="en-US" w:eastAsia="zh-CN"/>
              </w:rPr>
              <w:t>5</w:t>
            </w:r>
            <w:r>
              <w:rPr>
                <w:rFonts w:hint="default" w:ascii="宋体" w:hAnsi="宋体" w:eastAsia="宋体" w:cs="宋体"/>
                <w:color w:val="auto"/>
                <w:sz w:val="24"/>
                <w:szCs w:val="24"/>
                <w:highlight w:val="none"/>
                <w:lang w:val="en-US" w:eastAsia="zh-CN"/>
              </w:rPr>
              <w:t>分；</w:t>
            </w:r>
          </w:p>
          <w:p w14:paraId="5411D482">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default" w:ascii="宋体" w:hAnsi="宋体" w:eastAsia="宋体" w:cs="宋体"/>
                <w:color w:val="auto"/>
                <w:sz w:val="24"/>
                <w:szCs w:val="24"/>
                <w:highlight w:val="none"/>
                <w:lang w:val="en-US" w:eastAsia="zh-CN"/>
              </w:rPr>
            </w:pPr>
            <w:r>
              <w:rPr>
                <w:rFonts w:hint="default" w:ascii="宋体" w:hAnsi="宋体" w:eastAsia="宋体" w:cs="宋体"/>
                <w:color w:val="auto"/>
                <w:sz w:val="24"/>
                <w:szCs w:val="24"/>
                <w:highlight w:val="none"/>
                <w:lang w:val="en-US" w:eastAsia="zh-CN"/>
              </w:rPr>
              <w:t>②</w:t>
            </w:r>
            <w:r>
              <w:rPr>
                <w:rFonts w:hint="eastAsia" w:ascii="宋体" w:hAnsi="宋体" w:eastAsia="宋体" w:cs="宋体"/>
                <w:color w:val="auto"/>
                <w:sz w:val="24"/>
                <w:szCs w:val="24"/>
                <w:highlight w:val="none"/>
                <w:lang w:val="en-US" w:eastAsia="zh-CN"/>
              </w:rPr>
              <w:t>安全防范管理制度、卫生保障制度</w:t>
            </w:r>
            <w:r>
              <w:rPr>
                <w:rFonts w:hint="default"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文明服务制度</w:t>
            </w:r>
            <w:r>
              <w:rPr>
                <w:rFonts w:hint="default" w:ascii="宋体" w:hAnsi="宋体" w:eastAsia="宋体" w:cs="宋体"/>
                <w:color w:val="auto"/>
                <w:sz w:val="24"/>
                <w:szCs w:val="24"/>
                <w:highlight w:val="none"/>
                <w:lang w:val="en-US" w:eastAsia="zh-CN"/>
              </w:rPr>
              <w:t>完整</w:t>
            </w:r>
            <w:r>
              <w:rPr>
                <w:rFonts w:hint="eastAsia" w:ascii="宋体" w:hAnsi="宋体" w:eastAsia="宋体" w:cs="宋体"/>
                <w:color w:val="auto"/>
                <w:sz w:val="24"/>
                <w:szCs w:val="24"/>
                <w:highlight w:val="none"/>
                <w:lang w:val="en-US" w:eastAsia="zh-CN"/>
              </w:rPr>
              <w:t>，</w:t>
            </w:r>
            <w:r>
              <w:rPr>
                <w:rFonts w:hint="default" w:ascii="宋体" w:hAnsi="宋体" w:eastAsia="宋体" w:cs="宋体"/>
                <w:color w:val="auto"/>
                <w:sz w:val="24"/>
                <w:szCs w:val="24"/>
                <w:highlight w:val="none"/>
                <w:lang w:val="en-US" w:eastAsia="zh-CN"/>
              </w:rPr>
              <w:t>有利管理</w:t>
            </w:r>
            <w:r>
              <w:rPr>
                <w:rFonts w:hint="eastAsia" w:ascii="宋体" w:hAnsi="宋体" w:eastAsia="宋体" w:cs="宋体"/>
                <w:color w:val="auto"/>
                <w:sz w:val="24"/>
                <w:szCs w:val="24"/>
                <w:highlight w:val="none"/>
                <w:lang w:val="en-US" w:eastAsia="zh-CN"/>
              </w:rPr>
              <w:t>但略有欠缺</w:t>
            </w:r>
            <w:r>
              <w:rPr>
                <w:rFonts w:hint="default" w:ascii="宋体" w:hAnsi="宋体" w:eastAsia="宋体" w:cs="宋体"/>
                <w:color w:val="auto"/>
                <w:sz w:val="24"/>
                <w:szCs w:val="24"/>
                <w:highlight w:val="none"/>
                <w:lang w:val="en-US" w:eastAsia="zh-CN"/>
              </w:rPr>
              <w:t>的得</w:t>
            </w:r>
            <w:r>
              <w:rPr>
                <w:rFonts w:hint="eastAsia" w:ascii="宋体" w:hAnsi="宋体" w:eastAsia="宋体" w:cs="宋体"/>
                <w:color w:val="auto"/>
                <w:sz w:val="24"/>
                <w:szCs w:val="24"/>
                <w:highlight w:val="none"/>
                <w:lang w:val="en-US" w:eastAsia="zh-CN"/>
              </w:rPr>
              <w:t>3</w:t>
            </w:r>
            <w:r>
              <w:rPr>
                <w:rFonts w:hint="default" w:ascii="宋体" w:hAnsi="宋体" w:eastAsia="宋体" w:cs="宋体"/>
                <w:color w:val="auto"/>
                <w:sz w:val="24"/>
                <w:szCs w:val="24"/>
                <w:highlight w:val="none"/>
                <w:lang w:val="en-US" w:eastAsia="zh-CN"/>
              </w:rPr>
              <w:t>分；</w:t>
            </w:r>
          </w:p>
          <w:p w14:paraId="1B9CEF6F">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default" w:ascii="宋体" w:hAnsi="宋体" w:eastAsia="宋体" w:cs="宋体"/>
                <w:color w:val="auto"/>
                <w:sz w:val="24"/>
                <w:szCs w:val="24"/>
                <w:highlight w:val="none"/>
                <w:lang w:val="en-US" w:eastAsia="zh-CN"/>
              </w:rPr>
            </w:pPr>
            <w:r>
              <w:rPr>
                <w:rFonts w:hint="default" w:ascii="宋体" w:hAnsi="宋体" w:eastAsia="宋体" w:cs="宋体"/>
                <w:color w:val="auto"/>
                <w:sz w:val="24"/>
                <w:szCs w:val="24"/>
                <w:highlight w:val="none"/>
                <w:lang w:val="en-US" w:eastAsia="zh-CN"/>
              </w:rPr>
              <w:t>③</w:t>
            </w:r>
            <w:r>
              <w:rPr>
                <w:rFonts w:hint="eastAsia" w:ascii="宋体" w:hAnsi="宋体" w:eastAsia="宋体" w:cs="宋体"/>
                <w:color w:val="auto"/>
                <w:sz w:val="24"/>
                <w:szCs w:val="24"/>
                <w:highlight w:val="none"/>
                <w:lang w:val="en-US" w:eastAsia="zh-CN"/>
              </w:rPr>
              <w:t>安全防范管理制度、卫生保障制度</w:t>
            </w:r>
            <w:r>
              <w:rPr>
                <w:rFonts w:hint="default"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文明服务制度</w:t>
            </w:r>
            <w:r>
              <w:rPr>
                <w:rFonts w:hint="default" w:ascii="宋体" w:hAnsi="宋体" w:eastAsia="宋体" w:cs="宋体"/>
                <w:color w:val="auto"/>
                <w:sz w:val="24"/>
                <w:szCs w:val="24"/>
                <w:highlight w:val="none"/>
                <w:lang w:val="en-US" w:eastAsia="zh-CN"/>
              </w:rPr>
              <w:t>存在缺陷，</w:t>
            </w:r>
            <w:r>
              <w:rPr>
                <w:rFonts w:hint="eastAsia" w:ascii="宋体" w:hAnsi="宋体" w:eastAsia="宋体" w:cs="宋体"/>
                <w:color w:val="auto"/>
                <w:sz w:val="24"/>
                <w:szCs w:val="24"/>
                <w:highlight w:val="none"/>
                <w:lang w:val="en-US" w:eastAsia="zh-CN"/>
              </w:rPr>
              <w:t>实行上有困难</w:t>
            </w:r>
            <w:r>
              <w:rPr>
                <w:rFonts w:hint="default" w:ascii="宋体" w:hAnsi="宋体" w:eastAsia="宋体" w:cs="宋体"/>
                <w:color w:val="auto"/>
                <w:sz w:val="24"/>
                <w:szCs w:val="24"/>
                <w:highlight w:val="none"/>
                <w:lang w:val="en-US" w:eastAsia="zh-CN"/>
              </w:rPr>
              <w:t>的得</w:t>
            </w:r>
            <w:r>
              <w:rPr>
                <w:rFonts w:hint="eastAsia" w:ascii="宋体" w:hAnsi="宋体" w:eastAsia="宋体" w:cs="宋体"/>
                <w:color w:val="auto"/>
                <w:sz w:val="24"/>
                <w:szCs w:val="24"/>
                <w:highlight w:val="none"/>
                <w:lang w:val="en-US" w:eastAsia="zh-CN"/>
              </w:rPr>
              <w:t>1</w:t>
            </w:r>
            <w:r>
              <w:rPr>
                <w:rFonts w:hint="default" w:ascii="宋体" w:hAnsi="宋体" w:eastAsia="宋体" w:cs="宋体"/>
                <w:color w:val="auto"/>
                <w:sz w:val="24"/>
                <w:szCs w:val="24"/>
                <w:highlight w:val="none"/>
                <w:lang w:val="en-US" w:eastAsia="zh-CN"/>
              </w:rPr>
              <w:t>分；</w:t>
            </w:r>
          </w:p>
          <w:p w14:paraId="68D0611B">
            <w:pPr>
              <w:keepNext w:val="0"/>
              <w:keepLines w:val="0"/>
              <w:pageBreakBefore w:val="0"/>
              <w:suppressLineNumbers w:val="0"/>
              <w:kinsoku/>
              <w:wordWrap/>
              <w:overflowPunct/>
              <w:topLinePunct w:val="0"/>
              <w:bidi w:val="0"/>
              <w:snapToGrid/>
              <w:spacing w:before="0" w:beforeAutospacing="0" w:after="0" w:afterAutospacing="0" w:line="240" w:lineRule="auto"/>
              <w:ind w:left="0" w:leftChars="0" w:right="0" w:rightChars="0"/>
              <w:textAlignment w:val="auto"/>
              <w:rPr>
                <w:rFonts w:hint="eastAsia" w:ascii="宋体" w:hAnsi="宋体" w:eastAsia="宋体" w:cs="宋体"/>
                <w:color w:val="auto"/>
                <w:sz w:val="24"/>
                <w:szCs w:val="24"/>
                <w:highlight w:val="none"/>
                <w:lang w:val="en-US" w:eastAsia="zh-CN"/>
              </w:rPr>
            </w:pPr>
            <w:r>
              <w:rPr>
                <w:rFonts w:hint="default" w:ascii="宋体" w:hAnsi="宋体" w:eastAsia="宋体" w:cs="宋体"/>
                <w:color w:val="auto"/>
                <w:sz w:val="24"/>
                <w:szCs w:val="24"/>
                <w:highlight w:val="none"/>
                <w:lang w:val="en-US" w:eastAsia="zh-CN"/>
              </w:rPr>
              <w:t>④未提供相关内容的不得分。</w:t>
            </w:r>
          </w:p>
        </w:tc>
        <w:tc>
          <w:tcPr>
            <w:tcW w:w="600" w:type="dxa"/>
            <w:noWrap w:val="0"/>
            <w:vAlign w:val="center"/>
          </w:tcPr>
          <w:p w14:paraId="13A5D3EE">
            <w:pPr>
              <w:widowControl/>
              <w:shd w:val="clear"/>
              <w:adjustRightInd/>
              <w:spacing w:line="240" w:lineRule="auto"/>
              <w:jc w:val="center"/>
              <w:textAlignment w:val="auto"/>
              <w:rPr>
                <w:rFonts w:hint="eastAsia" w:ascii="宋体" w:hAnsi="宋体" w:eastAsia="宋体" w:cs="Times New Roman"/>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rPr>
              <w:t>5</w:t>
            </w:r>
          </w:p>
        </w:tc>
        <w:tc>
          <w:tcPr>
            <w:tcW w:w="692" w:type="dxa"/>
            <w:noWrap w:val="0"/>
            <w:vAlign w:val="center"/>
          </w:tcPr>
          <w:p w14:paraId="5ADEE7B3">
            <w:pPr>
              <w:widowControl/>
              <w:shd w:val="clear" w:color="auto"/>
              <w:adjustRightInd/>
              <w:spacing w:line="240" w:lineRule="auto"/>
              <w:jc w:val="center"/>
              <w:textAlignment w:val="auto"/>
              <w:rPr>
                <w:rFonts w:hint="eastAsia" w:ascii="宋体" w:hAnsi="宋体" w:eastAsia="宋体" w:cs="Times New Roman"/>
                <w:snapToGrid w:val="0"/>
                <w:color w:val="auto"/>
                <w:spacing w:val="-4"/>
                <w:kern w:val="2"/>
                <w:sz w:val="24"/>
                <w:szCs w:val="24"/>
                <w:highlight w:val="none"/>
                <w:lang w:val="en-US" w:eastAsia="zh-CN" w:bidi="ar-SA"/>
              </w:rPr>
            </w:pPr>
            <w:r>
              <w:rPr>
                <w:rFonts w:hint="eastAsia" w:ascii="宋体" w:hAnsi="宋体" w:eastAsia="宋体" w:cs="宋体"/>
                <w:snapToGrid w:val="0"/>
                <w:color w:val="auto"/>
                <w:spacing w:val="-4"/>
                <w:kern w:val="2"/>
                <w:sz w:val="24"/>
                <w:szCs w:val="24"/>
                <w:highlight w:val="none"/>
                <w:lang w:val="en-US" w:eastAsia="zh-CN"/>
              </w:rPr>
              <w:t>主观评议</w:t>
            </w:r>
          </w:p>
        </w:tc>
      </w:tr>
      <w:tr w14:paraId="7925C2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trPr>
        <w:tc>
          <w:tcPr>
            <w:tcW w:w="859" w:type="dxa"/>
            <w:vMerge w:val="continue"/>
            <w:noWrap w:val="0"/>
            <w:vAlign w:val="center"/>
          </w:tcPr>
          <w:p w14:paraId="2C9E34EE">
            <w:pPr>
              <w:keepNext w:val="0"/>
              <w:keepLines w:val="0"/>
              <w:pageBreakBefore w:val="0"/>
              <w:widowControl w:val="0"/>
              <w:kinsoku/>
              <w:wordWrap/>
              <w:overflowPunct/>
              <w:topLinePunct w:val="0"/>
              <w:autoSpaceDE/>
              <w:autoSpaceDN/>
              <w:bidi w:val="0"/>
              <w:adjustRightInd/>
              <w:snapToGrid/>
              <w:spacing w:line="24" w:lineRule="atLeast"/>
              <w:jc w:val="center"/>
              <w:textAlignment w:val="auto"/>
              <w:rPr>
                <w:rFonts w:ascii="Times New Roman" w:hAnsi="Times New Roman" w:eastAsia="宋体" w:cs="Times New Roman"/>
                <w:color w:val="auto"/>
                <w:sz w:val="24"/>
                <w:szCs w:val="24"/>
                <w:highlight w:val="none"/>
              </w:rPr>
            </w:pPr>
          </w:p>
        </w:tc>
        <w:tc>
          <w:tcPr>
            <w:tcW w:w="1100" w:type="dxa"/>
            <w:vMerge w:val="continue"/>
            <w:noWrap w:val="0"/>
            <w:vAlign w:val="center"/>
          </w:tcPr>
          <w:p w14:paraId="19875150">
            <w:pPr>
              <w:keepNext w:val="0"/>
              <w:keepLines w:val="0"/>
              <w:pageBreakBefore w:val="0"/>
              <w:widowControl w:val="0"/>
              <w:kinsoku/>
              <w:wordWrap/>
              <w:overflowPunct/>
              <w:topLinePunct w:val="0"/>
              <w:autoSpaceDE/>
              <w:autoSpaceDN/>
              <w:bidi w:val="0"/>
              <w:adjustRightInd/>
              <w:snapToGrid/>
              <w:spacing w:line="24" w:lineRule="atLeast"/>
              <w:jc w:val="center"/>
              <w:textAlignment w:val="auto"/>
              <w:rPr>
                <w:rFonts w:hint="eastAsia" w:ascii="Times New Roman" w:hAnsi="Times New Roman" w:eastAsia="宋体" w:cs="Times New Roman"/>
                <w:color w:val="auto"/>
                <w:sz w:val="24"/>
                <w:szCs w:val="24"/>
                <w:highlight w:val="none"/>
              </w:rPr>
            </w:pPr>
          </w:p>
        </w:tc>
        <w:tc>
          <w:tcPr>
            <w:tcW w:w="5147" w:type="dxa"/>
            <w:gridSpan w:val="2"/>
            <w:noWrap w:val="0"/>
            <w:vAlign w:val="center"/>
          </w:tcPr>
          <w:p w14:paraId="42B2B40E">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8.2评委根据供应商为本项目提供的应急管理制度、企业内部考核制度及记录进行评议：</w:t>
            </w:r>
          </w:p>
          <w:p w14:paraId="13A21C2A">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①应急管理制度科学、企业内部考核制度及记录健全，可以有效实施的</w:t>
            </w:r>
            <w:r>
              <w:rPr>
                <w:rFonts w:hint="default" w:ascii="宋体" w:hAnsi="宋体" w:eastAsia="宋体" w:cs="宋体"/>
                <w:color w:val="auto"/>
                <w:sz w:val="24"/>
                <w:szCs w:val="24"/>
                <w:highlight w:val="none"/>
                <w:lang w:val="en-US" w:eastAsia="zh-CN"/>
              </w:rPr>
              <w:t>得</w:t>
            </w:r>
            <w:r>
              <w:rPr>
                <w:rFonts w:hint="eastAsia" w:ascii="宋体" w:hAnsi="宋体" w:eastAsia="宋体" w:cs="宋体"/>
                <w:color w:val="auto"/>
                <w:sz w:val="24"/>
                <w:szCs w:val="24"/>
                <w:highlight w:val="none"/>
                <w:lang w:val="en-US" w:eastAsia="zh-CN"/>
              </w:rPr>
              <w:t>5</w:t>
            </w:r>
            <w:r>
              <w:rPr>
                <w:rFonts w:hint="default" w:ascii="宋体" w:hAnsi="宋体" w:eastAsia="宋体" w:cs="宋体"/>
                <w:color w:val="auto"/>
                <w:sz w:val="24"/>
                <w:szCs w:val="24"/>
                <w:highlight w:val="none"/>
                <w:lang w:val="en-US" w:eastAsia="zh-CN"/>
              </w:rPr>
              <w:t>分；</w:t>
            </w:r>
          </w:p>
          <w:p w14:paraId="0D1D99B1">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default" w:ascii="宋体" w:hAnsi="宋体" w:eastAsia="宋体" w:cs="宋体"/>
                <w:color w:val="auto"/>
                <w:sz w:val="24"/>
                <w:szCs w:val="24"/>
                <w:highlight w:val="none"/>
                <w:lang w:val="en-US" w:eastAsia="zh-CN"/>
              </w:rPr>
            </w:pPr>
            <w:r>
              <w:rPr>
                <w:rFonts w:hint="default" w:ascii="宋体" w:hAnsi="宋体" w:eastAsia="宋体" w:cs="宋体"/>
                <w:color w:val="auto"/>
                <w:sz w:val="24"/>
                <w:szCs w:val="24"/>
                <w:highlight w:val="none"/>
                <w:lang w:val="en-US" w:eastAsia="zh-CN"/>
              </w:rPr>
              <w:t>②</w:t>
            </w:r>
            <w:r>
              <w:rPr>
                <w:rFonts w:hint="eastAsia" w:ascii="宋体" w:hAnsi="宋体" w:eastAsia="宋体" w:cs="宋体"/>
                <w:color w:val="auto"/>
                <w:sz w:val="24"/>
                <w:szCs w:val="24"/>
                <w:highlight w:val="none"/>
                <w:lang w:val="en-US" w:eastAsia="zh-CN"/>
              </w:rPr>
              <w:t>应急管理制度、企业内部考核制度及记录</w:t>
            </w:r>
            <w:r>
              <w:rPr>
                <w:rFonts w:hint="default" w:ascii="宋体" w:hAnsi="宋体" w:eastAsia="宋体" w:cs="宋体"/>
                <w:color w:val="auto"/>
                <w:sz w:val="24"/>
                <w:szCs w:val="24"/>
                <w:highlight w:val="none"/>
                <w:lang w:val="en-US" w:eastAsia="zh-CN"/>
              </w:rPr>
              <w:t>完整</w:t>
            </w:r>
            <w:r>
              <w:rPr>
                <w:rFonts w:hint="eastAsia" w:ascii="宋体" w:hAnsi="宋体" w:eastAsia="宋体" w:cs="宋体"/>
                <w:color w:val="auto"/>
                <w:sz w:val="24"/>
                <w:szCs w:val="24"/>
                <w:highlight w:val="none"/>
                <w:lang w:val="en-US" w:eastAsia="zh-CN"/>
              </w:rPr>
              <w:t>，</w:t>
            </w:r>
            <w:r>
              <w:rPr>
                <w:rFonts w:hint="default" w:ascii="宋体" w:hAnsi="宋体" w:eastAsia="宋体" w:cs="宋体"/>
                <w:color w:val="auto"/>
                <w:sz w:val="24"/>
                <w:szCs w:val="24"/>
                <w:highlight w:val="none"/>
                <w:lang w:val="en-US" w:eastAsia="zh-CN"/>
              </w:rPr>
              <w:t>有利管理</w:t>
            </w:r>
            <w:r>
              <w:rPr>
                <w:rFonts w:hint="eastAsia" w:ascii="宋体" w:hAnsi="宋体" w:eastAsia="宋体" w:cs="宋体"/>
                <w:color w:val="auto"/>
                <w:sz w:val="24"/>
                <w:szCs w:val="24"/>
                <w:highlight w:val="none"/>
                <w:lang w:val="en-US" w:eastAsia="zh-CN"/>
              </w:rPr>
              <w:t>但略有欠缺</w:t>
            </w:r>
            <w:r>
              <w:rPr>
                <w:rFonts w:hint="default" w:ascii="宋体" w:hAnsi="宋体" w:eastAsia="宋体" w:cs="宋体"/>
                <w:color w:val="auto"/>
                <w:sz w:val="24"/>
                <w:szCs w:val="24"/>
                <w:highlight w:val="none"/>
                <w:lang w:val="en-US" w:eastAsia="zh-CN"/>
              </w:rPr>
              <w:t>的得</w:t>
            </w:r>
            <w:r>
              <w:rPr>
                <w:rFonts w:hint="eastAsia" w:ascii="宋体" w:hAnsi="宋体" w:eastAsia="宋体" w:cs="宋体"/>
                <w:color w:val="auto"/>
                <w:sz w:val="24"/>
                <w:szCs w:val="24"/>
                <w:highlight w:val="none"/>
                <w:lang w:val="en-US" w:eastAsia="zh-CN"/>
              </w:rPr>
              <w:t>3</w:t>
            </w:r>
            <w:r>
              <w:rPr>
                <w:rFonts w:hint="default" w:ascii="宋体" w:hAnsi="宋体" w:eastAsia="宋体" w:cs="宋体"/>
                <w:color w:val="auto"/>
                <w:sz w:val="24"/>
                <w:szCs w:val="24"/>
                <w:highlight w:val="none"/>
                <w:lang w:val="en-US" w:eastAsia="zh-CN"/>
              </w:rPr>
              <w:t>分；</w:t>
            </w:r>
          </w:p>
          <w:p w14:paraId="58C829C9">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default" w:ascii="宋体" w:hAnsi="宋体" w:eastAsia="宋体" w:cs="宋体"/>
                <w:color w:val="auto"/>
                <w:sz w:val="24"/>
                <w:szCs w:val="24"/>
                <w:highlight w:val="none"/>
                <w:lang w:val="en-US" w:eastAsia="zh-CN"/>
              </w:rPr>
            </w:pPr>
            <w:r>
              <w:rPr>
                <w:rFonts w:hint="default" w:ascii="宋体" w:hAnsi="宋体" w:eastAsia="宋体" w:cs="宋体"/>
                <w:color w:val="auto"/>
                <w:sz w:val="24"/>
                <w:szCs w:val="24"/>
                <w:highlight w:val="none"/>
                <w:lang w:val="en-US" w:eastAsia="zh-CN"/>
              </w:rPr>
              <w:t>③</w:t>
            </w:r>
            <w:r>
              <w:rPr>
                <w:rFonts w:hint="eastAsia" w:ascii="宋体" w:hAnsi="宋体" w:eastAsia="宋体" w:cs="宋体"/>
                <w:color w:val="auto"/>
                <w:sz w:val="24"/>
                <w:szCs w:val="24"/>
                <w:highlight w:val="none"/>
                <w:lang w:val="en-US" w:eastAsia="zh-CN"/>
              </w:rPr>
              <w:t>应急管理制度、企业内部考核制度及记录</w:t>
            </w:r>
            <w:r>
              <w:rPr>
                <w:rFonts w:hint="default" w:ascii="宋体" w:hAnsi="宋体" w:eastAsia="宋体" w:cs="宋体"/>
                <w:color w:val="auto"/>
                <w:sz w:val="24"/>
                <w:szCs w:val="24"/>
                <w:highlight w:val="none"/>
                <w:lang w:val="en-US" w:eastAsia="zh-CN"/>
              </w:rPr>
              <w:t>存在缺陷，</w:t>
            </w:r>
            <w:r>
              <w:rPr>
                <w:rFonts w:hint="eastAsia" w:ascii="宋体" w:hAnsi="宋体" w:eastAsia="宋体" w:cs="宋体"/>
                <w:color w:val="auto"/>
                <w:sz w:val="24"/>
                <w:szCs w:val="24"/>
                <w:highlight w:val="none"/>
                <w:lang w:val="en-US" w:eastAsia="zh-CN"/>
              </w:rPr>
              <w:t>实行上有困难</w:t>
            </w:r>
            <w:r>
              <w:rPr>
                <w:rFonts w:hint="default" w:ascii="宋体" w:hAnsi="宋体" w:eastAsia="宋体" w:cs="宋体"/>
                <w:color w:val="auto"/>
                <w:sz w:val="24"/>
                <w:szCs w:val="24"/>
                <w:highlight w:val="none"/>
                <w:lang w:val="en-US" w:eastAsia="zh-CN"/>
              </w:rPr>
              <w:t>的得</w:t>
            </w:r>
            <w:r>
              <w:rPr>
                <w:rFonts w:hint="eastAsia" w:ascii="宋体" w:hAnsi="宋体" w:eastAsia="宋体" w:cs="宋体"/>
                <w:color w:val="auto"/>
                <w:sz w:val="24"/>
                <w:szCs w:val="24"/>
                <w:highlight w:val="none"/>
                <w:lang w:val="en-US" w:eastAsia="zh-CN"/>
              </w:rPr>
              <w:t>1</w:t>
            </w:r>
            <w:r>
              <w:rPr>
                <w:rFonts w:hint="default" w:ascii="宋体" w:hAnsi="宋体" w:eastAsia="宋体" w:cs="宋体"/>
                <w:color w:val="auto"/>
                <w:sz w:val="24"/>
                <w:szCs w:val="24"/>
                <w:highlight w:val="none"/>
                <w:lang w:val="en-US" w:eastAsia="zh-CN"/>
              </w:rPr>
              <w:t>分；</w:t>
            </w:r>
          </w:p>
          <w:p w14:paraId="33E70E41">
            <w:pPr>
              <w:keepNext w:val="0"/>
              <w:keepLines w:val="0"/>
              <w:pageBreakBefore w:val="0"/>
              <w:suppressLineNumbers w:val="0"/>
              <w:kinsoku/>
              <w:wordWrap/>
              <w:overflowPunct/>
              <w:topLinePunct w:val="0"/>
              <w:bidi w:val="0"/>
              <w:snapToGrid/>
              <w:spacing w:before="0" w:beforeAutospacing="0" w:after="0" w:afterAutospacing="0" w:line="240" w:lineRule="auto"/>
              <w:ind w:left="0" w:leftChars="0" w:right="0" w:rightChars="0"/>
              <w:textAlignment w:val="auto"/>
              <w:rPr>
                <w:rFonts w:hint="eastAsia" w:ascii="宋体" w:hAnsi="宋体" w:eastAsia="宋体" w:cs="宋体"/>
                <w:color w:val="auto"/>
                <w:sz w:val="24"/>
                <w:szCs w:val="24"/>
                <w:highlight w:val="none"/>
                <w:lang w:val="en-US" w:eastAsia="zh-CN"/>
              </w:rPr>
            </w:pPr>
            <w:r>
              <w:rPr>
                <w:rFonts w:hint="default" w:ascii="宋体" w:hAnsi="宋体" w:eastAsia="宋体" w:cs="宋体"/>
                <w:color w:val="auto"/>
                <w:sz w:val="24"/>
                <w:szCs w:val="24"/>
                <w:highlight w:val="none"/>
                <w:lang w:val="en-US" w:eastAsia="zh-CN"/>
              </w:rPr>
              <w:t>④未提供相关内容的不得分。</w:t>
            </w:r>
          </w:p>
        </w:tc>
        <w:tc>
          <w:tcPr>
            <w:tcW w:w="600" w:type="dxa"/>
            <w:noWrap w:val="0"/>
            <w:vAlign w:val="center"/>
          </w:tcPr>
          <w:p w14:paraId="29B0B7D2">
            <w:pPr>
              <w:widowControl/>
              <w:shd w:val="clear"/>
              <w:adjustRightInd/>
              <w:spacing w:line="240" w:lineRule="auto"/>
              <w:jc w:val="center"/>
              <w:textAlignment w:val="auto"/>
              <w:rPr>
                <w:rFonts w:hint="eastAsia" w:ascii="宋体" w:hAnsi="宋体" w:eastAsia="宋体" w:cs="Times New Roman"/>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rPr>
              <w:t>5</w:t>
            </w:r>
          </w:p>
        </w:tc>
        <w:tc>
          <w:tcPr>
            <w:tcW w:w="692" w:type="dxa"/>
            <w:noWrap w:val="0"/>
            <w:vAlign w:val="center"/>
          </w:tcPr>
          <w:p w14:paraId="03E4EE8B">
            <w:pPr>
              <w:widowControl/>
              <w:shd w:val="clear" w:color="auto"/>
              <w:adjustRightInd/>
              <w:spacing w:line="240" w:lineRule="auto"/>
              <w:jc w:val="center"/>
              <w:textAlignment w:val="auto"/>
              <w:rPr>
                <w:rFonts w:hint="eastAsia" w:ascii="宋体" w:hAnsi="宋体" w:eastAsia="宋体" w:cs="Times New Roman"/>
                <w:snapToGrid w:val="0"/>
                <w:color w:val="auto"/>
                <w:spacing w:val="-4"/>
                <w:kern w:val="2"/>
                <w:sz w:val="24"/>
                <w:szCs w:val="24"/>
                <w:highlight w:val="none"/>
                <w:lang w:val="en-US" w:eastAsia="zh-CN" w:bidi="ar-SA"/>
              </w:rPr>
            </w:pPr>
            <w:r>
              <w:rPr>
                <w:rFonts w:hint="eastAsia" w:ascii="宋体" w:hAnsi="宋体" w:eastAsia="宋体" w:cs="宋体"/>
                <w:snapToGrid w:val="0"/>
                <w:color w:val="auto"/>
                <w:spacing w:val="-4"/>
                <w:kern w:val="2"/>
                <w:sz w:val="24"/>
                <w:szCs w:val="24"/>
                <w:highlight w:val="none"/>
                <w:lang w:val="en-US" w:eastAsia="zh-CN"/>
              </w:rPr>
              <w:t>主观评议</w:t>
            </w:r>
          </w:p>
        </w:tc>
      </w:tr>
      <w:tr w14:paraId="7DE2A8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59" w:type="dxa"/>
            <w:vMerge w:val="continue"/>
            <w:noWrap w:val="0"/>
            <w:vAlign w:val="center"/>
          </w:tcPr>
          <w:p w14:paraId="52601EB0">
            <w:pPr>
              <w:keepNext w:val="0"/>
              <w:keepLines w:val="0"/>
              <w:pageBreakBefore w:val="0"/>
              <w:widowControl w:val="0"/>
              <w:kinsoku/>
              <w:wordWrap/>
              <w:overflowPunct/>
              <w:topLinePunct w:val="0"/>
              <w:autoSpaceDE/>
              <w:autoSpaceDN/>
              <w:bidi w:val="0"/>
              <w:adjustRightInd/>
              <w:snapToGrid/>
              <w:spacing w:line="24" w:lineRule="atLeast"/>
              <w:jc w:val="center"/>
              <w:textAlignment w:val="auto"/>
              <w:rPr>
                <w:rFonts w:ascii="Times New Roman" w:hAnsi="Times New Roman" w:eastAsia="宋体" w:cs="Times New Roman"/>
                <w:color w:val="auto"/>
                <w:sz w:val="24"/>
                <w:szCs w:val="24"/>
                <w:highlight w:val="none"/>
              </w:rPr>
            </w:pPr>
          </w:p>
        </w:tc>
        <w:tc>
          <w:tcPr>
            <w:tcW w:w="1100" w:type="dxa"/>
            <w:vMerge w:val="restart"/>
            <w:noWrap w:val="0"/>
            <w:vAlign w:val="center"/>
          </w:tcPr>
          <w:p w14:paraId="23246063">
            <w:pPr>
              <w:keepNext w:val="0"/>
              <w:keepLines w:val="0"/>
              <w:pageBreakBefore w:val="0"/>
              <w:widowControl w:val="0"/>
              <w:kinsoku/>
              <w:wordWrap/>
              <w:overflowPunct/>
              <w:topLinePunct w:val="0"/>
              <w:autoSpaceDE/>
              <w:autoSpaceDN/>
              <w:bidi w:val="0"/>
              <w:adjustRightInd/>
              <w:snapToGrid/>
              <w:spacing w:line="24" w:lineRule="atLeast"/>
              <w:jc w:val="center"/>
              <w:textAlignment w:val="auto"/>
              <w:rPr>
                <w:rFonts w:hint="default" w:ascii="Times New Roman" w:hAnsi="Times New Roman" w:eastAsia="宋体" w:cs="Times New Roman"/>
                <w:color w:val="auto"/>
                <w:sz w:val="24"/>
                <w:szCs w:val="24"/>
                <w:highlight w:val="none"/>
                <w:lang w:val="en-US" w:eastAsia="zh-CN"/>
              </w:rPr>
            </w:pPr>
            <w:r>
              <w:rPr>
                <w:rFonts w:hint="eastAsia" w:ascii="Times New Roman" w:hAnsi="Times New Roman" w:eastAsia="宋体" w:cs="Times New Roman"/>
                <w:color w:val="auto"/>
                <w:sz w:val="24"/>
                <w:szCs w:val="24"/>
                <w:highlight w:val="none"/>
                <w:lang w:val="en-US" w:eastAsia="zh-CN"/>
              </w:rPr>
              <w:t>9、应急保障措施（13分）</w:t>
            </w:r>
          </w:p>
        </w:tc>
        <w:tc>
          <w:tcPr>
            <w:tcW w:w="5147" w:type="dxa"/>
            <w:gridSpan w:val="2"/>
            <w:noWrap w:val="0"/>
            <w:vAlign w:val="center"/>
          </w:tcPr>
          <w:p w14:paraId="641F1B10">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9.1根据各供应商提供的应急预案进行评议：</w:t>
            </w:r>
          </w:p>
          <w:p w14:paraId="6FE0CB06">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①方案内容完全结合项目实际情况，配送食品质量保障应急预案可行、配送食品时限保障应急预案科学的得4分；</w:t>
            </w:r>
          </w:p>
          <w:p w14:paraId="0402F907">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②方案内容基本符合项目的要求，但预案存在一定缺陷有待改进的得2分；</w:t>
            </w:r>
          </w:p>
          <w:p w14:paraId="628A07AF">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③措施内容不完整，不充分，与本项目实际需求有差距的得1分；</w:t>
            </w:r>
          </w:p>
          <w:p w14:paraId="0C7FC6CA">
            <w:pPr>
              <w:keepNext w:val="0"/>
              <w:keepLines w:val="0"/>
              <w:pageBreakBefore w:val="0"/>
              <w:suppressLineNumbers w:val="0"/>
              <w:kinsoku/>
              <w:wordWrap/>
              <w:overflowPunct/>
              <w:topLinePunct w:val="0"/>
              <w:bidi w:val="0"/>
              <w:snapToGrid/>
              <w:spacing w:before="0" w:beforeAutospacing="0" w:after="0" w:afterAutospacing="0" w:line="240" w:lineRule="auto"/>
              <w:ind w:left="0" w:leftChars="0" w:right="0" w:rightChars="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④未提供相关内容的不得分。</w:t>
            </w:r>
          </w:p>
        </w:tc>
        <w:tc>
          <w:tcPr>
            <w:tcW w:w="600" w:type="dxa"/>
            <w:noWrap w:val="0"/>
            <w:vAlign w:val="center"/>
          </w:tcPr>
          <w:p w14:paraId="363B1EF4">
            <w:pPr>
              <w:widowControl/>
              <w:shd w:val="clear"/>
              <w:adjustRightInd/>
              <w:spacing w:line="240" w:lineRule="auto"/>
              <w:jc w:val="center"/>
              <w:textAlignment w:val="auto"/>
              <w:rPr>
                <w:rFonts w:hint="eastAsia" w:ascii="宋体" w:hAnsi="宋体" w:eastAsia="宋体" w:cs="Times New Roman"/>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rPr>
              <w:t>4</w:t>
            </w:r>
          </w:p>
        </w:tc>
        <w:tc>
          <w:tcPr>
            <w:tcW w:w="692" w:type="dxa"/>
            <w:noWrap w:val="0"/>
            <w:vAlign w:val="center"/>
          </w:tcPr>
          <w:p w14:paraId="6442D74A">
            <w:pPr>
              <w:widowControl/>
              <w:shd w:val="clear" w:color="auto"/>
              <w:adjustRightInd/>
              <w:spacing w:line="240" w:lineRule="auto"/>
              <w:jc w:val="center"/>
              <w:textAlignment w:val="auto"/>
              <w:rPr>
                <w:rFonts w:hint="eastAsia" w:ascii="宋体" w:hAnsi="宋体" w:eastAsia="宋体" w:cs="Times New Roman"/>
                <w:snapToGrid w:val="0"/>
                <w:color w:val="auto"/>
                <w:spacing w:val="-4"/>
                <w:kern w:val="2"/>
                <w:sz w:val="24"/>
                <w:szCs w:val="24"/>
                <w:highlight w:val="none"/>
                <w:lang w:val="en-US" w:eastAsia="zh-CN"/>
              </w:rPr>
            </w:pPr>
            <w:r>
              <w:rPr>
                <w:rFonts w:hint="eastAsia" w:ascii="宋体" w:hAnsi="宋体" w:eastAsia="宋体" w:cs="宋体"/>
                <w:snapToGrid w:val="0"/>
                <w:color w:val="auto"/>
                <w:spacing w:val="-4"/>
                <w:kern w:val="2"/>
                <w:sz w:val="24"/>
                <w:szCs w:val="24"/>
                <w:highlight w:val="none"/>
                <w:lang w:val="en-US" w:eastAsia="zh-CN"/>
              </w:rPr>
              <w:t>主观评议</w:t>
            </w:r>
          </w:p>
        </w:tc>
      </w:tr>
      <w:tr w14:paraId="70FCB5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59" w:type="dxa"/>
            <w:vMerge w:val="continue"/>
            <w:noWrap w:val="0"/>
            <w:vAlign w:val="center"/>
          </w:tcPr>
          <w:p w14:paraId="76CC3D4E">
            <w:pPr>
              <w:keepNext w:val="0"/>
              <w:keepLines w:val="0"/>
              <w:pageBreakBefore w:val="0"/>
              <w:widowControl w:val="0"/>
              <w:kinsoku/>
              <w:wordWrap/>
              <w:overflowPunct/>
              <w:topLinePunct w:val="0"/>
              <w:autoSpaceDE/>
              <w:autoSpaceDN/>
              <w:bidi w:val="0"/>
              <w:adjustRightInd/>
              <w:snapToGrid/>
              <w:spacing w:line="24" w:lineRule="atLeast"/>
              <w:textAlignment w:val="auto"/>
              <w:rPr>
                <w:rFonts w:hint="eastAsia" w:ascii="Times New Roman" w:hAnsi="Times New Roman" w:eastAsia="宋体" w:cs="Times New Roman"/>
                <w:color w:val="auto"/>
                <w:sz w:val="24"/>
                <w:szCs w:val="24"/>
                <w:highlight w:val="none"/>
                <w:lang w:val="en-US" w:eastAsia="zh-CN"/>
              </w:rPr>
            </w:pPr>
          </w:p>
        </w:tc>
        <w:tc>
          <w:tcPr>
            <w:tcW w:w="1100" w:type="dxa"/>
            <w:vMerge w:val="continue"/>
            <w:noWrap w:val="0"/>
            <w:vAlign w:val="center"/>
          </w:tcPr>
          <w:p w14:paraId="0EB7CB82">
            <w:pPr>
              <w:keepNext w:val="0"/>
              <w:keepLines w:val="0"/>
              <w:pageBreakBefore w:val="0"/>
              <w:widowControl w:val="0"/>
              <w:kinsoku/>
              <w:wordWrap/>
              <w:overflowPunct/>
              <w:topLinePunct w:val="0"/>
              <w:autoSpaceDE/>
              <w:autoSpaceDN/>
              <w:bidi w:val="0"/>
              <w:adjustRightInd/>
              <w:snapToGrid/>
              <w:spacing w:line="24" w:lineRule="atLeast"/>
              <w:textAlignment w:val="auto"/>
              <w:rPr>
                <w:rFonts w:hint="default" w:ascii="Times New Roman" w:hAnsi="Times New Roman" w:eastAsia="宋体" w:cs="Times New Roman"/>
                <w:color w:val="auto"/>
                <w:sz w:val="24"/>
                <w:szCs w:val="24"/>
                <w:highlight w:val="none"/>
                <w:lang w:val="en-US" w:eastAsia="zh-CN"/>
              </w:rPr>
            </w:pPr>
          </w:p>
        </w:tc>
        <w:tc>
          <w:tcPr>
            <w:tcW w:w="5147" w:type="dxa"/>
            <w:gridSpan w:val="2"/>
            <w:noWrap w:val="0"/>
            <w:vAlign w:val="center"/>
          </w:tcPr>
          <w:p w14:paraId="1F1EC9F3">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9.2根据供应商针对本项目的应急团队及车辆配置（包括应急人员数量合理、车辆保障措施可行）进行评议：</w:t>
            </w:r>
          </w:p>
          <w:p w14:paraId="529D2806">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default" w:ascii="宋体" w:hAnsi="宋体" w:eastAsia="宋体" w:cs="宋体"/>
                <w:color w:val="auto"/>
                <w:sz w:val="24"/>
                <w:szCs w:val="24"/>
                <w:highlight w:val="none"/>
                <w:lang w:val="en-US" w:eastAsia="zh-CN"/>
              </w:rPr>
            </w:pPr>
            <w:r>
              <w:rPr>
                <w:rFonts w:hint="default" w:ascii="宋体" w:hAnsi="宋体" w:eastAsia="宋体" w:cs="宋体"/>
                <w:color w:val="auto"/>
                <w:sz w:val="24"/>
                <w:szCs w:val="24"/>
                <w:highlight w:val="none"/>
                <w:lang w:val="en-US" w:eastAsia="zh-CN"/>
              </w:rPr>
              <w:t>①</w:t>
            </w:r>
            <w:r>
              <w:rPr>
                <w:rFonts w:hint="eastAsia" w:ascii="宋体" w:hAnsi="宋体" w:eastAsia="宋体" w:cs="宋体"/>
                <w:color w:val="auto"/>
                <w:sz w:val="24"/>
                <w:szCs w:val="24"/>
                <w:highlight w:val="none"/>
                <w:lang w:val="en-US" w:eastAsia="zh-CN"/>
              </w:rPr>
              <w:t>应急人员数量合理、车辆保障措施可行</w:t>
            </w:r>
            <w:r>
              <w:rPr>
                <w:rFonts w:hint="default"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配置</w:t>
            </w:r>
            <w:r>
              <w:rPr>
                <w:rFonts w:hint="default" w:ascii="宋体" w:hAnsi="宋体" w:eastAsia="宋体" w:cs="宋体"/>
                <w:color w:val="auto"/>
                <w:sz w:val="24"/>
                <w:szCs w:val="24"/>
                <w:highlight w:val="none"/>
                <w:lang w:val="en-US" w:eastAsia="zh-CN"/>
              </w:rPr>
              <w:t>能应对突发应急事件，能协助</w:t>
            </w:r>
            <w:r>
              <w:rPr>
                <w:rFonts w:hint="eastAsia" w:ascii="宋体" w:hAnsi="宋体" w:eastAsia="宋体" w:cs="宋体"/>
                <w:color w:val="auto"/>
                <w:sz w:val="24"/>
                <w:szCs w:val="24"/>
                <w:highlight w:val="none"/>
                <w:lang w:val="en-US" w:eastAsia="zh-CN"/>
              </w:rPr>
              <w:t>采购人</w:t>
            </w:r>
            <w:r>
              <w:rPr>
                <w:rFonts w:hint="default" w:ascii="宋体" w:hAnsi="宋体" w:eastAsia="宋体" w:cs="宋体"/>
                <w:color w:val="auto"/>
                <w:sz w:val="24"/>
                <w:szCs w:val="24"/>
                <w:highlight w:val="none"/>
                <w:lang w:val="en-US" w:eastAsia="zh-CN"/>
              </w:rPr>
              <w:t>及时处理突发事件的得</w:t>
            </w:r>
            <w:r>
              <w:rPr>
                <w:rFonts w:hint="eastAsia" w:ascii="宋体" w:hAnsi="宋体" w:eastAsia="宋体" w:cs="宋体"/>
                <w:color w:val="auto"/>
                <w:sz w:val="24"/>
                <w:szCs w:val="24"/>
                <w:highlight w:val="none"/>
                <w:lang w:val="en-US" w:eastAsia="zh-CN"/>
              </w:rPr>
              <w:t>4</w:t>
            </w:r>
            <w:r>
              <w:rPr>
                <w:rFonts w:hint="default" w:ascii="宋体" w:hAnsi="宋体" w:eastAsia="宋体" w:cs="宋体"/>
                <w:color w:val="auto"/>
                <w:sz w:val="24"/>
                <w:szCs w:val="24"/>
                <w:highlight w:val="none"/>
                <w:lang w:val="en-US" w:eastAsia="zh-CN"/>
              </w:rPr>
              <w:t>分；</w:t>
            </w:r>
          </w:p>
          <w:p w14:paraId="37DFF69E">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default" w:ascii="宋体" w:hAnsi="宋体" w:eastAsia="宋体" w:cs="宋体"/>
                <w:color w:val="auto"/>
                <w:sz w:val="24"/>
                <w:szCs w:val="24"/>
                <w:highlight w:val="none"/>
                <w:lang w:val="en-US" w:eastAsia="zh-CN"/>
              </w:rPr>
            </w:pPr>
            <w:r>
              <w:rPr>
                <w:rFonts w:hint="default" w:ascii="宋体" w:hAnsi="宋体" w:eastAsia="宋体" w:cs="宋体"/>
                <w:color w:val="auto"/>
                <w:sz w:val="24"/>
                <w:szCs w:val="24"/>
                <w:highlight w:val="none"/>
                <w:lang w:val="en-US" w:eastAsia="zh-CN"/>
              </w:rPr>
              <w:t>②</w:t>
            </w:r>
            <w:r>
              <w:rPr>
                <w:rFonts w:hint="eastAsia" w:ascii="宋体" w:hAnsi="宋体" w:eastAsia="宋体" w:cs="宋体"/>
                <w:color w:val="auto"/>
                <w:sz w:val="24"/>
                <w:szCs w:val="24"/>
                <w:highlight w:val="none"/>
                <w:lang w:val="en-US" w:eastAsia="zh-CN"/>
              </w:rPr>
              <w:t>应急人员数量欠合理、车辆保障措施欠可行</w:t>
            </w:r>
            <w:r>
              <w:rPr>
                <w:rFonts w:hint="default"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配置</w:t>
            </w:r>
            <w:r>
              <w:rPr>
                <w:rFonts w:hint="default" w:ascii="宋体" w:hAnsi="宋体" w:eastAsia="宋体" w:cs="宋体"/>
                <w:color w:val="auto"/>
                <w:sz w:val="24"/>
                <w:szCs w:val="24"/>
                <w:highlight w:val="none"/>
                <w:lang w:val="en-US" w:eastAsia="zh-CN"/>
              </w:rPr>
              <w:t>能应对大部分突发应急事件的得</w:t>
            </w:r>
            <w:r>
              <w:rPr>
                <w:rFonts w:hint="eastAsia" w:ascii="宋体" w:hAnsi="宋体" w:eastAsia="宋体" w:cs="宋体"/>
                <w:color w:val="auto"/>
                <w:sz w:val="24"/>
                <w:szCs w:val="24"/>
                <w:highlight w:val="none"/>
                <w:lang w:val="en-US" w:eastAsia="zh-CN"/>
              </w:rPr>
              <w:t>2</w:t>
            </w:r>
            <w:r>
              <w:rPr>
                <w:rFonts w:hint="default" w:ascii="宋体" w:hAnsi="宋体" w:eastAsia="宋体" w:cs="宋体"/>
                <w:color w:val="auto"/>
                <w:sz w:val="24"/>
                <w:szCs w:val="24"/>
                <w:highlight w:val="none"/>
                <w:lang w:val="en-US" w:eastAsia="zh-CN"/>
              </w:rPr>
              <w:t>分；</w:t>
            </w:r>
          </w:p>
          <w:p w14:paraId="0E3E05FE">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default" w:ascii="宋体" w:hAnsi="宋体" w:eastAsia="宋体" w:cs="宋体"/>
                <w:color w:val="auto"/>
                <w:sz w:val="24"/>
                <w:szCs w:val="24"/>
                <w:highlight w:val="none"/>
                <w:lang w:val="en-US" w:eastAsia="zh-CN"/>
              </w:rPr>
            </w:pPr>
            <w:r>
              <w:rPr>
                <w:rFonts w:hint="default" w:ascii="宋体" w:hAnsi="宋体" w:eastAsia="宋体" w:cs="宋体"/>
                <w:color w:val="auto"/>
                <w:sz w:val="24"/>
                <w:szCs w:val="24"/>
                <w:highlight w:val="none"/>
                <w:lang w:val="en-US" w:eastAsia="zh-CN"/>
              </w:rPr>
              <w:t>③</w:t>
            </w:r>
            <w:r>
              <w:rPr>
                <w:rFonts w:hint="eastAsia" w:ascii="宋体" w:hAnsi="宋体" w:eastAsia="宋体" w:cs="宋体"/>
                <w:color w:val="auto"/>
                <w:sz w:val="24"/>
                <w:szCs w:val="24"/>
                <w:highlight w:val="none"/>
                <w:lang w:val="en-US" w:eastAsia="zh-CN"/>
              </w:rPr>
              <w:t>应急人员数量不合理、车辆保障措施不可行</w:t>
            </w:r>
            <w:r>
              <w:rPr>
                <w:rFonts w:hint="default"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配置应对措施不完整</w:t>
            </w:r>
            <w:r>
              <w:rPr>
                <w:rFonts w:hint="default" w:ascii="宋体" w:hAnsi="宋体" w:eastAsia="宋体" w:cs="宋体"/>
                <w:color w:val="auto"/>
                <w:sz w:val="24"/>
                <w:szCs w:val="24"/>
                <w:highlight w:val="none"/>
                <w:lang w:val="en-US" w:eastAsia="zh-CN"/>
              </w:rPr>
              <w:t>的得</w:t>
            </w:r>
            <w:r>
              <w:rPr>
                <w:rFonts w:hint="eastAsia" w:ascii="宋体" w:hAnsi="宋体" w:eastAsia="宋体" w:cs="宋体"/>
                <w:color w:val="auto"/>
                <w:sz w:val="24"/>
                <w:szCs w:val="24"/>
                <w:highlight w:val="none"/>
                <w:lang w:val="en-US" w:eastAsia="zh-CN"/>
              </w:rPr>
              <w:t>1</w:t>
            </w:r>
            <w:r>
              <w:rPr>
                <w:rFonts w:hint="default" w:ascii="宋体" w:hAnsi="宋体" w:eastAsia="宋体" w:cs="宋体"/>
                <w:color w:val="auto"/>
                <w:sz w:val="24"/>
                <w:szCs w:val="24"/>
                <w:highlight w:val="none"/>
                <w:lang w:val="en-US" w:eastAsia="zh-CN"/>
              </w:rPr>
              <w:t>分。</w:t>
            </w:r>
          </w:p>
          <w:p w14:paraId="517C0E87">
            <w:pPr>
              <w:keepNext w:val="0"/>
              <w:keepLines w:val="0"/>
              <w:pageBreakBefore w:val="0"/>
              <w:suppressLineNumbers w:val="0"/>
              <w:kinsoku/>
              <w:wordWrap/>
              <w:overflowPunct/>
              <w:topLinePunct w:val="0"/>
              <w:bidi w:val="0"/>
              <w:snapToGrid/>
              <w:spacing w:before="0" w:beforeAutospacing="0" w:after="0" w:afterAutospacing="0" w:line="240" w:lineRule="auto"/>
              <w:ind w:left="0" w:leftChars="0" w:right="0" w:rightChars="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④</w:t>
            </w:r>
            <w:r>
              <w:rPr>
                <w:rFonts w:hint="default" w:ascii="宋体" w:hAnsi="宋体" w:eastAsia="宋体" w:cs="宋体"/>
                <w:color w:val="auto"/>
                <w:sz w:val="24"/>
                <w:szCs w:val="24"/>
                <w:highlight w:val="none"/>
                <w:lang w:val="en-US" w:eastAsia="zh-CN"/>
              </w:rPr>
              <w:t>未提供相关内容的不得分。</w:t>
            </w:r>
          </w:p>
        </w:tc>
        <w:tc>
          <w:tcPr>
            <w:tcW w:w="600" w:type="dxa"/>
            <w:noWrap w:val="0"/>
            <w:vAlign w:val="center"/>
          </w:tcPr>
          <w:p w14:paraId="5DABD361">
            <w:pPr>
              <w:widowControl/>
              <w:shd w:val="clear"/>
              <w:adjustRightInd/>
              <w:spacing w:line="240" w:lineRule="auto"/>
              <w:jc w:val="center"/>
              <w:textAlignment w:val="auto"/>
              <w:rPr>
                <w:rFonts w:hint="eastAsia" w:ascii="Times New Roman" w:hAnsi="Times New Roman" w:eastAsia="宋体" w:cs="Times New Roman"/>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4</w:t>
            </w:r>
          </w:p>
        </w:tc>
        <w:tc>
          <w:tcPr>
            <w:tcW w:w="692" w:type="dxa"/>
            <w:noWrap w:val="0"/>
            <w:vAlign w:val="center"/>
          </w:tcPr>
          <w:p w14:paraId="3E1A1FD7">
            <w:pPr>
              <w:widowControl/>
              <w:shd w:val="clear" w:color="auto"/>
              <w:adjustRightInd/>
              <w:spacing w:line="240" w:lineRule="auto"/>
              <w:jc w:val="center"/>
              <w:textAlignment w:val="auto"/>
              <w:rPr>
                <w:rFonts w:hint="eastAsia" w:ascii="宋体" w:hAnsi="宋体" w:eastAsia="宋体" w:cs="Times New Roman"/>
                <w:snapToGrid w:val="0"/>
                <w:color w:val="auto"/>
                <w:spacing w:val="-4"/>
                <w:kern w:val="2"/>
                <w:sz w:val="24"/>
                <w:szCs w:val="24"/>
                <w:highlight w:val="none"/>
                <w:lang w:val="en-US" w:eastAsia="zh-CN"/>
              </w:rPr>
            </w:pPr>
            <w:r>
              <w:rPr>
                <w:rFonts w:hint="eastAsia" w:ascii="宋体" w:hAnsi="宋体" w:eastAsia="宋体" w:cs="宋体"/>
                <w:snapToGrid w:val="0"/>
                <w:color w:val="auto"/>
                <w:spacing w:val="-4"/>
                <w:kern w:val="2"/>
                <w:sz w:val="24"/>
                <w:szCs w:val="24"/>
                <w:highlight w:val="none"/>
                <w:lang w:val="en-US" w:eastAsia="zh-CN"/>
              </w:rPr>
              <w:t>主观评议</w:t>
            </w:r>
          </w:p>
        </w:tc>
      </w:tr>
      <w:tr w14:paraId="6B588D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59" w:type="dxa"/>
            <w:vMerge w:val="continue"/>
            <w:noWrap w:val="0"/>
            <w:vAlign w:val="center"/>
          </w:tcPr>
          <w:p w14:paraId="760740C0">
            <w:pPr>
              <w:keepNext w:val="0"/>
              <w:keepLines w:val="0"/>
              <w:pageBreakBefore w:val="0"/>
              <w:widowControl w:val="0"/>
              <w:kinsoku/>
              <w:wordWrap/>
              <w:overflowPunct/>
              <w:topLinePunct w:val="0"/>
              <w:autoSpaceDE/>
              <w:autoSpaceDN/>
              <w:bidi w:val="0"/>
              <w:adjustRightInd/>
              <w:snapToGrid/>
              <w:spacing w:line="24" w:lineRule="atLeast"/>
              <w:textAlignment w:val="auto"/>
              <w:rPr>
                <w:rFonts w:hint="eastAsia" w:ascii="Times New Roman" w:hAnsi="Times New Roman" w:eastAsia="宋体" w:cs="Times New Roman"/>
                <w:color w:val="auto"/>
                <w:sz w:val="24"/>
                <w:szCs w:val="24"/>
                <w:highlight w:val="none"/>
                <w:lang w:val="en-US" w:eastAsia="zh-CN"/>
              </w:rPr>
            </w:pPr>
          </w:p>
        </w:tc>
        <w:tc>
          <w:tcPr>
            <w:tcW w:w="1100" w:type="dxa"/>
            <w:vMerge w:val="continue"/>
            <w:noWrap w:val="0"/>
            <w:vAlign w:val="center"/>
          </w:tcPr>
          <w:p w14:paraId="37A8EA33">
            <w:pPr>
              <w:keepNext w:val="0"/>
              <w:keepLines w:val="0"/>
              <w:pageBreakBefore w:val="0"/>
              <w:widowControl w:val="0"/>
              <w:kinsoku/>
              <w:wordWrap/>
              <w:overflowPunct/>
              <w:topLinePunct w:val="0"/>
              <w:autoSpaceDE/>
              <w:autoSpaceDN/>
              <w:bidi w:val="0"/>
              <w:adjustRightInd/>
              <w:snapToGrid/>
              <w:spacing w:line="24" w:lineRule="atLeast"/>
              <w:textAlignment w:val="auto"/>
              <w:rPr>
                <w:rFonts w:hint="default" w:ascii="Times New Roman" w:hAnsi="Times New Roman" w:eastAsia="宋体" w:cs="Times New Roman"/>
                <w:color w:val="auto"/>
                <w:sz w:val="24"/>
                <w:szCs w:val="24"/>
                <w:highlight w:val="none"/>
                <w:lang w:val="en-US" w:eastAsia="zh-CN"/>
              </w:rPr>
            </w:pPr>
          </w:p>
        </w:tc>
        <w:tc>
          <w:tcPr>
            <w:tcW w:w="5147" w:type="dxa"/>
            <w:gridSpan w:val="2"/>
            <w:noWrap w:val="0"/>
            <w:vAlign w:val="center"/>
          </w:tcPr>
          <w:p w14:paraId="48817B6B">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9.3根据供应商针对本项目的特殊时期</w:t>
            </w:r>
            <w:r>
              <w:rPr>
                <w:rFonts w:hint="eastAsia" w:ascii="宋体" w:hAnsi="宋体" w:cs="宋体"/>
                <w:color w:val="auto"/>
                <w:sz w:val="24"/>
                <w:szCs w:val="24"/>
                <w:highlight w:val="none"/>
                <w:lang w:val="en-US" w:eastAsia="zh-CN"/>
              </w:rPr>
              <w:t>（包括</w:t>
            </w:r>
            <w:r>
              <w:rPr>
                <w:rFonts w:hint="eastAsia" w:ascii="宋体" w:hAnsi="宋体" w:eastAsia="宋体" w:cs="宋体"/>
                <w:color w:val="auto"/>
                <w:sz w:val="24"/>
                <w:szCs w:val="24"/>
                <w:highlight w:val="none"/>
                <w:lang w:val="en-US" w:eastAsia="zh-CN"/>
              </w:rPr>
              <w:t>抗台、防雪、停水、停电</w:t>
            </w: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应急保障预案进行评议：</w:t>
            </w:r>
          </w:p>
          <w:p w14:paraId="3EE3EFD2">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default" w:ascii="宋体" w:hAnsi="宋体" w:eastAsia="宋体" w:cs="宋体"/>
                <w:color w:val="auto"/>
                <w:sz w:val="24"/>
                <w:szCs w:val="24"/>
                <w:highlight w:val="none"/>
                <w:lang w:val="en-US" w:eastAsia="zh-CN"/>
              </w:rPr>
            </w:pPr>
            <w:r>
              <w:rPr>
                <w:rFonts w:hint="default" w:ascii="宋体" w:hAnsi="宋体" w:eastAsia="宋体" w:cs="宋体"/>
                <w:color w:val="auto"/>
                <w:sz w:val="24"/>
                <w:szCs w:val="24"/>
                <w:highlight w:val="none"/>
                <w:lang w:val="en-US" w:eastAsia="zh-CN"/>
              </w:rPr>
              <w:t>①</w:t>
            </w:r>
            <w:r>
              <w:rPr>
                <w:rFonts w:hint="eastAsia" w:ascii="宋体" w:hAnsi="宋体" w:eastAsia="宋体" w:cs="宋体"/>
                <w:color w:val="auto"/>
                <w:sz w:val="24"/>
                <w:szCs w:val="24"/>
                <w:highlight w:val="none"/>
                <w:lang w:val="en-US" w:eastAsia="zh-CN"/>
              </w:rPr>
              <w:t>抗台、防雪、停水、停电应急保障方案可行</w:t>
            </w:r>
            <w:r>
              <w:rPr>
                <w:rFonts w:hint="default" w:ascii="宋体" w:hAnsi="宋体" w:eastAsia="宋体" w:cs="宋体"/>
                <w:color w:val="auto"/>
                <w:sz w:val="24"/>
                <w:szCs w:val="24"/>
                <w:highlight w:val="none"/>
                <w:lang w:val="en-US" w:eastAsia="zh-CN"/>
              </w:rPr>
              <w:t>，能</w:t>
            </w:r>
            <w:r>
              <w:rPr>
                <w:rFonts w:hint="eastAsia" w:ascii="宋体" w:hAnsi="宋体" w:eastAsia="宋体" w:cs="宋体"/>
                <w:color w:val="auto"/>
                <w:sz w:val="24"/>
                <w:szCs w:val="24"/>
                <w:highlight w:val="none"/>
                <w:lang w:val="en-US" w:eastAsia="zh-CN"/>
              </w:rPr>
              <w:t>提供完善的解决措施</w:t>
            </w:r>
            <w:r>
              <w:rPr>
                <w:rFonts w:hint="default" w:ascii="宋体" w:hAnsi="宋体" w:eastAsia="宋体" w:cs="宋体"/>
                <w:color w:val="auto"/>
                <w:sz w:val="24"/>
                <w:szCs w:val="24"/>
                <w:highlight w:val="none"/>
                <w:lang w:val="en-US" w:eastAsia="zh-CN"/>
              </w:rPr>
              <w:t>得</w:t>
            </w:r>
            <w:r>
              <w:rPr>
                <w:rFonts w:hint="eastAsia" w:ascii="宋体" w:hAnsi="宋体" w:cs="宋体"/>
                <w:color w:val="auto"/>
                <w:sz w:val="24"/>
                <w:szCs w:val="24"/>
                <w:highlight w:val="none"/>
                <w:lang w:val="en-US" w:eastAsia="zh-CN"/>
              </w:rPr>
              <w:t>3</w:t>
            </w:r>
            <w:r>
              <w:rPr>
                <w:rFonts w:hint="default" w:ascii="宋体" w:hAnsi="宋体" w:eastAsia="宋体" w:cs="宋体"/>
                <w:color w:val="auto"/>
                <w:sz w:val="24"/>
                <w:szCs w:val="24"/>
                <w:highlight w:val="none"/>
                <w:lang w:val="en-US" w:eastAsia="zh-CN"/>
              </w:rPr>
              <w:t>分；</w:t>
            </w:r>
          </w:p>
          <w:p w14:paraId="2EA23B42">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default" w:ascii="宋体" w:hAnsi="宋体" w:eastAsia="宋体" w:cs="宋体"/>
                <w:color w:val="auto"/>
                <w:sz w:val="24"/>
                <w:szCs w:val="24"/>
                <w:highlight w:val="none"/>
                <w:lang w:val="en-US" w:eastAsia="zh-CN"/>
              </w:rPr>
            </w:pPr>
            <w:r>
              <w:rPr>
                <w:rFonts w:hint="default" w:ascii="宋体" w:hAnsi="宋体" w:eastAsia="宋体" w:cs="宋体"/>
                <w:color w:val="auto"/>
                <w:sz w:val="24"/>
                <w:szCs w:val="24"/>
                <w:highlight w:val="none"/>
                <w:lang w:val="en-US" w:eastAsia="zh-CN"/>
              </w:rPr>
              <w:t>②</w:t>
            </w:r>
            <w:r>
              <w:rPr>
                <w:rFonts w:hint="eastAsia" w:ascii="宋体" w:hAnsi="宋体" w:eastAsia="宋体" w:cs="宋体"/>
                <w:color w:val="auto"/>
                <w:sz w:val="24"/>
                <w:szCs w:val="24"/>
                <w:highlight w:val="none"/>
                <w:lang w:val="en-US" w:eastAsia="zh-CN"/>
              </w:rPr>
              <w:t>抗台、防雪、停水、停电应急保障方案欠可行</w:t>
            </w:r>
            <w:r>
              <w:rPr>
                <w:rFonts w:hint="default"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解决措施基本符合项目要求但略有欠缺</w:t>
            </w:r>
            <w:r>
              <w:rPr>
                <w:rFonts w:hint="default" w:ascii="宋体" w:hAnsi="宋体" w:eastAsia="宋体" w:cs="宋体"/>
                <w:color w:val="auto"/>
                <w:sz w:val="24"/>
                <w:szCs w:val="24"/>
                <w:highlight w:val="none"/>
                <w:lang w:val="en-US" w:eastAsia="zh-CN"/>
              </w:rPr>
              <w:t>的得</w:t>
            </w:r>
            <w:r>
              <w:rPr>
                <w:rFonts w:hint="eastAsia" w:ascii="宋体" w:hAnsi="宋体" w:cs="宋体"/>
                <w:color w:val="auto"/>
                <w:sz w:val="24"/>
                <w:szCs w:val="24"/>
                <w:highlight w:val="none"/>
                <w:lang w:val="en-US" w:eastAsia="zh-CN"/>
              </w:rPr>
              <w:t>2</w:t>
            </w:r>
            <w:r>
              <w:rPr>
                <w:rFonts w:hint="default" w:ascii="宋体" w:hAnsi="宋体" w:eastAsia="宋体" w:cs="宋体"/>
                <w:color w:val="auto"/>
                <w:sz w:val="24"/>
                <w:szCs w:val="24"/>
                <w:highlight w:val="none"/>
                <w:lang w:val="en-US" w:eastAsia="zh-CN"/>
              </w:rPr>
              <w:t>分；</w:t>
            </w:r>
          </w:p>
          <w:p w14:paraId="7EB9AA59">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default" w:ascii="宋体" w:hAnsi="宋体" w:eastAsia="宋体" w:cs="宋体"/>
                <w:color w:val="auto"/>
                <w:sz w:val="24"/>
                <w:szCs w:val="24"/>
                <w:highlight w:val="none"/>
                <w:lang w:val="en-US" w:eastAsia="zh-CN"/>
              </w:rPr>
            </w:pPr>
            <w:r>
              <w:rPr>
                <w:rFonts w:hint="default" w:ascii="宋体" w:hAnsi="宋体" w:eastAsia="宋体" w:cs="宋体"/>
                <w:color w:val="auto"/>
                <w:sz w:val="24"/>
                <w:szCs w:val="24"/>
                <w:highlight w:val="none"/>
                <w:lang w:val="en-US" w:eastAsia="zh-CN"/>
              </w:rPr>
              <w:t>③</w:t>
            </w:r>
            <w:r>
              <w:rPr>
                <w:rFonts w:hint="eastAsia" w:ascii="宋体" w:hAnsi="宋体" w:eastAsia="宋体" w:cs="宋体"/>
                <w:color w:val="auto"/>
                <w:sz w:val="24"/>
                <w:szCs w:val="24"/>
                <w:highlight w:val="none"/>
                <w:lang w:val="en-US" w:eastAsia="zh-CN"/>
              </w:rPr>
              <w:t>抗台、防雪、停水、停电应急保障方案不可行</w:t>
            </w: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解决措施不完整</w:t>
            </w:r>
            <w:r>
              <w:rPr>
                <w:rFonts w:hint="default" w:ascii="宋体" w:hAnsi="宋体" w:eastAsia="宋体" w:cs="宋体"/>
                <w:color w:val="auto"/>
                <w:sz w:val="24"/>
                <w:szCs w:val="24"/>
                <w:highlight w:val="none"/>
                <w:lang w:val="en-US" w:eastAsia="zh-CN"/>
              </w:rPr>
              <w:t>的得</w:t>
            </w:r>
            <w:r>
              <w:rPr>
                <w:rFonts w:hint="eastAsia" w:ascii="宋体" w:hAnsi="宋体" w:eastAsia="宋体" w:cs="宋体"/>
                <w:color w:val="auto"/>
                <w:sz w:val="24"/>
                <w:szCs w:val="24"/>
                <w:highlight w:val="none"/>
                <w:lang w:val="en-US" w:eastAsia="zh-CN"/>
              </w:rPr>
              <w:t>1</w:t>
            </w:r>
            <w:r>
              <w:rPr>
                <w:rFonts w:hint="default" w:ascii="宋体" w:hAnsi="宋体" w:eastAsia="宋体" w:cs="宋体"/>
                <w:color w:val="auto"/>
                <w:sz w:val="24"/>
                <w:szCs w:val="24"/>
                <w:highlight w:val="none"/>
                <w:lang w:val="en-US" w:eastAsia="zh-CN"/>
              </w:rPr>
              <w:t>分。</w:t>
            </w:r>
          </w:p>
          <w:p w14:paraId="36FFBED7">
            <w:pPr>
              <w:keepNext w:val="0"/>
              <w:keepLines w:val="0"/>
              <w:pageBreakBefore w:val="0"/>
              <w:suppressLineNumbers w:val="0"/>
              <w:kinsoku/>
              <w:wordWrap/>
              <w:overflowPunct/>
              <w:topLinePunct w:val="0"/>
              <w:bidi w:val="0"/>
              <w:snapToGrid/>
              <w:spacing w:before="0" w:beforeAutospacing="0" w:after="0" w:afterAutospacing="0" w:line="240" w:lineRule="auto"/>
              <w:ind w:left="0" w:leftChars="0" w:right="0" w:rightChars="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④</w:t>
            </w:r>
            <w:r>
              <w:rPr>
                <w:rFonts w:hint="default" w:ascii="宋体" w:hAnsi="宋体" w:eastAsia="宋体" w:cs="宋体"/>
                <w:color w:val="auto"/>
                <w:sz w:val="24"/>
                <w:szCs w:val="24"/>
                <w:highlight w:val="none"/>
                <w:lang w:val="en-US" w:eastAsia="zh-CN"/>
              </w:rPr>
              <w:t>未提供相关内容的不得分。</w:t>
            </w:r>
          </w:p>
        </w:tc>
        <w:tc>
          <w:tcPr>
            <w:tcW w:w="600" w:type="dxa"/>
            <w:noWrap w:val="0"/>
            <w:vAlign w:val="center"/>
          </w:tcPr>
          <w:p w14:paraId="4CF9F3E4">
            <w:pPr>
              <w:widowControl/>
              <w:shd w:val="clear"/>
              <w:adjustRightInd/>
              <w:spacing w:line="240" w:lineRule="auto"/>
              <w:jc w:val="center"/>
              <w:textAlignment w:val="auto"/>
              <w:rPr>
                <w:rFonts w:hint="eastAsia" w:ascii="Times New Roman" w:hAnsi="Times New Roman" w:eastAsia="宋体" w:cs="Times New Roman"/>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3</w:t>
            </w:r>
          </w:p>
        </w:tc>
        <w:tc>
          <w:tcPr>
            <w:tcW w:w="692" w:type="dxa"/>
            <w:noWrap w:val="0"/>
            <w:vAlign w:val="center"/>
          </w:tcPr>
          <w:p w14:paraId="4F608CD4">
            <w:pPr>
              <w:widowControl/>
              <w:shd w:val="clear" w:color="auto"/>
              <w:adjustRightInd/>
              <w:spacing w:line="240" w:lineRule="auto"/>
              <w:jc w:val="center"/>
              <w:textAlignment w:val="auto"/>
              <w:rPr>
                <w:rFonts w:hint="eastAsia" w:ascii="宋体" w:hAnsi="宋体" w:eastAsia="宋体" w:cs="Times New Roman"/>
                <w:snapToGrid w:val="0"/>
                <w:color w:val="auto"/>
                <w:spacing w:val="-4"/>
                <w:kern w:val="2"/>
                <w:sz w:val="24"/>
                <w:szCs w:val="24"/>
                <w:highlight w:val="none"/>
                <w:lang w:val="en-US" w:eastAsia="zh-CN"/>
              </w:rPr>
            </w:pPr>
            <w:r>
              <w:rPr>
                <w:rFonts w:hint="eastAsia" w:ascii="宋体" w:hAnsi="宋体" w:eastAsia="宋体" w:cs="宋体"/>
                <w:snapToGrid w:val="0"/>
                <w:color w:val="auto"/>
                <w:spacing w:val="-4"/>
                <w:kern w:val="2"/>
                <w:sz w:val="24"/>
                <w:szCs w:val="24"/>
                <w:highlight w:val="none"/>
                <w:lang w:val="en-US" w:eastAsia="zh-CN"/>
              </w:rPr>
              <w:t>主观评议</w:t>
            </w:r>
          </w:p>
        </w:tc>
      </w:tr>
      <w:tr w14:paraId="770D51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59" w:type="dxa"/>
            <w:vMerge w:val="continue"/>
            <w:noWrap w:val="0"/>
            <w:vAlign w:val="center"/>
          </w:tcPr>
          <w:p w14:paraId="22419143">
            <w:pPr>
              <w:keepNext w:val="0"/>
              <w:keepLines w:val="0"/>
              <w:pageBreakBefore w:val="0"/>
              <w:widowControl w:val="0"/>
              <w:kinsoku/>
              <w:wordWrap/>
              <w:overflowPunct/>
              <w:topLinePunct w:val="0"/>
              <w:autoSpaceDE/>
              <w:autoSpaceDN/>
              <w:bidi w:val="0"/>
              <w:adjustRightInd/>
              <w:snapToGrid/>
              <w:spacing w:line="24" w:lineRule="atLeast"/>
              <w:jc w:val="center"/>
              <w:textAlignment w:val="auto"/>
              <w:rPr>
                <w:rFonts w:ascii="Times New Roman" w:hAnsi="Times New Roman" w:eastAsia="宋体" w:cs="Times New Roman"/>
                <w:color w:val="auto"/>
                <w:sz w:val="24"/>
                <w:szCs w:val="24"/>
                <w:highlight w:val="none"/>
              </w:rPr>
            </w:pPr>
          </w:p>
        </w:tc>
        <w:tc>
          <w:tcPr>
            <w:tcW w:w="1100" w:type="dxa"/>
            <w:vMerge w:val="continue"/>
            <w:noWrap w:val="0"/>
            <w:vAlign w:val="center"/>
          </w:tcPr>
          <w:p w14:paraId="358EDE75">
            <w:pPr>
              <w:keepNext w:val="0"/>
              <w:keepLines w:val="0"/>
              <w:pageBreakBefore w:val="0"/>
              <w:widowControl w:val="0"/>
              <w:kinsoku/>
              <w:wordWrap/>
              <w:overflowPunct/>
              <w:topLinePunct w:val="0"/>
              <w:autoSpaceDE/>
              <w:autoSpaceDN/>
              <w:bidi w:val="0"/>
              <w:adjustRightInd/>
              <w:snapToGrid/>
              <w:spacing w:line="24" w:lineRule="atLeast"/>
              <w:jc w:val="center"/>
              <w:textAlignment w:val="auto"/>
              <w:rPr>
                <w:rFonts w:hint="default" w:ascii="Times New Roman" w:hAnsi="Times New Roman" w:eastAsia="宋体" w:cs="Times New Roman"/>
                <w:color w:val="auto"/>
                <w:sz w:val="24"/>
                <w:szCs w:val="24"/>
                <w:highlight w:val="none"/>
                <w:lang w:val="en-US" w:eastAsia="zh-CN"/>
              </w:rPr>
            </w:pPr>
          </w:p>
        </w:tc>
        <w:tc>
          <w:tcPr>
            <w:tcW w:w="5147" w:type="dxa"/>
            <w:gridSpan w:val="2"/>
            <w:noWrap w:val="0"/>
            <w:vAlign w:val="center"/>
          </w:tcPr>
          <w:p w14:paraId="37BD20CA">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9.4根据供应商针对本项目的突发应急事件的分析及措施进行评议：</w:t>
            </w:r>
          </w:p>
          <w:p w14:paraId="14C39231">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default" w:ascii="宋体" w:hAnsi="宋体" w:eastAsia="宋体" w:cs="宋体"/>
                <w:color w:val="auto"/>
                <w:sz w:val="24"/>
                <w:szCs w:val="24"/>
                <w:highlight w:val="none"/>
                <w:lang w:val="en-US" w:eastAsia="zh-CN"/>
              </w:rPr>
            </w:pPr>
            <w:r>
              <w:rPr>
                <w:rFonts w:hint="default" w:ascii="宋体" w:hAnsi="宋体" w:eastAsia="宋体" w:cs="宋体"/>
                <w:color w:val="auto"/>
                <w:sz w:val="24"/>
                <w:szCs w:val="24"/>
                <w:highlight w:val="none"/>
                <w:lang w:val="en-US" w:eastAsia="zh-CN"/>
              </w:rPr>
              <w:t>①能</w:t>
            </w:r>
            <w:r>
              <w:rPr>
                <w:rFonts w:hint="eastAsia" w:ascii="宋体" w:hAnsi="宋体" w:eastAsia="宋体" w:cs="宋体"/>
                <w:color w:val="auto"/>
                <w:sz w:val="24"/>
                <w:szCs w:val="24"/>
                <w:highlight w:val="none"/>
                <w:lang w:val="en-US" w:eastAsia="zh-CN"/>
              </w:rPr>
              <w:t>针对本项目配送过程中可能发生的</w:t>
            </w:r>
            <w:r>
              <w:rPr>
                <w:rFonts w:hint="default" w:ascii="宋体" w:hAnsi="宋体" w:eastAsia="宋体" w:cs="宋体"/>
                <w:color w:val="auto"/>
                <w:sz w:val="24"/>
                <w:szCs w:val="24"/>
                <w:highlight w:val="none"/>
                <w:lang w:val="en-US" w:eastAsia="zh-CN"/>
              </w:rPr>
              <w:t>突发应急事件</w:t>
            </w:r>
            <w:r>
              <w:rPr>
                <w:rFonts w:hint="eastAsia" w:ascii="宋体" w:hAnsi="宋体" w:eastAsia="宋体" w:cs="宋体"/>
                <w:color w:val="auto"/>
                <w:sz w:val="24"/>
                <w:szCs w:val="24"/>
                <w:highlight w:val="none"/>
                <w:lang w:val="en-US" w:eastAsia="zh-CN"/>
              </w:rPr>
              <w:t>进行全面分析并提供完善的解决措施</w:t>
            </w:r>
            <w:r>
              <w:rPr>
                <w:rFonts w:hint="default" w:ascii="宋体" w:hAnsi="宋体" w:eastAsia="宋体" w:cs="宋体"/>
                <w:color w:val="auto"/>
                <w:sz w:val="24"/>
                <w:szCs w:val="24"/>
                <w:highlight w:val="none"/>
                <w:lang w:val="en-US" w:eastAsia="zh-CN"/>
              </w:rPr>
              <w:t>得</w:t>
            </w:r>
            <w:r>
              <w:rPr>
                <w:rFonts w:hint="eastAsia" w:ascii="宋体" w:hAnsi="宋体" w:eastAsia="宋体" w:cs="宋体"/>
                <w:color w:val="auto"/>
                <w:sz w:val="24"/>
                <w:szCs w:val="24"/>
                <w:highlight w:val="none"/>
                <w:lang w:val="en-US" w:eastAsia="zh-CN"/>
              </w:rPr>
              <w:t>2</w:t>
            </w:r>
            <w:r>
              <w:rPr>
                <w:rFonts w:hint="default" w:ascii="宋体" w:hAnsi="宋体" w:eastAsia="宋体" w:cs="宋体"/>
                <w:color w:val="auto"/>
                <w:sz w:val="24"/>
                <w:szCs w:val="24"/>
                <w:highlight w:val="none"/>
                <w:lang w:val="en-US" w:eastAsia="zh-CN"/>
              </w:rPr>
              <w:t>分；</w:t>
            </w:r>
          </w:p>
          <w:p w14:paraId="2FB04267">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default" w:ascii="宋体" w:hAnsi="宋体" w:eastAsia="宋体" w:cs="宋体"/>
                <w:color w:val="auto"/>
                <w:sz w:val="24"/>
                <w:szCs w:val="24"/>
                <w:highlight w:val="none"/>
                <w:lang w:val="en-US" w:eastAsia="zh-CN"/>
              </w:rPr>
            </w:pPr>
            <w:r>
              <w:rPr>
                <w:rFonts w:hint="default" w:ascii="宋体" w:hAnsi="宋体" w:eastAsia="宋体" w:cs="宋体"/>
                <w:color w:val="auto"/>
                <w:sz w:val="24"/>
                <w:szCs w:val="24"/>
                <w:highlight w:val="none"/>
                <w:lang w:val="en-US" w:eastAsia="zh-CN"/>
              </w:rPr>
              <w:t>②</w:t>
            </w:r>
            <w:r>
              <w:rPr>
                <w:rFonts w:hint="eastAsia" w:ascii="宋体" w:hAnsi="宋体" w:eastAsia="宋体" w:cs="宋体"/>
                <w:color w:val="auto"/>
                <w:sz w:val="24"/>
                <w:szCs w:val="24"/>
                <w:highlight w:val="none"/>
                <w:lang w:val="en-US" w:eastAsia="zh-CN"/>
              </w:rPr>
              <w:t>针对本项目配送过程中可能发生的</w:t>
            </w:r>
            <w:r>
              <w:rPr>
                <w:rFonts w:hint="default" w:ascii="宋体" w:hAnsi="宋体" w:eastAsia="宋体" w:cs="宋体"/>
                <w:color w:val="auto"/>
                <w:sz w:val="24"/>
                <w:szCs w:val="24"/>
                <w:highlight w:val="none"/>
                <w:lang w:val="en-US" w:eastAsia="zh-CN"/>
              </w:rPr>
              <w:t>突发应急事件</w:t>
            </w:r>
            <w:r>
              <w:rPr>
                <w:rFonts w:hint="eastAsia" w:ascii="宋体" w:hAnsi="宋体" w:eastAsia="宋体" w:cs="宋体"/>
                <w:color w:val="auto"/>
                <w:sz w:val="24"/>
                <w:szCs w:val="24"/>
                <w:highlight w:val="none"/>
                <w:lang w:val="en-US" w:eastAsia="zh-CN"/>
              </w:rPr>
              <w:t>分析欠全面</w:t>
            </w:r>
            <w:r>
              <w:rPr>
                <w:rFonts w:hint="default"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解决措施基本符合项目要求但略有欠缺</w:t>
            </w:r>
            <w:r>
              <w:rPr>
                <w:rFonts w:hint="default" w:ascii="宋体" w:hAnsi="宋体" w:eastAsia="宋体" w:cs="宋体"/>
                <w:color w:val="auto"/>
                <w:sz w:val="24"/>
                <w:szCs w:val="24"/>
                <w:highlight w:val="none"/>
                <w:lang w:val="en-US" w:eastAsia="zh-CN"/>
              </w:rPr>
              <w:t>的得</w:t>
            </w:r>
            <w:r>
              <w:rPr>
                <w:rFonts w:hint="eastAsia" w:ascii="宋体" w:hAnsi="宋体" w:cs="宋体"/>
                <w:color w:val="auto"/>
                <w:sz w:val="24"/>
                <w:szCs w:val="24"/>
                <w:highlight w:val="none"/>
                <w:lang w:val="en-US" w:eastAsia="zh-CN"/>
              </w:rPr>
              <w:t>1</w:t>
            </w:r>
            <w:r>
              <w:rPr>
                <w:rFonts w:hint="default" w:ascii="宋体" w:hAnsi="宋体" w:eastAsia="宋体" w:cs="宋体"/>
                <w:color w:val="auto"/>
                <w:sz w:val="24"/>
                <w:szCs w:val="24"/>
                <w:highlight w:val="none"/>
                <w:lang w:val="en-US" w:eastAsia="zh-CN"/>
              </w:rPr>
              <w:t>分；</w:t>
            </w:r>
          </w:p>
          <w:p w14:paraId="368E58DD">
            <w:pPr>
              <w:keepNext w:val="0"/>
              <w:keepLines w:val="0"/>
              <w:pageBreakBefore w:val="0"/>
              <w:suppressLineNumbers w:val="0"/>
              <w:kinsoku/>
              <w:wordWrap/>
              <w:overflowPunct/>
              <w:topLinePunct w:val="0"/>
              <w:bidi w:val="0"/>
              <w:snapToGrid/>
              <w:spacing w:before="0" w:beforeAutospacing="0" w:after="0" w:afterAutospacing="0" w:line="240" w:lineRule="auto"/>
              <w:ind w:left="0" w:right="0"/>
              <w:textAlignment w:val="auto"/>
              <w:rPr>
                <w:rFonts w:hint="default" w:ascii="宋体" w:hAnsi="宋体" w:eastAsia="宋体" w:cs="宋体"/>
                <w:color w:val="auto"/>
                <w:sz w:val="24"/>
                <w:szCs w:val="24"/>
                <w:highlight w:val="none"/>
                <w:lang w:val="en-US" w:eastAsia="zh-CN"/>
              </w:rPr>
            </w:pPr>
            <w:r>
              <w:rPr>
                <w:rFonts w:hint="default" w:ascii="宋体" w:hAnsi="宋体" w:eastAsia="宋体" w:cs="宋体"/>
                <w:color w:val="auto"/>
                <w:sz w:val="24"/>
                <w:szCs w:val="24"/>
                <w:highlight w:val="none"/>
                <w:lang w:val="en-US" w:eastAsia="zh-CN"/>
              </w:rPr>
              <w:t>③</w:t>
            </w:r>
            <w:r>
              <w:rPr>
                <w:rFonts w:hint="eastAsia" w:ascii="宋体" w:hAnsi="宋体" w:eastAsia="宋体" w:cs="宋体"/>
                <w:color w:val="auto"/>
                <w:sz w:val="24"/>
                <w:szCs w:val="24"/>
                <w:highlight w:val="none"/>
                <w:lang w:val="en-US" w:eastAsia="zh-CN"/>
              </w:rPr>
              <w:t>针对本项目配送过程中可能发生的</w:t>
            </w:r>
            <w:r>
              <w:rPr>
                <w:rFonts w:hint="default" w:ascii="宋体" w:hAnsi="宋体" w:eastAsia="宋体" w:cs="宋体"/>
                <w:color w:val="auto"/>
                <w:sz w:val="24"/>
                <w:szCs w:val="24"/>
                <w:highlight w:val="none"/>
                <w:lang w:val="en-US" w:eastAsia="zh-CN"/>
              </w:rPr>
              <w:t>突发应急事件</w:t>
            </w:r>
            <w:r>
              <w:rPr>
                <w:rFonts w:hint="eastAsia" w:ascii="宋体" w:hAnsi="宋体" w:eastAsia="宋体" w:cs="宋体"/>
                <w:color w:val="auto"/>
                <w:sz w:val="24"/>
                <w:szCs w:val="24"/>
                <w:highlight w:val="none"/>
                <w:lang w:val="en-US" w:eastAsia="zh-CN"/>
              </w:rPr>
              <w:t>分析不全面</w:t>
            </w:r>
            <w:r>
              <w:rPr>
                <w:rFonts w:hint="default"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解决措施不完整</w:t>
            </w:r>
            <w:r>
              <w:rPr>
                <w:rFonts w:hint="default" w:ascii="宋体" w:hAnsi="宋体" w:eastAsia="宋体" w:cs="宋体"/>
                <w:color w:val="auto"/>
                <w:sz w:val="24"/>
                <w:szCs w:val="24"/>
                <w:highlight w:val="none"/>
                <w:lang w:val="en-US" w:eastAsia="zh-CN"/>
              </w:rPr>
              <w:t>的得</w:t>
            </w:r>
            <w:r>
              <w:rPr>
                <w:rFonts w:hint="eastAsia" w:ascii="宋体" w:hAnsi="宋体" w:eastAsia="宋体" w:cs="宋体"/>
                <w:color w:val="auto"/>
                <w:sz w:val="24"/>
                <w:szCs w:val="24"/>
                <w:highlight w:val="none"/>
                <w:lang w:val="en-US" w:eastAsia="zh-CN"/>
              </w:rPr>
              <w:t>0.5</w:t>
            </w:r>
            <w:r>
              <w:rPr>
                <w:rFonts w:hint="default" w:ascii="宋体" w:hAnsi="宋体" w:eastAsia="宋体" w:cs="宋体"/>
                <w:color w:val="auto"/>
                <w:sz w:val="24"/>
                <w:szCs w:val="24"/>
                <w:highlight w:val="none"/>
                <w:lang w:val="en-US" w:eastAsia="zh-CN"/>
              </w:rPr>
              <w:t>分。</w:t>
            </w:r>
          </w:p>
          <w:p w14:paraId="67B19546">
            <w:pPr>
              <w:keepNext w:val="0"/>
              <w:keepLines w:val="0"/>
              <w:pageBreakBefore w:val="0"/>
              <w:suppressLineNumbers w:val="0"/>
              <w:kinsoku/>
              <w:wordWrap/>
              <w:overflowPunct/>
              <w:topLinePunct w:val="0"/>
              <w:bidi w:val="0"/>
              <w:snapToGrid/>
              <w:spacing w:before="0" w:beforeAutospacing="0" w:after="0" w:afterAutospacing="0" w:line="240" w:lineRule="auto"/>
              <w:ind w:left="0" w:leftChars="0" w:right="0" w:rightChars="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④</w:t>
            </w:r>
            <w:r>
              <w:rPr>
                <w:rFonts w:hint="default" w:ascii="宋体" w:hAnsi="宋体" w:eastAsia="宋体" w:cs="宋体"/>
                <w:color w:val="auto"/>
                <w:sz w:val="24"/>
                <w:szCs w:val="24"/>
                <w:highlight w:val="none"/>
                <w:lang w:val="en-US" w:eastAsia="zh-CN"/>
              </w:rPr>
              <w:t>未提供相关内容的不得分。</w:t>
            </w:r>
          </w:p>
        </w:tc>
        <w:tc>
          <w:tcPr>
            <w:tcW w:w="600" w:type="dxa"/>
            <w:noWrap w:val="0"/>
            <w:vAlign w:val="center"/>
          </w:tcPr>
          <w:p w14:paraId="3AED544D">
            <w:pPr>
              <w:widowControl/>
              <w:shd w:val="clear"/>
              <w:adjustRightInd/>
              <w:spacing w:line="240" w:lineRule="auto"/>
              <w:jc w:val="center"/>
              <w:textAlignment w:val="auto"/>
              <w:rPr>
                <w:rFonts w:hint="eastAsia" w:ascii="Times New Roman" w:hAnsi="Times New Roman" w:eastAsia="宋体" w:cs="Times New Roman"/>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2</w:t>
            </w:r>
          </w:p>
        </w:tc>
        <w:tc>
          <w:tcPr>
            <w:tcW w:w="692" w:type="dxa"/>
            <w:noWrap w:val="0"/>
            <w:vAlign w:val="center"/>
          </w:tcPr>
          <w:p w14:paraId="1F891BE5">
            <w:pPr>
              <w:widowControl/>
              <w:shd w:val="clear" w:color="auto"/>
              <w:adjustRightInd/>
              <w:spacing w:line="240" w:lineRule="auto"/>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snapToGrid w:val="0"/>
                <w:color w:val="auto"/>
                <w:spacing w:val="-4"/>
                <w:kern w:val="2"/>
                <w:sz w:val="24"/>
                <w:szCs w:val="24"/>
                <w:highlight w:val="none"/>
                <w:lang w:val="en-US" w:eastAsia="zh-CN"/>
              </w:rPr>
              <w:t>主观评议</w:t>
            </w:r>
          </w:p>
        </w:tc>
      </w:tr>
      <w:tr w14:paraId="7D0B6C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trPr>
        <w:tc>
          <w:tcPr>
            <w:tcW w:w="7106" w:type="dxa"/>
            <w:gridSpan w:val="4"/>
            <w:noWrap w:val="0"/>
            <w:vAlign w:val="center"/>
          </w:tcPr>
          <w:p w14:paraId="57D788BC">
            <w:pPr>
              <w:keepNext w:val="0"/>
              <w:keepLines w:val="0"/>
              <w:pageBreakBefore w:val="0"/>
              <w:widowControl w:val="0"/>
              <w:kinsoku/>
              <w:wordWrap/>
              <w:overflowPunct/>
              <w:topLinePunct w:val="0"/>
              <w:autoSpaceDE/>
              <w:autoSpaceDN/>
              <w:bidi w:val="0"/>
              <w:adjustRightInd/>
              <w:snapToGrid/>
              <w:spacing w:line="24" w:lineRule="atLeast"/>
              <w:jc w:val="center"/>
              <w:textAlignment w:val="auto"/>
              <w:rPr>
                <w:rFonts w:hint="eastAsia" w:ascii="Times New Roman" w:hAnsi="Times New Roman" w:eastAsia="宋体" w:cs="Times New Roman"/>
                <w:color w:val="auto"/>
                <w:sz w:val="24"/>
                <w:szCs w:val="24"/>
                <w:highlight w:val="none"/>
                <w:lang w:val="en-US" w:eastAsia="zh-CN"/>
              </w:rPr>
            </w:pPr>
            <w:r>
              <w:rPr>
                <w:rFonts w:hint="eastAsia" w:ascii="Times New Roman" w:hAnsi="Times New Roman" w:eastAsia="宋体" w:cs="Times New Roman"/>
                <w:color w:val="auto"/>
                <w:sz w:val="24"/>
                <w:szCs w:val="24"/>
                <w:highlight w:val="none"/>
                <w:lang w:val="en-US" w:eastAsia="zh-CN"/>
              </w:rPr>
              <w:t>总分（100分）</w:t>
            </w:r>
          </w:p>
        </w:tc>
        <w:tc>
          <w:tcPr>
            <w:tcW w:w="600" w:type="dxa"/>
            <w:noWrap w:val="0"/>
            <w:vAlign w:val="center"/>
          </w:tcPr>
          <w:p w14:paraId="26BF4D55">
            <w:pPr>
              <w:keepNext w:val="0"/>
              <w:keepLines w:val="0"/>
              <w:pageBreakBefore w:val="0"/>
              <w:widowControl w:val="0"/>
              <w:kinsoku/>
              <w:wordWrap/>
              <w:overflowPunct/>
              <w:topLinePunct w:val="0"/>
              <w:autoSpaceDE/>
              <w:autoSpaceDN/>
              <w:bidi w:val="0"/>
              <w:adjustRightInd/>
              <w:snapToGrid/>
              <w:spacing w:line="24" w:lineRule="atLeast"/>
              <w:jc w:val="center"/>
              <w:textAlignment w:val="auto"/>
              <w:rPr>
                <w:rFonts w:hint="eastAsia" w:ascii="Times New Roman" w:hAnsi="Times New Roman" w:eastAsia="宋体" w:cs="Times New Roman"/>
                <w:color w:val="auto"/>
                <w:sz w:val="24"/>
                <w:szCs w:val="24"/>
                <w:highlight w:val="none"/>
                <w:lang w:val="en-US" w:eastAsia="zh-CN"/>
              </w:rPr>
            </w:pPr>
          </w:p>
        </w:tc>
        <w:tc>
          <w:tcPr>
            <w:tcW w:w="692" w:type="dxa"/>
            <w:noWrap w:val="0"/>
            <w:vAlign w:val="center"/>
          </w:tcPr>
          <w:p w14:paraId="1480995A">
            <w:pPr>
              <w:keepNext w:val="0"/>
              <w:keepLines w:val="0"/>
              <w:pageBreakBefore w:val="0"/>
              <w:widowControl w:val="0"/>
              <w:kinsoku/>
              <w:wordWrap/>
              <w:overflowPunct/>
              <w:topLinePunct w:val="0"/>
              <w:autoSpaceDE/>
              <w:autoSpaceDN/>
              <w:bidi w:val="0"/>
              <w:adjustRightInd/>
              <w:snapToGrid/>
              <w:spacing w:line="24" w:lineRule="atLeast"/>
              <w:jc w:val="center"/>
              <w:textAlignment w:val="auto"/>
              <w:rPr>
                <w:rFonts w:hint="eastAsia" w:ascii="Times New Roman" w:hAnsi="Times New Roman" w:eastAsia="宋体" w:cs="Times New Roman"/>
                <w:color w:val="auto"/>
                <w:sz w:val="24"/>
                <w:szCs w:val="24"/>
                <w:highlight w:val="none"/>
                <w:lang w:val="en-US" w:eastAsia="zh-CN"/>
              </w:rPr>
            </w:pPr>
          </w:p>
        </w:tc>
      </w:tr>
    </w:tbl>
    <w:p w14:paraId="0B070964">
      <w:pPr>
        <w:shd w:val="clear"/>
        <w:snapToGrid w:val="0"/>
        <w:spacing w:line="360" w:lineRule="auto"/>
        <w:rPr>
          <w:rFonts w:ascii="宋体" w:hAnsi="宋体" w:cs="宋体"/>
          <w:b/>
          <w:color w:val="auto"/>
          <w:sz w:val="24"/>
          <w:highlight w:val="none"/>
        </w:rPr>
      </w:pPr>
      <w:r>
        <w:rPr>
          <w:rFonts w:hint="eastAsia" w:ascii="宋体" w:hAnsi="宋体" w:cs="宋体"/>
          <w:color w:val="auto"/>
          <w:sz w:val="20"/>
          <w:szCs w:val="20"/>
          <w:highlight w:val="none"/>
          <w:shd w:val="clear" w:color="auto" w:fill="FFFFFF"/>
        </w:rPr>
        <w:t> </w:t>
      </w:r>
      <w:r>
        <w:rPr>
          <w:rFonts w:hint="eastAsia" w:ascii="宋体" w:hAnsi="宋体" w:cs="宋体"/>
          <w:b/>
          <w:color w:val="auto"/>
          <w:sz w:val="24"/>
          <w:highlight w:val="none"/>
        </w:rPr>
        <w:t>备注：</w:t>
      </w:r>
      <w:r>
        <w:rPr>
          <w:rFonts w:hint="eastAsia" w:ascii="宋体" w:hAnsi="宋体" w:cs="宋体"/>
          <w:color w:val="auto"/>
          <w:sz w:val="24"/>
          <w:highlight w:val="none"/>
        </w:rPr>
        <w:t>投标人编制投标文件（商务技术文件部分）时，建议按此目录（序号和内容）提供评标标准相应的商务技术资料。小数点后保留一位数。</w:t>
      </w:r>
    </w:p>
    <w:p w14:paraId="1A60071F">
      <w:pPr>
        <w:shd w:val="clear"/>
        <w:snapToGrid w:val="0"/>
        <w:spacing w:line="360" w:lineRule="auto"/>
        <w:rPr>
          <w:rFonts w:ascii="宋体" w:hAnsi="宋体" w:cs="宋体"/>
          <w:b/>
          <w:color w:val="auto"/>
          <w:sz w:val="28"/>
          <w:szCs w:val="28"/>
          <w:highlight w:val="none"/>
        </w:rPr>
      </w:pPr>
      <w:r>
        <w:rPr>
          <w:rFonts w:hint="eastAsia" w:ascii="宋体" w:hAnsi="宋体" w:cs="宋体"/>
          <w:b/>
          <w:color w:val="auto"/>
          <w:sz w:val="32"/>
          <w:highlight w:val="none"/>
        </w:rPr>
        <w:t>一、评标方法</w:t>
      </w:r>
    </w:p>
    <w:p w14:paraId="1FFBC22F">
      <w:pPr>
        <w:shd w:val="clear"/>
        <w:adjustRightInd/>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1.本项目采用综合评分法。</w:t>
      </w:r>
      <w:r>
        <w:rPr>
          <w:rFonts w:hint="eastAsia" w:ascii="宋体" w:hAnsi="宋体" w:cs="宋体"/>
          <w:color w:val="auto"/>
          <w:kern w:val="0"/>
          <w:sz w:val="24"/>
          <w:highlight w:val="none"/>
        </w:rPr>
        <w:t>综合评分法，是指投标文件满足招标文件全部实质性要求，且按照评审因素的量化指标评审得分最高的投标人为中标候选人的评标方法。</w:t>
      </w:r>
    </w:p>
    <w:p w14:paraId="482D1648">
      <w:pPr>
        <w:shd w:val="clear"/>
        <w:adjustRightInd/>
        <w:spacing w:line="360" w:lineRule="auto"/>
        <w:rPr>
          <w:rFonts w:ascii="宋体" w:hAnsi="宋体" w:cs="宋体"/>
          <w:color w:val="auto"/>
          <w:kern w:val="0"/>
          <w:sz w:val="24"/>
          <w:highlight w:val="none"/>
        </w:rPr>
      </w:pPr>
      <w:r>
        <w:rPr>
          <w:rFonts w:hint="eastAsia" w:ascii="宋体" w:hAnsi="宋体" w:cs="宋体"/>
          <w:b/>
          <w:color w:val="auto"/>
          <w:sz w:val="32"/>
          <w:highlight w:val="none"/>
        </w:rPr>
        <w:t>二、评标标准</w:t>
      </w:r>
    </w:p>
    <w:p w14:paraId="4B7B5D5E">
      <w:pPr>
        <w:shd w:val="clear"/>
        <w:spacing w:line="360" w:lineRule="auto"/>
        <w:ind w:firstLine="472" w:firstLineChars="196"/>
        <w:rPr>
          <w:rFonts w:ascii="宋体" w:hAnsi="宋体" w:cs="宋体"/>
          <w:b/>
          <w:color w:val="auto"/>
          <w:sz w:val="24"/>
          <w:highlight w:val="none"/>
        </w:rPr>
      </w:pPr>
      <w:r>
        <w:rPr>
          <w:rFonts w:hint="eastAsia" w:ascii="宋体" w:hAnsi="宋体" w:cs="宋体"/>
          <w:b/>
          <w:color w:val="auto"/>
          <w:sz w:val="24"/>
          <w:highlight w:val="none"/>
        </w:rPr>
        <w:t>2.</w:t>
      </w:r>
      <w:r>
        <w:rPr>
          <w:rFonts w:hint="eastAsia" w:ascii="宋体" w:hAnsi="宋体" w:cs="宋体"/>
          <w:color w:val="auto"/>
          <w:highlight w:val="none"/>
        </w:rPr>
        <w:t xml:space="preserve"> </w:t>
      </w:r>
      <w:r>
        <w:rPr>
          <w:rFonts w:hint="eastAsia" w:ascii="宋体" w:hAnsi="宋体" w:cs="宋体"/>
          <w:b/>
          <w:color w:val="auto"/>
          <w:sz w:val="24"/>
          <w:highlight w:val="none"/>
        </w:rPr>
        <w:t>评标标准：</w:t>
      </w:r>
      <w:r>
        <w:rPr>
          <w:rFonts w:hint="eastAsia" w:ascii="宋体" w:hAnsi="宋体" w:cs="宋体"/>
          <w:color w:val="auto"/>
          <w:kern w:val="0"/>
          <w:sz w:val="24"/>
          <w:highlight w:val="none"/>
        </w:rPr>
        <w:t>见评标办法前附表。</w:t>
      </w:r>
    </w:p>
    <w:p w14:paraId="4BC92241">
      <w:pPr>
        <w:shd w:val="clear"/>
        <w:spacing w:line="360" w:lineRule="auto"/>
        <w:outlineLvl w:val="0"/>
        <w:rPr>
          <w:rFonts w:ascii="宋体" w:hAnsi="宋体" w:cs="宋体"/>
          <w:b/>
          <w:color w:val="auto"/>
          <w:sz w:val="36"/>
          <w:szCs w:val="36"/>
          <w:highlight w:val="none"/>
        </w:rPr>
      </w:pPr>
      <w:r>
        <w:rPr>
          <w:rFonts w:hint="eastAsia" w:ascii="宋体" w:hAnsi="宋体" w:cs="宋体"/>
          <w:b/>
          <w:color w:val="auto"/>
          <w:sz w:val="36"/>
          <w:szCs w:val="36"/>
          <w:highlight w:val="none"/>
        </w:rPr>
        <w:t>三、评标程序</w:t>
      </w:r>
    </w:p>
    <w:p w14:paraId="265B1C38">
      <w:pPr>
        <w:shd w:val="clea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3.1符合性审查。</w:t>
      </w:r>
      <w:r>
        <w:rPr>
          <w:rFonts w:hint="eastAsia" w:ascii="宋体" w:hAnsi="宋体" w:cs="宋体"/>
          <w:color w:val="auto"/>
          <w:kern w:val="0"/>
          <w:sz w:val="24"/>
          <w:highlight w:val="none"/>
        </w:rPr>
        <w:t>评标委员会应当对符合资格的投标人的投标文件进行符合性审查，以确定其是否满足招标文件的实质性要求。不满足招标文件的实质性要求的，投标无效。</w:t>
      </w:r>
    </w:p>
    <w:p w14:paraId="1D2B75B6">
      <w:pPr>
        <w:shd w:val="clea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3.2 比较与评价。</w:t>
      </w:r>
      <w:r>
        <w:rPr>
          <w:rFonts w:hint="eastAsia" w:ascii="宋体" w:hAnsi="宋体" w:cs="宋体"/>
          <w:color w:val="auto"/>
          <w:kern w:val="0"/>
          <w:sz w:val="24"/>
          <w:highlight w:val="none"/>
        </w:rPr>
        <w:t>评标委员会应当按照招标文件中规定的评标方法和标准，对符合性审查合格的投标文件进行商务和技术评估，综合比较与评价。</w:t>
      </w:r>
    </w:p>
    <w:p w14:paraId="1776B881">
      <w:pPr>
        <w:shd w:val="clea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3.3汇总商务技术得分。</w:t>
      </w:r>
      <w:r>
        <w:rPr>
          <w:rFonts w:hint="eastAsia" w:ascii="宋体" w:hAnsi="宋体" w:cs="宋体"/>
          <w:color w:val="auto"/>
          <w:kern w:val="0"/>
          <w:sz w:val="24"/>
          <w:highlight w:val="none"/>
        </w:rPr>
        <w:t>评标委员会各成员应当独立对每个投标人的商务和技术文件进行评价，并汇总商务技术得分情况。</w:t>
      </w:r>
    </w:p>
    <w:p w14:paraId="219D6BB3">
      <w:pPr>
        <w:shd w:val="clear"/>
        <w:spacing w:line="360" w:lineRule="auto"/>
        <w:ind w:firstLine="472" w:firstLineChars="196"/>
        <w:rPr>
          <w:rFonts w:ascii="宋体" w:hAnsi="宋体" w:cs="宋体"/>
          <w:b/>
          <w:color w:val="auto"/>
          <w:kern w:val="0"/>
          <w:sz w:val="24"/>
          <w:highlight w:val="none"/>
        </w:rPr>
      </w:pPr>
      <w:r>
        <w:rPr>
          <w:rFonts w:hint="eastAsia" w:ascii="宋体" w:hAnsi="宋体" w:cs="宋体"/>
          <w:b/>
          <w:color w:val="auto"/>
          <w:kern w:val="0"/>
          <w:sz w:val="24"/>
          <w:highlight w:val="none"/>
        </w:rPr>
        <w:t>3.4报价评审。</w:t>
      </w:r>
    </w:p>
    <w:p w14:paraId="6B9648D1">
      <w:pPr>
        <w:pStyle w:val="129"/>
        <w:shd w:val="clear"/>
        <w:spacing w:before="0"/>
        <w:ind w:firstLine="508" w:firstLineChars="212"/>
        <w:rPr>
          <w:rFonts w:ascii="宋体" w:hAnsi="宋体" w:cs="宋体"/>
          <w:color w:val="auto"/>
          <w:kern w:val="0"/>
          <w:highlight w:val="none"/>
        </w:rPr>
      </w:pPr>
      <w:r>
        <w:rPr>
          <w:rFonts w:hint="eastAsia" w:ascii="宋体" w:hAnsi="宋体" w:cs="宋体"/>
          <w:color w:val="auto"/>
          <w:kern w:val="0"/>
          <w:highlight w:val="none"/>
        </w:rPr>
        <w:t>3.4.1投标文件报价出现前后不一致的，按照下列规定修正：</w:t>
      </w:r>
    </w:p>
    <w:p w14:paraId="26007FAE">
      <w:pPr>
        <w:pStyle w:val="129"/>
        <w:shd w:val="clear"/>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3.4.1.1投标文件中开标一览表</w:t>
      </w:r>
      <w:r>
        <w:rPr>
          <w:rFonts w:hint="eastAsia" w:ascii="宋体" w:hAnsi="宋体" w:cs="宋体"/>
          <w:color w:val="auto"/>
          <w:kern w:val="0"/>
          <w:szCs w:val="24"/>
          <w:highlight w:val="none"/>
          <w:lang w:eastAsia="zh-CN"/>
        </w:rPr>
        <w:t>（</w:t>
      </w:r>
      <w:r>
        <w:rPr>
          <w:rFonts w:hint="eastAsia" w:ascii="宋体" w:hAnsi="宋体" w:cs="宋体"/>
          <w:color w:val="auto"/>
          <w:kern w:val="0"/>
          <w:szCs w:val="24"/>
          <w:highlight w:val="none"/>
        </w:rPr>
        <w:t>报价表</w:t>
      </w:r>
      <w:r>
        <w:rPr>
          <w:rFonts w:hint="eastAsia" w:ascii="宋体" w:hAnsi="宋体" w:cs="宋体"/>
          <w:color w:val="auto"/>
          <w:kern w:val="0"/>
          <w:szCs w:val="24"/>
          <w:highlight w:val="none"/>
          <w:lang w:eastAsia="zh-CN"/>
        </w:rPr>
        <w:t>）</w:t>
      </w:r>
      <w:r>
        <w:rPr>
          <w:rFonts w:hint="eastAsia" w:ascii="宋体" w:hAnsi="宋体" w:cs="宋体"/>
          <w:color w:val="auto"/>
          <w:kern w:val="0"/>
          <w:szCs w:val="24"/>
          <w:highlight w:val="none"/>
        </w:rPr>
        <w:t>内容与投标文件中相应内容不一致的，以开标一览表</w:t>
      </w:r>
      <w:r>
        <w:rPr>
          <w:rFonts w:hint="eastAsia" w:ascii="宋体" w:hAnsi="宋体" w:cs="宋体"/>
          <w:color w:val="auto"/>
          <w:kern w:val="0"/>
          <w:szCs w:val="24"/>
          <w:highlight w:val="none"/>
          <w:lang w:eastAsia="zh-CN"/>
        </w:rPr>
        <w:t>（</w:t>
      </w:r>
      <w:r>
        <w:rPr>
          <w:rFonts w:hint="eastAsia" w:ascii="宋体" w:hAnsi="宋体" w:cs="宋体"/>
          <w:color w:val="auto"/>
          <w:kern w:val="0"/>
          <w:szCs w:val="24"/>
          <w:highlight w:val="none"/>
        </w:rPr>
        <w:t>报价表</w:t>
      </w:r>
      <w:r>
        <w:rPr>
          <w:rFonts w:hint="eastAsia" w:ascii="宋体" w:hAnsi="宋体" w:cs="宋体"/>
          <w:color w:val="auto"/>
          <w:kern w:val="0"/>
          <w:szCs w:val="24"/>
          <w:highlight w:val="none"/>
          <w:lang w:eastAsia="zh-CN"/>
        </w:rPr>
        <w:t>）</w:t>
      </w:r>
      <w:r>
        <w:rPr>
          <w:rFonts w:hint="eastAsia" w:ascii="宋体" w:hAnsi="宋体" w:cs="宋体"/>
          <w:color w:val="auto"/>
          <w:kern w:val="0"/>
          <w:szCs w:val="24"/>
          <w:highlight w:val="none"/>
        </w:rPr>
        <w:t>为准</w:t>
      </w:r>
      <w:r>
        <w:rPr>
          <w:rFonts w:hint="eastAsia" w:ascii="宋体" w:hAnsi="宋体" w:cs="宋体"/>
          <w:color w:val="auto"/>
          <w:kern w:val="0"/>
          <w:szCs w:val="24"/>
          <w:highlight w:val="none"/>
          <w:lang w:eastAsia="zh-CN"/>
        </w:rPr>
        <w:t>；</w:t>
      </w:r>
    </w:p>
    <w:p w14:paraId="68E8A036">
      <w:pPr>
        <w:pStyle w:val="129"/>
        <w:shd w:val="clear"/>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3.4.1.2大写金额和小写金额不一致的，以大写金额为准</w:t>
      </w:r>
      <w:r>
        <w:rPr>
          <w:rFonts w:hint="eastAsia" w:ascii="宋体" w:hAnsi="宋体" w:cs="宋体"/>
          <w:color w:val="auto"/>
          <w:kern w:val="0"/>
          <w:szCs w:val="24"/>
          <w:highlight w:val="none"/>
          <w:lang w:eastAsia="zh-CN"/>
        </w:rPr>
        <w:t>；</w:t>
      </w:r>
    </w:p>
    <w:p w14:paraId="4B3E93D1">
      <w:pPr>
        <w:pStyle w:val="129"/>
        <w:shd w:val="clear"/>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3.4.1.3单价金额小数点或者百分比有明显错位的，以开标一览表的总价为准，并修改单价</w:t>
      </w:r>
      <w:r>
        <w:rPr>
          <w:rFonts w:hint="eastAsia" w:ascii="宋体" w:hAnsi="宋体" w:cs="宋体"/>
          <w:color w:val="auto"/>
          <w:kern w:val="0"/>
          <w:szCs w:val="24"/>
          <w:highlight w:val="none"/>
          <w:lang w:eastAsia="zh-CN"/>
        </w:rPr>
        <w:t>；</w:t>
      </w:r>
    </w:p>
    <w:p w14:paraId="498BB646">
      <w:pPr>
        <w:pStyle w:val="129"/>
        <w:shd w:val="clear"/>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3.4.1.4总价金额与按单价汇总金额不一致的，以单价金额计算结果为准。</w:t>
      </w:r>
    </w:p>
    <w:p w14:paraId="6C9F41B2">
      <w:pPr>
        <w:pStyle w:val="129"/>
        <w:shd w:val="clear"/>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3.4.1.5同时出现两种以上不一致的，按照3.4.1规定的顺序修正。修正后的报价按照财政部第87号令 《政府采购货物和服务招标投标管理办法》第五十一条第二款的规定经投标人确认后产生约束力。</w:t>
      </w:r>
    </w:p>
    <w:p w14:paraId="5FE37D19">
      <w:pPr>
        <w:shd w:val="clea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3.4.2投标文件出现不是唯一的、有选择性投标报价的，投标无效。</w:t>
      </w:r>
    </w:p>
    <w:p w14:paraId="6012BF5B">
      <w:pPr>
        <w:shd w:val="clea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3.4.3投标报价超过招标文件中规定的预算金额或者最高限价的，投标无效。</w:t>
      </w:r>
    </w:p>
    <w:p w14:paraId="2526431E">
      <w:pPr>
        <w:pStyle w:val="129"/>
        <w:shd w:val="clear"/>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3.4.4评标委员会认为投标人的报价明显低于其他通过符合性审查投标人的报价，有可能影响产品质量或者不能诚信履约的，应当要求其在合理的时间内提供书面说明，必要时提交相关证明材料</w:t>
      </w:r>
      <w:r>
        <w:rPr>
          <w:rFonts w:hint="eastAsia" w:ascii="宋体" w:hAnsi="宋体" w:cs="宋体"/>
          <w:color w:val="auto"/>
          <w:kern w:val="0"/>
          <w:szCs w:val="24"/>
          <w:highlight w:val="none"/>
          <w:lang w:eastAsia="zh-CN"/>
        </w:rPr>
        <w:t>；</w:t>
      </w:r>
      <w:r>
        <w:rPr>
          <w:rFonts w:hint="eastAsia" w:ascii="宋体" w:hAnsi="宋体" w:cs="宋体"/>
          <w:color w:val="auto"/>
          <w:kern w:val="0"/>
          <w:szCs w:val="24"/>
          <w:highlight w:val="none"/>
        </w:rPr>
        <w:t>投标人不能证明其报价合理性的，评标委员会应当将其作为无效投标处理。</w:t>
      </w:r>
    </w:p>
    <w:p w14:paraId="304EAF19">
      <w:pPr>
        <w:pStyle w:val="129"/>
        <w:shd w:val="clear"/>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3.4.5对于未预留份额专门面向中小企业的政府采购服务项目，以及预留份额政府采购服务项目中的非预留部分标项，对小型和微型企业的投标报价给予10%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的扣除，用扣除后的价格参加评审。组成联合体或者接受分包的小微企业与联合体内其他企业、分包企业之间存在直接控股、管理关系的，不享受价格扣除优惠政策。</w:t>
      </w:r>
    </w:p>
    <w:p w14:paraId="28536A99">
      <w:pPr>
        <w:shd w:val="clear"/>
        <w:spacing w:line="360" w:lineRule="auto"/>
        <w:ind w:firstLine="482" w:firstLineChars="200"/>
        <w:rPr>
          <w:rFonts w:ascii="宋体" w:hAnsi="宋体" w:cs="宋体"/>
          <w:color w:val="auto"/>
          <w:kern w:val="0"/>
          <w:sz w:val="24"/>
          <w:highlight w:val="none"/>
        </w:rPr>
      </w:pPr>
      <w:r>
        <w:rPr>
          <w:rFonts w:hint="eastAsia" w:ascii="宋体" w:hAnsi="宋体" w:cs="宋体"/>
          <w:b/>
          <w:color w:val="auto"/>
          <w:kern w:val="0"/>
          <w:sz w:val="24"/>
          <w:highlight w:val="none"/>
        </w:rPr>
        <w:t>3.5排序与推荐。</w:t>
      </w:r>
      <w:r>
        <w:rPr>
          <w:rFonts w:hint="eastAsia" w:ascii="宋体" w:hAnsi="宋体" w:cs="宋体"/>
          <w:color w:val="auto"/>
          <w:kern w:val="0"/>
          <w:sz w:val="24"/>
          <w:highlight w:val="none"/>
        </w:rPr>
        <w:t>采用综合评分法的，评标结果按评审后得分由高到低顺序排列。得分相同的，按投标报价由低到高顺序排列</w:t>
      </w:r>
      <w:r>
        <w:rPr>
          <w:rFonts w:hint="eastAsia" w:ascii="宋体" w:hAnsi="宋体" w:cs="宋体"/>
          <w:color w:val="auto"/>
          <w:kern w:val="0"/>
          <w:sz w:val="24"/>
          <w:highlight w:val="none"/>
          <w:lang w:eastAsia="zh-CN"/>
        </w:rPr>
        <w:t>（</w:t>
      </w:r>
      <w:r>
        <w:rPr>
          <w:rFonts w:hint="eastAsia" w:ascii="宋体" w:hAnsi="宋体" w:cs="宋体"/>
          <w:color w:val="auto"/>
          <w:kern w:val="0"/>
          <w:sz w:val="24"/>
          <w:highlight w:val="none"/>
          <w:lang w:val="en-US" w:eastAsia="zh-CN"/>
        </w:rPr>
        <w:t>说明：因本项目各类食品均对应一个投标折扣系数，无法认定综合的投标报价，故得分相同时，按价格分由高到低顺序排列</w:t>
      </w:r>
      <w:r>
        <w:rPr>
          <w:rFonts w:hint="eastAsia" w:ascii="宋体" w:hAnsi="宋体" w:cs="宋体"/>
          <w:color w:val="auto"/>
          <w:kern w:val="0"/>
          <w:sz w:val="24"/>
          <w:highlight w:val="none"/>
          <w:lang w:eastAsia="zh-CN"/>
        </w:rPr>
        <w:t>）</w:t>
      </w:r>
      <w:r>
        <w:rPr>
          <w:rFonts w:hint="eastAsia" w:ascii="宋体" w:hAnsi="宋体" w:cs="宋体"/>
          <w:color w:val="auto"/>
          <w:kern w:val="0"/>
          <w:sz w:val="24"/>
          <w:highlight w:val="none"/>
        </w:rPr>
        <w:t>。得分且投标报价相同的并列。投标文件满足招标文件全部实质性要求，且按照评审因素的量化指标评审得分最高的供应商为排名第一的中标候选人。</w:t>
      </w:r>
      <w:r>
        <w:rPr>
          <w:rFonts w:hint="eastAsia" w:ascii="宋体" w:hAnsi="宋体" w:cs="宋体"/>
          <w:b/>
          <w:bCs/>
          <w:color w:val="auto"/>
          <w:kern w:val="0"/>
          <w:sz w:val="24"/>
          <w:highlight w:val="none"/>
          <w:lang w:val="en-US" w:eastAsia="zh-CN"/>
        </w:rPr>
        <w:t>有效投标供应商数量等于3家时，中标候选人数量为1家；有效投标供应商数量等于4家时，中标候选人数量为2家；有效投标供应商数量大于等于5家时，中标候选人数量为3家</w:t>
      </w:r>
      <w:r>
        <w:rPr>
          <w:rFonts w:hint="eastAsia" w:ascii="宋体" w:hAnsi="宋体" w:cs="宋体"/>
          <w:b/>
          <w:bCs/>
          <w:color w:val="auto"/>
          <w:kern w:val="0"/>
          <w:sz w:val="24"/>
          <w:highlight w:val="none"/>
        </w:rPr>
        <w:t>。</w:t>
      </w:r>
    </w:p>
    <w:p w14:paraId="7E9269E2">
      <w:pPr>
        <w:shd w:val="clear"/>
        <w:spacing w:line="360" w:lineRule="auto"/>
        <w:ind w:firstLine="480" w:firstLineChars="200"/>
        <w:rPr>
          <w:rFonts w:ascii="宋体" w:hAnsi="宋体" w:cs="宋体"/>
          <w:b/>
          <w:color w:val="auto"/>
          <w:kern w:val="0"/>
          <w:sz w:val="24"/>
          <w:highlight w:val="none"/>
        </w:rPr>
      </w:pPr>
      <w:r>
        <w:rPr>
          <w:rFonts w:hint="eastAsia" w:ascii="宋体" w:hAnsi="宋体" w:cs="宋体"/>
          <w:color w:val="auto"/>
          <w:kern w:val="0"/>
          <w:sz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61A3DDAF">
      <w:pPr>
        <w:shd w:val="clea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3.6编写评标报告。</w:t>
      </w:r>
      <w:r>
        <w:rPr>
          <w:rFonts w:hint="eastAsia" w:ascii="宋体" w:hAnsi="宋体" w:cs="宋体"/>
          <w:color w:val="auto"/>
          <w:kern w:val="0"/>
          <w:sz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0BFCC9C8">
      <w:pPr>
        <w:widowControl/>
        <w:shd w:val="clear" w:color="auto"/>
        <w:adjustRightInd/>
        <w:spacing w:after="225" w:line="315" w:lineRule="atLeast"/>
        <w:jc w:val="left"/>
        <w:rPr>
          <w:rFonts w:ascii="宋体" w:hAnsi="宋体" w:cs="宋体"/>
          <w:b/>
          <w:color w:val="auto"/>
          <w:sz w:val="32"/>
          <w:highlight w:val="none"/>
        </w:rPr>
      </w:pPr>
      <w:r>
        <w:rPr>
          <w:rFonts w:hint="eastAsia" w:ascii="宋体" w:hAnsi="宋体" w:cs="宋体"/>
          <w:b/>
          <w:color w:val="auto"/>
          <w:sz w:val="32"/>
          <w:highlight w:val="none"/>
        </w:rPr>
        <w:t>四、评标中的其他事项</w:t>
      </w:r>
    </w:p>
    <w:p w14:paraId="321B0DD1">
      <w:pPr>
        <w:pStyle w:val="129"/>
        <w:shd w:val="clear"/>
        <w:spacing w:before="0"/>
        <w:ind w:firstLine="472" w:firstLineChars="196"/>
        <w:rPr>
          <w:rFonts w:ascii="宋体" w:hAnsi="宋体" w:cs="宋体"/>
          <w:color w:val="auto"/>
          <w:kern w:val="0"/>
          <w:szCs w:val="24"/>
          <w:highlight w:val="none"/>
        </w:rPr>
      </w:pPr>
      <w:r>
        <w:rPr>
          <w:rFonts w:hint="eastAsia" w:ascii="宋体" w:hAnsi="宋体" w:cs="宋体"/>
          <w:b/>
          <w:color w:val="auto"/>
          <w:kern w:val="0"/>
          <w:szCs w:val="24"/>
          <w:highlight w:val="none"/>
        </w:rPr>
        <w:t>4.1投标人澄清、说明或者补正。</w:t>
      </w:r>
      <w:r>
        <w:rPr>
          <w:rFonts w:hint="eastAsia" w:ascii="宋体" w:hAnsi="宋体" w:cs="宋体"/>
          <w:color w:val="auto"/>
          <w:kern w:val="0"/>
          <w:szCs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412C5534">
      <w:pPr>
        <w:pStyle w:val="27"/>
        <w:shd w:val="clear"/>
        <w:spacing w:line="360" w:lineRule="auto"/>
        <w:ind w:left="954" w:leftChars="226" w:hanging="479" w:firstLineChars="0"/>
        <w:rPr>
          <w:rFonts w:cs="宋体"/>
          <w:color w:val="auto"/>
          <w:szCs w:val="21"/>
          <w:highlight w:val="none"/>
        </w:rPr>
      </w:pPr>
      <w:r>
        <w:rPr>
          <w:rFonts w:hint="eastAsia" w:cs="宋体"/>
          <w:b/>
          <w:color w:val="auto"/>
          <w:kern w:val="0"/>
          <w:highlight w:val="none"/>
        </w:rPr>
        <w:t>4.2投标无效。</w:t>
      </w:r>
      <w:r>
        <w:rPr>
          <w:rFonts w:hint="eastAsia" w:cs="宋体"/>
          <w:color w:val="auto"/>
          <w:szCs w:val="21"/>
          <w:highlight w:val="none"/>
        </w:rPr>
        <w:t>有下列情形之一的，投标无效：</w:t>
      </w:r>
    </w:p>
    <w:p w14:paraId="2DB5AF68">
      <w:pPr>
        <w:shd w:val="clea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4.2.1投标人不具备招标文件中规定的资格要求的（投标人未提供有效的资格文件的，视为投标人不具备招标文件中规定的资格要求）；</w:t>
      </w:r>
    </w:p>
    <w:p w14:paraId="08C2E93D">
      <w:pPr>
        <w:shd w:val="clea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4.2.2投标文件未按照招标文件要求签署、盖章的；</w:t>
      </w:r>
    </w:p>
    <w:p w14:paraId="1096BB5B">
      <w:pPr>
        <w:shd w:val="clea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4.2.3采购人拟采购的产品属于政府强制采购的节能产品品目清单范围的，投标人相应的投标产品未获得国家确定的认证机构出具的、处于有效期之内的节能产品认证证书的；</w:t>
      </w:r>
    </w:p>
    <w:p w14:paraId="0A0BE8DB">
      <w:pPr>
        <w:shd w:val="clea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4.2.4投标文件含有采购人不能接受的附加条件的；</w:t>
      </w:r>
    </w:p>
    <w:p w14:paraId="280CB6D9">
      <w:pPr>
        <w:shd w:val="clea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4.2.5投标文件中承诺的投标有效期少于招标文件中载明的投标有效期的；</w:t>
      </w:r>
    </w:p>
    <w:p w14:paraId="255E6E70">
      <w:pPr>
        <w:shd w:val="clear"/>
        <w:snapToGrid w:val="0"/>
        <w:spacing w:line="360" w:lineRule="auto"/>
        <w:ind w:firstLine="120" w:firstLineChars="50"/>
        <w:jc w:val="left"/>
        <w:rPr>
          <w:rFonts w:ascii="宋体" w:hAnsi="宋体" w:cs="宋体"/>
          <w:color w:val="auto"/>
          <w:kern w:val="0"/>
          <w:sz w:val="24"/>
          <w:highlight w:val="none"/>
        </w:rPr>
      </w:pPr>
      <w:r>
        <w:rPr>
          <w:rFonts w:hint="eastAsia" w:ascii="宋体" w:hAnsi="宋体" w:cs="宋体"/>
          <w:color w:val="auto"/>
          <w:kern w:val="0"/>
          <w:sz w:val="24"/>
          <w:highlight w:val="none"/>
        </w:rPr>
        <w:t xml:space="preserve">   4.2.6投标文件出现不是唯一的、有选择性投标报价的</w:t>
      </w:r>
      <w:r>
        <w:rPr>
          <w:rFonts w:hint="eastAsia" w:ascii="宋体" w:hAnsi="宋体" w:cs="宋体"/>
          <w:color w:val="auto"/>
          <w:kern w:val="0"/>
          <w:sz w:val="24"/>
          <w:highlight w:val="none"/>
          <w:lang w:eastAsia="zh-CN"/>
        </w:rPr>
        <w:t>；</w:t>
      </w:r>
    </w:p>
    <w:p w14:paraId="78BAF9B1">
      <w:pPr>
        <w:shd w:val="clea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4.2.7投标报价超过招标文件中规定的预算金额或者最高限价的</w:t>
      </w:r>
      <w:r>
        <w:rPr>
          <w:rFonts w:hint="eastAsia" w:ascii="宋体" w:hAnsi="宋体" w:cs="宋体"/>
          <w:color w:val="auto"/>
          <w:kern w:val="0"/>
          <w:sz w:val="24"/>
          <w:highlight w:val="none"/>
          <w:lang w:eastAsia="zh-CN"/>
        </w:rPr>
        <w:t>；</w:t>
      </w:r>
    </w:p>
    <w:p w14:paraId="1AA87054">
      <w:pPr>
        <w:shd w:val="clea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4.2.8报价明显低于其他通过符合性审查投标人的报价，有可能影响产品质量或者不能诚信履约的，未能按要求提供书面说明或者提交相关证明材料，不能证明其报价合理性的</w:t>
      </w:r>
      <w:r>
        <w:rPr>
          <w:rFonts w:hint="eastAsia" w:ascii="宋体" w:hAnsi="宋体" w:cs="宋体"/>
          <w:color w:val="auto"/>
          <w:kern w:val="0"/>
          <w:sz w:val="24"/>
          <w:highlight w:val="none"/>
          <w:lang w:eastAsia="zh-CN"/>
        </w:rPr>
        <w:t>；</w:t>
      </w:r>
    </w:p>
    <w:p w14:paraId="6E113633">
      <w:pPr>
        <w:shd w:val="clea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4.2.9投标人对根据修正原则修正后的报价不确认的；</w:t>
      </w:r>
    </w:p>
    <w:p w14:paraId="1F18E932">
      <w:pPr>
        <w:shd w:val="clea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4.2.10投标人提供虚假材料投标的；</w:t>
      </w:r>
    </w:p>
    <w:p w14:paraId="2A49CE43">
      <w:pPr>
        <w:shd w:val="clear"/>
        <w:spacing w:line="360" w:lineRule="auto"/>
        <w:ind w:firstLine="240" w:firstLineChars="100"/>
        <w:rPr>
          <w:rFonts w:ascii="宋体" w:hAnsi="宋体" w:cs="宋体"/>
          <w:color w:val="auto"/>
          <w:kern w:val="0"/>
          <w:sz w:val="24"/>
          <w:highlight w:val="none"/>
        </w:rPr>
      </w:pPr>
      <w:r>
        <w:rPr>
          <w:rFonts w:hint="eastAsia" w:ascii="宋体" w:hAnsi="宋体" w:cs="宋体"/>
          <w:color w:val="auto"/>
          <w:kern w:val="0"/>
          <w:sz w:val="24"/>
          <w:highlight w:val="none"/>
        </w:rPr>
        <w:t xml:space="preserve">  4.2.11投标人有恶意串通、妨碍其他投标人的竞争行为、损害采购人或者其他投标人的合法权益情形的；</w:t>
      </w:r>
    </w:p>
    <w:p w14:paraId="7B1990C5">
      <w:pPr>
        <w:shd w:val="clea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4.2.12投标人仅提交备份投标文件，未在电子交易平台传输递交投标文件的，投标无效；</w:t>
      </w:r>
    </w:p>
    <w:p w14:paraId="43F37603">
      <w:pPr>
        <w:pStyle w:val="5"/>
        <w:shd w:val="clear"/>
        <w:ind w:left="862" w:leftChars="205"/>
        <w:rPr>
          <w:rFonts w:ascii="宋体" w:hAnsi="宋体" w:eastAsia="宋体" w:cs="宋体"/>
          <w:b w:val="0"/>
          <w:bCs w:val="0"/>
          <w:color w:val="auto"/>
          <w:kern w:val="0"/>
          <w:sz w:val="24"/>
          <w:szCs w:val="24"/>
          <w:highlight w:val="none"/>
          <w:lang w:val="en-US"/>
        </w:rPr>
      </w:pPr>
      <w:r>
        <w:rPr>
          <w:rFonts w:hint="eastAsia" w:ascii="宋体" w:hAnsi="宋体" w:eastAsia="宋体" w:cs="宋体"/>
          <w:b w:val="0"/>
          <w:bCs w:val="0"/>
          <w:color w:val="auto"/>
          <w:kern w:val="0"/>
          <w:sz w:val="24"/>
          <w:szCs w:val="24"/>
          <w:highlight w:val="none"/>
          <w:lang w:val="en-US"/>
        </w:rPr>
        <w:t>4.2.13 投标文件不满足招标文件的</w:t>
      </w:r>
      <w:r>
        <w:rPr>
          <w:rFonts w:hint="eastAsia" w:ascii="宋体" w:hAnsi="宋体" w:eastAsia="宋体" w:cs="宋体"/>
          <w:b w:val="0"/>
          <w:bCs w:val="0"/>
          <w:color w:val="auto"/>
          <w:kern w:val="0"/>
          <w:sz w:val="24"/>
          <w:szCs w:val="24"/>
          <w:highlight w:val="none"/>
          <w:lang w:val="en-US" w:eastAsia="zh-CN"/>
        </w:rPr>
        <w:t>其他</w:t>
      </w:r>
      <w:r>
        <w:rPr>
          <w:rFonts w:hint="eastAsia" w:ascii="宋体" w:hAnsi="宋体" w:eastAsia="宋体" w:cs="宋体"/>
          <w:b w:val="0"/>
          <w:bCs w:val="0"/>
          <w:color w:val="auto"/>
          <w:kern w:val="0"/>
          <w:sz w:val="24"/>
          <w:szCs w:val="24"/>
          <w:highlight w:val="none"/>
          <w:lang w:val="en-US"/>
        </w:rPr>
        <w:t>实质性要求的；</w:t>
      </w:r>
    </w:p>
    <w:p w14:paraId="45A2AB64">
      <w:pPr>
        <w:shd w:val="clear"/>
        <w:spacing w:line="360" w:lineRule="auto"/>
        <w:ind w:firstLine="480" w:firstLineChars="200"/>
        <w:rPr>
          <w:rFonts w:hint="eastAsia" w:ascii="宋体" w:hAnsi="宋体" w:eastAsia="宋体" w:cs="宋体"/>
          <w:color w:val="auto"/>
          <w:kern w:val="0"/>
          <w:sz w:val="24"/>
          <w:highlight w:val="none"/>
        </w:rPr>
      </w:pPr>
      <w:r>
        <w:rPr>
          <w:rFonts w:hint="eastAsia" w:ascii="宋体" w:hAnsi="宋体" w:cs="宋体"/>
          <w:color w:val="auto"/>
          <w:kern w:val="0"/>
          <w:sz w:val="24"/>
          <w:highlight w:val="none"/>
        </w:rPr>
        <w:t>4.2.14</w:t>
      </w:r>
      <w:r>
        <w:rPr>
          <w:rFonts w:hint="eastAsia" w:ascii="宋体" w:hAnsi="宋体" w:cs="宋体"/>
          <w:color w:val="auto"/>
          <w:kern w:val="0"/>
          <w:sz w:val="24"/>
          <w:highlight w:val="none"/>
          <w:lang w:eastAsia="zh-CN"/>
        </w:rPr>
        <w:t>法律法规</w:t>
      </w:r>
      <w:r>
        <w:rPr>
          <w:rFonts w:hint="eastAsia" w:ascii="宋体" w:hAnsi="宋体" w:eastAsia="宋体" w:cs="宋体"/>
          <w:color w:val="auto"/>
          <w:kern w:val="0"/>
          <w:sz w:val="24"/>
          <w:highlight w:val="none"/>
        </w:rPr>
        <w:t>、规章（适用本市的）及省级以上规范性文件（适用本市的）规定的其他无效情形。</w:t>
      </w:r>
    </w:p>
    <w:p w14:paraId="1CE78DCE">
      <w:pPr>
        <w:shd w:val="clea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en-US" w:eastAsia="zh-CN"/>
        </w:rPr>
        <w:t>4.2.15参与同一个采购包（标段）的供应商存在下列情形之一且无法合理解释的，其投标（响应）文件无效：1.不同供应商的电子投标（响应）文件上传计算机的IP地址或网卡MAC地址或硬盘序列号等硬件信息相同的；2.上传的电子投标（响应）文件若出现使用本项目其他投标（响应）供应商的数字证书加密的，或者加盖本项目其他投标（响应）供应商的电子印章的；3.不同供应商的投标（响应）文件的内容存在3处（含）以上错误一致的；4.不同供应商联系人为同一人或不同联系人的联系电话一致的。</w:t>
      </w:r>
    </w:p>
    <w:p w14:paraId="50AE4E47">
      <w:pPr>
        <w:pStyle w:val="27"/>
        <w:shd w:val="clear"/>
        <w:snapToGrid w:val="0"/>
        <w:spacing w:line="360" w:lineRule="auto"/>
        <w:ind w:firstLine="472" w:firstLineChars="196"/>
        <w:rPr>
          <w:rFonts w:cs="宋体"/>
          <w:color w:val="auto"/>
          <w:highlight w:val="none"/>
        </w:rPr>
      </w:pPr>
      <w:r>
        <w:rPr>
          <w:rFonts w:hint="eastAsia" w:cs="宋体"/>
          <w:b/>
          <w:color w:val="auto"/>
          <w:highlight w:val="none"/>
        </w:rPr>
        <w:t>5.废标。</w:t>
      </w:r>
      <w:r>
        <w:rPr>
          <w:rFonts w:hint="eastAsia" w:cs="宋体"/>
          <w:color w:val="auto"/>
          <w:highlight w:val="none"/>
        </w:rPr>
        <w:t>根据《中华人民共和国政府采购法》第三十六条之规定，在采购中，出现下列情形之一的，应予废标：</w:t>
      </w:r>
    </w:p>
    <w:p w14:paraId="7D3B3249">
      <w:pPr>
        <w:pStyle w:val="27"/>
        <w:shd w:val="clear"/>
        <w:snapToGrid w:val="0"/>
        <w:spacing w:line="360" w:lineRule="auto"/>
        <w:rPr>
          <w:rFonts w:cs="宋体"/>
          <w:color w:val="auto"/>
          <w:highlight w:val="none"/>
        </w:rPr>
      </w:pPr>
      <w:r>
        <w:rPr>
          <w:rFonts w:hint="eastAsia" w:cs="宋体"/>
          <w:color w:val="auto"/>
          <w:highlight w:val="none"/>
        </w:rPr>
        <w:t>5.1符合专业条件的供应商或者对招标文件作实质响应的供应商不足3家的；</w:t>
      </w:r>
    </w:p>
    <w:p w14:paraId="41864BFB">
      <w:pPr>
        <w:pStyle w:val="27"/>
        <w:shd w:val="clear"/>
        <w:snapToGrid w:val="0"/>
        <w:spacing w:line="360" w:lineRule="auto"/>
        <w:rPr>
          <w:rFonts w:cs="宋体"/>
          <w:color w:val="auto"/>
          <w:highlight w:val="none"/>
        </w:rPr>
      </w:pPr>
      <w:r>
        <w:rPr>
          <w:rFonts w:hint="eastAsia" w:cs="宋体"/>
          <w:color w:val="auto"/>
          <w:highlight w:val="none"/>
        </w:rPr>
        <w:t>5.2出现影响采购公正的违法、违规行为的；</w:t>
      </w:r>
    </w:p>
    <w:p w14:paraId="0F8BA75B">
      <w:pPr>
        <w:pStyle w:val="27"/>
        <w:shd w:val="clear"/>
        <w:snapToGrid w:val="0"/>
        <w:spacing w:line="360" w:lineRule="auto"/>
        <w:rPr>
          <w:rFonts w:cs="宋体"/>
          <w:color w:val="auto"/>
          <w:highlight w:val="none"/>
        </w:rPr>
      </w:pPr>
      <w:r>
        <w:rPr>
          <w:rFonts w:hint="eastAsia" w:cs="宋体"/>
          <w:color w:val="auto"/>
          <w:highlight w:val="none"/>
        </w:rPr>
        <w:t>5.3投标人的报价均超过了采购预算，采购人不能支付的；</w:t>
      </w:r>
    </w:p>
    <w:p w14:paraId="6FC49EF0">
      <w:pPr>
        <w:pStyle w:val="27"/>
        <w:shd w:val="clear"/>
        <w:snapToGrid w:val="0"/>
        <w:spacing w:line="360" w:lineRule="auto"/>
        <w:rPr>
          <w:rFonts w:cs="宋体"/>
          <w:color w:val="auto"/>
          <w:highlight w:val="none"/>
        </w:rPr>
      </w:pPr>
      <w:r>
        <w:rPr>
          <w:rFonts w:hint="eastAsia" w:cs="宋体"/>
          <w:color w:val="auto"/>
          <w:highlight w:val="none"/>
        </w:rPr>
        <w:t>5.4因重大变故，采购任务取消的。</w:t>
      </w:r>
    </w:p>
    <w:p w14:paraId="2118EA64">
      <w:pPr>
        <w:pStyle w:val="27"/>
        <w:shd w:val="clear"/>
        <w:snapToGrid w:val="0"/>
        <w:spacing w:line="360" w:lineRule="auto"/>
        <w:rPr>
          <w:rFonts w:cs="宋体"/>
          <w:color w:val="auto"/>
          <w:highlight w:val="none"/>
        </w:rPr>
      </w:pPr>
      <w:r>
        <w:rPr>
          <w:rFonts w:hint="eastAsia" w:cs="宋体"/>
          <w:color w:val="auto"/>
          <w:highlight w:val="none"/>
        </w:rPr>
        <w:t>废标后，</w:t>
      </w:r>
      <w:r>
        <w:rPr>
          <w:rFonts w:hint="eastAsia" w:cs="宋体"/>
          <w:color w:val="auto"/>
          <w:highlight w:val="none"/>
          <w:lang w:eastAsia="zh-CN"/>
        </w:rPr>
        <w:t>采购代理机构</w:t>
      </w:r>
      <w:r>
        <w:rPr>
          <w:rFonts w:hint="eastAsia" w:cs="宋体"/>
          <w:color w:val="auto"/>
          <w:highlight w:val="none"/>
        </w:rPr>
        <w:t>应当将废标理由通知所有投标人。</w:t>
      </w:r>
    </w:p>
    <w:p w14:paraId="1AB78762">
      <w:pPr>
        <w:pStyle w:val="27"/>
        <w:shd w:val="clear"/>
        <w:snapToGrid w:val="0"/>
        <w:spacing w:line="360" w:lineRule="auto"/>
        <w:ind w:firstLine="590" w:firstLineChars="245"/>
        <w:rPr>
          <w:rFonts w:cs="宋体"/>
          <w:color w:val="auto"/>
          <w:highlight w:val="none"/>
        </w:rPr>
      </w:pPr>
      <w:r>
        <w:rPr>
          <w:rFonts w:hint="eastAsia" w:cs="宋体"/>
          <w:b/>
          <w:color w:val="auto"/>
          <w:highlight w:val="none"/>
        </w:rPr>
        <w:t>6.修改招标文件，重新组织采购活动。</w:t>
      </w:r>
      <w:r>
        <w:rPr>
          <w:rFonts w:hint="eastAsia" w:cs="宋体"/>
          <w:color w:val="auto"/>
          <w:highlight w:val="none"/>
        </w:rPr>
        <w:t>评标委员会发现招标文件存在歧义、重大缺陷导致评标工作无法进行，或者招标文件内容违反国家有关强制性规定的，将停止评标工作，并与采购人、</w:t>
      </w:r>
      <w:r>
        <w:rPr>
          <w:rFonts w:hint="eastAsia" w:cs="宋体"/>
          <w:color w:val="auto"/>
          <w:highlight w:val="none"/>
          <w:lang w:eastAsia="zh-CN"/>
        </w:rPr>
        <w:t>采购代理机构</w:t>
      </w:r>
      <w:r>
        <w:rPr>
          <w:rFonts w:hint="eastAsia" w:cs="宋体"/>
          <w:color w:val="auto"/>
          <w:highlight w:val="none"/>
        </w:rPr>
        <w:t>沟通并作书面记录。采购人、</w:t>
      </w:r>
      <w:r>
        <w:rPr>
          <w:rFonts w:hint="eastAsia" w:cs="宋体"/>
          <w:color w:val="auto"/>
          <w:highlight w:val="none"/>
          <w:lang w:eastAsia="zh-CN"/>
        </w:rPr>
        <w:t>采购代理机构</w:t>
      </w:r>
      <w:r>
        <w:rPr>
          <w:rFonts w:hint="eastAsia" w:cs="宋体"/>
          <w:color w:val="auto"/>
          <w:highlight w:val="none"/>
        </w:rPr>
        <w:t>确认后，将修改招标文件，重新组织采购活动。</w:t>
      </w:r>
    </w:p>
    <w:p w14:paraId="70915714">
      <w:pPr>
        <w:pStyle w:val="27"/>
        <w:shd w:val="clear"/>
        <w:snapToGrid w:val="0"/>
        <w:spacing w:line="360" w:lineRule="auto"/>
        <w:ind w:firstLine="482"/>
        <w:rPr>
          <w:rFonts w:cs="宋体"/>
          <w:color w:val="auto"/>
          <w:highlight w:val="none"/>
        </w:rPr>
      </w:pPr>
      <w:r>
        <w:rPr>
          <w:rFonts w:hint="eastAsia" w:cs="宋体"/>
          <w:b/>
          <w:color w:val="auto"/>
          <w:kern w:val="0"/>
          <w:highlight w:val="none"/>
        </w:rPr>
        <w:t>7.重新开展采购。</w:t>
      </w:r>
      <w:r>
        <w:rPr>
          <w:rFonts w:hint="eastAsia" w:cs="宋体"/>
          <w:color w:val="auto"/>
          <w:highlight w:val="none"/>
        </w:rPr>
        <w:t>有政府采购法第七十一条、第七十二条规定的违法行为之一，影响或者可能影响中标结果的，依照下列规定处理：</w:t>
      </w:r>
    </w:p>
    <w:p w14:paraId="7C8BF3F2">
      <w:pPr>
        <w:pStyle w:val="27"/>
        <w:shd w:val="clear"/>
        <w:snapToGrid w:val="0"/>
        <w:spacing w:line="360" w:lineRule="auto"/>
        <w:rPr>
          <w:rFonts w:cs="宋体"/>
          <w:color w:val="auto"/>
          <w:highlight w:val="none"/>
        </w:rPr>
      </w:pPr>
      <w:r>
        <w:rPr>
          <w:rFonts w:hint="eastAsia" w:cs="宋体"/>
          <w:color w:val="auto"/>
          <w:highlight w:val="none"/>
        </w:rPr>
        <w:t>7.1未确定中标供应商的，终止本次政府采购活动，重新开展政府采购活动。</w:t>
      </w:r>
    </w:p>
    <w:p w14:paraId="1153DB45">
      <w:pPr>
        <w:pStyle w:val="27"/>
        <w:shd w:val="clear"/>
        <w:snapToGrid w:val="0"/>
        <w:spacing w:line="360" w:lineRule="auto"/>
        <w:rPr>
          <w:rFonts w:cs="宋体"/>
          <w:color w:val="auto"/>
          <w:highlight w:val="none"/>
        </w:rPr>
      </w:pPr>
      <w:r>
        <w:rPr>
          <w:rFonts w:hint="eastAsia" w:cs="宋体"/>
          <w:color w:val="auto"/>
          <w:highlight w:val="none"/>
        </w:rPr>
        <w:t>7.2已确定中标供应商但尚未签订政府采购合同的，中标结果无效，从合格的中标候选人中另行确定中标供应商；没有合格的中标候选人的，重新开展政府采购活动。</w:t>
      </w:r>
    </w:p>
    <w:p w14:paraId="10926D10">
      <w:pPr>
        <w:pStyle w:val="27"/>
        <w:shd w:val="clear"/>
        <w:snapToGrid w:val="0"/>
        <w:spacing w:line="360" w:lineRule="auto"/>
        <w:rPr>
          <w:rFonts w:cs="宋体"/>
          <w:color w:val="auto"/>
          <w:highlight w:val="none"/>
        </w:rPr>
      </w:pPr>
      <w:r>
        <w:rPr>
          <w:rFonts w:hint="eastAsia" w:cs="宋体"/>
          <w:color w:val="auto"/>
          <w:highlight w:val="none"/>
        </w:rPr>
        <w:t>7.3政府采购合同已签订但尚未履行的，撤销合同，从合格的中标候选人中另行确定中标供应商；没有合格的中标候选人的，重新开展政府采购活动。</w:t>
      </w:r>
    </w:p>
    <w:p w14:paraId="67CF06DC">
      <w:pPr>
        <w:pStyle w:val="27"/>
        <w:shd w:val="clear"/>
        <w:snapToGrid w:val="0"/>
        <w:spacing w:line="360" w:lineRule="auto"/>
        <w:rPr>
          <w:rFonts w:cs="宋体"/>
          <w:color w:val="auto"/>
          <w:highlight w:val="none"/>
        </w:rPr>
      </w:pPr>
      <w:r>
        <w:rPr>
          <w:rFonts w:hint="eastAsia" w:cs="宋体"/>
          <w:color w:val="auto"/>
          <w:highlight w:val="none"/>
        </w:rPr>
        <w:t>7.4政府采购合同已经履行，给采购人、供应商造成损失的，由责任人承担赔偿责任。</w:t>
      </w:r>
    </w:p>
    <w:p w14:paraId="540AEE44">
      <w:pPr>
        <w:pStyle w:val="27"/>
        <w:shd w:val="clear"/>
        <w:snapToGrid w:val="0"/>
        <w:spacing w:line="360" w:lineRule="auto"/>
        <w:rPr>
          <w:rFonts w:ascii="宋体" w:hAnsi="宋体" w:cs="宋体"/>
          <w:b/>
          <w:color w:val="auto"/>
          <w:sz w:val="36"/>
          <w:szCs w:val="36"/>
          <w:highlight w:val="none"/>
        </w:rPr>
      </w:pPr>
      <w:r>
        <w:rPr>
          <w:rFonts w:hint="eastAsia" w:cs="宋体"/>
          <w:color w:val="auto"/>
          <w:highlight w:val="none"/>
        </w:rPr>
        <w:t>7.5政府采购当事人有其他违反政府采购法或者政府采购法实施条例等法律法规规定的行为，经改正后仍然影响或者可能影响中标结果或者依法被认定为中标无效的，依照7.1-7.4规定处理。</w:t>
      </w:r>
      <w:bookmarkEnd w:id="27"/>
      <w:bookmarkStart w:id="394" w:name="第五部分"/>
      <w:bookmarkStart w:id="395" w:name="_Toc86217003"/>
      <w:r>
        <w:rPr>
          <w:rFonts w:hint="eastAsia" w:ascii="宋体" w:hAnsi="宋体" w:cs="宋体"/>
          <w:b/>
          <w:color w:val="auto"/>
          <w:sz w:val="36"/>
          <w:szCs w:val="36"/>
          <w:highlight w:val="none"/>
        </w:rPr>
        <w:t xml:space="preserve">    </w:t>
      </w:r>
    </w:p>
    <w:p w14:paraId="05B111C6">
      <w:pPr>
        <w:widowControl/>
        <w:shd w:val="clear"/>
        <w:adjustRightInd/>
        <w:ind w:firstLine="2168" w:firstLineChars="600"/>
        <w:jc w:val="left"/>
        <w:rPr>
          <w:rFonts w:hint="eastAsia" w:ascii="宋体" w:hAnsi="宋体" w:cs="宋体"/>
          <w:b/>
          <w:color w:val="auto"/>
          <w:sz w:val="36"/>
          <w:szCs w:val="36"/>
          <w:highlight w:val="none"/>
        </w:rPr>
        <w:sectPr>
          <w:pgSz w:w="11907" w:h="16840"/>
          <w:pgMar w:top="1474" w:right="1814" w:bottom="1474" w:left="1814" w:header="851" w:footer="851" w:gutter="0"/>
          <w:cols w:space="720" w:num="1"/>
        </w:sectPr>
      </w:pPr>
    </w:p>
    <w:p w14:paraId="2A9A51B6">
      <w:pPr>
        <w:widowControl/>
        <w:shd w:val="clear"/>
        <w:adjustRightInd/>
        <w:ind w:firstLine="2168" w:firstLineChars="600"/>
        <w:jc w:val="left"/>
        <w:rPr>
          <w:rFonts w:ascii="宋体" w:hAnsi="宋体" w:cs="宋体"/>
          <w:b/>
          <w:color w:val="auto"/>
          <w:sz w:val="36"/>
          <w:szCs w:val="36"/>
          <w:highlight w:val="none"/>
        </w:rPr>
      </w:pPr>
      <w:r>
        <w:rPr>
          <w:rFonts w:hint="eastAsia" w:ascii="宋体" w:hAnsi="宋体" w:cs="宋体"/>
          <w:b/>
          <w:color w:val="auto"/>
          <w:sz w:val="36"/>
          <w:szCs w:val="36"/>
          <w:highlight w:val="none"/>
        </w:rPr>
        <w:t>第五部分 拟签订的合同文本</w:t>
      </w:r>
    </w:p>
    <w:p w14:paraId="69299B8A">
      <w:pPr>
        <w:shd w:val="clear"/>
        <w:rPr>
          <w:rFonts w:ascii="宋体" w:hAnsi="宋体" w:cs="宋体"/>
          <w:color w:val="auto"/>
          <w:sz w:val="24"/>
          <w:highlight w:val="none"/>
          <w:u w:val="single"/>
        </w:rPr>
      </w:pPr>
      <w:r>
        <w:rPr>
          <w:rFonts w:hint="eastAsia" w:ascii="宋体" w:hAnsi="宋体" w:cs="宋体"/>
          <w:color w:val="auto"/>
          <w:sz w:val="24"/>
          <w:highlight w:val="none"/>
        </w:rPr>
        <w:t>合同编号：</w:t>
      </w:r>
      <w:r>
        <w:rPr>
          <w:rFonts w:hint="eastAsia" w:ascii="宋体" w:hAnsi="宋体" w:cs="宋体"/>
          <w:color w:val="auto"/>
          <w:sz w:val="24"/>
          <w:highlight w:val="none"/>
          <w:u w:val="single"/>
        </w:rPr>
        <w:t xml:space="preserve">           </w:t>
      </w:r>
    </w:p>
    <w:p w14:paraId="27230CDF">
      <w:pPr>
        <w:shd w:val="clear"/>
        <w:spacing w:line="480" w:lineRule="auto"/>
        <w:jc w:val="center"/>
        <w:rPr>
          <w:rFonts w:ascii="宋体" w:hAnsi="宋体" w:cs="宋体"/>
          <w:b/>
          <w:color w:val="auto"/>
          <w:sz w:val="28"/>
          <w:szCs w:val="28"/>
          <w:highlight w:val="none"/>
        </w:rPr>
      </w:pPr>
    </w:p>
    <w:p w14:paraId="1AD42521">
      <w:pPr>
        <w:shd w:val="clear"/>
        <w:spacing w:line="480" w:lineRule="auto"/>
        <w:jc w:val="center"/>
        <w:rPr>
          <w:rFonts w:ascii="宋体" w:hAnsi="宋体" w:cs="宋体"/>
          <w:b/>
          <w:color w:val="auto"/>
          <w:sz w:val="24"/>
          <w:highlight w:val="none"/>
        </w:rPr>
      </w:pPr>
    </w:p>
    <w:p w14:paraId="06074FBD">
      <w:pPr>
        <w:shd w:val="clear"/>
        <w:spacing w:line="480" w:lineRule="auto"/>
        <w:jc w:val="center"/>
        <w:rPr>
          <w:rFonts w:ascii="宋体" w:hAnsi="宋体" w:cs="宋体"/>
          <w:b/>
          <w:color w:val="auto"/>
          <w:sz w:val="24"/>
          <w:highlight w:val="none"/>
        </w:rPr>
      </w:pPr>
    </w:p>
    <w:p w14:paraId="7DAD3897">
      <w:pPr>
        <w:shd w:val="clear"/>
        <w:spacing w:line="480" w:lineRule="auto"/>
        <w:jc w:val="center"/>
        <w:rPr>
          <w:rFonts w:ascii="宋体" w:hAnsi="宋体" w:cs="宋体"/>
          <w:b/>
          <w:color w:val="auto"/>
          <w:sz w:val="36"/>
          <w:szCs w:val="36"/>
          <w:highlight w:val="none"/>
        </w:rPr>
      </w:pPr>
      <w:r>
        <w:rPr>
          <w:rFonts w:hint="eastAsia" w:ascii="宋体" w:hAnsi="宋体" w:cs="宋体"/>
          <w:b/>
          <w:color w:val="auto"/>
          <w:sz w:val="36"/>
          <w:szCs w:val="36"/>
          <w:highlight w:val="none"/>
        </w:rPr>
        <w:t>政府采购合同参考范本</w:t>
      </w:r>
    </w:p>
    <w:p w14:paraId="72F97A8E">
      <w:pPr>
        <w:shd w:val="clear"/>
        <w:spacing w:line="480" w:lineRule="auto"/>
        <w:jc w:val="center"/>
        <w:rPr>
          <w:rFonts w:ascii="宋体" w:hAnsi="宋体" w:cs="宋体"/>
          <w:b/>
          <w:color w:val="auto"/>
          <w:sz w:val="36"/>
          <w:szCs w:val="36"/>
          <w:highlight w:val="none"/>
        </w:rPr>
      </w:pPr>
      <w:r>
        <w:rPr>
          <w:rFonts w:hint="eastAsia" w:ascii="宋体" w:hAnsi="宋体" w:cs="宋体"/>
          <w:b/>
          <w:color w:val="auto"/>
          <w:sz w:val="36"/>
          <w:szCs w:val="36"/>
          <w:highlight w:val="none"/>
        </w:rPr>
        <w:t>（服务类）</w:t>
      </w:r>
    </w:p>
    <w:p w14:paraId="0ECAD54F">
      <w:pPr>
        <w:pStyle w:val="699"/>
        <w:shd w:val="clear"/>
        <w:ind w:firstLine="2843" w:firstLineChars="1180"/>
        <w:rPr>
          <w:rFonts w:ascii="宋体" w:hAnsi="宋体" w:cs="宋体"/>
          <w:b/>
          <w:color w:val="auto"/>
          <w:szCs w:val="24"/>
          <w:highlight w:val="none"/>
        </w:rPr>
      </w:pPr>
      <w:r>
        <w:rPr>
          <w:rFonts w:hint="eastAsia" w:ascii="宋体" w:hAnsi="宋体" w:cs="宋体"/>
          <w:b/>
          <w:color w:val="auto"/>
          <w:szCs w:val="24"/>
          <w:highlight w:val="none"/>
        </w:rPr>
        <w:t>第一部分 合同书</w:t>
      </w:r>
    </w:p>
    <w:p w14:paraId="04430BA1">
      <w:pPr>
        <w:shd w:val="clear"/>
        <w:spacing w:before="120" w:line="22" w:lineRule="atLeast"/>
        <w:rPr>
          <w:rFonts w:ascii="宋体" w:hAnsi="宋体" w:cs="宋体"/>
          <w:color w:val="auto"/>
          <w:sz w:val="24"/>
          <w:highlight w:val="none"/>
        </w:rPr>
      </w:pPr>
    </w:p>
    <w:p w14:paraId="433716F4">
      <w:pPr>
        <w:pStyle w:val="5"/>
        <w:shd w:val="clear"/>
        <w:rPr>
          <w:color w:val="auto"/>
          <w:highlight w:val="none"/>
        </w:rPr>
      </w:pPr>
    </w:p>
    <w:p w14:paraId="48A7538E">
      <w:pPr>
        <w:shd w:val="clear"/>
        <w:spacing w:before="120" w:line="22" w:lineRule="atLeast"/>
        <w:ind w:left="960"/>
        <w:rPr>
          <w:rFonts w:ascii="宋体" w:hAnsi="宋体" w:cs="宋体"/>
          <w:color w:val="auto"/>
          <w:sz w:val="24"/>
          <w:highlight w:val="none"/>
        </w:rPr>
      </w:pPr>
      <w:r>
        <w:rPr>
          <w:rFonts w:hint="eastAsia" w:ascii="宋体" w:hAnsi="宋体" w:cs="宋体"/>
          <w:color w:val="auto"/>
          <w:sz w:val="24"/>
          <w:highlight w:val="none"/>
        </w:rPr>
        <w:t>项目名称：</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eastAsia="zh-CN"/>
        </w:rPr>
        <w:t>宁波市海曙区各集中管理办公区等食堂原材料采购项目（蔬果类）</w:t>
      </w:r>
      <w:r>
        <w:rPr>
          <w:rFonts w:hint="eastAsia" w:ascii="宋体" w:hAnsi="宋体" w:cs="宋体"/>
          <w:color w:val="auto"/>
          <w:sz w:val="24"/>
          <w:highlight w:val="none"/>
          <w:u w:val="single"/>
        </w:rPr>
        <w:t xml:space="preserve">   </w:t>
      </w:r>
    </w:p>
    <w:p w14:paraId="7987C172">
      <w:pPr>
        <w:pStyle w:val="596"/>
        <w:shd w:val="clear"/>
        <w:spacing w:before="120" w:line="22" w:lineRule="atLeast"/>
        <w:rPr>
          <w:rFonts w:ascii="宋体" w:hAnsi="宋体" w:eastAsia="宋体" w:cs="宋体"/>
          <w:color w:val="auto"/>
          <w:szCs w:val="24"/>
          <w:highlight w:val="none"/>
        </w:rPr>
      </w:pPr>
    </w:p>
    <w:p w14:paraId="78F76407">
      <w:pPr>
        <w:pStyle w:val="596"/>
        <w:shd w:val="clear"/>
        <w:spacing w:before="120" w:line="22" w:lineRule="atLeast"/>
        <w:rPr>
          <w:rFonts w:ascii="宋体" w:hAnsi="宋体" w:eastAsia="宋体" w:cs="宋体"/>
          <w:color w:val="auto"/>
          <w:szCs w:val="24"/>
          <w:highlight w:val="none"/>
        </w:rPr>
      </w:pPr>
    </w:p>
    <w:p w14:paraId="203CB0F2">
      <w:pPr>
        <w:shd w:val="clear"/>
        <w:rPr>
          <w:rFonts w:ascii="宋体" w:hAnsi="宋体" w:cs="宋体"/>
          <w:color w:val="auto"/>
          <w:sz w:val="24"/>
          <w:highlight w:val="none"/>
        </w:rPr>
      </w:pPr>
    </w:p>
    <w:p w14:paraId="05FBC749">
      <w:pPr>
        <w:shd w:val="clear"/>
        <w:spacing w:before="120" w:line="22" w:lineRule="atLeast"/>
        <w:ind w:left="960"/>
        <w:rPr>
          <w:rFonts w:ascii="宋体" w:hAnsi="宋体" w:cs="宋体"/>
          <w:color w:val="auto"/>
          <w:sz w:val="24"/>
          <w:highlight w:val="none"/>
          <w:u w:val="single"/>
        </w:rPr>
      </w:pPr>
      <w:r>
        <w:rPr>
          <w:rFonts w:hint="eastAsia" w:ascii="宋体" w:hAnsi="宋体" w:cs="宋体"/>
          <w:color w:val="auto"/>
          <w:sz w:val="24"/>
          <w:highlight w:val="none"/>
        </w:rPr>
        <w:t>甲方：</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eastAsia="zh-CN"/>
        </w:rPr>
        <w:t>宁波市海曙区机关事务管理局</w:t>
      </w:r>
      <w:r>
        <w:rPr>
          <w:rFonts w:hint="eastAsia" w:ascii="宋体" w:hAnsi="宋体" w:cs="宋体"/>
          <w:color w:val="auto"/>
          <w:sz w:val="24"/>
          <w:highlight w:val="none"/>
          <w:u w:val="single"/>
          <w:lang w:val="en-US" w:eastAsia="zh-CN"/>
        </w:rPr>
        <w:t>/宁波市海曙区人民政府鼓楼街道办事处</w:t>
      </w:r>
      <w:r>
        <w:rPr>
          <w:rFonts w:hint="eastAsia" w:ascii="宋体" w:hAnsi="宋体" w:cs="宋体"/>
          <w:color w:val="auto"/>
          <w:sz w:val="24"/>
          <w:highlight w:val="none"/>
          <w:u w:val="single"/>
        </w:rPr>
        <w:t xml:space="preserve">   </w:t>
      </w:r>
    </w:p>
    <w:p w14:paraId="067427E3">
      <w:pPr>
        <w:shd w:val="clear"/>
        <w:spacing w:before="120" w:line="22" w:lineRule="atLeast"/>
        <w:rPr>
          <w:rFonts w:ascii="宋体" w:hAnsi="宋体" w:cs="宋体"/>
          <w:color w:val="auto"/>
          <w:sz w:val="24"/>
          <w:highlight w:val="none"/>
        </w:rPr>
      </w:pPr>
    </w:p>
    <w:p w14:paraId="1E085667">
      <w:pPr>
        <w:shd w:val="clear"/>
        <w:spacing w:before="120" w:line="22" w:lineRule="atLeast"/>
        <w:ind w:left="960"/>
        <w:rPr>
          <w:rFonts w:ascii="宋体" w:hAnsi="宋体" w:cs="宋体"/>
          <w:color w:val="auto"/>
          <w:sz w:val="24"/>
          <w:highlight w:val="none"/>
          <w:u w:val="single"/>
        </w:rPr>
      </w:pPr>
      <w:r>
        <w:rPr>
          <w:rFonts w:hint="eastAsia" w:ascii="宋体" w:hAnsi="宋体" w:cs="宋体"/>
          <w:color w:val="auto"/>
          <w:sz w:val="24"/>
          <w:highlight w:val="none"/>
        </w:rPr>
        <w:t>乙方：</w:t>
      </w:r>
      <w:r>
        <w:rPr>
          <w:rFonts w:hint="eastAsia" w:ascii="宋体" w:hAnsi="宋体" w:cs="宋体"/>
          <w:color w:val="auto"/>
          <w:sz w:val="24"/>
          <w:highlight w:val="none"/>
          <w:u w:val="single"/>
        </w:rPr>
        <w:t xml:space="preserve">                                       </w:t>
      </w:r>
    </w:p>
    <w:p w14:paraId="088ADD39">
      <w:pPr>
        <w:shd w:val="clear"/>
        <w:spacing w:before="120" w:line="22" w:lineRule="atLeast"/>
        <w:rPr>
          <w:rFonts w:ascii="宋体" w:hAnsi="宋体" w:cs="宋体"/>
          <w:color w:val="auto"/>
          <w:sz w:val="24"/>
          <w:highlight w:val="none"/>
        </w:rPr>
      </w:pPr>
    </w:p>
    <w:p w14:paraId="68771B13">
      <w:pPr>
        <w:shd w:val="clear"/>
        <w:spacing w:before="120" w:line="22" w:lineRule="atLeast"/>
        <w:ind w:firstLine="960" w:firstLineChars="400"/>
        <w:rPr>
          <w:rFonts w:ascii="宋体" w:hAnsi="宋体" w:cs="宋体"/>
          <w:color w:val="auto"/>
          <w:sz w:val="24"/>
          <w:highlight w:val="none"/>
          <w:u w:val="single"/>
        </w:rPr>
      </w:pPr>
      <w:r>
        <w:rPr>
          <w:rFonts w:hint="eastAsia" w:ascii="宋体" w:hAnsi="宋体" w:cs="宋体"/>
          <w:color w:val="auto"/>
          <w:sz w:val="24"/>
          <w:highlight w:val="none"/>
        </w:rPr>
        <w:t>签订地：</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eastAsia="zh-CN"/>
        </w:rPr>
        <w:t>宁波市海曙区</w:t>
      </w:r>
      <w:r>
        <w:rPr>
          <w:rFonts w:hint="eastAsia" w:ascii="宋体" w:hAnsi="宋体" w:cs="宋体"/>
          <w:color w:val="auto"/>
          <w:sz w:val="24"/>
          <w:highlight w:val="none"/>
          <w:u w:val="single"/>
        </w:rPr>
        <w:t xml:space="preserve">              </w:t>
      </w:r>
    </w:p>
    <w:p w14:paraId="5B936C34">
      <w:pPr>
        <w:shd w:val="clear"/>
        <w:spacing w:before="120" w:line="22" w:lineRule="atLeast"/>
        <w:rPr>
          <w:rFonts w:ascii="宋体" w:hAnsi="宋体" w:cs="宋体"/>
          <w:color w:val="auto"/>
          <w:sz w:val="24"/>
          <w:highlight w:val="none"/>
        </w:rPr>
      </w:pPr>
    </w:p>
    <w:p w14:paraId="7E13B8BB">
      <w:pPr>
        <w:shd w:val="clear"/>
        <w:spacing w:before="120" w:line="22" w:lineRule="atLeast"/>
        <w:ind w:firstLine="960" w:firstLineChars="400"/>
        <w:rPr>
          <w:rFonts w:ascii="宋体" w:hAnsi="宋体" w:cs="宋体"/>
          <w:color w:val="auto"/>
          <w:sz w:val="24"/>
          <w:highlight w:val="none"/>
          <w:u w:val="single"/>
        </w:rPr>
      </w:pPr>
      <w:r>
        <w:rPr>
          <w:rFonts w:hint="eastAsia" w:ascii="宋体" w:hAnsi="宋体" w:cs="宋体"/>
          <w:color w:val="auto"/>
          <w:sz w:val="24"/>
          <w:highlight w:val="none"/>
        </w:rPr>
        <w:t>签订日期：</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2025</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日</w:t>
      </w:r>
    </w:p>
    <w:p w14:paraId="14B979D2">
      <w:pPr>
        <w:widowControl/>
        <w:shd w:val="clear"/>
        <w:jc w:val="left"/>
        <w:rPr>
          <w:rFonts w:ascii="宋体" w:hAnsi="宋体" w:cs="宋体"/>
          <w:color w:val="auto"/>
          <w:kern w:val="0"/>
          <w:sz w:val="24"/>
          <w:highlight w:val="none"/>
        </w:rPr>
        <w:sectPr>
          <w:pgSz w:w="11907" w:h="16840"/>
          <w:pgMar w:top="1474" w:right="1814" w:bottom="1474" w:left="1814" w:header="851" w:footer="851" w:gutter="0"/>
          <w:cols w:space="720" w:num="1"/>
        </w:sectPr>
      </w:pPr>
    </w:p>
    <w:p w14:paraId="3376AB19">
      <w:pPr>
        <w:shd w:val="clear"/>
        <w:rPr>
          <w:rFonts w:ascii="宋体" w:hAnsi="宋体" w:cs="宋体"/>
          <w:b/>
          <w:color w:val="auto"/>
          <w:sz w:val="24"/>
          <w:highlight w:val="none"/>
        </w:rPr>
      </w:pPr>
    </w:p>
    <w:p w14:paraId="70D3866A">
      <w:pPr>
        <w:shd w:val="clear"/>
        <w:spacing w:line="560" w:lineRule="exact"/>
        <w:ind w:firstLine="480" w:firstLineChars="200"/>
        <w:rPr>
          <w:rFonts w:ascii="宋体" w:hAnsi="宋体"/>
          <w:color w:val="auto"/>
          <w:sz w:val="24"/>
          <w:highlight w:val="none"/>
        </w:rPr>
      </w:pPr>
      <w:r>
        <w:rPr>
          <w:rFonts w:ascii="宋体" w:hAnsi="宋体"/>
          <w:color w:val="auto"/>
          <w:sz w:val="24"/>
          <w:highlight w:val="none"/>
          <w:u w:val="single"/>
          <w:lang w:val="zh-CN"/>
        </w:rPr>
        <w:t xml:space="preserve"> </w:t>
      </w:r>
      <w:r>
        <w:rPr>
          <w:rFonts w:hint="eastAsia" w:ascii="宋体" w:hAnsi="宋体"/>
          <w:color w:val="auto"/>
          <w:sz w:val="24"/>
          <w:highlight w:val="none"/>
          <w:u w:val="single"/>
          <w:lang w:val="en-US" w:eastAsia="zh-CN"/>
        </w:rPr>
        <w:t>2025</w:t>
      </w:r>
      <w:r>
        <w:rPr>
          <w:rFonts w:hint="eastAsia" w:ascii="宋体" w:hAnsi="宋体"/>
          <w:color w:val="auto"/>
          <w:sz w:val="24"/>
          <w:highlight w:val="none"/>
          <w:lang w:val="zh-CN"/>
        </w:rPr>
        <w:t>年</w:t>
      </w:r>
      <w:r>
        <w:rPr>
          <w:rFonts w:ascii="宋体" w:hAnsi="宋体"/>
          <w:color w:val="auto"/>
          <w:sz w:val="24"/>
          <w:highlight w:val="none"/>
          <w:u w:val="single"/>
          <w:lang w:val="zh-CN"/>
        </w:rPr>
        <w:t xml:space="preserve"> </w:t>
      </w:r>
      <w:r>
        <w:rPr>
          <w:rFonts w:hint="eastAsia" w:ascii="宋体" w:hAnsi="宋体"/>
          <w:color w:val="auto"/>
          <w:sz w:val="24"/>
          <w:highlight w:val="none"/>
          <w:u w:val="single"/>
          <w:lang w:val="en-US" w:eastAsia="zh-CN"/>
        </w:rPr>
        <w:t xml:space="preserve">   </w:t>
      </w:r>
      <w:r>
        <w:rPr>
          <w:rFonts w:hint="eastAsia" w:ascii="宋体" w:hAnsi="宋体"/>
          <w:color w:val="auto"/>
          <w:sz w:val="24"/>
          <w:highlight w:val="none"/>
          <w:lang w:val="zh-CN"/>
        </w:rPr>
        <w:t>月</w:t>
      </w:r>
      <w:r>
        <w:rPr>
          <w:rFonts w:ascii="宋体" w:hAnsi="宋体"/>
          <w:color w:val="auto"/>
          <w:sz w:val="24"/>
          <w:highlight w:val="none"/>
          <w:u w:val="single"/>
          <w:lang w:val="zh-CN"/>
        </w:rPr>
        <w:t xml:space="preserve">    </w:t>
      </w:r>
      <w:r>
        <w:rPr>
          <w:rFonts w:hint="eastAsia" w:ascii="宋体" w:hAnsi="宋体"/>
          <w:color w:val="auto"/>
          <w:sz w:val="24"/>
          <w:highlight w:val="none"/>
          <w:lang w:val="zh-CN"/>
        </w:rPr>
        <w:t>日</w:t>
      </w:r>
      <w:r>
        <w:rPr>
          <w:rFonts w:hint="eastAsia" w:ascii="宋体" w:hAnsi="宋体"/>
          <w:color w:val="auto"/>
          <w:sz w:val="24"/>
          <w:highlight w:val="none"/>
        </w:rPr>
        <w:t>，</w:t>
      </w:r>
      <w:r>
        <w:rPr>
          <w:rFonts w:ascii="宋体" w:hAnsi="宋体"/>
          <w:color w:val="auto"/>
          <w:sz w:val="24"/>
          <w:highlight w:val="none"/>
          <w:u w:val="single"/>
        </w:rPr>
        <w:t xml:space="preserve"> </w:t>
      </w:r>
      <w:r>
        <w:rPr>
          <w:rFonts w:hint="eastAsia" w:ascii="宋体" w:hAnsi="宋体"/>
          <w:color w:val="auto"/>
          <w:sz w:val="24"/>
          <w:highlight w:val="none"/>
          <w:u w:val="single"/>
          <w:lang w:eastAsia="zh-CN"/>
        </w:rPr>
        <w:t>宁波市海曙区机关事务管理局</w:t>
      </w:r>
      <w:r>
        <w:rPr>
          <w:rFonts w:hint="eastAsia" w:ascii="宋体" w:hAnsi="宋体"/>
          <w:color w:val="auto"/>
          <w:sz w:val="24"/>
          <w:highlight w:val="none"/>
          <w:u w:val="single"/>
          <w:lang w:val="en-US" w:eastAsia="zh-CN"/>
        </w:rPr>
        <w:t>/宁波市海曙区人民政府鼓楼街道办事处</w:t>
      </w:r>
      <w:r>
        <w:rPr>
          <w:rFonts w:ascii="宋体" w:hAnsi="宋体"/>
          <w:color w:val="auto"/>
          <w:sz w:val="24"/>
          <w:highlight w:val="none"/>
          <w:u w:val="single"/>
        </w:rPr>
        <w:t xml:space="preserve"> </w:t>
      </w:r>
      <w:r>
        <w:rPr>
          <w:rFonts w:hint="eastAsia" w:ascii="宋体" w:hAnsi="宋体"/>
          <w:color w:val="auto"/>
          <w:sz w:val="24"/>
          <w:highlight w:val="none"/>
        </w:rPr>
        <w:t>以</w:t>
      </w:r>
      <w:r>
        <w:rPr>
          <w:rFonts w:ascii="宋体" w:hAnsi="宋体"/>
          <w:color w:val="auto"/>
          <w:sz w:val="24"/>
          <w:highlight w:val="none"/>
          <w:u w:val="single"/>
        </w:rPr>
        <w:t xml:space="preserve"> </w:t>
      </w:r>
      <w:r>
        <w:rPr>
          <w:rFonts w:hint="eastAsia" w:ascii="宋体" w:hAnsi="宋体"/>
          <w:color w:val="auto"/>
          <w:sz w:val="24"/>
          <w:highlight w:val="none"/>
          <w:u w:val="single"/>
          <w:lang w:val="en-US" w:eastAsia="zh-CN"/>
        </w:rPr>
        <w:t>公开招标</w:t>
      </w:r>
      <w:r>
        <w:rPr>
          <w:rFonts w:ascii="宋体" w:hAnsi="宋体"/>
          <w:color w:val="auto"/>
          <w:sz w:val="24"/>
          <w:highlight w:val="none"/>
          <w:u w:val="single"/>
        </w:rPr>
        <w:t xml:space="preserve"> </w:t>
      </w:r>
      <w:r>
        <w:rPr>
          <w:rFonts w:hint="eastAsia" w:ascii="宋体" w:hAnsi="宋体"/>
          <w:color w:val="auto"/>
          <w:sz w:val="24"/>
          <w:highlight w:val="none"/>
        </w:rPr>
        <w:t>对</w:t>
      </w:r>
      <w:r>
        <w:rPr>
          <w:rFonts w:ascii="宋体" w:hAnsi="宋体"/>
          <w:color w:val="auto"/>
          <w:sz w:val="24"/>
          <w:highlight w:val="none"/>
          <w:u w:val="single"/>
        </w:rPr>
        <w:t xml:space="preserve"> </w:t>
      </w:r>
      <w:r>
        <w:rPr>
          <w:rFonts w:hint="eastAsia" w:ascii="宋体" w:hAnsi="宋体"/>
          <w:color w:val="auto"/>
          <w:sz w:val="24"/>
          <w:highlight w:val="none"/>
          <w:u w:val="single"/>
          <w:lang w:eastAsia="zh-CN"/>
        </w:rPr>
        <w:t>宁波市海曙区各集中管理办公区等食堂原材料采购项目（蔬果类）</w:t>
      </w:r>
      <w:r>
        <w:rPr>
          <w:rFonts w:hint="eastAsia" w:ascii="宋体" w:hAnsi="宋体"/>
          <w:color w:val="auto"/>
          <w:sz w:val="24"/>
          <w:highlight w:val="none"/>
        </w:rPr>
        <w:t>进行了采购。经</w:t>
      </w:r>
      <w:r>
        <w:rPr>
          <w:rFonts w:hint="eastAsia" w:ascii="宋体" w:hAnsi="宋体"/>
          <w:color w:val="auto"/>
          <w:sz w:val="24"/>
          <w:highlight w:val="none"/>
          <w:u w:val="single"/>
          <w:lang w:val="en-US" w:eastAsia="zh-CN"/>
        </w:rPr>
        <w:t>评标委员会</w:t>
      </w:r>
      <w:r>
        <w:rPr>
          <w:rFonts w:hint="eastAsia" w:ascii="宋体" w:hAnsi="宋体"/>
          <w:color w:val="auto"/>
          <w:sz w:val="24"/>
          <w:highlight w:val="none"/>
        </w:rPr>
        <w:t>评定，</w:t>
      </w:r>
      <w:r>
        <w:rPr>
          <w:rFonts w:ascii="宋体" w:hAnsi="宋体"/>
          <w:color w:val="auto"/>
          <w:sz w:val="24"/>
          <w:highlight w:val="none"/>
          <w:u w:val="single"/>
        </w:rPr>
        <w:t xml:space="preserve">   （中标供应商名称） </w:t>
      </w:r>
      <w:r>
        <w:rPr>
          <w:rFonts w:hint="eastAsia" w:ascii="宋体" w:hAnsi="宋体"/>
          <w:color w:val="auto"/>
          <w:sz w:val="24"/>
          <w:highlight w:val="none"/>
        </w:rPr>
        <w:t>为该项目</w:t>
      </w:r>
      <w:r>
        <w:rPr>
          <w:rFonts w:hint="eastAsia" w:ascii="宋体" w:hAnsi="宋体" w:cs="宋体"/>
          <w:color w:val="auto"/>
          <w:sz w:val="24"/>
          <w:highlight w:val="none"/>
        </w:rPr>
        <w:t>中标供应商</w:t>
      </w:r>
      <w:r>
        <w:rPr>
          <w:rFonts w:hint="eastAsia" w:ascii="宋体" w:hAnsi="宋体"/>
          <w:color w:val="auto"/>
          <w:sz w:val="24"/>
          <w:highlight w:val="none"/>
        </w:rPr>
        <w:t>。</w:t>
      </w:r>
    </w:p>
    <w:p w14:paraId="4259B629">
      <w:pPr>
        <w:shd w:val="clear"/>
        <w:spacing w:line="560" w:lineRule="exact"/>
        <w:ind w:firstLine="480" w:firstLineChars="200"/>
        <w:rPr>
          <w:rFonts w:ascii="宋体" w:hAnsi="宋体"/>
          <w:color w:val="auto"/>
          <w:sz w:val="24"/>
          <w:highlight w:val="none"/>
        </w:rPr>
      </w:pPr>
      <w:r>
        <w:rPr>
          <w:rFonts w:hint="eastAsia" w:ascii="宋体" w:hAnsi="宋体"/>
          <w:color w:val="auto"/>
          <w:sz w:val="24"/>
          <w:highlight w:val="none"/>
          <w:lang w:val="zh-CN"/>
        </w:rPr>
        <w:t>根据《中华人民共和国民法典》《中华人民共和国政府采购法》等相关法律法规之规定，按照平等、自愿、公平和诚实信用的原则，经</w:t>
      </w:r>
      <w:r>
        <w:rPr>
          <w:rFonts w:ascii="宋体" w:hAnsi="宋体"/>
          <w:color w:val="auto"/>
          <w:sz w:val="24"/>
          <w:highlight w:val="none"/>
          <w:u w:val="single"/>
        </w:rPr>
        <w:t xml:space="preserve"> </w:t>
      </w:r>
      <w:r>
        <w:rPr>
          <w:rFonts w:hint="eastAsia" w:ascii="宋体" w:hAnsi="宋体"/>
          <w:color w:val="auto"/>
          <w:sz w:val="24"/>
          <w:highlight w:val="none"/>
          <w:u w:val="single"/>
          <w:lang w:eastAsia="zh-CN"/>
        </w:rPr>
        <w:t>宁波市海曙区机关事务管理局</w:t>
      </w:r>
      <w:r>
        <w:rPr>
          <w:rFonts w:hint="eastAsia" w:ascii="宋体" w:hAnsi="宋体"/>
          <w:color w:val="auto"/>
          <w:sz w:val="24"/>
          <w:highlight w:val="none"/>
          <w:u w:val="single"/>
          <w:lang w:val="en-US" w:eastAsia="zh-CN"/>
        </w:rPr>
        <w:t>/宁波市海曙区人民政府鼓楼街道办事处</w:t>
      </w:r>
      <w:r>
        <w:rPr>
          <w:rFonts w:ascii="宋体" w:hAnsi="宋体"/>
          <w:color w:val="auto"/>
          <w:sz w:val="24"/>
          <w:highlight w:val="none"/>
          <w:u w:val="single"/>
        </w:rPr>
        <w:t xml:space="preserve"> </w:t>
      </w:r>
      <w:r>
        <w:rPr>
          <w:rFonts w:hint="eastAsia" w:ascii="宋体" w:hAnsi="宋体"/>
          <w:color w:val="auto"/>
          <w:sz w:val="24"/>
          <w:highlight w:val="none"/>
          <w:u w:val="single"/>
          <w:lang w:eastAsia="zh-CN"/>
        </w:rPr>
        <w:t>（</w:t>
      </w:r>
      <w:r>
        <w:rPr>
          <w:rFonts w:ascii="宋体" w:hAnsi="宋体"/>
          <w:color w:val="auto"/>
          <w:sz w:val="24"/>
          <w:highlight w:val="none"/>
          <w:lang w:val="zh-CN"/>
        </w:rPr>
        <w:t>以下简称：甲方</w:t>
      </w:r>
      <w:r>
        <w:rPr>
          <w:rFonts w:hint="eastAsia" w:ascii="宋体" w:hAnsi="宋体"/>
          <w:color w:val="auto"/>
          <w:sz w:val="24"/>
          <w:highlight w:val="none"/>
          <w:lang w:val="zh-CN"/>
        </w:rPr>
        <w:t>）</w:t>
      </w:r>
      <w:r>
        <w:rPr>
          <w:rFonts w:ascii="宋体" w:hAnsi="宋体"/>
          <w:color w:val="auto"/>
          <w:sz w:val="24"/>
          <w:highlight w:val="none"/>
          <w:lang w:val="zh-CN"/>
        </w:rPr>
        <w:t>和</w:t>
      </w:r>
      <w:r>
        <w:rPr>
          <w:rFonts w:ascii="宋体" w:hAnsi="宋体"/>
          <w:color w:val="auto"/>
          <w:sz w:val="24"/>
          <w:highlight w:val="none"/>
          <w:u w:val="single"/>
        </w:rPr>
        <w:t xml:space="preserve">   （中</w:t>
      </w:r>
      <w:r>
        <w:rPr>
          <w:rFonts w:hint="eastAsia" w:ascii="宋体" w:hAnsi="宋体"/>
          <w:color w:val="auto"/>
          <w:sz w:val="24"/>
          <w:highlight w:val="none"/>
          <w:u w:val="single"/>
          <w:lang w:val="en-US" w:eastAsia="zh-CN"/>
        </w:rPr>
        <w:t>标</w:t>
      </w:r>
      <w:r>
        <w:rPr>
          <w:rFonts w:ascii="宋体" w:hAnsi="宋体"/>
          <w:color w:val="auto"/>
          <w:sz w:val="24"/>
          <w:highlight w:val="none"/>
          <w:u w:val="single"/>
        </w:rPr>
        <w:t xml:space="preserve">供应商名称）   </w:t>
      </w:r>
      <w:r>
        <w:rPr>
          <w:rFonts w:hint="eastAsia" w:ascii="宋体" w:hAnsi="宋体"/>
          <w:color w:val="auto"/>
          <w:sz w:val="24"/>
          <w:highlight w:val="none"/>
          <w:u w:val="single"/>
          <w:lang w:eastAsia="zh-CN"/>
        </w:rPr>
        <w:t>（</w:t>
      </w:r>
      <w:r>
        <w:rPr>
          <w:rFonts w:ascii="宋体" w:hAnsi="宋体"/>
          <w:color w:val="auto"/>
          <w:sz w:val="24"/>
          <w:highlight w:val="none"/>
          <w:lang w:val="zh-CN"/>
        </w:rPr>
        <w:t>以下简称：乙方</w:t>
      </w:r>
      <w:r>
        <w:rPr>
          <w:rFonts w:hint="eastAsia" w:ascii="宋体" w:hAnsi="宋体"/>
          <w:color w:val="auto"/>
          <w:sz w:val="24"/>
          <w:highlight w:val="none"/>
          <w:lang w:val="zh-CN"/>
        </w:rPr>
        <w:t>）</w:t>
      </w:r>
      <w:r>
        <w:rPr>
          <w:rFonts w:ascii="宋体" w:hAnsi="宋体"/>
          <w:color w:val="auto"/>
          <w:sz w:val="24"/>
          <w:highlight w:val="none"/>
          <w:lang w:val="zh-CN"/>
        </w:rPr>
        <w:t>协商一致，约定以下合同</w:t>
      </w:r>
      <w:r>
        <w:rPr>
          <w:rFonts w:hint="eastAsia" w:ascii="宋体" w:hAnsi="宋体"/>
          <w:color w:val="auto"/>
          <w:sz w:val="24"/>
          <w:highlight w:val="none"/>
        </w:rPr>
        <w:t>条款，以兹共同遵守、全面履行。</w:t>
      </w:r>
    </w:p>
    <w:p w14:paraId="082A1E61">
      <w:pPr>
        <w:shd w:val="clear"/>
        <w:spacing w:line="560" w:lineRule="exact"/>
        <w:ind w:firstLine="482" w:firstLineChars="200"/>
        <w:outlineLvl w:val="0"/>
        <w:rPr>
          <w:rFonts w:ascii="宋体" w:hAnsi="宋体"/>
          <w:color w:val="auto"/>
          <w:sz w:val="24"/>
          <w:highlight w:val="none"/>
        </w:rPr>
      </w:pPr>
      <w:bookmarkStart w:id="396" w:name="_Toc22967"/>
      <w:bookmarkStart w:id="397" w:name="_Toc15367"/>
      <w:bookmarkStart w:id="398" w:name="_Toc20421"/>
      <w:bookmarkStart w:id="399" w:name="_Toc28855"/>
      <w:bookmarkStart w:id="400" w:name="_Toc19273"/>
      <w:r>
        <w:rPr>
          <w:rFonts w:ascii="宋体" w:hAnsi="宋体"/>
          <w:b/>
          <w:color w:val="auto"/>
          <w:sz w:val="24"/>
          <w:highlight w:val="none"/>
        </w:rPr>
        <w:t xml:space="preserve">1.1 </w:t>
      </w:r>
      <w:r>
        <w:rPr>
          <w:rFonts w:hint="eastAsia" w:ascii="宋体" w:hAnsi="宋体"/>
          <w:b/>
          <w:color w:val="auto"/>
          <w:sz w:val="24"/>
          <w:highlight w:val="none"/>
        </w:rPr>
        <w:t>合同组成部分</w:t>
      </w:r>
      <w:bookmarkEnd w:id="396"/>
      <w:bookmarkEnd w:id="397"/>
      <w:bookmarkEnd w:id="398"/>
      <w:bookmarkEnd w:id="399"/>
      <w:bookmarkEnd w:id="400"/>
    </w:p>
    <w:p w14:paraId="59A88D31">
      <w:pPr>
        <w:shd w:val="clear"/>
        <w:spacing w:line="560" w:lineRule="exact"/>
        <w:ind w:firstLine="480" w:firstLineChars="200"/>
        <w:rPr>
          <w:rFonts w:ascii="宋体" w:hAnsi="宋体"/>
          <w:color w:val="auto"/>
          <w:sz w:val="24"/>
          <w:highlight w:val="none"/>
        </w:rPr>
      </w:pPr>
      <w:r>
        <w:rPr>
          <w:rFonts w:hint="eastAsia" w:ascii="宋体" w:hAnsi="宋体"/>
          <w:color w:val="auto"/>
          <w:sz w:val="24"/>
          <w:highlight w:val="none"/>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5F37B792">
      <w:pPr>
        <w:shd w:val="clea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1.1.1 </w:t>
      </w:r>
      <w:r>
        <w:rPr>
          <w:rFonts w:hint="eastAsia" w:ascii="宋体" w:hAnsi="宋体"/>
          <w:color w:val="auto"/>
          <w:sz w:val="24"/>
          <w:highlight w:val="none"/>
        </w:rPr>
        <w:t>本合同及其补充合同、变更协议；</w:t>
      </w:r>
    </w:p>
    <w:p w14:paraId="5299A25D">
      <w:pPr>
        <w:shd w:val="clea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1.1.2 </w:t>
      </w:r>
      <w:r>
        <w:rPr>
          <w:rFonts w:hint="eastAsia" w:ascii="宋体" w:hAnsi="宋体"/>
          <w:color w:val="auto"/>
          <w:sz w:val="24"/>
          <w:highlight w:val="none"/>
        </w:rPr>
        <w:t>中标或者成交通知书；</w:t>
      </w:r>
    </w:p>
    <w:p w14:paraId="4973CA4E">
      <w:pPr>
        <w:shd w:val="clea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1.1.3 </w:t>
      </w:r>
      <w:r>
        <w:rPr>
          <w:rFonts w:hint="eastAsia" w:ascii="宋体" w:hAnsi="宋体"/>
          <w:color w:val="auto"/>
          <w:sz w:val="24"/>
          <w:highlight w:val="none"/>
        </w:rPr>
        <w:t>投标或者响应文件（含澄清或者说明文件）；</w:t>
      </w:r>
    </w:p>
    <w:p w14:paraId="4A1B8DE7">
      <w:pPr>
        <w:shd w:val="clea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1.1.4 </w:t>
      </w:r>
      <w:r>
        <w:rPr>
          <w:rFonts w:hint="eastAsia" w:ascii="宋体" w:hAnsi="宋体"/>
          <w:color w:val="auto"/>
          <w:sz w:val="24"/>
          <w:highlight w:val="none"/>
        </w:rPr>
        <w:t>采购文件（含澄清或者修改文件）；</w:t>
      </w:r>
    </w:p>
    <w:p w14:paraId="2CBB62BA">
      <w:pPr>
        <w:shd w:val="clea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1.1.5 </w:t>
      </w:r>
      <w:r>
        <w:rPr>
          <w:rFonts w:hint="eastAsia" w:ascii="宋体" w:hAnsi="宋体"/>
          <w:color w:val="auto"/>
          <w:sz w:val="24"/>
          <w:highlight w:val="none"/>
        </w:rPr>
        <w:t>其他相关采购文件。</w:t>
      </w:r>
    </w:p>
    <w:p w14:paraId="01D49745">
      <w:pPr>
        <w:shd w:val="clear"/>
        <w:spacing w:line="560" w:lineRule="exact"/>
        <w:ind w:firstLine="482" w:firstLineChars="200"/>
        <w:outlineLvl w:val="0"/>
        <w:rPr>
          <w:rFonts w:ascii="宋体" w:hAnsi="宋体"/>
          <w:b/>
          <w:color w:val="auto"/>
          <w:sz w:val="24"/>
          <w:highlight w:val="none"/>
        </w:rPr>
      </w:pPr>
      <w:bookmarkStart w:id="401" w:name="_Toc6773"/>
      <w:bookmarkStart w:id="402" w:name="_Toc2918"/>
      <w:bookmarkStart w:id="403" w:name="_Toc6311"/>
      <w:bookmarkStart w:id="404" w:name="_Toc22185"/>
      <w:bookmarkStart w:id="405" w:name="_Toc18585"/>
      <w:r>
        <w:rPr>
          <w:rFonts w:ascii="宋体" w:hAnsi="宋体"/>
          <w:b/>
          <w:color w:val="auto"/>
          <w:sz w:val="24"/>
          <w:highlight w:val="none"/>
        </w:rPr>
        <w:t xml:space="preserve">1.2 </w:t>
      </w:r>
      <w:r>
        <w:rPr>
          <w:rFonts w:hint="eastAsia" w:ascii="宋体" w:hAnsi="宋体"/>
          <w:b/>
          <w:color w:val="auto"/>
          <w:sz w:val="24"/>
          <w:highlight w:val="none"/>
        </w:rPr>
        <w:t>标的</w:t>
      </w:r>
      <w:bookmarkEnd w:id="401"/>
      <w:bookmarkEnd w:id="402"/>
      <w:bookmarkEnd w:id="403"/>
      <w:bookmarkEnd w:id="404"/>
      <w:bookmarkEnd w:id="405"/>
    </w:p>
    <w:p w14:paraId="0A3EF398">
      <w:pPr>
        <w:shd w:val="clear"/>
        <w:spacing w:line="560" w:lineRule="exact"/>
        <w:ind w:firstLine="480" w:firstLineChars="200"/>
        <w:rPr>
          <w:rFonts w:ascii="宋体" w:hAnsi="宋体"/>
          <w:color w:val="auto"/>
          <w:sz w:val="24"/>
          <w:highlight w:val="none"/>
          <w:u w:val="single"/>
        </w:rPr>
      </w:pPr>
      <w:r>
        <w:rPr>
          <w:rFonts w:ascii="宋体" w:hAnsi="宋体"/>
          <w:color w:val="auto"/>
          <w:sz w:val="24"/>
          <w:highlight w:val="none"/>
        </w:rPr>
        <w:t xml:space="preserve">1.2.1 </w:t>
      </w:r>
      <w:r>
        <w:rPr>
          <w:rFonts w:hint="eastAsia" w:ascii="宋体" w:hAnsi="宋体"/>
          <w:color w:val="auto"/>
          <w:sz w:val="24"/>
          <w:highlight w:val="none"/>
        </w:rPr>
        <w:t>服务内容</w:t>
      </w:r>
      <w:r>
        <w:rPr>
          <w:rFonts w:ascii="宋体" w:hAnsi="宋体"/>
          <w:color w:val="auto"/>
          <w:sz w:val="24"/>
          <w:highlight w:val="none"/>
        </w:rPr>
        <w:t>：</w:t>
      </w:r>
      <w:r>
        <w:rPr>
          <w:rFonts w:hint="eastAsia" w:ascii="宋体" w:hAnsi="宋体"/>
          <w:color w:val="auto"/>
          <w:sz w:val="24"/>
          <w:highlight w:val="none"/>
          <w:u w:val="single"/>
          <w:lang w:val="en-US" w:eastAsia="zh-CN"/>
        </w:rPr>
        <w:t>定点采购原材料（标项1：蔬菜及豆制品类；标项2：水果类；标项3：其他杂项类）</w:t>
      </w:r>
      <w:r>
        <w:rPr>
          <w:rFonts w:hint="eastAsia" w:ascii="宋体" w:hAnsi="宋体"/>
          <w:color w:val="auto"/>
          <w:sz w:val="24"/>
          <w:highlight w:val="none"/>
        </w:rPr>
        <w:t>；</w:t>
      </w:r>
    </w:p>
    <w:p w14:paraId="1512B0B3">
      <w:pPr>
        <w:shd w:val="clear"/>
        <w:spacing w:line="560" w:lineRule="exact"/>
        <w:ind w:firstLine="480" w:firstLineChars="200"/>
        <w:rPr>
          <w:rFonts w:ascii="宋体" w:hAnsi="宋体"/>
          <w:color w:val="auto"/>
          <w:sz w:val="24"/>
          <w:highlight w:val="none"/>
          <w:u w:val="single"/>
        </w:rPr>
      </w:pPr>
      <w:r>
        <w:rPr>
          <w:rFonts w:ascii="宋体" w:hAnsi="宋体"/>
          <w:color w:val="auto"/>
          <w:sz w:val="24"/>
          <w:highlight w:val="none"/>
        </w:rPr>
        <w:t xml:space="preserve">1.2.2 </w:t>
      </w:r>
      <w:r>
        <w:rPr>
          <w:rFonts w:hint="eastAsia" w:ascii="宋体" w:hAnsi="宋体"/>
          <w:color w:val="auto"/>
          <w:sz w:val="24"/>
          <w:highlight w:val="none"/>
        </w:rPr>
        <w:t>服务标准</w:t>
      </w:r>
      <w:r>
        <w:rPr>
          <w:rFonts w:ascii="宋体" w:hAnsi="宋体"/>
          <w:color w:val="auto"/>
          <w:sz w:val="24"/>
          <w:highlight w:val="none"/>
        </w:rPr>
        <w:t>：</w:t>
      </w:r>
      <w:r>
        <w:rPr>
          <w:rFonts w:hint="eastAsia" w:ascii="宋体" w:hAnsi="宋体"/>
          <w:color w:val="auto"/>
          <w:sz w:val="24"/>
          <w:highlight w:val="none"/>
          <w:u w:val="single"/>
        </w:rPr>
        <w:t>确保食堂用料保质保量、价格合理</w:t>
      </w:r>
      <w:r>
        <w:rPr>
          <w:rFonts w:hint="eastAsia" w:ascii="宋体" w:hAnsi="宋体"/>
          <w:color w:val="auto"/>
          <w:sz w:val="24"/>
          <w:highlight w:val="none"/>
        </w:rPr>
        <w:t>；</w:t>
      </w:r>
    </w:p>
    <w:p w14:paraId="085433B3">
      <w:pPr>
        <w:shd w:val="clear"/>
        <w:spacing w:line="560" w:lineRule="exact"/>
        <w:ind w:firstLine="480" w:firstLineChars="200"/>
        <w:rPr>
          <w:rFonts w:ascii="宋体" w:hAnsi="宋体"/>
          <w:color w:val="auto"/>
          <w:sz w:val="24"/>
          <w:highlight w:val="none"/>
          <w:u w:val="single"/>
        </w:rPr>
      </w:pPr>
      <w:r>
        <w:rPr>
          <w:rFonts w:ascii="宋体" w:hAnsi="宋体"/>
          <w:color w:val="auto"/>
          <w:sz w:val="24"/>
          <w:highlight w:val="none"/>
        </w:rPr>
        <w:t xml:space="preserve">1.2.3 </w:t>
      </w:r>
      <w:r>
        <w:rPr>
          <w:rFonts w:hint="eastAsia" w:ascii="宋体" w:hAnsi="宋体"/>
          <w:color w:val="auto"/>
          <w:sz w:val="24"/>
          <w:highlight w:val="none"/>
        </w:rPr>
        <w:t>技术保障：</w:t>
      </w:r>
      <w:r>
        <w:rPr>
          <w:rFonts w:hint="eastAsia" w:ascii="宋体" w:hAnsi="宋体"/>
          <w:color w:val="auto"/>
          <w:sz w:val="24"/>
          <w:highlight w:val="none"/>
          <w:u w:val="single"/>
        </w:rPr>
        <w:t>所有定点采购原材料均须符合《中华人民共和国食品安全法》及属地相关法律法规要求；</w:t>
      </w:r>
    </w:p>
    <w:p w14:paraId="491C71F3">
      <w:pPr>
        <w:shd w:val="clear"/>
        <w:spacing w:line="560" w:lineRule="exact"/>
        <w:ind w:firstLine="480" w:firstLineChars="200"/>
        <w:jc w:val="left"/>
        <w:rPr>
          <w:rFonts w:ascii="宋体" w:hAnsi="宋体"/>
          <w:color w:val="auto"/>
          <w:sz w:val="24"/>
          <w:highlight w:val="none"/>
        </w:rPr>
      </w:pPr>
      <w:r>
        <w:rPr>
          <w:rFonts w:hint="eastAsia" w:ascii="宋体" w:hAnsi="宋体"/>
          <w:color w:val="auto"/>
          <w:sz w:val="24"/>
          <w:highlight w:val="none"/>
        </w:rPr>
        <w:t>1.2.4 服务人员组成：</w:t>
      </w:r>
      <w:r>
        <w:rPr>
          <w:rFonts w:ascii="宋体" w:hAnsi="宋体"/>
          <w:color w:val="auto"/>
          <w:sz w:val="24"/>
          <w:highlight w:val="none"/>
          <w:u w:val="single"/>
        </w:rPr>
        <w:t xml:space="preserve">　　             　      </w:t>
      </w:r>
      <w:r>
        <w:rPr>
          <w:rFonts w:hint="eastAsia" w:ascii="宋体" w:hAnsi="宋体"/>
          <w:color w:val="auto"/>
          <w:sz w:val="24"/>
          <w:highlight w:val="none"/>
        </w:rPr>
        <w:t>；</w:t>
      </w:r>
    </w:p>
    <w:p w14:paraId="35BE8217">
      <w:pPr>
        <w:shd w:val="clear"/>
        <w:spacing w:line="560" w:lineRule="exact"/>
        <w:ind w:firstLine="482" w:firstLineChars="200"/>
        <w:outlineLvl w:val="0"/>
        <w:rPr>
          <w:rFonts w:ascii="宋体" w:hAnsi="宋体"/>
          <w:b/>
          <w:color w:val="auto"/>
          <w:sz w:val="24"/>
          <w:highlight w:val="none"/>
        </w:rPr>
      </w:pPr>
      <w:bookmarkStart w:id="406" w:name="_Toc13918"/>
      <w:bookmarkStart w:id="407" w:name="_Toc4929"/>
      <w:bookmarkStart w:id="408" w:name="_Toc5635"/>
      <w:bookmarkStart w:id="409" w:name="_Toc1386"/>
      <w:bookmarkStart w:id="410" w:name="_Toc21124"/>
      <w:r>
        <w:rPr>
          <w:rFonts w:ascii="宋体" w:hAnsi="宋体"/>
          <w:b/>
          <w:color w:val="auto"/>
          <w:sz w:val="24"/>
          <w:highlight w:val="none"/>
        </w:rPr>
        <w:t>1.3 价款</w:t>
      </w:r>
      <w:bookmarkEnd w:id="406"/>
      <w:bookmarkEnd w:id="407"/>
      <w:bookmarkEnd w:id="408"/>
      <w:bookmarkEnd w:id="409"/>
      <w:bookmarkEnd w:id="410"/>
    </w:p>
    <w:p w14:paraId="7707442D">
      <w:pPr>
        <w:shd w:val="clear"/>
        <w:spacing w:line="560" w:lineRule="exact"/>
        <w:ind w:firstLine="480" w:firstLineChars="200"/>
        <w:rPr>
          <w:rFonts w:ascii="宋体" w:hAnsi="宋体"/>
          <w:color w:val="auto"/>
          <w:sz w:val="24"/>
          <w:highlight w:val="none"/>
        </w:rPr>
      </w:pPr>
      <w:r>
        <w:rPr>
          <w:rFonts w:hint="eastAsia" w:ascii="宋体" w:hAnsi="宋体" w:cs="宋体"/>
          <w:color w:val="auto"/>
          <w:sz w:val="24"/>
          <w:highlight w:val="none"/>
        </w:rPr>
        <w:t>本项目采用以下第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1.3.3</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条款规定的计价方式计价。</w:t>
      </w:r>
    </w:p>
    <w:p w14:paraId="28679FE6">
      <w:pPr>
        <w:shd w:val="clear"/>
        <w:spacing w:line="560" w:lineRule="exact"/>
        <w:ind w:firstLine="480" w:firstLineChars="200"/>
        <w:rPr>
          <w:rFonts w:ascii="宋体" w:hAnsi="宋体"/>
          <w:color w:val="auto"/>
          <w:sz w:val="24"/>
          <w:highlight w:val="none"/>
        </w:rPr>
      </w:pPr>
      <w:r>
        <w:rPr>
          <w:rFonts w:hint="eastAsia" w:ascii="宋体" w:hAnsi="宋体"/>
          <w:color w:val="auto"/>
          <w:sz w:val="24"/>
          <w:highlight w:val="none"/>
        </w:rPr>
        <w:t>1.3.1总价合同，</w:t>
      </w:r>
      <w:r>
        <w:rPr>
          <w:rFonts w:ascii="宋体" w:hAnsi="宋体"/>
          <w:color w:val="auto"/>
          <w:sz w:val="24"/>
          <w:highlight w:val="none"/>
        </w:rPr>
        <w:t>本合同总价</w:t>
      </w:r>
      <w:r>
        <w:rPr>
          <w:rFonts w:hint="eastAsia" w:ascii="宋体" w:hAnsi="宋体"/>
          <w:color w:val="auto"/>
          <w:sz w:val="24"/>
          <w:highlight w:val="none"/>
        </w:rPr>
        <w:t>（含税）</w:t>
      </w:r>
      <w:r>
        <w:rPr>
          <w:rFonts w:ascii="宋体" w:hAnsi="宋体"/>
          <w:color w:val="auto"/>
          <w:sz w:val="24"/>
          <w:highlight w:val="none"/>
        </w:rPr>
        <w:t>为</w:t>
      </w:r>
      <w:r>
        <w:rPr>
          <w:rFonts w:hint="eastAsia" w:ascii="宋体" w:hAnsi="宋体"/>
          <w:color w:val="auto"/>
          <w:sz w:val="24"/>
          <w:highlight w:val="none"/>
        </w:rPr>
        <w:t>：￥</w:t>
      </w:r>
      <w:r>
        <w:rPr>
          <w:rFonts w:ascii="宋体" w:hAnsi="宋体"/>
          <w:color w:val="auto"/>
          <w:sz w:val="24"/>
          <w:highlight w:val="none"/>
          <w:u w:val="single"/>
        </w:rPr>
        <w:t xml:space="preserve">           </w:t>
      </w:r>
      <w:r>
        <w:rPr>
          <w:rFonts w:ascii="宋体" w:hAnsi="宋体"/>
          <w:color w:val="auto"/>
          <w:sz w:val="24"/>
          <w:highlight w:val="none"/>
        </w:rPr>
        <w:t>元</w:t>
      </w:r>
      <w:r>
        <w:rPr>
          <w:rFonts w:hint="eastAsia" w:ascii="宋体" w:hAnsi="宋体"/>
          <w:color w:val="auto"/>
          <w:sz w:val="24"/>
          <w:highlight w:val="none"/>
        </w:rPr>
        <w:t>（大写：</w:t>
      </w:r>
      <w:r>
        <w:rPr>
          <w:rFonts w:ascii="宋体" w:hAnsi="宋体"/>
          <w:color w:val="auto"/>
          <w:sz w:val="24"/>
          <w:highlight w:val="none"/>
          <w:u w:val="single"/>
        </w:rPr>
        <w:t xml:space="preserve">                 </w:t>
      </w:r>
      <w:r>
        <w:rPr>
          <w:rFonts w:hint="eastAsia" w:ascii="宋体" w:hAnsi="宋体"/>
          <w:color w:val="auto"/>
          <w:sz w:val="24"/>
          <w:highlight w:val="none"/>
        </w:rPr>
        <w:t>元人民币）</w:t>
      </w:r>
      <w:r>
        <w:rPr>
          <w:rFonts w:ascii="宋体" w:hAnsi="宋体"/>
          <w:color w:val="auto"/>
          <w:sz w:val="24"/>
          <w:highlight w:val="none"/>
        </w:rPr>
        <w:t>。</w:t>
      </w:r>
    </w:p>
    <w:p w14:paraId="5E4E8327">
      <w:pPr>
        <w:shd w:val="clear"/>
        <w:spacing w:line="560" w:lineRule="exact"/>
        <w:ind w:firstLine="480" w:firstLineChars="200"/>
        <w:rPr>
          <w:rFonts w:ascii="宋体" w:hAnsi="宋体"/>
          <w:color w:val="auto"/>
          <w:sz w:val="24"/>
          <w:highlight w:val="none"/>
          <w:u w:val="single"/>
        </w:rPr>
      </w:pPr>
      <w:r>
        <w:rPr>
          <w:rFonts w:ascii="宋体" w:hAnsi="宋体"/>
          <w:color w:val="auto"/>
          <w:sz w:val="24"/>
          <w:highlight w:val="none"/>
        </w:rPr>
        <w:t>分项价格：</w:t>
      </w:r>
    </w:p>
    <w:tbl>
      <w:tblPr>
        <w:tblStyle w:val="6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375ECC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0F9AA348">
            <w:pPr>
              <w:pStyle w:val="318"/>
              <w:shd w:val="clear"/>
              <w:spacing w:line="560" w:lineRule="exact"/>
              <w:jc w:val="center"/>
              <w:rPr>
                <w:rFonts w:hAnsi="宋体"/>
                <w:color w:val="auto"/>
                <w:sz w:val="24"/>
                <w:szCs w:val="24"/>
                <w:highlight w:val="none"/>
              </w:rPr>
            </w:pPr>
            <w:r>
              <w:rPr>
                <w:rFonts w:hAnsi="宋体"/>
                <w:color w:val="auto"/>
                <w:sz w:val="24"/>
                <w:szCs w:val="24"/>
                <w:highlight w:val="none"/>
              </w:rPr>
              <w:t>序号</w:t>
            </w:r>
          </w:p>
        </w:tc>
        <w:tc>
          <w:tcPr>
            <w:tcW w:w="3402" w:type="dxa"/>
            <w:vAlign w:val="center"/>
          </w:tcPr>
          <w:p w14:paraId="72D42A45">
            <w:pPr>
              <w:pStyle w:val="318"/>
              <w:shd w:val="clear"/>
              <w:spacing w:line="560" w:lineRule="exact"/>
              <w:ind w:firstLine="200"/>
              <w:jc w:val="center"/>
              <w:rPr>
                <w:rFonts w:hAnsi="宋体"/>
                <w:color w:val="auto"/>
                <w:sz w:val="24"/>
                <w:szCs w:val="24"/>
                <w:highlight w:val="none"/>
              </w:rPr>
            </w:pPr>
            <w:r>
              <w:rPr>
                <w:rFonts w:hint="eastAsia" w:hAnsi="宋体"/>
                <w:color w:val="auto"/>
                <w:sz w:val="24"/>
                <w:szCs w:val="24"/>
                <w:highlight w:val="none"/>
              </w:rPr>
              <w:t>分项名称</w:t>
            </w:r>
          </w:p>
        </w:tc>
        <w:tc>
          <w:tcPr>
            <w:tcW w:w="2552" w:type="dxa"/>
            <w:vAlign w:val="center"/>
          </w:tcPr>
          <w:p w14:paraId="0EB4DD11">
            <w:pPr>
              <w:pStyle w:val="318"/>
              <w:shd w:val="clear"/>
              <w:spacing w:line="560" w:lineRule="exact"/>
              <w:jc w:val="center"/>
              <w:rPr>
                <w:rFonts w:hAnsi="宋体"/>
                <w:color w:val="auto"/>
                <w:sz w:val="24"/>
                <w:szCs w:val="24"/>
                <w:highlight w:val="none"/>
              </w:rPr>
            </w:pPr>
            <w:r>
              <w:rPr>
                <w:rFonts w:hAnsi="宋体"/>
                <w:color w:val="auto"/>
                <w:sz w:val="24"/>
                <w:szCs w:val="24"/>
                <w:highlight w:val="none"/>
              </w:rPr>
              <w:t>分项价格</w:t>
            </w:r>
          </w:p>
        </w:tc>
      </w:tr>
      <w:tr w14:paraId="4D97C5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4858B17B">
            <w:pPr>
              <w:pStyle w:val="318"/>
              <w:shd w:val="clear"/>
              <w:spacing w:line="560" w:lineRule="exact"/>
              <w:ind w:firstLine="200"/>
              <w:jc w:val="center"/>
              <w:rPr>
                <w:rFonts w:hAnsi="宋体"/>
                <w:color w:val="auto"/>
                <w:sz w:val="24"/>
                <w:szCs w:val="24"/>
                <w:highlight w:val="none"/>
              </w:rPr>
            </w:pPr>
          </w:p>
        </w:tc>
        <w:tc>
          <w:tcPr>
            <w:tcW w:w="3402" w:type="dxa"/>
            <w:vAlign w:val="center"/>
          </w:tcPr>
          <w:p w14:paraId="4EBDDE57">
            <w:pPr>
              <w:pStyle w:val="318"/>
              <w:shd w:val="clear"/>
              <w:spacing w:line="560" w:lineRule="exact"/>
              <w:ind w:firstLine="200"/>
              <w:jc w:val="center"/>
              <w:rPr>
                <w:rFonts w:hAnsi="宋体"/>
                <w:color w:val="auto"/>
                <w:sz w:val="24"/>
                <w:szCs w:val="24"/>
                <w:highlight w:val="none"/>
              </w:rPr>
            </w:pPr>
          </w:p>
        </w:tc>
        <w:tc>
          <w:tcPr>
            <w:tcW w:w="2552" w:type="dxa"/>
            <w:vAlign w:val="center"/>
          </w:tcPr>
          <w:p w14:paraId="75D148AE">
            <w:pPr>
              <w:pStyle w:val="318"/>
              <w:shd w:val="clear"/>
              <w:spacing w:line="560" w:lineRule="exact"/>
              <w:ind w:firstLine="200"/>
              <w:jc w:val="center"/>
              <w:rPr>
                <w:rFonts w:hAnsi="宋体"/>
                <w:color w:val="auto"/>
                <w:sz w:val="24"/>
                <w:szCs w:val="24"/>
                <w:highlight w:val="none"/>
              </w:rPr>
            </w:pPr>
          </w:p>
        </w:tc>
      </w:tr>
      <w:tr w14:paraId="76593C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0AD78A38">
            <w:pPr>
              <w:pStyle w:val="318"/>
              <w:shd w:val="clear"/>
              <w:spacing w:line="560" w:lineRule="exact"/>
              <w:ind w:firstLine="200"/>
              <w:jc w:val="center"/>
              <w:rPr>
                <w:rFonts w:hAnsi="宋体"/>
                <w:color w:val="auto"/>
                <w:sz w:val="24"/>
                <w:szCs w:val="24"/>
                <w:highlight w:val="none"/>
              </w:rPr>
            </w:pPr>
          </w:p>
        </w:tc>
        <w:tc>
          <w:tcPr>
            <w:tcW w:w="3402" w:type="dxa"/>
            <w:vAlign w:val="center"/>
          </w:tcPr>
          <w:p w14:paraId="63EAEAB2">
            <w:pPr>
              <w:pStyle w:val="318"/>
              <w:shd w:val="clear"/>
              <w:spacing w:line="560" w:lineRule="exact"/>
              <w:ind w:firstLine="200"/>
              <w:jc w:val="center"/>
              <w:rPr>
                <w:rFonts w:hAnsi="宋体"/>
                <w:color w:val="auto"/>
                <w:sz w:val="24"/>
                <w:szCs w:val="24"/>
                <w:highlight w:val="none"/>
              </w:rPr>
            </w:pPr>
          </w:p>
        </w:tc>
        <w:tc>
          <w:tcPr>
            <w:tcW w:w="2552" w:type="dxa"/>
            <w:vAlign w:val="center"/>
          </w:tcPr>
          <w:p w14:paraId="2B52AB4B">
            <w:pPr>
              <w:pStyle w:val="318"/>
              <w:shd w:val="clear"/>
              <w:spacing w:line="560" w:lineRule="exact"/>
              <w:ind w:firstLine="200"/>
              <w:jc w:val="center"/>
              <w:rPr>
                <w:rFonts w:hAnsi="宋体"/>
                <w:color w:val="auto"/>
                <w:sz w:val="24"/>
                <w:szCs w:val="24"/>
                <w:highlight w:val="none"/>
              </w:rPr>
            </w:pPr>
          </w:p>
        </w:tc>
      </w:tr>
      <w:tr w14:paraId="122CE0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17257EBE">
            <w:pPr>
              <w:pStyle w:val="318"/>
              <w:shd w:val="clear"/>
              <w:spacing w:line="560" w:lineRule="exact"/>
              <w:ind w:firstLine="200"/>
              <w:jc w:val="center"/>
              <w:rPr>
                <w:rFonts w:hAnsi="宋体"/>
                <w:color w:val="auto"/>
                <w:sz w:val="24"/>
                <w:szCs w:val="24"/>
                <w:highlight w:val="none"/>
              </w:rPr>
            </w:pPr>
          </w:p>
        </w:tc>
        <w:tc>
          <w:tcPr>
            <w:tcW w:w="3402" w:type="dxa"/>
            <w:vAlign w:val="center"/>
          </w:tcPr>
          <w:p w14:paraId="7BD22809">
            <w:pPr>
              <w:pStyle w:val="318"/>
              <w:shd w:val="clear"/>
              <w:spacing w:line="560" w:lineRule="exact"/>
              <w:ind w:firstLine="200"/>
              <w:jc w:val="center"/>
              <w:rPr>
                <w:rFonts w:hAnsi="宋体"/>
                <w:color w:val="auto"/>
                <w:sz w:val="24"/>
                <w:szCs w:val="24"/>
                <w:highlight w:val="none"/>
              </w:rPr>
            </w:pPr>
          </w:p>
        </w:tc>
        <w:tc>
          <w:tcPr>
            <w:tcW w:w="2552" w:type="dxa"/>
            <w:vAlign w:val="center"/>
          </w:tcPr>
          <w:p w14:paraId="5E9DA072">
            <w:pPr>
              <w:pStyle w:val="318"/>
              <w:shd w:val="clear"/>
              <w:spacing w:line="560" w:lineRule="exact"/>
              <w:ind w:firstLine="200"/>
              <w:jc w:val="center"/>
              <w:rPr>
                <w:rFonts w:hAnsi="宋体"/>
                <w:color w:val="auto"/>
                <w:sz w:val="24"/>
                <w:szCs w:val="24"/>
                <w:highlight w:val="none"/>
              </w:rPr>
            </w:pPr>
          </w:p>
        </w:tc>
      </w:tr>
      <w:tr w14:paraId="7A98CF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7F52B806">
            <w:pPr>
              <w:pStyle w:val="318"/>
              <w:shd w:val="clear"/>
              <w:spacing w:line="560" w:lineRule="exact"/>
              <w:ind w:firstLine="200"/>
              <w:jc w:val="center"/>
              <w:rPr>
                <w:rFonts w:hAnsi="宋体"/>
                <w:color w:val="auto"/>
                <w:sz w:val="24"/>
                <w:szCs w:val="24"/>
                <w:highlight w:val="none"/>
              </w:rPr>
            </w:pPr>
          </w:p>
        </w:tc>
        <w:tc>
          <w:tcPr>
            <w:tcW w:w="3402" w:type="dxa"/>
            <w:vAlign w:val="center"/>
          </w:tcPr>
          <w:p w14:paraId="13219A9E">
            <w:pPr>
              <w:pStyle w:val="318"/>
              <w:shd w:val="clear"/>
              <w:spacing w:line="560" w:lineRule="exact"/>
              <w:ind w:firstLine="200"/>
              <w:jc w:val="center"/>
              <w:rPr>
                <w:rFonts w:hAnsi="宋体"/>
                <w:color w:val="auto"/>
                <w:sz w:val="24"/>
                <w:szCs w:val="24"/>
                <w:highlight w:val="none"/>
              </w:rPr>
            </w:pPr>
          </w:p>
        </w:tc>
        <w:tc>
          <w:tcPr>
            <w:tcW w:w="2552" w:type="dxa"/>
            <w:vAlign w:val="center"/>
          </w:tcPr>
          <w:p w14:paraId="19FE2A85">
            <w:pPr>
              <w:pStyle w:val="318"/>
              <w:shd w:val="clear"/>
              <w:spacing w:line="560" w:lineRule="exact"/>
              <w:ind w:firstLine="200"/>
              <w:jc w:val="center"/>
              <w:rPr>
                <w:rFonts w:hAnsi="宋体"/>
                <w:color w:val="auto"/>
                <w:sz w:val="24"/>
                <w:szCs w:val="24"/>
                <w:highlight w:val="none"/>
              </w:rPr>
            </w:pPr>
          </w:p>
        </w:tc>
      </w:tr>
      <w:tr w14:paraId="3B1039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14:paraId="74C927A1">
            <w:pPr>
              <w:pStyle w:val="318"/>
              <w:shd w:val="clear"/>
              <w:spacing w:line="560" w:lineRule="exact"/>
              <w:ind w:firstLine="200"/>
              <w:jc w:val="center"/>
              <w:rPr>
                <w:rFonts w:hAnsi="宋体"/>
                <w:color w:val="auto"/>
                <w:sz w:val="24"/>
                <w:szCs w:val="24"/>
                <w:highlight w:val="none"/>
              </w:rPr>
            </w:pPr>
            <w:r>
              <w:rPr>
                <w:rFonts w:hint="eastAsia" w:hAnsi="宋体"/>
                <w:color w:val="auto"/>
                <w:sz w:val="24"/>
                <w:szCs w:val="24"/>
                <w:highlight w:val="none"/>
              </w:rPr>
              <w:t>总价</w:t>
            </w:r>
          </w:p>
        </w:tc>
        <w:tc>
          <w:tcPr>
            <w:tcW w:w="2552" w:type="dxa"/>
            <w:vAlign w:val="center"/>
          </w:tcPr>
          <w:p w14:paraId="0269C8B8">
            <w:pPr>
              <w:pStyle w:val="318"/>
              <w:shd w:val="clear"/>
              <w:spacing w:line="560" w:lineRule="exact"/>
              <w:ind w:firstLine="200"/>
              <w:jc w:val="center"/>
              <w:rPr>
                <w:rFonts w:hAnsi="宋体"/>
                <w:color w:val="auto"/>
                <w:sz w:val="24"/>
                <w:szCs w:val="24"/>
                <w:highlight w:val="none"/>
              </w:rPr>
            </w:pPr>
          </w:p>
        </w:tc>
      </w:tr>
    </w:tbl>
    <w:p w14:paraId="4766CE3F">
      <w:pPr>
        <w:shd w:val="clear"/>
        <w:spacing w:line="560" w:lineRule="exact"/>
        <w:ind w:firstLine="480" w:firstLineChars="200"/>
        <w:rPr>
          <w:rFonts w:hint="eastAsia" w:ascii="宋体" w:hAnsi="宋体" w:eastAsia="宋体" w:cs="Times New Roman"/>
          <w:bCs/>
          <w:color w:val="auto"/>
          <w:sz w:val="24"/>
          <w:highlight w:val="none"/>
        </w:rPr>
      </w:pPr>
      <w:bookmarkStart w:id="411" w:name="_Toc26916"/>
      <w:bookmarkStart w:id="412" w:name="_Toc30158"/>
      <w:bookmarkStart w:id="413" w:name="_Toc30506"/>
      <w:bookmarkStart w:id="414" w:name="_Toc3654"/>
      <w:bookmarkStart w:id="415" w:name="_Toc14993"/>
      <w:r>
        <w:rPr>
          <w:rFonts w:hint="eastAsia" w:ascii="宋体" w:hAnsi="宋体"/>
          <w:bCs/>
          <w:color w:val="auto"/>
          <w:sz w:val="24"/>
          <w:highlight w:val="none"/>
        </w:rPr>
        <w:t>1.3.2单价合同，本合同单价（含税）标准为：</w:t>
      </w:r>
      <w:r>
        <w:rPr>
          <w:rFonts w:hint="eastAsia" w:ascii="宋体" w:hAnsi="宋体"/>
          <w:bCs/>
          <w:color w:val="auto"/>
          <w:sz w:val="24"/>
          <w:highlight w:val="none"/>
          <w:u w:val="single"/>
        </w:rPr>
        <w:t xml:space="preserve">                   </w:t>
      </w:r>
      <w:r>
        <w:rPr>
          <w:rFonts w:ascii="宋体" w:hAnsi="宋体"/>
          <w:color w:val="auto"/>
          <w:sz w:val="24"/>
          <w:highlight w:val="none"/>
        </w:rPr>
        <w:t>。</w:t>
      </w:r>
      <w:r>
        <w:rPr>
          <w:rFonts w:hint="eastAsia" w:ascii="宋体" w:hAnsi="宋体"/>
          <w:color w:val="auto"/>
          <w:sz w:val="24"/>
          <w:highlight w:val="none"/>
        </w:rPr>
        <w:t>服务工作量的计量方式为：</w:t>
      </w:r>
      <w:r>
        <w:rPr>
          <w:rFonts w:hint="eastAsia" w:ascii="宋体" w:hAnsi="宋体"/>
          <w:bCs/>
          <w:color w:val="auto"/>
          <w:sz w:val="24"/>
          <w:highlight w:val="none"/>
          <w:u w:val="single"/>
        </w:rPr>
        <w:t xml:space="preserve">       </w:t>
      </w:r>
      <w:r>
        <w:rPr>
          <w:rFonts w:hint="eastAsia" w:ascii="宋体" w:hAnsi="宋体" w:cs="宋体"/>
          <w:b/>
          <w:i/>
          <w:color w:val="auto"/>
          <w:sz w:val="24"/>
          <w:highlight w:val="none"/>
          <w:u w:val="single"/>
        </w:rPr>
        <w:t>合同专用条款</w:t>
      </w:r>
      <w:r>
        <w:rPr>
          <w:rFonts w:hint="eastAsia" w:ascii="宋体" w:hAnsi="宋体"/>
          <w:bCs/>
          <w:color w:val="auto"/>
          <w:sz w:val="24"/>
          <w:highlight w:val="none"/>
          <w:u w:val="single"/>
        </w:rPr>
        <w:t xml:space="preserve">     </w:t>
      </w:r>
      <w:r>
        <w:rPr>
          <w:rFonts w:ascii="宋体" w:hAnsi="宋体"/>
          <w:color w:val="auto"/>
          <w:sz w:val="24"/>
          <w:highlight w:val="none"/>
        </w:rPr>
        <w:t>。</w:t>
      </w:r>
      <w:r>
        <w:rPr>
          <w:rFonts w:hint="eastAsia" w:ascii="宋体" w:hAnsi="宋体"/>
          <w:color w:val="auto"/>
          <w:sz w:val="24"/>
          <w:highlight w:val="none"/>
        </w:rPr>
        <w:t>单价合同，在合同履行期间内，根据实际完成的工作量据实结算，但结算总价上限不得超过预算金额或者双方确定的金额￥</w:t>
      </w:r>
      <w:r>
        <w:rPr>
          <w:rFonts w:ascii="宋体" w:hAnsi="宋体"/>
          <w:color w:val="auto"/>
          <w:sz w:val="24"/>
          <w:highlight w:val="none"/>
          <w:u w:val="single"/>
        </w:rPr>
        <w:t xml:space="preserve">           </w:t>
      </w:r>
      <w:r>
        <w:rPr>
          <w:rFonts w:ascii="宋体" w:hAnsi="宋体"/>
          <w:color w:val="auto"/>
          <w:sz w:val="24"/>
          <w:highlight w:val="none"/>
        </w:rPr>
        <w:t>元</w:t>
      </w:r>
      <w:r>
        <w:rPr>
          <w:rFonts w:hint="eastAsia" w:ascii="宋体" w:hAnsi="宋体"/>
          <w:color w:val="auto"/>
          <w:sz w:val="24"/>
          <w:highlight w:val="none"/>
        </w:rPr>
        <w:t>（大写：</w:t>
      </w:r>
      <w:r>
        <w:rPr>
          <w:rFonts w:ascii="宋体" w:hAnsi="宋体"/>
          <w:color w:val="auto"/>
          <w:sz w:val="24"/>
          <w:highlight w:val="none"/>
          <w:u w:val="single"/>
        </w:rPr>
        <w:t xml:space="preserve">                 </w:t>
      </w:r>
      <w:r>
        <w:rPr>
          <w:rFonts w:hint="eastAsia" w:ascii="宋体" w:hAnsi="宋体"/>
          <w:color w:val="auto"/>
          <w:sz w:val="24"/>
          <w:highlight w:val="none"/>
        </w:rPr>
        <w:t>元人民币）。</w:t>
      </w:r>
    </w:p>
    <w:p w14:paraId="3B67F995">
      <w:pPr>
        <w:shd w:val="clear"/>
        <w:spacing w:line="560" w:lineRule="exact"/>
        <w:ind w:firstLine="480" w:firstLineChars="200"/>
        <w:rPr>
          <w:rFonts w:hint="eastAsia" w:ascii="宋体" w:hAnsi="宋体" w:eastAsia="宋体" w:cs="宋体"/>
          <w:b w:val="0"/>
          <w:bCs w:val="0"/>
          <w:color w:val="auto"/>
          <w:sz w:val="24"/>
          <w:highlight w:val="none"/>
          <w:lang w:val="en-US"/>
        </w:rPr>
      </w:pPr>
      <w:r>
        <w:rPr>
          <w:rFonts w:hint="eastAsia" w:ascii="宋体" w:hAnsi="宋体" w:eastAsia="宋体" w:cs="宋体"/>
          <w:b w:val="0"/>
          <w:bCs w:val="0"/>
          <w:color w:val="auto"/>
          <w:sz w:val="24"/>
          <w:highlight w:val="none"/>
          <w:lang w:val="en-US"/>
        </w:rPr>
        <w:t>1.3.3其他计价方式：</w:t>
      </w:r>
    </w:p>
    <w:p w14:paraId="7D8DF9B7">
      <w:pPr>
        <w:shd w:val="clear"/>
        <w:spacing w:line="560" w:lineRule="exact"/>
        <w:ind w:firstLine="480" w:firstLineChars="200"/>
        <w:rPr>
          <w:rFonts w:hint="eastAsia" w:ascii="宋体" w:hAnsi="宋体" w:eastAsia="宋体" w:cs="宋体"/>
          <w:b w:val="0"/>
          <w:bCs w:val="0"/>
          <w:color w:val="auto"/>
          <w:sz w:val="24"/>
          <w:highlight w:val="none"/>
          <w:lang w:val="en-US"/>
        </w:rPr>
      </w:pPr>
      <w:r>
        <w:rPr>
          <w:rFonts w:hint="eastAsia" w:ascii="宋体" w:hAnsi="宋体" w:eastAsia="宋体" w:cs="宋体"/>
          <w:b w:val="0"/>
          <w:bCs w:val="0"/>
          <w:color w:val="auto"/>
          <w:sz w:val="24"/>
          <w:highlight w:val="none"/>
          <w:lang w:val="en-US" w:eastAsia="zh-CN"/>
        </w:rPr>
        <w:t>1.3.3.1</w:t>
      </w:r>
      <w:r>
        <w:rPr>
          <w:rFonts w:hint="eastAsia" w:ascii="宋体" w:hAnsi="宋体" w:eastAsia="宋体" w:cs="宋体"/>
          <w:b w:val="0"/>
          <w:bCs w:val="0"/>
          <w:color w:val="auto"/>
          <w:sz w:val="24"/>
          <w:highlight w:val="none"/>
          <w:lang w:val="en-US"/>
        </w:rPr>
        <w:t>产品价格的约定：</w:t>
      </w:r>
    </w:p>
    <w:p w14:paraId="49F36A03">
      <w:pPr>
        <w:shd w:val="clear"/>
        <w:spacing w:line="560" w:lineRule="exact"/>
        <w:ind w:firstLine="480" w:firstLineChars="200"/>
        <w:rPr>
          <w:rFonts w:hint="eastAsia" w:ascii="宋体" w:hAnsi="宋体" w:eastAsia="宋体" w:cs="宋体"/>
          <w:b w:val="0"/>
          <w:bCs w:val="0"/>
          <w:color w:val="auto"/>
          <w:sz w:val="24"/>
          <w:highlight w:val="none"/>
          <w:lang w:val="en-US" w:eastAsia="zh-CN"/>
        </w:rPr>
      </w:pPr>
      <w:r>
        <w:rPr>
          <w:rFonts w:hint="eastAsia" w:ascii="宋体" w:hAnsi="宋体" w:eastAsia="宋体" w:cs="宋体"/>
          <w:b w:val="0"/>
          <w:bCs w:val="0"/>
          <w:color w:val="auto"/>
          <w:sz w:val="24"/>
          <w:highlight w:val="none"/>
          <w:lang w:val="en-US" w:eastAsia="zh-CN"/>
        </w:rPr>
        <w:t>（1）本次招标配送项目中所包含的食品原材料价格每月确定一次，该月内的市场价格不论涨跌均按所确定的价格结算。</w:t>
      </w:r>
    </w:p>
    <w:p w14:paraId="6FE89442">
      <w:pPr>
        <w:shd w:val="clear"/>
        <w:spacing w:line="560" w:lineRule="exact"/>
        <w:ind w:firstLine="480" w:firstLineChars="200"/>
        <w:rPr>
          <w:rFonts w:hint="eastAsia" w:ascii="宋体" w:hAnsi="宋体" w:eastAsia="宋体" w:cs="宋体"/>
          <w:b w:val="0"/>
          <w:bCs w:val="0"/>
          <w:color w:val="auto"/>
          <w:sz w:val="24"/>
          <w:highlight w:val="none"/>
          <w:lang w:val="en-US" w:eastAsia="zh-CN"/>
        </w:rPr>
      </w:pPr>
      <w:r>
        <w:rPr>
          <w:rFonts w:hint="eastAsia" w:ascii="宋体" w:hAnsi="宋体" w:eastAsia="宋体" w:cs="宋体"/>
          <w:b w:val="0"/>
          <w:bCs w:val="0"/>
          <w:color w:val="auto"/>
          <w:sz w:val="24"/>
          <w:highlight w:val="none"/>
          <w:lang w:val="en-US" w:eastAsia="zh-CN"/>
        </w:rPr>
        <w:t>（2）产品所报折扣系数依据的基准价为：</w:t>
      </w:r>
    </w:p>
    <w:p w14:paraId="7BF67E1E">
      <w:pPr>
        <w:shd w:val="clear"/>
        <w:spacing w:line="560" w:lineRule="exact"/>
        <w:ind w:firstLine="480" w:firstLineChars="200"/>
        <w:rPr>
          <w:rFonts w:hint="eastAsia" w:ascii="宋体" w:hAnsi="宋体" w:eastAsia="宋体" w:cs="宋体"/>
          <w:b w:val="0"/>
          <w:bCs w:val="0"/>
          <w:color w:val="auto"/>
          <w:sz w:val="24"/>
          <w:highlight w:val="none"/>
          <w:lang w:val="en-US" w:eastAsia="zh-CN"/>
        </w:rPr>
      </w:pPr>
      <w:r>
        <w:rPr>
          <w:rFonts w:hint="eastAsia" w:ascii="宋体" w:hAnsi="宋体" w:eastAsia="宋体" w:cs="宋体"/>
          <w:b w:val="0"/>
          <w:bCs w:val="0"/>
          <w:color w:val="auto"/>
          <w:sz w:val="24"/>
          <w:highlight w:val="none"/>
          <w:lang w:val="en-US" w:eastAsia="zh-CN"/>
        </w:rPr>
        <w:t>①按照宁波市发展和改革委员会公布的最新一期“菜篮子民生商品价格监测”（宁波市发展和改革委员会网站http://fgw.ningbo.gov.cn/：首页-专项-经济运行-菜篮子）的宁波菜市场平均价作为基准价。</w:t>
      </w:r>
    </w:p>
    <w:p w14:paraId="321A630B">
      <w:pPr>
        <w:shd w:val="clear"/>
        <w:spacing w:line="560" w:lineRule="exact"/>
        <w:ind w:firstLine="480" w:firstLineChars="200"/>
        <w:rPr>
          <w:rFonts w:hint="eastAsia" w:ascii="宋体" w:hAnsi="宋体" w:eastAsia="宋体" w:cs="宋体"/>
          <w:b w:val="0"/>
          <w:bCs w:val="0"/>
          <w:color w:val="auto"/>
          <w:sz w:val="24"/>
          <w:highlight w:val="none"/>
          <w:lang w:val="en-US" w:eastAsia="zh-CN"/>
        </w:rPr>
      </w:pPr>
      <w:r>
        <w:rPr>
          <w:rFonts w:hint="eastAsia" w:ascii="宋体" w:hAnsi="宋体" w:eastAsia="宋体" w:cs="宋体"/>
          <w:b w:val="0"/>
          <w:bCs w:val="0"/>
          <w:color w:val="auto"/>
          <w:sz w:val="24"/>
          <w:highlight w:val="none"/>
          <w:lang w:val="en-US" w:eastAsia="zh-CN"/>
        </w:rPr>
        <w:t>②未在宁波市发展和改革委员会公布的最新一期“菜篮子民生商品价格监测”中列明的，按照宁波市发展和改革委员会公布的最新一期“超市民生商品价格监测”（宁波市发展和改革委员会网站http://fgw.ningbo.gov.cn/：首页-专项-经济运行-食品·日用品）的宁波超市平均价作为基准价。</w:t>
      </w:r>
    </w:p>
    <w:p w14:paraId="65334484">
      <w:pPr>
        <w:shd w:val="clear"/>
        <w:spacing w:line="560" w:lineRule="exact"/>
        <w:ind w:firstLine="480" w:firstLineChars="200"/>
        <w:rPr>
          <w:rFonts w:hint="eastAsia" w:ascii="宋体" w:hAnsi="宋体" w:eastAsia="宋体" w:cs="宋体"/>
          <w:b w:val="0"/>
          <w:bCs w:val="0"/>
          <w:color w:val="auto"/>
          <w:sz w:val="24"/>
          <w:highlight w:val="none"/>
          <w:lang w:val="en-US" w:eastAsia="zh-CN"/>
        </w:rPr>
      </w:pPr>
      <w:r>
        <w:rPr>
          <w:rFonts w:hint="eastAsia" w:ascii="宋体" w:hAnsi="宋体" w:eastAsia="宋体" w:cs="宋体"/>
          <w:b w:val="0"/>
          <w:bCs w:val="0"/>
          <w:color w:val="auto"/>
          <w:sz w:val="24"/>
          <w:highlight w:val="none"/>
          <w:lang w:val="en-US" w:eastAsia="zh-CN"/>
        </w:rPr>
        <w:t>③未在上述①和②列明的，或</w:t>
      </w:r>
      <w:r>
        <w:rPr>
          <w:rFonts w:hint="eastAsia" w:ascii="宋体" w:hAnsi="宋体" w:cs="宋体"/>
          <w:b w:val="0"/>
          <w:bCs w:val="0"/>
          <w:color w:val="auto"/>
          <w:sz w:val="24"/>
          <w:highlight w:val="none"/>
          <w:lang w:val="en-US" w:eastAsia="zh-CN"/>
        </w:rPr>
        <w:t>乙方</w:t>
      </w:r>
      <w:r>
        <w:rPr>
          <w:rFonts w:hint="eastAsia" w:ascii="宋体" w:hAnsi="宋体" w:eastAsia="宋体" w:cs="宋体"/>
          <w:b w:val="0"/>
          <w:bCs w:val="0"/>
          <w:color w:val="auto"/>
          <w:sz w:val="24"/>
          <w:highlight w:val="none"/>
          <w:lang w:val="en-US" w:eastAsia="zh-CN"/>
        </w:rPr>
        <w:t>提出上述①和②列明的价格远偏离市场价的，由</w:t>
      </w:r>
      <w:r>
        <w:rPr>
          <w:rFonts w:hint="eastAsia" w:ascii="宋体" w:hAnsi="宋体" w:cs="宋体"/>
          <w:b w:val="0"/>
          <w:bCs w:val="0"/>
          <w:color w:val="auto"/>
          <w:sz w:val="24"/>
          <w:highlight w:val="none"/>
          <w:lang w:val="en-US" w:eastAsia="zh-CN"/>
        </w:rPr>
        <w:t>甲方</w:t>
      </w:r>
      <w:r>
        <w:rPr>
          <w:rFonts w:hint="eastAsia" w:ascii="宋体" w:hAnsi="宋体" w:eastAsia="宋体" w:cs="宋体"/>
          <w:b w:val="0"/>
          <w:bCs w:val="0"/>
          <w:color w:val="auto"/>
          <w:sz w:val="24"/>
          <w:highlight w:val="none"/>
          <w:lang w:val="en-US" w:eastAsia="zh-CN"/>
        </w:rPr>
        <w:t>相关部门及</w:t>
      </w:r>
      <w:r>
        <w:rPr>
          <w:rFonts w:hint="eastAsia" w:ascii="宋体" w:hAnsi="宋体" w:cs="宋体"/>
          <w:b w:val="0"/>
          <w:bCs w:val="0"/>
          <w:color w:val="auto"/>
          <w:sz w:val="24"/>
          <w:highlight w:val="none"/>
          <w:lang w:val="en-US" w:eastAsia="zh-CN"/>
        </w:rPr>
        <w:t>乙方</w:t>
      </w:r>
      <w:r>
        <w:rPr>
          <w:rFonts w:hint="eastAsia" w:ascii="宋体" w:hAnsi="宋体" w:eastAsia="宋体" w:cs="宋体"/>
          <w:b w:val="0"/>
          <w:bCs w:val="0"/>
          <w:color w:val="auto"/>
          <w:sz w:val="24"/>
          <w:highlight w:val="none"/>
          <w:lang w:val="en-US" w:eastAsia="zh-CN"/>
        </w:rPr>
        <w:t>成立采价组，对食堂食品原材料的价格进行采集后确定基准价。基准价确定方法：以海曙区三家以上中大型超市或市场的平均零售价为准，如上述超市或市场没有此种商品，则调查市场扩大为大市范围内。</w:t>
      </w:r>
    </w:p>
    <w:p w14:paraId="56417ED9">
      <w:pPr>
        <w:shd w:val="clear"/>
        <w:spacing w:line="560" w:lineRule="exact"/>
        <w:ind w:firstLine="480" w:firstLineChars="200"/>
        <w:rPr>
          <w:rFonts w:hint="eastAsia" w:ascii="宋体" w:hAnsi="宋体" w:eastAsia="宋体" w:cs="宋体"/>
          <w:b w:val="0"/>
          <w:bCs w:val="0"/>
          <w:color w:val="auto"/>
          <w:sz w:val="24"/>
          <w:highlight w:val="none"/>
          <w:lang w:val="en-US"/>
        </w:rPr>
      </w:pPr>
      <w:r>
        <w:rPr>
          <w:rFonts w:hint="eastAsia" w:ascii="宋体" w:hAnsi="宋体" w:eastAsia="宋体" w:cs="宋体"/>
          <w:b w:val="0"/>
          <w:bCs w:val="0"/>
          <w:color w:val="auto"/>
          <w:sz w:val="24"/>
          <w:highlight w:val="none"/>
          <w:lang w:val="en-US" w:eastAsia="zh-CN"/>
        </w:rPr>
        <w:t>（3）各类食品合同结算价：合同结算价=基准价×合同折扣系数，其中合同折扣系数为：乙方该类别食品原材料的合同折扣系数。</w:t>
      </w:r>
      <w:r>
        <w:rPr>
          <w:rFonts w:hint="eastAsia" w:ascii="宋体" w:hAnsi="宋体" w:eastAsia="宋体" w:cs="宋体"/>
          <w:b w:val="0"/>
          <w:bCs w:val="0"/>
          <w:color w:val="auto"/>
          <w:sz w:val="24"/>
          <w:highlight w:val="none"/>
          <w:lang w:val="en-US"/>
        </w:rPr>
        <w:t>各类食品</w:t>
      </w:r>
      <w:r>
        <w:rPr>
          <w:rFonts w:hint="eastAsia" w:ascii="宋体" w:hAnsi="宋体" w:eastAsia="宋体" w:cs="宋体"/>
          <w:b w:val="0"/>
          <w:bCs w:val="0"/>
          <w:color w:val="auto"/>
          <w:sz w:val="24"/>
          <w:highlight w:val="none"/>
          <w:lang w:val="en-US" w:eastAsia="zh-CN"/>
        </w:rPr>
        <w:t>合同折扣系数</w:t>
      </w:r>
      <w:r>
        <w:rPr>
          <w:rFonts w:hint="eastAsia" w:ascii="宋体" w:hAnsi="宋体" w:eastAsia="宋体" w:cs="宋体"/>
          <w:b w:val="0"/>
          <w:bCs w:val="0"/>
          <w:color w:val="auto"/>
          <w:sz w:val="24"/>
          <w:highlight w:val="none"/>
          <w:lang w:val="en-US"/>
        </w:rPr>
        <w:t>：</w:t>
      </w:r>
      <w:r>
        <w:rPr>
          <w:rFonts w:hint="eastAsia" w:ascii="宋体" w:hAnsi="宋体" w:eastAsia="宋体" w:cs="宋体"/>
          <w:b w:val="0"/>
          <w:bCs w:val="0"/>
          <w:color w:val="auto"/>
          <w:sz w:val="24"/>
          <w:highlight w:val="none"/>
          <w:lang w:val="en-US" w:eastAsia="zh-CN"/>
        </w:rPr>
        <w:t>标项1：蔬菜类：  %，豆制品类：  %</w:t>
      </w:r>
      <w:r>
        <w:rPr>
          <w:rFonts w:hint="eastAsia" w:ascii="宋体" w:hAnsi="宋体" w:cs="宋体"/>
          <w:b w:val="0"/>
          <w:bCs w:val="0"/>
          <w:color w:val="auto"/>
          <w:sz w:val="24"/>
          <w:highlight w:val="none"/>
          <w:lang w:val="en-US" w:eastAsia="zh-CN"/>
        </w:rPr>
        <w:t>；</w:t>
      </w:r>
      <w:r>
        <w:rPr>
          <w:rFonts w:hint="eastAsia" w:ascii="宋体" w:hAnsi="宋体" w:eastAsia="宋体" w:cs="宋体"/>
          <w:b w:val="0"/>
          <w:bCs w:val="0"/>
          <w:color w:val="auto"/>
          <w:sz w:val="24"/>
          <w:highlight w:val="none"/>
          <w:lang w:val="en-US" w:eastAsia="zh-CN"/>
        </w:rPr>
        <w:t>标项</w:t>
      </w:r>
      <w:r>
        <w:rPr>
          <w:rFonts w:hint="eastAsia" w:ascii="宋体" w:hAnsi="宋体" w:cs="宋体"/>
          <w:b w:val="0"/>
          <w:bCs w:val="0"/>
          <w:color w:val="auto"/>
          <w:sz w:val="24"/>
          <w:highlight w:val="none"/>
          <w:lang w:val="en-US" w:eastAsia="zh-CN"/>
        </w:rPr>
        <w:t>2</w:t>
      </w:r>
      <w:r>
        <w:rPr>
          <w:rFonts w:hint="eastAsia" w:ascii="宋体" w:hAnsi="宋体" w:eastAsia="宋体" w:cs="宋体"/>
          <w:b w:val="0"/>
          <w:bCs w:val="0"/>
          <w:color w:val="auto"/>
          <w:sz w:val="24"/>
          <w:highlight w:val="none"/>
          <w:lang w:val="en-US" w:eastAsia="zh-CN"/>
        </w:rPr>
        <w:t>：水果类：  %；标项3：</w:t>
      </w:r>
      <w:r>
        <w:rPr>
          <w:rFonts w:hint="eastAsia" w:ascii="宋体" w:hAnsi="宋体" w:cs="宋体"/>
          <w:b w:val="0"/>
          <w:bCs w:val="0"/>
          <w:color w:val="auto"/>
          <w:sz w:val="24"/>
          <w:highlight w:val="none"/>
          <w:lang w:val="en-US" w:eastAsia="zh-CN"/>
        </w:rPr>
        <w:t>其他</w:t>
      </w:r>
      <w:r>
        <w:rPr>
          <w:rFonts w:hint="eastAsia" w:ascii="宋体" w:hAnsi="宋体" w:eastAsia="宋体" w:cs="宋体"/>
          <w:b w:val="0"/>
          <w:bCs w:val="0"/>
          <w:color w:val="auto"/>
          <w:sz w:val="24"/>
          <w:highlight w:val="none"/>
          <w:lang w:val="en-US" w:eastAsia="zh-CN"/>
        </w:rPr>
        <w:t>杂项类：  %。</w:t>
      </w:r>
    </w:p>
    <w:bookmarkEnd w:id="411"/>
    <w:bookmarkEnd w:id="412"/>
    <w:bookmarkEnd w:id="413"/>
    <w:bookmarkEnd w:id="414"/>
    <w:bookmarkEnd w:id="415"/>
    <w:p w14:paraId="37B2DF35">
      <w:pPr>
        <w:shd w:val="clear"/>
        <w:spacing w:line="560" w:lineRule="exact"/>
        <w:ind w:firstLine="482" w:firstLineChars="200"/>
        <w:outlineLvl w:val="0"/>
        <w:rPr>
          <w:rFonts w:ascii="宋体" w:hAnsi="宋体" w:eastAsia="宋体" w:cs="Times New Roman"/>
          <w:b/>
          <w:color w:val="auto"/>
          <w:sz w:val="24"/>
          <w:highlight w:val="none"/>
        </w:rPr>
      </w:pPr>
      <w:bookmarkStart w:id="416" w:name="_Toc10340"/>
      <w:bookmarkStart w:id="417" w:name="_Toc1814"/>
      <w:bookmarkStart w:id="418" w:name="_Toc22618"/>
      <w:bookmarkStart w:id="419" w:name="_Toc3625"/>
      <w:bookmarkStart w:id="420" w:name="_Toc11108"/>
      <w:bookmarkStart w:id="421" w:name="_Toc4760"/>
      <w:bookmarkStart w:id="422" w:name="_Toc31421"/>
      <w:bookmarkStart w:id="423" w:name="_Toc8772"/>
      <w:r>
        <w:rPr>
          <w:rFonts w:hint="eastAsia" w:ascii="宋体" w:hAnsi="宋体" w:eastAsia="宋体" w:cs="Times New Roman"/>
          <w:b/>
          <w:color w:val="auto"/>
          <w:sz w:val="24"/>
          <w:highlight w:val="none"/>
        </w:rPr>
        <w:t>1.4履约保证金</w:t>
      </w:r>
    </w:p>
    <w:p w14:paraId="530C74C8">
      <w:pPr>
        <w:shd w:val="clear"/>
        <w:spacing w:line="560" w:lineRule="exact"/>
        <w:ind w:firstLine="480" w:firstLineChars="200"/>
        <w:rPr>
          <w:rFonts w:hint="eastAsia" w:ascii="宋体" w:hAnsi="宋体" w:eastAsia="宋体" w:cs="宋体"/>
          <w:b w:val="0"/>
          <w:bCs w:val="0"/>
          <w:color w:val="auto"/>
          <w:sz w:val="24"/>
          <w:highlight w:val="none"/>
          <w:lang w:val="en-US"/>
        </w:rPr>
      </w:pPr>
      <w:r>
        <w:rPr>
          <w:rFonts w:hint="eastAsia" w:ascii="宋体" w:hAnsi="宋体" w:eastAsia="宋体" w:cs="宋体"/>
          <w:b w:val="0"/>
          <w:bCs w:val="0"/>
          <w:color w:val="auto"/>
          <w:sz w:val="24"/>
          <w:highlight w:val="none"/>
          <w:lang w:val="en-US"/>
        </w:rPr>
        <w:t>乙方</w:t>
      </w:r>
      <w:r>
        <w:rPr>
          <w:rFonts w:hint="eastAsia" w:ascii="宋体" w:hAnsi="宋体" w:eastAsia="宋体" w:cs="宋体"/>
          <w:b w:val="0"/>
          <w:bCs w:val="0"/>
          <w:color w:val="auto"/>
          <w:sz w:val="24"/>
          <w:highlight w:val="none"/>
          <w:u w:val="single"/>
          <w:lang w:val="en-US"/>
        </w:rPr>
        <w:t xml:space="preserve"> 是</w:t>
      </w:r>
      <w:r>
        <w:rPr>
          <w:rFonts w:hint="eastAsia" w:ascii="宋体" w:hAnsi="宋体" w:eastAsia="宋体" w:cs="宋体"/>
          <w:b w:val="0"/>
          <w:bCs w:val="0"/>
          <w:color w:val="auto"/>
          <w:sz w:val="24"/>
          <w:highlight w:val="none"/>
          <w:u w:val="single"/>
          <w:lang w:val="en-US" w:eastAsia="zh-CN"/>
        </w:rPr>
        <w:t xml:space="preserve"> </w:t>
      </w:r>
      <w:r>
        <w:rPr>
          <w:rFonts w:hint="eastAsia" w:ascii="宋体" w:hAnsi="宋体" w:eastAsia="宋体" w:cs="宋体"/>
          <w:b w:val="0"/>
          <w:bCs w:val="0"/>
          <w:color w:val="auto"/>
          <w:sz w:val="24"/>
          <w:highlight w:val="none"/>
          <w:lang w:val="en-US"/>
        </w:rPr>
        <w:t>需要支付履约保证金。若需要支付履约保证金的，则：</w:t>
      </w:r>
    </w:p>
    <w:p w14:paraId="21BB0805">
      <w:pPr>
        <w:shd w:val="clear"/>
        <w:spacing w:line="560" w:lineRule="exact"/>
        <w:ind w:firstLine="480" w:firstLineChars="200"/>
        <w:outlineLvl w:val="0"/>
        <w:rPr>
          <w:rFonts w:ascii="宋体" w:hAnsi="宋体" w:cs="宋体"/>
          <w:color w:val="auto"/>
          <w:kern w:val="0"/>
          <w:sz w:val="24"/>
          <w:highlight w:val="none"/>
        </w:rPr>
      </w:pPr>
      <w:r>
        <w:rPr>
          <w:rFonts w:hint="eastAsia" w:ascii="宋体" w:hAnsi="宋体" w:cs="宋体"/>
          <w:color w:val="auto"/>
          <w:kern w:val="0"/>
          <w:sz w:val="24"/>
          <w:highlight w:val="none"/>
        </w:rPr>
        <w:t>1.4.1履约保证金的比例为合同金额的</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u w:val="single"/>
          <w:lang w:val="en-US" w:eastAsia="zh-CN"/>
        </w:rPr>
        <w:t>1</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p w14:paraId="64F6B8A1">
      <w:pPr>
        <w:shd w:val="clear"/>
        <w:spacing w:line="560" w:lineRule="exact"/>
        <w:ind w:firstLine="480" w:firstLineChars="200"/>
        <w:outlineLvl w:val="0"/>
        <w:rPr>
          <w:rFonts w:ascii="宋体" w:hAnsi="宋体" w:cs="宋体"/>
          <w:color w:val="auto"/>
          <w:kern w:val="0"/>
          <w:sz w:val="24"/>
          <w:highlight w:val="none"/>
        </w:rPr>
      </w:pPr>
      <w:r>
        <w:rPr>
          <w:rFonts w:hint="eastAsia" w:ascii="宋体" w:hAnsi="宋体" w:cs="宋体"/>
          <w:color w:val="auto"/>
          <w:kern w:val="0"/>
          <w:sz w:val="24"/>
          <w:highlight w:val="none"/>
        </w:rPr>
        <w:t>1.4.2履约保证金支付方式详见</w:t>
      </w:r>
      <w:r>
        <w:rPr>
          <w:rFonts w:hint="eastAsia" w:ascii="宋体" w:hAnsi="宋体" w:cs="宋体"/>
          <w:color w:val="auto"/>
          <w:kern w:val="0"/>
          <w:sz w:val="24"/>
          <w:highlight w:val="none"/>
          <w:u w:val="single"/>
        </w:rPr>
        <w:t xml:space="preserve">    </w:t>
      </w:r>
      <w:r>
        <w:rPr>
          <w:rFonts w:hint="eastAsia" w:ascii="宋体" w:hAnsi="宋体" w:cs="宋体"/>
          <w:b/>
          <w:i/>
          <w:color w:val="auto"/>
          <w:sz w:val="24"/>
          <w:highlight w:val="none"/>
          <w:u w:val="single"/>
        </w:rPr>
        <w:t>合同专用条款</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p w14:paraId="20B770A8">
      <w:pPr>
        <w:pStyle w:val="5"/>
        <w:shd w:val="clear"/>
        <w:tabs>
          <w:tab w:val="left" w:pos="0"/>
        </w:tabs>
        <w:spacing w:line="560" w:lineRule="exact"/>
        <w:ind w:left="0" w:firstLine="480" w:firstLineChars="200"/>
        <w:rPr>
          <w:color w:val="auto"/>
          <w:highlight w:val="none"/>
          <w:lang w:val="en-US"/>
        </w:rPr>
      </w:pPr>
      <w:r>
        <w:rPr>
          <w:rFonts w:hint="eastAsia" w:ascii="宋体" w:hAnsi="宋体" w:eastAsia="宋体" w:cs="宋体"/>
          <w:b w:val="0"/>
          <w:bCs w:val="0"/>
          <w:color w:val="auto"/>
          <w:kern w:val="0"/>
          <w:sz w:val="24"/>
          <w:szCs w:val="24"/>
          <w:highlight w:val="none"/>
          <w:lang w:val="en-US"/>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4C31B1CD">
      <w:pPr>
        <w:shd w:val="clear"/>
        <w:spacing w:line="560" w:lineRule="exact"/>
        <w:ind w:firstLine="480" w:firstLineChars="200"/>
        <w:outlineLvl w:val="0"/>
        <w:rPr>
          <w:rFonts w:ascii="宋体" w:hAnsi="宋体" w:cs="宋体"/>
          <w:color w:val="auto"/>
          <w:kern w:val="0"/>
          <w:sz w:val="24"/>
          <w:highlight w:val="none"/>
        </w:rPr>
      </w:pPr>
      <w:r>
        <w:rPr>
          <w:rFonts w:hint="eastAsia" w:ascii="宋体" w:hAnsi="宋体" w:cs="宋体"/>
          <w:color w:val="auto"/>
          <w:kern w:val="0"/>
          <w:sz w:val="24"/>
          <w:highlight w:val="none"/>
        </w:rPr>
        <w:t>1.4.4</w:t>
      </w:r>
      <w:r>
        <w:rPr>
          <w:rFonts w:hint="eastAsia" w:ascii="宋体" w:hAnsi="宋体" w:eastAsia="宋体" w:cs="宋体"/>
          <w:color w:val="auto"/>
          <w:sz w:val="24"/>
          <w:szCs w:val="24"/>
          <w:highlight w:val="none"/>
          <w:lang w:val="en-US" w:eastAsia="zh-CN"/>
        </w:rPr>
        <w:t>履约保证金在定点采购合同期满后无息退还（但如乙方未能履行合同规定的任何义务，甲方有权从履约保证金中得到补偿）</w:t>
      </w:r>
      <w:r>
        <w:rPr>
          <w:rFonts w:hint="eastAsia" w:ascii="宋体" w:hAnsi="宋体" w:cs="宋体"/>
          <w:color w:val="auto"/>
          <w:kern w:val="0"/>
          <w:sz w:val="24"/>
          <w:highlight w:val="none"/>
          <w:lang w:val="en-US" w:eastAsia="zh-CN"/>
        </w:rPr>
        <w:t>。</w:t>
      </w:r>
    </w:p>
    <w:p w14:paraId="3635A378">
      <w:pPr>
        <w:shd w:val="clear"/>
        <w:spacing w:line="560" w:lineRule="exact"/>
        <w:ind w:firstLine="482" w:firstLineChars="200"/>
        <w:outlineLvl w:val="0"/>
        <w:rPr>
          <w:rFonts w:ascii="宋体" w:hAnsi="宋体" w:cs="宋体"/>
          <w:b/>
          <w:color w:val="auto"/>
          <w:sz w:val="24"/>
          <w:highlight w:val="none"/>
        </w:rPr>
      </w:pPr>
      <w:r>
        <w:rPr>
          <w:rFonts w:hint="eastAsia" w:ascii="宋体" w:hAnsi="宋体" w:cs="宋体"/>
          <w:b/>
          <w:color w:val="auto"/>
          <w:sz w:val="24"/>
          <w:highlight w:val="none"/>
        </w:rPr>
        <w:t>1.5</w:t>
      </w:r>
      <w:bookmarkEnd w:id="416"/>
      <w:bookmarkEnd w:id="417"/>
      <w:bookmarkEnd w:id="418"/>
      <w:r>
        <w:rPr>
          <w:rFonts w:hint="eastAsia" w:ascii="宋体" w:hAnsi="宋体" w:cs="宋体"/>
          <w:b/>
          <w:color w:val="auto"/>
          <w:sz w:val="24"/>
          <w:highlight w:val="none"/>
        </w:rPr>
        <w:t>预付款</w:t>
      </w:r>
    </w:p>
    <w:p w14:paraId="19C61B80">
      <w:pPr>
        <w:pStyle w:val="957"/>
        <w:shd w:val="clear"/>
        <w:spacing w:before="0" w:beforeAutospacing="0" w:after="0" w:afterAutospacing="0" w:line="360" w:lineRule="auto"/>
        <w:ind w:firstLine="480"/>
        <w:rPr>
          <w:color w:val="auto"/>
          <w:highlight w:val="none"/>
        </w:rPr>
      </w:pPr>
      <w:r>
        <w:rPr>
          <w:rFonts w:hint="eastAsia"/>
          <w:color w:val="auto"/>
          <w:highlight w:val="none"/>
        </w:rPr>
        <w:t>甲方</w:t>
      </w:r>
      <w:r>
        <w:rPr>
          <w:rFonts w:hint="eastAsia"/>
          <w:color w:val="auto"/>
          <w:highlight w:val="none"/>
          <w:u w:val="single"/>
        </w:rPr>
        <w:t xml:space="preserve"> 否 </w:t>
      </w:r>
      <w:r>
        <w:rPr>
          <w:rFonts w:hint="eastAsia"/>
          <w:color w:val="auto"/>
          <w:highlight w:val="none"/>
        </w:rPr>
        <w:t>需要支付预付款。若需要支付预付款的，则：</w:t>
      </w:r>
    </w:p>
    <w:p w14:paraId="02546AE8">
      <w:pPr>
        <w:pStyle w:val="957"/>
        <w:shd w:val="clear"/>
        <w:spacing w:before="0" w:beforeAutospacing="0" w:after="0" w:afterAutospacing="0"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1.5.1预付款比例、支付方式、时间详见</w:t>
      </w:r>
      <w:r>
        <w:rPr>
          <w:rFonts w:hint="eastAsia" w:ascii="宋体" w:hAnsi="宋体" w:cs="宋体"/>
          <w:color w:val="auto"/>
          <w:kern w:val="0"/>
          <w:sz w:val="24"/>
          <w:highlight w:val="none"/>
          <w:u w:val="single"/>
        </w:rPr>
        <w:t xml:space="preserve">    </w:t>
      </w:r>
      <w:r>
        <w:rPr>
          <w:rFonts w:hint="eastAsia" w:ascii="宋体" w:hAnsi="宋体" w:cs="宋体"/>
          <w:b/>
          <w:i/>
          <w:color w:val="auto"/>
          <w:sz w:val="24"/>
          <w:highlight w:val="none"/>
          <w:u w:val="single"/>
        </w:rPr>
        <w:t>合同专用条款</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p w14:paraId="14D2B2B2">
      <w:pPr>
        <w:pStyle w:val="957"/>
        <w:shd w:val="clear"/>
        <w:spacing w:before="0" w:beforeAutospacing="0" w:after="0" w:afterAutospacing="0" w:line="360" w:lineRule="auto"/>
        <w:ind w:firstLine="480"/>
        <w:rPr>
          <w:color w:val="auto"/>
          <w:highlight w:val="none"/>
        </w:rPr>
      </w:pPr>
      <w:r>
        <w:rPr>
          <w:rFonts w:hint="eastAsia"/>
          <w:color w:val="auto"/>
          <w:highlight w:val="none"/>
        </w:rPr>
        <w:t>1.5.2预付款的扣回方式详见</w:t>
      </w:r>
      <w:r>
        <w:rPr>
          <w:rFonts w:hint="eastAsia"/>
          <w:color w:val="auto"/>
          <w:highlight w:val="none"/>
          <w:u w:val="single"/>
        </w:rPr>
        <w:t xml:space="preserve">    </w:t>
      </w:r>
      <w:r>
        <w:rPr>
          <w:rFonts w:hint="eastAsia"/>
          <w:b/>
          <w:i/>
          <w:color w:val="auto"/>
          <w:highlight w:val="none"/>
          <w:u w:val="single"/>
        </w:rPr>
        <w:t>合同专用条款</w:t>
      </w:r>
      <w:r>
        <w:rPr>
          <w:rFonts w:hint="eastAsia"/>
          <w:color w:val="auto"/>
          <w:highlight w:val="none"/>
          <w:u w:val="single"/>
        </w:rPr>
        <w:t xml:space="preserve">           </w:t>
      </w:r>
      <w:r>
        <w:rPr>
          <w:rFonts w:hint="eastAsia"/>
          <w:color w:val="auto"/>
          <w:highlight w:val="none"/>
        </w:rPr>
        <w:t>；</w:t>
      </w:r>
    </w:p>
    <w:p w14:paraId="7FED0C8F">
      <w:pPr>
        <w:pStyle w:val="957"/>
        <w:shd w:val="clear"/>
        <w:spacing w:before="0" w:beforeAutospacing="0" w:after="0" w:afterAutospacing="0" w:line="360" w:lineRule="auto"/>
        <w:ind w:firstLine="480"/>
        <w:rPr>
          <w:color w:val="auto"/>
          <w:highlight w:val="none"/>
          <w:u w:val="single"/>
        </w:rPr>
      </w:pPr>
      <w:r>
        <w:rPr>
          <w:rFonts w:hint="eastAsia"/>
          <w:color w:val="auto"/>
          <w:highlight w:val="none"/>
        </w:rPr>
        <w:t>1.5.3预付款的担保措施详见</w:t>
      </w:r>
      <w:r>
        <w:rPr>
          <w:rFonts w:hint="eastAsia"/>
          <w:color w:val="auto"/>
          <w:highlight w:val="none"/>
          <w:u w:val="single"/>
        </w:rPr>
        <w:t xml:space="preserve">    </w:t>
      </w:r>
      <w:r>
        <w:rPr>
          <w:rFonts w:hint="eastAsia"/>
          <w:b/>
          <w:i/>
          <w:color w:val="auto"/>
          <w:highlight w:val="none"/>
          <w:u w:val="single"/>
        </w:rPr>
        <w:t>合同专用条款</w:t>
      </w:r>
      <w:r>
        <w:rPr>
          <w:rFonts w:hint="eastAsia"/>
          <w:color w:val="auto"/>
          <w:highlight w:val="none"/>
          <w:u w:val="single"/>
        </w:rPr>
        <w:t xml:space="preserve">          </w:t>
      </w:r>
      <w:r>
        <w:rPr>
          <w:rFonts w:hint="eastAsia"/>
          <w:color w:val="auto"/>
          <w:highlight w:val="none"/>
        </w:rPr>
        <w:t>。</w:t>
      </w:r>
    </w:p>
    <w:p w14:paraId="4539062B">
      <w:pPr>
        <w:pStyle w:val="957"/>
        <w:shd w:val="clear"/>
        <w:spacing w:before="0" w:beforeAutospacing="0" w:after="0" w:afterAutospacing="0" w:line="360" w:lineRule="auto"/>
        <w:ind w:firstLine="480"/>
        <w:rPr>
          <w:b/>
          <w:bCs/>
          <w:color w:val="auto"/>
          <w:highlight w:val="none"/>
        </w:rPr>
      </w:pPr>
      <w:r>
        <w:rPr>
          <w:rFonts w:hint="eastAsia"/>
          <w:b/>
          <w:bCs/>
          <w:color w:val="auto"/>
          <w:highlight w:val="none"/>
        </w:rPr>
        <w:t>1.6资金支付</w:t>
      </w:r>
    </w:p>
    <w:p w14:paraId="6684BA96">
      <w:pPr>
        <w:pStyle w:val="957"/>
        <w:shd w:val="clear"/>
        <w:spacing w:before="0" w:beforeAutospacing="0" w:after="0" w:afterAutospacing="0" w:line="360" w:lineRule="auto"/>
        <w:ind w:firstLine="480"/>
        <w:rPr>
          <w:color w:val="auto"/>
          <w:highlight w:val="none"/>
        </w:rPr>
      </w:pPr>
      <w:r>
        <w:rPr>
          <w:rFonts w:hint="eastAsia"/>
          <w:color w:val="auto"/>
          <w:highlight w:val="none"/>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14:paraId="6BB9133D">
      <w:pPr>
        <w:shd w:val="clear"/>
        <w:spacing w:line="560" w:lineRule="exact"/>
        <w:ind w:firstLine="480" w:firstLineChars="200"/>
        <w:outlineLvl w:val="0"/>
        <w:rPr>
          <w:rFonts w:ascii="宋体" w:hAnsi="宋体" w:cs="宋体"/>
          <w:color w:val="auto"/>
          <w:sz w:val="24"/>
          <w:highlight w:val="none"/>
        </w:rPr>
      </w:pPr>
      <w:r>
        <w:rPr>
          <w:rFonts w:hint="eastAsia" w:ascii="宋体" w:hAnsi="宋体" w:cs="宋体"/>
          <w:color w:val="auto"/>
          <w:sz w:val="24"/>
          <w:highlight w:val="none"/>
        </w:rPr>
        <w:t>1.6.2资金支付的方式、时间和条件详见</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5A42DFF0">
      <w:pPr>
        <w:shd w:val="clea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1.</w:t>
      </w:r>
      <w:r>
        <w:rPr>
          <w:rFonts w:hint="eastAsia" w:ascii="宋体" w:hAnsi="宋体"/>
          <w:b/>
          <w:color w:val="auto"/>
          <w:sz w:val="24"/>
          <w:highlight w:val="none"/>
        </w:rPr>
        <w:t>7</w:t>
      </w:r>
      <w:r>
        <w:rPr>
          <w:rFonts w:ascii="宋体" w:hAnsi="宋体"/>
          <w:b/>
          <w:color w:val="auto"/>
          <w:sz w:val="24"/>
          <w:highlight w:val="none"/>
        </w:rPr>
        <w:t xml:space="preserve"> 履行期限</w:t>
      </w:r>
      <w:r>
        <w:rPr>
          <w:rFonts w:hint="eastAsia" w:ascii="宋体" w:hAnsi="宋体"/>
          <w:b/>
          <w:color w:val="auto"/>
          <w:sz w:val="24"/>
          <w:highlight w:val="none"/>
        </w:rPr>
        <w:t>、地点和方式</w:t>
      </w:r>
      <w:bookmarkEnd w:id="419"/>
      <w:bookmarkEnd w:id="420"/>
      <w:bookmarkEnd w:id="421"/>
      <w:bookmarkEnd w:id="422"/>
      <w:bookmarkEnd w:id="423"/>
    </w:p>
    <w:p w14:paraId="59919816">
      <w:pPr>
        <w:shd w:val="clear"/>
        <w:spacing w:line="560" w:lineRule="exact"/>
        <w:ind w:firstLine="480" w:firstLineChars="200"/>
        <w:rPr>
          <w:rFonts w:ascii="宋体" w:hAnsi="宋体"/>
          <w:color w:val="auto"/>
          <w:sz w:val="24"/>
          <w:highlight w:val="none"/>
          <w:u w:val="single"/>
        </w:rPr>
      </w:pPr>
      <w:r>
        <w:rPr>
          <w:rFonts w:ascii="宋体" w:hAnsi="宋体"/>
          <w:color w:val="auto"/>
          <w:sz w:val="24"/>
          <w:highlight w:val="none"/>
        </w:rPr>
        <w:t>1.</w:t>
      </w:r>
      <w:r>
        <w:rPr>
          <w:rFonts w:hint="eastAsia" w:ascii="宋体" w:hAnsi="宋体"/>
          <w:color w:val="auto"/>
          <w:sz w:val="24"/>
          <w:highlight w:val="none"/>
        </w:rPr>
        <w:t>7</w:t>
      </w:r>
      <w:r>
        <w:rPr>
          <w:rFonts w:ascii="宋体" w:hAnsi="宋体"/>
          <w:color w:val="auto"/>
          <w:sz w:val="24"/>
          <w:highlight w:val="none"/>
        </w:rPr>
        <w:t xml:space="preserve">.1 </w:t>
      </w:r>
      <w:r>
        <w:rPr>
          <w:rFonts w:hint="eastAsia" w:ascii="宋体" w:hAnsi="宋体"/>
          <w:color w:val="auto"/>
          <w:sz w:val="24"/>
          <w:highlight w:val="none"/>
        </w:rPr>
        <w:t>服务交付（实施）的时间（期限）</w:t>
      </w:r>
      <w:r>
        <w:rPr>
          <w:rFonts w:ascii="宋体" w:hAnsi="宋体"/>
          <w:color w:val="auto"/>
          <w:sz w:val="24"/>
          <w:highlight w:val="none"/>
        </w:rPr>
        <w:t>：</w:t>
      </w:r>
      <w:r>
        <w:rPr>
          <w:rFonts w:hint="eastAsia" w:ascii="宋体" w:hAnsi="宋体"/>
          <w:b/>
          <w:i/>
          <w:color w:val="auto"/>
          <w:sz w:val="24"/>
          <w:highlight w:val="none"/>
          <w:u w:val="single"/>
        </w:rPr>
        <w:t>合同专用条款</w:t>
      </w:r>
      <w:r>
        <w:rPr>
          <w:rFonts w:hint="eastAsia" w:ascii="宋体" w:hAnsi="宋体"/>
          <w:color w:val="auto"/>
          <w:sz w:val="24"/>
          <w:highlight w:val="none"/>
        </w:rPr>
        <w:t>；</w:t>
      </w:r>
    </w:p>
    <w:p w14:paraId="3223C2D8">
      <w:pPr>
        <w:shd w:val="clear"/>
        <w:spacing w:line="560" w:lineRule="exact"/>
        <w:ind w:firstLine="480" w:firstLineChars="200"/>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7</w:t>
      </w:r>
      <w:r>
        <w:rPr>
          <w:rFonts w:ascii="宋体" w:hAnsi="宋体"/>
          <w:color w:val="auto"/>
          <w:sz w:val="24"/>
          <w:highlight w:val="none"/>
        </w:rPr>
        <w:t xml:space="preserve">.2 </w:t>
      </w:r>
      <w:r>
        <w:rPr>
          <w:rFonts w:hint="eastAsia" w:ascii="宋体" w:hAnsi="宋体"/>
          <w:color w:val="auto"/>
          <w:sz w:val="24"/>
          <w:highlight w:val="none"/>
        </w:rPr>
        <w:t>服</w:t>
      </w:r>
      <w:r>
        <w:rPr>
          <w:rFonts w:hint="eastAsia" w:ascii="宋体" w:hAnsi="宋体" w:cs="宋体"/>
          <w:color w:val="auto"/>
          <w:sz w:val="24"/>
          <w:highlight w:val="none"/>
        </w:rPr>
        <w:t>务交付（实施）的地点（地域范围）：</w:t>
      </w:r>
      <w:r>
        <w:rPr>
          <w:rFonts w:hint="eastAsia" w:ascii="宋体" w:hAnsi="宋体"/>
          <w:b/>
          <w:i/>
          <w:color w:val="auto"/>
          <w:sz w:val="24"/>
          <w:highlight w:val="none"/>
          <w:u w:val="single"/>
        </w:rPr>
        <w:t>合同专用条款</w:t>
      </w:r>
      <w:r>
        <w:rPr>
          <w:rFonts w:hint="eastAsia" w:ascii="宋体" w:hAnsi="宋体"/>
          <w:color w:val="auto"/>
          <w:sz w:val="24"/>
          <w:highlight w:val="none"/>
        </w:rPr>
        <w:t>；</w:t>
      </w:r>
    </w:p>
    <w:p w14:paraId="6665FAAF">
      <w:pPr>
        <w:shd w:val="clear"/>
        <w:spacing w:line="560" w:lineRule="exact"/>
        <w:ind w:firstLine="480" w:firstLineChars="200"/>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7</w:t>
      </w:r>
      <w:r>
        <w:rPr>
          <w:rFonts w:ascii="宋体" w:hAnsi="宋体"/>
          <w:color w:val="auto"/>
          <w:sz w:val="24"/>
          <w:highlight w:val="none"/>
        </w:rPr>
        <w:t xml:space="preserve">.3 </w:t>
      </w:r>
      <w:r>
        <w:rPr>
          <w:rFonts w:hint="eastAsia" w:ascii="宋体" w:hAnsi="宋体"/>
          <w:color w:val="auto"/>
          <w:sz w:val="24"/>
          <w:highlight w:val="none"/>
        </w:rPr>
        <w:t>服务交付（实施）的方式：</w:t>
      </w:r>
      <w:r>
        <w:rPr>
          <w:rFonts w:hint="eastAsia" w:ascii="宋体" w:hAnsi="宋体"/>
          <w:b/>
          <w:i/>
          <w:color w:val="auto"/>
          <w:sz w:val="24"/>
          <w:highlight w:val="none"/>
          <w:u w:val="single"/>
        </w:rPr>
        <w:t>合同专用条款</w:t>
      </w:r>
      <w:r>
        <w:rPr>
          <w:rFonts w:hint="eastAsia" w:ascii="宋体" w:hAnsi="宋体"/>
          <w:color w:val="auto"/>
          <w:sz w:val="24"/>
          <w:highlight w:val="none"/>
        </w:rPr>
        <w:t>。</w:t>
      </w:r>
    </w:p>
    <w:p w14:paraId="307FA0E0">
      <w:pPr>
        <w:shd w:val="clear"/>
        <w:spacing w:line="560" w:lineRule="exact"/>
        <w:ind w:firstLine="480" w:firstLineChars="200"/>
        <w:outlineLvl w:val="0"/>
        <w:rPr>
          <w:rFonts w:ascii="宋体" w:hAnsi="宋体"/>
          <w:bCs/>
          <w:color w:val="auto"/>
          <w:sz w:val="24"/>
          <w:highlight w:val="none"/>
        </w:rPr>
      </w:pPr>
      <w:bookmarkStart w:id="424" w:name="_Toc2375"/>
      <w:bookmarkStart w:id="425" w:name="_Toc24662"/>
      <w:bookmarkStart w:id="426" w:name="_Toc5698"/>
      <w:bookmarkStart w:id="427" w:name="_Toc8586"/>
      <w:bookmarkStart w:id="428" w:name="_Toc3079"/>
      <w:r>
        <w:rPr>
          <w:rFonts w:hint="eastAsia" w:ascii="宋体" w:hAnsi="宋体"/>
          <w:bCs/>
          <w:color w:val="auto"/>
          <w:sz w:val="24"/>
          <w:highlight w:val="none"/>
        </w:rPr>
        <w:t>1.7.4若服务</w:t>
      </w:r>
      <w:r>
        <w:rPr>
          <w:rFonts w:hint="eastAsia"/>
          <w:bCs/>
          <w:color w:val="auto"/>
          <w:sz w:val="24"/>
          <w:highlight w:val="none"/>
        </w:rPr>
        <w:t>涉及货物的，则货物的：</w:t>
      </w:r>
    </w:p>
    <w:p w14:paraId="566C83BC">
      <w:pPr>
        <w:shd w:val="clear"/>
        <w:spacing w:line="560" w:lineRule="exact"/>
        <w:ind w:firstLine="480" w:firstLineChars="200"/>
        <w:rPr>
          <w:rFonts w:ascii="宋体" w:hAnsi="宋体" w:cs="宋体"/>
          <w:color w:val="auto"/>
          <w:sz w:val="24"/>
          <w:highlight w:val="none"/>
          <w:u w:val="single"/>
        </w:rPr>
      </w:pPr>
      <w:r>
        <w:rPr>
          <w:rFonts w:hint="eastAsia" w:ascii="宋体" w:hAnsi="宋体" w:cs="宋体"/>
          <w:color w:val="auto"/>
          <w:sz w:val="24"/>
          <w:highlight w:val="none"/>
        </w:rPr>
        <w:t>1.7.4.1 交付期限：详见</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61708066">
      <w:pPr>
        <w:shd w:val="clea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1.7.4.2 交付地点：</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15D04AE2">
      <w:pPr>
        <w:shd w:val="clea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1.7.4.3 交付方式：</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0012542A">
      <w:pPr>
        <w:shd w:val="clear"/>
        <w:spacing w:line="560" w:lineRule="exact"/>
        <w:ind w:firstLine="482" w:firstLineChars="200"/>
        <w:outlineLvl w:val="0"/>
        <w:rPr>
          <w:rFonts w:ascii="宋体" w:hAnsi="宋体"/>
          <w:color w:val="auto"/>
          <w:sz w:val="24"/>
          <w:highlight w:val="none"/>
          <w:u w:val="single"/>
        </w:rPr>
      </w:pPr>
      <w:r>
        <w:rPr>
          <w:rFonts w:ascii="宋体" w:hAnsi="宋体"/>
          <w:b/>
          <w:color w:val="auto"/>
          <w:sz w:val="24"/>
          <w:highlight w:val="none"/>
        </w:rPr>
        <w:t>1.</w:t>
      </w:r>
      <w:r>
        <w:rPr>
          <w:rFonts w:hint="eastAsia" w:ascii="宋体" w:hAnsi="宋体"/>
          <w:b/>
          <w:color w:val="auto"/>
          <w:sz w:val="24"/>
          <w:highlight w:val="none"/>
        </w:rPr>
        <w:t>8违约责任</w:t>
      </w:r>
      <w:bookmarkEnd w:id="424"/>
      <w:bookmarkEnd w:id="425"/>
      <w:bookmarkEnd w:id="426"/>
      <w:bookmarkEnd w:id="427"/>
      <w:bookmarkEnd w:id="428"/>
    </w:p>
    <w:p w14:paraId="0EE4BA18">
      <w:pPr>
        <w:shd w:val="clear"/>
        <w:spacing w:line="560" w:lineRule="exact"/>
        <w:ind w:firstLine="480" w:firstLineChars="200"/>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8</w:t>
      </w:r>
      <w:r>
        <w:rPr>
          <w:rFonts w:ascii="宋体" w:hAnsi="宋体"/>
          <w:color w:val="auto"/>
          <w:sz w:val="24"/>
          <w:highlight w:val="none"/>
        </w:rPr>
        <w:t>.1 除不可抗力外，如果乙方没有按照本合同约定的期限</w:t>
      </w:r>
      <w:r>
        <w:rPr>
          <w:rFonts w:hint="eastAsia" w:ascii="宋体" w:hAnsi="宋体"/>
          <w:color w:val="auto"/>
          <w:sz w:val="24"/>
          <w:highlight w:val="none"/>
        </w:rPr>
        <w:t>、</w:t>
      </w:r>
      <w:r>
        <w:rPr>
          <w:rFonts w:ascii="宋体" w:hAnsi="宋体"/>
          <w:color w:val="auto"/>
          <w:sz w:val="24"/>
          <w:highlight w:val="none"/>
        </w:rPr>
        <w:t>地点和方式</w:t>
      </w:r>
      <w:r>
        <w:rPr>
          <w:rFonts w:hint="eastAsia" w:ascii="宋体" w:hAnsi="宋体"/>
          <w:color w:val="auto"/>
          <w:sz w:val="24"/>
          <w:highlight w:val="none"/>
        </w:rPr>
        <w:t>交付服务成果或者实施服务</w:t>
      </w:r>
      <w:r>
        <w:rPr>
          <w:rFonts w:ascii="宋体" w:hAnsi="宋体"/>
          <w:color w:val="auto"/>
          <w:sz w:val="24"/>
          <w:highlight w:val="none"/>
        </w:rPr>
        <w:t>，那么甲方可要求乙方支付违约金</w:t>
      </w:r>
      <w:r>
        <w:rPr>
          <w:rFonts w:hint="eastAsia" w:ascii="宋体" w:hAnsi="宋体"/>
          <w:color w:val="auto"/>
          <w:sz w:val="24"/>
          <w:highlight w:val="none"/>
        </w:rPr>
        <w:t>，迟延履行</w:t>
      </w:r>
      <w:r>
        <w:rPr>
          <w:rFonts w:ascii="宋体" w:hAnsi="宋体"/>
          <w:color w:val="auto"/>
          <w:sz w:val="24"/>
          <w:highlight w:val="none"/>
        </w:rPr>
        <w:t>违约金按每迟延</w:t>
      </w:r>
      <w:r>
        <w:rPr>
          <w:rFonts w:hint="eastAsia" w:ascii="宋体" w:hAnsi="宋体"/>
          <w:color w:val="auto"/>
          <w:sz w:val="24"/>
          <w:highlight w:val="none"/>
        </w:rPr>
        <w:t>履行</w:t>
      </w:r>
      <w:r>
        <w:rPr>
          <w:rFonts w:ascii="宋体" w:hAnsi="宋体"/>
          <w:color w:val="auto"/>
          <w:sz w:val="24"/>
          <w:highlight w:val="none"/>
        </w:rPr>
        <w:t>一日的应提供而未</w:t>
      </w:r>
      <w:r>
        <w:rPr>
          <w:rFonts w:hint="eastAsia" w:ascii="宋体" w:hAnsi="宋体"/>
          <w:color w:val="auto"/>
          <w:sz w:val="24"/>
          <w:highlight w:val="none"/>
        </w:rPr>
        <w:t>提供</w:t>
      </w:r>
      <w:r>
        <w:rPr>
          <w:rFonts w:ascii="宋体" w:hAnsi="宋体"/>
          <w:color w:val="auto"/>
          <w:sz w:val="24"/>
          <w:highlight w:val="none"/>
        </w:rPr>
        <w:t>服务价格的</w:t>
      </w:r>
      <w:r>
        <w:rPr>
          <w:rFonts w:hint="eastAsia" w:ascii="宋体" w:hAnsi="宋体"/>
          <w:color w:val="auto"/>
          <w:sz w:val="24"/>
          <w:highlight w:val="none"/>
          <w:u w:val="single"/>
        </w:rPr>
        <w:t>0.05</w:t>
      </w:r>
      <w:r>
        <w:rPr>
          <w:rFonts w:ascii="宋体" w:hAnsi="宋体"/>
          <w:color w:val="auto"/>
          <w:sz w:val="24"/>
          <w:highlight w:val="none"/>
          <w:u w:val="single"/>
        </w:rPr>
        <w:t xml:space="preserve"> </w:t>
      </w:r>
      <w:r>
        <w:rPr>
          <w:rFonts w:ascii="宋体" w:hAnsi="宋体"/>
          <w:color w:val="auto"/>
          <w:sz w:val="24"/>
          <w:highlight w:val="none"/>
        </w:rPr>
        <w:t>%计算</w:t>
      </w:r>
      <w:r>
        <w:rPr>
          <w:rFonts w:hint="eastAsia" w:ascii="宋体" w:hAnsi="宋体"/>
          <w:color w:val="auto"/>
          <w:sz w:val="24"/>
          <w:highlight w:val="none"/>
        </w:rPr>
        <w:t>，</w:t>
      </w:r>
      <w:r>
        <w:rPr>
          <w:rFonts w:ascii="宋体" w:hAnsi="宋体"/>
          <w:color w:val="auto"/>
          <w:sz w:val="24"/>
          <w:highlight w:val="none"/>
        </w:rPr>
        <w:t>最高限额为</w:t>
      </w:r>
      <w:r>
        <w:rPr>
          <w:rFonts w:hint="eastAsia" w:ascii="宋体" w:hAnsi="宋体"/>
          <w:color w:val="auto"/>
          <w:sz w:val="24"/>
          <w:highlight w:val="none"/>
        </w:rPr>
        <w:t>本</w:t>
      </w:r>
      <w:r>
        <w:rPr>
          <w:rFonts w:ascii="宋体" w:hAnsi="宋体"/>
          <w:color w:val="auto"/>
          <w:sz w:val="24"/>
          <w:highlight w:val="none"/>
        </w:rPr>
        <w:t>合同总价的</w:t>
      </w:r>
      <w:r>
        <w:rPr>
          <w:rFonts w:ascii="宋体" w:hAnsi="宋体"/>
          <w:color w:val="auto"/>
          <w:sz w:val="24"/>
          <w:highlight w:val="none"/>
          <w:u w:val="single"/>
        </w:rPr>
        <w:t xml:space="preserve">  20   </w:t>
      </w:r>
      <w:r>
        <w:rPr>
          <w:rFonts w:ascii="宋体" w:hAnsi="宋体"/>
          <w:color w:val="auto"/>
          <w:sz w:val="24"/>
          <w:highlight w:val="none"/>
        </w:rPr>
        <w:t>%</w:t>
      </w:r>
      <w:r>
        <w:rPr>
          <w:rFonts w:hint="eastAsia" w:ascii="宋体" w:hAnsi="宋体"/>
          <w:color w:val="auto"/>
          <w:sz w:val="24"/>
          <w:highlight w:val="none"/>
        </w:rPr>
        <w:t>；</w:t>
      </w:r>
      <w:r>
        <w:rPr>
          <w:rFonts w:ascii="宋体" w:hAnsi="宋体"/>
          <w:color w:val="auto"/>
          <w:sz w:val="24"/>
          <w:highlight w:val="none"/>
        </w:rPr>
        <w:t>迟延</w:t>
      </w:r>
      <w:r>
        <w:rPr>
          <w:rFonts w:hint="eastAsia" w:ascii="宋体" w:hAnsi="宋体"/>
          <w:color w:val="auto"/>
          <w:sz w:val="24"/>
          <w:highlight w:val="none"/>
        </w:rPr>
        <w:t>履行</w:t>
      </w:r>
      <w:r>
        <w:rPr>
          <w:rFonts w:ascii="宋体" w:hAnsi="宋体"/>
          <w:color w:val="auto"/>
          <w:sz w:val="24"/>
          <w:highlight w:val="none"/>
        </w:rPr>
        <w:t>的违约金计算数额达到前述最高限额之日起</w:t>
      </w:r>
      <w:r>
        <w:rPr>
          <w:rFonts w:hint="eastAsia" w:ascii="宋体" w:hAnsi="宋体"/>
          <w:color w:val="auto"/>
          <w:sz w:val="24"/>
          <w:highlight w:val="none"/>
        </w:rPr>
        <w:t>，</w:t>
      </w:r>
      <w:r>
        <w:rPr>
          <w:rFonts w:ascii="宋体" w:hAnsi="宋体"/>
          <w:color w:val="auto"/>
          <w:sz w:val="24"/>
          <w:highlight w:val="none"/>
        </w:rPr>
        <w:t>甲方有权在要求乙方支付违约金的同时</w:t>
      </w:r>
      <w:r>
        <w:rPr>
          <w:rFonts w:hint="eastAsia" w:ascii="宋体" w:hAnsi="宋体"/>
          <w:color w:val="auto"/>
          <w:sz w:val="24"/>
          <w:highlight w:val="none"/>
        </w:rPr>
        <w:t>，书面通知乙方</w:t>
      </w:r>
      <w:r>
        <w:rPr>
          <w:rFonts w:ascii="宋体" w:hAnsi="宋体"/>
          <w:color w:val="auto"/>
          <w:sz w:val="24"/>
          <w:highlight w:val="none"/>
        </w:rPr>
        <w:t>解除本合同</w:t>
      </w:r>
      <w:r>
        <w:rPr>
          <w:rFonts w:hint="eastAsia" w:ascii="宋体" w:hAnsi="宋体"/>
          <w:color w:val="auto"/>
          <w:sz w:val="24"/>
          <w:highlight w:val="none"/>
        </w:rPr>
        <w:t>；</w:t>
      </w:r>
    </w:p>
    <w:p w14:paraId="1F2FC7EB">
      <w:pPr>
        <w:shd w:val="clear"/>
        <w:spacing w:line="560" w:lineRule="exact"/>
        <w:ind w:firstLine="480" w:firstLineChars="200"/>
        <w:rPr>
          <w:rFonts w:ascii="宋体" w:hAnsi="宋体" w:eastAsia="宋体" w:cs="宋体"/>
          <w:b w:val="0"/>
          <w:bCs w:val="0"/>
          <w:color w:val="auto"/>
          <w:sz w:val="24"/>
          <w:szCs w:val="24"/>
          <w:highlight w:val="none"/>
          <w:lang w:val="en-US"/>
        </w:rPr>
      </w:pPr>
      <w:r>
        <w:rPr>
          <w:rFonts w:hint="eastAsia" w:ascii="宋体" w:hAnsi="宋体" w:eastAsia="宋体" w:cs="宋体"/>
          <w:b w:val="0"/>
          <w:bCs w:val="0"/>
          <w:color w:val="auto"/>
          <w:sz w:val="24"/>
          <w:szCs w:val="24"/>
          <w:highlight w:val="none"/>
          <w:lang w:val="en-US"/>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宋体" w:hAnsi="宋体" w:eastAsia="宋体" w:cs="宋体"/>
          <w:b w:val="0"/>
          <w:bCs w:val="0"/>
          <w:color w:val="auto"/>
          <w:sz w:val="24"/>
          <w:szCs w:val="24"/>
          <w:highlight w:val="none"/>
          <w:u w:val="single"/>
          <w:lang w:val="en-US"/>
        </w:rPr>
        <w:t xml:space="preserve">0.05 </w:t>
      </w:r>
      <w:r>
        <w:rPr>
          <w:rFonts w:hint="eastAsia" w:ascii="宋体" w:hAnsi="宋体" w:eastAsia="宋体" w:cs="宋体"/>
          <w:b w:val="0"/>
          <w:bCs w:val="0"/>
          <w:color w:val="auto"/>
          <w:sz w:val="24"/>
          <w:szCs w:val="24"/>
          <w:highlight w:val="none"/>
          <w:lang w:val="en-US"/>
        </w:rPr>
        <w:t>%计算，最高限额为本合同总价的</w:t>
      </w:r>
      <w:r>
        <w:rPr>
          <w:rFonts w:hint="eastAsia" w:ascii="宋体" w:hAnsi="宋体" w:eastAsia="宋体" w:cs="宋体"/>
          <w:b w:val="0"/>
          <w:bCs w:val="0"/>
          <w:color w:val="auto"/>
          <w:sz w:val="24"/>
          <w:szCs w:val="24"/>
          <w:highlight w:val="none"/>
          <w:u w:val="single"/>
          <w:lang w:val="en-US"/>
        </w:rPr>
        <w:t xml:space="preserve">  20  </w:t>
      </w:r>
      <w:r>
        <w:rPr>
          <w:rFonts w:hint="eastAsia" w:ascii="宋体" w:hAnsi="宋体" w:eastAsia="宋体" w:cs="宋体"/>
          <w:b w:val="0"/>
          <w:bCs w:val="0"/>
          <w:color w:val="auto"/>
          <w:sz w:val="24"/>
          <w:szCs w:val="24"/>
          <w:highlight w:val="none"/>
          <w:lang w:val="en-US"/>
        </w:rPr>
        <w:t>%；迟延交付货物的违约金计算数额达到前述最高限额之日起，甲方有权在要求乙方支付违约金的同时，书面通知乙方解除本合同；</w:t>
      </w:r>
    </w:p>
    <w:p w14:paraId="7110300A">
      <w:pPr>
        <w:shd w:val="clear"/>
        <w:spacing w:line="560" w:lineRule="exact"/>
        <w:ind w:firstLine="480" w:firstLineChars="200"/>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8</w:t>
      </w:r>
      <w:r>
        <w:rPr>
          <w:rFonts w:ascii="宋体" w:hAnsi="宋体"/>
          <w:color w:val="auto"/>
          <w:sz w:val="24"/>
          <w:highlight w:val="none"/>
        </w:rPr>
        <w:t>.</w:t>
      </w:r>
      <w:r>
        <w:rPr>
          <w:rFonts w:hint="eastAsia" w:ascii="宋体" w:hAnsi="宋体"/>
          <w:color w:val="auto"/>
          <w:sz w:val="24"/>
          <w:highlight w:val="none"/>
        </w:rPr>
        <w:t>3</w:t>
      </w:r>
      <w:r>
        <w:rPr>
          <w:rFonts w:hint="eastAsia" w:ascii="宋体" w:hAnsi="宋体" w:cs="宋体"/>
          <w:color w:val="auto"/>
          <w:sz w:val="24"/>
          <w:highlight w:val="none"/>
        </w:rPr>
        <w:t>除不可抗力外，如果甲方没有按照本合同约定的付款方式付款，那么乙方可</w:t>
      </w:r>
      <w:r>
        <w:rPr>
          <w:rFonts w:hint="eastAsia" w:ascii="宋体" w:hAnsi="宋体" w:eastAsia="宋体" w:cs="Times New Roman"/>
          <w:color w:val="auto"/>
          <w:sz w:val="24"/>
          <w:highlight w:val="none"/>
        </w:rPr>
        <w:t>要求</w:t>
      </w:r>
      <w:r>
        <w:rPr>
          <w:rFonts w:hint="eastAsia" w:ascii="宋体" w:hAnsi="宋体" w:cs="宋体"/>
          <w:color w:val="auto"/>
          <w:sz w:val="24"/>
          <w:highlight w:val="none"/>
        </w:rPr>
        <w:t>甲方支付违约金，违约金按每迟延付款一日的应付而未付款的</w:t>
      </w:r>
      <w:r>
        <w:rPr>
          <w:rFonts w:hint="eastAsia" w:ascii="宋体" w:hAnsi="宋体" w:cs="宋体"/>
          <w:color w:val="auto"/>
          <w:sz w:val="24"/>
          <w:highlight w:val="none"/>
          <w:u w:val="single"/>
        </w:rPr>
        <w:t xml:space="preserve">   0.05   </w:t>
      </w:r>
      <w:r>
        <w:rPr>
          <w:rFonts w:hint="eastAsia" w:ascii="宋体" w:hAnsi="宋体" w:cs="宋体"/>
          <w:color w:val="auto"/>
          <w:sz w:val="24"/>
          <w:highlight w:val="none"/>
        </w:rPr>
        <w:t>%计算，最高限额为本合同总价的</w:t>
      </w:r>
      <w:r>
        <w:rPr>
          <w:rFonts w:hint="eastAsia" w:ascii="宋体" w:hAnsi="宋体" w:cs="宋体"/>
          <w:color w:val="auto"/>
          <w:sz w:val="24"/>
          <w:highlight w:val="none"/>
          <w:u w:val="single"/>
        </w:rPr>
        <w:t xml:space="preserve"> 20 </w:t>
      </w:r>
      <w:r>
        <w:rPr>
          <w:rFonts w:hint="eastAsia" w:ascii="宋体" w:hAnsi="宋体" w:cs="宋体"/>
          <w:color w:val="auto"/>
          <w:sz w:val="24"/>
          <w:highlight w:val="none"/>
        </w:rPr>
        <w:t>%；迟延付款的违约金计算数额达到前述最高限额之日起，乙方有权在要求甲方支付违约金的同时，书面通知甲方解除本合同</w:t>
      </w:r>
      <w:r>
        <w:rPr>
          <w:rFonts w:hint="eastAsia" w:ascii="宋体" w:hAnsi="宋体"/>
          <w:color w:val="auto"/>
          <w:sz w:val="24"/>
          <w:highlight w:val="none"/>
        </w:rPr>
        <w:t>；</w:t>
      </w:r>
    </w:p>
    <w:p w14:paraId="57E93661">
      <w:pPr>
        <w:shd w:val="clear"/>
        <w:spacing w:line="560" w:lineRule="exact"/>
        <w:ind w:firstLine="480" w:firstLineChars="200"/>
        <w:rPr>
          <w:rFonts w:ascii="宋体" w:hAnsi="宋体" w:cs="宋体"/>
          <w:color w:val="auto"/>
          <w:sz w:val="24"/>
          <w:highlight w:val="none"/>
        </w:rPr>
      </w:pPr>
      <w:bookmarkStart w:id="429" w:name="_Toc9497"/>
      <w:bookmarkStart w:id="430" w:name="_Toc26807"/>
      <w:bookmarkStart w:id="431" w:name="_Toc18683"/>
      <w:bookmarkStart w:id="432" w:name="_Toc30329"/>
      <w:bookmarkStart w:id="433" w:name="_Toc32454"/>
      <w:r>
        <w:rPr>
          <w:rFonts w:hint="eastAsia" w:ascii="宋体" w:hAnsi="宋体" w:cs="宋体"/>
          <w:color w:val="auto"/>
          <w:sz w:val="24"/>
          <w:highlight w:val="none"/>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5865AAD5">
      <w:pPr>
        <w:shd w:val="clea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5CA17333">
      <w:pPr>
        <w:shd w:val="clea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1.8.6如果出现政府采购监督管理部门在处理投诉事项期间，书面通知甲方暂停采购活动的情形，或者询问或质疑事项可能影响中标或者成交结果的，导致甲方中止履行合同的情形，均不视为甲方违约。</w:t>
      </w:r>
    </w:p>
    <w:p w14:paraId="2B24FE76">
      <w:pPr>
        <w:shd w:val="clear"/>
        <w:spacing w:line="560" w:lineRule="exact"/>
        <w:ind w:right="-420" w:rightChars="-200" w:firstLine="480" w:firstLineChars="200"/>
        <w:rPr>
          <w:rFonts w:ascii="宋体" w:hAnsi="宋体" w:cs="宋体"/>
          <w:color w:val="auto"/>
          <w:highlight w:val="none"/>
        </w:rPr>
      </w:pPr>
      <w:r>
        <w:rPr>
          <w:rFonts w:hint="eastAsia" w:ascii="宋体" w:hAnsi="宋体" w:cs="宋体"/>
          <w:color w:val="auto"/>
          <w:sz w:val="24"/>
          <w:highlight w:val="none"/>
        </w:rPr>
        <w:t>1.8.7违约责任</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另有约定的，从其约定。</w:t>
      </w:r>
    </w:p>
    <w:bookmarkEnd w:id="429"/>
    <w:bookmarkEnd w:id="430"/>
    <w:bookmarkEnd w:id="431"/>
    <w:bookmarkEnd w:id="432"/>
    <w:bookmarkEnd w:id="433"/>
    <w:p w14:paraId="77D3B208">
      <w:pPr>
        <w:shd w:val="clear"/>
        <w:spacing w:line="560" w:lineRule="exact"/>
        <w:ind w:firstLine="482" w:firstLineChars="200"/>
        <w:outlineLvl w:val="0"/>
        <w:rPr>
          <w:rFonts w:ascii="宋体" w:hAnsi="宋体" w:cs="宋体"/>
          <w:b/>
          <w:color w:val="auto"/>
          <w:sz w:val="24"/>
          <w:highlight w:val="none"/>
        </w:rPr>
      </w:pPr>
      <w:bookmarkStart w:id="434" w:name="_Toc28375"/>
      <w:bookmarkStart w:id="435" w:name="_Toc16021"/>
      <w:bookmarkStart w:id="436" w:name="_Toc15583"/>
      <w:r>
        <w:rPr>
          <w:rFonts w:hint="eastAsia" w:ascii="宋体" w:hAnsi="宋体" w:cs="宋体"/>
          <w:b/>
          <w:color w:val="auto"/>
          <w:sz w:val="24"/>
          <w:highlight w:val="none"/>
        </w:rPr>
        <w:t>1.9合同争议的解决</w:t>
      </w:r>
      <w:bookmarkEnd w:id="434"/>
      <w:bookmarkEnd w:id="435"/>
      <w:bookmarkEnd w:id="436"/>
    </w:p>
    <w:p w14:paraId="036B452C">
      <w:pPr>
        <w:shd w:val="clear"/>
        <w:spacing w:line="560" w:lineRule="exact"/>
        <w:ind w:left="-61" w:leftChars="-29" w:right="-420" w:rightChars="-200" w:firstLine="240" w:firstLineChars="100"/>
        <w:rPr>
          <w:rFonts w:ascii="宋体" w:hAnsi="宋体" w:cs="宋体"/>
          <w:color w:val="auto"/>
          <w:sz w:val="24"/>
          <w:highlight w:val="none"/>
        </w:rPr>
      </w:pPr>
      <w:r>
        <w:rPr>
          <w:rFonts w:hint="eastAsia" w:ascii="宋体" w:hAnsi="宋体" w:cs="宋体"/>
          <w:color w:val="auto"/>
          <w:sz w:val="24"/>
          <w:highlight w:val="none"/>
        </w:rPr>
        <w:t xml:space="preserve">  本合同履行过程中发生的任何争议，双方当事人均可通过和解或者调解解决；不愿和解、调解或者和解、调解不成的，可以选择以下第</w:t>
      </w:r>
      <w:r>
        <w:rPr>
          <w:rFonts w:hint="eastAsia" w:ascii="宋体" w:hAnsi="宋体" w:cs="宋体"/>
          <w:b/>
          <w:i/>
          <w:color w:val="auto"/>
          <w:sz w:val="24"/>
          <w:highlight w:val="none"/>
          <w:u w:val="single"/>
        </w:rPr>
        <w:t xml:space="preserve"> </w:t>
      </w:r>
      <w:r>
        <w:rPr>
          <w:rFonts w:hint="eastAsia" w:ascii="宋体" w:hAnsi="宋体" w:cs="宋体"/>
          <w:b/>
          <w:i/>
          <w:color w:val="auto"/>
          <w:sz w:val="24"/>
          <w:highlight w:val="none"/>
          <w:u w:val="single"/>
          <w:lang w:val="en-US" w:eastAsia="zh-CN"/>
        </w:rPr>
        <w:t>1.9.2</w:t>
      </w:r>
      <w:r>
        <w:rPr>
          <w:rFonts w:hint="eastAsia" w:ascii="宋体" w:hAnsi="宋体" w:cs="宋体"/>
          <w:b/>
          <w:i/>
          <w:color w:val="auto"/>
          <w:sz w:val="24"/>
          <w:highlight w:val="none"/>
          <w:u w:val="single"/>
        </w:rPr>
        <w:t xml:space="preserve"> </w:t>
      </w:r>
      <w:r>
        <w:rPr>
          <w:rFonts w:hint="eastAsia" w:ascii="宋体" w:hAnsi="宋体" w:cs="宋体"/>
          <w:color w:val="auto"/>
          <w:sz w:val="24"/>
          <w:highlight w:val="none"/>
        </w:rPr>
        <w:t>条款规定的方式解决：</w:t>
      </w:r>
    </w:p>
    <w:p w14:paraId="4E62E782">
      <w:pPr>
        <w:shd w:val="clear"/>
        <w:spacing w:line="560" w:lineRule="exact"/>
        <w:ind w:left="-420" w:leftChars="-200" w:right="-420" w:rightChars="-200" w:firstLine="600" w:firstLineChars="250"/>
        <w:rPr>
          <w:rFonts w:ascii="宋体" w:hAnsi="宋体" w:cs="宋体"/>
          <w:color w:val="auto"/>
          <w:sz w:val="24"/>
          <w:highlight w:val="none"/>
        </w:rPr>
      </w:pPr>
      <w:r>
        <w:rPr>
          <w:rFonts w:hint="eastAsia" w:ascii="宋体" w:hAnsi="宋体" w:cs="宋体"/>
          <w:color w:val="auto"/>
          <w:sz w:val="24"/>
          <w:highlight w:val="none"/>
        </w:rPr>
        <w:t>1.9.1 将争议提交</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仲裁委员会依申请仲裁时其现行有效的仲裁规则裁决；</w:t>
      </w:r>
    </w:p>
    <w:p w14:paraId="4FBC4F73">
      <w:pPr>
        <w:shd w:val="clear"/>
        <w:spacing w:line="560" w:lineRule="exact"/>
        <w:ind w:left="-420" w:leftChars="-200" w:right="-420" w:rightChars="-200" w:firstLine="600" w:firstLineChars="250"/>
        <w:rPr>
          <w:rFonts w:ascii="宋体" w:hAnsi="宋体" w:cs="宋体"/>
          <w:color w:val="auto"/>
          <w:sz w:val="24"/>
          <w:highlight w:val="none"/>
        </w:rPr>
      </w:pPr>
      <w:r>
        <w:rPr>
          <w:rFonts w:hint="eastAsia" w:ascii="宋体" w:hAnsi="宋体" w:cs="宋体"/>
          <w:color w:val="auto"/>
          <w:sz w:val="24"/>
          <w:highlight w:val="none"/>
        </w:rPr>
        <w:t>1.9.2 向</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人民法院起诉。</w:t>
      </w:r>
    </w:p>
    <w:p w14:paraId="5787CBC4">
      <w:pPr>
        <w:shd w:val="clear"/>
        <w:spacing w:line="560" w:lineRule="exact"/>
        <w:ind w:firstLine="482" w:firstLineChars="200"/>
        <w:outlineLvl w:val="0"/>
        <w:rPr>
          <w:rFonts w:ascii="宋体" w:hAnsi="宋体" w:cs="宋体"/>
          <w:b/>
          <w:color w:val="auto"/>
          <w:sz w:val="24"/>
          <w:highlight w:val="none"/>
        </w:rPr>
      </w:pPr>
      <w:bookmarkStart w:id="437" w:name="_Toc7245"/>
      <w:bookmarkStart w:id="438" w:name="_Toc15322"/>
      <w:bookmarkStart w:id="439" w:name="_Toc11173"/>
      <w:r>
        <w:rPr>
          <w:rFonts w:hint="eastAsia" w:ascii="宋体" w:hAnsi="宋体" w:cs="宋体"/>
          <w:b/>
          <w:color w:val="auto"/>
          <w:sz w:val="24"/>
          <w:highlight w:val="none"/>
        </w:rPr>
        <w:t>2.0 合同生效</w:t>
      </w:r>
      <w:bookmarkEnd w:id="437"/>
      <w:bookmarkEnd w:id="438"/>
      <w:bookmarkEnd w:id="439"/>
    </w:p>
    <w:p w14:paraId="621F1C99">
      <w:pPr>
        <w:shd w:val="clear"/>
        <w:spacing w:line="560" w:lineRule="exact"/>
        <w:ind w:firstLine="480" w:firstLineChars="200"/>
        <w:rPr>
          <w:rFonts w:ascii="宋体" w:hAnsi="宋体" w:cs="宋体"/>
          <w:b/>
          <w:color w:val="auto"/>
          <w:sz w:val="24"/>
          <w:highlight w:val="none"/>
        </w:rPr>
      </w:pPr>
      <w:r>
        <w:rPr>
          <w:rFonts w:hint="eastAsia" w:ascii="宋体" w:hAnsi="宋体" w:cs="宋体"/>
          <w:color w:val="auto"/>
          <w:sz w:val="24"/>
          <w:highlight w:val="none"/>
        </w:rPr>
        <w:t>本合同自双方当事人盖章签字时生效。</w:t>
      </w:r>
    </w:p>
    <w:p w14:paraId="14A7290B">
      <w:pPr>
        <w:shd w:val="clear"/>
        <w:autoSpaceDE w:val="0"/>
        <w:autoSpaceDN w:val="0"/>
        <w:spacing w:line="560" w:lineRule="exact"/>
        <w:rPr>
          <w:rFonts w:ascii="宋体" w:hAnsi="宋体"/>
          <w:color w:val="auto"/>
          <w:sz w:val="24"/>
          <w:highlight w:val="none"/>
          <w:lang w:val="zh-CN"/>
        </w:rPr>
      </w:pPr>
    </w:p>
    <w:p w14:paraId="362AEA5E">
      <w:pPr>
        <w:shd w:val="clear"/>
        <w:autoSpaceDE w:val="0"/>
        <w:autoSpaceDN w:val="0"/>
        <w:spacing w:line="560" w:lineRule="exact"/>
        <w:rPr>
          <w:rFonts w:ascii="宋体" w:hAnsi="宋体"/>
          <w:color w:val="auto"/>
          <w:sz w:val="24"/>
          <w:highlight w:val="none"/>
          <w:lang w:val="zh-CN"/>
        </w:rPr>
      </w:pPr>
      <w:r>
        <w:rPr>
          <w:rFonts w:hint="eastAsia" w:ascii="宋体" w:hAnsi="宋体"/>
          <w:b/>
          <w:color w:val="auto"/>
          <w:sz w:val="24"/>
          <w:highlight w:val="none"/>
          <w:lang w:val="zh-CN"/>
        </w:rPr>
        <w:t>甲方</w:t>
      </w:r>
      <w:r>
        <w:rPr>
          <w:rFonts w:hint="eastAsia" w:ascii="宋体" w:hAnsi="宋体"/>
          <w:color w:val="auto"/>
          <w:sz w:val="24"/>
          <w:highlight w:val="none"/>
          <w:lang w:val="zh-CN"/>
        </w:rPr>
        <w:t>：</w:t>
      </w:r>
      <w:r>
        <w:rPr>
          <w:rFonts w:ascii="宋体" w:hAnsi="宋体"/>
          <w:color w:val="auto"/>
          <w:sz w:val="24"/>
          <w:highlight w:val="none"/>
          <w:lang w:val="zh-CN"/>
        </w:rPr>
        <w:t xml:space="preserve">                             </w:t>
      </w:r>
      <w:r>
        <w:rPr>
          <w:rFonts w:ascii="宋体" w:hAnsi="宋体"/>
          <w:b/>
          <w:color w:val="auto"/>
          <w:sz w:val="24"/>
          <w:highlight w:val="none"/>
          <w:lang w:val="zh-CN"/>
        </w:rPr>
        <w:t xml:space="preserve">      乙方</w:t>
      </w:r>
      <w:r>
        <w:rPr>
          <w:rFonts w:hint="eastAsia" w:ascii="宋体" w:hAnsi="宋体"/>
          <w:color w:val="auto"/>
          <w:sz w:val="24"/>
          <w:highlight w:val="none"/>
          <w:lang w:val="zh-CN"/>
        </w:rPr>
        <w:t>：</w:t>
      </w:r>
    </w:p>
    <w:p w14:paraId="05AD940F">
      <w:pPr>
        <w:shd w:val="clea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统一社会信用代码：</w:t>
      </w:r>
      <w:r>
        <w:rPr>
          <w:rFonts w:ascii="宋体" w:hAnsi="宋体"/>
          <w:color w:val="auto"/>
          <w:sz w:val="24"/>
          <w:highlight w:val="none"/>
          <w:lang w:val="zh-CN"/>
        </w:rPr>
        <w:t xml:space="preserve">                        </w:t>
      </w:r>
      <w:r>
        <w:rPr>
          <w:rFonts w:hint="eastAsia" w:ascii="宋体" w:hAnsi="宋体"/>
          <w:color w:val="auto"/>
          <w:sz w:val="24"/>
          <w:highlight w:val="none"/>
          <w:lang w:val="zh-CN"/>
        </w:rPr>
        <w:t>统一社会信用代码或身份证号码：</w:t>
      </w:r>
    </w:p>
    <w:p w14:paraId="1C9747AA">
      <w:pPr>
        <w:shd w:val="clear"/>
        <w:autoSpaceDE w:val="0"/>
        <w:autoSpaceDN w:val="0"/>
        <w:spacing w:line="560" w:lineRule="exact"/>
        <w:rPr>
          <w:rFonts w:ascii="宋体" w:hAnsi="宋体"/>
          <w:color w:val="auto"/>
          <w:sz w:val="24"/>
          <w:highlight w:val="none"/>
          <w:lang w:val="zh-CN"/>
        </w:rPr>
      </w:pPr>
    </w:p>
    <w:p w14:paraId="64286A5E">
      <w:pPr>
        <w:shd w:val="clea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住所：</w:t>
      </w:r>
      <w:r>
        <w:rPr>
          <w:rFonts w:ascii="宋体" w:hAnsi="宋体"/>
          <w:color w:val="auto"/>
          <w:sz w:val="24"/>
          <w:highlight w:val="none"/>
          <w:lang w:val="zh-CN"/>
        </w:rPr>
        <w:t xml:space="preserve">                                   </w:t>
      </w:r>
      <w:r>
        <w:rPr>
          <w:rFonts w:hint="eastAsia" w:ascii="宋体" w:hAnsi="宋体"/>
          <w:color w:val="auto"/>
          <w:sz w:val="24"/>
          <w:highlight w:val="none"/>
          <w:lang w:val="zh-CN"/>
        </w:rPr>
        <w:t>住所：</w:t>
      </w:r>
    </w:p>
    <w:p w14:paraId="76B20DF4">
      <w:pPr>
        <w:shd w:val="clea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法定代表人或</w:t>
      </w:r>
      <w:r>
        <w:rPr>
          <w:rFonts w:ascii="宋体" w:hAnsi="宋体"/>
          <w:color w:val="auto"/>
          <w:sz w:val="24"/>
          <w:highlight w:val="none"/>
          <w:lang w:val="zh-CN"/>
        </w:rPr>
        <w:t xml:space="preserve">                             </w:t>
      </w:r>
      <w:r>
        <w:rPr>
          <w:rFonts w:hint="eastAsia" w:ascii="宋体" w:hAnsi="宋体"/>
          <w:color w:val="auto"/>
          <w:sz w:val="24"/>
          <w:highlight w:val="none"/>
          <w:lang w:val="zh-CN"/>
        </w:rPr>
        <w:t>法定代表人或</w:t>
      </w:r>
    </w:p>
    <w:p w14:paraId="14DEFAD6">
      <w:pPr>
        <w:shd w:val="clea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授权代表（签字）：</w:t>
      </w:r>
      <w:r>
        <w:rPr>
          <w:rFonts w:ascii="宋体" w:hAnsi="宋体"/>
          <w:color w:val="auto"/>
          <w:sz w:val="24"/>
          <w:highlight w:val="none"/>
          <w:lang w:val="zh-CN"/>
        </w:rPr>
        <w:t xml:space="preserve">                       授权代表（签字）</w:t>
      </w:r>
      <w:r>
        <w:rPr>
          <w:rFonts w:hint="eastAsia" w:ascii="宋体" w:hAnsi="宋体"/>
          <w:color w:val="auto"/>
          <w:sz w:val="24"/>
          <w:highlight w:val="none"/>
          <w:lang w:val="zh-CN"/>
        </w:rPr>
        <w:t>：</w:t>
      </w:r>
      <w:r>
        <w:rPr>
          <w:rFonts w:ascii="宋体" w:hAnsi="宋体"/>
          <w:color w:val="auto"/>
          <w:sz w:val="24"/>
          <w:highlight w:val="none"/>
          <w:lang w:val="zh-CN"/>
        </w:rPr>
        <w:t xml:space="preserve"> </w:t>
      </w:r>
    </w:p>
    <w:p w14:paraId="1180710D">
      <w:pPr>
        <w:shd w:val="clea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联系人：</w:t>
      </w:r>
      <w:r>
        <w:rPr>
          <w:rFonts w:ascii="宋体" w:hAnsi="宋体"/>
          <w:color w:val="auto"/>
          <w:sz w:val="24"/>
          <w:highlight w:val="none"/>
          <w:lang w:val="zh-CN"/>
        </w:rPr>
        <w:t xml:space="preserve">                                 </w:t>
      </w:r>
      <w:r>
        <w:rPr>
          <w:rFonts w:hint="eastAsia" w:ascii="宋体" w:hAnsi="宋体"/>
          <w:color w:val="auto"/>
          <w:sz w:val="24"/>
          <w:highlight w:val="none"/>
          <w:lang w:val="zh-CN"/>
        </w:rPr>
        <w:t>联系人：</w:t>
      </w:r>
    </w:p>
    <w:p w14:paraId="07AC88CE">
      <w:pPr>
        <w:shd w:val="clea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约定送达地址：</w:t>
      </w:r>
      <w:r>
        <w:rPr>
          <w:rFonts w:ascii="宋体" w:hAnsi="宋体"/>
          <w:color w:val="auto"/>
          <w:sz w:val="24"/>
          <w:highlight w:val="none"/>
          <w:lang w:val="zh-CN"/>
        </w:rPr>
        <w:t xml:space="preserve">                           </w:t>
      </w:r>
      <w:r>
        <w:rPr>
          <w:rFonts w:hint="eastAsia" w:ascii="宋体" w:hAnsi="宋体"/>
          <w:color w:val="auto"/>
          <w:sz w:val="24"/>
          <w:highlight w:val="none"/>
          <w:lang w:val="zh-CN"/>
        </w:rPr>
        <w:t>约定送达地址：</w:t>
      </w:r>
    </w:p>
    <w:p w14:paraId="7FA7EEFD">
      <w:pPr>
        <w:shd w:val="clea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邮政编码：</w:t>
      </w:r>
      <w:r>
        <w:rPr>
          <w:rFonts w:ascii="宋体" w:hAnsi="宋体"/>
          <w:color w:val="auto"/>
          <w:sz w:val="24"/>
          <w:highlight w:val="none"/>
          <w:lang w:val="zh-CN"/>
        </w:rPr>
        <w:t xml:space="preserve">                               </w:t>
      </w:r>
      <w:r>
        <w:rPr>
          <w:rFonts w:hint="eastAsia" w:ascii="宋体" w:hAnsi="宋体"/>
          <w:color w:val="auto"/>
          <w:sz w:val="24"/>
          <w:highlight w:val="none"/>
          <w:lang w:val="zh-CN"/>
        </w:rPr>
        <w:t>邮政编码：</w:t>
      </w:r>
    </w:p>
    <w:p w14:paraId="35C1226C">
      <w:pPr>
        <w:shd w:val="clea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电话：</w:t>
      </w:r>
      <w:r>
        <w:rPr>
          <w:rFonts w:ascii="宋体" w:hAnsi="宋体"/>
          <w:color w:val="auto"/>
          <w:sz w:val="24"/>
          <w:highlight w:val="none"/>
          <w:lang w:val="zh-CN"/>
        </w:rPr>
        <w:t xml:space="preserve">                                    电话</w:t>
      </w:r>
      <w:r>
        <w:rPr>
          <w:rFonts w:hint="eastAsia" w:ascii="宋体" w:hAnsi="宋体"/>
          <w:color w:val="auto"/>
          <w:sz w:val="24"/>
          <w:highlight w:val="none"/>
          <w:lang w:val="zh-CN"/>
        </w:rPr>
        <w:t>：</w:t>
      </w:r>
      <w:r>
        <w:rPr>
          <w:rFonts w:ascii="宋体" w:hAnsi="宋体"/>
          <w:color w:val="auto"/>
          <w:sz w:val="24"/>
          <w:highlight w:val="none"/>
          <w:lang w:val="zh-CN"/>
        </w:rPr>
        <w:t xml:space="preserve"> </w:t>
      </w:r>
    </w:p>
    <w:p w14:paraId="519A48A7">
      <w:pPr>
        <w:shd w:val="clea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传真：</w:t>
      </w:r>
      <w:r>
        <w:rPr>
          <w:rFonts w:ascii="宋体" w:hAnsi="宋体"/>
          <w:color w:val="auto"/>
          <w:sz w:val="24"/>
          <w:highlight w:val="none"/>
          <w:lang w:val="zh-CN"/>
        </w:rPr>
        <w:t xml:space="preserve">                                    </w:t>
      </w:r>
      <w:r>
        <w:rPr>
          <w:rFonts w:hint="eastAsia" w:ascii="宋体" w:hAnsi="宋体"/>
          <w:color w:val="auto"/>
          <w:sz w:val="24"/>
          <w:highlight w:val="none"/>
          <w:lang w:val="zh-CN"/>
        </w:rPr>
        <w:t>传真：</w:t>
      </w:r>
    </w:p>
    <w:p w14:paraId="4350F369">
      <w:pPr>
        <w:shd w:val="clear"/>
        <w:autoSpaceDE w:val="0"/>
        <w:autoSpaceDN w:val="0"/>
        <w:spacing w:line="560" w:lineRule="exact"/>
        <w:rPr>
          <w:rFonts w:ascii="宋体" w:hAnsi="宋体"/>
          <w:color w:val="auto"/>
          <w:sz w:val="24"/>
          <w:highlight w:val="none"/>
        </w:rPr>
      </w:pPr>
      <w:r>
        <w:rPr>
          <w:rFonts w:hint="eastAsia" w:ascii="宋体" w:hAnsi="宋体"/>
          <w:color w:val="auto"/>
          <w:sz w:val="24"/>
          <w:highlight w:val="none"/>
          <w:lang w:val="zh-CN"/>
        </w:rPr>
        <w:t>电子邮箱：</w:t>
      </w:r>
      <w:r>
        <w:rPr>
          <w:rFonts w:ascii="宋体" w:hAnsi="宋体"/>
          <w:color w:val="auto"/>
          <w:sz w:val="24"/>
          <w:highlight w:val="none"/>
          <w:lang w:val="zh-CN"/>
        </w:rPr>
        <w:t xml:space="preserve">                               </w:t>
      </w:r>
      <w:r>
        <w:rPr>
          <w:rFonts w:hint="eastAsia" w:ascii="宋体" w:hAnsi="宋体"/>
          <w:color w:val="auto"/>
          <w:sz w:val="24"/>
          <w:highlight w:val="none"/>
          <w:lang w:val="zh-CN"/>
        </w:rPr>
        <w:t>电子邮箱：</w:t>
      </w:r>
    </w:p>
    <w:p w14:paraId="66E10534">
      <w:pPr>
        <w:shd w:val="clear"/>
        <w:autoSpaceDE w:val="0"/>
        <w:autoSpaceDN w:val="0"/>
        <w:spacing w:line="560" w:lineRule="exact"/>
        <w:rPr>
          <w:rFonts w:ascii="宋体" w:hAnsi="宋体"/>
          <w:color w:val="auto"/>
          <w:sz w:val="24"/>
          <w:highlight w:val="none"/>
        </w:rPr>
      </w:pPr>
      <w:r>
        <w:rPr>
          <w:rFonts w:hint="eastAsia" w:ascii="宋体" w:hAnsi="宋体"/>
          <w:color w:val="auto"/>
          <w:sz w:val="24"/>
          <w:highlight w:val="none"/>
        </w:rPr>
        <w:t>开户银行：</w:t>
      </w:r>
      <w:r>
        <w:rPr>
          <w:rFonts w:ascii="宋体" w:hAnsi="宋体"/>
          <w:color w:val="auto"/>
          <w:sz w:val="24"/>
          <w:highlight w:val="none"/>
        </w:rPr>
        <w:t xml:space="preserve">                               开户银行： </w:t>
      </w:r>
    </w:p>
    <w:p w14:paraId="129D43BC">
      <w:pPr>
        <w:shd w:val="clear"/>
        <w:autoSpaceDE w:val="0"/>
        <w:autoSpaceDN w:val="0"/>
        <w:spacing w:line="560" w:lineRule="exact"/>
        <w:rPr>
          <w:rFonts w:ascii="宋体" w:hAnsi="宋体"/>
          <w:color w:val="auto"/>
          <w:sz w:val="24"/>
          <w:highlight w:val="none"/>
        </w:rPr>
      </w:pPr>
      <w:r>
        <w:rPr>
          <w:rFonts w:hint="eastAsia" w:ascii="宋体" w:hAnsi="宋体"/>
          <w:color w:val="auto"/>
          <w:sz w:val="24"/>
          <w:highlight w:val="none"/>
        </w:rPr>
        <w:t>开户名称：</w:t>
      </w:r>
      <w:r>
        <w:rPr>
          <w:rFonts w:ascii="宋体" w:hAnsi="宋体"/>
          <w:color w:val="auto"/>
          <w:sz w:val="24"/>
          <w:highlight w:val="none"/>
        </w:rPr>
        <w:t xml:space="preserve">                               开户名称： </w:t>
      </w:r>
    </w:p>
    <w:p w14:paraId="0C7B7ADB">
      <w:pPr>
        <w:shd w:val="clear"/>
        <w:autoSpaceDE w:val="0"/>
        <w:autoSpaceDN w:val="0"/>
        <w:spacing w:line="560" w:lineRule="exact"/>
        <w:rPr>
          <w:rFonts w:ascii="宋体" w:hAnsi="宋体"/>
          <w:color w:val="auto"/>
          <w:sz w:val="24"/>
          <w:highlight w:val="none"/>
        </w:rPr>
      </w:pPr>
      <w:r>
        <w:rPr>
          <w:rFonts w:hint="eastAsia" w:ascii="宋体" w:hAnsi="宋体"/>
          <w:color w:val="auto"/>
          <w:sz w:val="24"/>
          <w:highlight w:val="none"/>
        </w:rPr>
        <w:t>开户账号：</w:t>
      </w:r>
      <w:r>
        <w:rPr>
          <w:rFonts w:ascii="宋体" w:hAnsi="宋体"/>
          <w:color w:val="auto"/>
          <w:sz w:val="24"/>
          <w:highlight w:val="none"/>
          <w:lang w:val="zh-CN"/>
        </w:rPr>
        <w:t xml:space="preserve">                               </w:t>
      </w:r>
      <w:r>
        <w:rPr>
          <w:rFonts w:hint="eastAsia" w:ascii="宋体" w:hAnsi="宋体"/>
          <w:color w:val="auto"/>
          <w:sz w:val="24"/>
          <w:highlight w:val="none"/>
        </w:rPr>
        <w:t>开户账号：</w:t>
      </w:r>
    </w:p>
    <w:p w14:paraId="0A3EE56B">
      <w:pPr>
        <w:widowControl/>
        <w:shd w:val="clear"/>
        <w:spacing w:line="560" w:lineRule="exact"/>
        <w:jc w:val="left"/>
        <w:rPr>
          <w:rFonts w:ascii="宋体" w:hAnsi="宋体"/>
          <w:b/>
          <w:color w:val="auto"/>
          <w:sz w:val="24"/>
          <w:highlight w:val="none"/>
        </w:rPr>
      </w:pPr>
    </w:p>
    <w:p w14:paraId="37CF1121">
      <w:pPr>
        <w:widowControl/>
        <w:shd w:val="clear"/>
        <w:adjustRightInd/>
        <w:jc w:val="left"/>
        <w:rPr>
          <w:rFonts w:ascii="宋体" w:hAnsi="宋体"/>
          <w:b/>
          <w:color w:val="auto"/>
          <w:sz w:val="24"/>
          <w:highlight w:val="none"/>
        </w:rPr>
      </w:pPr>
      <w:r>
        <w:rPr>
          <w:rFonts w:ascii="宋体" w:hAnsi="宋体"/>
          <w:b/>
          <w:color w:val="auto"/>
          <w:highlight w:val="none"/>
        </w:rPr>
        <w:br w:type="page"/>
      </w:r>
    </w:p>
    <w:p w14:paraId="0A2B5E94">
      <w:pPr>
        <w:pStyle w:val="699"/>
        <w:shd w:val="clear"/>
        <w:spacing w:line="560" w:lineRule="exact"/>
        <w:ind w:firstLine="482"/>
        <w:jc w:val="center"/>
        <w:rPr>
          <w:rFonts w:ascii="宋体" w:hAnsi="宋体"/>
          <w:b/>
          <w:color w:val="auto"/>
          <w:szCs w:val="24"/>
          <w:highlight w:val="none"/>
        </w:rPr>
      </w:pPr>
      <w:r>
        <w:rPr>
          <w:rFonts w:hint="eastAsia" w:ascii="宋体" w:hAnsi="宋体"/>
          <w:b/>
          <w:color w:val="auto"/>
          <w:szCs w:val="24"/>
          <w:highlight w:val="none"/>
        </w:rPr>
        <w:t>第二部分</w:t>
      </w:r>
      <w:r>
        <w:rPr>
          <w:rFonts w:ascii="宋体" w:hAnsi="宋体"/>
          <w:b/>
          <w:color w:val="auto"/>
          <w:szCs w:val="24"/>
          <w:highlight w:val="none"/>
        </w:rPr>
        <w:t xml:space="preserve"> </w:t>
      </w:r>
      <w:r>
        <w:rPr>
          <w:rFonts w:hint="eastAsia" w:ascii="宋体" w:hAnsi="宋体"/>
          <w:b/>
          <w:color w:val="auto"/>
          <w:szCs w:val="24"/>
          <w:highlight w:val="none"/>
        </w:rPr>
        <w:t>合同一般条款</w:t>
      </w:r>
    </w:p>
    <w:p w14:paraId="6B39436C">
      <w:pPr>
        <w:shd w:val="clear"/>
        <w:spacing w:line="560" w:lineRule="exact"/>
        <w:ind w:firstLine="482" w:firstLineChars="200"/>
        <w:outlineLvl w:val="0"/>
        <w:rPr>
          <w:rFonts w:ascii="宋体" w:hAnsi="宋体"/>
          <w:b/>
          <w:color w:val="auto"/>
          <w:sz w:val="24"/>
          <w:highlight w:val="none"/>
        </w:rPr>
      </w:pPr>
      <w:bookmarkStart w:id="440" w:name="_Toc14021"/>
      <w:bookmarkStart w:id="441" w:name="_Toc5228"/>
      <w:bookmarkStart w:id="442" w:name="_Toc31297"/>
      <w:bookmarkStart w:id="443" w:name="_Toc19680"/>
      <w:bookmarkStart w:id="444" w:name="_Toc25079"/>
      <w:r>
        <w:rPr>
          <w:rFonts w:ascii="宋体" w:hAnsi="宋体"/>
          <w:b/>
          <w:color w:val="auto"/>
          <w:sz w:val="24"/>
          <w:highlight w:val="none"/>
        </w:rPr>
        <w:t>2.1 定义</w:t>
      </w:r>
      <w:bookmarkEnd w:id="440"/>
      <w:bookmarkEnd w:id="441"/>
      <w:bookmarkEnd w:id="442"/>
      <w:bookmarkEnd w:id="443"/>
      <w:bookmarkEnd w:id="444"/>
    </w:p>
    <w:p w14:paraId="2E9A53D2">
      <w:pPr>
        <w:shd w:val="clear"/>
        <w:spacing w:line="560" w:lineRule="exact"/>
        <w:ind w:firstLine="480" w:firstLineChars="200"/>
        <w:rPr>
          <w:rFonts w:ascii="宋体" w:hAnsi="宋体"/>
          <w:color w:val="auto"/>
          <w:sz w:val="24"/>
          <w:highlight w:val="none"/>
        </w:rPr>
      </w:pPr>
      <w:r>
        <w:rPr>
          <w:rFonts w:ascii="宋体" w:hAnsi="宋体"/>
          <w:color w:val="auto"/>
          <w:sz w:val="24"/>
          <w:highlight w:val="none"/>
        </w:rPr>
        <w:t>本合同中的下列</w:t>
      </w:r>
      <w:r>
        <w:rPr>
          <w:rFonts w:hint="eastAsia" w:ascii="宋体" w:hAnsi="宋体"/>
          <w:color w:val="auto"/>
          <w:sz w:val="24"/>
          <w:highlight w:val="none"/>
        </w:rPr>
        <w:t>词</w:t>
      </w:r>
      <w:r>
        <w:rPr>
          <w:rFonts w:ascii="宋体" w:hAnsi="宋体"/>
          <w:color w:val="auto"/>
          <w:sz w:val="24"/>
          <w:highlight w:val="none"/>
        </w:rPr>
        <w:t>语应</w:t>
      </w:r>
      <w:r>
        <w:rPr>
          <w:rFonts w:hint="eastAsia" w:ascii="宋体" w:hAnsi="宋体"/>
          <w:color w:val="auto"/>
          <w:sz w:val="24"/>
          <w:highlight w:val="none"/>
        </w:rPr>
        <w:t>按以下内容进行</w:t>
      </w:r>
      <w:r>
        <w:rPr>
          <w:rFonts w:ascii="宋体" w:hAnsi="宋体"/>
          <w:color w:val="auto"/>
          <w:sz w:val="24"/>
          <w:highlight w:val="none"/>
        </w:rPr>
        <w:t>解释：</w:t>
      </w:r>
    </w:p>
    <w:p w14:paraId="6E88727B">
      <w:pPr>
        <w:shd w:val="clear"/>
        <w:spacing w:line="560" w:lineRule="exact"/>
        <w:ind w:firstLine="480" w:firstLineChars="200"/>
        <w:rPr>
          <w:rFonts w:ascii="宋体" w:hAnsi="宋体"/>
          <w:color w:val="auto"/>
          <w:sz w:val="24"/>
          <w:highlight w:val="none"/>
        </w:rPr>
      </w:pPr>
      <w:r>
        <w:rPr>
          <w:rFonts w:ascii="宋体" w:hAnsi="宋体"/>
          <w:color w:val="auto"/>
          <w:sz w:val="24"/>
          <w:highlight w:val="none"/>
        </w:rPr>
        <w:t>2.1.1 “合同”系指采购人和</w:t>
      </w:r>
      <w:r>
        <w:rPr>
          <w:rFonts w:hint="eastAsia" w:ascii="宋体" w:hAnsi="宋体" w:cs="宋体"/>
          <w:color w:val="auto"/>
          <w:sz w:val="24"/>
          <w:highlight w:val="none"/>
        </w:rPr>
        <w:t>中标或成交</w:t>
      </w:r>
      <w:r>
        <w:rPr>
          <w:rFonts w:ascii="宋体" w:hAnsi="宋体"/>
          <w:color w:val="auto"/>
          <w:sz w:val="24"/>
          <w:highlight w:val="none"/>
        </w:rPr>
        <w:t>供应商签订的载明双方当事人所达成的协议，并包括所有的附件、附录和构成合同的其他文件。</w:t>
      </w:r>
    </w:p>
    <w:p w14:paraId="51D37BEA">
      <w:pPr>
        <w:shd w:val="clear"/>
        <w:spacing w:line="560" w:lineRule="exact"/>
        <w:ind w:firstLine="480" w:firstLineChars="200"/>
        <w:rPr>
          <w:rFonts w:ascii="宋体" w:hAnsi="宋体"/>
          <w:color w:val="auto"/>
          <w:sz w:val="24"/>
          <w:highlight w:val="none"/>
        </w:rPr>
      </w:pPr>
      <w:r>
        <w:rPr>
          <w:rFonts w:ascii="宋体" w:hAnsi="宋体"/>
          <w:color w:val="auto"/>
          <w:sz w:val="24"/>
          <w:highlight w:val="none"/>
        </w:rPr>
        <w:t>2.1.2 “合同价”系指根据合同约定，</w:t>
      </w:r>
      <w:r>
        <w:rPr>
          <w:rFonts w:hint="eastAsia" w:ascii="宋体" w:hAnsi="宋体" w:cs="宋体"/>
          <w:color w:val="auto"/>
          <w:sz w:val="24"/>
          <w:highlight w:val="none"/>
        </w:rPr>
        <w:t>中标或成交</w:t>
      </w:r>
      <w:r>
        <w:rPr>
          <w:rFonts w:ascii="宋体" w:hAnsi="宋体"/>
          <w:color w:val="auto"/>
          <w:sz w:val="24"/>
          <w:highlight w:val="none"/>
        </w:rPr>
        <w:t>供应商在完全履行合同义务后</w:t>
      </w:r>
      <w:r>
        <w:rPr>
          <w:rFonts w:hint="eastAsia" w:ascii="宋体" w:hAnsi="宋体"/>
          <w:color w:val="auto"/>
          <w:sz w:val="24"/>
          <w:highlight w:val="none"/>
        </w:rPr>
        <w:t>，</w:t>
      </w:r>
      <w:r>
        <w:rPr>
          <w:rFonts w:ascii="宋体" w:hAnsi="宋体"/>
          <w:color w:val="auto"/>
          <w:sz w:val="24"/>
          <w:highlight w:val="none"/>
        </w:rPr>
        <w:t>采购人应支付给</w:t>
      </w:r>
      <w:r>
        <w:rPr>
          <w:rFonts w:hint="eastAsia" w:ascii="宋体" w:hAnsi="宋体" w:cs="宋体"/>
          <w:color w:val="auto"/>
          <w:sz w:val="24"/>
          <w:highlight w:val="none"/>
        </w:rPr>
        <w:t>中标或成交</w:t>
      </w:r>
      <w:r>
        <w:rPr>
          <w:rFonts w:ascii="宋体" w:hAnsi="宋体"/>
          <w:color w:val="auto"/>
          <w:sz w:val="24"/>
          <w:highlight w:val="none"/>
        </w:rPr>
        <w:t>供应商的价格。</w:t>
      </w:r>
    </w:p>
    <w:p w14:paraId="59553F4B">
      <w:pPr>
        <w:shd w:val="clear"/>
        <w:spacing w:line="560" w:lineRule="exact"/>
        <w:ind w:firstLine="480" w:firstLineChars="200"/>
        <w:rPr>
          <w:rFonts w:ascii="宋体" w:hAnsi="宋体"/>
          <w:color w:val="auto"/>
          <w:sz w:val="24"/>
          <w:highlight w:val="none"/>
        </w:rPr>
      </w:pPr>
      <w:r>
        <w:rPr>
          <w:rFonts w:ascii="宋体" w:hAnsi="宋体"/>
          <w:color w:val="auto"/>
          <w:sz w:val="24"/>
          <w:highlight w:val="none"/>
        </w:rPr>
        <w:t>2.1.3 “</w:t>
      </w:r>
      <w:r>
        <w:rPr>
          <w:rFonts w:hint="eastAsia" w:ascii="宋体" w:hAnsi="宋体"/>
          <w:color w:val="auto"/>
          <w:sz w:val="24"/>
          <w:highlight w:val="none"/>
        </w:rPr>
        <w:t>服务</w:t>
      </w:r>
      <w:r>
        <w:rPr>
          <w:rFonts w:ascii="宋体" w:hAnsi="宋体"/>
          <w:color w:val="auto"/>
          <w:sz w:val="24"/>
          <w:highlight w:val="none"/>
        </w:rPr>
        <w:t>”系指</w:t>
      </w:r>
      <w:r>
        <w:rPr>
          <w:rFonts w:hint="eastAsia" w:ascii="宋体" w:hAnsi="宋体" w:cs="宋体"/>
          <w:color w:val="auto"/>
          <w:sz w:val="24"/>
          <w:highlight w:val="none"/>
        </w:rPr>
        <w:t>中标或成交</w:t>
      </w:r>
      <w:r>
        <w:rPr>
          <w:rFonts w:hint="eastAsia" w:ascii="宋体" w:hAnsi="宋体"/>
          <w:color w:val="auto"/>
          <w:sz w:val="24"/>
          <w:highlight w:val="none"/>
        </w:rPr>
        <w:t>供应商</w:t>
      </w:r>
      <w:r>
        <w:rPr>
          <w:rFonts w:ascii="宋体" w:hAnsi="宋体"/>
          <w:color w:val="auto"/>
          <w:sz w:val="24"/>
          <w:highlight w:val="none"/>
        </w:rPr>
        <w:t>根据合同约定应向采购人</w:t>
      </w:r>
      <w:r>
        <w:rPr>
          <w:rFonts w:hint="eastAsia" w:ascii="宋体" w:hAnsi="宋体"/>
          <w:color w:val="auto"/>
          <w:sz w:val="24"/>
          <w:highlight w:val="none"/>
        </w:rPr>
        <w:t>履行</w:t>
      </w:r>
      <w:r>
        <w:rPr>
          <w:rFonts w:ascii="宋体" w:hAnsi="宋体"/>
          <w:color w:val="auto"/>
          <w:sz w:val="24"/>
          <w:highlight w:val="none"/>
        </w:rPr>
        <w:t>的</w:t>
      </w:r>
      <w:r>
        <w:rPr>
          <w:rFonts w:hint="eastAsia" w:ascii="宋体" w:hAnsi="宋体"/>
          <w:color w:val="auto"/>
          <w:sz w:val="24"/>
          <w:highlight w:val="none"/>
        </w:rPr>
        <w:t>除货物和工程以外的其他政府采购对象，包括采购人自身需要的服务和向社会公众提供的公共服务。</w:t>
      </w:r>
    </w:p>
    <w:p w14:paraId="6E2DAC35">
      <w:pPr>
        <w:shd w:val="clear"/>
        <w:spacing w:line="560" w:lineRule="exact"/>
        <w:ind w:firstLine="480" w:firstLineChars="200"/>
        <w:rPr>
          <w:rFonts w:ascii="宋体" w:hAnsi="宋体"/>
          <w:color w:val="auto"/>
          <w:sz w:val="24"/>
          <w:highlight w:val="none"/>
        </w:rPr>
      </w:pPr>
      <w:r>
        <w:rPr>
          <w:rFonts w:ascii="宋体" w:hAnsi="宋体"/>
          <w:color w:val="auto"/>
          <w:sz w:val="24"/>
          <w:highlight w:val="none"/>
        </w:rPr>
        <w:t>2.1.4 “</w:t>
      </w:r>
      <w:r>
        <w:rPr>
          <w:rFonts w:hint="eastAsia" w:ascii="宋体" w:hAnsi="宋体"/>
          <w:color w:val="auto"/>
          <w:sz w:val="24"/>
          <w:highlight w:val="none"/>
        </w:rPr>
        <w:t>甲方</w:t>
      </w:r>
      <w:r>
        <w:rPr>
          <w:rFonts w:ascii="宋体" w:hAnsi="宋体"/>
          <w:color w:val="auto"/>
          <w:sz w:val="24"/>
          <w:highlight w:val="none"/>
        </w:rPr>
        <w:t>”系指与</w:t>
      </w:r>
      <w:r>
        <w:rPr>
          <w:rFonts w:hint="eastAsia" w:ascii="宋体" w:hAnsi="宋体" w:cs="宋体"/>
          <w:color w:val="auto"/>
          <w:sz w:val="24"/>
          <w:highlight w:val="none"/>
        </w:rPr>
        <w:t>中标或成交</w:t>
      </w:r>
      <w:r>
        <w:rPr>
          <w:rFonts w:hint="eastAsia" w:ascii="宋体" w:hAnsi="宋体"/>
          <w:color w:val="auto"/>
          <w:sz w:val="24"/>
          <w:highlight w:val="none"/>
        </w:rPr>
        <w:t>供应商</w:t>
      </w:r>
      <w:r>
        <w:rPr>
          <w:rFonts w:ascii="宋体" w:hAnsi="宋体"/>
          <w:color w:val="auto"/>
          <w:sz w:val="24"/>
          <w:highlight w:val="none"/>
        </w:rPr>
        <w:t>签署合同的采购人</w:t>
      </w:r>
      <w:r>
        <w:rPr>
          <w:rFonts w:hint="eastAsia" w:ascii="宋体" w:hAnsi="宋体"/>
          <w:color w:val="auto"/>
          <w:sz w:val="24"/>
          <w:highlight w:val="none"/>
        </w:rPr>
        <w:t>；采购人委托采购代理机构代表其与乙方签订合同的，采购人的授权委托书作为合同附件。</w:t>
      </w:r>
    </w:p>
    <w:p w14:paraId="789B16FA">
      <w:pPr>
        <w:shd w:val="clear"/>
        <w:spacing w:line="560" w:lineRule="exact"/>
        <w:ind w:firstLine="480" w:firstLineChars="200"/>
        <w:rPr>
          <w:rFonts w:ascii="宋体" w:hAnsi="宋体"/>
          <w:color w:val="auto"/>
          <w:sz w:val="24"/>
          <w:highlight w:val="none"/>
        </w:rPr>
      </w:pPr>
      <w:r>
        <w:rPr>
          <w:rFonts w:ascii="宋体" w:hAnsi="宋体"/>
          <w:color w:val="auto"/>
          <w:sz w:val="24"/>
          <w:highlight w:val="none"/>
        </w:rPr>
        <w:t>2.1.5 “乙方”系指根据合同约定提供服务的</w:t>
      </w:r>
      <w:r>
        <w:rPr>
          <w:rFonts w:hint="eastAsia" w:ascii="宋体" w:hAnsi="宋体" w:cs="宋体"/>
          <w:color w:val="auto"/>
          <w:sz w:val="24"/>
          <w:highlight w:val="none"/>
        </w:rPr>
        <w:t>中标或成交</w:t>
      </w:r>
      <w:r>
        <w:rPr>
          <w:rFonts w:ascii="宋体" w:hAnsi="宋体"/>
          <w:color w:val="auto"/>
          <w:sz w:val="24"/>
          <w:highlight w:val="none"/>
        </w:rPr>
        <w:t>供应商</w:t>
      </w:r>
      <w:r>
        <w:rPr>
          <w:rFonts w:hint="eastAsia" w:ascii="宋体" w:hAnsi="宋体"/>
          <w:color w:val="auto"/>
          <w:sz w:val="24"/>
          <w:highlight w:val="none"/>
        </w:rPr>
        <w:t>；两个以上的自然人、法人或者其他组织组成一个联合体，以一个供应商的身份共同参加政府采购的，联合体各方均应为乙方或者与乙方相同地位的合同当事人，并就合同约定的事项对甲方承担连带责任。</w:t>
      </w:r>
    </w:p>
    <w:p w14:paraId="43996DEE">
      <w:pPr>
        <w:shd w:val="clear"/>
        <w:spacing w:line="560" w:lineRule="exact"/>
        <w:ind w:firstLine="480" w:firstLineChars="200"/>
        <w:rPr>
          <w:rFonts w:ascii="宋体" w:hAnsi="宋体"/>
          <w:color w:val="auto"/>
          <w:sz w:val="24"/>
          <w:highlight w:val="none"/>
        </w:rPr>
      </w:pPr>
      <w:r>
        <w:rPr>
          <w:rFonts w:ascii="宋体" w:hAnsi="宋体"/>
          <w:color w:val="auto"/>
          <w:sz w:val="24"/>
          <w:highlight w:val="none"/>
        </w:rPr>
        <w:t>2.1.6 “现场”系指合同约定提供服务的地点。</w:t>
      </w:r>
    </w:p>
    <w:p w14:paraId="7D6AFB3D">
      <w:pPr>
        <w:shd w:val="clear"/>
        <w:spacing w:line="560" w:lineRule="exact"/>
        <w:ind w:firstLine="482" w:firstLineChars="200"/>
        <w:outlineLvl w:val="0"/>
        <w:rPr>
          <w:rFonts w:ascii="宋体" w:hAnsi="宋体"/>
          <w:b/>
          <w:color w:val="auto"/>
          <w:sz w:val="24"/>
          <w:highlight w:val="none"/>
        </w:rPr>
      </w:pPr>
      <w:bookmarkStart w:id="445" w:name="_Toc16752"/>
      <w:bookmarkStart w:id="446" w:name="_Toc3769"/>
      <w:bookmarkStart w:id="447" w:name="_Toc23289"/>
      <w:bookmarkStart w:id="448" w:name="_Toc31402"/>
      <w:bookmarkStart w:id="449" w:name="_Toc19539"/>
      <w:r>
        <w:rPr>
          <w:rFonts w:ascii="宋体" w:hAnsi="宋体"/>
          <w:b/>
          <w:color w:val="auto"/>
          <w:sz w:val="24"/>
          <w:highlight w:val="none"/>
        </w:rPr>
        <w:t>2.2 技术规范</w:t>
      </w:r>
      <w:bookmarkEnd w:id="445"/>
      <w:bookmarkEnd w:id="446"/>
      <w:bookmarkEnd w:id="447"/>
      <w:bookmarkEnd w:id="448"/>
      <w:bookmarkEnd w:id="449"/>
    </w:p>
    <w:p w14:paraId="12E052AA">
      <w:pPr>
        <w:shd w:val="clear"/>
        <w:spacing w:line="560" w:lineRule="exact"/>
        <w:ind w:firstLine="480" w:firstLineChars="200"/>
        <w:rPr>
          <w:rFonts w:ascii="宋体" w:hAnsi="宋体"/>
          <w:color w:val="auto"/>
          <w:sz w:val="24"/>
          <w:highlight w:val="none"/>
        </w:rPr>
      </w:pPr>
      <w:r>
        <w:rPr>
          <w:rFonts w:hint="eastAsia" w:ascii="宋体" w:hAnsi="宋体"/>
          <w:color w:val="auto"/>
          <w:sz w:val="24"/>
          <w:highlight w:val="none"/>
        </w:rPr>
        <w:t>服务</w:t>
      </w:r>
      <w:r>
        <w:rPr>
          <w:rFonts w:ascii="宋体" w:hAnsi="宋体"/>
          <w:color w:val="auto"/>
          <w:sz w:val="24"/>
          <w:highlight w:val="none"/>
        </w:rPr>
        <w:t>所应遵守的技术规范应与采购文件规定的技术规范和技术规范附件</w:t>
      </w:r>
      <w:r>
        <w:rPr>
          <w:rFonts w:hint="eastAsia" w:ascii="宋体" w:hAnsi="宋体"/>
          <w:color w:val="auto"/>
          <w:sz w:val="24"/>
          <w:highlight w:val="none"/>
          <w:lang w:eastAsia="zh-CN"/>
        </w:rPr>
        <w:t>（</w:t>
      </w:r>
      <w:r>
        <w:rPr>
          <w:rFonts w:ascii="宋体" w:hAnsi="宋体"/>
          <w:color w:val="auto"/>
          <w:sz w:val="24"/>
          <w:highlight w:val="none"/>
        </w:rPr>
        <w:t>如果有的话</w:t>
      </w:r>
      <w:r>
        <w:rPr>
          <w:rFonts w:hint="eastAsia" w:ascii="宋体" w:hAnsi="宋体"/>
          <w:color w:val="auto"/>
          <w:sz w:val="24"/>
          <w:highlight w:val="none"/>
          <w:lang w:eastAsia="zh-CN"/>
        </w:rPr>
        <w:t>）</w:t>
      </w:r>
      <w:r>
        <w:rPr>
          <w:rFonts w:ascii="宋体" w:hAnsi="宋体"/>
          <w:color w:val="auto"/>
          <w:sz w:val="24"/>
          <w:highlight w:val="none"/>
        </w:rPr>
        <w:t>及其技术规范偏差表</w:t>
      </w:r>
      <w:r>
        <w:rPr>
          <w:rFonts w:hint="eastAsia" w:ascii="宋体" w:hAnsi="宋体"/>
          <w:color w:val="auto"/>
          <w:sz w:val="24"/>
          <w:highlight w:val="none"/>
          <w:lang w:eastAsia="zh-CN"/>
        </w:rPr>
        <w:t>（</w:t>
      </w:r>
      <w:r>
        <w:rPr>
          <w:rFonts w:ascii="宋体" w:hAnsi="宋体"/>
          <w:color w:val="auto"/>
          <w:sz w:val="24"/>
          <w:highlight w:val="none"/>
        </w:rPr>
        <w:t>如果被甲方接受的话</w:t>
      </w:r>
      <w:r>
        <w:rPr>
          <w:rFonts w:hint="eastAsia" w:ascii="宋体" w:hAnsi="宋体"/>
          <w:color w:val="auto"/>
          <w:sz w:val="24"/>
          <w:highlight w:val="none"/>
          <w:lang w:eastAsia="zh-CN"/>
        </w:rPr>
        <w:t>）</w:t>
      </w:r>
      <w:r>
        <w:rPr>
          <w:rFonts w:ascii="宋体" w:hAnsi="宋体"/>
          <w:color w:val="auto"/>
          <w:sz w:val="24"/>
          <w:highlight w:val="none"/>
        </w:rPr>
        <w:t>相一致</w:t>
      </w:r>
      <w:r>
        <w:rPr>
          <w:rFonts w:hint="eastAsia" w:ascii="宋体" w:hAnsi="宋体"/>
          <w:color w:val="auto"/>
          <w:sz w:val="24"/>
          <w:highlight w:val="none"/>
        </w:rPr>
        <w:t>；</w:t>
      </w:r>
      <w:r>
        <w:rPr>
          <w:rFonts w:ascii="宋体" w:hAnsi="宋体"/>
          <w:color w:val="auto"/>
          <w:sz w:val="24"/>
          <w:highlight w:val="none"/>
        </w:rPr>
        <w:t>如果采购文件中没有技术规范的相应说明，那么应以国家有关部门最新颁布的相应标准</w:t>
      </w:r>
      <w:r>
        <w:rPr>
          <w:rFonts w:hint="eastAsia" w:ascii="宋体" w:hAnsi="宋体"/>
          <w:color w:val="auto"/>
          <w:sz w:val="24"/>
          <w:highlight w:val="none"/>
        </w:rPr>
        <w:t>和</w:t>
      </w:r>
      <w:r>
        <w:rPr>
          <w:rFonts w:ascii="宋体" w:hAnsi="宋体"/>
          <w:color w:val="auto"/>
          <w:sz w:val="24"/>
          <w:highlight w:val="none"/>
        </w:rPr>
        <w:t>规范为准。</w:t>
      </w:r>
    </w:p>
    <w:p w14:paraId="38263356">
      <w:pPr>
        <w:shd w:val="clear"/>
        <w:spacing w:line="560" w:lineRule="exact"/>
        <w:ind w:firstLine="482" w:firstLineChars="200"/>
        <w:outlineLvl w:val="0"/>
        <w:rPr>
          <w:rFonts w:ascii="宋体" w:hAnsi="宋体"/>
          <w:b/>
          <w:color w:val="auto"/>
          <w:sz w:val="24"/>
          <w:highlight w:val="none"/>
        </w:rPr>
      </w:pPr>
      <w:bookmarkStart w:id="450" w:name="_Toc13673"/>
      <w:bookmarkStart w:id="451" w:name="_Toc9161"/>
      <w:bookmarkStart w:id="452" w:name="_Toc27945"/>
      <w:bookmarkStart w:id="453" w:name="_Toc12412"/>
      <w:bookmarkStart w:id="454" w:name="_Toc4133"/>
      <w:r>
        <w:rPr>
          <w:rFonts w:ascii="宋体" w:hAnsi="宋体"/>
          <w:b/>
          <w:color w:val="auto"/>
          <w:sz w:val="24"/>
          <w:highlight w:val="none"/>
        </w:rPr>
        <w:t>2.3 知识产权</w:t>
      </w:r>
      <w:bookmarkEnd w:id="450"/>
      <w:bookmarkEnd w:id="451"/>
      <w:bookmarkEnd w:id="452"/>
      <w:bookmarkEnd w:id="453"/>
      <w:bookmarkEnd w:id="454"/>
    </w:p>
    <w:p w14:paraId="307F32A1">
      <w:pPr>
        <w:shd w:val="clea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2.3.1 </w:t>
      </w:r>
      <w:r>
        <w:rPr>
          <w:rFonts w:hint="eastAsia" w:ascii="宋体" w:hAnsi="宋体"/>
          <w:color w:val="auto"/>
          <w:sz w:val="24"/>
          <w:highlight w:val="none"/>
        </w:rPr>
        <w:t>乙</w:t>
      </w:r>
      <w:r>
        <w:rPr>
          <w:rFonts w:ascii="宋体" w:hAnsi="宋体"/>
          <w:color w:val="auto"/>
          <w:sz w:val="24"/>
          <w:highlight w:val="none"/>
        </w:rPr>
        <w:t>方应保证</w:t>
      </w:r>
      <w:r>
        <w:rPr>
          <w:rFonts w:hint="eastAsia" w:ascii="宋体" w:hAnsi="宋体"/>
          <w:color w:val="auto"/>
          <w:sz w:val="24"/>
          <w:highlight w:val="none"/>
        </w:rPr>
        <w:t>其提供的服务</w:t>
      </w:r>
      <w:r>
        <w:rPr>
          <w:rFonts w:ascii="宋体" w:hAnsi="宋体"/>
          <w:color w:val="auto"/>
          <w:sz w:val="24"/>
          <w:highlight w:val="none"/>
        </w:rPr>
        <w:t>不受任何第三方提出的侵犯其著作权、商标权、专利权等知识产权方面的起诉</w:t>
      </w:r>
      <w:r>
        <w:rPr>
          <w:rFonts w:hint="eastAsia" w:ascii="宋体" w:hAnsi="宋体"/>
          <w:color w:val="auto"/>
          <w:sz w:val="24"/>
          <w:highlight w:val="none"/>
        </w:rPr>
        <w:t>；</w:t>
      </w:r>
      <w:r>
        <w:rPr>
          <w:rFonts w:ascii="宋体" w:hAnsi="宋体"/>
          <w:color w:val="auto"/>
          <w:sz w:val="24"/>
          <w:highlight w:val="none"/>
        </w:rPr>
        <w:t>如果任何第三方提出侵权</w:t>
      </w:r>
      <w:r>
        <w:rPr>
          <w:rFonts w:hint="eastAsia" w:ascii="宋体" w:hAnsi="宋体"/>
          <w:color w:val="auto"/>
          <w:sz w:val="24"/>
          <w:highlight w:val="none"/>
        </w:rPr>
        <w:t>指控</w:t>
      </w:r>
      <w:r>
        <w:rPr>
          <w:rFonts w:ascii="宋体" w:hAnsi="宋体"/>
          <w:color w:val="auto"/>
          <w:sz w:val="24"/>
          <w:highlight w:val="none"/>
        </w:rPr>
        <w:t>，那么乙方须与该第三方交涉并承担由此发生的一切责任、费用和赔偿</w:t>
      </w:r>
      <w:r>
        <w:rPr>
          <w:rFonts w:hint="eastAsia" w:ascii="宋体" w:hAnsi="宋体"/>
          <w:color w:val="auto"/>
          <w:sz w:val="24"/>
          <w:highlight w:val="none"/>
        </w:rPr>
        <w:t>，乙方还应及时澄清相关信息，使甲方声誉免受损害，甲方保留追责的权利。</w:t>
      </w:r>
    </w:p>
    <w:p w14:paraId="38DB0529">
      <w:pPr>
        <w:shd w:val="clea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2.3.2 </w:t>
      </w:r>
      <w:r>
        <w:rPr>
          <w:rFonts w:hint="eastAsia" w:ascii="宋体" w:hAnsi="宋体"/>
          <w:color w:val="auto"/>
          <w:sz w:val="24"/>
          <w:highlight w:val="none"/>
        </w:rPr>
        <w:t>合同涉及技术成果的归属和收益的分成办法的，</w:t>
      </w:r>
      <w:r>
        <w:rPr>
          <w:rFonts w:ascii="宋体" w:hAnsi="宋体"/>
          <w:color w:val="auto"/>
          <w:sz w:val="24"/>
          <w:highlight w:val="none"/>
        </w:rPr>
        <w:t>详见</w:t>
      </w:r>
      <w:r>
        <w:rPr>
          <w:rFonts w:ascii="宋体" w:hAnsi="宋体"/>
          <w:b/>
          <w:i/>
          <w:color w:val="auto"/>
          <w:sz w:val="24"/>
          <w:highlight w:val="none"/>
          <w:u w:val="single"/>
        </w:rPr>
        <w:t>合同专用条款</w:t>
      </w:r>
      <w:r>
        <w:rPr>
          <w:rFonts w:ascii="宋体" w:hAnsi="宋体"/>
          <w:color w:val="auto"/>
          <w:sz w:val="24"/>
          <w:highlight w:val="none"/>
        </w:rPr>
        <w:t>。</w:t>
      </w:r>
    </w:p>
    <w:p w14:paraId="3EFF3808">
      <w:pPr>
        <w:shd w:val="clear"/>
        <w:spacing w:line="560" w:lineRule="exact"/>
        <w:ind w:firstLine="482" w:firstLineChars="200"/>
        <w:rPr>
          <w:rFonts w:ascii="宋体" w:hAnsi="宋体"/>
          <w:b/>
          <w:color w:val="auto"/>
          <w:sz w:val="24"/>
          <w:highlight w:val="none"/>
        </w:rPr>
      </w:pPr>
      <w:r>
        <w:rPr>
          <w:rFonts w:ascii="宋体" w:hAnsi="宋体"/>
          <w:b/>
          <w:color w:val="auto"/>
          <w:sz w:val="24"/>
          <w:highlight w:val="none"/>
        </w:rPr>
        <w:t xml:space="preserve">2.4 </w:t>
      </w:r>
      <w:r>
        <w:rPr>
          <w:rFonts w:hint="eastAsia" w:ascii="宋体" w:hAnsi="宋体"/>
          <w:b/>
          <w:color w:val="auto"/>
          <w:sz w:val="24"/>
          <w:highlight w:val="none"/>
        </w:rPr>
        <w:t>履约检查和问题反馈</w:t>
      </w:r>
    </w:p>
    <w:p w14:paraId="5ED37B35">
      <w:pPr>
        <w:shd w:val="clear"/>
        <w:spacing w:line="560" w:lineRule="exact"/>
        <w:ind w:firstLine="480" w:firstLineChars="200"/>
        <w:rPr>
          <w:rFonts w:ascii="宋体" w:hAnsi="宋体"/>
          <w:color w:val="auto"/>
          <w:sz w:val="24"/>
          <w:highlight w:val="none"/>
        </w:rPr>
      </w:pPr>
      <w:r>
        <w:rPr>
          <w:rFonts w:ascii="宋体" w:hAnsi="宋体"/>
          <w:color w:val="auto"/>
          <w:sz w:val="24"/>
          <w:highlight w:val="none"/>
        </w:rPr>
        <w:t>2.4.1甲方</w:t>
      </w:r>
      <w:r>
        <w:rPr>
          <w:rFonts w:hint="eastAsia" w:ascii="宋体" w:hAnsi="宋体"/>
          <w:color w:val="auto"/>
          <w:sz w:val="24"/>
          <w:highlight w:val="none"/>
        </w:rPr>
        <w:t>有权</w:t>
      </w:r>
      <w:r>
        <w:rPr>
          <w:rFonts w:ascii="宋体" w:hAnsi="宋体"/>
          <w:color w:val="auto"/>
          <w:sz w:val="24"/>
          <w:highlight w:val="none"/>
        </w:rPr>
        <w:t>在其认为必要时</w:t>
      </w:r>
      <w:r>
        <w:rPr>
          <w:rFonts w:hint="eastAsia" w:ascii="宋体" w:hAnsi="宋体"/>
          <w:color w:val="auto"/>
          <w:sz w:val="24"/>
          <w:highlight w:val="none"/>
        </w:rPr>
        <w:t>，对乙方是否能够按照合同约定提供服务进行履约检查，以确保乙方所提供的服务能够依约满足甲方之项目需求，但不得因履约检查妨碍乙方的正常工作，乙方应予积极配合；</w:t>
      </w:r>
    </w:p>
    <w:p w14:paraId="2FB1EF99">
      <w:pPr>
        <w:shd w:val="clea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2.4.2 </w:t>
      </w:r>
      <w:r>
        <w:rPr>
          <w:rFonts w:hint="eastAsia" w:ascii="宋体" w:hAnsi="宋体"/>
          <w:color w:val="auto"/>
          <w:sz w:val="24"/>
          <w:highlight w:val="none"/>
        </w:rPr>
        <w:t>合同履行期间，甲方有权将履行过程中出现的问题反馈给乙方，双方当事人应以书面形式约定需要完善和改进的内容。</w:t>
      </w:r>
    </w:p>
    <w:p w14:paraId="16C5520C">
      <w:pPr>
        <w:shd w:val="clear"/>
        <w:spacing w:line="560" w:lineRule="exact"/>
        <w:ind w:firstLine="482" w:firstLineChars="200"/>
        <w:outlineLvl w:val="0"/>
        <w:rPr>
          <w:rFonts w:ascii="宋体" w:hAnsi="宋体"/>
          <w:b/>
          <w:color w:val="auto"/>
          <w:sz w:val="24"/>
          <w:highlight w:val="none"/>
        </w:rPr>
      </w:pPr>
      <w:bookmarkStart w:id="455" w:name="_Toc32670"/>
      <w:bookmarkStart w:id="456" w:name="_Toc22011"/>
      <w:bookmarkStart w:id="457" w:name="_Toc26555"/>
      <w:bookmarkStart w:id="458" w:name="_Toc15447"/>
      <w:bookmarkStart w:id="459" w:name="_Toc31233"/>
      <w:r>
        <w:rPr>
          <w:rFonts w:ascii="宋体" w:hAnsi="宋体"/>
          <w:b/>
          <w:color w:val="auto"/>
          <w:sz w:val="24"/>
          <w:highlight w:val="none"/>
        </w:rPr>
        <w:t>2.5 结算方式和付款条件</w:t>
      </w:r>
      <w:bookmarkEnd w:id="455"/>
      <w:bookmarkEnd w:id="456"/>
      <w:bookmarkEnd w:id="457"/>
      <w:bookmarkEnd w:id="458"/>
      <w:bookmarkEnd w:id="459"/>
    </w:p>
    <w:p w14:paraId="6D3345B2">
      <w:pPr>
        <w:shd w:val="clear"/>
        <w:spacing w:line="560" w:lineRule="exact"/>
        <w:ind w:firstLine="480" w:firstLineChars="200"/>
        <w:rPr>
          <w:rFonts w:ascii="宋体" w:hAnsi="宋体"/>
          <w:color w:val="auto"/>
          <w:sz w:val="24"/>
          <w:highlight w:val="none"/>
        </w:rPr>
      </w:pPr>
      <w:r>
        <w:rPr>
          <w:rFonts w:ascii="宋体" w:hAnsi="宋体"/>
          <w:color w:val="auto"/>
          <w:sz w:val="24"/>
          <w:highlight w:val="none"/>
        </w:rPr>
        <w:t>详见</w:t>
      </w:r>
      <w:r>
        <w:rPr>
          <w:rFonts w:ascii="宋体" w:hAnsi="宋体"/>
          <w:b/>
          <w:i/>
          <w:color w:val="auto"/>
          <w:sz w:val="24"/>
          <w:highlight w:val="none"/>
          <w:u w:val="single"/>
        </w:rPr>
        <w:t>合同专用条款</w:t>
      </w:r>
      <w:r>
        <w:rPr>
          <w:rFonts w:ascii="宋体" w:hAnsi="宋体"/>
          <w:color w:val="auto"/>
          <w:sz w:val="24"/>
          <w:highlight w:val="none"/>
        </w:rPr>
        <w:t>。</w:t>
      </w:r>
    </w:p>
    <w:p w14:paraId="4BCCA9DD">
      <w:pPr>
        <w:shd w:val="clear"/>
        <w:spacing w:line="560" w:lineRule="exact"/>
        <w:ind w:firstLine="482" w:firstLineChars="200"/>
        <w:outlineLvl w:val="0"/>
        <w:rPr>
          <w:rFonts w:ascii="宋体" w:hAnsi="宋体"/>
          <w:b/>
          <w:color w:val="auto"/>
          <w:sz w:val="24"/>
          <w:highlight w:val="none"/>
        </w:rPr>
      </w:pPr>
      <w:bookmarkStart w:id="460" w:name="_Toc16163"/>
      <w:bookmarkStart w:id="461" w:name="_Toc18990"/>
      <w:bookmarkStart w:id="462" w:name="_Toc13467"/>
      <w:bookmarkStart w:id="463" w:name="_Toc13154"/>
      <w:bookmarkStart w:id="464" w:name="_Toc30507"/>
      <w:r>
        <w:rPr>
          <w:rFonts w:ascii="宋体" w:hAnsi="宋体"/>
          <w:b/>
          <w:color w:val="auto"/>
          <w:sz w:val="24"/>
          <w:highlight w:val="none"/>
        </w:rPr>
        <w:t>2.6 技术资料和保密义务</w:t>
      </w:r>
      <w:bookmarkEnd w:id="460"/>
      <w:bookmarkEnd w:id="461"/>
      <w:bookmarkEnd w:id="462"/>
      <w:bookmarkEnd w:id="463"/>
      <w:bookmarkEnd w:id="464"/>
    </w:p>
    <w:p w14:paraId="7F92D364">
      <w:pPr>
        <w:shd w:val="clear"/>
        <w:spacing w:line="560" w:lineRule="exact"/>
        <w:ind w:firstLine="480" w:firstLineChars="200"/>
        <w:rPr>
          <w:rFonts w:ascii="宋体" w:hAnsi="宋体"/>
          <w:color w:val="auto"/>
          <w:sz w:val="24"/>
          <w:highlight w:val="none"/>
        </w:rPr>
      </w:pPr>
      <w:r>
        <w:rPr>
          <w:rFonts w:ascii="宋体" w:hAnsi="宋体"/>
          <w:color w:val="auto"/>
          <w:sz w:val="24"/>
          <w:highlight w:val="none"/>
        </w:rPr>
        <w:t>2.6.1 乙方有权依据合同约定和项目需要，向甲方了解有关情况，调阅有关资料等，甲方应予积极配合；</w:t>
      </w:r>
    </w:p>
    <w:p w14:paraId="0930AEF2">
      <w:pPr>
        <w:shd w:val="clea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2.6.2 </w:t>
      </w:r>
      <w:r>
        <w:rPr>
          <w:rFonts w:hint="eastAsia" w:ascii="宋体" w:hAnsi="宋体"/>
          <w:color w:val="auto"/>
          <w:sz w:val="24"/>
          <w:highlight w:val="none"/>
        </w:rPr>
        <w:t>乙方有义务妥善保管和保护由甲方提供的前款信息和资料等；</w:t>
      </w:r>
    </w:p>
    <w:p w14:paraId="21C873F5">
      <w:pPr>
        <w:shd w:val="clea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2.6.3 </w:t>
      </w:r>
      <w:r>
        <w:rPr>
          <w:rFonts w:hint="eastAsia" w:ascii="宋体" w:hAnsi="宋体"/>
          <w:color w:val="auto"/>
          <w:sz w:val="24"/>
          <w:highlight w:val="none"/>
        </w:rPr>
        <w:t>除非依照法律规定或者对方当事人的书面同意，任何一方均应保证不向任何第三方提供或披露有关合同的或者履行合同过程中知悉的对方当事人任何未公开的信息和资料，包括但不限于</w:t>
      </w:r>
      <w:r>
        <w:rPr>
          <w:rFonts w:ascii="宋体" w:hAnsi="宋体"/>
          <w:color w:val="auto"/>
          <w:sz w:val="24"/>
          <w:highlight w:val="none"/>
        </w:rPr>
        <w:t>技术情报</w:t>
      </w:r>
      <w:r>
        <w:rPr>
          <w:rFonts w:hint="eastAsia" w:ascii="宋体" w:hAnsi="宋体"/>
          <w:color w:val="auto"/>
          <w:sz w:val="24"/>
          <w:highlight w:val="none"/>
        </w:rPr>
        <w:t>、</w:t>
      </w:r>
      <w:r>
        <w:rPr>
          <w:rFonts w:ascii="宋体" w:hAnsi="宋体"/>
          <w:color w:val="auto"/>
          <w:sz w:val="24"/>
          <w:highlight w:val="none"/>
        </w:rPr>
        <w:t>技术资料</w:t>
      </w:r>
      <w:r>
        <w:rPr>
          <w:rFonts w:hint="eastAsia" w:ascii="宋体" w:hAnsi="宋体"/>
          <w:color w:val="auto"/>
          <w:sz w:val="24"/>
          <w:highlight w:val="none"/>
        </w:rPr>
        <w:t>、商业秘密和商业信息等，并采取一切合理和必要措施和方式防止任何第三方接触到对方当事人的上述保密信息和资料。</w:t>
      </w:r>
    </w:p>
    <w:p w14:paraId="4FE6D366">
      <w:pPr>
        <w:shd w:val="clear"/>
        <w:spacing w:line="560" w:lineRule="exact"/>
        <w:ind w:firstLine="482" w:firstLineChars="200"/>
        <w:outlineLvl w:val="0"/>
        <w:rPr>
          <w:rFonts w:ascii="宋体" w:hAnsi="宋体"/>
          <w:b/>
          <w:color w:val="auto"/>
          <w:sz w:val="24"/>
          <w:highlight w:val="none"/>
        </w:rPr>
      </w:pPr>
      <w:bookmarkStart w:id="465" w:name="_Toc19069"/>
      <w:r>
        <w:rPr>
          <w:rFonts w:ascii="宋体" w:hAnsi="宋体"/>
          <w:b/>
          <w:color w:val="auto"/>
          <w:sz w:val="24"/>
          <w:highlight w:val="none"/>
        </w:rPr>
        <w:t xml:space="preserve">2.7 </w:t>
      </w:r>
      <w:r>
        <w:rPr>
          <w:rFonts w:hint="eastAsia" w:ascii="宋体" w:hAnsi="宋体"/>
          <w:b/>
          <w:color w:val="auto"/>
          <w:sz w:val="24"/>
          <w:highlight w:val="none"/>
        </w:rPr>
        <w:t>质量保证</w:t>
      </w:r>
      <w:bookmarkEnd w:id="465"/>
    </w:p>
    <w:p w14:paraId="0AB9B577">
      <w:pPr>
        <w:shd w:val="clea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2.7.1 </w:t>
      </w:r>
      <w:r>
        <w:rPr>
          <w:rFonts w:hint="eastAsia" w:ascii="宋体" w:hAnsi="宋体"/>
          <w:color w:val="auto"/>
          <w:sz w:val="24"/>
          <w:highlight w:val="none"/>
        </w:rPr>
        <w:t>乙方应建立和完善履行合同的内部质量保证体系，并提供相关内部规章制度给甲方，以便甲方进行监督检查；</w:t>
      </w:r>
    </w:p>
    <w:p w14:paraId="10F10162">
      <w:pPr>
        <w:shd w:val="clea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2.7.2 </w:t>
      </w:r>
      <w:r>
        <w:rPr>
          <w:rFonts w:hint="eastAsia" w:ascii="宋体" w:hAnsi="宋体"/>
          <w:color w:val="auto"/>
          <w:sz w:val="24"/>
          <w:highlight w:val="none"/>
        </w:rPr>
        <w:t>乙方应保证履行合同的人员数量和素质、软件和硬件设备的配置、场地、环境和设施等满足全面履行合同的要求，并应接受甲方的监督检查。</w:t>
      </w:r>
    </w:p>
    <w:p w14:paraId="5D97BBC4">
      <w:pPr>
        <w:shd w:val="clear"/>
        <w:spacing w:line="560" w:lineRule="exact"/>
        <w:ind w:firstLine="482" w:firstLineChars="200"/>
        <w:outlineLvl w:val="0"/>
        <w:rPr>
          <w:rFonts w:ascii="宋体" w:hAnsi="宋体"/>
          <w:b/>
          <w:color w:val="auto"/>
          <w:sz w:val="24"/>
          <w:highlight w:val="none"/>
        </w:rPr>
      </w:pPr>
      <w:bookmarkStart w:id="466" w:name="_Toc22267"/>
      <w:r>
        <w:rPr>
          <w:rFonts w:ascii="宋体" w:hAnsi="宋体"/>
          <w:b/>
          <w:color w:val="auto"/>
          <w:sz w:val="24"/>
          <w:highlight w:val="none"/>
        </w:rPr>
        <w:t xml:space="preserve">2.8 </w:t>
      </w:r>
      <w:r>
        <w:rPr>
          <w:rFonts w:hint="eastAsia" w:ascii="宋体" w:hAnsi="宋体"/>
          <w:b/>
          <w:color w:val="auto"/>
          <w:sz w:val="24"/>
          <w:highlight w:val="none"/>
        </w:rPr>
        <w:t>延迟履行</w:t>
      </w:r>
      <w:bookmarkEnd w:id="466"/>
    </w:p>
    <w:p w14:paraId="61133BBE">
      <w:pPr>
        <w:shd w:val="clear"/>
        <w:spacing w:line="560" w:lineRule="exact"/>
        <w:ind w:firstLine="480" w:firstLineChars="200"/>
        <w:rPr>
          <w:rFonts w:ascii="宋体" w:hAnsi="宋体"/>
          <w:color w:val="auto"/>
          <w:sz w:val="24"/>
          <w:highlight w:val="none"/>
        </w:rPr>
      </w:pPr>
      <w:r>
        <w:rPr>
          <w:rFonts w:hint="eastAsia" w:ascii="宋体" w:hAnsi="宋体"/>
          <w:color w:val="auto"/>
          <w:sz w:val="24"/>
          <w:highlight w:val="none"/>
        </w:rPr>
        <w:t>甲乙双方签订合同后，乙方应按照合同约定履行合同义务，除不可抗力外，乙方不得延迟履行。</w:t>
      </w:r>
      <w:r>
        <w:rPr>
          <w:rFonts w:ascii="宋体" w:hAnsi="宋体"/>
          <w:color w:val="auto"/>
          <w:sz w:val="24"/>
          <w:highlight w:val="none"/>
        </w:rPr>
        <w:t>在合同履行过程中，如果</w:t>
      </w:r>
      <w:r>
        <w:rPr>
          <w:rFonts w:hint="eastAsia" w:ascii="宋体" w:hAnsi="宋体"/>
          <w:color w:val="auto"/>
          <w:sz w:val="24"/>
          <w:highlight w:val="none"/>
        </w:rPr>
        <w:t>因不可抗力，</w:t>
      </w:r>
      <w:r>
        <w:rPr>
          <w:rFonts w:ascii="宋体" w:hAnsi="宋体"/>
          <w:color w:val="auto"/>
          <w:sz w:val="24"/>
          <w:highlight w:val="none"/>
        </w:rPr>
        <w:t>乙方遇到不能按时</w:t>
      </w:r>
      <w:r>
        <w:rPr>
          <w:rFonts w:hint="eastAsia" w:ascii="宋体" w:hAnsi="宋体"/>
          <w:color w:val="auto"/>
          <w:sz w:val="24"/>
          <w:highlight w:val="none"/>
        </w:rPr>
        <w:t>提供服务</w:t>
      </w:r>
      <w:r>
        <w:rPr>
          <w:rFonts w:ascii="宋体" w:hAnsi="宋体"/>
          <w:color w:val="auto"/>
          <w:sz w:val="24"/>
          <w:highlight w:val="none"/>
        </w:rPr>
        <w:t>的情况，应及时以书面形式将不能按时</w:t>
      </w:r>
      <w:r>
        <w:rPr>
          <w:rFonts w:hint="eastAsia" w:ascii="宋体" w:hAnsi="宋体"/>
          <w:color w:val="auto"/>
          <w:sz w:val="24"/>
          <w:highlight w:val="none"/>
        </w:rPr>
        <w:t>提供服务</w:t>
      </w:r>
      <w:r>
        <w:rPr>
          <w:rFonts w:ascii="宋体" w:hAnsi="宋体"/>
          <w:color w:val="auto"/>
          <w:sz w:val="24"/>
          <w:highlight w:val="none"/>
        </w:rPr>
        <w:t>的理由、预期延误时间通知甲方</w:t>
      </w:r>
      <w:r>
        <w:rPr>
          <w:rFonts w:hint="eastAsia" w:ascii="宋体" w:hAnsi="宋体"/>
          <w:color w:val="auto"/>
          <w:sz w:val="24"/>
          <w:highlight w:val="none"/>
        </w:rPr>
        <w:t>；甲</w:t>
      </w:r>
      <w:r>
        <w:rPr>
          <w:rFonts w:ascii="宋体" w:hAnsi="宋体"/>
          <w:color w:val="auto"/>
          <w:sz w:val="24"/>
          <w:highlight w:val="none"/>
        </w:rPr>
        <w:t>方收到乙方通知后，认为其理由正当的，可以书面形式酌情同意乙方可以延长</w:t>
      </w:r>
      <w:r>
        <w:rPr>
          <w:rFonts w:hint="eastAsia" w:ascii="宋体" w:hAnsi="宋体"/>
          <w:color w:val="auto"/>
          <w:sz w:val="24"/>
          <w:highlight w:val="none"/>
        </w:rPr>
        <w:t>履行</w:t>
      </w:r>
      <w:r>
        <w:rPr>
          <w:rFonts w:ascii="宋体" w:hAnsi="宋体"/>
          <w:color w:val="auto"/>
          <w:sz w:val="24"/>
          <w:highlight w:val="none"/>
        </w:rPr>
        <w:t>的具体时间。</w:t>
      </w:r>
    </w:p>
    <w:p w14:paraId="1947A471">
      <w:pPr>
        <w:shd w:val="clear"/>
        <w:spacing w:line="560" w:lineRule="exact"/>
        <w:ind w:firstLine="482" w:firstLineChars="200"/>
        <w:outlineLvl w:val="0"/>
        <w:rPr>
          <w:rFonts w:ascii="宋体" w:hAnsi="宋体"/>
          <w:b/>
          <w:color w:val="auto"/>
          <w:sz w:val="24"/>
          <w:highlight w:val="none"/>
        </w:rPr>
      </w:pPr>
      <w:bookmarkStart w:id="467" w:name="_Toc10611"/>
      <w:r>
        <w:rPr>
          <w:rFonts w:ascii="宋体" w:hAnsi="宋体"/>
          <w:b/>
          <w:color w:val="auto"/>
          <w:sz w:val="24"/>
          <w:highlight w:val="none"/>
        </w:rPr>
        <w:t xml:space="preserve">2.9 </w:t>
      </w:r>
      <w:r>
        <w:rPr>
          <w:rFonts w:hint="eastAsia" w:ascii="宋体" w:hAnsi="宋体"/>
          <w:b/>
          <w:color w:val="auto"/>
          <w:sz w:val="24"/>
          <w:highlight w:val="none"/>
        </w:rPr>
        <w:t>合同变更</w:t>
      </w:r>
      <w:bookmarkEnd w:id="467"/>
    </w:p>
    <w:p w14:paraId="6FE7472B">
      <w:pPr>
        <w:shd w:val="clear"/>
        <w:spacing w:line="560" w:lineRule="exact"/>
        <w:ind w:firstLine="480" w:firstLineChars="200"/>
        <w:rPr>
          <w:rFonts w:ascii="宋体" w:hAnsi="宋体"/>
          <w:color w:val="auto"/>
          <w:sz w:val="24"/>
          <w:highlight w:val="none"/>
        </w:rPr>
      </w:pPr>
      <w:r>
        <w:rPr>
          <w:rFonts w:hint="eastAsia" w:ascii="宋体" w:hAnsi="宋体"/>
          <w:color w:val="auto"/>
          <w:sz w:val="24"/>
          <w:highlight w:val="none"/>
        </w:rPr>
        <w:t>合同继续履行将损害国家利益和社会公共利益的，双方当事人应当以书面形式变更合同。有过错的一方应当承担赔偿责任，双方当事人都有过错的，各自承担相应的责任。</w:t>
      </w:r>
    </w:p>
    <w:p w14:paraId="00F152F7">
      <w:pPr>
        <w:shd w:val="clear"/>
        <w:spacing w:line="560" w:lineRule="exact"/>
        <w:ind w:firstLine="482" w:firstLineChars="200"/>
        <w:outlineLvl w:val="0"/>
        <w:rPr>
          <w:rFonts w:ascii="宋体" w:hAnsi="宋体"/>
          <w:b/>
          <w:color w:val="auto"/>
          <w:sz w:val="24"/>
          <w:highlight w:val="none"/>
        </w:rPr>
      </w:pPr>
      <w:bookmarkStart w:id="468" w:name="_Toc26689"/>
      <w:bookmarkStart w:id="469" w:name="_Toc42"/>
      <w:bookmarkStart w:id="470" w:name="_Toc10663"/>
      <w:bookmarkStart w:id="471" w:name="_Toc21830"/>
      <w:bookmarkStart w:id="472" w:name="_Toc23368"/>
      <w:r>
        <w:rPr>
          <w:rFonts w:ascii="宋体" w:hAnsi="宋体"/>
          <w:b/>
          <w:color w:val="auto"/>
          <w:sz w:val="24"/>
          <w:highlight w:val="none"/>
        </w:rPr>
        <w:t>2.10 合同转让和分包</w:t>
      </w:r>
      <w:bookmarkEnd w:id="468"/>
      <w:bookmarkEnd w:id="469"/>
      <w:bookmarkEnd w:id="470"/>
      <w:bookmarkEnd w:id="471"/>
      <w:bookmarkEnd w:id="472"/>
    </w:p>
    <w:p w14:paraId="7CAC82F0">
      <w:pPr>
        <w:shd w:val="clear"/>
        <w:spacing w:line="560" w:lineRule="exact"/>
        <w:ind w:firstLine="480" w:firstLineChars="200"/>
        <w:rPr>
          <w:rFonts w:ascii="宋体" w:hAnsi="宋体"/>
          <w:color w:val="auto"/>
          <w:sz w:val="24"/>
          <w:highlight w:val="none"/>
        </w:rPr>
      </w:pPr>
      <w:r>
        <w:rPr>
          <w:rFonts w:ascii="宋体" w:hAnsi="宋体"/>
          <w:color w:val="auto"/>
          <w:sz w:val="24"/>
          <w:highlight w:val="none"/>
        </w:rPr>
        <w:t>合同的权利义务依法不</w:t>
      </w:r>
      <w:r>
        <w:rPr>
          <w:rFonts w:hint="eastAsia" w:ascii="宋体" w:hAnsi="宋体"/>
          <w:color w:val="auto"/>
          <w:sz w:val="24"/>
          <w:highlight w:val="none"/>
        </w:rPr>
        <w:t>得</w:t>
      </w:r>
      <w:r>
        <w:rPr>
          <w:rFonts w:ascii="宋体" w:hAnsi="宋体"/>
          <w:color w:val="auto"/>
          <w:sz w:val="24"/>
          <w:highlight w:val="none"/>
        </w:rPr>
        <w:t>转让</w:t>
      </w:r>
      <w:r>
        <w:rPr>
          <w:rFonts w:hint="eastAsia" w:ascii="宋体" w:hAnsi="宋体"/>
          <w:color w:val="auto"/>
          <w:sz w:val="24"/>
          <w:highlight w:val="none"/>
        </w:rPr>
        <w:t>，</w:t>
      </w:r>
      <w:r>
        <w:rPr>
          <w:rFonts w:ascii="宋体" w:hAnsi="宋体"/>
          <w:color w:val="auto"/>
          <w:sz w:val="24"/>
          <w:highlight w:val="none"/>
        </w:rPr>
        <w:t>但经甲方</w:t>
      </w:r>
      <w:r>
        <w:rPr>
          <w:rFonts w:hint="eastAsia" w:ascii="宋体" w:hAnsi="宋体"/>
          <w:color w:val="auto"/>
          <w:sz w:val="24"/>
          <w:highlight w:val="none"/>
        </w:rPr>
        <w:t>同意，乙方可以依法采取分包方式履行合同，即：依法可以</w:t>
      </w:r>
      <w:r>
        <w:rPr>
          <w:rFonts w:ascii="宋体" w:hAnsi="宋体"/>
          <w:color w:val="auto"/>
          <w:sz w:val="24"/>
          <w:highlight w:val="none"/>
        </w:rPr>
        <w:t>将合同项下的部分非主体、非关键性工作分包给他人完成</w:t>
      </w:r>
      <w:r>
        <w:rPr>
          <w:rFonts w:hint="eastAsia" w:ascii="宋体" w:hAnsi="宋体"/>
          <w:color w:val="auto"/>
          <w:sz w:val="24"/>
          <w:highlight w:val="none"/>
        </w:rPr>
        <w:t>，</w:t>
      </w:r>
      <w:r>
        <w:rPr>
          <w:rFonts w:ascii="宋体" w:hAnsi="宋体"/>
          <w:color w:val="auto"/>
          <w:sz w:val="24"/>
          <w:highlight w:val="none"/>
        </w:rPr>
        <w:t>接受分包的人应当具备相应的资格条件，并不得再次分包</w:t>
      </w:r>
      <w:r>
        <w:rPr>
          <w:rFonts w:hint="eastAsia" w:ascii="宋体" w:hAnsi="宋体"/>
          <w:color w:val="auto"/>
          <w:sz w:val="24"/>
          <w:highlight w:val="none"/>
        </w:rPr>
        <w:t>，</w:t>
      </w:r>
      <w:r>
        <w:rPr>
          <w:rFonts w:ascii="宋体" w:hAnsi="宋体"/>
          <w:color w:val="auto"/>
          <w:sz w:val="24"/>
          <w:highlight w:val="none"/>
        </w:rPr>
        <w:t>且乙方应就分包项目向甲方负责</w:t>
      </w:r>
      <w:r>
        <w:rPr>
          <w:rFonts w:hint="eastAsia" w:ascii="宋体" w:hAnsi="宋体"/>
          <w:color w:val="auto"/>
          <w:sz w:val="24"/>
          <w:highlight w:val="none"/>
        </w:rPr>
        <w:t>，</w:t>
      </w:r>
      <w:r>
        <w:rPr>
          <w:rFonts w:ascii="宋体" w:hAnsi="宋体"/>
          <w:color w:val="auto"/>
          <w:sz w:val="24"/>
          <w:highlight w:val="none"/>
        </w:rPr>
        <w:t>并</w:t>
      </w:r>
      <w:r>
        <w:rPr>
          <w:rFonts w:hint="eastAsia" w:ascii="宋体" w:hAnsi="宋体"/>
          <w:color w:val="auto"/>
          <w:sz w:val="24"/>
          <w:highlight w:val="none"/>
        </w:rPr>
        <w:t>与分包供应商就分包项目向甲方承担连带责任。</w:t>
      </w:r>
    </w:p>
    <w:p w14:paraId="1E177177">
      <w:pPr>
        <w:shd w:val="clear"/>
        <w:spacing w:line="560" w:lineRule="exact"/>
        <w:ind w:firstLine="482" w:firstLineChars="200"/>
        <w:outlineLvl w:val="0"/>
        <w:rPr>
          <w:rFonts w:ascii="宋体" w:hAnsi="宋体"/>
          <w:b/>
          <w:color w:val="auto"/>
          <w:sz w:val="24"/>
          <w:highlight w:val="none"/>
        </w:rPr>
      </w:pPr>
      <w:bookmarkStart w:id="473" w:name="_Toc4720"/>
      <w:bookmarkStart w:id="474" w:name="_Toc26633"/>
      <w:bookmarkStart w:id="475" w:name="_Toc14371"/>
      <w:bookmarkStart w:id="476" w:name="_Toc32494"/>
      <w:bookmarkStart w:id="477" w:name="_Toc25571"/>
      <w:r>
        <w:rPr>
          <w:rFonts w:ascii="宋体" w:hAnsi="宋体"/>
          <w:b/>
          <w:color w:val="auto"/>
          <w:sz w:val="24"/>
          <w:highlight w:val="none"/>
        </w:rPr>
        <w:t>2.11 不可抗力</w:t>
      </w:r>
      <w:bookmarkEnd w:id="473"/>
      <w:bookmarkEnd w:id="474"/>
      <w:bookmarkEnd w:id="475"/>
      <w:bookmarkEnd w:id="476"/>
      <w:bookmarkEnd w:id="477"/>
    </w:p>
    <w:p w14:paraId="5CC28E05">
      <w:pPr>
        <w:shd w:val="clear"/>
        <w:spacing w:line="560" w:lineRule="exact"/>
        <w:ind w:firstLine="480" w:firstLineChars="200"/>
        <w:rPr>
          <w:rFonts w:ascii="宋体" w:hAnsi="宋体"/>
          <w:color w:val="auto"/>
          <w:sz w:val="24"/>
          <w:highlight w:val="none"/>
        </w:rPr>
      </w:pPr>
      <w:r>
        <w:rPr>
          <w:rFonts w:ascii="宋体" w:hAnsi="宋体"/>
          <w:color w:val="auto"/>
          <w:sz w:val="24"/>
          <w:highlight w:val="none"/>
        </w:rPr>
        <w:t>2.11.1如果任何一方遭遇法律规定的不可抗力，致使合同履行受阻时，履行合同的期限应予延长，延长的期限应相当于不可抗力所影响的时间</w:t>
      </w:r>
      <w:r>
        <w:rPr>
          <w:rFonts w:hint="eastAsia" w:ascii="宋体" w:hAnsi="宋体"/>
          <w:color w:val="auto"/>
          <w:sz w:val="24"/>
          <w:highlight w:val="none"/>
        </w:rPr>
        <w:t>；</w:t>
      </w:r>
    </w:p>
    <w:p w14:paraId="5A0C2B30">
      <w:pPr>
        <w:shd w:val="clea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2.11.2 </w:t>
      </w:r>
      <w:r>
        <w:rPr>
          <w:rFonts w:hint="eastAsia" w:ascii="宋体" w:hAnsi="宋体"/>
          <w:color w:val="auto"/>
          <w:sz w:val="24"/>
          <w:highlight w:val="none"/>
        </w:rPr>
        <w:t>因不可抗力致使不能实现合同目的的，当事人可以解除合同；</w:t>
      </w:r>
    </w:p>
    <w:p w14:paraId="63323894">
      <w:pPr>
        <w:shd w:val="clea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2.11.3 </w:t>
      </w:r>
      <w:r>
        <w:rPr>
          <w:rFonts w:hint="eastAsia" w:ascii="宋体" w:hAnsi="宋体"/>
          <w:color w:val="auto"/>
          <w:sz w:val="24"/>
          <w:highlight w:val="none"/>
        </w:rPr>
        <w:t>因</w:t>
      </w:r>
      <w:r>
        <w:rPr>
          <w:rFonts w:ascii="宋体" w:hAnsi="宋体"/>
          <w:color w:val="auto"/>
          <w:sz w:val="24"/>
          <w:highlight w:val="none"/>
        </w:rPr>
        <w:t>不可抗力致使合同有变更必要的，双方当事人应在</w:t>
      </w:r>
      <w:r>
        <w:rPr>
          <w:rFonts w:ascii="宋体" w:hAnsi="宋体"/>
          <w:b/>
          <w:i/>
          <w:color w:val="auto"/>
          <w:sz w:val="24"/>
          <w:highlight w:val="none"/>
          <w:u w:val="single"/>
        </w:rPr>
        <w:t>合同专用条款</w:t>
      </w:r>
      <w:r>
        <w:rPr>
          <w:rFonts w:ascii="宋体" w:hAnsi="宋体"/>
          <w:color w:val="auto"/>
          <w:sz w:val="24"/>
          <w:highlight w:val="none"/>
        </w:rPr>
        <w:t>约定时间内以书面形式变更合同</w:t>
      </w:r>
      <w:r>
        <w:rPr>
          <w:rFonts w:hint="eastAsia" w:ascii="宋体" w:hAnsi="宋体"/>
          <w:color w:val="auto"/>
          <w:sz w:val="24"/>
          <w:highlight w:val="none"/>
        </w:rPr>
        <w:t>；</w:t>
      </w:r>
    </w:p>
    <w:p w14:paraId="2BF6B4AB">
      <w:pPr>
        <w:shd w:val="clear"/>
        <w:spacing w:line="560" w:lineRule="exact"/>
        <w:ind w:firstLine="480" w:firstLineChars="200"/>
        <w:rPr>
          <w:rFonts w:ascii="宋体" w:hAnsi="宋体"/>
          <w:color w:val="auto"/>
          <w:sz w:val="24"/>
          <w:highlight w:val="none"/>
        </w:rPr>
      </w:pPr>
      <w:r>
        <w:rPr>
          <w:rFonts w:ascii="宋体" w:hAnsi="宋体"/>
          <w:color w:val="auto"/>
          <w:sz w:val="24"/>
          <w:highlight w:val="none"/>
        </w:rPr>
        <w:t>2.11.4受</w:t>
      </w:r>
      <w:r>
        <w:rPr>
          <w:rFonts w:hint="eastAsia" w:ascii="宋体" w:hAnsi="宋体"/>
          <w:color w:val="auto"/>
          <w:sz w:val="24"/>
          <w:highlight w:val="none"/>
        </w:rPr>
        <w:t>不可抗力</w:t>
      </w:r>
      <w:r>
        <w:rPr>
          <w:rFonts w:ascii="宋体" w:hAnsi="宋体"/>
          <w:color w:val="auto"/>
          <w:sz w:val="24"/>
          <w:highlight w:val="none"/>
        </w:rPr>
        <w:t>影响的一方在不可抗力发生后</w:t>
      </w:r>
      <w:r>
        <w:rPr>
          <w:rFonts w:hint="eastAsia" w:ascii="宋体" w:hAnsi="宋体"/>
          <w:color w:val="auto"/>
          <w:sz w:val="24"/>
          <w:highlight w:val="none"/>
        </w:rPr>
        <w:t>，</w:t>
      </w:r>
      <w:r>
        <w:rPr>
          <w:rFonts w:ascii="宋体" w:hAnsi="宋体"/>
          <w:color w:val="auto"/>
          <w:sz w:val="24"/>
          <w:highlight w:val="none"/>
        </w:rPr>
        <w:t>应在</w:t>
      </w:r>
      <w:r>
        <w:rPr>
          <w:rFonts w:ascii="宋体" w:hAnsi="宋体"/>
          <w:b/>
          <w:i/>
          <w:color w:val="auto"/>
          <w:sz w:val="24"/>
          <w:highlight w:val="none"/>
          <w:u w:val="single"/>
        </w:rPr>
        <w:t>合同专用条款</w:t>
      </w:r>
      <w:r>
        <w:rPr>
          <w:rFonts w:ascii="宋体" w:hAnsi="宋体"/>
          <w:color w:val="auto"/>
          <w:sz w:val="24"/>
          <w:highlight w:val="none"/>
        </w:rPr>
        <w:t>约定时间内以书面形式通知</w:t>
      </w:r>
      <w:r>
        <w:rPr>
          <w:rFonts w:hint="eastAsia" w:ascii="宋体" w:hAnsi="宋体"/>
          <w:color w:val="auto"/>
          <w:sz w:val="24"/>
          <w:highlight w:val="none"/>
        </w:rPr>
        <w:t>对</w:t>
      </w:r>
      <w:r>
        <w:rPr>
          <w:rFonts w:ascii="宋体" w:hAnsi="宋体"/>
          <w:color w:val="auto"/>
          <w:sz w:val="24"/>
          <w:highlight w:val="none"/>
        </w:rPr>
        <w:t>方当事人，并在</w:t>
      </w:r>
      <w:r>
        <w:rPr>
          <w:rFonts w:ascii="宋体" w:hAnsi="宋体"/>
          <w:b/>
          <w:i/>
          <w:color w:val="auto"/>
          <w:sz w:val="24"/>
          <w:highlight w:val="none"/>
          <w:u w:val="single"/>
        </w:rPr>
        <w:t>合同专用条款</w:t>
      </w:r>
      <w:r>
        <w:rPr>
          <w:rFonts w:ascii="宋体" w:hAnsi="宋体"/>
          <w:color w:val="auto"/>
          <w:sz w:val="24"/>
          <w:highlight w:val="none"/>
        </w:rPr>
        <w:t>约定时间内，将有关部门出具的证明文件送达</w:t>
      </w:r>
      <w:r>
        <w:rPr>
          <w:rFonts w:hint="eastAsia" w:ascii="宋体" w:hAnsi="宋体"/>
          <w:color w:val="auto"/>
          <w:sz w:val="24"/>
          <w:highlight w:val="none"/>
        </w:rPr>
        <w:t>对方当事人</w:t>
      </w:r>
      <w:r>
        <w:rPr>
          <w:rFonts w:ascii="宋体" w:hAnsi="宋体"/>
          <w:color w:val="auto"/>
          <w:sz w:val="24"/>
          <w:highlight w:val="none"/>
        </w:rPr>
        <w:t>。</w:t>
      </w:r>
    </w:p>
    <w:p w14:paraId="34CB11A8">
      <w:pPr>
        <w:shd w:val="clear"/>
        <w:spacing w:line="560" w:lineRule="exact"/>
        <w:ind w:firstLine="482" w:firstLineChars="200"/>
        <w:outlineLvl w:val="0"/>
        <w:rPr>
          <w:rFonts w:ascii="宋体" w:hAnsi="宋体"/>
          <w:b/>
          <w:color w:val="auto"/>
          <w:sz w:val="24"/>
          <w:highlight w:val="none"/>
        </w:rPr>
      </w:pPr>
      <w:bookmarkStart w:id="478" w:name="_Toc24465"/>
      <w:bookmarkStart w:id="479" w:name="_Toc3638"/>
      <w:bookmarkStart w:id="480" w:name="_Toc25783"/>
      <w:bookmarkStart w:id="481" w:name="_Toc14115"/>
      <w:bookmarkStart w:id="482" w:name="_Toc23854"/>
      <w:r>
        <w:rPr>
          <w:rFonts w:ascii="宋体" w:hAnsi="宋体"/>
          <w:b/>
          <w:color w:val="auto"/>
          <w:sz w:val="24"/>
          <w:highlight w:val="none"/>
        </w:rPr>
        <w:t>2.12 税费</w:t>
      </w:r>
      <w:bookmarkEnd w:id="478"/>
      <w:bookmarkEnd w:id="479"/>
      <w:bookmarkEnd w:id="480"/>
      <w:bookmarkEnd w:id="481"/>
      <w:bookmarkEnd w:id="482"/>
    </w:p>
    <w:p w14:paraId="4C5FCF6E">
      <w:pPr>
        <w:shd w:val="clear"/>
        <w:spacing w:line="560" w:lineRule="exact"/>
        <w:ind w:firstLine="480" w:firstLineChars="200"/>
        <w:rPr>
          <w:rFonts w:ascii="宋体" w:hAnsi="宋体"/>
          <w:color w:val="auto"/>
          <w:sz w:val="24"/>
          <w:highlight w:val="none"/>
        </w:rPr>
      </w:pPr>
      <w:r>
        <w:rPr>
          <w:rFonts w:ascii="宋体" w:hAnsi="宋体"/>
          <w:color w:val="auto"/>
          <w:sz w:val="24"/>
          <w:highlight w:val="none"/>
        </w:rPr>
        <w:t>与合同有关的一切税费</w:t>
      </w:r>
      <w:r>
        <w:rPr>
          <w:rFonts w:hint="eastAsia" w:ascii="宋体" w:hAnsi="宋体"/>
          <w:color w:val="auto"/>
          <w:sz w:val="24"/>
          <w:highlight w:val="none"/>
        </w:rPr>
        <w:t>，</w:t>
      </w:r>
      <w:r>
        <w:rPr>
          <w:rFonts w:ascii="宋体" w:hAnsi="宋体"/>
          <w:color w:val="auto"/>
          <w:sz w:val="24"/>
          <w:highlight w:val="none"/>
        </w:rPr>
        <w:t>均按照中华人民共和国法律的相关规定缴纳。</w:t>
      </w:r>
    </w:p>
    <w:p w14:paraId="62ED5782">
      <w:pPr>
        <w:shd w:val="clear"/>
        <w:spacing w:line="560" w:lineRule="exact"/>
        <w:ind w:firstLine="482" w:firstLineChars="200"/>
        <w:outlineLvl w:val="0"/>
        <w:rPr>
          <w:rFonts w:ascii="宋体" w:hAnsi="宋体"/>
          <w:b/>
          <w:color w:val="auto"/>
          <w:sz w:val="24"/>
          <w:highlight w:val="none"/>
        </w:rPr>
      </w:pPr>
      <w:bookmarkStart w:id="483" w:name="_Toc14814"/>
      <w:bookmarkStart w:id="484" w:name="_Toc7315"/>
      <w:bookmarkStart w:id="485" w:name="_Toc26883"/>
      <w:bookmarkStart w:id="486" w:name="_Toc30105"/>
      <w:bookmarkStart w:id="487" w:name="_Toc25525"/>
      <w:r>
        <w:rPr>
          <w:rFonts w:ascii="宋体" w:hAnsi="宋体"/>
          <w:b/>
          <w:color w:val="auto"/>
          <w:sz w:val="24"/>
          <w:highlight w:val="none"/>
        </w:rPr>
        <w:t>2.13 乙方破产</w:t>
      </w:r>
      <w:bookmarkEnd w:id="483"/>
      <w:bookmarkEnd w:id="484"/>
      <w:bookmarkEnd w:id="485"/>
      <w:bookmarkEnd w:id="486"/>
      <w:bookmarkEnd w:id="487"/>
    </w:p>
    <w:p w14:paraId="19EB4B23">
      <w:pPr>
        <w:shd w:val="clear"/>
        <w:spacing w:line="560" w:lineRule="exact"/>
        <w:ind w:firstLine="480" w:firstLineChars="200"/>
        <w:rPr>
          <w:rFonts w:ascii="宋体" w:hAnsi="宋体"/>
          <w:color w:val="auto"/>
          <w:sz w:val="24"/>
          <w:highlight w:val="none"/>
        </w:rPr>
      </w:pPr>
      <w:r>
        <w:rPr>
          <w:rFonts w:ascii="宋体" w:hAnsi="宋体"/>
          <w:color w:val="auto"/>
          <w:sz w:val="24"/>
          <w:highlight w:val="none"/>
        </w:rPr>
        <w:t>如果乙方破产导致合同无法履行时，甲方可以书面形式通知乙方终止合同且不给予乙方任何补偿和赔偿</w:t>
      </w:r>
      <w:r>
        <w:rPr>
          <w:rFonts w:hint="eastAsia" w:ascii="宋体" w:hAnsi="宋体"/>
          <w:color w:val="auto"/>
          <w:sz w:val="24"/>
          <w:highlight w:val="none"/>
        </w:rPr>
        <w:t>，但合同的</w:t>
      </w:r>
      <w:r>
        <w:rPr>
          <w:rFonts w:ascii="宋体" w:hAnsi="宋体"/>
          <w:color w:val="auto"/>
          <w:sz w:val="24"/>
          <w:highlight w:val="none"/>
        </w:rPr>
        <w:t>终止不损害或不影响甲方已经采取或将要采取的任何要求乙方支付违约金</w:t>
      </w:r>
      <w:r>
        <w:rPr>
          <w:rFonts w:hint="eastAsia" w:ascii="宋体" w:hAnsi="宋体"/>
          <w:color w:val="auto"/>
          <w:sz w:val="24"/>
          <w:highlight w:val="none"/>
        </w:rPr>
        <w:t>、</w:t>
      </w:r>
      <w:r>
        <w:rPr>
          <w:rFonts w:ascii="宋体" w:hAnsi="宋体"/>
          <w:color w:val="auto"/>
          <w:sz w:val="24"/>
          <w:highlight w:val="none"/>
        </w:rPr>
        <w:t>赔偿损失等的行动或补救措施的权利</w:t>
      </w:r>
      <w:r>
        <w:rPr>
          <w:rFonts w:hint="eastAsia" w:ascii="宋体" w:hAnsi="宋体"/>
          <w:color w:val="auto"/>
          <w:sz w:val="24"/>
          <w:highlight w:val="none"/>
        </w:rPr>
        <w:t>。</w:t>
      </w:r>
    </w:p>
    <w:p w14:paraId="12704E7F">
      <w:pPr>
        <w:shd w:val="clear"/>
        <w:spacing w:line="560" w:lineRule="exact"/>
        <w:ind w:firstLine="482" w:firstLineChars="200"/>
        <w:outlineLvl w:val="0"/>
        <w:rPr>
          <w:rFonts w:ascii="宋体" w:hAnsi="宋体"/>
          <w:b/>
          <w:color w:val="auto"/>
          <w:sz w:val="24"/>
          <w:highlight w:val="none"/>
        </w:rPr>
      </w:pPr>
      <w:bookmarkStart w:id="488" w:name="_Toc23323"/>
      <w:bookmarkStart w:id="489" w:name="_Toc1123"/>
      <w:bookmarkStart w:id="490" w:name="_Toc2016"/>
      <w:r>
        <w:rPr>
          <w:rFonts w:ascii="宋体" w:hAnsi="宋体"/>
          <w:b/>
          <w:color w:val="auto"/>
          <w:sz w:val="24"/>
          <w:highlight w:val="none"/>
        </w:rPr>
        <w:t>2.14 合同中止、终止</w:t>
      </w:r>
      <w:bookmarkEnd w:id="488"/>
      <w:bookmarkEnd w:id="489"/>
      <w:bookmarkEnd w:id="490"/>
    </w:p>
    <w:p w14:paraId="04422256">
      <w:pPr>
        <w:shd w:val="clea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2.14.1 </w:t>
      </w:r>
      <w:r>
        <w:rPr>
          <w:rFonts w:hint="eastAsia" w:ascii="宋体" w:hAnsi="宋体"/>
          <w:color w:val="auto"/>
          <w:sz w:val="24"/>
          <w:highlight w:val="none"/>
        </w:rPr>
        <w:t>双方当事人不得擅自中止或者终止合同；</w:t>
      </w:r>
    </w:p>
    <w:p w14:paraId="5B488128">
      <w:pPr>
        <w:shd w:val="clear"/>
        <w:spacing w:line="560" w:lineRule="exact"/>
        <w:ind w:firstLine="480" w:firstLineChars="200"/>
        <w:rPr>
          <w:rFonts w:ascii="宋体" w:hAnsi="宋体"/>
          <w:color w:val="auto"/>
          <w:sz w:val="24"/>
          <w:highlight w:val="none"/>
        </w:rPr>
      </w:pPr>
      <w:r>
        <w:rPr>
          <w:rFonts w:ascii="宋体" w:hAnsi="宋体"/>
          <w:color w:val="auto"/>
          <w:sz w:val="24"/>
          <w:highlight w:val="none"/>
        </w:rPr>
        <w:t>2.14.2合同继续履行将损害国家利益和社会公共利益的，双方当事人应当中止或者终止合同。有过错的一方应当承担赔偿责任，双方当事人都有过错的，各自承担相应的责任。</w:t>
      </w:r>
    </w:p>
    <w:p w14:paraId="1CA135D3">
      <w:pPr>
        <w:shd w:val="clear"/>
        <w:spacing w:line="560" w:lineRule="exact"/>
        <w:ind w:firstLine="482" w:firstLineChars="200"/>
        <w:outlineLvl w:val="0"/>
        <w:rPr>
          <w:rFonts w:ascii="宋体" w:hAnsi="宋体"/>
          <w:b/>
          <w:color w:val="auto"/>
          <w:sz w:val="24"/>
          <w:highlight w:val="none"/>
        </w:rPr>
      </w:pPr>
      <w:bookmarkStart w:id="491" w:name="_Toc17363"/>
      <w:bookmarkStart w:id="492" w:name="_Toc14525"/>
      <w:bookmarkStart w:id="493" w:name="_Toc1969"/>
      <w:r>
        <w:rPr>
          <w:rFonts w:ascii="宋体" w:hAnsi="宋体"/>
          <w:b/>
          <w:color w:val="auto"/>
          <w:sz w:val="24"/>
          <w:highlight w:val="none"/>
        </w:rPr>
        <w:t>2.15 检验和验收</w:t>
      </w:r>
      <w:bookmarkEnd w:id="491"/>
      <w:bookmarkEnd w:id="492"/>
      <w:bookmarkEnd w:id="493"/>
    </w:p>
    <w:p w14:paraId="7E96D634">
      <w:pPr>
        <w:shd w:val="clear"/>
        <w:tabs>
          <w:tab w:val="left" w:pos="360"/>
          <w:tab w:val="left" w:pos="540"/>
          <w:tab w:val="left" w:pos="1080"/>
        </w:tabs>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2.15.1 </w:t>
      </w:r>
      <w:r>
        <w:rPr>
          <w:rFonts w:hint="eastAsia" w:ascii="宋体" w:hAnsi="宋体"/>
          <w:color w:val="auto"/>
          <w:sz w:val="24"/>
          <w:highlight w:val="none"/>
        </w:rPr>
        <w:t>乙方按照</w:t>
      </w:r>
      <w:r>
        <w:rPr>
          <w:rFonts w:ascii="宋体" w:hAnsi="宋体"/>
          <w:b/>
          <w:i/>
          <w:color w:val="auto"/>
          <w:sz w:val="24"/>
          <w:highlight w:val="none"/>
          <w:u w:val="single"/>
        </w:rPr>
        <w:t>合同专用条款</w:t>
      </w:r>
      <w:r>
        <w:rPr>
          <w:rFonts w:ascii="宋体" w:hAnsi="宋体"/>
          <w:color w:val="auto"/>
          <w:sz w:val="24"/>
          <w:highlight w:val="none"/>
        </w:rPr>
        <w:t>的约定</w:t>
      </w:r>
      <w:r>
        <w:rPr>
          <w:rFonts w:hint="eastAsia" w:ascii="宋体" w:hAnsi="宋体"/>
          <w:color w:val="auto"/>
          <w:sz w:val="24"/>
          <w:highlight w:val="none"/>
        </w:rPr>
        <w:t>，</w:t>
      </w:r>
      <w:r>
        <w:rPr>
          <w:rFonts w:ascii="宋体" w:hAnsi="宋体"/>
          <w:color w:val="auto"/>
          <w:sz w:val="24"/>
          <w:highlight w:val="none"/>
        </w:rPr>
        <w:t>定期提交服务报告</w:t>
      </w:r>
      <w:r>
        <w:rPr>
          <w:rFonts w:hint="eastAsia" w:ascii="宋体" w:hAnsi="宋体"/>
          <w:color w:val="auto"/>
          <w:sz w:val="24"/>
          <w:highlight w:val="none"/>
        </w:rPr>
        <w:t>，甲方按照</w:t>
      </w:r>
      <w:r>
        <w:rPr>
          <w:rFonts w:ascii="宋体" w:hAnsi="宋体"/>
          <w:b/>
          <w:i/>
          <w:color w:val="auto"/>
          <w:sz w:val="24"/>
          <w:highlight w:val="none"/>
          <w:u w:val="single"/>
        </w:rPr>
        <w:t>合同专用条款</w:t>
      </w:r>
      <w:r>
        <w:rPr>
          <w:rFonts w:ascii="宋体" w:hAnsi="宋体"/>
          <w:color w:val="auto"/>
          <w:sz w:val="24"/>
          <w:highlight w:val="none"/>
        </w:rPr>
        <w:t>的约定进行定期验收</w:t>
      </w:r>
      <w:r>
        <w:rPr>
          <w:rFonts w:hint="eastAsia" w:ascii="宋体" w:hAnsi="宋体"/>
          <w:color w:val="auto"/>
          <w:sz w:val="24"/>
          <w:highlight w:val="none"/>
        </w:rPr>
        <w:t>；</w:t>
      </w:r>
    </w:p>
    <w:p w14:paraId="051EEE15">
      <w:pPr>
        <w:shd w:val="clear"/>
        <w:tabs>
          <w:tab w:val="left" w:pos="360"/>
          <w:tab w:val="left" w:pos="540"/>
          <w:tab w:val="left" w:pos="1080"/>
        </w:tabs>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2.15.2 </w:t>
      </w:r>
      <w:r>
        <w:rPr>
          <w:rFonts w:hint="eastAsia" w:ascii="宋体" w:hAnsi="宋体"/>
          <w:color w:val="auto"/>
          <w:sz w:val="24"/>
          <w:highlight w:val="none"/>
        </w:rPr>
        <w:t>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0E99AF8B">
      <w:pPr>
        <w:shd w:val="clear"/>
        <w:tabs>
          <w:tab w:val="left" w:pos="360"/>
          <w:tab w:val="left" w:pos="540"/>
          <w:tab w:val="left" w:pos="1080"/>
        </w:tabs>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2.15.3 </w:t>
      </w:r>
      <w:r>
        <w:rPr>
          <w:rFonts w:hint="eastAsia" w:ascii="宋体" w:hAnsi="宋体"/>
          <w:color w:val="auto"/>
          <w:sz w:val="24"/>
          <w:highlight w:val="none"/>
        </w:rPr>
        <w:t>检验和验收标准、程序等具体内容以及前述验收书的效力详见</w:t>
      </w:r>
      <w:r>
        <w:rPr>
          <w:rFonts w:ascii="宋体" w:hAnsi="宋体"/>
          <w:b/>
          <w:i/>
          <w:color w:val="auto"/>
          <w:sz w:val="24"/>
          <w:highlight w:val="none"/>
          <w:u w:val="single"/>
        </w:rPr>
        <w:t>合同专用条款</w:t>
      </w:r>
      <w:r>
        <w:rPr>
          <w:rFonts w:hint="eastAsia" w:ascii="宋体" w:hAnsi="宋体"/>
          <w:i/>
          <w:color w:val="auto"/>
          <w:sz w:val="24"/>
          <w:highlight w:val="none"/>
        </w:rPr>
        <w:t>。</w:t>
      </w:r>
    </w:p>
    <w:p w14:paraId="25FA41EE">
      <w:pPr>
        <w:shd w:val="clear"/>
        <w:spacing w:line="560" w:lineRule="exact"/>
        <w:ind w:firstLine="482" w:firstLineChars="200"/>
        <w:outlineLvl w:val="0"/>
        <w:rPr>
          <w:rFonts w:ascii="宋体" w:hAnsi="宋体"/>
          <w:b/>
          <w:color w:val="auto"/>
          <w:sz w:val="24"/>
          <w:highlight w:val="none"/>
        </w:rPr>
      </w:pPr>
      <w:bookmarkStart w:id="494" w:name="_Toc9808"/>
      <w:bookmarkStart w:id="495" w:name="_Toc2308"/>
      <w:bookmarkStart w:id="496" w:name="_Toc25198"/>
      <w:bookmarkStart w:id="497" w:name="_Toc12666"/>
      <w:bookmarkStart w:id="498" w:name="_Toc31892"/>
      <w:r>
        <w:rPr>
          <w:rFonts w:ascii="宋体" w:hAnsi="宋体"/>
          <w:b/>
          <w:color w:val="auto"/>
          <w:sz w:val="24"/>
          <w:highlight w:val="none"/>
        </w:rPr>
        <w:t>2.16 通知和送达</w:t>
      </w:r>
      <w:bookmarkEnd w:id="494"/>
      <w:bookmarkEnd w:id="495"/>
      <w:bookmarkEnd w:id="496"/>
      <w:bookmarkEnd w:id="497"/>
      <w:bookmarkEnd w:id="498"/>
    </w:p>
    <w:p w14:paraId="691F5800">
      <w:pPr>
        <w:shd w:val="clear"/>
        <w:spacing w:line="560" w:lineRule="exact"/>
        <w:ind w:firstLine="480" w:firstLineChars="200"/>
        <w:rPr>
          <w:rFonts w:ascii="宋体" w:hAnsi="宋体"/>
          <w:color w:val="auto"/>
          <w:sz w:val="24"/>
          <w:highlight w:val="none"/>
        </w:rPr>
      </w:pPr>
      <w:bookmarkStart w:id="499" w:name="_Toc18401"/>
      <w:bookmarkStart w:id="500" w:name="_Toc27674"/>
      <w:r>
        <w:rPr>
          <w:rFonts w:ascii="宋体" w:hAnsi="宋体"/>
          <w:color w:val="auto"/>
          <w:sz w:val="24"/>
          <w:highlight w:val="none"/>
        </w:rPr>
        <w:t>2.17.1</w:t>
      </w:r>
      <w:r>
        <w:rPr>
          <w:rFonts w:hint="eastAsia" w:ascii="宋体" w:hAnsi="宋体"/>
          <w:color w:val="auto"/>
          <w:sz w:val="24"/>
          <w:highlight w:val="none"/>
        </w:rPr>
        <w:t>任何一方因履行合同而以合同第一部分尾部所列明的传真或电子邮件</w:t>
      </w:r>
      <w:r>
        <w:rPr>
          <w:rFonts w:ascii="宋体" w:hAnsi="宋体"/>
          <w:color w:val="auto"/>
          <w:sz w:val="24"/>
          <w:highlight w:val="none"/>
        </w:rPr>
        <w:t xml:space="preserve"> </w:t>
      </w:r>
      <w:r>
        <w:rPr>
          <w:rFonts w:ascii="宋体" w:hAnsi="宋体"/>
          <w:color w:val="auto"/>
          <w:sz w:val="24"/>
          <w:highlight w:val="none"/>
          <w:u w:val="single"/>
        </w:rPr>
        <w:t xml:space="preserve">       </w:t>
      </w:r>
      <w:r>
        <w:rPr>
          <w:rFonts w:hint="eastAsia" w:ascii="宋体" w:hAnsi="宋体"/>
          <w:color w:val="auto"/>
          <w:sz w:val="24"/>
          <w:highlight w:val="none"/>
        </w:rPr>
        <w:t>发出的所有通知、文件、材料，均视为已向对方当事人送达；任何一方变更上述送达方式或者地址的，应于</w:t>
      </w:r>
      <w:r>
        <w:rPr>
          <w:rFonts w:ascii="宋体" w:hAnsi="宋体"/>
          <w:color w:val="auto"/>
          <w:sz w:val="24"/>
          <w:highlight w:val="none"/>
          <w:u w:val="single"/>
        </w:rPr>
        <w:t>3</w:t>
      </w:r>
      <w:r>
        <w:rPr>
          <w:rFonts w:hint="eastAsia" w:ascii="宋体" w:hAnsi="宋体"/>
          <w:color w:val="auto"/>
          <w:sz w:val="24"/>
          <w:highlight w:val="none"/>
        </w:rPr>
        <w:t>个工作日内书面通知对方当事人，在对方当事人收到有关变更通知之前，变更前的约定送达方式或者地址仍视为有效。</w:t>
      </w:r>
    </w:p>
    <w:p w14:paraId="4C1D7188">
      <w:pPr>
        <w:shd w:val="clear"/>
        <w:spacing w:line="560" w:lineRule="exact"/>
        <w:ind w:firstLine="480" w:firstLineChars="200"/>
        <w:rPr>
          <w:rFonts w:ascii="宋体" w:hAnsi="宋体"/>
          <w:color w:val="auto"/>
          <w:sz w:val="24"/>
          <w:highlight w:val="none"/>
        </w:rPr>
      </w:pPr>
      <w:r>
        <w:rPr>
          <w:rFonts w:ascii="宋体" w:hAnsi="宋体"/>
          <w:color w:val="auto"/>
          <w:sz w:val="24"/>
          <w:highlight w:val="none"/>
        </w:rPr>
        <w:t>2.17.2以当面交付方式送达的，交付之时视为送达；以电子邮件方式送达的，发出电子邮件之时视为送达；以传真方式送达的，发出传真之时视为送达；以邮寄方式送达</w:t>
      </w:r>
      <w:r>
        <w:rPr>
          <w:rFonts w:hint="eastAsia" w:ascii="宋体" w:hAnsi="宋体"/>
          <w:color w:val="auto"/>
          <w:sz w:val="24"/>
          <w:highlight w:val="none"/>
        </w:rPr>
        <w:t>的，邮件挂号寄出或者交邮之日之次日视为送达。</w:t>
      </w:r>
      <w:bookmarkEnd w:id="499"/>
      <w:bookmarkEnd w:id="500"/>
    </w:p>
    <w:p w14:paraId="13946E78">
      <w:pPr>
        <w:shd w:val="clear"/>
        <w:spacing w:line="560" w:lineRule="exact"/>
        <w:ind w:firstLine="482" w:firstLineChars="200"/>
        <w:outlineLvl w:val="0"/>
        <w:rPr>
          <w:rFonts w:ascii="宋体" w:hAnsi="宋体"/>
          <w:b/>
          <w:color w:val="auto"/>
          <w:sz w:val="24"/>
          <w:highlight w:val="none"/>
        </w:rPr>
      </w:pPr>
      <w:bookmarkStart w:id="501" w:name="_Toc12254"/>
      <w:bookmarkStart w:id="502" w:name="_Toc28906"/>
      <w:bookmarkStart w:id="503" w:name="_Toc20808"/>
      <w:bookmarkStart w:id="504" w:name="_Toc5063"/>
      <w:bookmarkStart w:id="505" w:name="_Toc27644"/>
      <w:r>
        <w:rPr>
          <w:rFonts w:ascii="宋体" w:hAnsi="宋体"/>
          <w:b/>
          <w:color w:val="auto"/>
          <w:sz w:val="24"/>
          <w:highlight w:val="none"/>
        </w:rPr>
        <w:t xml:space="preserve">2.17 </w:t>
      </w:r>
      <w:r>
        <w:rPr>
          <w:rFonts w:hint="eastAsia" w:ascii="宋体" w:hAnsi="宋体"/>
          <w:b/>
          <w:color w:val="auto"/>
          <w:sz w:val="24"/>
          <w:highlight w:val="none"/>
        </w:rPr>
        <w:t>合同使用的文字和</w:t>
      </w:r>
      <w:r>
        <w:rPr>
          <w:rFonts w:ascii="宋体" w:hAnsi="宋体"/>
          <w:b/>
          <w:color w:val="auto"/>
          <w:sz w:val="24"/>
          <w:highlight w:val="none"/>
        </w:rPr>
        <w:t>适用的法律</w:t>
      </w:r>
      <w:bookmarkEnd w:id="501"/>
      <w:bookmarkEnd w:id="502"/>
      <w:bookmarkEnd w:id="503"/>
      <w:bookmarkEnd w:id="504"/>
      <w:bookmarkEnd w:id="505"/>
    </w:p>
    <w:p w14:paraId="7FD2F25E">
      <w:pPr>
        <w:shd w:val="clear"/>
        <w:spacing w:line="560" w:lineRule="exact"/>
        <w:ind w:firstLine="480" w:firstLineChars="200"/>
        <w:rPr>
          <w:rFonts w:ascii="宋体" w:hAnsi="宋体"/>
          <w:color w:val="auto"/>
          <w:sz w:val="24"/>
          <w:highlight w:val="none"/>
        </w:rPr>
      </w:pPr>
      <w:r>
        <w:rPr>
          <w:rFonts w:ascii="宋体" w:hAnsi="宋体"/>
          <w:color w:val="auto"/>
          <w:sz w:val="24"/>
          <w:highlight w:val="none"/>
        </w:rPr>
        <w:t>2.17.1 合同使用汉语书就</w:t>
      </w:r>
      <w:r>
        <w:rPr>
          <w:rFonts w:hint="eastAsia" w:ascii="宋体" w:hAnsi="宋体"/>
          <w:color w:val="auto"/>
          <w:sz w:val="24"/>
          <w:highlight w:val="none"/>
        </w:rPr>
        <w:t>、</w:t>
      </w:r>
      <w:r>
        <w:rPr>
          <w:rFonts w:ascii="宋体" w:hAnsi="宋体"/>
          <w:color w:val="auto"/>
          <w:sz w:val="24"/>
          <w:highlight w:val="none"/>
        </w:rPr>
        <w:t>变更和解释</w:t>
      </w:r>
      <w:r>
        <w:rPr>
          <w:rFonts w:hint="eastAsia" w:ascii="宋体" w:hAnsi="宋体"/>
          <w:color w:val="auto"/>
          <w:sz w:val="24"/>
          <w:highlight w:val="none"/>
        </w:rPr>
        <w:t>；</w:t>
      </w:r>
    </w:p>
    <w:p w14:paraId="3E759478">
      <w:pPr>
        <w:shd w:val="clea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2.17.2 </w:t>
      </w:r>
      <w:r>
        <w:rPr>
          <w:rFonts w:hint="eastAsia" w:ascii="宋体" w:hAnsi="宋体"/>
          <w:color w:val="auto"/>
          <w:sz w:val="24"/>
          <w:highlight w:val="none"/>
        </w:rPr>
        <w:t>合同适用</w:t>
      </w:r>
      <w:r>
        <w:rPr>
          <w:rFonts w:ascii="宋体" w:hAnsi="宋体"/>
          <w:color w:val="auto"/>
          <w:sz w:val="24"/>
          <w:highlight w:val="none"/>
        </w:rPr>
        <w:t>中华人民共和国法律。</w:t>
      </w:r>
    </w:p>
    <w:p w14:paraId="44A33934">
      <w:pPr>
        <w:shd w:val="clear"/>
        <w:spacing w:line="560" w:lineRule="exact"/>
        <w:ind w:firstLine="482" w:firstLineChars="200"/>
        <w:outlineLvl w:val="0"/>
        <w:rPr>
          <w:rFonts w:ascii="宋体" w:hAnsi="宋体" w:cs="宋体"/>
          <w:b/>
          <w:color w:val="auto"/>
          <w:sz w:val="24"/>
          <w:highlight w:val="none"/>
        </w:rPr>
      </w:pPr>
      <w:bookmarkStart w:id="506" w:name="_Toc18540"/>
      <w:bookmarkStart w:id="507" w:name="_Toc4355"/>
      <w:bookmarkStart w:id="508" w:name="_Toc30599"/>
      <w:r>
        <w:rPr>
          <w:rFonts w:hint="eastAsia" w:ascii="宋体" w:hAnsi="宋体" w:cs="宋体"/>
          <w:b/>
          <w:color w:val="auto"/>
          <w:sz w:val="24"/>
          <w:highlight w:val="none"/>
        </w:rPr>
        <w:t>2.18 计量单位</w:t>
      </w:r>
      <w:bookmarkEnd w:id="506"/>
      <w:bookmarkEnd w:id="507"/>
      <w:bookmarkEnd w:id="508"/>
    </w:p>
    <w:p w14:paraId="08191A12">
      <w:pPr>
        <w:shd w:val="clea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除技术规范中另有规定外</w:t>
      </w:r>
      <w:r>
        <w:rPr>
          <w:rFonts w:hint="eastAsia" w:ascii="宋体" w:hAnsi="宋体" w:cs="宋体"/>
          <w:color w:val="auto"/>
          <w:sz w:val="24"/>
          <w:highlight w:val="none"/>
          <w:lang w:eastAsia="zh-CN"/>
        </w:rPr>
        <w:t>，</w:t>
      </w:r>
      <w:r>
        <w:rPr>
          <w:rFonts w:hint="eastAsia" w:ascii="宋体" w:hAnsi="宋体" w:cs="宋体"/>
          <w:color w:val="auto"/>
          <w:sz w:val="24"/>
          <w:highlight w:val="none"/>
        </w:rPr>
        <w:t>合同的计量单位均使用国家法定计量单位。</w:t>
      </w:r>
    </w:p>
    <w:p w14:paraId="5E247B43">
      <w:pPr>
        <w:shd w:val="clear"/>
        <w:spacing w:line="560" w:lineRule="exact"/>
        <w:ind w:firstLine="482" w:firstLineChars="200"/>
        <w:rPr>
          <w:rFonts w:ascii="宋体" w:hAnsi="宋体"/>
          <w:b/>
          <w:color w:val="auto"/>
          <w:sz w:val="24"/>
          <w:highlight w:val="none"/>
        </w:rPr>
      </w:pPr>
      <w:r>
        <w:rPr>
          <w:rFonts w:ascii="宋体" w:hAnsi="宋体"/>
          <w:b/>
          <w:color w:val="auto"/>
          <w:sz w:val="24"/>
          <w:highlight w:val="none"/>
        </w:rPr>
        <w:t>2.</w:t>
      </w:r>
      <w:r>
        <w:rPr>
          <w:rFonts w:hint="eastAsia" w:ascii="宋体" w:hAnsi="宋体"/>
          <w:b/>
          <w:color w:val="auto"/>
          <w:sz w:val="24"/>
          <w:highlight w:val="none"/>
        </w:rPr>
        <w:t>19</w:t>
      </w:r>
      <w:r>
        <w:rPr>
          <w:rFonts w:ascii="宋体" w:hAnsi="宋体"/>
          <w:b/>
          <w:color w:val="auto"/>
          <w:sz w:val="24"/>
          <w:highlight w:val="none"/>
        </w:rPr>
        <w:t>合同份数</w:t>
      </w:r>
    </w:p>
    <w:p w14:paraId="5D3719FD">
      <w:pPr>
        <w:shd w:val="clear"/>
        <w:spacing w:line="560" w:lineRule="exact"/>
        <w:ind w:firstLine="480" w:firstLineChars="200"/>
        <w:rPr>
          <w:rFonts w:ascii="宋体" w:hAnsi="宋体"/>
          <w:color w:val="auto"/>
          <w:sz w:val="24"/>
          <w:highlight w:val="none"/>
        </w:rPr>
      </w:pPr>
      <w:r>
        <w:rPr>
          <w:rFonts w:ascii="宋体" w:hAnsi="宋体"/>
          <w:color w:val="auto"/>
          <w:sz w:val="24"/>
          <w:highlight w:val="none"/>
        </w:rPr>
        <w:t>合同份数按</w:t>
      </w:r>
      <w:r>
        <w:rPr>
          <w:rFonts w:ascii="宋体" w:hAnsi="宋体"/>
          <w:b/>
          <w:i/>
          <w:color w:val="auto"/>
          <w:sz w:val="24"/>
          <w:highlight w:val="none"/>
          <w:u w:val="single"/>
        </w:rPr>
        <w:t>合同专用条款</w:t>
      </w:r>
      <w:r>
        <w:rPr>
          <w:rFonts w:ascii="宋体" w:hAnsi="宋体"/>
          <w:color w:val="auto"/>
          <w:sz w:val="24"/>
          <w:highlight w:val="none"/>
        </w:rPr>
        <w:t>规定</w:t>
      </w:r>
      <w:r>
        <w:rPr>
          <w:rFonts w:hint="eastAsia" w:ascii="宋体" w:hAnsi="宋体"/>
          <w:color w:val="auto"/>
          <w:sz w:val="24"/>
          <w:highlight w:val="none"/>
        </w:rPr>
        <w:t>，</w:t>
      </w:r>
      <w:r>
        <w:rPr>
          <w:rFonts w:ascii="宋体" w:hAnsi="宋体"/>
          <w:color w:val="auto"/>
          <w:sz w:val="24"/>
          <w:highlight w:val="none"/>
        </w:rPr>
        <w:t>每份均具有同等法律效力</w:t>
      </w:r>
      <w:r>
        <w:rPr>
          <w:rFonts w:hint="eastAsia" w:ascii="宋体" w:hAnsi="宋体"/>
          <w:color w:val="auto"/>
          <w:sz w:val="24"/>
          <w:highlight w:val="none"/>
        </w:rPr>
        <w:t>。</w:t>
      </w:r>
    </w:p>
    <w:p w14:paraId="6F426100">
      <w:pPr>
        <w:shd w:val="clear"/>
        <w:spacing w:line="360" w:lineRule="auto"/>
        <w:jc w:val="center"/>
        <w:outlineLvl w:val="0"/>
        <w:rPr>
          <w:rFonts w:ascii="宋体" w:hAnsi="宋体" w:cs="宋体"/>
          <w:b/>
          <w:color w:val="auto"/>
          <w:sz w:val="24"/>
          <w:highlight w:val="none"/>
        </w:rPr>
      </w:pPr>
      <w:r>
        <w:rPr>
          <w:rFonts w:hint="eastAsia" w:ascii="宋体" w:hAnsi="宋体" w:cs="宋体"/>
          <w:color w:val="auto"/>
          <w:kern w:val="0"/>
          <w:highlight w:val="none"/>
        </w:rPr>
        <w:br w:type="page"/>
      </w:r>
      <w:bookmarkStart w:id="509" w:name="_Toc331685784"/>
      <w:r>
        <w:rPr>
          <w:rFonts w:hint="eastAsia" w:ascii="宋体" w:hAnsi="宋体" w:cs="宋体"/>
          <w:b/>
          <w:color w:val="auto"/>
          <w:sz w:val="24"/>
          <w:highlight w:val="none"/>
        </w:rPr>
        <w:t xml:space="preserve"> </w:t>
      </w:r>
      <w:bookmarkEnd w:id="509"/>
      <w:r>
        <w:rPr>
          <w:rFonts w:hint="eastAsia" w:ascii="宋体" w:hAnsi="宋体" w:cs="宋体"/>
          <w:b/>
          <w:color w:val="auto"/>
          <w:sz w:val="24"/>
          <w:highlight w:val="none"/>
        </w:rPr>
        <w:t>第三部分  合同专用条款</w:t>
      </w:r>
    </w:p>
    <w:p w14:paraId="59E4A009">
      <w:pPr>
        <w:shd w:val="clear"/>
        <w:spacing w:line="560" w:lineRule="exact"/>
        <w:ind w:left="-420" w:leftChars="-200" w:right="-420" w:rightChars="-200" w:firstLine="480" w:firstLineChars="200"/>
        <w:rPr>
          <w:rFonts w:ascii="宋体" w:hAnsi="宋体" w:cs="宋体"/>
          <w:color w:val="auto"/>
          <w:highlight w:val="none"/>
        </w:rPr>
      </w:pPr>
      <w:r>
        <w:rPr>
          <w:rFonts w:hint="eastAsia" w:ascii="宋体" w:hAnsi="宋体" w:cs="宋体"/>
          <w:color w:val="auto"/>
          <w:sz w:val="24"/>
          <w:highlight w:val="none"/>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3"/>
        <w:tblW w:w="5000" w:type="pct"/>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28" w:type="dxa"/>
          <w:bottom w:w="0" w:type="dxa"/>
          <w:right w:w="28" w:type="dxa"/>
        </w:tblCellMar>
      </w:tblPr>
      <w:tblGrid>
        <w:gridCol w:w="977"/>
        <w:gridCol w:w="8149"/>
      </w:tblGrid>
      <w:tr w14:paraId="585B5C9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535" w:type="pct"/>
            <w:tcBorders>
              <w:left w:val="single" w:color="auto" w:sz="4" w:space="0"/>
            </w:tcBorders>
            <w:vAlign w:val="center"/>
          </w:tcPr>
          <w:p w14:paraId="6A420772">
            <w:pPr>
              <w:shd w:val="clea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条款号</w:t>
            </w:r>
          </w:p>
        </w:tc>
        <w:tc>
          <w:tcPr>
            <w:tcW w:w="4464" w:type="pct"/>
            <w:vAlign w:val="center"/>
          </w:tcPr>
          <w:p w14:paraId="3C2130DD">
            <w:pPr>
              <w:shd w:val="clea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约定内容</w:t>
            </w:r>
          </w:p>
        </w:tc>
      </w:tr>
      <w:tr w14:paraId="0DE8590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57E99CA3">
            <w:pPr>
              <w:shd w:val="clear"/>
              <w:spacing w:line="360" w:lineRule="auto"/>
              <w:rPr>
                <w:rFonts w:ascii="宋体" w:hAnsi="宋体" w:cs="宋体"/>
                <w:color w:val="auto"/>
                <w:sz w:val="24"/>
                <w:highlight w:val="none"/>
              </w:rPr>
            </w:pPr>
            <w:r>
              <w:rPr>
                <w:rFonts w:hint="eastAsia" w:ascii="宋体" w:hAnsi="宋体" w:cs="宋体"/>
                <w:color w:val="auto"/>
                <w:sz w:val="24"/>
                <w:highlight w:val="none"/>
              </w:rPr>
              <w:t>1.3.2</w:t>
            </w:r>
          </w:p>
        </w:tc>
        <w:tc>
          <w:tcPr>
            <w:tcW w:w="4464" w:type="pct"/>
            <w:vAlign w:val="center"/>
          </w:tcPr>
          <w:p w14:paraId="16BD46FE">
            <w:pPr>
              <w:shd w:val="clear"/>
              <w:spacing w:line="360" w:lineRule="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w:t>
            </w:r>
          </w:p>
        </w:tc>
      </w:tr>
      <w:tr w14:paraId="160C705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0E7E4EAB">
            <w:pPr>
              <w:shd w:val="clear"/>
              <w:spacing w:line="360" w:lineRule="auto"/>
              <w:rPr>
                <w:rFonts w:ascii="宋体" w:hAnsi="宋体" w:cs="宋体"/>
                <w:color w:val="auto"/>
                <w:sz w:val="24"/>
                <w:highlight w:val="none"/>
              </w:rPr>
            </w:pPr>
            <w:r>
              <w:rPr>
                <w:rFonts w:hint="eastAsia" w:ascii="宋体" w:hAnsi="宋体" w:cs="宋体"/>
                <w:color w:val="auto"/>
                <w:sz w:val="24"/>
                <w:highlight w:val="none"/>
              </w:rPr>
              <w:t>1.4.2</w:t>
            </w:r>
          </w:p>
        </w:tc>
        <w:tc>
          <w:tcPr>
            <w:tcW w:w="4464" w:type="pct"/>
            <w:vAlign w:val="center"/>
          </w:tcPr>
          <w:p w14:paraId="50C07B10">
            <w:pPr>
              <w:shd w:val="clear"/>
              <w:spacing w:line="360" w:lineRule="auto"/>
              <w:rPr>
                <w:rFonts w:ascii="宋体" w:hAnsi="宋体" w:cs="宋体"/>
                <w:color w:val="auto"/>
                <w:sz w:val="24"/>
                <w:highlight w:val="none"/>
              </w:rPr>
            </w:pPr>
            <w:r>
              <w:rPr>
                <w:rFonts w:hint="eastAsia" w:ascii="宋体" w:hAnsi="宋体" w:cs="宋体"/>
                <w:color w:val="auto"/>
                <w:sz w:val="24"/>
                <w:highlight w:val="none"/>
                <w:lang w:eastAsia="zh-CN"/>
              </w:rPr>
              <w:t>银行汇票（电汇）、银行保函、保险</w:t>
            </w:r>
            <w:r>
              <w:rPr>
                <w:rFonts w:hint="eastAsia" w:ascii="宋体" w:hAnsi="宋体" w:cs="宋体"/>
                <w:color w:val="auto"/>
                <w:sz w:val="24"/>
                <w:highlight w:val="none"/>
                <w:lang w:val="en-US" w:eastAsia="zh-CN"/>
              </w:rPr>
              <w:t>保单</w:t>
            </w:r>
            <w:r>
              <w:rPr>
                <w:rFonts w:hint="eastAsia" w:ascii="宋体" w:hAnsi="宋体" w:cs="宋体"/>
                <w:color w:val="auto"/>
                <w:sz w:val="24"/>
                <w:highlight w:val="none"/>
                <w:lang w:eastAsia="zh-CN"/>
              </w:rPr>
              <w:t>或支票（仅限于使用宁波大市区范围内的银行开具的支票）</w:t>
            </w:r>
            <w:r>
              <w:rPr>
                <w:rFonts w:hint="eastAsia" w:ascii="宋体" w:hAnsi="宋体" w:cs="宋体"/>
                <w:color w:val="auto"/>
                <w:sz w:val="24"/>
                <w:highlight w:val="none"/>
                <w:lang w:val="en-US" w:eastAsia="zh-CN"/>
              </w:rPr>
              <w:t>等</w:t>
            </w:r>
            <w:r>
              <w:rPr>
                <w:rFonts w:hint="eastAsia" w:ascii="宋体" w:hAnsi="宋体" w:cs="宋体"/>
                <w:color w:val="auto"/>
                <w:sz w:val="24"/>
                <w:highlight w:val="none"/>
                <w:lang w:eastAsia="zh-CN"/>
              </w:rPr>
              <w:t>；</w:t>
            </w:r>
          </w:p>
        </w:tc>
      </w:tr>
      <w:tr w14:paraId="56F4DAE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77B49481">
            <w:pPr>
              <w:shd w:val="clear"/>
              <w:spacing w:line="360" w:lineRule="auto"/>
              <w:rPr>
                <w:rFonts w:ascii="宋体" w:hAnsi="宋体" w:cs="宋体"/>
                <w:color w:val="auto"/>
                <w:sz w:val="24"/>
                <w:highlight w:val="none"/>
              </w:rPr>
            </w:pPr>
            <w:r>
              <w:rPr>
                <w:rFonts w:hint="eastAsia" w:ascii="宋体" w:hAnsi="宋体" w:cs="宋体"/>
                <w:color w:val="auto"/>
                <w:sz w:val="24"/>
                <w:highlight w:val="none"/>
              </w:rPr>
              <w:t xml:space="preserve">1.5.1 </w:t>
            </w:r>
          </w:p>
        </w:tc>
        <w:tc>
          <w:tcPr>
            <w:tcW w:w="4464" w:type="pct"/>
            <w:vAlign w:val="center"/>
          </w:tcPr>
          <w:p w14:paraId="53FDA4B4">
            <w:pPr>
              <w:shd w:val="clear"/>
              <w:spacing w:line="360" w:lineRule="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w:t>
            </w:r>
          </w:p>
        </w:tc>
      </w:tr>
      <w:tr w14:paraId="110CACA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0D3F5542">
            <w:pPr>
              <w:shd w:val="clear"/>
              <w:spacing w:line="360" w:lineRule="auto"/>
              <w:rPr>
                <w:rFonts w:ascii="宋体" w:hAnsi="宋体" w:cs="宋体"/>
                <w:color w:val="auto"/>
                <w:sz w:val="24"/>
                <w:highlight w:val="none"/>
              </w:rPr>
            </w:pPr>
            <w:r>
              <w:rPr>
                <w:rFonts w:hint="eastAsia" w:ascii="宋体" w:hAnsi="宋体" w:cs="宋体"/>
                <w:color w:val="auto"/>
                <w:sz w:val="24"/>
                <w:highlight w:val="none"/>
              </w:rPr>
              <w:t>1.5.2</w:t>
            </w:r>
          </w:p>
        </w:tc>
        <w:tc>
          <w:tcPr>
            <w:tcW w:w="4464" w:type="pct"/>
            <w:vAlign w:val="center"/>
          </w:tcPr>
          <w:p w14:paraId="65A81F51">
            <w:pPr>
              <w:shd w:val="clear"/>
              <w:spacing w:line="360" w:lineRule="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w:t>
            </w:r>
          </w:p>
        </w:tc>
      </w:tr>
      <w:tr w14:paraId="690DDA8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3FE2EEAF">
            <w:pPr>
              <w:shd w:val="clear"/>
              <w:spacing w:line="360" w:lineRule="auto"/>
              <w:rPr>
                <w:rFonts w:ascii="宋体" w:hAnsi="宋体" w:cs="宋体"/>
                <w:color w:val="auto"/>
                <w:sz w:val="24"/>
                <w:highlight w:val="none"/>
              </w:rPr>
            </w:pPr>
            <w:r>
              <w:rPr>
                <w:rFonts w:hint="eastAsia" w:ascii="宋体" w:hAnsi="宋体" w:cs="宋体"/>
                <w:color w:val="auto"/>
                <w:sz w:val="24"/>
                <w:highlight w:val="none"/>
              </w:rPr>
              <w:t xml:space="preserve">1.5.3 </w:t>
            </w:r>
          </w:p>
        </w:tc>
        <w:tc>
          <w:tcPr>
            <w:tcW w:w="4464" w:type="pct"/>
            <w:vAlign w:val="center"/>
          </w:tcPr>
          <w:p w14:paraId="4D33D125">
            <w:pPr>
              <w:shd w:val="clear"/>
              <w:spacing w:line="360" w:lineRule="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w:t>
            </w:r>
          </w:p>
        </w:tc>
      </w:tr>
      <w:tr w14:paraId="12F31EC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62B6877A">
            <w:pPr>
              <w:shd w:val="clear"/>
              <w:spacing w:line="360" w:lineRule="auto"/>
              <w:rPr>
                <w:rFonts w:ascii="宋体" w:hAnsi="宋体" w:cs="宋体"/>
                <w:color w:val="auto"/>
                <w:sz w:val="24"/>
                <w:highlight w:val="none"/>
              </w:rPr>
            </w:pPr>
            <w:r>
              <w:rPr>
                <w:rFonts w:hint="eastAsia" w:ascii="宋体" w:hAnsi="宋体" w:cs="宋体"/>
                <w:color w:val="auto"/>
                <w:sz w:val="24"/>
                <w:highlight w:val="none"/>
              </w:rPr>
              <w:t>1.6.2</w:t>
            </w:r>
          </w:p>
        </w:tc>
        <w:tc>
          <w:tcPr>
            <w:tcW w:w="4464" w:type="pct"/>
            <w:vAlign w:val="center"/>
          </w:tcPr>
          <w:p w14:paraId="0EC78DC7">
            <w:pPr>
              <w:shd w:val="clear"/>
              <w:spacing w:line="360" w:lineRule="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w:t>
            </w:r>
          </w:p>
        </w:tc>
      </w:tr>
      <w:tr w14:paraId="7920479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7E0E7280">
            <w:pPr>
              <w:shd w:val="clear"/>
              <w:spacing w:line="360" w:lineRule="auto"/>
              <w:rPr>
                <w:rFonts w:ascii="宋体" w:hAnsi="宋体" w:cs="宋体"/>
                <w:color w:val="auto"/>
                <w:sz w:val="24"/>
                <w:highlight w:val="none"/>
              </w:rPr>
            </w:pPr>
            <w:r>
              <w:rPr>
                <w:rFonts w:hint="eastAsia" w:ascii="宋体" w:hAnsi="宋体" w:cs="宋体"/>
                <w:color w:val="auto"/>
                <w:sz w:val="24"/>
                <w:highlight w:val="none"/>
              </w:rPr>
              <w:t>1.7.1</w:t>
            </w:r>
          </w:p>
        </w:tc>
        <w:tc>
          <w:tcPr>
            <w:tcW w:w="4464" w:type="pct"/>
            <w:vAlign w:val="center"/>
          </w:tcPr>
          <w:p w14:paraId="0A6EF3D7">
            <w:pPr>
              <w:shd w:val="clear"/>
              <w:spacing w:line="360" w:lineRule="auto"/>
              <w:rPr>
                <w:rFonts w:ascii="宋体" w:hAnsi="宋体" w:cs="宋体"/>
                <w:color w:val="auto"/>
                <w:sz w:val="24"/>
                <w:highlight w:val="none"/>
              </w:rPr>
            </w:pPr>
            <w:r>
              <w:rPr>
                <w:rFonts w:hint="eastAsia" w:ascii="宋体" w:hAnsi="宋体" w:cs="宋体"/>
                <w:color w:val="auto"/>
                <w:sz w:val="24"/>
                <w:highlight w:val="none"/>
                <w:lang w:val="en-US" w:eastAsia="zh-CN"/>
              </w:rPr>
              <w:t>自合同签订之日起一年。乙方如不能按时、按质提供甲方所需货物，由此造成的一切相关损失全部由乙方承担。</w:t>
            </w:r>
          </w:p>
        </w:tc>
      </w:tr>
      <w:tr w14:paraId="3405171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1220141E">
            <w:pPr>
              <w:shd w:val="clear"/>
              <w:spacing w:line="360" w:lineRule="auto"/>
              <w:rPr>
                <w:rFonts w:ascii="宋体" w:hAnsi="宋体" w:cs="宋体"/>
                <w:color w:val="auto"/>
                <w:sz w:val="24"/>
                <w:highlight w:val="none"/>
              </w:rPr>
            </w:pPr>
            <w:r>
              <w:rPr>
                <w:rFonts w:hint="eastAsia" w:ascii="宋体" w:hAnsi="宋体" w:cs="宋体"/>
                <w:color w:val="auto"/>
                <w:sz w:val="24"/>
                <w:highlight w:val="none"/>
              </w:rPr>
              <w:t>1.7.2</w:t>
            </w:r>
          </w:p>
        </w:tc>
        <w:tc>
          <w:tcPr>
            <w:tcW w:w="4464" w:type="pct"/>
            <w:vAlign w:val="center"/>
          </w:tcPr>
          <w:p w14:paraId="5585B0BD">
            <w:pPr>
              <w:shd w:val="clear"/>
              <w:spacing w:line="360" w:lineRule="auto"/>
              <w:rPr>
                <w:rFonts w:ascii="宋体" w:hAnsi="宋体" w:cs="宋体"/>
                <w:color w:val="auto"/>
                <w:sz w:val="24"/>
                <w:highlight w:val="none"/>
              </w:rPr>
            </w:pPr>
            <w:r>
              <w:rPr>
                <w:rFonts w:hint="eastAsia" w:ascii="宋体" w:hAnsi="宋体" w:cs="宋体"/>
                <w:color w:val="auto"/>
                <w:sz w:val="24"/>
                <w:szCs w:val="24"/>
                <w:highlight w:val="none"/>
                <w:lang w:val="en-US" w:eastAsia="zh-CN"/>
              </w:rPr>
              <w:t>海曙区行政中心、</w:t>
            </w:r>
            <w:r>
              <w:rPr>
                <w:rFonts w:hint="eastAsia" w:ascii="宋体" w:hAnsi="宋体" w:cs="宋体"/>
                <w:color w:val="auto"/>
                <w:sz w:val="24"/>
                <w:highlight w:val="none"/>
                <w:lang w:val="en-US" w:eastAsia="zh-CN"/>
              </w:rPr>
              <w:t>海曙区政务服务中心、雅戈尔大道办公区、灵桥路办公区、海光办公区</w:t>
            </w:r>
            <w:r>
              <w:rPr>
                <w:rFonts w:hint="eastAsia" w:ascii="宋体" w:hAnsi="宋体" w:cs="宋体"/>
                <w:color w:val="auto"/>
                <w:sz w:val="24"/>
                <w:szCs w:val="24"/>
                <w:highlight w:val="none"/>
                <w:lang w:val="en-US" w:eastAsia="zh-CN"/>
              </w:rPr>
              <w:t>、鼓楼街道办事处</w:t>
            </w:r>
          </w:p>
        </w:tc>
      </w:tr>
      <w:tr w14:paraId="2670F23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7CDDE84D">
            <w:pPr>
              <w:shd w:val="clear"/>
              <w:spacing w:line="360" w:lineRule="auto"/>
              <w:rPr>
                <w:rFonts w:ascii="宋体" w:hAnsi="宋体" w:cs="宋体"/>
                <w:color w:val="auto"/>
                <w:sz w:val="24"/>
                <w:highlight w:val="none"/>
              </w:rPr>
            </w:pPr>
            <w:r>
              <w:rPr>
                <w:rFonts w:hint="eastAsia" w:ascii="宋体" w:hAnsi="宋体" w:cs="宋体"/>
                <w:color w:val="auto"/>
                <w:sz w:val="24"/>
                <w:highlight w:val="none"/>
              </w:rPr>
              <w:t>1.7.3</w:t>
            </w:r>
          </w:p>
        </w:tc>
        <w:tc>
          <w:tcPr>
            <w:tcW w:w="4464" w:type="pct"/>
            <w:vAlign w:val="center"/>
          </w:tcPr>
          <w:p w14:paraId="40A8FA1B">
            <w:pPr>
              <w:shd w:val="clear"/>
              <w:spacing w:line="360" w:lineRule="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自合同签订之日起按</w:t>
            </w:r>
            <w:r>
              <w:rPr>
                <w:rFonts w:hint="eastAsia" w:ascii="宋体" w:hAnsi="宋体" w:cs="宋体"/>
                <w:color w:val="auto"/>
                <w:sz w:val="24"/>
                <w:highlight w:val="none"/>
                <w:lang w:val="en-US" w:eastAsia="zh-CN"/>
              </w:rPr>
              <w:t>甲方</w:t>
            </w:r>
            <w:r>
              <w:rPr>
                <w:rFonts w:hint="eastAsia" w:ascii="宋体" w:hAnsi="宋体" w:eastAsia="宋体" w:cs="宋体"/>
                <w:color w:val="auto"/>
                <w:sz w:val="24"/>
                <w:highlight w:val="none"/>
                <w:lang w:val="en-US" w:eastAsia="zh-CN"/>
              </w:rPr>
              <w:t>要求供货。</w:t>
            </w:r>
            <w:r>
              <w:rPr>
                <w:rFonts w:hint="eastAsia" w:ascii="宋体" w:hAnsi="宋体" w:cs="宋体"/>
                <w:color w:val="auto"/>
                <w:sz w:val="24"/>
                <w:highlight w:val="none"/>
                <w:lang w:val="en-US" w:eastAsia="zh-CN"/>
              </w:rPr>
              <w:t>甲方每天下午2时前（如遇节假日，顺延至下一个工作日）向乙方报送次日的订货清单。</w:t>
            </w:r>
          </w:p>
        </w:tc>
      </w:tr>
      <w:tr w14:paraId="774075F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6ECDFA22">
            <w:pPr>
              <w:shd w:val="clear"/>
              <w:spacing w:line="360" w:lineRule="auto"/>
              <w:rPr>
                <w:rFonts w:ascii="宋体" w:hAnsi="宋体" w:cs="宋体"/>
                <w:color w:val="auto"/>
                <w:sz w:val="24"/>
                <w:highlight w:val="none"/>
              </w:rPr>
            </w:pPr>
            <w:r>
              <w:rPr>
                <w:rFonts w:hint="eastAsia" w:ascii="宋体" w:hAnsi="宋体" w:cs="宋体"/>
                <w:color w:val="auto"/>
                <w:sz w:val="24"/>
                <w:highlight w:val="none"/>
              </w:rPr>
              <w:t>1.7.4.1</w:t>
            </w:r>
          </w:p>
        </w:tc>
        <w:tc>
          <w:tcPr>
            <w:tcW w:w="4464" w:type="pct"/>
            <w:vAlign w:val="center"/>
          </w:tcPr>
          <w:p w14:paraId="54CC151A">
            <w:pPr>
              <w:shd w:val="clear"/>
              <w:spacing w:line="360" w:lineRule="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w:t>
            </w:r>
          </w:p>
        </w:tc>
      </w:tr>
      <w:tr w14:paraId="35B2184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64" w:hRule="atLeast"/>
        </w:trPr>
        <w:tc>
          <w:tcPr>
            <w:tcW w:w="535" w:type="pct"/>
            <w:tcBorders>
              <w:left w:val="single" w:color="auto" w:sz="4" w:space="0"/>
            </w:tcBorders>
            <w:vAlign w:val="center"/>
          </w:tcPr>
          <w:p w14:paraId="7A3F91A4">
            <w:pPr>
              <w:shd w:val="clear"/>
              <w:spacing w:line="360" w:lineRule="auto"/>
              <w:rPr>
                <w:rFonts w:ascii="宋体" w:hAnsi="宋体" w:cs="宋体"/>
                <w:color w:val="auto"/>
                <w:sz w:val="24"/>
                <w:highlight w:val="none"/>
              </w:rPr>
            </w:pPr>
            <w:r>
              <w:rPr>
                <w:rFonts w:hint="eastAsia" w:ascii="宋体" w:hAnsi="宋体" w:cs="宋体"/>
                <w:color w:val="auto"/>
                <w:sz w:val="24"/>
                <w:highlight w:val="none"/>
              </w:rPr>
              <w:t>1.7.4.2</w:t>
            </w:r>
          </w:p>
        </w:tc>
        <w:tc>
          <w:tcPr>
            <w:tcW w:w="4464" w:type="pct"/>
            <w:vAlign w:val="center"/>
          </w:tcPr>
          <w:p w14:paraId="7704B85B">
            <w:pPr>
              <w:shd w:val="clear"/>
              <w:spacing w:line="360" w:lineRule="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w:t>
            </w:r>
          </w:p>
        </w:tc>
      </w:tr>
      <w:tr w14:paraId="1943569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32B4B7E5">
            <w:pPr>
              <w:shd w:val="clear"/>
              <w:spacing w:line="360" w:lineRule="auto"/>
              <w:rPr>
                <w:rFonts w:ascii="宋体" w:hAnsi="宋体" w:cs="宋体"/>
                <w:color w:val="auto"/>
                <w:sz w:val="24"/>
                <w:highlight w:val="none"/>
              </w:rPr>
            </w:pPr>
            <w:r>
              <w:rPr>
                <w:rFonts w:hint="eastAsia" w:ascii="宋体" w:hAnsi="宋体" w:cs="宋体"/>
                <w:color w:val="auto"/>
                <w:sz w:val="24"/>
                <w:highlight w:val="none"/>
              </w:rPr>
              <w:t>1.7.4.3</w:t>
            </w:r>
          </w:p>
        </w:tc>
        <w:tc>
          <w:tcPr>
            <w:tcW w:w="4464" w:type="pct"/>
            <w:vAlign w:val="center"/>
          </w:tcPr>
          <w:p w14:paraId="0634B93B">
            <w:pPr>
              <w:shd w:val="clear"/>
              <w:spacing w:line="360" w:lineRule="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w:t>
            </w:r>
          </w:p>
        </w:tc>
      </w:tr>
      <w:tr w14:paraId="6A161A5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90" w:hRule="atLeast"/>
        </w:trPr>
        <w:tc>
          <w:tcPr>
            <w:tcW w:w="535" w:type="pct"/>
            <w:tcBorders>
              <w:left w:val="single" w:color="auto" w:sz="4" w:space="0"/>
            </w:tcBorders>
            <w:vAlign w:val="center"/>
          </w:tcPr>
          <w:p w14:paraId="5AB3DDE9">
            <w:pPr>
              <w:shd w:val="clear"/>
              <w:spacing w:line="360" w:lineRule="auto"/>
              <w:rPr>
                <w:rFonts w:ascii="宋体" w:hAnsi="宋体" w:cs="宋体"/>
                <w:color w:val="auto"/>
                <w:sz w:val="24"/>
                <w:highlight w:val="none"/>
              </w:rPr>
            </w:pPr>
            <w:r>
              <w:rPr>
                <w:rFonts w:hint="eastAsia" w:ascii="宋体" w:hAnsi="宋体" w:cs="宋体"/>
                <w:color w:val="auto"/>
                <w:sz w:val="24"/>
                <w:highlight w:val="none"/>
              </w:rPr>
              <w:t>1.8.7</w:t>
            </w:r>
          </w:p>
        </w:tc>
        <w:tc>
          <w:tcPr>
            <w:tcW w:w="4464" w:type="pct"/>
            <w:vAlign w:val="center"/>
          </w:tcPr>
          <w:p w14:paraId="49F90361">
            <w:pPr>
              <w:pStyle w:val="25"/>
              <w:shd w:val="clear"/>
              <w:rPr>
                <w:rFonts w:hint="eastAsia" w:ascii="宋体" w:eastAsia="宋体"/>
                <w:color w:val="auto"/>
                <w:highlight w:val="none"/>
                <w:lang w:val="en-US" w:eastAsia="zh-CN"/>
              </w:rPr>
            </w:pPr>
            <w:r>
              <w:rPr>
                <w:rFonts w:hint="eastAsia" w:ascii="宋体" w:eastAsia="宋体"/>
                <w:color w:val="auto"/>
                <w:highlight w:val="none"/>
                <w:lang w:val="en-US" w:eastAsia="zh-CN"/>
              </w:rPr>
              <w:t>（1）甲方可就乙方提供货物的质量、价格、服务等问题向海曙区政务办、监察局、监管部门或法定检验机构投诉；海曙区政务办、监察局、监管部门或法定检验机构将对甲方的投诉进行核查，如情况属实，经有关部门批准后，第一次扣除50%的履约保证金，乙方须在五日内补足扣除款项；第二次扣除剩余的履约保证金，并取消乙方资格。</w:t>
            </w:r>
          </w:p>
          <w:p w14:paraId="4F208ED5">
            <w:pPr>
              <w:pStyle w:val="25"/>
              <w:shd w:val="clear"/>
              <w:rPr>
                <w:rFonts w:hint="eastAsia" w:ascii="宋体" w:eastAsia="宋体"/>
                <w:color w:val="auto"/>
                <w:highlight w:val="none"/>
                <w:lang w:val="en-US" w:eastAsia="zh-CN"/>
              </w:rPr>
            </w:pPr>
            <w:r>
              <w:rPr>
                <w:rFonts w:hint="eastAsia" w:ascii="宋体" w:eastAsia="宋体"/>
                <w:color w:val="auto"/>
                <w:highlight w:val="none"/>
                <w:lang w:val="en-US" w:eastAsia="zh-CN"/>
              </w:rPr>
              <w:t>（2）</w:t>
            </w:r>
            <w:r>
              <w:rPr>
                <w:rFonts w:hint="eastAsia"/>
                <w:color w:val="auto"/>
                <w:highlight w:val="none"/>
                <w:lang w:val="en-US" w:eastAsia="zh-CN"/>
              </w:rPr>
              <w:t>乙方</w:t>
            </w:r>
            <w:r>
              <w:rPr>
                <w:rFonts w:hint="eastAsia" w:ascii="宋体" w:eastAsia="宋体"/>
                <w:color w:val="auto"/>
                <w:highlight w:val="none"/>
                <w:lang w:val="en-US" w:eastAsia="zh-CN"/>
              </w:rPr>
              <w:t>可就</w:t>
            </w:r>
            <w:r>
              <w:rPr>
                <w:rFonts w:hint="eastAsia"/>
                <w:color w:val="auto"/>
                <w:highlight w:val="none"/>
                <w:lang w:val="en-US" w:eastAsia="zh-CN"/>
              </w:rPr>
              <w:t>甲</w:t>
            </w:r>
            <w:r>
              <w:rPr>
                <w:rFonts w:hint="eastAsia" w:ascii="宋体" w:eastAsia="宋体"/>
                <w:color w:val="auto"/>
                <w:highlight w:val="none"/>
                <w:lang w:val="en-US" w:eastAsia="zh-CN"/>
              </w:rPr>
              <w:t>方的违反合同规定或违纪事项，向相关部门对</w:t>
            </w:r>
            <w:r>
              <w:rPr>
                <w:rFonts w:hint="eastAsia"/>
                <w:color w:val="auto"/>
                <w:highlight w:val="none"/>
                <w:lang w:val="en-US" w:eastAsia="zh-CN"/>
              </w:rPr>
              <w:t>乙方</w:t>
            </w:r>
            <w:r>
              <w:rPr>
                <w:rFonts w:hint="eastAsia" w:ascii="宋体" w:eastAsia="宋体"/>
                <w:color w:val="auto"/>
                <w:highlight w:val="none"/>
                <w:lang w:val="en-US" w:eastAsia="zh-CN"/>
              </w:rPr>
              <w:t>的投诉进行调查处理。</w:t>
            </w:r>
          </w:p>
          <w:p w14:paraId="10515933">
            <w:pPr>
              <w:keepNext w:val="0"/>
              <w:keepLines w:val="0"/>
              <w:pageBreakBefore w:val="0"/>
              <w:widowControl/>
              <w:shd w:val="clear"/>
              <w:tabs>
                <w:tab w:val="left" w:pos="851"/>
              </w:tabs>
              <w:kinsoku/>
              <w:wordWrap/>
              <w:overflowPunct/>
              <w:topLinePunct w:val="0"/>
              <w:autoSpaceDE/>
              <w:autoSpaceDN/>
              <w:bidi w:val="0"/>
              <w:adjustRightInd/>
              <w:snapToGrid/>
              <w:spacing w:line="360" w:lineRule="auto"/>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Cs/>
                <w:snapToGrid/>
                <w:color w:val="auto"/>
                <w:kern w:val="2"/>
                <w:sz w:val="24"/>
                <w:szCs w:val="24"/>
                <w:highlight w:val="none"/>
                <w:lang w:val="en-US" w:eastAsia="zh-CN" w:bidi="ar-SA"/>
              </w:rPr>
              <w:t>（3）如乙方</w:t>
            </w:r>
            <w:r>
              <w:rPr>
                <w:rFonts w:hint="eastAsia" w:ascii="宋体" w:hAnsi="宋体" w:eastAsia="宋体" w:cs="宋体"/>
                <w:bCs/>
                <w:color w:val="auto"/>
                <w:sz w:val="24"/>
                <w:szCs w:val="24"/>
                <w:highlight w:val="none"/>
                <w:lang w:val="en-US" w:eastAsia="zh-CN"/>
              </w:rPr>
              <w:t>首次出现以下情况之一的，甲方有权扣除50%的履约保证金，乙方须在五日内补足扣除款项：</w:t>
            </w:r>
          </w:p>
          <w:p w14:paraId="15296A04">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val="en-US" w:eastAsia="zh-CN"/>
              </w:rPr>
              <w:t>①</w:t>
            </w:r>
            <w:r>
              <w:rPr>
                <w:rFonts w:hint="eastAsia" w:ascii="宋体" w:hAnsi="宋体" w:cs="宋体"/>
                <w:bCs/>
                <w:color w:val="auto"/>
                <w:sz w:val="24"/>
                <w:szCs w:val="24"/>
                <w:highlight w:val="none"/>
                <w:lang w:val="en-US" w:eastAsia="zh-CN"/>
              </w:rPr>
              <w:t>出现较轻食品质量，但不影响采购单位正常运行的</w:t>
            </w:r>
            <w:r>
              <w:rPr>
                <w:rFonts w:hint="eastAsia" w:ascii="宋体" w:hAnsi="宋体" w:eastAsia="宋体" w:cs="宋体"/>
                <w:bCs/>
                <w:color w:val="auto"/>
                <w:sz w:val="24"/>
                <w:szCs w:val="24"/>
                <w:highlight w:val="none"/>
              </w:rPr>
              <w:t xml:space="preserve">； </w:t>
            </w:r>
          </w:p>
          <w:p w14:paraId="4B224233">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cs="宋体"/>
                <w:bCs/>
                <w:color w:val="auto"/>
                <w:sz w:val="24"/>
                <w:szCs w:val="24"/>
                <w:highlight w:val="none"/>
                <w:lang w:val="en-US" w:eastAsia="zh-CN"/>
              </w:rPr>
            </w:pPr>
            <w:r>
              <w:rPr>
                <w:rFonts w:hint="eastAsia" w:ascii="宋体" w:hAnsi="宋体" w:cs="宋体"/>
                <w:bCs/>
                <w:color w:val="auto"/>
                <w:sz w:val="24"/>
                <w:szCs w:val="24"/>
                <w:highlight w:val="none"/>
                <w:lang w:val="en-US" w:eastAsia="zh-CN"/>
              </w:rPr>
              <w:t>②不遵守定价规则的；</w:t>
            </w:r>
          </w:p>
          <w:p w14:paraId="612D35C4">
            <w:pPr>
              <w:keepNext w:val="0"/>
              <w:keepLines w:val="0"/>
              <w:pageBreakBefore w:val="0"/>
              <w:widowControl/>
              <w:shd w:val="clear"/>
              <w:tabs>
                <w:tab w:val="left" w:pos="851"/>
              </w:tabs>
              <w:kinsoku/>
              <w:wordWrap/>
              <w:overflowPunct/>
              <w:topLinePunct w:val="0"/>
              <w:autoSpaceDE/>
              <w:autoSpaceDN/>
              <w:bidi w:val="0"/>
              <w:adjustRightInd/>
              <w:snapToGrid/>
              <w:spacing w:line="360" w:lineRule="auto"/>
              <w:ind w:firstLine="480" w:firstLineChars="200"/>
              <w:textAlignment w:val="auto"/>
              <w:rPr>
                <w:rFonts w:hint="eastAsia" w:ascii="宋体" w:hAnsi="宋体" w:cs="宋体"/>
                <w:bCs/>
                <w:color w:val="auto"/>
                <w:sz w:val="24"/>
                <w:szCs w:val="24"/>
                <w:highlight w:val="none"/>
                <w:lang w:val="en-US" w:eastAsia="zh-CN"/>
              </w:rPr>
            </w:pPr>
            <w:r>
              <w:rPr>
                <w:rFonts w:hint="eastAsia" w:ascii="宋体" w:hAnsi="宋体" w:cs="宋体"/>
                <w:bCs/>
                <w:color w:val="auto"/>
                <w:sz w:val="24"/>
                <w:szCs w:val="24"/>
                <w:highlight w:val="none"/>
                <w:lang w:val="en-US" w:eastAsia="zh-CN"/>
              </w:rPr>
              <w:t>③未按采购单位要求及时配送到位，并影响到采购单位正常运行的。</w:t>
            </w:r>
          </w:p>
          <w:p w14:paraId="10B17CF1">
            <w:pPr>
              <w:keepNext w:val="0"/>
              <w:keepLines w:val="0"/>
              <w:pageBreakBefore w:val="0"/>
              <w:widowControl/>
              <w:shd w:val="clear"/>
              <w:tabs>
                <w:tab w:val="left" w:pos="851"/>
              </w:tabs>
              <w:kinsoku/>
              <w:wordWrap/>
              <w:overflowPunct/>
              <w:topLinePunct w:val="0"/>
              <w:autoSpaceDE/>
              <w:autoSpaceDN/>
              <w:bidi w:val="0"/>
              <w:adjustRightInd/>
              <w:snapToGrid/>
              <w:spacing w:line="360" w:lineRule="auto"/>
              <w:textAlignment w:val="auto"/>
              <w:rPr>
                <w:rFonts w:hint="eastAsia"/>
                <w:color w:val="auto"/>
                <w:highlight w:val="none"/>
                <w:lang w:eastAsia="zh-CN"/>
              </w:rPr>
            </w:pPr>
            <w:r>
              <w:rPr>
                <w:rFonts w:hint="eastAsia" w:ascii="宋体" w:hAnsi="宋体" w:eastAsia="宋体" w:cs="宋体"/>
                <w:bCs/>
                <w:snapToGrid/>
                <w:color w:val="auto"/>
                <w:kern w:val="2"/>
                <w:sz w:val="24"/>
                <w:szCs w:val="24"/>
                <w:highlight w:val="none"/>
                <w:lang w:val="en-US" w:eastAsia="zh-CN" w:bidi="ar-SA"/>
              </w:rPr>
              <w:t>（4）如甲方报送的订货清单中需要配送的原材料有乙方不能配送的，需于接到订货清单后1小时内回复甲方。如甲方发现该原材料在宁波大市范围内中大型超市或市场内出售的，甲方有权要求乙方去购买并进行配送，并对乙方扣500元/次。乙方拒不配送的，或出现3次以上上述情况的，甲方有权取消定点采购合同。</w:t>
            </w:r>
          </w:p>
        </w:tc>
      </w:tr>
      <w:tr w14:paraId="5F995CB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626511E3">
            <w:pPr>
              <w:shd w:val="clear"/>
              <w:spacing w:line="360" w:lineRule="auto"/>
              <w:rPr>
                <w:rFonts w:ascii="宋体" w:hAnsi="宋体" w:cs="宋体"/>
                <w:color w:val="auto"/>
                <w:sz w:val="24"/>
                <w:highlight w:val="none"/>
              </w:rPr>
            </w:pPr>
            <w:r>
              <w:rPr>
                <w:rFonts w:hint="eastAsia" w:ascii="宋体" w:hAnsi="宋体" w:cs="宋体"/>
                <w:color w:val="auto"/>
                <w:sz w:val="24"/>
                <w:highlight w:val="none"/>
              </w:rPr>
              <w:t>1.9.1</w:t>
            </w:r>
          </w:p>
        </w:tc>
        <w:tc>
          <w:tcPr>
            <w:tcW w:w="4464" w:type="pct"/>
            <w:vAlign w:val="center"/>
          </w:tcPr>
          <w:p w14:paraId="5D43426C">
            <w:pPr>
              <w:shd w:val="clear"/>
              <w:spacing w:line="360" w:lineRule="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w:t>
            </w:r>
          </w:p>
        </w:tc>
      </w:tr>
      <w:tr w14:paraId="38BA5F2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776092FD">
            <w:pPr>
              <w:shd w:val="clear"/>
              <w:spacing w:line="360" w:lineRule="auto"/>
              <w:rPr>
                <w:rFonts w:ascii="宋体" w:hAnsi="宋体" w:cs="宋体"/>
                <w:color w:val="auto"/>
                <w:sz w:val="24"/>
                <w:highlight w:val="none"/>
              </w:rPr>
            </w:pPr>
            <w:r>
              <w:rPr>
                <w:rFonts w:hint="eastAsia" w:ascii="宋体" w:hAnsi="宋体" w:cs="宋体"/>
                <w:color w:val="auto"/>
                <w:sz w:val="24"/>
                <w:highlight w:val="none"/>
              </w:rPr>
              <w:t>1.9.2</w:t>
            </w:r>
          </w:p>
        </w:tc>
        <w:tc>
          <w:tcPr>
            <w:tcW w:w="4464" w:type="pct"/>
            <w:vAlign w:val="center"/>
          </w:tcPr>
          <w:p w14:paraId="7271231F">
            <w:pPr>
              <w:shd w:val="clear"/>
              <w:spacing w:line="360" w:lineRule="auto"/>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宁波市海曙区</w:t>
            </w:r>
          </w:p>
        </w:tc>
      </w:tr>
      <w:tr w14:paraId="26CA26A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12B06DFD">
            <w:pPr>
              <w:shd w:val="clear"/>
              <w:spacing w:line="360" w:lineRule="auto"/>
              <w:rPr>
                <w:rFonts w:ascii="宋体" w:hAnsi="宋体" w:cs="宋体"/>
                <w:color w:val="auto"/>
                <w:sz w:val="24"/>
                <w:highlight w:val="none"/>
              </w:rPr>
            </w:pPr>
            <w:r>
              <w:rPr>
                <w:rFonts w:hint="eastAsia" w:ascii="宋体" w:hAnsi="宋体" w:cs="宋体"/>
                <w:color w:val="auto"/>
                <w:sz w:val="24"/>
                <w:highlight w:val="none"/>
              </w:rPr>
              <w:t>2.3.2</w:t>
            </w:r>
          </w:p>
        </w:tc>
        <w:tc>
          <w:tcPr>
            <w:tcW w:w="4464" w:type="pct"/>
            <w:vAlign w:val="center"/>
          </w:tcPr>
          <w:p w14:paraId="5408EADE">
            <w:pPr>
              <w:shd w:val="clear"/>
              <w:spacing w:line="360" w:lineRule="auto"/>
              <w:ind w:left="-420" w:leftChars="-200" w:right="-420" w:rightChars="-200" w:firstLine="480" w:firstLineChars="200"/>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w:t>
            </w:r>
          </w:p>
        </w:tc>
      </w:tr>
      <w:tr w14:paraId="084C04F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2E85DDB1">
            <w:pPr>
              <w:shd w:val="clear"/>
              <w:spacing w:line="360" w:lineRule="auto"/>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5</w:t>
            </w:r>
          </w:p>
        </w:tc>
        <w:tc>
          <w:tcPr>
            <w:tcW w:w="4464" w:type="pct"/>
            <w:vAlign w:val="center"/>
          </w:tcPr>
          <w:p w14:paraId="282D0A07">
            <w:pPr>
              <w:shd w:val="clear"/>
              <w:spacing w:line="360" w:lineRule="auto"/>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（1）货款结算方式：乙方每月同甲方食堂结算货款一次，结算时乙方须如实开具增值税发票并提供汇总供货清单交食堂管理员，甲方审核后付款。</w:t>
            </w:r>
          </w:p>
          <w:p w14:paraId="7BD8129F">
            <w:pPr>
              <w:shd w:val="clear"/>
              <w:spacing w:line="360" w:lineRule="auto"/>
              <w:rPr>
                <w:rFonts w:ascii="宋体" w:hAnsi="宋体" w:cs="宋体"/>
                <w:color w:val="auto"/>
                <w:sz w:val="24"/>
                <w:highlight w:val="none"/>
              </w:rPr>
            </w:pPr>
            <w:r>
              <w:rPr>
                <w:rFonts w:hint="eastAsia" w:ascii="宋体" w:hAnsi="宋体" w:cs="宋体"/>
                <w:color w:val="auto"/>
                <w:sz w:val="24"/>
                <w:highlight w:val="none"/>
                <w:lang w:val="en-US" w:eastAsia="zh-CN"/>
              </w:rPr>
              <w:t>（2）货款结算总金额=各类食品的【（基准价×数量）×合同折扣系数】的总和。</w:t>
            </w:r>
          </w:p>
        </w:tc>
      </w:tr>
      <w:tr w14:paraId="65DBFC4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5CDF6517">
            <w:pPr>
              <w:shd w:val="clear"/>
              <w:spacing w:line="360" w:lineRule="auto"/>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11</w:t>
            </w:r>
            <w:r>
              <w:rPr>
                <w:rFonts w:hint="eastAsia" w:ascii="宋体" w:hAnsi="宋体" w:cs="宋体"/>
                <w:color w:val="auto"/>
                <w:sz w:val="24"/>
                <w:highlight w:val="none"/>
              </w:rPr>
              <w:t>.</w:t>
            </w:r>
            <w:r>
              <w:rPr>
                <w:rFonts w:ascii="宋体" w:hAnsi="宋体" w:cs="宋体"/>
                <w:color w:val="auto"/>
                <w:sz w:val="24"/>
                <w:highlight w:val="none"/>
              </w:rPr>
              <w:t>3</w:t>
            </w:r>
          </w:p>
        </w:tc>
        <w:tc>
          <w:tcPr>
            <w:tcW w:w="4464" w:type="pct"/>
            <w:vAlign w:val="center"/>
          </w:tcPr>
          <w:p w14:paraId="0CD7DA03">
            <w:pPr>
              <w:shd w:val="clear"/>
              <w:spacing w:line="360" w:lineRule="auto"/>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10个工作日</w:t>
            </w:r>
          </w:p>
        </w:tc>
      </w:tr>
      <w:tr w14:paraId="32C0AFB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tcPr>
          <w:p w14:paraId="73BDB778">
            <w:pPr>
              <w:shd w:val="clear"/>
              <w:spacing w:line="360" w:lineRule="auto"/>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11.4</w:t>
            </w:r>
            <w:r>
              <w:rPr>
                <w:rFonts w:hint="eastAsia" w:ascii="宋体" w:hAnsi="宋体" w:cs="宋体"/>
                <w:color w:val="auto"/>
                <w:sz w:val="24"/>
                <w:highlight w:val="none"/>
              </w:rPr>
              <w:t xml:space="preserve"> </w:t>
            </w:r>
          </w:p>
        </w:tc>
        <w:tc>
          <w:tcPr>
            <w:tcW w:w="4464" w:type="pct"/>
          </w:tcPr>
          <w:p w14:paraId="33BBF178">
            <w:pPr>
              <w:shd w:val="clear"/>
              <w:spacing w:line="360" w:lineRule="auto"/>
              <w:rPr>
                <w:rFonts w:ascii="宋体" w:hAnsi="宋体" w:cs="宋体"/>
                <w:color w:val="auto"/>
                <w:sz w:val="24"/>
                <w:highlight w:val="none"/>
              </w:rPr>
            </w:pPr>
            <w:r>
              <w:rPr>
                <w:rFonts w:hint="eastAsia" w:ascii="宋体" w:hAnsi="宋体" w:cs="宋体"/>
                <w:color w:val="auto"/>
                <w:sz w:val="24"/>
                <w:highlight w:val="none"/>
                <w:lang w:val="en-US" w:eastAsia="zh-CN"/>
              </w:rPr>
              <w:t>10个工作日</w:t>
            </w:r>
          </w:p>
        </w:tc>
      </w:tr>
      <w:tr w14:paraId="32E6DC0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29A6C0A8">
            <w:pPr>
              <w:shd w:val="clear"/>
              <w:spacing w:line="360" w:lineRule="auto"/>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15</w:t>
            </w:r>
            <w:r>
              <w:rPr>
                <w:rFonts w:hint="eastAsia" w:ascii="宋体" w:hAnsi="宋体" w:cs="宋体"/>
                <w:color w:val="auto"/>
                <w:sz w:val="24"/>
                <w:highlight w:val="none"/>
              </w:rPr>
              <w:t>.</w:t>
            </w:r>
            <w:r>
              <w:rPr>
                <w:rFonts w:ascii="宋体" w:hAnsi="宋体" w:cs="宋体"/>
                <w:color w:val="auto"/>
                <w:sz w:val="24"/>
                <w:highlight w:val="none"/>
              </w:rPr>
              <w:t>1</w:t>
            </w:r>
          </w:p>
        </w:tc>
        <w:tc>
          <w:tcPr>
            <w:tcW w:w="4464" w:type="pct"/>
            <w:vAlign w:val="center"/>
          </w:tcPr>
          <w:p w14:paraId="5F899C6F">
            <w:pPr>
              <w:shd w:val="clear"/>
              <w:spacing w:line="360" w:lineRule="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w:t>
            </w:r>
          </w:p>
        </w:tc>
      </w:tr>
      <w:tr w14:paraId="3D1CA2F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5B465354">
            <w:pPr>
              <w:shd w:val="clear"/>
              <w:spacing w:line="360" w:lineRule="auto"/>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15</w:t>
            </w:r>
            <w:r>
              <w:rPr>
                <w:rFonts w:hint="eastAsia" w:ascii="宋体" w:hAnsi="宋体" w:cs="宋体"/>
                <w:color w:val="auto"/>
                <w:sz w:val="24"/>
                <w:highlight w:val="none"/>
              </w:rPr>
              <w:t>.</w:t>
            </w:r>
            <w:r>
              <w:rPr>
                <w:rFonts w:ascii="宋体" w:hAnsi="宋体" w:cs="宋体"/>
                <w:color w:val="auto"/>
                <w:sz w:val="24"/>
                <w:highlight w:val="none"/>
              </w:rPr>
              <w:t>3</w:t>
            </w:r>
          </w:p>
        </w:tc>
        <w:tc>
          <w:tcPr>
            <w:tcW w:w="4464" w:type="pct"/>
            <w:vAlign w:val="center"/>
          </w:tcPr>
          <w:p w14:paraId="44B465D7">
            <w:pPr>
              <w:shd w:val="clear"/>
              <w:spacing w:line="360" w:lineRule="auto"/>
              <w:rPr>
                <w:rFonts w:hint="eastAsia" w:ascii="宋体" w:hAnsi="宋体" w:cs="宋体"/>
                <w:color w:val="auto"/>
                <w:sz w:val="24"/>
                <w:highlight w:val="none"/>
              </w:rPr>
            </w:pPr>
            <w:r>
              <w:rPr>
                <w:rFonts w:hint="eastAsia" w:ascii="宋体" w:hAnsi="宋体" w:cs="宋体"/>
                <w:color w:val="auto"/>
                <w:sz w:val="24"/>
                <w:highlight w:val="none"/>
                <w:lang w:val="en-US" w:eastAsia="zh-CN"/>
              </w:rPr>
              <w:t>（1）</w:t>
            </w:r>
            <w:r>
              <w:rPr>
                <w:rFonts w:hint="eastAsia" w:ascii="宋体" w:hAnsi="宋体" w:cs="宋体"/>
                <w:color w:val="auto"/>
                <w:sz w:val="24"/>
                <w:highlight w:val="none"/>
              </w:rPr>
              <w:t>验收标准：按照国家及行业相关标准及招标文件规定验收，如验收达不到规定要求，造成一定的影响，</w:t>
            </w:r>
            <w:r>
              <w:rPr>
                <w:rFonts w:hint="eastAsia" w:ascii="宋体" w:hAnsi="宋体" w:cs="宋体"/>
                <w:color w:val="auto"/>
                <w:sz w:val="24"/>
                <w:highlight w:val="none"/>
                <w:lang w:val="en-US" w:eastAsia="zh-CN"/>
              </w:rPr>
              <w:t>乙方</w:t>
            </w:r>
            <w:r>
              <w:rPr>
                <w:rFonts w:hint="eastAsia" w:ascii="宋体" w:hAnsi="宋体" w:cs="宋体"/>
                <w:color w:val="auto"/>
                <w:sz w:val="24"/>
                <w:highlight w:val="none"/>
              </w:rPr>
              <w:t>承担一切责任，并赔偿所造成的损失。</w:t>
            </w:r>
          </w:p>
          <w:p w14:paraId="4CF679A8">
            <w:pPr>
              <w:shd w:val="clear"/>
              <w:spacing w:line="360" w:lineRule="auto"/>
              <w:rPr>
                <w:rFonts w:ascii="宋体" w:hAnsi="宋体" w:cs="宋体"/>
                <w:color w:val="auto"/>
                <w:sz w:val="24"/>
                <w:highlight w:val="none"/>
              </w:rPr>
            </w:pP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2</w:t>
            </w:r>
            <w:r>
              <w:rPr>
                <w:rFonts w:hint="eastAsia" w:ascii="宋体" w:hAnsi="宋体" w:cs="宋体"/>
                <w:color w:val="auto"/>
                <w:sz w:val="24"/>
                <w:highlight w:val="none"/>
                <w:lang w:eastAsia="zh-CN"/>
              </w:rPr>
              <w:t>）</w:t>
            </w:r>
            <w:r>
              <w:rPr>
                <w:rFonts w:hint="eastAsia" w:ascii="宋体" w:hAnsi="宋体" w:cs="宋体"/>
                <w:color w:val="auto"/>
                <w:sz w:val="24"/>
                <w:highlight w:val="none"/>
              </w:rPr>
              <w:t>验收解决：</w:t>
            </w:r>
            <w:r>
              <w:rPr>
                <w:rFonts w:hint="eastAsia" w:ascii="宋体" w:hAnsi="宋体" w:cs="宋体"/>
                <w:color w:val="auto"/>
                <w:sz w:val="24"/>
                <w:highlight w:val="none"/>
                <w:lang w:val="en-US" w:eastAsia="zh-CN"/>
              </w:rPr>
              <w:t>甲方</w:t>
            </w:r>
            <w:r>
              <w:rPr>
                <w:rFonts w:hint="eastAsia" w:ascii="宋体" w:hAnsi="宋体" w:cs="宋体"/>
                <w:color w:val="auto"/>
                <w:sz w:val="24"/>
                <w:highlight w:val="none"/>
              </w:rPr>
              <w:t>对服务质量提出异议要求检验或检测的，结果为合格的，费用由</w:t>
            </w:r>
            <w:r>
              <w:rPr>
                <w:rFonts w:hint="eastAsia" w:ascii="宋体" w:hAnsi="宋体" w:cs="宋体"/>
                <w:color w:val="auto"/>
                <w:sz w:val="24"/>
                <w:highlight w:val="none"/>
                <w:lang w:val="en-US" w:eastAsia="zh-CN"/>
              </w:rPr>
              <w:t>甲方</w:t>
            </w:r>
            <w:r>
              <w:rPr>
                <w:rFonts w:hint="eastAsia" w:ascii="宋体" w:hAnsi="宋体" w:cs="宋体"/>
                <w:color w:val="auto"/>
                <w:sz w:val="24"/>
                <w:highlight w:val="none"/>
              </w:rPr>
              <w:t>承担，结果为不合格或达不到本条标准的，其费用由</w:t>
            </w:r>
            <w:r>
              <w:rPr>
                <w:rFonts w:hint="eastAsia" w:ascii="宋体" w:hAnsi="宋体" w:cs="宋体"/>
                <w:color w:val="auto"/>
                <w:sz w:val="24"/>
                <w:highlight w:val="none"/>
                <w:lang w:val="en-US" w:eastAsia="zh-CN"/>
              </w:rPr>
              <w:t>乙方</w:t>
            </w:r>
            <w:r>
              <w:rPr>
                <w:rFonts w:hint="eastAsia" w:ascii="宋体" w:hAnsi="宋体" w:cs="宋体"/>
                <w:color w:val="auto"/>
                <w:sz w:val="24"/>
                <w:highlight w:val="none"/>
              </w:rPr>
              <w:t>承担。</w:t>
            </w:r>
          </w:p>
        </w:tc>
      </w:tr>
      <w:tr w14:paraId="38E640B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535" w:type="pct"/>
            <w:tcBorders>
              <w:left w:val="single" w:color="auto" w:sz="4" w:space="0"/>
            </w:tcBorders>
          </w:tcPr>
          <w:p w14:paraId="3A4B45CE">
            <w:pPr>
              <w:shd w:val="clear"/>
              <w:spacing w:line="360" w:lineRule="auto"/>
              <w:rPr>
                <w:rFonts w:ascii="宋体" w:hAnsi="宋体" w:cs="宋体"/>
                <w:color w:val="auto"/>
                <w:sz w:val="24"/>
                <w:highlight w:val="none"/>
              </w:rPr>
            </w:pPr>
            <w:r>
              <w:rPr>
                <w:rFonts w:hint="eastAsia" w:ascii="宋体" w:hAnsi="宋体" w:cs="宋体"/>
                <w:color w:val="auto"/>
                <w:sz w:val="24"/>
                <w:highlight w:val="none"/>
              </w:rPr>
              <w:t>2.19</w:t>
            </w:r>
          </w:p>
        </w:tc>
        <w:tc>
          <w:tcPr>
            <w:tcW w:w="4464" w:type="pct"/>
          </w:tcPr>
          <w:p w14:paraId="25B1585C">
            <w:pPr>
              <w:shd w:val="clear"/>
              <w:spacing w:line="360" w:lineRule="auto"/>
              <w:rPr>
                <w:rFonts w:hint="eastAsia" w:ascii="宋体" w:hAnsi="宋体" w:eastAsia="宋体" w:cs="宋体"/>
                <w:color w:val="auto"/>
                <w:sz w:val="24"/>
                <w:highlight w:val="none"/>
                <w:lang w:eastAsia="zh-CN"/>
              </w:rPr>
            </w:pPr>
            <w:r>
              <w:rPr>
                <w:rFonts w:ascii="宋体" w:hAnsi="宋体" w:cs="宋体"/>
                <w:color w:val="auto"/>
                <w:sz w:val="24"/>
                <w:highlight w:val="none"/>
              </w:rPr>
              <w:t>一式</w:t>
            </w:r>
            <w:r>
              <w:rPr>
                <w:rFonts w:hint="eastAsia" w:ascii="宋体" w:hAnsi="宋体" w:cs="宋体"/>
                <w:color w:val="auto"/>
                <w:sz w:val="24"/>
                <w:highlight w:val="none"/>
                <w:u w:val="single"/>
                <w:lang w:val="en-US" w:eastAsia="zh-CN"/>
              </w:rPr>
              <w:t xml:space="preserve">  </w:t>
            </w:r>
            <w:r>
              <w:rPr>
                <w:rFonts w:ascii="宋体" w:hAnsi="宋体" w:cs="宋体"/>
                <w:color w:val="auto"/>
                <w:sz w:val="24"/>
                <w:highlight w:val="none"/>
              </w:rPr>
              <w:t>份</w:t>
            </w:r>
            <w:r>
              <w:rPr>
                <w:rFonts w:hint="eastAsia" w:ascii="宋体" w:hAnsi="宋体" w:cs="宋体"/>
                <w:color w:val="auto"/>
                <w:sz w:val="24"/>
                <w:highlight w:val="none"/>
                <w:lang w:eastAsia="zh-CN"/>
              </w:rPr>
              <w:t>，</w:t>
            </w:r>
            <w:r>
              <w:rPr>
                <w:rFonts w:ascii="宋体" w:hAnsi="宋体" w:cs="宋体"/>
                <w:color w:val="auto"/>
                <w:sz w:val="24"/>
                <w:highlight w:val="none"/>
              </w:rPr>
              <w:t>双方各</w:t>
            </w:r>
            <w:r>
              <w:rPr>
                <w:rFonts w:hint="eastAsia" w:ascii="宋体" w:hAnsi="宋体" w:cs="宋体"/>
                <w:color w:val="auto"/>
                <w:sz w:val="24"/>
                <w:highlight w:val="none"/>
              </w:rPr>
              <w:t>执</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份</w:t>
            </w:r>
            <w:r>
              <w:rPr>
                <w:rFonts w:hint="eastAsia" w:ascii="宋体" w:hAnsi="宋体" w:cs="宋体"/>
                <w:color w:val="auto"/>
                <w:sz w:val="24"/>
                <w:highlight w:val="none"/>
                <w:lang w:eastAsia="zh-CN"/>
              </w:rPr>
              <w:t>。</w:t>
            </w:r>
          </w:p>
        </w:tc>
      </w:tr>
    </w:tbl>
    <w:p w14:paraId="091D4E06">
      <w:pPr>
        <w:shd w:val="clear"/>
        <w:spacing w:line="360" w:lineRule="auto"/>
        <w:ind w:left="-420" w:leftChars="-200" w:right="-420" w:rightChars="-200" w:firstLine="480" w:firstLineChars="200"/>
        <w:rPr>
          <w:rFonts w:ascii="宋体" w:hAnsi="宋体" w:cs="宋体"/>
          <w:color w:val="auto"/>
          <w:sz w:val="24"/>
          <w:highlight w:val="none"/>
        </w:rPr>
      </w:pPr>
    </w:p>
    <w:p w14:paraId="7276D3D5">
      <w:pPr>
        <w:shd w:val="clear"/>
        <w:spacing w:line="360" w:lineRule="auto"/>
        <w:ind w:left="-420" w:leftChars="-200" w:right="-420" w:rightChars="-200" w:firstLine="480" w:firstLineChars="200"/>
        <w:jc w:val="center"/>
        <w:outlineLvl w:val="0"/>
        <w:rPr>
          <w:rFonts w:ascii="宋体" w:hAnsi="宋体" w:cs="宋体"/>
          <w:color w:val="auto"/>
          <w:sz w:val="24"/>
          <w:highlight w:val="none"/>
        </w:rPr>
      </w:pPr>
    </w:p>
    <w:p w14:paraId="101A8A4C">
      <w:pPr>
        <w:widowControl/>
        <w:shd w:val="clear"/>
        <w:adjustRightInd/>
        <w:jc w:val="center"/>
        <w:rPr>
          <w:rFonts w:hint="eastAsia" w:ascii="宋体" w:hAnsi="宋体" w:cs="宋体"/>
          <w:b/>
          <w:color w:val="auto"/>
          <w:sz w:val="36"/>
          <w:szCs w:val="20"/>
          <w:highlight w:val="none"/>
        </w:rPr>
        <w:sectPr>
          <w:headerReference r:id="rId9" w:type="first"/>
          <w:footerReference r:id="rId11" w:type="first"/>
          <w:headerReference r:id="rId8" w:type="default"/>
          <w:footerReference r:id="rId10" w:type="default"/>
          <w:pgSz w:w="11906" w:h="16838"/>
          <w:pgMar w:top="1276" w:right="1418" w:bottom="1247" w:left="1418" w:header="851" w:footer="992" w:gutter="0"/>
          <w:cols w:space="720" w:num="1"/>
          <w:titlePg/>
          <w:docGrid w:linePitch="312" w:charSpace="0"/>
        </w:sectPr>
      </w:pPr>
    </w:p>
    <w:p w14:paraId="0D0C53F7">
      <w:pPr>
        <w:widowControl/>
        <w:shd w:val="clear"/>
        <w:adjustRightInd/>
        <w:jc w:val="center"/>
        <w:rPr>
          <w:rFonts w:ascii="宋体" w:hAnsi="宋体" w:cs="宋体"/>
          <w:b/>
          <w:color w:val="auto"/>
          <w:sz w:val="36"/>
          <w:szCs w:val="20"/>
          <w:highlight w:val="none"/>
        </w:rPr>
      </w:pPr>
      <w:r>
        <w:rPr>
          <w:rFonts w:hint="eastAsia" w:ascii="宋体" w:hAnsi="宋体" w:cs="宋体"/>
          <w:b/>
          <w:color w:val="auto"/>
          <w:sz w:val="36"/>
          <w:szCs w:val="20"/>
          <w:highlight w:val="none"/>
        </w:rPr>
        <w:t>第六部分</w:t>
      </w:r>
      <w:bookmarkEnd w:id="394"/>
      <w:r>
        <w:rPr>
          <w:rFonts w:hint="eastAsia" w:ascii="宋体" w:hAnsi="宋体" w:cs="宋体"/>
          <w:b/>
          <w:color w:val="auto"/>
          <w:sz w:val="36"/>
          <w:szCs w:val="20"/>
          <w:highlight w:val="none"/>
        </w:rPr>
        <w:t xml:space="preserve"> </w:t>
      </w:r>
      <w:bookmarkEnd w:id="395"/>
      <w:r>
        <w:rPr>
          <w:rFonts w:hint="eastAsia" w:ascii="宋体" w:hAnsi="宋体" w:cs="宋体"/>
          <w:b/>
          <w:color w:val="auto"/>
          <w:sz w:val="36"/>
          <w:szCs w:val="20"/>
          <w:highlight w:val="none"/>
        </w:rPr>
        <w:t>应提交的有关格式范例</w:t>
      </w:r>
    </w:p>
    <w:p w14:paraId="53663752">
      <w:pPr>
        <w:shd w:val="clear"/>
        <w:spacing w:line="360" w:lineRule="auto"/>
        <w:jc w:val="center"/>
        <w:outlineLvl w:val="0"/>
        <w:rPr>
          <w:rFonts w:ascii="宋体" w:hAnsi="宋体" w:cs="宋体"/>
          <w:b/>
          <w:color w:val="auto"/>
          <w:kern w:val="0"/>
          <w:sz w:val="36"/>
          <w:szCs w:val="36"/>
          <w:highlight w:val="none"/>
        </w:rPr>
      </w:pPr>
    </w:p>
    <w:p w14:paraId="1600314D">
      <w:pPr>
        <w:shd w:val="clea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资格文件部分</w:t>
      </w:r>
    </w:p>
    <w:p w14:paraId="1D960C5A">
      <w:pPr>
        <w:shd w:val="clea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14:paraId="65CD9D4C">
      <w:pPr>
        <w:shd w:val="clear"/>
        <w:spacing w:line="360" w:lineRule="auto"/>
        <w:jc w:val="center"/>
        <w:outlineLvl w:val="0"/>
        <w:rPr>
          <w:rFonts w:ascii="宋体" w:hAnsi="宋体" w:cs="宋体"/>
          <w:b/>
          <w:color w:val="auto"/>
          <w:kern w:val="0"/>
          <w:sz w:val="36"/>
          <w:szCs w:val="36"/>
          <w:highlight w:val="none"/>
        </w:rPr>
      </w:pPr>
    </w:p>
    <w:p w14:paraId="353F342F">
      <w:pPr>
        <w:shd w:val="clear"/>
        <w:snapToGrid w:val="0"/>
        <w:spacing w:line="360" w:lineRule="auto"/>
        <w:rPr>
          <w:rFonts w:ascii="宋体" w:hAnsi="宋体" w:cs="宋体"/>
          <w:color w:val="auto"/>
          <w:sz w:val="24"/>
          <w:highlight w:val="none"/>
        </w:rPr>
      </w:pPr>
      <w:r>
        <w:rPr>
          <w:rFonts w:hint="eastAsia" w:ascii="宋体" w:hAnsi="宋体" w:cs="宋体"/>
          <w:color w:val="auto"/>
          <w:sz w:val="24"/>
          <w:highlight w:val="none"/>
        </w:rPr>
        <w:t>（1）符合参加政府采购活动应当具备的一般条件的承诺函……………（页码）</w:t>
      </w:r>
    </w:p>
    <w:p w14:paraId="68422949">
      <w:pPr>
        <w:shd w:val="clear"/>
        <w:snapToGrid w:val="0"/>
        <w:spacing w:line="360" w:lineRule="auto"/>
        <w:rPr>
          <w:rFonts w:ascii="宋体" w:hAnsi="宋体" w:cs="宋体"/>
          <w:color w:val="auto"/>
          <w:sz w:val="24"/>
          <w:highlight w:val="none"/>
        </w:rPr>
      </w:pPr>
      <w:r>
        <w:rPr>
          <w:rFonts w:hint="eastAsia" w:ascii="宋体" w:hAnsi="宋体" w:cs="宋体"/>
          <w:snapToGrid w:val="0"/>
          <w:color w:val="auto"/>
          <w:kern w:val="28"/>
          <w:sz w:val="24"/>
          <w:szCs w:val="20"/>
          <w:highlight w:val="none"/>
        </w:rPr>
        <w:t>（2）联合协议</w:t>
      </w:r>
      <w:r>
        <w:rPr>
          <w:rFonts w:hint="eastAsia" w:ascii="宋体" w:hAnsi="宋体" w:cs="宋体"/>
          <w:color w:val="auto"/>
          <w:sz w:val="24"/>
          <w:highlight w:val="none"/>
        </w:rPr>
        <w:t>………………………………………………………………（页码）</w:t>
      </w:r>
    </w:p>
    <w:p w14:paraId="6963869D">
      <w:pPr>
        <w:shd w:val="clea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3</w:t>
      </w:r>
      <w:r>
        <w:rPr>
          <w:rFonts w:hint="eastAsia" w:ascii="宋体" w:hAnsi="宋体" w:cs="宋体"/>
          <w:color w:val="auto"/>
          <w:sz w:val="24"/>
          <w:highlight w:val="none"/>
        </w:rPr>
        <w:t>）落实政府采购政策需满足的资格要求………………………………（页码）</w:t>
      </w:r>
    </w:p>
    <w:p w14:paraId="66131846">
      <w:pPr>
        <w:shd w:val="clea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4</w:t>
      </w:r>
      <w:r>
        <w:rPr>
          <w:rFonts w:hint="eastAsia" w:ascii="宋体" w:hAnsi="宋体" w:cs="宋体"/>
          <w:color w:val="auto"/>
          <w:sz w:val="24"/>
          <w:highlight w:val="none"/>
        </w:rPr>
        <w:t>）本项目的特定资格要求………………………………………………（页码）</w:t>
      </w:r>
    </w:p>
    <w:p w14:paraId="45808CEB">
      <w:pPr>
        <w:shd w:val="clear"/>
        <w:snapToGrid w:val="0"/>
        <w:spacing w:line="360" w:lineRule="auto"/>
        <w:ind w:firstLine="480" w:firstLineChars="200"/>
        <w:rPr>
          <w:rFonts w:ascii="宋体" w:hAnsi="宋体" w:cs="宋体"/>
          <w:color w:val="auto"/>
          <w:sz w:val="24"/>
          <w:highlight w:val="none"/>
        </w:rPr>
      </w:pPr>
    </w:p>
    <w:p w14:paraId="772CC262">
      <w:pPr>
        <w:shd w:val="clear"/>
        <w:spacing w:line="360" w:lineRule="auto"/>
        <w:ind w:firstLine="480" w:firstLineChars="200"/>
        <w:rPr>
          <w:rFonts w:ascii="宋体" w:hAnsi="宋体" w:cs="宋体"/>
          <w:color w:val="auto"/>
          <w:sz w:val="24"/>
          <w:highlight w:val="none"/>
        </w:rPr>
      </w:pPr>
    </w:p>
    <w:p w14:paraId="152CF1D5">
      <w:pPr>
        <w:shd w:val="clear"/>
        <w:snapToGrid w:val="0"/>
        <w:spacing w:line="360" w:lineRule="auto"/>
        <w:ind w:right="480"/>
        <w:jc w:val="center"/>
        <w:rPr>
          <w:rFonts w:ascii="宋体" w:hAnsi="宋体" w:cs="宋体"/>
          <w:b/>
          <w:color w:val="auto"/>
          <w:kern w:val="0"/>
          <w:sz w:val="32"/>
          <w:szCs w:val="32"/>
          <w:highlight w:val="none"/>
        </w:rPr>
      </w:pPr>
      <w:r>
        <w:rPr>
          <w:rFonts w:hint="eastAsia" w:ascii="宋体" w:hAnsi="宋体" w:cs="宋体"/>
          <w:color w:val="auto"/>
          <w:kern w:val="0"/>
          <w:sz w:val="24"/>
          <w:highlight w:val="none"/>
        </w:rPr>
        <w:br w:type="page"/>
      </w:r>
      <w:r>
        <w:rPr>
          <w:rFonts w:hint="eastAsia" w:ascii="宋体" w:hAnsi="宋体" w:cs="宋体"/>
          <w:b/>
          <w:color w:val="auto"/>
          <w:kern w:val="0"/>
          <w:sz w:val="32"/>
          <w:szCs w:val="32"/>
          <w:highlight w:val="none"/>
        </w:rPr>
        <w:t xml:space="preserve">  一、 符合参加政府采购活动应当具备的一般条件的承诺函</w:t>
      </w:r>
    </w:p>
    <w:p w14:paraId="1858678D">
      <w:pPr>
        <w:shd w:val="clear"/>
        <w:snapToGrid w:val="0"/>
        <w:spacing w:line="360" w:lineRule="auto"/>
        <w:rPr>
          <w:rFonts w:ascii="宋体" w:hAnsi="宋体" w:cs="宋体"/>
          <w:color w:val="auto"/>
          <w:sz w:val="24"/>
          <w:highlight w:val="none"/>
        </w:rPr>
      </w:pPr>
      <w:r>
        <w:rPr>
          <w:rFonts w:hint="eastAsia" w:ascii="宋体" w:hAnsi="宋体" w:cs="宋体"/>
          <w:color w:val="auto"/>
          <w:sz w:val="24"/>
          <w:highlight w:val="none"/>
          <w:lang w:eastAsia="zh-CN"/>
        </w:rPr>
        <w:t>宁波市海曙区机关事务管理局</w:t>
      </w:r>
      <w:r>
        <w:rPr>
          <w:rFonts w:hint="eastAsia" w:ascii="宋体" w:hAnsi="宋体" w:cs="宋体"/>
          <w:color w:val="auto"/>
          <w:sz w:val="24"/>
          <w:highlight w:val="none"/>
        </w:rPr>
        <w:t>、</w:t>
      </w:r>
      <w:r>
        <w:rPr>
          <w:rFonts w:hint="eastAsia" w:ascii="宋体" w:hAnsi="宋体" w:cs="宋体"/>
          <w:color w:val="auto"/>
          <w:sz w:val="24"/>
          <w:highlight w:val="none"/>
          <w:lang w:val="en-US" w:eastAsia="zh-CN"/>
        </w:rPr>
        <w:t>宁波市海曙区人民政府鼓楼街道办事处、</w:t>
      </w:r>
      <w:r>
        <w:rPr>
          <w:rFonts w:hint="eastAsia" w:ascii="宋体" w:hAnsi="宋体" w:cs="宋体"/>
          <w:color w:val="auto"/>
          <w:sz w:val="24"/>
          <w:highlight w:val="none"/>
          <w:lang w:eastAsia="zh-CN"/>
        </w:rPr>
        <w:t>宁波中基国际招标有限公司</w:t>
      </w:r>
      <w:r>
        <w:rPr>
          <w:rFonts w:hint="eastAsia" w:ascii="宋体" w:hAnsi="宋体" w:cs="宋体"/>
          <w:color w:val="auto"/>
          <w:sz w:val="24"/>
          <w:highlight w:val="none"/>
        </w:rPr>
        <w:t>：</w:t>
      </w:r>
    </w:p>
    <w:p w14:paraId="02033205">
      <w:pPr>
        <w:shd w:val="clea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我方参与</w:t>
      </w:r>
      <w:r>
        <w:rPr>
          <w:rFonts w:hint="eastAsia" w:ascii="宋体" w:hAnsi="宋体" w:cs="宋体"/>
          <w:color w:val="auto"/>
          <w:sz w:val="24"/>
          <w:highlight w:val="none"/>
          <w:lang w:eastAsia="zh-CN"/>
        </w:rPr>
        <w:t>宁波市海曙区各集中管理办公区等食堂原材料采购项目（蔬果类）</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2025NBHSWT112</w:t>
      </w:r>
      <w:r>
        <w:rPr>
          <w:rFonts w:hint="eastAsia" w:ascii="宋体" w:hAnsi="宋体" w:cs="宋体"/>
          <w:color w:val="auto"/>
          <w:sz w:val="24"/>
          <w:highlight w:val="none"/>
        </w:rPr>
        <w:t>】政府采购活动，郑重承诺：</w:t>
      </w:r>
    </w:p>
    <w:p w14:paraId="06EA55E0">
      <w:pPr>
        <w:shd w:val="clear"/>
        <w:snapToGrid w:val="0"/>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rPr>
        <w:t>（一）具备《中华人民共和国政府采购法》第二十二条第一款规定的条件：</w:t>
      </w:r>
    </w:p>
    <w:p w14:paraId="52EEDFA1">
      <w:pPr>
        <w:shd w:val="clea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1、具有独立承担民事责任的能力；</w:t>
      </w:r>
    </w:p>
    <w:p w14:paraId="77F714B3">
      <w:pPr>
        <w:shd w:val="clea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2、具有良好的商业信誉和健全的财务会计制度； </w:t>
      </w:r>
    </w:p>
    <w:p w14:paraId="2D10539F">
      <w:pPr>
        <w:shd w:val="clea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3、具有履行合同所必需的设备和专业技术能力；</w:t>
      </w:r>
    </w:p>
    <w:p w14:paraId="5F546EF3">
      <w:pPr>
        <w:shd w:val="clea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4、有依法缴纳税收和社会保障资金的良好记录；</w:t>
      </w:r>
    </w:p>
    <w:p w14:paraId="4D047169">
      <w:pPr>
        <w:shd w:val="clea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5、参加政府采购活动前三年内，在经营活动中没有重大违法记录；</w:t>
      </w:r>
    </w:p>
    <w:p w14:paraId="3DC8D7AD">
      <w:pPr>
        <w:shd w:val="clea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6、具有法律、行政法规规定的其他条件。</w:t>
      </w:r>
    </w:p>
    <w:p w14:paraId="29368071">
      <w:pPr>
        <w:shd w:val="clea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（二）未被信用中国（www.creditchina.gov.cn</w:t>
      </w:r>
      <w:r>
        <w:rPr>
          <w:rFonts w:hint="eastAsia" w:ascii="宋体" w:hAnsi="宋体" w:cs="宋体"/>
          <w:color w:val="auto"/>
          <w:sz w:val="24"/>
          <w:highlight w:val="none"/>
          <w:lang w:eastAsia="zh-CN"/>
        </w:rPr>
        <w:t>）</w:t>
      </w:r>
      <w:r>
        <w:rPr>
          <w:rFonts w:hint="eastAsia" w:ascii="宋体" w:hAnsi="宋体" w:cs="宋体"/>
          <w:color w:val="auto"/>
          <w:sz w:val="24"/>
          <w:highlight w:val="none"/>
        </w:rPr>
        <w:t>、中国政府采购网（www.ccgp.gov.cn）列入失信被执行人、重大税收违法案件当事人名单</w:t>
      </w: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重大税收违法失信主体</w:t>
      </w:r>
      <w:r>
        <w:rPr>
          <w:rFonts w:hint="eastAsia" w:ascii="宋体" w:hAnsi="宋体" w:cs="宋体"/>
          <w:color w:val="auto"/>
          <w:sz w:val="24"/>
          <w:highlight w:val="none"/>
          <w:lang w:eastAsia="zh-CN"/>
        </w:rPr>
        <w:t>）</w:t>
      </w:r>
      <w:r>
        <w:rPr>
          <w:rFonts w:hint="eastAsia" w:ascii="宋体" w:hAnsi="宋体" w:cs="宋体"/>
          <w:color w:val="auto"/>
          <w:sz w:val="24"/>
          <w:highlight w:val="none"/>
        </w:rPr>
        <w:t>、政府采购严重违法失信行为记录名单。</w:t>
      </w:r>
    </w:p>
    <w:p w14:paraId="4F294449">
      <w:pPr>
        <w:shd w:val="clea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（三）不存在以下情况：</w:t>
      </w:r>
    </w:p>
    <w:p w14:paraId="66A3944D">
      <w:pPr>
        <w:shd w:val="clea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1、单位负责人为同一人或者存在直接控股、管理关系的不同供应商参加同一合同项下的政府采购活动的；</w:t>
      </w:r>
    </w:p>
    <w:p w14:paraId="690AD7DA">
      <w:pPr>
        <w:shd w:val="clea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2、为采购项目提供整体设计、规范编制或者项目管理、监理、检测等服务后再参加该采购项目的其他采购活动的。</w:t>
      </w:r>
    </w:p>
    <w:p w14:paraId="5E75E738">
      <w:pPr>
        <w:shd w:val="clear"/>
        <w:snapToGrid w:val="0"/>
        <w:spacing w:line="360" w:lineRule="auto"/>
        <w:ind w:firstLine="5520" w:firstLineChars="2300"/>
        <w:rPr>
          <w:rFonts w:ascii="宋体" w:hAnsi="宋体" w:cs="宋体"/>
          <w:color w:val="auto"/>
          <w:kern w:val="0"/>
          <w:sz w:val="24"/>
          <w:highlight w:val="none"/>
        </w:rPr>
      </w:pPr>
      <w:r>
        <w:rPr>
          <w:rFonts w:hint="eastAsia" w:ascii="宋体" w:hAnsi="宋体" w:cs="宋体"/>
          <w:color w:val="auto"/>
          <w:kern w:val="0"/>
          <w:sz w:val="24"/>
          <w:highlight w:val="none"/>
          <w:lang w:val="zh-CN"/>
        </w:rPr>
        <w:t>投标人名称（电子签名）：</w:t>
      </w:r>
    </w:p>
    <w:p w14:paraId="7F90F216">
      <w:pPr>
        <w:shd w:val="clea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 xml:space="preserve">：  年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w:t>
      </w:r>
    </w:p>
    <w:p w14:paraId="29AE0716">
      <w:pPr>
        <w:shd w:val="clear"/>
        <w:snapToGrid w:val="0"/>
        <w:spacing w:line="360" w:lineRule="auto"/>
        <w:ind w:right="480"/>
        <w:jc w:val="center"/>
        <w:rPr>
          <w:rFonts w:ascii="宋体" w:hAnsi="宋体" w:cs="宋体"/>
          <w:b/>
          <w:color w:val="auto"/>
          <w:kern w:val="0"/>
          <w:sz w:val="32"/>
          <w:szCs w:val="32"/>
          <w:highlight w:val="none"/>
        </w:rPr>
      </w:pPr>
    </w:p>
    <w:p w14:paraId="04DE4E0F">
      <w:pPr>
        <w:shd w:val="clear"/>
        <w:snapToGrid w:val="0"/>
        <w:spacing w:line="360" w:lineRule="auto"/>
        <w:ind w:right="480"/>
        <w:jc w:val="center"/>
        <w:rPr>
          <w:rFonts w:ascii="宋体" w:hAnsi="宋体" w:cs="宋体"/>
          <w:b/>
          <w:color w:val="auto"/>
          <w:kern w:val="0"/>
          <w:sz w:val="32"/>
          <w:szCs w:val="32"/>
          <w:highlight w:val="none"/>
        </w:rPr>
      </w:pPr>
    </w:p>
    <w:p w14:paraId="586DCDF2">
      <w:pPr>
        <w:shd w:val="clear"/>
        <w:snapToGrid w:val="0"/>
        <w:spacing w:line="360" w:lineRule="auto"/>
        <w:ind w:right="480"/>
        <w:jc w:val="center"/>
        <w:rPr>
          <w:rFonts w:ascii="宋体" w:hAnsi="宋体" w:cs="宋体"/>
          <w:b/>
          <w:color w:val="auto"/>
          <w:kern w:val="0"/>
          <w:sz w:val="32"/>
          <w:szCs w:val="32"/>
          <w:highlight w:val="none"/>
        </w:rPr>
      </w:pPr>
    </w:p>
    <w:p w14:paraId="683AA898">
      <w:pPr>
        <w:shd w:val="clear"/>
        <w:rPr>
          <w:rFonts w:ascii="宋体" w:hAnsi="宋体" w:cs="宋体"/>
          <w:color w:val="auto"/>
          <w:highlight w:val="none"/>
        </w:rPr>
      </w:pPr>
    </w:p>
    <w:p w14:paraId="71749C49">
      <w:pPr>
        <w:shd w:val="clear"/>
        <w:snapToGrid w:val="0"/>
        <w:spacing w:line="360" w:lineRule="auto"/>
        <w:ind w:right="480"/>
        <w:jc w:val="center"/>
        <w:rPr>
          <w:rFonts w:ascii="宋体" w:hAnsi="宋体" w:cs="宋体"/>
          <w:b/>
          <w:color w:val="auto"/>
          <w:kern w:val="0"/>
          <w:sz w:val="32"/>
          <w:szCs w:val="32"/>
          <w:highlight w:val="none"/>
        </w:rPr>
      </w:pPr>
    </w:p>
    <w:p w14:paraId="07070DB8">
      <w:pPr>
        <w:shd w:val="clear"/>
        <w:snapToGrid w:val="0"/>
        <w:spacing w:line="360" w:lineRule="auto"/>
        <w:ind w:right="480"/>
        <w:jc w:val="center"/>
        <w:rPr>
          <w:rFonts w:ascii="宋体" w:hAnsi="宋体" w:cs="宋体"/>
          <w:b/>
          <w:color w:val="auto"/>
          <w:kern w:val="0"/>
          <w:sz w:val="32"/>
          <w:szCs w:val="32"/>
          <w:highlight w:val="none"/>
        </w:rPr>
      </w:pPr>
    </w:p>
    <w:p w14:paraId="38625E75">
      <w:pPr>
        <w:shd w:val="clear"/>
        <w:snapToGrid w:val="0"/>
        <w:spacing w:line="360" w:lineRule="auto"/>
        <w:ind w:right="480"/>
        <w:jc w:val="center"/>
        <w:rPr>
          <w:rFonts w:ascii="宋体" w:hAnsi="宋体" w:cs="宋体"/>
          <w:b/>
          <w:color w:val="auto"/>
          <w:kern w:val="0"/>
          <w:sz w:val="32"/>
          <w:szCs w:val="32"/>
          <w:highlight w:val="none"/>
        </w:rPr>
      </w:pPr>
    </w:p>
    <w:p w14:paraId="4555104B">
      <w:pPr>
        <w:widowControl/>
        <w:shd w:val="clear"/>
        <w:adjustRightInd/>
        <w:jc w:val="left"/>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14:paraId="3B4D314E">
      <w:pPr>
        <w:widowControl/>
        <w:shd w:val="clear"/>
        <w:spacing w:line="360" w:lineRule="auto"/>
        <w:ind w:firstLine="643" w:firstLineChars="20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二、联合协议（如果有）</w:t>
      </w:r>
    </w:p>
    <w:p w14:paraId="7291E007">
      <w:pPr>
        <w:widowControl/>
        <w:shd w:val="clear"/>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[以联合体形式投标的，提供联合协议（附件5）；本项目不接受联合体投标或者投标人不以联合体形式投标的，则不需要提供）]</w:t>
      </w:r>
    </w:p>
    <w:p w14:paraId="645DC844">
      <w:pPr>
        <w:shd w:val="clear"/>
        <w:snapToGrid w:val="0"/>
        <w:spacing w:line="360" w:lineRule="auto"/>
        <w:ind w:right="480"/>
        <w:jc w:val="center"/>
        <w:rPr>
          <w:rFonts w:ascii="宋体" w:hAnsi="宋体" w:cs="宋体"/>
          <w:b/>
          <w:color w:val="auto"/>
          <w:kern w:val="0"/>
          <w:sz w:val="32"/>
          <w:szCs w:val="32"/>
          <w:highlight w:val="none"/>
        </w:rPr>
      </w:pPr>
    </w:p>
    <w:p w14:paraId="0A101598">
      <w:pPr>
        <w:shd w:val="clear"/>
        <w:snapToGrid w:val="0"/>
        <w:spacing w:line="360" w:lineRule="auto"/>
        <w:ind w:right="480"/>
        <w:jc w:val="center"/>
        <w:rPr>
          <w:rFonts w:ascii="宋体" w:hAnsi="宋体" w:cs="宋体"/>
          <w:b/>
          <w:color w:val="auto"/>
          <w:kern w:val="0"/>
          <w:sz w:val="32"/>
          <w:szCs w:val="32"/>
          <w:highlight w:val="none"/>
        </w:rPr>
      </w:pPr>
    </w:p>
    <w:p w14:paraId="36EF0035">
      <w:pPr>
        <w:shd w:val="clear"/>
        <w:snapToGrid w:val="0"/>
        <w:spacing w:line="360" w:lineRule="auto"/>
        <w:ind w:right="48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三、落实政府采购政策需满足的资格要求</w:t>
      </w:r>
    </w:p>
    <w:p w14:paraId="13661071">
      <w:pPr>
        <w:shd w:val="clear"/>
        <w:spacing w:line="360" w:lineRule="auto"/>
        <w:rPr>
          <w:rFonts w:ascii="宋体" w:hAnsi="宋体" w:cs="宋体"/>
          <w:color w:val="auto"/>
          <w:sz w:val="24"/>
          <w:highlight w:val="none"/>
        </w:rPr>
      </w:pPr>
      <w:r>
        <w:rPr>
          <w:rFonts w:hint="eastAsia" w:ascii="宋体" w:hAnsi="宋体" w:cs="宋体"/>
          <w:color w:val="auto"/>
          <w:sz w:val="24"/>
          <w:highlight w:val="none"/>
        </w:rPr>
        <w:t>（根据招标公告落实政府采购政策需满足的资格要求选择提供相应的材料；未要求的，无需提供）</w:t>
      </w:r>
    </w:p>
    <w:p w14:paraId="35DEE082">
      <w:pPr>
        <w:shd w:val="clear"/>
        <w:snapToGrid w:val="0"/>
        <w:spacing w:before="50" w:after="50" w:line="360" w:lineRule="auto"/>
        <w:ind w:firstLine="472" w:firstLineChars="196"/>
        <w:jc w:val="left"/>
        <w:rPr>
          <w:rFonts w:ascii="宋体" w:hAnsi="宋体" w:cs="宋体"/>
          <w:color w:val="auto"/>
          <w:sz w:val="24"/>
          <w:highlight w:val="none"/>
        </w:rPr>
      </w:pPr>
      <w:r>
        <w:rPr>
          <w:rFonts w:hint="eastAsia" w:ascii="宋体" w:hAnsi="宋体" w:cs="宋体"/>
          <w:b/>
          <w:color w:val="auto"/>
          <w:sz w:val="24"/>
          <w:highlight w:val="none"/>
        </w:rPr>
        <w:t>A</w:t>
      </w:r>
      <w:r>
        <w:rPr>
          <w:rFonts w:hint="eastAsia" w:ascii="宋体" w:hAnsi="宋体" w:cs="宋体"/>
          <w:color w:val="auto"/>
          <w:sz w:val="24"/>
          <w:highlight w:val="none"/>
        </w:rPr>
        <w:t>.专门面向中小企业，服务全部由符合政策要求的中小企业（或小微企业）承接的，提供相应的中小企业声明函（附件</w:t>
      </w:r>
      <w:r>
        <w:rPr>
          <w:rFonts w:ascii="宋体" w:hAnsi="宋体" w:cs="宋体"/>
          <w:color w:val="auto"/>
          <w:sz w:val="24"/>
          <w:highlight w:val="none"/>
        </w:rPr>
        <w:t>7</w:t>
      </w:r>
      <w:r>
        <w:rPr>
          <w:rFonts w:hint="eastAsia" w:ascii="宋体" w:hAnsi="宋体" w:cs="宋体"/>
          <w:color w:val="auto"/>
          <w:sz w:val="24"/>
          <w:highlight w:val="none"/>
        </w:rPr>
        <w:t xml:space="preserve">）。 </w:t>
      </w:r>
    </w:p>
    <w:p w14:paraId="62D846B1">
      <w:pPr>
        <w:widowControl/>
        <w:shd w:val="clear"/>
        <w:spacing w:line="360" w:lineRule="auto"/>
        <w:ind w:firstLine="480"/>
        <w:jc w:val="left"/>
        <w:rPr>
          <w:rFonts w:ascii="宋体" w:hAnsi="宋体" w:cs="宋体"/>
          <w:color w:val="auto"/>
          <w:sz w:val="24"/>
          <w:highlight w:val="none"/>
        </w:rPr>
      </w:pPr>
    </w:p>
    <w:p w14:paraId="1A168A23">
      <w:pPr>
        <w:widowControl/>
        <w:shd w:val="clear"/>
        <w:spacing w:line="360" w:lineRule="auto"/>
        <w:ind w:firstLine="472" w:firstLineChars="196"/>
        <w:jc w:val="left"/>
        <w:rPr>
          <w:rFonts w:ascii="宋体" w:hAnsi="宋体" w:cs="宋体"/>
          <w:color w:val="auto"/>
          <w:sz w:val="24"/>
          <w:highlight w:val="none"/>
        </w:rPr>
      </w:pPr>
      <w:r>
        <w:rPr>
          <w:rFonts w:hint="eastAsia" w:ascii="宋体" w:hAnsi="宋体" w:cs="宋体"/>
          <w:b/>
          <w:color w:val="auto"/>
          <w:sz w:val="24"/>
          <w:highlight w:val="none"/>
        </w:rPr>
        <w:t>B.</w:t>
      </w:r>
      <w:r>
        <w:rPr>
          <w:rFonts w:hint="eastAsia" w:ascii="宋体" w:hAnsi="宋体" w:cs="宋体"/>
          <w:color w:val="auto"/>
          <w:sz w:val="24"/>
          <w:highlight w:val="none"/>
        </w:rPr>
        <w:t>要求以联合体形式参加的，提供联合协议（附件</w:t>
      </w:r>
      <w:r>
        <w:rPr>
          <w:rFonts w:ascii="宋体" w:hAnsi="宋体" w:cs="宋体"/>
          <w:color w:val="auto"/>
          <w:sz w:val="24"/>
          <w:highlight w:val="none"/>
        </w:rPr>
        <w:t>5</w:t>
      </w:r>
      <w:r>
        <w:rPr>
          <w:rFonts w:hint="eastAsia" w:ascii="宋体" w:hAnsi="宋体" w:cs="宋体"/>
          <w:color w:val="auto"/>
          <w:sz w:val="24"/>
          <w:highlight w:val="none"/>
        </w:rPr>
        <w:t>）和中小企业声明函（附件</w:t>
      </w:r>
      <w:r>
        <w:rPr>
          <w:rFonts w:ascii="宋体" w:hAnsi="宋体" w:cs="宋体"/>
          <w:color w:val="auto"/>
          <w:sz w:val="24"/>
          <w:highlight w:val="none"/>
        </w:rPr>
        <w:t>7</w:t>
      </w:r>
      <w:r>
        <w:rPr>
          <w:rFonts w:hint="eastAsia" w:ascii="宋体" w:hAnsi="宋体" w:cs="宋体"/>
          <w:color w:val="auto"/>
          <w:sz w:val="24"/>
          <w:highlight w:val="none"/>
        </w:rPr>
        <w:t>），联合协议中中小企业合同金额应当达到招标公告载明的比例；如果供应商本身提供所有标的均由中小企业承接的，</w:t>
      </w:r>
      <w:r>
        <w:rPr>
          <w:rFonts w:hint="eastAsia" w:ascii="宋体" w:hAnsi="宋体" w:cs="宋体"/>
          <w:color w:val="auto"/>
          <w:spacing w:val="8"/>
          <w:kern w:val="0"/>
          <w:sz w:val="24"/>
          <w:highlight w:val="none"/>
        </w:rPr>
        <w:t>并相应达到了前述比例要求，</w:t>
      </w:r>
      <w:r>
        <w:rPr>
          <w:rFonts w:hint="eastAsia" w:ascii="宋体" w:hAnsi="宋体" w:cs="宋体"/>
          <w:color w:val="auto"/>
          <w:sz w:val="24"/>
          <w:highlight w:val="none"/>
        </w:rPr>
        <w:t>视同符合了资格条件，无需再与其他中小企业组成联合体参加政府采购活动，无需提供联合协议。</w:t>
      </w:r>
    </w:p>
    <w:p w14:paraId="2B7C2EAA">
      <w:pPr>
        <w:shd w:val="clear"/>
        <w:snapToGrid w:val="0"/>
        <w:spacing w:before="50" w:after="50" w:line="360" w:lineRule="auto"/>
        <w:jc w:val="center"/>
        <w:rPr>
          <w:rFonts w:ascii="宋体" w:hAnsi="宋体" w:cs="宋体"/>
          <w:color w:val="auto"/>
          <w:sz w:val="24"/>
          <w:highlight w:val="none"/>
        </w:rPr>
      </w:pPr>
      <w:r>
        <w:rPr>
          <w:rFonts w:hint="eastAsia" w:ascii="宋体" w:hAnsi="宋体" w:cs="宋体"/>
          <w:b/>
          <w:color w:val="auto"/>
          <w:sz w:val="24"/>
          <w:highlight w:val="none"/>
        </w:rPr>
        <w:t xml:space="preserve">    </w:t>
      </w:r>
    </w:p>
    <w:p w14:paraId="60445FF0">
      <w:pPr>
        <w:shd w:val="clea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C</w:t>
      </w:r>
      <w:r>
        <w:rPr>
          <w:rFonts w:hint="eastAsia" w:ascii="宋体" w:hAnsi="宋体" w:cs="宋体"/>
          <w:b/>
          <w:color w:val="auto"/>
          <w:sz w:val="24"/>
          <w:highlight w:val="none"/>
          <w:lang w:val="en-US" w:eastAsia="zh-CN"/>
        </w:rPr>
        <w:t>.</w:t>
      </w:r>
      <w:r>
        <w:rPr>
          <w:rFonts w:hint="eastAsia" w:ascii="宋体" w:hAnsi="宋体" w:cs="宋体"/>
          <w:color w:val="auto"/>
          <w:sz w:val="24"/>
          <w:highlight w:val="none"/>
        </w:rPr>
        <w:t>要求合同分包的，提供分包意向协议（附件6）和中小企业声明函（附件</w:t>
      </w:r>
      <w:r>
        <w:rPr>
          <w:rFonts w:ascii="宋体" w:hAnsi="宋体" w:cs="宋体"/>
          <w:color w:val="auto"/>
          <w:sz w:val="24"/>
          <w:highlight w:val="none"/>
        </w:rPr>
        <w:t>7</w:t>
      </w:r>
      <w:r>
        <w:rPr>
          <w:rFonts w:hint="eastAsia" w:ascii="宋体" w:hAnsi="宋体" w:cs="宋体"/>
          <w:color w:val="auto"/>
          <w:sz w:val="24"/>
          <w:highlight w:val="none"/>
        </w:rPr>
        <w:t>），分包意向协议中中小企业合同金额应当达到招标公告载明的比例；如果供应商本身提供所有标的均由中小企业承接的，</w:t>
      </w:r>
      <w:r>
        <w:rPr>
          <w:rFonts w:hint="eastAsia" w:ascii="宋体" w:hAnsi="宋体" w:cs="宋体"/>
          <w:color w:val="auto"/>
          <w:spacing w:val="8"/>
          <w:kern w:val="0"/>
          <w:sz w:val="24"/>
          <w:highlight w:val="none"/>
        </w:rPr>
        <w:t>并相应达到了前述比例要求，</w:t>
      </w:r>
      <w:r>
        <w:rPr>
          <w:rFonts w:hint="eastAsia" w:ascii="宋体" w:hAnsi="宋体" w:cs="宋体"/>
          <w:color w:val="auto"/>
          <w:sz w:val="24"/>
          <w:highlight w:val="none"/>
        </w:rPr>
        <w:t>视同符合了资格条件，无需再向中小企业分包，无需提供分包意向协议。</w:t>
      </w:r>
    </w:p>
    <w:p w14:paraId="55549F9F">
      <w:pPr>
        <w:widowControl/>
        <w:shd w:val="clear"/>
        <w:spacing w:line="360" w:lineRule="auto"/>
        <w:ind w:left="150"/>
        <w:jc w:val="center"/>
        <w:rPr>
          <w:rFonts w:ascii="宋体" w:hAnsi="宋体" w:cs="宋体"/>
          <w:b/>
          <w:color w:val="auto"/>
          <w:kern w:val="0"/>
          <w:sz w:val="32"/>
          <w:szCs w:val="32"/>
          <w:highlight w:val="none"/>
        </w:rPr>
      </w:pPr>
    </w:p>
    <w:p w14:paraId="05B80089">
      <w:pPr>
        <w:widowControl/>
        <w:shd w:val="clear"/>
        <w:spacing w:line="360" w:lineRule="auto"/>
        <w:ind w:left="15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四、本项目的特定资格要求</w:t>
      </w:r>
    </w:p>
    <w:p w14:paraId="37373E32">
      <w:pPr>
        <w:shd w:val="clear"/>
        <w:spacing w:line="360" w:lineRule="auto"/>
        <w:jc w:val="center"/>
        <w:rPr>
          <w:rFonts w:ascii="宋体" w:hAnsi="宋体" w:cs="宋体"/>
          <w:color w:val="auto"/>
          <w:sz w:val="24"/>
          <w:highlight w:val="none"/>
        </w:rPr>
      </w:pPr>
      <w:r>
        <w:rPr>
          <w:rFonts w:hint="eastAsia" w:ascii="宋体" w:hAnsi="宋体" w:cs="宋体"/>
          <w:color w:val="auto"/>
          <w:sz w:val="24"/>
          <w:highlight w:val="none"/>
        </w:rPr>
        <w:t>（根据招标公告本项目的特定资格要求提供相应的材料；未要求的，无需提供）</w:t>
      </w:r>
    </w:p>
    <w:p w14:paraId="635180B1">
      <w:pPr>
        <w:shd w:val="clear"/>
        <w:rPr>
          <w:rFonts w:ascii="宋体" w:hAnsi="宋体" w:cs="宋体"/>
          <w:color w:val="auto"/>
          <w:highlight w:val="none"/>
        </w:rPr>
      </w:pPr>
    </w:p>
    <w:p w14:paraId="494479C4">
      <w:pPr>
        <w:shd w:val="clear"/>
        <w:snapToGrid w:val="0"/>
        <w:spacing w:line="360" w:lineRule="auto"/>
        <w:ind w:right="480"/>
        <w:jc w:val="center"/>
        <w:rPr>
          <w:rFonts w:ascii="宋体" w:hAnsi="宋体" w:cs="宋体"/>
          <w:b/>
          <w:color w:val="auto"/>
          <w:kern w:val="0"/>
          <w:sz w:val="32"/>
          <w:szCs w:val="32"/>
          <w:highlight w:val="none"/>
        </w:rPr>
      </w:pPr>
    </w:p>
    <w:p w14:paraId="4325F935">
      <w:pPr>
        <w:widowControl/>
        <w:shd w:val="clear"/>
        <w:adjustRightInd/>
        <w:jc w:val="left"/>
        <w:rPr>
          <w:rFonts w:ascii="宋体" w:hAnsi="宋体" w:cs="宋体"/>
          <w:b/>
          <w:color w:val="auto"/>
          <w:kern w:val="0"/>
          <w:sz w:val="36"/>
          <w:szCs w:val="36"/>
          <w:highlight w:val="none"/>
        </w:rPr>
      </w:pPr>
      <w:r>
        <w:rPr>
          <w:rFonts w:ascii="宋体" w:hAnsi="宋体" w:cs="宋体"/>
          <w:b/>
          <w:color w:val="auto"/>
          <w:kern w:val="0"/>
          <w:sz w:val="36"/>
          <w:szCs w:val="36"/>
          <w:highlight w:val="none"/>
        </w:rPr>
        <w:br w:type="page"/>
      </w:r>
    </w:p>
    <w:p w14:paraId="0D1628A7">
      <w:pPr>
        <w:shd w:val="clear"/>
        <w:spacing w:line="360" w:lineRule="auto"/>
        <w:ind w:right="420" w:firstLine="3614" w:firstLineChars="100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商务技术文件部分</w:t>
      </w:r>
    </w:p>
    <w:p w14:paraId="084B25E2">
      <w:pPr>
        <w:shd w:val="clear"/>
        <w:spacing w:line="360" w:lineRule="auto"/>
        <w:jc w:val="center"/>
        <w:outlineLvl w:val="0"/>
        <w:rPr>
          <w:rFonts w:ascii="宋体" w:hAnsi="宋体" w:cs="宋体"/>
          <w:b/>
          <w:color w:val="auto"/>
          <w:kern w:val="0"/>
          <w:sz w:val="24"/>
          <w:highlight w:val="none"/>
        </w:rPr>
      </w:pPr>
    </w:p>
    <w:p w14:paraId="66B3136F">
      <w:pPr>
        <w:shd w:val="clear"/>
        <w:spacing w:line="360" w:lineRule="auto"/>
        <w:jc w:val="center"/>
        <w:outlineLvl w:val="0"/>
        <w:rPr>
          <w:rFonts w:ascii="宋体" w:hAnsi="宋体" w:cs="宋体"/>
          <w:b/>
          <w:color w:val="auto"/>
          <w:kern w:val="0"/>
          <w:sz w:val="28"/>
          <w:szCs w:val="28"/>
          <w:highlight w:val="none"/>
        </w:rPr>
      </w:pPr>
      <w:r>
        <w:rPr>
          <w:rFonts w:hint="eastAsia" w:ascii="宋体" w:hAnsi="宋体" w:cs="宋体"/>
          <w:b/>
          <w:color w:val="auto"/>
          <w:kern w:val="0"/>
          <w:sz w:val="28"/>
          <w:szCs w:val="28"/>
          <w:highlight w:val="none"/>
        </w:rPr>
        <w:t>目录</w:t>
      </w:r>
    </w:p>
    <w:p w14:paraId="5F40F961">
      <w:pPr>
        <w:shd w:val="clea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（1）投标函</w:t>
      </w:r>
      <w:r>
        <w:rPr>
          <w:rFonts w:hint="eastAsia" w:ascii="宋体" w:hAnsi="宋体" w:cs="宋体"/>
          <w:color w:val="auto"/>
          <w:highlight w:val="none"/>
        </w:rPr>
        <w:t>…………………………………………………………………………………（页码）</w:t>
      </w:r>
      <w:r>
        <w:rPr>
          <w:rFonts w:hint="eastAsia" w:ascii="宋体" w:hAnsi="宋体" w:cs="宋体"/>
          <w:color w:val="auto"/>
          <w:sz w:val="24"/>
          <w:highlight w:val="none"/>
        </w:rPr>
        <w:t>（2）授权委托书或法定代表人（单位负责人、自然人本人）身份证明</w:t>
      </w:r>
      <w:r>
        <w:rPr>
          <w:rFonts w:hint="eastAsia" w:ascii="宋体" w:hAnsi="宋体" w:cs="宋体"/>
          <w:color w:val="auto"/>
          <w:highlight w:val="none"/>
        </w:rPr>
        <w:t>………（页码）</w:t>
      </w:r>
    </w:p>
    <w:p w14:paraId="2EE05A09">
      <w:pPr>
        <w:shd w:val="clea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color w:val="auto"/>
          <w:highlight w:val="none"/>
        </w:rPr>
        <w:t>…………………………………………………………………………（页码）</w:t>
      </w:r>
    </w:p>
    <w:p w14:paraId="1DA5B445">
      <w:pPr>
        <w:shd w:val="clear"/>
        <w:snapToGrid w:val="0"/>
        <w:spacing w:line="360" w:lineRule="auto"/>
        <w:ind w:firstLine="480" w:firstLineChars="200"/>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4</w:t>
      </w:r>
      <w:r>
        <w:rPr>
          <w:rFonts w:hint="eastAsia" w:ascii="宋体" w:hAnsi="宋体" w:cs="宋体"/>
          <w:color w:val="auto"/>
          <w:sz w:val="24"/>
          <w:highlight w:val="none"/>
        </w:rPr>
        <w:t>）符合性审查资料</w:t>
      </w:r>
      <w:r>
        <w:rPr>
          <w:rFonts w:hint="eastAsia" w:ascii="宋体" w:hAnsi="宋体" w:cs="宋体"/>
          <w:color w:val="auto"/>
          <w:highlight w:val="none"/>
        </w:rPr>
        <w:t>………………………………………………………………………（页码）</w:t>
      </w:r>
    </w:p>
    <w:p w14:paraId="3CAC5CEA">
      <w:pPr>
        <w:shd w:val="clea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……………（页码）</w:t>
      </w:r>
      <w:r>
        <w:rPr>
          <w:rFonts w:hint="eastAsia" w:ascii="宋体" w:hAnsi="宋体" w:cs="宋体"/>
          <w:color w:val="auto"/>
          <w:sz w:val="24"/>
          <w:highlight w:val="none"/>
        </w:rPr>
        <w:t>（</w:t>
      </w:r>
      <w:r>
        <w:rPr>
          <w:rFonts w:ascii="宋体" w:hAnsi="宋体" w:cs="宋体"/>
          <w:color w:val="auto"/>
          <w:sz w:val="24"/>
          <w:highlight w:val="none"/>
        </w:rPr>
        <w:t>6</w:t>
      </w:r>
      <w:r>
        <w:rPr>
          <w:rFonts w:hint="eastAsia" w:ascii="宋体" w:hAnsi="宋体" w:cs="宋体"/>
          <w:color w:val="auto"/>
          <w:sz w:val="24"/>
          <w:highlight w:val="none"/>
        </w:rPr>
        <w:t>）商务技术偏离表</w:t>
      </w:r>
      <w:r>
        <w:rPr>
          <w:rFonts w:hint="eastAsia" w:ascii="宋体" w:hAnsi="宋体" w:cs="宋体"/>
          <w:color w:val="auto"/>
          <w:highlight w:val="none"/>
        </w:rPr>
        <w:t>………………………………………………………………………（页码）</w:t>
      </w:r>
    </w:p>
    <w:p w14:paraId="773A12EE">
      <w:pPr>
        <w:shd w:val="clea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lang w:val="zh-CN"/>
        </w:rPr>
        <w:t>（</w:t>
      </w:r>
      <w:r>
        <w:rPr>
          <w:rFonts w:hint="eastAsia" w:ascii="宋体" w:hAnsi="宋体" w:cs="宋体"/>
          <w:color w:val="auto"/>
          <w:sz w:val="24"/>
          <w:highlight w:val="none"/>
          <w:lang w:val="en-US" w:eastAsia="zh-CN"/>
        </w:rPr>
        <w:t>7</w:t>
      </w:r>
      <w:r>
        <w:rPr>
          <w:rFonts w:hint="eastAsia" w:ascii="宋体" w:hAnsi="宋体" w:cs="宋体"/>
          <w:color w:val="auto"/>
          <w:sz w:val="24"/>
          <w:highlight w:val="none"/>
          <w:lang w:val="zh-CN"/>
        </w:rPr>
        <w:t>）政府采购供应商廉洁自律承诺书</w:t>
      </w:r>
      <w:r>
        <w:rPr>
          <w:rFonts w:hint="eastAsia" w:ascii="宋体" w:hAnsi="宋体" w:cs="宋体"/>
          <w:color w:val="auto"/>
          <w:highlight w:val="none"/>
        </w:rPr>
        <w:t>…………………………………………………（页码）</w:t>
      </w:r>
    </w:p>
    <w:p w14:paraId="08F8C72E">
      <w:pPr>
        <w:shd w:val="clear"/>
        <w:snapToGrid w:val="0"/>
        <w:spacing w:line="360" w:lineRule="auto"/>
        <w:jc w:val="center"/>
        <w:rPr>
          <w:rFonts w:ascii="宋体" w:hAnsi="宋体" w:cs="宋体"/>
          <w:b/>
          <w:color w:val="auto"/>
          <w:kern w:val="0"/>
          <w:sz w:val="32"/>
          <w:szCs w:val="32"/>
          <w:highlight w:val="none"/>
          <w:lang w:val="zh-CN"/>
        </w:rPr>
      </w:pPr>
    </w:p>
    <w:p w14:paraId="03498AB1">
      <w:pPr>
        <w:shd w:val="clear"/>
        <w:snapToGrid w:val="0"/>
        <w:spacing w:line="360" w:lineRule="auto"/>
        <w:jc w:val="center"/>
        <w:rPr>
          <w:rFonts w:ascii="宋体" w:hAnsi="宋体" w:cs="宋体"/>
          <w:b/>
          <w:color w:val="auto"/>
          <w:kern w:val="0"/>
          <w:sz w:val="32"/>
          <w:szCs w:val="32"/>
          <w:highlight w:val="none"/>
          <w:lang w:val="zh-CN"/>
        </w:rPr>
      </w:pPr>
    </w:p>
    <w:p w14:paraId="72EA5FB0">
      <w:pPr>
        <w:shd w:val="clear"/>
        <w:snapToGrid w:val="0"/>
        <w:spacing w:line="360" w:lineRule="auto"/>
        <w:jc w:val="center"/>
        <w:rPr>
          <w:rFonts w:ascii="宋体" w:hAnsi="宋体" w:cs="宋体"/>
          <w:b/>
          <w:color w:val="auto"/>
          <w:kern w:val="0"/>
          <w:sz w:val="32"/>
          <w:szCs w:val="32"/>
          <w:highlight w:val="none"/>
          <w:lang w:val="zh-CN"/>
        </w:rPr>
      </w:pPr>
    </w:p>
    <w:p w14:paraId="590BEAE5">
      <w:pPr>
        <w:shd w:val="clear"/>
        <w:snapToGrid w:val="0"/>
        <w:spacing w:line="360" w:lineRule="auto"/>
        <w:jc w:val="center"/>
        <w:rPr>
          <w:rFonts w:ascii="宋体" w:hAnsi="宋体" w:cs="宋体"/>
          <w:b/>
          <w:color w:val="auto"/>
          <w:kern w:val="0"/>
          <w:sz w:val="32"/>
          <w:szCs w:val="32"/>
          <w:highlight w:val="none"/>
          <w:lang w:val="zh-CN"/>
        </w:rPr>
      </w:pPr>
    </w:p>
    <w:p w14:paraId="61142A93">
      <w:pPr>
        <w:shd w:val="clear"/>
        <w:snapToGrid w:val="0"/>
        <w:spacing w:line="360" w:lineRule="auto"/>
        <w:jc w:val="center"/>
        <w:rPr>
          <w:rFonts w:ascii="宋体" w:hAnsi="宋体" w:cs="宋体"/>
          <w:b/>
          <w:color w:val="auto"/>
          <w:kern w:val="0"/>
          <w:sz w:val="32"/>
          <w:szCs w:val="32"/>
          <w:highlight w:val="none"/>
          <w:lang w:val="zh-CN"/>
        </w:rPr>
      </w:pPr>
    </w:p>
    <w:p w14:paraId="0FF5FB41">
      <w:pPr>
        <w:shd w:val="clear"/>
        <w:snapToGrid w:val="0"/>
        <w:spacing w:line="360" w:lineRule="auto"/>
        <w:jc w:val="center"/>
        <w:rPr>
          <w:rFonts w:ascii="宋体" w:hAnsi="宋体" w:cs="宋体"/>
          <w:b/>
          <w:color w:val="auto"/>
          <w:kern w:val="0"/>
          <w:sz w:val="32"/>
          <w:szCs w:val="32"/>
          <w:highlight w:val="none"/>
          <w:lang w:val="zh-CN"/>
        </w:rPr>
      </w:pPr>
    </w:p>
    <w:p w14:paraId="23D989A4">
      <w:pPr>
        <w:shd w:val="clear"/>
        <w:snapToGrid w:val="0"/>
        <w:spacing w:line="360" w:lineRule="auto"/>
        <w:jc w:val="center"/>
        <w:rPr>
          <w:rFonts w:ascii="宋体" w:hAnsi="宋体" w:cs="宋体"/>
          <w:b/>
          <w:color w:val="auto"/>
          <w:kern w:val="0"/>
          <w:sz w:val="32"/>
          <w:szCs w:val="32"/>
          <w:highlight w:val="none"/>
          <w:lang w:val="zh-CN"/>
        </w:rPr>
      </w:pPr>
    </w:p>
    <w:p w14:paraId="51F162ED">
      <w:pPr>
        <w:shd w:val="clear"/>
        <w:snapToGrid w:val="0"/>
        <w:spacing w:line="360" w:lineRule="auto"/>
        <w:jc w:val="center"/>
        <w:rPr>
          <w:rFonts w:ascii="宋体" w:hAnsi="宋体" w:cs="宋体"/>
          <w:b/>
          <w:color w:val="auto"/>
          <w:kern w:val="0"/>
          <w:sz w:val="32"/>
          <w:szCs w:val="32"/>
          <w:highlight w:val="none"/>
          <w:lang w:val="zh-CN"/>
        </w:rPr>
      </w:pPr>
    </w:p>
    <w:p w14:paraId="4243DAF3">
      <w:pPr>
        <w:shd w:val="clear"/>
        <w:snapToGrid w:val="0"/>
        <w:spacing w:line="360" w:lineRule="auto"/>
        <w:jc w:val="center"/>
        <w:rPr>
          <w:rFonts w:ascii="宋体" w:hAnsi="宋体" w:cs="宋体"/>
          <w:b/>
          <w:color w:val="auto"/>
          <w:kern w:val="0"/>
          <w:sz w:val="32"/>
          <w:szCs w:val="32"/>
          <w:highlight w:val="none"/>
          <w:lang w:val="zh-CN"/>
        </w:rPr>
      </w:pPr>
    </w:p>
    <w:p w14:paraId="00A6D404">
      <w:pPr>
        <w:shd w:val="clear"/>
        <w:snapToGrid w:val="0"/>
        <w:spacing w:line="360" w:lineRule="auto"/>
        <w:jc w:val="center"/>
        <w:rPr>
          <w:rFonts w:ascii="宋体" w:hAnsi="宋体" w:cs="宋体"/>
          <w:b/>
          <w:color w:val="auto"/>
          <w:kern w:val="0"/>
          <w:sz w:val="32"/>
          <w:szCs w:val="32"/>
          <w:highlight w:val="none"/>
          <w:lang w:val="zh-CN"/>
        </w:rPr>
      </w:pPr>
    </w:p>
    <w:p w14:paraId="40C9DB8B">
      <w:pPr>
        <w:shd w:val="clear"/>
        <w:snapToGrid w:val="0"/>
        <w:spacing w:line="360" w:lineRule="auto"/>
        <w:jc w:val="center"/>
        <w:rPr>
          <w:rFonts w:ascii="宋体" w:hAnsi="宋体" w:cs="宋体"/>
          <w:b/>
          <w:color w:val="auto"/>
          <w:kern w:val="0"/>
          <w:sz w:val="32"/>
          <w:szCs w:val="32"/>
          <w:highlight w:val="none"/>
          <w:lang w:val="zh-CN"/>
        </w:rPr>
      </w:pPr>
    </w:p>
    <w:p w14:paraId="5D885831">
      <w:pPr>
        <w:shd w:val="clear"/>
        <w:snapToGrid w:val="0"/>
        <w:spacing w:line="360" w:lineRule="auto"/>
        <w:jc w:val="center"/>
        <w:rPr>
          <w:rFonts w:ascii="宋体" w:hAnsi="宋体" w:cs="宋体"/>
          <w:b/>
          <w:color w:val="auto"/>
          <w:kern w:val="0"/>
          <w:sz w:val="32"/>
          <w:szCs w:val="32"/>
          <w:highlight w:val="none"/>
          <w:lang w:val="zh-CN"/>
        </w:rPr>
      </w:pPr>
    </w:p>
    <w:p w14:paraId="0FCF22DF">
      <w:pPr>
        <w:shd w:val="clear"/>
        <w:rPr>
          <w:rFonts w:ascii="宋体" w:hAnsi="宋体" w:cs="宋体"/>
          <w:b/>
          <w:color w:val="auto"/>
          <w:kern w:val="0"/>
          <w:sz w:val="32"/>
          <w:szCs w:val="32"/>
          <w:highlight w:val="none"/>
          <w:lang w:val="zh-CN"/>
        </w:rPr>
      </w:pPr>
    </w:p>
    <w:p w14:paraId="5633A730">
      <w:pPr>
        <w:widowControl/>
        <w:shd w:val="clear"/>
        <w:adjustRightInd/>
        <w:jc w:val="left"/>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14:paraId="3EC65396">
      <w:pPr>
        <w:shd w:val="clear"/>
        <w:snapToGrid w:val="0"/>
        <w:spacing w:line="360" w:lineRule="auto"/>
        <w:jc w:val="center"/>
        <w:outlineLvl w:val="0"/>
        <w:rPr>
          <w:rFonts w:ascii="宋体" w:hAnsi="宋体" w:cs="宋体"/>
          <w:b/>
          <w:color w:val="auto"/>
          <w:sz w:val="32"/>
          <w:szCs w:val="32"/>
          <w:highlight w:val="none"/>
        </w:rPr>
      </w:pPr>
      <w:r>
        <w:rPr>
          <w:rFonts w:hint="eastAsia" w:ascii="宋体" w:hAnsi="宋体" w:cs="宋体"/>
          <w:b/>
          <w:color w:val="auto"/>
          <w:kern w:val="0"/>
          <w:sz w:val="32"/>
          <w:szCs w:val="32"/>
          <w:highlight w:val="none"/>
        </w:rPr>
        <w:t>一、投标</w:t>
      </w:r>
      <w:r>
        <w:rPr>
          <w:rFonts w:hint="eastAsia" w:ascii="宋体" w:hAnsi="宋体" w:cs="宋体"/>
          <w:b/>
          <w:color w:val="auto"/>
          <w:sz w:val="32"/>
          <w:szCs w:val="32"/>
          <w:highlight w:val="none"/>
        </w:rPr>
        <w:t>函</w:t>
      </w:r>
    </w:p>
    <w:p w14:paraId="2696982A">
      <w:pPr>
        <w:shd w:val="clear"/>
        <w:snapToGrid w:val="0"/>
        <w:spacing w:line="360" w:lineRule="auto"/>
        <w:rPr>
          <w:rFonts w:ascii="宋体" w:hAnsi="宋体" w:cs="宋体"/>
          <w:color w:val="auto"/>
          <w:sz w:val="24"/>
          <w:highlight w:val="none"/>
        </w:rPr>
      </w:pPr>
      <w:r>
        <w:rPr>
          <w:rFonts w:hint="eastAsia" w:ascii="宋体" w:hAnsi="宋体" w:cs="宋体"/>
          <w:color w:val="auto"/>
          <w:sz w:val="24"/>
          <w:highlight w:val="none"/>
          <w:lang w:eastAsia="zh-CN"/>
        </w:rPr>
        <w:t>宁波市海曙区机关事务管理局、</w:t>
      </w:r>
      <w:r>
        <w:rPr>
          <w:rFonts w:hint="eastAsia" w:ascii="宋体" w:hAnsi="宋体" w:cs="宋体"/>
          <w:color w:val="auto"/>
          <w:sz w:val="24"/>
          <w:highlight w:val="none"/>
          <w:lang w:val="en-US" w:eastAsia="zh-CN"/>
        </w:rPr>
        <w:t>宁波市海曙区人民政府鼓楼街道办事处</w:t>
      </w:r>
      <w:r>
        <w:rPr>
          <w:rFonts w:hint="eastAsia" w:ascii="宋体" w:hAnsi="宋体" w:cs="宋体"/>
          <w:color w:val="auto"/>
          <w:sz w:val="24"/>
          <w:highlight w:val="none"/>
        </w:rPr>
        <w:t>、</w:t>
      </w:r>
      <w:r>
        <w:rPr>
          <w:rFonts w:hint="eastAsia" w:ascii="宋体" w:hAnsi="宋体" w:cs="宋体"/>
          <w:color w:val="auto"/>
          <w:sz w:val="24"/>
          <w:highlight w:val="none"/>
          <w:lang w:eastAsia="zh-CN"/>
        </w:rPr>
        <w:t>宁波中基国际招标有限公司</w:t>
      </w:r>
      <w:r>
        <w:rPr>
          <w:rFonts w:hint="eastAsia" w:ascii="宋体" w:hAnsi="宋体" w:cs="宋体"/>
          <w:color w:val="auto"/>
          <w:sz w:val="24"/>
          <w:highlight w:val="none"/>
        </w:rPr>
        <w:t>：</w:t>
      </w:r>
    </w:p>
    <w:p w14:paraId="1BE80A0B">
      <w:pPr>
        <w:shd w:val="clea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我方参加你方组织的</w:t>
      </w:r>
      <w:r>
        <w:rPr>
          <w:rFonts w:hint="eastAsia" w:ascii="宋体" w:hAnsi="宋体" w:cs="宋体"/>
          <w:color w:val="auto"/>
          <w:sz w:val="24"/>
          <w:highlight w:val="none"/>
          <w:lang w:eastAsia="zh-CN"/>
        </w:rPr>
        <w:t>宁波市海曙区各集中管理办公区等食堂原材料采购项目（蔬果类）</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2025NBHSWT112</w:t>
      </w:r>
      <w:r>
        <w:rPr>
          <w:rFonts w:hint="eastAsia" w:ascii="宋体" w:hAnsi="宋体" w:cs="宋体"/>
          <w:color w:val="auto"/>
          <w:sz w:val="24"/>
          <w:highlight w:val="none"/>
        </w:rPr>
        <w:t>】招标的有关活动，并对此项目进行投标。为此：</w:t>
      </w:r>
    </w:p>
    <w:p w14:paraId="2CDA1CF6">
      <w:pPr>
        <w:shd w:val="clea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1、我方承诺投标有效期从提交投标文件的截止之日起</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天（不少于90天）</w:t>
      </w:r>
      <w:r>
        <w:rPr>
          <w:rFonts w:hint="eastAsia" w:ascii="宋体" w:hAnsi="宋体" w:cs="宋体"/>
          <w:color w:val="auto"/>
          <w:highlight w:val="none"/>
        </w:rPr>
        <w:t>，</w:t>
      </w:r>
      <w:r>
        <w:rPr>
          <w:rFonts w:hint="eastAsia" w:ascii="宋体" w:hAnsi="宋体" w:cs="宋体"/>
          <w:color w:val="auto"/>
          <w:sz w:val="24"/>
          <w:highlight w:val="none"/>
        </w:rPr>
        <w:t>本投标文件在投标有效期满之前均具有约束力。</w:t>
      </w:r>
    </w:p>
    <w:p w14:paraId="7C0ACE83">
      <w:pPr>
        <w:shd w:val="clea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2、我方的投标文件包括以下内容：</w:t>
      </w:r>
    </w:p>
    <w:p w14:paraId="1895514D">
      <w:pPr>
        <w:shd w:val="clea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2.1资格文件：</w:t>
      </w:r>
    </w:p>
    <w:p w14:paraId="6E5B9368">
      <w:pPr>
        <w:shd w:val="clea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2.1.1符合参加政府采购活动应当具备的一般条件的承诺函；</w:t>
      </w:r>
    </w:p>
    <w:p w14:paraId="2F17FD56">
      <w:pPr>
        <w:shd w:val="clea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2.1.2</w:t>
      </w:r>
      <w:r>
        <w:rPr>
          <w:rFonts w:hint="eastAsia" w:ascii="宋体" w:hAnsi="宋体" w:cs="宋体"/>
          <w:snapToGrid w:val="0"/>
          <w:color w:val="auto"/>
          <w:kern w:val="28"/>
          <w:sz w:val="24"/>
          <w:szCs w:val="20"/>
          <w:highlight w:val="none"/>
        </w:rPr>
        <w:t>联合协议</w:t>
      </w:r>
      <w:bookmarkStart w:id="510" w:name="_Hlk101257010"/>
      <w:r>
        <w:rPr>
          <w:rFonts w:hint="eastAsia" w:ascii="宋体" w:hAnsi="宋体" w:cs="宋体"/>
          <w:color w:val="auto"/>
          <w:sz w:val="24"/>
          <w:highlight w:val="none"/>
        </w:rPr>
        <w:t>（如果有</w:t>
      </w:r>
      <w:r>
        <w:rPr>
          <w:rFonts w:hint="eastAsia" w:ascii="宋体" w:hAnsi="宋体" w:cs="宋体"/>
          <w:color w:val="auto"/>
          <w:sz w:val="24"/>
          <w:highlight w:val="none"/>
          <w:lang w:eastAsia="zh-CN"/>
        </w:rPr>
        <w:t>）</w:t>
      </w:r>
      <w:bookmarkEnd w:id="510"/>
      <w:r>
        <w:rPr>
          <w:rFonts w:hint="eastAsia" w:ascii="宋体" w:hAnsi="宋体" w:cs="宋体"/>
          <w:snapToGrid w:val="0"/>
          <w:color w:val="auto"/>
          <w:kern w:val="28"/>
          <w:sz w:val="24"/>
          <w:szCs w:val="20"/>
          <w:highlight w:val="none"/>
        </w:rPr>
        <w:t>；</w:t>
      </w:r>
    </w:p>
    <w:p w14:paraId="119974F3">
      <w:pPr>
        <w:shd w:val="clea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.1.3</w:t>
      </w:r>
      <w:r>
        <w:rPr>
          <w:rFonts w:hint="eastAsia" w:ascii="宋体" w:hAnsi="宋体" w:cs="宋体"/>
          <w:color w:val="auto"/>
          <w:sz w:val="24"/>
          <w:highlight w:val="none"/>
        </w:rPr>
        <w:t>落实政府采购政策需满足的资格要求（如果有）；</w:t>
      </w:r>
    </w:p>
    <w:p w14:paraId="2E449CF9">
      <w:pPr>
        <w:shd w:val="clea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w:t>
      </w:r>
      <w:r>
        <w:rPr>
          <w:rFonts w:ascii="宋体" w:hAnsi="宋体" w:cs="宋体"/>
          <w:color w:val="auto"/>
          <w:sz w:val="24"/>
          <w:highlight w:val="none"/>
        </w:rPr>
        <w:t>4</w:t>
      </w:r>
      <w:r>
        <w:rPr>
          <w:rFonts w:hint="eastAsia" w:ascii="宋体" w:hAnsi="宋体" w:cs="宋体"/>
          <w:color w:val="auto"/>
          <w:sz w:val="24"/>
          <w:highlight w:val="none"/>
        </w:rPr>
        <w:t>本项目的特定资格要求（如果有</w:t>
      </w:r>
      <w:r>
        <w:rPr>
          <w:rFonts w:hint="eastAsia" w:ascii="宋体" w:hAnsi="宋体" w:cs="宋体"/>
          <w:color w:val="auto"/>
          <w:sz w:val="24"/>
          <w:highlight w:val="none"/>
          <w:lang w:eastAsia="zh-CN"/>
        </w:rPr>
        <w:t>）</w:t>
      </w:r>
      <w:r>
        <w:rPr>
          <w:rFonts w:hint="eastAsia" w:ascii="宋体" w:hAnsi="宋体" w:cs="宋体"/>
          <w:color w:val="auto"/>
          <w:sz w:val="24"/>
          <w:highlight w:val="none"/>
        </w:rPr>
        <w:t>。</w:t>
      </w:r>
    </w:p>
    <w:p w14:paraId="70E55399">
      <w:pPr>
        <w:shd w:val="clear"/>
        <w:snapToGrid w:val="0"/>
        <w:spacing w:line="360" w:lineRule="auto"/>
        <w:ind w:left="210" w:leftChars="100" w:firstLine="480" w:firstLineChars="200"/>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14:paraId="64162F93">
      <w:pPr>
        <w:shd w:val="clea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2.2.1投标函；</w:t>
      </w:r>
      <w:r>
        <w:rPr>
          <w:rFonts w:hint="eastAsia" w:ascii="宋体" w:hAnsi="宋体" w:cs="宋体"/>
          <w:color w:val="auto"/>
          <w:sz w:val="24"/>
          <w:highlight w:val="none"/>
          <w:lang w:val="zh-CN"/>
        </w:rPr>
        <w:t xml:space="preserve"> </w:t>
      </w:r>
    </w:p>
    <w:p w14:paraId="2983B7C7">
      <w:pPr>
        <w:shd w:val="clea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2.2.2授权委托书或法定代表人（单位负责人</w:t>
      </w:r>
      <w:r>
        <w:rPr>
          <w:rFonts w:hint="eastAsia" w:ascii="宋体" w:hAnsi="宋体" w:cs="宋体"/>
          <w:color w:val="auto"/>
          <w:sz w:val="24"/>
          <w:highlight w:val="none"/>
          <w:lang w:val="zh-CN"/>
        </w:rPr>
        <w:t>、自然人本人</w:t>
      </w:r>
      <w:r>
        <w:rPr>
          <w:rFonts w:hint="eastAsia" w:ascii="宋体" w:hAnsi="宋体" w:cs="宋体"/>
          <w:color w:val="auto"/>
          <w:sz w:val="24"/>
          <w:highlight w:val="none"/>
        </w:rPr>
        <w:t>）身份证明；</w:t>
      </w:r>
    </w:p>
    <w:p w14:paraId="69006F93">
      <w:pPr>
        <w:shd w:val="clea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3</w:t>
      </w:r>
      <w:r>
        <w:rPr>
          <w:rFonts w:hint="eastAsia" w:ascii="宋体" w:hAnsi="宋体" w:cs="宋体"/>
          <w:color w:val="auto"/>
          <w:sz w:val="24"/>
          <w:highlight w:val="none"/>
        </w:rPr>
        <w:t>分包意向协议（如果有</w:t>
      </w:r>
      <w:r>
        <w:rPr>
          <w:rFonts w:hint="eastAsia" w:ascii="宋体" w:hAnsi="宋体" w:cs="宋体"/>
          <w:color w:val="auto"/>
          <w:sz w:val="24"/>
          <w:highlight w:val="none"/>
          <w:lang w:eastAsia="zh-CN"/>
        </w:rPr>
        <w:t>）</w:t>
      </w:r>
      <w:r>
        <w:rPr>
          <w:rFonts w:hint="eastAsia" w:ascii="宋体" w:hAnsi="宋体" w:cs="宋体"/>
          <w:color w:val="auto"/>
          <w:sz w:val="24"/>
          <w:highlight w:val="none"/>
        </w:rPr>
        <w:t>；</w:t>
      </w:r>
    </w:p>
    <w:p w14:paraId="3572BB5D">
      <w:pPr>
        <w:shd w:val="clea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4</w:t>
      </w:r>
      <w:r>
        <w:rPr>
          <w:rFonts w:hint="eastAsia" w:ascii="宋体" w:hAnsi="宋体" w:cs="宋体"/>
          <w:color w:val="auto"/>
          <w:sz w:val="24"/>
          <w:highlight w:val="none"/>
        </w:rPr>
        <w:t>符合性审查资料；</w:t>
      </w:r>
    </w:p>
    <w:p w14:paraId="536B3A8D">
      <w:pPr>
        <w:shd w:val="clea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p>
    <w:p w14:paraId="614658DF">
      <w:pPr>
        <w:shd w:val="clea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hint="eastAsia" w:ascii="宋体" w:hAnsi="宋体" w:cs="宋体"/>
          <w:color w:val="auto"/>
          <w:sz w:val="24"/>
          <w:highlight w:val="none"/>
          <w:lang w:val="en-US" w:eastAsia="zh-CN"/>
        </w:rPr>
        <w:t>6</w:t>
      </w:r>
      <w:r>
        <w:rPr>
          <w:rFonts w:hint="eastAsia" w:ascii="宋体" w:hAnsi="宋体" w:cs="宋体"/>
          <w:color w:val="auto"/>
          <w:sz w:val="24"/>
          <w:highlight w:val="none"/>
        </w:rPr>
        <w:t>商务技术偏离表；</w:t>
      </w:r>
    </w:p>
    <w:p w14:paraId="29C71D62">
      <w:pPr>
        <w:shd w:val="clear"/>
        <w:snapToGrid w:val="0"/>
        <w:spacing w:line="360" w:lineRule="auto"/>
        <w:ind w:left="420" w:leftChars="200" w:firstLine="480" w:firstLineChars="200"/>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lang w:val="en-US" w:eastAsia="zh-CN"/>
        </w:rPr>
        <w:t>7</w:t>
      </w:r>
      <w:r>
        <w:rPr>
          <w:rFonts w:hint="eastAsia" w:ascii="宋体" w:hAnsi="宋体" w:cs="宋体"/>
          <w:color w:val="auto"/>
          <w:sz w:val="24"/>
          <w:highlight w:val="none"/>
          <w:lang w:val="zh-CN"/>
        </w:rPr>
        <w:t>政府采购供应商廉洁自律承诺书；</w:t>
      </w:r>
    </w:p>
    <w:p w14:paraId="394CB093">
      <w:pPr>
        <w:shd w:val="clea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3报价文件</w:t>
      </w:r>
    </w:p>
    <w:p w14:paraId="4E73D16A">
      <w:pPr>
        <w:shd w:val="clea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2.3.1开标一览表（报价表）；</w:t>
      </w:r>
    </w:p>
    <w:p w14:paraId="61F2976D">
      <w:pPr>
        <w:shd w:val="clear"/>
        <w:snapToGrid w:val="0"/>
        <w:spacing w:line="360" w:lineRule="auto"/>
        <w:ind w:left="420" w:leftChars="200" w:firstLine="480" w:firstLineChars="200"/>
        <w:rPr>
          <w:rFonts w:hint="eastAsia" w:ascii="宋体" w:hAnsi="宋体" w:cs="宋体"/>
          <w:color w:val="auto"/>
          <w:sz w:val="24"/>
          <w:highlight w:val="none"/>
          <w:lang w:eastAsia="zh-CN"/>
        </w:rPr>
      </w:pPr>
      <w:r>
        <w:rPr>
          <w:rFonts w:hint="eastAsia" w:ascii="宋体" w:hAnsi="宋体" w:cs="宋体"/>
          <w:color w:val="auto"/>
          <w:sz w:val="24"/>
          <w:highlight w:val="none"/>
        </w:rPr>
        <w:t>2.3.2中小企业声明函（如果有）</w:t>
      </w:r>
      <w:r>
        <w:rPr>
          <w:rFonts w:hint="eastAsia" w:ascii="宋体" w:hAnsi="宋体" w:cs="宋体"/>
          <w:color w:val="auto"/>
          <w:sz w:val="24"/>
          <w:highlight w:val="none"/>
          <w:lang w:eastAsia="zh-CN"/>
        </w:rPr>
        <w:t>；</w:t>
      </w:r>
    </w:p>
    <w:p w14:paraId="6BD6C790">
      <w:pPr>
        <w:shd w:val="clear"/>
        <w:snapToGrid w:val="0"/>
        <w:spacing w:line="360" w:lineRule="auto"/>
        <w:ind w:left="420" w:leftChars="200"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2.3.3</w:t>
      </w:r>
      <w:r>
        <w:rPr>
          <w:rFonts w:hint="eastAsia" w:ascii="宋体" w:hAnsi="宋体" w:eastAsia="宋体" w:cs="宋体"/>
          <w:color w:val="auto"/>
          <w:sz w:val="24"/>
          <w:highlight w:val="none"/>
        </w:rPr>
        <w:t>历史供货价格</w:t>
      </w:r>
      <w:r>
        <w:rPr>
          <w:rFonts w:hint="eastAsia" w:ascii="宋体" w:hAnsi="宋体" w:eastAsia="宋体" w:cs="宋体"/>
          <w:color w:val="auto"/>
          <w:sz w:val="24"/>
          <w:highlight w:val="none"/>
          <w:lang w:val="en-US" w:eastAsia="zh-CN"/>
        </w:rPr>
        <w:t>凭证；</w:t>
      </w:r>
    </w:p>
    <w:p w14:paraId="2616B253">
      <w:pPr>
        <w:shd w:val="clear"/>
        <w:snapToGrid w:val="0"/>
        <w:spacing w:line="360" w:lineRule="auto"/>
        <w:ind w:left="420" w:leftChars="200" w:firstLine="480" w:firstLineChars="200"/>
        <w:rPr>
          <w:rFonts w:hint="eastAsia"/>
          <w:color w:val="auto"/>
          <w:highlight w:val="none"/>
          <w:lang w:eastAsia="zh-CN"/>
        </w:rPr>
      </w:pPr>
      <w:r>
        <w:rPr>
          <w:rFonts w:hint="eastAsia" w:ascii="宋体" w:hAnsi="宋体" w:eastAsia="宋体" w:cs="宋体"/>
          <w:color w:val="auto"/>
          <w:sz w:val="24"/>
          <w:highlight w:val="none"/>
          <w:lang w:val="en-US" w:eastAsia="zh-CN"/>
        </w:rPr>
        <w:t>2.3.4报价情况说明</w:t>
      </w:r>
      <w:r>
        <w:rPr>
          <w:rFonts w:hint="eastAsia" w:ascii="宋体" w:hAnsi="宋体" w:eastAsia="宋体" w:cs="宋体"/>
          <w:color w:val="auto"/>
          <w:sz w:val="24"/>
          <w:highlight w:val="none"/>
        </w:rPr>
        <w:t>（如果有）</w:t>
      </w:r>
      <w:r>
        <w:rPr>
          <w:rFonts w:hint="eastAsia" w:ascii="宋体" w:hAnsi="宋体" w:eastAsia="宋体" w:cs="宋体"/>
          <w:color w:val="auto"/>
          <w:sz w:val="24"/>
          <w:highlight w:val="none"/>
          <w:lang w:val="en-US" w:eastAsia="zh-CN"/>
        </w:rPr>
        <w:t>。</w:t>
      </w:r>
    </w:p>
    <w:p w14:paraId="0E8868E0">
      <w:pPr>
        <w:shd w:val="clea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3、我方承诺除商务技术偏离表列出的偏离外，我方响应招标文件的全部要求。对投标文件中材料的真实性、合法性负责，积极配合采购人、采购代理机构复核投标文件中的资料。</w:t>
      </w:r>
    </w:p>
    <w:p w14:paraId="560500FF">
      <w:pPr>
        <w:shd w:val="clea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4、如我方中标，我方承诺：</w:t>
      </w:r>
    </w:p>
    <w:p w14:paraId="0490505C">
      <w:pPr>
        <w:shd w:val="clea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4.1在收到中标通知书后，在中标通知书规定的期限内与你方签订合同； </w:t>
      </w:r>
    </w:p>
    <w:p w14:paraId="7E6A3571">
      <w:pPr>
        <w:shd w:val="clea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4.2在签订合同时不向你方提出附加条件； </w:t>
      </w:r>
    </w:p>
    <w:p w14:paraId="7F3EFA55">
      <w:pPr>
        <w:shd w:val="clea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4.3按照招标文件要求提交履约保证金； </w:t>
      </w:r>
    </w:p>
    <w:p w14:paraId="13272F4E">
      <w:pPr>
        <w:shd w:val="clea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4.4在合同约定的期限内完成合同规定的全部义务。 </w:t>
      </w:r>
    </w:p>
    <w:p w14:paraId="1CEDA938">
      <w:pPr>
        <w:shd w:val="clea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5、其他补充说明</w:t>
      </w:r>
      <w:r>
        <w:rPr>
          <w:rFonts w:hint="eastAsia" w:ascii="宋体" w:hAnsi="宋体" w:cs="宋体"/>
          <w:color w:val="auto"/>
          <w:sz w:val="24"/>
          <w:highlight w:val="none"/>
          <w:lang w:eastAsia="zh-CN"/>
        </w:rPr>
        <w:t>：</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3CCE60B9">
      <w:pPr>
        <w:shd w:val="clear"/>
        <w:spacing w:line="360" w:lineRule="auto"/>
        <w:ind w:firstLine="3600" w:firstLineChars="1500"/>
        <w:rPr>
          <w:rFonts w:ascii="宋体" w:hAnsi="宋体" w:cs="宋体"/>
          <w:color w:val="auto"/>
          <w:sz w:val="24"/>
          <w:highlight w:val="none"/>
        </w:rPr>
      </w:pPr>
      <w:r>
        <w:rPr>
          <w:rFonts w:hint="eastAsia" w:ascii="宋体" w:hAnsi="宋体" w:cs="宋体"/>
          <w:color w:val="auto"/>
          <w:sz w:val="24"/>
          <w:highlight w:val="none"/>
        </w:rPr>
        <w:t xml:space="preserve">投标人名称（电子签名）：                          </w:t>
      </w:r>
    </w:p>
    <w:p w14:paraId="30FD5373">
      <w:pPr>
        <w:shd w:val="clear"/>
        <w:spacing w:line="360" w:lineRule="auto"/>
        <w:jc w:val="center"/>
        <w:rPr>
          <w:rFonts w:ascii="宋体" w:hAnsi="宋体" w:cs="宋体"/>
          <w:color w:val="auto"/>
          <w:sz w:val="24"/>
          <w:highlight w:val="none"/>
        </w:rPr>
      </w:pPr>
      <w:r>
        <w:rPr>
          <w:rFonts w:hint="eastAsia" w:ascii="宋体" w:hAnsi="宋体" w:cs="宋体"/>
          <w:color w:val="auto"/>
          <w:sz w:val="24"/>
          <w:highlight w:val="none"/>
        </w:rPr>
        <w:t xml:space="preserve">     日期：  年   月   日</w:t>
      </w:r>
    </w:p>
    <w:p w14:paraId="3F6310F8">
      <w:pPr>
        <w:shd w:val="clear"/>
        <w:snapToGrid w:val="0"/>
        <w:spacing w:line="360" w:lineRule="auto"/>
        <w:ind w:left="420" w:leftChars="200" w:firstLine="4200" w:firstLineChars="1750"/>
        <w:rPr>
          <w:rFonts w:ascii="宋体" w:hAnsi="宋体" w:cs="宋体"/>
          <w:color w:val="auto"/>
          <w:kern w:val="0"/>
          <w:sz w:val="24"/>
          <w:highlight w:val="none"/>
          <w:u w:val="single"/>
        </w:rPr>
      </w:pPr>
    </w:p>
    <w:p w14:paraId="7919F80C">
      <w:pPr>
        <w:shd w:val="clea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69E07EAD">
      <w:pPr>
        <w:shd w:val="clear"/>
        <w:snapToGrid w:val="0"/>
        <w:spacing w:line="360" w:lineRule="auto"/>
        <w:jc w:val="center"/>
        <w:rPr>
          <w:rFonts w:ascii="宋体" w:hAnsi="宋体" w:cs="宋体"/>
          <w:b/>
          <w:color w:val="auto"/>
          <w:kern w:val="0"/>
          <w:sz w:val="32"/>
          <w:szCs w:val="32"/>
          <w:highlight w:val="none"/>
        </w:rPr>
      </w:pPr>
    </w:p>
    <w:p w14:paraId="7356D8F7">
      <w:pPr>
        <w:shd w:val="clear"/>
        <w:snapToGrid w:val="0"/>
        <w:spacing w:line="360" w:lineRule="auto"/>
        <w:rPr>
          <w:rFonts w:ascii="宋体" w:hAnsi="宋体" w:cs="宋体"/>
          <w:color w:val="auto"/>
          <w:sz w:val="24"/>
          <w:highlight w:val="none"/>
        </w:rPr>
      </w:pPr>
    </w:p>
    <w:p w14:paraId="51C95C22">
      <w:pPr>
        <w:shd w:val="clear"/>
        <w:jc w:val="center"/>
        <w:rPr>
          <w:rFonts w:ascii="宋体" w:hAnsi="宋体" w:cs="宋体"/>
          <w:b/>
          <w:color w:val="auto"/>
          <w:kern w:val="0"/>
          <w:sz w:val="32"/>
          <w:szCs w:val="32"/>
          <w:highlight w:val="none"/>
        </w:rPr>
      </w:pPr>
    </w:p>
    <w:p w14:paraId="0DF8FF3B">
      <w:pPr>
        <w:shd w:val="clear"/>
        <w:jc w:val="center"/>
        <w:rPr>
          <w:rFonts w:ascii="宋体" w:hAnsi="宋体" w:cs="宋体"/>
          <w:b/>
          <w:color w:val="auto"/>
          <w:kern w:val="0"/>
          <w:sz w:val="32"/>
          <w:szCs w:val="32"/>
          <w:highlight w:val="none"/>
        </w:rPr>
      </w:pPr>
    </w:p>
    <w:p w14:paraId="1F45CB7F">
      <w:pPr>
        <w:shd w:val="clear"/>
        <w:jc w:val="center"/>
        <w:rPr>
          <w:rFonts w:ascii="宋体" w:hAnsi="宋体" w:cs="宋体"/>
          <w:b/>
          <w:color w:val="auto"/>
          <w:kern w:val="0"/>
          <w:sz w:val="32"/>
          <w:szCs w:val="32"/>
          <w:highlight w:val="none"/>
        </w:rPr>
      </w:pPr>
    </w:p>
    <w:p w14:paraId="3B0C2EC7">
      <w:pPr>
        <w:shd w:val="clear"/>
        <w:jc w:val="center"/>
        <w:rPr>
          <w:rFonts w:ascii="宋体" w:hAnsi="宋体" w:cs="宋体"/>
          <w:b/>
          <w:color w:val="auto"/>
          <w:kern w:val="0"/>
          <w:sz w:val="32"/>
          <w:szCs w:val="32"/>
          <w:highlight w:val="none"/>
        </w:rPr>
      </w:pPr>
    </w:p>
    <w:p w14:paraId="3EFC40EC">
      <w:pPr>
        <w:shd w:val="clear"/>
        <w:jc w:val="center"/>
        <w:rPr>
          <w:rFonts w:ascii="宋体" w:hAnsi="宋体" w:cs="宋体"/>
          <w:b/>
          <w:color w:val="auto"/>
          <w:kern w:val="0"/>
          <w:sz w:val="32"/>
          <w:szCs w:val="32"/>
          <w:highlight w:val="none"/>
        </w:rPr>
      </w:pPr>
    </w:p>
    <w:p w14:paraId="55F30D70">
      <w:pPr>
        <w:shd w:val="clear"/>
        <w:jc w:val="center"/>
        <w:rPr>
          <w:rFonts w:ascii="宋体" w:hAnsi="宋体" w:cs="宋体"/>
          <w:b/>
          <w:color w:val="auto"/>
          <w:kern w:val="0"/>
          <w:sz w:val="32"/>
          <w:szCs w:val="32"/>
          <w:highlight w:val="none"/>
        </w:rPr>
      </w:pPr>
    </w:p>
    <w:p w14:paraId="68B604E6">
      <w:pPr>
        <w:shd w:val="clear"/>
        <w:jc w:val="center"/>
        <w:rPr>
          <w:rFonts w:ascii="宋体" w:hAnsi="宋体" w:cs="宋体"/>
          <w:b/>
          <w:color w:val="auto"/>
          <w:kern w:val="0"/>
          <w:sz w:val="32"/>
          <w:szCs w:val="32"/>
          <w:highlight w:val="none"/>
        </w:rPr>
      </w:pPr>
    </w:p>
    <w:p w14:paraId="3E1704C1">
      <w:pPr>
        <w:shd w:val="clear"/>
        <w:jc w:val="center"/>
        <w:rPr>
          <w:rFonts w:ascii="宋体" w:hAnsi="宋体" w:cs="宋体"/>
          <w:b/>
          <w:color w:val="auto"/>
          <w:kern w:val="0"/>
          <w:sz w:val="32"/>
          <w:szCs w:val="32"/>
          <w:highlight w:val="none"/>
        </w:rPr>
      </w:pPr>
    </w:p>
    <w:p w14:paraId="753D22C2">
      <w:pPr>
        <w:shd w:val="clear"/>
        <w:jc w:val="center"/>
        <w:rPr>
          <w:rFonts w:ascii="宋体" w:hAnsi="宋体" w:cs="宋体"/>
          <w:b/>
          <w:color w:val="auto"/>
          <w:kern w:val="0"/>
          <w:sz w:val="32"/>
          <w:szCs w:val="32"/>
          <w:highlight w:val="none"/>
        </w:rPr>
      </w:pPr>
    </w:p>
    <w:p w14:paraId="44A9781A">
      <w:pPr>
        <w:shd w:val="clear"/>
        <w:jc w:val="center"/>
        <w:rPr>
          <w:rFonts w:ascii="宋体" w:hAnsi="宋体" w:cs="宋体"/>
          <w:b/>
          <w:color w:val="auto"/>
          <w:kern w:val="0"/>
          <w:sz w:val="32"/>
          <w:szCs w:val="32"/>
          <w:highlight w:val="none"/>
        </w:rPr>
      </w:pPr>
    </w:p>
    <w:p w14:paraId="4F07A982">
      <w:pPr>
        <w:shd w:val="clear"/>
        <w:jc w:val="center"/>
        <w:rPr>
          <w:rFonts w:ascii="宋体" w:hAnsi="宋体" w:cs="宋体"/>
          <w:b/>
          <w:color w:val="auto"/>
          <w:kern w:val="0"/>
          <w:sz w:val="32"/>
          <w:szCs w:val="32"/>
          <w:highlight w:val="none"/>
        </w:rPr>
      </w:pPr>
    </w:p>
    <w:p w14:paraId="7C5CE843">
      <w:pPr>
        <w:shd w:val="clear"/>
        <w:jc w:val="center"/>
        <w:rPr>
          <w:rFonts w:ascii="宋体" w:hAnsi="宋体" w:cs="宋体"/>
          <w:b/>
          <w:color w:val="auto"/>
          <w:kern w:val="0"/>
          <w:sz w:val="32"/>
          <w:szCs w:val="32"/>
          <w:highlight w:val="none"/>
        </w:rPr>
      </w:pPr>
    </w:p>
    <w:p w14:paraId="09D68653">
      <w:pPr>
        <w:shd w:val="clear"/>
        <w:jc w:val="center"/>
        <w:rPr>
          <w:rFonts w:ascii="宋体" w:hAnsi="宋体" w:cs="宋体"/>
          <w:b/>
          <w:color w:val="auto"/>
          <w:kern w:val="0"/>
          <w:sz w:val="32"/>
          <w:szCs w:val="32"/>
          <w:highlight w:val="none"/>
        </w:rPr>
      </w:pPr>
    </w:p>
    <w:p w14:paraId="378FE7B6">
      <w:pPr>
        <w:shd w:val="clear"/>
        <w:jc w:val="center"/>
        <w:rPr>
          <w:rFonts w:ascii="宋体" w:hAnsi="宋体" w:cs="宋体"/>
          <w:b/>
          <w:color w:val="auto"/>
          <w:kern w:val="0"/>
          <w:sz w:val="32"/>
          <w:szCs w:val="32"/>
          <w:highlight w:val="none"/>
        </w:rPr>
      </w:pPr>
    </w:p>
    <w:p w14:paraId="1A54F973">
      <w:pPr>
        <w:shd w:val="clear"/>
        <w:jc w:val="center"/>
        <w:rPr>
          <w:rFonts w:ascii="宋体" w:hAnsi="宋体" w:cs="宋体"/>
          <w:b/>
          <w:color w:val="auto"/>
          <w:kern w:val="0"/>
          <w:sz w:val="32"/>
          <w:szCs w:val="32"/>
          <w:highlight w:val="none"/>
        </w:rPr>
      </w:pPr>
    </w:p>
    <w:p w14:paraId="65917F5D">
      <w:pPr>
        <w:shd w:val="clear"/>
        <w:jc w:val="center"/>
        <w:rPr>
          <w:rFonts w:ascii="宋体" w:hAnsi="宋体" w:cs="宋体"/>
          <w:b/>
          <w:color w:val="auto"/>
          <w:kern w:val="0"/>
          <w:sz w:val="32"/>
          <w:szCs w:val="32"/>
          <w:highlight w:val="none"/>
        </w:rPr>
      </w:pPr>
    </w:p>
    <w:p w14:paraId="064D014D">
      <w:pPr>
        <w:shd w:val="clear"/>
        <w:jc w:val="center"/>
        <w:rPr>
          <w:rFonts w:ascii="宋体" w:hAnsi="宋体" w:cs="宋体"/>
          <w:b/>
          <w:color w:val="auto"/>
          <w:kern w:val="0"/>
          <w:sz w:val="32"/>
          <w:szCs w:val="32"/>
          <w:highlight w:val="none"/>
        </w:rPr>
      </w:pPr>
    </w:p>
    <w:p w14:paraId="400F32FE">
      <w:pPr>
        <w:shd w:val="clear"/>
        <w:jc w:val="center"/>
        <w:rPr>
          <w:rFonts w:ascii="宋体" w:hAnsi="宋体" w:cs="宋体"/>
          <w:b/>
          <w:color w:val="auto"/>
          <w:kern w:val="0"/>
          <w:sz w:val="32"/>
          <w:szCs w:val="32"/>
          <w:highlight w:val="none"/>
        </w:rPr>
      </w:pPr>
    </w:p>
    <w:p w14:paraId="60820671">
      <w:pPr>
        <w:shd w:val="clear"/>
        <w:jc w:val="center"/>
        <w:rPr>
          <w:rFonts w:ascii="宋体" w:hAnsi="宋体" w:cs="宋体"/>
          <w:b/>
          <w:color w:val="auto"/>
          <w:kern w:val="0"/>
          <w:sz w:val="32"/>
          <w:szCs w:val="32"/>
          <w:highlight w:val="none"/>
        </w:rPr>
      </w:pPr>
    </w:p>
    <w:p w14:paraId="53528391">
      <w:pPr>
        <w:shd w:val="clear"/>
        <w:jc w:val="center"/>
        <w:rPr>
          <w:rFonts w:ascii="宋体" w:hAnsi="宋体" w:cs="宋体"/>
          <w:b/>
          <w:color w:val="auto"/>
          <w:kern w:val="0"/>
          <w:sz w:val="32"/>
          <w:szCs w:val="32"/>
          <w:highlight w:val="none"/>
        </w:rPr>
      </w:pPr>
    </w:p>
    <w:p w14:paraId="05301784">
      <w:pPr>
        <w:pStyle w:val="5"/>
        <w:shd w:val="clear"/>
        <w:rPr>
          <w:color w:val="auto"/>
          <w:highlight w:val="none"/>
          <w:lang w:val="en-US"/>
        </w:rPr>
      </w:pPr>
    </w:p>
    <w:p w14:paraId="18C85E0F">
      <w:pPr>
        <w:shd w:val="clear"/>
        <w:jc w:val="center"/>
        <w:rPr>
          <w:rFonts w:ascii="宋体" w:hAnsi="宋体" w:cs="宋体"/>
          <w:b/>
          <w:color w:val="auto"/>
          <w:kern w:val="0"/>
          <w:sz w:val="32"/>
          <w:szCs w:val="32"/>
          <w:highlight w:val="none"/>
        </w:rPr>
      </w:pPr>
    </w:p>
    <w:p w14:paraId="1E5B31A5">
      <w:pPr>
        <w:shd w:val="clear"/>
        <w:jc w:val="center"/>
        <w:rPr>
          <w:rFonts w:ascii="宋体" w:hAnsi="宋体" w:cs="宋体"/>
          <w:b/>
          <w:color w:val="auto"/>
          <w:kern w:val="0"/>
          <w:sz w:val="32"/>
          <w:szCs w:val="32"/>
          <w:highlight w:val="none"/>
        </w:rPr>
      </w:pPr>
    </w:p>
    <w:p w14:paraId="696A4C41">
      <w:pPr>
        <w:shd w:val="clear"/>
        <w:jc w:val="center"/>
        <w:rPr>
          <w:rFonts w:hint="eastAsia" w:ascii="宋体" w:hAnsi="宋体" w:cs="宋体"/>
          <w:b/>
          <w:color w:val="auto"/>
          <w:kern w:val="0"/>
          <w:sz w:val="32"/>
          <w:szCs w:val="32"/>
          <w:highlight w:val="none"/>
          <w:lang w:val="zh-CN"/>
        </w:rPr>
      </w:pPr>
    </w:p>
    <w:p w14:paraId="52E793A4">
      <w:pPr>
        <w:shd w:val="clear"/>
        <w:jc w:val="center"/>
        <w:rPr>
          <w:rFonts w:ascii="宋体" w:hAnsi="宋体" w:cs="宋体"/>
          <w:b/>
          <w:color w:val="auto"/>
          <w:kern w:val="0"/>
          <w:sz w:val="32"/>
          <w:szCs w:val="32"/>
          <w:highlight w:val="none"/>
          <w:lang w:val="zh-CN"/>
        </w:rPr>
      </w:pPr>
      <w:r>
        <w:rPr>
          <w:rFonts w:hint="eastAsia" w:ascii="宋体" w:hAnsi="宋体" w:cs="宋体"/>
          <w:b/>
          <w:color w:val="auto"/>
          <w:kern w:val="0"/>
          <w:sz w:val="32"/>
          <w:szCs w:val="32"/>
          <w:highlight w:val="none"/>
          <w:lang w:val="zh-CN"/>
        </w:rPr>
        <w:t>二、授权委托书或法定代表人（单位负责人、自然人本人）身份证明</w:t>
      </w:r>
    </w:p>
    <w:p w14:paraId="5C04AF02">
      <w:pPr>
        <w:shd w:val="clea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p>
    <w:p w14:paraId="47DB87ED">
      <w:pPr>
        <w:shd w:val="clear"/>
        <w:snapToGrid w:val="0"/>
        <w:spacing w:line="360" w:lineRule="auto"/>
        <w:ind w:firstLine="2872" w:firstLineChars="894"/>
        <w:rPr>
          <w:rFonts w:ascii="宋体" w:hAnsi="宋体" w:cs="宋体"/>
          <w:color w:val="auto"/>
          <w:highlight w:val="none"/>
        </w:rPr>
      </w:pPr>
      <w:r>
        <w:rPr>
          <w:rFonts w:hint="eastAsia" w:ascii="宋体" w:hAnsi="宋体" w:cs="宋体"/>
          <w:b/>
          <w:color w:val="auto"/>
          <w:kern w:val="0"/>
          <w:sz w:val="32"/>
          <w:szCs w:val="32"/>
          <w:highlight w:val="none"/>
          <w:lang w:val="zh-CN"/>
        </w:rPr>
        <w:t>授权委托书（适用于非联合体投标）</w:t>
      </w:r>
      <w:r>
        <w:rPr>
          <w:rFonts w:hint="eastAsia" w:ascii="宋体" w:hAnsi="宋体" w:cs="宋体"/>
          <w:color w:val="auto"/>
          <w:highlight w:val="none"/>
        </w:rPr>
        <w:t xml:space="preserve">                               </w:t>
      </w:r>
    </w:p>
    <w:p w14:paraId="62262991">
      <w:pPr>
        <w:shd w:val="clea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宁波市海曙区机关事务管理局、</w:t>
      </w:r>
      <w:r>
        <w:rPr>
          <w:rFonts w:hint="eastAsia" w:ascii="宋体" w:hAnsi="宋体" w:cs="宋体"/>
          <w:color w:val="auto"/>
          <w:sz w:val="24"/>
          <w:highlight w:val="none"/>
          <w:lang w:val="en-US" w:eastAsia="zh-CN"/>
        </w:rPr>
        <w:t>宁波市海曙区人民政府鼓楼街道办事处</w:t>
      </w:r>
      <w:r>
        <w:rPr>
          <w:rFonts w:hint="eastAsia" w:ascii="宋体" w:hAnsi="宋体" w:cs="宋体"/>
          <w:color w:val="auto"/>
          <w:sz w:val="24"/>
          <w:highlight w:val="none"/>
        </w:rPr>
        <w:t>、</w:t>
      </w:r>
      <w:r>
        <w:rPr>
          <w:rFonts w:hint="eastAsia" w:ascii="宋体" w:hAnsi="宋体" w:cs="宋体"/>
          <w:color w:val="auto"/>
          <w:sz w:val="24"/>
          <w:highlight w:val="none"/>
          <w:lang w:eastAsia="zh-CN"/>
        </w:rPr>
        <w:t>宁波中基国际招标有限公司</w:t>
      </w:r>
      <w:r>
        <w:rPr>
          <w:rFonts w:hint="eastAsia" w:ascii="宋体" w:hAnsi="宋体" w:cs="宋体"/>
          <w:color w:val="auto"/>
          <w:kern w:val="0"/>
          <w:sz w:val="24"/>
          <w:highlight w:val="none"/>
          <w:lang w:val="zh-CN"/>
        </w:rPr>
        <w:t>：</w:t>
      </w:r>
    </w:p>
    <w:p w14:paraId="5D0EA732">
      <w:pPr>
        <w:shd w:val="clea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lang w:eastAsia="zh-CN"/>
        </w:rPr>
        <w:t>宁波市海曙区各集中管理办公区等食堂原材料采购项目（蔬果类）</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2025NBHSWT112</w:t>
      </w:r>
      <w:r>
        <w:rPr>
          <w:rFonts w:hint="eastAsia" w:ascii="宋体" w:hAnsi="宋体" w:cs="宋体"/>
          <w:color w:val="auto"/>
          <w:sz w:val="24"/>
          <w:highlight w:val="none"/>
        </w:rPr>
        <w:t>】</w:t>
      </w:r>
      <w:r>
        <w:rPr>
          <w:rFonts w:hint="eastAsia" w:ascii="宋体" w:hAnsi="宋体" w:cs="宋体"/>
          <w:color w:val="auto"/>
          <w:kern w:val="0"/>
          <w:sz w:val="24"/>
          <w:highlight w:val="none"/>
          <w:lang w:val="zh-CN"/>
        </w:rPr>
        <w:t>政府采购投标的一切事项，其法律后果由我方承担。</w:t>
      </w:r>
    </w:p>
    <w:p w14:paraId="29DD3A7D">
      <w:pPr>
        <w:shd w:val="clea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5C344C4A">
      <w:pPr>
        <w:shd w:val="clea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2697A2F4">
      <w:pPr>
        <w:shd w:val="clea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投标人名称（电子签名）：</w:t>
      </w:r>
    </w:p>
    <w:p w14:paraId="1B0ED6B2">
      <w:pPr>
        <w:shd w:val="clea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签发日期：  年  月   日</w:t>
      </w:r>
    </w:p>
    <w:p w14:paraId="4A79741B">
      <w:pPr>
        <w:shd w:val="clear"/>
        <w:snapToGrid w:val="0"/>
        <w:spacing w:line="360" w:lineRule="auto"/>
        <w:rPr>
          <w:rFonts w:ascii="宋体" w:hAnsi="宋体" w:cs="宋体"/>
          <w:color w:val="auto"/>
          <w:sz w:val="24"/>
          <w:highlight w:val="none"/>
        </w:rPr>
      </w:pPr>
    </w:p>
    <w:p w14:paraId="1DC10C9F">
      <w:pPr>
        <w:shd w:val="clea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lang w:val="zh-CN"/>
        </w:rPr>
        <w:t xml:space="preserve">      </w:t>
      </w:r>
      <w:r>
        <w:rPr>
          <w:rFonts w:hint="eastAsia" w:ascii="宋体" w:hAnsi="宋体" w:cs="宋体"/>
          <w:b/>
          <w:color w:val="auto"/>
          <w:kern w:val="0"/>
          <w:sz w:val="32"/>
          <w:szCs w:val="32"/>
          <w:highlight w:val="none"/>
        </w:rPr>
        <w:t xml:space="preserve"> </w:t>
      </w:r>
      <w:r>
        <w:rPr>
          <w:rFonts w:hint="eastAsia" w:ascii="宋体" w:hAnsi="宋体" w:cs="宋体"/>
          <w:b/>
          <w:color w:val="auto"/>
          <w:kern w:val="0"/>
          <w:sz w:val="32"/>
          <w:szCs w:val="32"/>
          <w:highlight w:val="none"/>
          <w:lang w:val="zh-CN"/>
        </w:rPr>
        <w:t>授权委托书（适用于联合体投标）</w:t>
      </w:r>
    </w:p>
    <w:p w14:paraId="09A67915">
      <w:pPr>
        <w:shd w:val="clea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宁波市海曙区机关事务管理局、</w:t>
      </w:r>
      <w:r>
        <w:rPr>
          <w:rFonts w:hint="eastAsia" w:ascii="宋体" w:hAnsi="宋体" w:cs="宋体"/>
          <w:color w:val="auto"/>
          <w:sz w:val="24"/>
          <w:highlight w:val="none"/>
          <w:lang w:val="en-US" w:eastAsia="zh-CN"/>
        </w:rPr>
        <w:t>宁波市海曙区人民政府鼓楼街道办事处</w:t>
      </w:r>
      <w:r>
        <w:rPr>
          <w:rFonts w:hint="eastAsia" w:ascii="宋体" w:hAnsi="宋体" w:cs="宋体"/>
          <w:color w:val="auto"/>
          <w:sz w:val="24"/>
          <w:highlight w:val="none"/>
        </w:rPr>
        <w:t>、</w:t>
      </w:r>
      <w:r>
        <w:rPr>
          <w:rFonts w:hint="eastAsia" w:ascii="宋体" w:hAnsi="宋体" w:cs="宋体"/>
          <w:color w:val="auto"/>
          <w:sz w:val="24"/>
          <w:highlight w:val="none"/>
          <w:lang w:eastAsia="zh-CN"/>
        </w:rPr>
        <w:t>宁波中基国际招标有限公司</w:t>
      </w:r>
      <w:r>
        <w:rPr>
          <w:rFonts w:hint="eastAsia" w:ascii="宋体" w:hAnsi="宋体" w:cs="宋体"/>
          <w:color w:val="auto"/>
          <w:kern w:val="0"/>
          <w:sz w:val="24"/>
          <w:highlight w:val="none"/>
          <w:lang w:val="zh-CN"/>
        </w:rPr>
        <w:t>：</w:t>
      </w:r>
    </w:p>
    <w:p w14:paraId="5BB91890">
      <w:pPr>
        <w:shd w:val="clea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lang w:eastAsia="zh-CN"/>
        </w:rPr>
        <w:t>宁波市海曙区各集中管理办公区等食堂原材料采购项目（蔬果类）</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2025NBHSWT112</w:t>
      </w:r>
      <w:r>
        <w:rPr>
          <w:rFonts w:hint="eastAsia" w:ascii="宋体" w:hAnsi="宋体" w:cs="宋体"/>
          <w:color w:val="auto"/>
          <w:sz w:val="24"/>
          <w:highlight w:val="none"/>
        </w:rPr>
        <w:t>】</w:t>
      </w:r>
      <w:r>
        <w:rPr>
          <w:rFonts w:hint="eastAsia" w:ascii="宋体" w:hAnsi="宋体" w:cs="宋体"/>
          <w:color w:val="auto"/>
          <w:kern w:val="0"/>
          <w:sz w:val="24"/>
          <w:highlight w:val="none"/>
          <w:lang w:val="zh-CN"/>
        </w:rPr>
        <w:t>政府采购投标的一切事项，其法律后果由我方承担。</w:t>
      </w:r>
    </w:p>
    <w:p w14:paraId="51658074">
      <w:pPr>
        <w:shd w:val="clea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5013F3D1">
      <w:pPr>
        <w:shd w:val="clea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0BC79CD3">
      <w:pPr>
        <w:shd w:val="clear"/>
        <w:jc w:val="center"/>
        <w:rPr>
          <w:rFonts w:ascii="宋体" w:hAnsi="宋体" w:cs="宋体"/>
          <w:b/>
          <w:color w:val="auto"/>
          <w:kern w:val="0"/>
          <w:sz w:val="32"/>
          <w:szCs w:val="32"/>
          <w:highlight w:val="none"/>
        </w:rPr>
      </w:pPr>
    </w:p>
    <w:p w14:paraId="246F96B0">
      <w:pPr>
        <w:shd w:val="clear"/>
        <w:rPr>
          <w:rFonts w:ascii="宋体" w:hAnsi="宋体" w:cs="宋体"/>
          <w:color w:val="auto"/>
          <w:highlight w:val="none"/>
        </w:rPr>
      </w:pPr>
    </w:p>
    <w:p w14:paraId="488180B5">
      <w:pPr>
        <w:shd w:val="clea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6565DD71">
      <w:pPr>
        <w:shd w:val="clea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58D7843F">
      <w:pPr>
        <w:shd w:val="clear"/>
        <w:snapToGrid w:val="0"/>
        <w:spacing w:line="360" w:lineRule="auto"/>
        <w:ind w:firstLine="5760" w:firstLineChars="2400"/>
        <w:rPr>
          <w:rFonts w:ascii="宋体" w:hAnsi="宋体" w:cs="宋体"/>
          <w:color w:val="auto"/>
          <w:highlight w:val="none"/>
        </w:rPr>
      </w:pPr>
      <w:r>
        <w:rPr>
          <w:rFonts w:hint="eastAsia" w:ascii="宋体" w:hAnsi="宋体" w:cs="宋体"/>
          <w:color w:val="auto"/>
          <w:kern w:val="0"/>
          <w:sz w:val="24"/>
          <w:highlight w:val="none"/>
          <w:lang w:val="zh-CN"/>
        </w:rPr>
        <w:t>……</w:t>
      </w:r>
    </w:p>
    <w:p w14:paraId="39BA1279">
      <w:pPr>
        <w:shd w:val="clea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7C1CF938">
      <w:pPr>
        <w:shd w:val="clear"/>
        <w:autoSpaceDE w:val="0"/>
        <w:autoSpaceDN w:val="0"/>
        <w:spacing w:line="360" w:lineRule="auto"/>
        <w:jc w:val="center"/>
        <w:rPr>
          <w:rFonts w:ascii="宋体" w:hAnsi="宋体" w:cs="宋体"/>
          <w:b/>
          <w:color w:val="auto"/>
          <w:kern w:val="0"/>
          <w:sz w:val="32"/>
          <w:szCs w:val="32"/>
          <w:highlight w:val="none"/>
          <w:lang w:val="zh-CN"/>
        </w:rPr>
      </w:pPr>
    </w:p>
    <w:p w14:paraId="70A7A9DF">
      <w:pPr>
        <w:shd w:val="clear"/>
        <w:autoSpaceDE w:val="0"/>
        <w:autoSpaceDN w:val="0"/>
        <w:spacing w:line="360" w:lineRule="auto"/>
        <w:jc w:val="center"/>
        <w:rPr>
          <w:rFonts w:ascii="宋体" w:hAnsi="宋体" w:cs="宋体"/>
          <w:b/>
          <w:color w:val="auto"/>
          <w:kern w:val="0"/>
          <w:sz w:val="32"/>
          <w:szCs w:val="32"/>
          <w:highlight w:val="none"/>
          <w:lang w:val="zh-CN"/>
        </w:rPr>
      </w:pPr>
    </w:p>
    <w:p w14:paraId="42FA7AC2">
      <w:pPr>
        <w:shd w:val="clear"/>
        <w:autoSpaceDE w:val="0"/>
        <w:autoSpaceDN w:val="0"/>
        <w:spacing w:line="360" w:lineRule="auto"/>
        <w:jc w:val="center"/>
        <w:rPr>
          <w:rFonts w:ascii="宋体" w:hAnsi="宋体" w:cs="宋体"/>
          <w:b/>
          <w:color w:val="auto"/>
          <w:kern w:val="0"/>
          <w:sz w:val="32"/>
          <w:szCs w:val="32"/>
          <w:highlight w:val="none"/>
          <w:lang w:val="zh-CN"/>
        </w:rPr>
      </w:pPr>
    </w:p>
    <w:p w14:paraId="6ADB69C8">
      <w:pPr>
        <w:shd w:val="clear"/>
        <w:autoSpaceDE w:val="0"/>
        <w:autoSpaceDN w:val="0"/>
        <w:spacing w:line="360" w:lineRule="auto"/>
        <w:jc w:val="center"/>
        <w:rPr>
          <w:rFonts w:ascii="宋体" w:hAnsi="宋体" w:cs="宋体"/>
          <w:b/>
          <w:color w:val="auto"/>
          <w:sz w:val="24"/>
          <w:highlight w:val="none"/>
        </w:rPr>
      </w:pPr>
      <w:r>
        <w:rPr>
          <w:rFonts w:hint="eastAsia" w:ascii="宋体" w:hAnsi="宋体" w:cs="宋体"/>
          <w:b/>
          <w:color w:val="auto"/>
          <w:kern w:val="0"/>
          <w:sz w:val="32"/>
          <w:szCs w:val="32"/>
          <w:highlight w:val="none"/>
          <w:lang w:val="zh-CN"/>
        </w:rPr>
        <w:t>法定代表人、单位负责人或自然人本人</w:t>
      </w:r>
      <w:r>
        <w:rPr>
          <w:rFonts w:hint="eastAsia" w:ascii="宋体" w:hAnsi="宋体" w:cs="宋体"/>
          <w:b/>
          <w:color w:val="auto"/>
          <w:sz w:val="30"/>
          <w:szCs w:val="30"/>
          <w:highlight w:val="none"/>
        </w:rPr>
        <w:t>的身份证明（适用于法定代表人、单位负责人或者自然人本人代表投标人参加投标）</w:t>
      </w:r>
    </w:p>
    <w:p w14:paraId="2D60C866">
      <w:pPr>
        <w:pStyle w:val="147"/>
        <w:shd w:val="clear"/>
        <w:spacing w:line="360" w:lineRule="auto"/>
        <w:rPr>
          <w:rFonts w:hAnsi="宋体" w:cs="宋体"/>
          <w:bCs/>
          <w:color w:val="auto"/>
          <w:sz w:val="24"/>
          <w:highlight w:val="none"/>
        </w:rPr>
      </w:pPr>
      <w:r>
        <w:rPr>
          <w:rFonts w:hint="eastAsia" w:hAnsi="宋体" w:cs="宋体"/>
          <w:bCs/>
          <w:color w:val="auto"/>
          <w:sz w:val="24"/>
          <w:highlight w:val="none"/>
        </w:rPr>
        <w:t>身份证件扫描件：</w:t>
      </w:r>
    </w:p>
    <w:tbl>
      <w:tblPr>
        <w:tblStyle w:val="6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616A7B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4A20089A">
            <w:pPr>
              <w:pStyle w:val="147"/>
              <w:shd w:val="clear"/>
              <w:adjustRightInd w:val="0"/>
              <w:spacing w:line="360" w:lineRule="auto"/>
              <w:rPr>
                <w:rFonts w:hAnsi="宋体" w:cs="宋体"/>
                <w:bCs/>
                <w:color w:val="auto"/>
                <w:sz w:val="24"/>
                <w:highlight w:val="none"/>
              </w:rPr>
            </w:pPr>
            <w:r>
              <w:rPr>
                <w:rFonts w:hint="eastAsia" w:hAnsi="宋体" w:cs="宋体"/>
                <w:bCs/>
                <w:color w:val="auto"/>
                <w:sz w:val="24"/>
                <w:highlight w:val="none"/>
              </w:rPr>
              <w:t>正面：                                 反面：</w:t>
            </w:r>
          </w:p>
          <w:p w14:paraId="4D10AAB8">
            <w:pPr>
              <w:pStyle w:val="147"/>
              <w:shd w:val="clear"/>
              <w:adjustRightInd w:val="0"/>
              <w:spacing w:line="360" w:lineRule="auto"/>
              <w:rPr>
                <w:rFonts w:hAnsi="宋体" w:cs="宋体"/>
                <w:bCs/>
                <w:color w:val="auto"/>
                <w:sz w:val="24"/>
                <w:highlight w:val="none"/>
              </w:rPr>
            </w:pPr>
          </w:p>
        </w:tc>
      </w:tr>
    </w:tbl>
    <w:p w14:paraId="5DB45633">
      <w:pPr>
        <w:shd w:val="clear"/>
        <w:snapToGrid w:val="0"/>
        <w:spacing w:line="360" w:lineRule="auto"/>
        <w:ind w:firstLine="576"/>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14:paraId="3510052E">
      <w:pPr>
        <w:shd w:val="clear"/>
        <w:snapToGrid w:val="0"/>
        <w:spacing w:line="360" w:lineRule="auto"/>
        <w:ind w:firstLine="576"/>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投标人名称（电子签名）：                              </w:t>
      </w:r>
    </w:p>
    <w:p w14:paraId="75E78A78">
      <w:pPr>
        <w:shd w:val="clear"/>
        <w:spacing w:line="360" w:lineRule="auto"/>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07464700">
      <w:pPr>
        <w:shd w:val="clear"/>
        <w:jc w:val="center"/>
        <w:rPr>
          <w:rFonts w:ascii="宋体" w:hAnsi="宋体" w:cs="宋体"/>
          <w:b/>
          <w:color w:val="auto"/>
          <w:kern w:val="0"/>
          <w:sz w:val="32"/>
          <w:szCs w:val="32"/>
          <w:highlight w:val="none"/>
        </w:rPr>
      </w:pPr>
    </w:p>
    <w:p w14:paraId="2C83F646">
      <w:pPr>
        <w:shd w:val="clear"/>
        <w:jc w:val="center"/>
        <w:rPr>
          <w:rFonts w:ascii="宋体" w:hAnsi="宋体" w:cs="宋体"/>
          <w:b/>
          <w:color w:val="auto"/>
          <w:kern w:val="0"/>
          <w:sz w:val="32"/>
          <w:szCs w:val="32"/>
          <w:highlight w:val="none"/>
        </w:rPr>
      </w:pPr>
    </w:p>
    <w:p w14:paraId="61253024">
      <w:pPr>
        <w:shd w:val="clear"/>
        <w:jc w:val="center"/>
        <w:rPr>
          <w:rFonts w:ascii="宋体" w:hAnsi="宋体" w:cs="宋体"/>
          <w:b/>
          <w:color w:val="auto"/>
          <w:kern w:val="0"/>
          <w:sz w:val="32"/>
          <w:szCs w:val="32"/>
          <w:highlight w:val="none"/>
        </w:rPr>
      </w:pPr>
    </w:p>
    <w:p w14:paraId="1732B93B">
      <w:pPr>
        <w:shd w:val="clear"/>
        <w:jc w:val="center"/>
        <w:rPr>
          <w:rFonts w:ascii="宋体" w:hAnsi="宋体" w:cs="宋体"/>
          <w:b/>
          <w:color w:val="auto"/>
          <w:kern w:val="0"/>
          <w:sz w:val="32"/>
          <w:szCs w:val="32"/>
          <w:highlight w:val="none"/>
        </w:rPr>
      </w:pPr>
    </w:p>
    <w:p w14:paraId="3D1090CC">
      <w:pPr>
        <w:shd w:val="clear"/>
        <w:jc w:val="center"/>
        <w:rPr>
          <w:rFonts w:ascii="宋体" w:hAnsi="宋体" w:cs="宋体"/>
          <w:b/>
          <w:color w:val="auto"/>
          <w:kern w:val="0"/>
          <w:sz w:val="32"/>
          <w:szCs w:val="32"/>
          <w:highlight w:val="none"/>
        </w:rPr>
      </w:pPr>
    </w:p>
    <w:p w14:paraId="615C6D3F">
      <w:pPr>
        <w:shd w:val="clear"/>
        <w:jc w:val="center"/>
        <w:rPr>
          <w:rFonts w:ascii="宋体" w:hAnsi="宋体" w:cs="宋体"/>
          <w:b/>
          <w:color w:val="auto"/>
          <w:kern w:val="0"/>
          <w:sz w:val="32"/>
          <w:szCs w:val="32"/>
          <w:highlight w:val="none"/>
        </w:rPr>
      </w:pPr>
    </w:p>
    <w:p w14:paraId="6B07A3B0">
      <w:pPr>
        <w:shd w:val="clear"/>
        <w:jc w:val="center"/>
        <w:rPr>
          <w:rFonts w:ascii="宋体" w:hAnsi="宋体" w:cs="宋体"/>
          <w:b/>
          <w:color w:val="auto"/>
          <w:kern w:val="0"/>
          <w:sz w:val="32"/>
          <w:szCs w:val="32"/>
          <w:highlight w:val="none"/>
        </w:rPr>
      </w:pPr>
    </w:p>
    <w:p w14:paraId="29CB70F8">
      <w:pPr>
        <w:shd w:val="clear"/>
        <w:jc w:val="center"/>
        <w:rPr>
          <w:rFonts w:ascii="宋体" w:hAnsi="宋体" w:cs="宋体"/>
          <w:b/>
          <w:color w:val="auto"/>
          <w:kern w:val="0"/>
          <w:sz w:val="32"/>
          <w:szCs w:val="32"/>
          <w:highlight w:val="none"/>
        </w:rPr>
      </w:pPr>
    </w:p>
    <w:p w14:paraId="57BE2846">
      <w:pPr>
        <w:shd w:val="clear"/>
        <w:jc w:val="center"/>
        <w:rPr>
          <w:rFonts w:ascii="宋体" w:hAnsi="宋体" w:cs="宋体"/>
          <w:b/>
          <w:color w:val="auto"/>
          <w:kern w:val="0"/>
          <w:sz w:val="32"/>
          <w:szCs w:val="32"/>
          <w:highlight w:val="none"/>
        </w:rPr>
      </w:pPr>
    </w:p>
    <w:p w14:paraId="0418484F">
      <w:pPr>
        <w:shd w:val="clear"/>
        <w:jc w:val="center"/>
        <w:rPr>
          <w:rFonts w:ascii="宋体" w:hAnsi="宋体" w:cs="宋体"/>
          <w:b/>
          <w:color w:val="auto"/>
          <w:kern w:val="0"/>
          <w:sz w:val="32"/>
          <w:szCs w:val="32"/>
          <w:highlight w:val="none"/>
        </w:rPr>
      </w:pPr>
    </w:p>
    <w:p w14:paraId="6BDCE2C4">
      <w:pPr>
        <w:shd w:val="clear"/>
        <w:snapToGrid w:val="0"/>
        <w:spacing w:line="360" w:lineRule="auto"/>
        <w:ind w:right="480"/>
        <w:rPr>
          <w:rFonts w:ascii="宋体" w:hAnsi="宋体" w:cs="宋体"/>
          <w:b/>
          <w:color w:val="auto"/>
          <w:kern w:val="0"/>
          <w:sz w:val="32"/>
          <w:szCs w:val="32"/>
          <w:highlight w:val="none"/>
        </w:rPr>
        <w:sectPr>
          <w:pgSz w:w="11906" w:h="16838"/>
          <w:pgMar w:top="1276" w:right="1418" w:bottom="1247" w:left="1418" w:header="851" w:footer="992" w:gutter="0"/>
          <w:cols w:space="720" w:num="1"/>
          <w:titlePg/>
          <w:docGrid w:linePitch="312" w:charSpace="0"/>
        </w:sectPr>
      </w:pPr>
    </w:p>
    <w:p w14:paraId="411461AB">
      <w:pPr>
        <w:shd w:val="clear"/>
        <w:snapToGrid w:val="0"/>
        <w:spacing w:line="360" w:lineRule="auto"/>
        <w:ind w:firstLine="3534" w:firstLineChars="1100"/>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三、分包意向协议（如果有）</w:t>
      </w:r>
    </w:p>
    <w:p w14:paraId="6B3406D5">
      <w:pPr>
        <w:widowControl/>
        <w:shd w:val="clear"/>
        <w:spacing w:line="360" w:lineRule="auto"/>
        <w:ind w:firstLine="120" w:firstLineChars="50"/>
        <w:jc w:val="left"/>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b/>
          <w:color w:val="auto"/>
          <w:sz w:val="24"/>
          <w:highlight w:val="none"/>
        </w:rPr>
        <w:t>中标后以分包方式履行合同的，提供分包意向协议</w:t>
      </w:r>
      <w:r>
        <w:rPr>
          <w:rFonts w:hint="eastAsia" w:ascii="宋体" w:hAnsi="宋体" w:cs="宋体"/>
          <w:b/>
          <w:color w:val="auto"/>
          <w:sz w:val="24"/>
          <w:highlight w:val="none"/>
          <w:lang w:eastAsia="zh-CN"/>
        </w:rPr>
        <w:t>（</w:t>
      </w:r>
      <w:r>
        <w:rPr>
          <w:rFonts w:hint="eastAsia" w:ascii="宋体" w:hAnsi="宋体" w:cs="宋体"/>
          <w:b/>
          <w:color w:val="auto"/>
          <w:sz w:val="24"/>
          <w:highlight w:val="none"/>
        </w:rPr>
        <w:t>附件6</w:t>
      </w:r>
      <w:r>
        <w:rPr>
          <w:rFonts w:hint="eastAsia" w:ascii="宋体" w:hAnsi="宋体" w:cs="宋体"/>
          <w:b/>
          <w:color w:val="auto"/>
          <w:sz w:val="24"/>
          <w:highlight w:val="none"/>
          <w:lang w:eastAsia="zh-CN"/>
        </w:rPr>
        <w:t>）</w:t>
      </w:r>
      <w:r>
        <w:rPr>
          <w:rFonts w:hint="eastAsia" w:ascii="宋体" w:hAnsi="宋体" w:cs="宋体"/>
          <w:b/>
          <w:color w:val="auto"/>
          <w:sz w:val="24"/>
          <w:highlight w:val="none"/>
        </w:rPr>
        <w:t>；采购人不同意分包或者投标人中标后不以分包方式履行合同的，则不需要提供。</w:t>
      </w:r>
      <w:r>
        <w:rPr>
          <w:rFonts w:hint="eastAsia" w:ascii="宋体" w:hAnsi="宋体" w:cs="宋体"/>
          <w:color w:val="auto"/>
          <w:sz w:val="24"/>
          <w:highlight w:val="none"/>
        </w:rPr>
        <w:t>]</w:t>
      </w:r>
    </w:p>
    <w:p w14:paraId="32431B74">
      <w:pPr>
        <w:shd w:val="clear"/>
        <w:snapToGrid w:val="0"/>
        <w:spacing w:line="360" w:lineRule="auto"/>
        <w:rPr>
          <w:rFonts w:ascii="宋体" w:hAnsi="宋体" w:cs="宋体"/>
          <w:color w:val="auto"/>
          <w:kern w:val="0"/>
          <w:sz w:val="24"/>
          <w:highlight w:val="none"/>
        </w:rPr>
      </w:pPr>
    </w:p>
    <w:p w14:paraId="2AF0903C">
      <w:pPr>
        <w:shd w:val="clea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四、符合性审查资料</w:t>
      </w:r>
    </w:p>
    <w:p w14:paraId="066D86C5">
      <w:pPr>
        <w:shd w:val="clear"/>
        <w:jc w:val="center"/>
        <w:rPr>
          <w:rFonts w:ascii="宋体" w:hAnsi="宋体" w:cs="宋体"/>
          <w:b/>
          <w:color w:val="auto"/>
          <w:kern w:val="0"/>
          <w:sz w:val="32"/>
          <w:szCs w:val="32"/>
          <w:highlight w:val="none"/>
        </w:rPr>
      </w:pPr>
    </w:p>
    <w:tbl>
      <w:tblPr>
        <w:tblStyle w:val="63"/>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7C693A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882" w:hRule="atLeast"/>
        </w:trPr>
        <w:tc>
          <w:tcPr>
            <w:tcW w:w="646" w:type="dxa"/>
            <w:vAlign w:val="center"/>
          </w:tcPr>
          <w:p w14:paraId="5309740A">
            <w:pPr>
              <w:shd w:val="clea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4991" w:type="dxa"/>
            <w:vAlign w:val="center"/>
          </w:tcPr>
          <w:p w14:paraId="2F920BA3">
            <w:pPr>
              <w:shd w:val="clea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实质性要求</w:t>
            </w:r>
          </w:p>
        </w:tc>
        <w:tc>
          <w:tcPr>
            <w:tcW w:w="2551" w:type="dxa"/>
            <w:vAlign w:val="center"/>
          </w:tcPr>
          <w:p w14:paraId="26F88742">
            <w:pPr>
              <w:shd w:val="clea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需要提供的符合性审查资料</w:t>
            </w:r>
          </w:p>
        </w:tc>
        <w:tc>
          <w:tcPr>
            <w:tcW w:w="1418" w:type="dxa"/>
            <w:vAlign w:val="center"/>
          </w:tcPr>
          <w:p w14:paraId="20E7B38A">
            <w:pPr>
              <w:shd w:val="clea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投标文件中的</w:t>
            </w:r>
          </w:p>
          <w:p w14:paraId="2EE17F26">
            <w:pPr>
              <w:shd w:val="clea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页码位置</w:t>
            </w:r>
          </w:p>
        </w:tc>
      </w:tr>
      <w:tr w14:paraId="5FD35D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4B5FA243">
            <w:pPr>
              <w:shd w:val="clear"/>
              <w:jc w:val="center"/>
              <w:rPr>
                <w:rFonts w:ascii="宋体" w:hAnsi="宋体" w:cs="宋体"/>
                <w:color w:val="auto"/>
                <w:sz w:val="24"/>
                <w:highlight w:val="none"/>
              </w:rPr>
            </w:pPr>
            <w:r>
              <w:rPr>
                <w:rFonts w:hint="eastAsia" w:ascii="宋体" w:hAnsi="宋体" w:cs="宋体"/>
                <w:color w:val="auto"/>
                <w:sz w:val="24"/>
                <w:highlight w:val="none"/>
              </w:rPr>
              <w:t>1</w:t>
            </w:r>
          </w:p>
        </w:tc>
        <w:tc>
          <w:tcPr>
            <w:tcW w:w="4991" w:type="dxa"/>
          </w:tcPr>
          <w:p w14:paraId="2D55B6AB">
            <w:pPr>
              <w:shd w:val="clear"/>
              <w:spacing w:line="360" w:lineRule="auto"/>
              <w:rPr>
                <w:rFonts w:ascii="宋体" w:hAnsi="宋体" w:cs="宋体"/>
                <w:color w:val="auto"/>
                <w:sz w:val="24"/>
                <w:highlight w:val="none"/>
              </w:rPr>
            </w:pPr>
            <w:r>
              <w:rPr>
                <w:rFonts w:hint="eastAsia" w:ascii="宋体" w:hAnsi="宋体" w:cs="宋体"/>
                <w:color w:val="auto"/>
                <w:sz w:val="24"/>
                <w:highlight w:val="none"/>
              </w:rPr>
              <w:t>投标文件按照招标文件要求签署、盖章。</w:t>
            </w:r>
          </w:p>
        </w:tc>
        <w:tc>
          <w:tcPr>
            <w:tcW w:w="2551" w:type="dxa"/>
            <w:vAlign w:val="center"/>
          </w:tcPr>
          <w:p w14:paraId="0525E609">
            <w:pPr>
              <w:shd w:val="clear"/>
              <w:rPr>
                <w:rFonts w:ascii="宋体" w:hAnsi="宋体" w:cs="宋体"/>
                <w:color w:val="auto"/>
                <w:sz w:val="24"/>
                <w:highlight w:val="none"/>
              </w:rPr>
            </w:pPr>
            <w:r>
              <w:rPr>
                <w:rFonts w:hint="eastAsia" w:ascii="宋体" w:hAnsi="宋体" w:cs="宋体"/>
                <w:color w:val="auto"/>
                <w:sz w:val="24"/>
                <w:highlight w:val="none"/>
              </w:rPr>
              <w:t>需要使用电子签名或者签字盖章的投标文件的组成部分</w:t>
            </w:r>
          </w:p>
        </w:tc>
        <w:tc>
          <w:tcPr>
            <w:tcW w:w="1418" w:type="dxa"/>
          </w:tcPr>
          <w:p w14:paraId="43EA1EF7">
            <w:pPr>
              <w:shd w:val="clear"/>
              <w:rPr>
                <w:rFonts w:ascii="宋体" w:hAnsi="宋体" w:cs="宋体"/>
                <w:color w:val="auto"/>
                <w:sz w:val="24"/>
                <w:highlight w:val="none"/>
              </w:rPr>
            </w:pPr>
          </w:p>
          <w:p w14:paraId="1C729942">
            <w:pPr>
              <w:shd w:val="clear"/>
              <w:rPr>
                <w:rFonts w:ascii="宋体" w:hAnsi="宋体" w:cs="宋体"/>
                <w:color w:val="auto"/>
                <w:sz w:val="24"/>
                <w:highlight w:val="none"/>
              </w:rPr>
            </w:pPr>
            <w:r>
              <w:rPr>
                <w:rFonts w:hint="eastAsia" w:ascii="宋体" w:hAnsi="宋体" w:cs="宋体"/>
                <w:color w:val="auto"/>
                <w:sz w:val="24"/>
                <w:highlight w:val="none"/>
              </w:rPr>
              <w:t>见投标文件</w:t>
            </w:r>
          </w:p>
          <w:p w14:paraId="49F9B0FF">
            <w:pPr>
              <w:shd w:val="clear"/>
              <w:rPr>
                <w:rFonts w:ascii="宋体" w:hAnsi="宋体" w:cs="宋体"/>
                <w:color w:val="auto"/>
                <w:highlight w:val="none"/>
              </w:rPr>
            </w:pPr>
            <w:r>
              <w:rPr>
                <w:rFonts w:hint="eastAsia" w:ascii="宋体" w:hAnsi="宋体" w:cs="宋体"/>
                <w:color w:val="auto"/>
                <w:sz w:val="24"/>
                <w:highlight w:val="none"/>
              </w:rPr>
              <w:t>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189ED1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041EBDD9">
            <w:pPr>
              <w:shd w:val="clear"/>
              <w:jc w:val="center"/>
              <w:rPr>
                <w:rFonts w:ascii="宋体" w:hAnsi="宋体" w:cs="宋体"/>
                <w:color w:val="auto"/>
                <w:sz w:val="24"/>
                <w:highlight w:val="none"/>
              </w:rPr>
            </w:pPr>
            <w:r>
              <w:rPr>
                <w:rFonts w:hint="eastAsia" w:ascii="宋体" w:hAnsi="宋体" w:cs="宋体"/>
                <w:color w:val="auto"/>
                <w:sz w:val="24"/>
                <w:highlight w:val="none"/>
              </w:rPr>
              <w:t>2</w:t>
            </w:r>
          </w:p>
        </w:tc>
        <w:tc>
          <w:tcPr>
            <w:tcW w:w="4991" w:type="dxa"/>
          </w:tcPr>
          <w:p w14:paraId="5442909A">
            <w:pPr>
              <w:shd w:val="clear"/>
              <w:spacing w:line="360" w:lineRule="auto"/>
              <w:rPr>
                <w:rFonts w:ascii="宋体" w:hAnsi="宋体" w:cs="宋体"/>
                <w:color w:val="auto"/>
                <w:sz w:val="24"/>
                <w:highlight w:val="none"/>
              </w:rPr>
            </w:pPr>
            <w:r>
              <w:rPr>
                <w:rFonts w:hint="eastAsia" w:ascii="宋体" w:hAnsi="宋体" w:cs="宋体"/>
                <w:color w:val="auto"/>
                <w:sz w:val="24"/>
                <w:highlight w:val="none"/>
              </w:rPr>
              <w:t>投标文件中承诺的投标有效期不少于招标文件中载明的投标有效期。</w:t>
            </w:r>
          </w:p>
        </w:tc>
        <w:tc>
          <w:tcPr>
            <w:tcW w:w="2551" w:type="dxa"/>
            <w:vAlign w:val="center"/>
          </w:tcPr>
          <w:p w14:paraId="3B716A07">
            <w:pPr>
              <w:shd w:val="clear"/>
              <w:rPr>
                <w:rFonts w:ascii="宋体" w:hAnsi="宋体" w:cs="宋体"/>
                <w:color w:val="auto"/>
                <w:sz w:val="24"/>
                <w:highlight w:val="none"/>
              </w:rPr>
            </w:pPr>
            <w:r>
              <w:rPr>
                <w:rFonts w:hint="eastAsia" w:ascii="宋体" w:hAnsi="宋体" w:cs="宋体"/>
                <w:color w:val="auto"/>
                <w:sz w:val="24"/>
                <w:highlight w:val="none"/>
              </w:rPr>
              <w:t>投标函</w:t>
            </w:r>
          </w:p>
        </w:tc>
        <w:tc>
          <w:tcPr>
            <w:tcW w:w="1418" w:type="dxa"/>
          </w:tcPr>
          <w:p w14:paraId="120B5A75">
            <w:pPr>
              <w:shd w:val="clear"/>
              <w:rPr>
                <w:rFonts w:ascii="宋体" w:hAnsi="宋体" w:cs="宋体"/>
                <w:color w:val="auto"/>
                <w:highlight w:val="none"/>
              </w:rPr>
            </w:pPr>
            <w:r>
              <w:rPr>
                <w:rFonts w:hint="eastAsia" w:ascii="宋体" w:hAnsi="宋体" w:cs="宋体"/>
                <w:color w:val="auto"/>
                <w:sz w:val="24"/>
                <w:highlight w:val="none"/>
              </w:rPr>
              <w:t>见投标文件第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2387EC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5D8B1D48">
            <w:pPr>
              <w:shd w:val="clear"/>
              <w:jc w:val="center"/>
              <w:rPr>
                <w:rFonts w:ascii="宋体" w:hAnsi="宋体" w:cs="宋体"/>
                <w:color w:val="auto"/>
                <w:sz w:val="24"/>
                <w:highlight w:val="none"/>
              </w:rPr>
            </w:pPr>
            <w:r>
              <w:rPr>
                <w:rFonts w:hint="eastAsia" w:ascii="宋体" w:hAnsi="宋体" w:cs="宋体"/>
                <w:color w:val="auto"/>
                <w:sz w:val="24"/>
                <w:highlight w:val="none"/>
              </w:rPr>
              <w:t>3</w:t>
            </w:r>
          </w:p>
        </w:tc>
        <w:tc>
          <w:tcPr>
            <w:tcW w:w="4991" w:type="dxa"/>
          </w:tcPr>
          <w:p w14:paraId="6A68EC86">
            <w:pPr>
              <w:shd w:val="clear"/>
              <w:spacing w:line="360" w:lineRule="auto"/>
              <w:rPr>
                <w:rFonts w:ascii="宋体" w:hAnsi="宋体" w:cs="宋体"/>
                <w:color w:val="auto"/>
                <w:sz w:val="24"/>
                <w:highlight w:val="none"/>
              </w:rPr>
            </w:pPr>
            <w:r>
              <w:rPr>
                <w:rFonts w:hint="eastAsia" w:ascii="宋体" w:hAnsi="宋体" w:cs="宋体"/>
                <w:color w:val="auto"/>
                <w:sz w:val="24"/>
                <w:highlight w:val="none"/>
              </w:rPr>
              <w:t>投标文件满足招标文件的</w:t>
            </w:r>
            <w:r>
              <w:rPr>
                <w:rFonts w:hint="eastAsia" w:ascii="宋体" w:hAnsi="宋体" w:cs="宋体"/>
                <w:color w:val="auto"/>
                <w:sz w:val="24"/>
                <w:highlight w:val="none"/>
                <w:lang w:eastAsia="zh-CN"/>
              </w:rPr>
              <w:t>其他</w:t>
            </w:r>
            <w:r>
              <w:rPr>
                <w:rFonts w:hint="eastAsia" w:ascii="宋体" w:hAnsi="宋体" w:cs="宋体"/>
                <w:color w:val="auto"/>
                <w:sz w:val="24"/>
                <w:highlight w:val="none"/>
              </w:rPr>
              <w:t>实质性要求。</w:t>
            </w:r>
          </w:p>
        </w:tc>
        <w:tc>
          <w:tcPr>
            <w:tcW w:w="2551" w:type="dxa"/>
            <w:vAlign w:val="center"/>
          </w:tcPr>
          <w:p w14:paraId="337485BD">
            <w:pPr>
              <w:shd w:val="clear"/>
              <w:rPr>
                <w:rFonts w:ascii="宋体" w:hAnsi="宋体" w:cs="宋体"/>
                <w:color w:val="auto"/>
                <w:sz w:val="24"/>
                <w:highlight w:val="none"/>
              </w:rPr>
            </w:pPr>
            <w:r>
              <w:rPr>
                <w:rFonts w:hint="eastAsia" w:ascii="宋体" w:hAnsi="宋体" w:cs="宋体"/>
                <w:color w:val="auto"/>
                <w:kern w:val="0"/>
                <w:sz w:val="24"/>
                <w:highlight w:val="none"/>
              </w:rPr>
              <w:t>招标文件</w:t>
            </w:r>
            <w:r>
              <w:rPr>
                <w:rFonts w:hint="eastAsia" w:ascii="宋体" w:hAnsi="宋体" w:cs="宋体"/>
                <w:color w:val="auto"/>
                <w:kern w:val="0"/>
                <w:sz w:val="24"/>
                <w:highlight w:val="none"/>
                <w:lang w:eastAsia="zh-CN"/>
              </w:rPr>
              <w:t>其他</w:t>
            </w:r>
            <w:r>
              <w:rPr>
                <w:rFonts w:hint="eastAsia" w:ascii="宋体" w:hAnsi="宋体" w:cs="宋体"/>
                <w:color w:val="auto"/>
                <w:kern w:val="0"/>
                <w:sz w:val="24"/>
                <w:highlight w:val="none"/>
              </w:rPr>
              <w:t>实质性要求相应的材料（“▲” 系指实质性要求条款，招标文件</w:t>
            </w:r>
            <w:r>
              <w:rPr>
                <w:rFonts w:hint="eastAsia" w:ascii="宋体" w:hAnsi="宋体" w:cs="宋体"/>
                <w:color w:val="auto"/>
                <w:kern w:val="0"/>
                <w:sz w:val="24"/>
                <w:highlight w:val="none"/>
                <w:lang w:eastAsia="zh-CN"/>
              </w:rPr>
              <w:t>无其他</w:t>
            </w:r>
            <w:r>
              <w:rPr>
                <w:rFonts w:hint="eastAsia" w:ascii="宋体" w:hAnsi="宋体" w:cs="宋体"/>
                <w:color w:val="auto"/>
                <w:kern w:val="0"/>
                <w:sz w:val="24"/>
                <w:highlight w:val="none"/>
              </w:rPr>
              <w:t>实质性要求的，无需提供）</w:t>
            </w:r>
          </w:p>
        </w:tc>
        <w:tc>
          <w:tcPr>
            <w:tcW w:w="1418" w:type="dxa"/>
          </w:tcPr>
          <w:p w14:paraId="05607050">
            <w:pPr>
              <w:shd w:val="clear"/>
              <w:rPr>
                <w:rFonts w:ascii="宋体" w:hAnsi="宋体" w:cs="宋体"/>
                <w:color w:val="auto"/>
                <w:highlight w:val="none"/>
              </w:rPr>
            </w:pPr>
            <w:r>
              <w:rPr>
                <w:rFonts w:hint="eastAsia" w:ascii="宋体" w:hAnsi="宋体" w:cs="宋体"/>
                <w:color w:val="auto"/>
                <w:sz w:val="24"/>
                <w:highlight w:val="none"/>
              </w:rPr>
              <w:t>见投标文件第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bl>
    <w:p w14:paraId="3C38423D">
      <w:pPr>
        <w:shd w:val="clea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199DDB3F">
      <w:pPr>
        <w:shd w:val="clear"/>
        <w:jc w:val="center"/>
        <w:rPr>
          <w:rFonts w:ascii="宋体" w:hAnsi="宋体" w:cs="宋体"/>
          <w:b/>
          <w:color w:val="auto"/>
          <w:kern w:val="0"/>
          <w:sz w:val="32"/>
          <w:szCs w:val="32"/>
          <w:highlight w:val="none"/>
        </w:rPr>
      </w:pPr>
    </w:p>
    <w:p w14:paraId="0727253A">
      <w:pPr>
        <w:shd w:val="clea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 xml:space="preserve">            </w:t>
      </w:r>
    </w:p>
    <w:p w14:paraId="0C0B568E">
      <w:pPr>
        <w:shd w:val="clear"/>
        <w:jc w:val="center"/>
        <w:rPr>
          <w:rFonts w:ascii="宋体" w:hAnsi="宋体" w:cs="宋体"/>
          <w:b/>
          <w:color w:val="auto"/>
          <w:kern w:val="0"/>
          <w:sz w:val="32"/>
          <w:szCs w:val="32"/>
          <w:highlight w:val="none"/>
        </w:rPr>
      </w:pPr>
    </w:p>
    <w:p w14:paraId="094E9B9F">
      <w:pPr>
        <w:shd w:val="clear"/>
        <w:jc w:val="center"/>
        <w:rPr>
          <w:rFonts w:ascii="宋体" w:hAnsi="宋体" w:cs="宋体"/>
          <w:b/>
          <w:color w:val="auto"/>
          <w:kern w:val="0"/>
          <w:sz w:val="32"/>
          <w:szCs w:val="32"/>
          <w:highlight w:val="none"/>
        </w:rPr>
      </w:pPr>
    </w:p>
    <w:p w14:paraId="3038D403">
      <w:pPr>
        <w:shd w:val="clear"/>
        <w:jc w:val="center"/>
        <w:rPr>
          <w:rFonts w:ascii="宋体" w:hAnsi="宋体" w:cs="宋体"/>
          <w:b/>
          <w:color w:val="auto"/>
          <w:kern w:val="0"/>
          <w:sz w:val="32"/>
          <w:szCs w:val="32"/>
          <w:highlight w:val="none"/>
        </w:rPr>
      </w:pPr>
    </w:p>
    <w:p w14:paraId="7D58C511">
      <w:pPr>
        <w:shd w:val="clear"/>
        <w:jc w:val="center"/>
        <w:rPr>
          <w:rFonts w:ascii="宋体" w:hAnsi="宋体" w:cs="宋体"/>
          <w:b/>
          <w:color w:val="auto"/>
          <w:kern w:val="0"/>
          <w:sz w:val="32"/>
          <w:szCs w:val="32"/>
          <w:highlight w:val="none"/>
        </w:rPr>
      </w:pPr>
    </w:p>
    <w:p w14:paraId="387B8DB6">
      <w:pPr>
        <w:shd w:val="clear"/>
        <w:jc w:val="center"/>
        <w:rPr>
          <w:rFonts w:ascii="宋体" w:hAnsi="宋体" w:cs="宋体"/>
          <w:b/>
          <w:color w:val="auto"/>
          <w:kern w:val="0"/>
          <w:sz w:val="32"/>
          <w:szCs w:val="32"/>
          <w:highlight w:val="none"/>
        </w:rPr>
      </w:pPr>
    </w:p>
    <w:p w14:paraId="2F8984F7">
      <w:pPr>
        <w:shd w:val="clear"/>
        <w:jc w:val="center"/>
        <w:rPr>
          <w:rFonts w:ascii="宋体" w:hAnsi="宋体" w:cs="宋体"/>
          <w:b/>
          <w:color w:val="auto"/>
          <w:kern w:val="0"/>
          <w:sz w:val="32"/>
          <w:szCs w:val="32"/>
          <w:highlight w:val="none"/>
        </w:rPr>
      </w:pPr>
    </w:p>
    <w:p w14:paraId="7E90D3B6">
      <w:pPr>
        <w:shd w:val="clear"/>
        <w:jc w:val="center"/>
        <w:rPr>
          <w:rFonts w:ascii="宋体" w:hAnsi="宋体" w:cs="宋体"/>
          <w:b/>
          <w:color w:val="auto"/>
          <w:kern w:val="0"/>
          <w:sz w:val="32"/>
          <w:szCs w:val="32"/>
          <w:highlight w:val="none"/>
        </w:rPr>
      </w:pPr>
    </w:p>
    <w:p w14:paraId="6D794DA0">
      <w:pPr>
        <w:shd w:val="clear"/>
        <w:jc w:val="center"/>
        <w:rPr>
          <w:rFonts w:ascii="宋体" w:hAnsi="宋体" w:cs="宋体"/>
          <w:b/>
          <w:color w:val="auto"/>
          <w:kern w:val="0"/>
          <w:sz w:val="32"/>
          <w:szCs w:val="32"/>
          <w:highlight w:val="none"/>
        </w:rPr>
      </w:pPr>
    </w:p>
    <w:p w14:paraId="5501583A">
      <w:pPr>
        <w:shd w:val="clear"/>
        <w:jc w:val="center"/>
        <w:rPr>
          <w:rFonts w:ascii="宋体" w:hAnsi="宋体" w:cs="宋体"/>
          <w:b/>
          <w:color w:val="auto"/>
          <w:kern w:val="0"/>
          <w:sz w:val="32"/>
          <w:szCs w:val="32"/>
          <w:highlight w:val="none"/>
        </w:rPr>
      </w:pPr>
    </w:p>
    <w:p w14:paraId="2A6C9D1E">
      <w:pPr>
        <w:shd w:val="clear"/>
        <w:jc w:val="center"/>
        <w:rPr>
          <w:rFonts w:ascii="宋体" w:hAnsi="宋体" w:cs="宋体"/>
          <w:b/>
          <w:color w:val="auto"/>
          <w:kern w:val="0"/>
          <w:sz w:val="32"/>
          <w:szCs w:val="32"/>
          <w:highlight w:val="none"/>
        </w:rPr>
      </w:pPr>
    </w:p>
    <w:p w14:paraId="2645BF29">
      <w:pPr>
        <w:shd w:val="clear"/>
        <w:jc w:val="center"/>
        <w:rPr>
          <w:rFonts w:ascii="宋体" w:hAnsi="宋体" w:cs="宋体"/>
          <w:b/>
          <w:color w:val="auto"/>
          <w:kern w:val="0"/>
          <w:sz w:val="32"/>
          <w:szCs w:val="32"/>
          <w:highlight w:val="none"/>
        </w:rPr>
      </w:pPr>
    </w:p>
    <w:p w14:paraId="344893E3">
      <w:pPr>
        <w:shd w:val="clear"/>
        <w:jc w:val="center"/>
        <w:rPr>
          <w:rFonts w:ascii="宋体" w:hAnsi="宋体" w:cs="宋体"/>
          <w:b/>
          <w:color w:val="auto"/>
          <w:kern w:val="0"/>
          <w:sz w:val="32"/>
          <w:szCs w:val="32"/>
          <w:highlight w:val="none"/>
        </w:rPr>
      </w:pPr>
    </w:p>
    <w:p w14:paraId="595BD566">
      <w:pPr>
        <w:shd w:val="clear"/>
        <w:jc w:val="center"/>
        <w:rPr>
          <w:rFonts w:ascii="宋体" w:hAnsi="宋体" w:cs="宋体"/>
          <w:color w:val="auto"/>
          <w:highlight w:val="none"/>
        </w:rPr>
      </w:pPr>
      <w:r>
        <w:rPr>
          <w:rFonts w:hint="eastAsia" w:ascii="宋体" w:hAnsi="宋体" w:cs="宋体"/>
          <w:b/>
          <w:color w:val="auto"/>
          <w:kern w:val="0"/>
          <w:sz w:val="32"/>
          <w:szCs w:val="32"/>
          <w:highlight w:val="none"/>
        </w:rPr>
        <w:t>五、评标标准相应的商务技术资料</w:t>
      </w:r>
    </w:p>
    <w:p w14:paraId="1128ADFE">
      <w:pPr>
        <w:shd w:val="clear"/>
        <w:snapToGrid w:val="0"/>
        <w:spacing w:line="360" w:lineRule="auto"/>
        <w:jc w:val="left"/>
        <w:rPr>
          <w:rFonts w:ascii="宋体" w:hAnsi="宋体" w:cs="宋体"/>
          <w:b/>
          <w:color w:val="auto"/>
          <w:sz w:val="24"/>
          <w:highlight w:val="none"/>
        </w:rPr>
      </w:pPr>
      <w:r>
        <w:rPr>
          <w:rFonts w:hint="eastAsia" w:ascii="宋体" w:hAnsi="宋体" w:cs="宋体"/>
          <w:b/>
          <w:color w:val="auto"/>
          <w:sz w:val="24"/>
          <w:highlight w:val="none"/>
        </w:rPr>
        <w:t>（按招标文件第四部分评标办法前附表中“投标文件中评标标准相应的商务技术资料目录”提供资料。）</w:t>
      </w:r>
    </w:p>
    <w:p w14:paraId="4D4BB911">
      <w:pPr>
        <w:shd w:val="clear"/>
        <w:jc w:val="center"/>
        <w:rPr>
          <w:rFonts w:ascii="宋体" w:hAnsi="宋体" w:cs="宋体"/>
          <w:b/>
          <w:color w:val="auto"/>
          <w:kern w:val="0"/>
          <w:sz w:val="32"/>
          <w:szCs w:val="32"/>
          <w:highlight w:val="none"/>
        </w:rPr>
      </w:pPr>
    </w:p>
    <w:p w14:paraId="23A5582C">
      <w:pPr>
        <w:shd w:val="clear"/>
        <w:jc w:val="center"/>
        <w:rPr>
          <w:rFonts w:ascii="宋体" w:hAnsi="宋体" w:cs="宋体"/>
          <w:b/>
          <w:color w:val="auto"/>
          <w:kern w:val="0"/>
          <w:sz w:val="32"/>
          <w:szCs w:val="32"/>
          <w:highlight w:val="none"/>
        </w:rPr>
      </w:pPr>
    </w:p>
    <w:p w14:paraId="7FF432DB">
      <w:pPr>
        <w:shd w:val="clear"/>
        <w:jc w:val="center"/>
        <w:rPr>
          <w:rFonts w:ascii="宋体" w:hAnsi="宋体" w:cs="宋体"/>
          <w:b/>
          <w:color w:val="auto"/>
          <w:kern w:val="0"/>
          <w:sz w:val="32"/>
          <w:szCs w:val="32"/>
          <w:highlight w:val="none"/>
        </w:rPr>
      </w:pPr>
    </w:p>
    <w:p w14:paraId="5F69C452">
      <w:pPr>
        <w:shd w:val="clea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六、商务技术偏离表</w:t>
      </w:r>
    </w:p>
    <w:tbl>
      <w:tblPr>
        <w:tblStyle w:val="64"/>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683"/>
        <w:gridCol w:w="3546"/>
        <w:gridCol w:w="1276"/>
      </w:tblGrid>
      <w:tr w14:paraId="2E9CFC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6E9D5B38">
            <w:pPr>
              <w:shd w:val="clear"/>
              <w:jc w:val="center"/>
              <w:rPr>
                <w:rFonts w:ascii="宋体" w:hAnsi="宋体" w:cs="宋体"/>
                <w:b/>
                <w:bCs/>
                <w:color w:val="auto"/>
                <w:sz w:val="24"/>
                <w:highlight w:val="none"/>
              </w:rPr>
            </w:pPr>
            <w:r>
              <w:rPr>
                <w:rFonts w:hint="eastAsia" w:ascii="宋体" w:hAnsi="宋体" w:cs="宋体"/>
                <w:b/>
                <w:bCs/>
                <w:color w:val="auto"/>
                <w:sz w:val="24"/>
                <w:highlight w:val="none"/>
              </w:rPr>
              <w:t>序号</w:t>
            </w:r>
          </w:p>
        </w:tc>
        <w:tc>
          <w:tcPr>
            <w:tcW w:w="3683" w:type="dxa"/>
          </w:tcPr>
          <w:p w14:paraId="56A85361">
            <w:pPr>
              <w:shd w:val="clear"/>
              <w:jc w:val="center"/>
              <w:rPr>
                <w:rFonts w:ascii="宋体" w:hAnsi="宋体" w:cs="宋体"/>
                <w:b/>
                <w:bCs/>
                <w:color w:val="auto"/>
                <w:sz w:val="24"/>
                <w:highlight w:val="none"/>
              </w:rPr>
            </w:pPr>
            <w:r>
              <w:rPr>
                <w:rFonts w:hint="eastAsia" w:ascii="宋体" w:hAnsi="宋体" w:cs="宋体"/>
                <w:b/>
                <w:bCs/>
                <w:color w:val="auto"/>
                <w:sz w:val="24"/>
                <w:highlight w:val="none"/>
              </w:rPr>
              <w:t>招标文件章节及具体内容</w:t>
            </w:r>
          </w:p>
        </w:tc>
        <w:tc>
          <w:tcPr>
            <w:tcW w:w="3546" w:type="dxa"/>
          </w:tcPr>
          <w:p w14:paraId="2BEFEBA6">
            <w:pPr>
              <w:shd w:val="clear"/>
              <w:jc w:val="center"/>
              <w:rPr>
                <w:rFonts w:ascii="宋体" w:hAnsi="宋体" w:cs="宋体"/>
                <w:b/>
                <w:bCs/>
                <w:color w:val="auto"/>
                <w:sz w:val="24"/>
                <w:highlight w:val="none"/>
              </w:rPr>
            </w:pPr>
            <w:r>
              <w:rPr>
                <w:rFonts w:hint="eastAsia" w:ascii="宋体" w:hAnsi="宋体" w:cs="宋体"/>
                <w:b/>
                <w:bCs/>
                <w:color w:val="auto"/>
                <w:sz w:val="24"/>
                <w:highlight w:val="none"/>
              </w:rPr>
              <w:t>投标文件章节及具体内容</w:t>
            </w:r>
          </w:p>
        </w:tc>
        <w:tc>
          <w:tcPr>
            <w:tcW w:w="1276" w:type="dxa"/>
          </w:tcPr>
          <w:p w14:paraId="081750FE">
            <w:pPr>
              <w:shd w:val="clear"/>
              <w:jc w:val="center"/>
              <w:rPr>
                <w:rFonts w:ascii="宋体" w:hAnsi="宋体" w:cs="宋体"/>
                <w:b/>
                <w:bCs/>
                <w:color w:val="auto"/>
                <w:sz w:val="24"/>
                <w:highlight w:val="none"/>
              </w:rPr>
            </w:pPr>
            <w:r>
              <w:rPr>
                <w:rFonts w:hint="eastAsia" w:ascii="宋体" w:hAnsi="宋体" w:cs="宋体"/>
                <w:b/>
                <w:bCs/>
                <w:color w:val="auto"/>
                <w:sz w:val="24"/>
                <w:highlight w:val="none"/>
              </w:rPr>
              <w:t>偏离说明</w:t>
            </w:r>
          </w:p>
        </w:tc>
      </w:tr>
      <w:tr w14:paraId="596375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09CC29F4">
            <w:pPr>
              <w:shd w:val="clear"/>
              <w:jc w:val="center"/>
              <w:rPr>
                <w:rFonts w:ascii="宋体" w:hAnsi="宋体" w:cs="宋体"/>
                <w:color w:val="auto"/>
                <w:kern w:val="0"/>
                <w:sz w:val="24"/>
                <w:highlight w:val="none"/>
              </w:rPr>
            </w:pPr>
            <w:r>
              <w:rPr>
                <w:rFonts w:hint="eastAsia" w:ascii="宋体" w:hAnsi="宋体" w:cs="宋体"/>
                <w:color w:val="auto"/>
                <w:kern w:val="0"/>
                <w:sz w:val="24"/>
                <w:highlight w:val="none"/>
              </w:rPr>
              <w:t>1</w:t>
            </w:r>
          </w:p>
        </w:tc>
        <w:tc>
          <w:tcPr>
            <w:tcW w:w="3683" w:type="dxa"/>
          </w:tcPr>
          <w:p w14:paraId="45AD9582">
            <w:pPr>
              <w:shd w:val="clear"/>
              <w:jc w:val="center"/>
              <w:rPr>
                <w:rFonts w:ascii="宋体" w:hAnsi="宋体" w:cs="宋体"/>
                <w:b/>
                <w:color w:val="auto"/>
                <w:kern w:val="0"/>
                <w:sz w:val="32"/>
                <w:szCs w:val="32"/>
                <w:highlight w:val="none"/>
              </w:rPr>
            </w:pPr>
          </w:p>
        </w:tc>
        <w:tc>
          <w:tcPr>
            <w:tcW w:w="3546" w:type="dxa"/>
          </w:tcPr>
          <w:p w14:paraId="344C6C86">
            <w:pPr>
              <w:shd w:val="clear"/>
              <w:jc w:val="center"/>
              <w:rPr>
                <w:rFonts w:ascii="宋体" w:hAnsi="宋体" w:cs="宋体"/>
                <w:b/>
                <w:color w:val="auto"/>
                <w:kern w:val="0"/>
                <w:sz w:val="32"/>
                <w:szCs w:val="32"/>
                <w:highlight w:val="none"/>
              </w:rPr>
            </w:pPr>
          </w:p>
        </w:tc>
        <w:tc>
          <w:tcPr>
            <w:tcW w:w="1276" w:type="dxa"/>
          </w:tcPr>
          <w:p w14:paraId="6487AF07">
            <w:pPr>
              <w:shd w:val="clear"/>
              <w:jc w:val="center"/>
              <w:rPr>
                <w:rFonts w:ascii="宋体" w:hAnsi="宋体" w:cs="宋体"/>
                <w:b/>
                <w:color w:val="auto"/>
                <w:kern w:val="0"/>
                <w:sz w:val="32"/>
                <w:szCs w:val="32"/>
                <w:highlight w:val="none"/>
              </w:rPr>
            </w:pPr>
          </w:p>
        </w:tc>
      </w:tr>
      <w:tr w14:paraId="0127A1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3B3B00D0">
            <w:pPr>
              <w:shd w:val="clear"/>
              <w:jc w:val="center"/>
              <w:rPr>
                <w:rFonts w:ascii="宋体" w:hAnsi="宋体" w:cs="宋体"/>
                <w:color w:val="auto"/>
                <w:kern w:val="0"/>
                <w:sz w:val="24"/>
                <w:highlight w:val="none"/>
              </w:rPr>
            </w:pPr>
            <w:r>
              <w:rPr>
                <w:rFonts w:hint="eastAsia" w:ascii="宋体" w:hAnsi="宋体" w:cs="宋体"/>
                <w:color w:val="auto"/>
                <w:kern w:val="0"/>
                <w:sz w:val="24"/>
                <w:highlight w:val="none"/>
              </w:rPr>
              <w:t>2</w:t>
            </w:r>
          </w:p>
        </w:tc>
        <w:tc>
          <w:tcPr>
            <w:tcW w:w="3683" w:type="dxa"/>
          </w:tcPr>
          <w:p w14:paraId="06F83BFD">
            <w:pPr>
              <w:shd w:val="clear"/>
              <w:jc w:val="center"/>
              <w:rPr>
                <w:rFonts w:ascii="宋体" w:hAnsi="宋体" w:cs="宋体"/>
                <w:b/>
                <w:color w:val="auto"/>
                <w:kern w:val="0"/>
                <w:sz w:val="32"/>
                <w:szCs w:val="32"/>
                <w:highlight w:val="none"/>
              </w:rPr>
            </w:pPr>
          </w:p>
        </w:tc>
        <w:tc>
          <w:tcPr>
            <w:tcW w:w="3546" w:type="dxa"/>
          </w:tcPr>
          <w:p w14:paraId="4A7D2EDB">
            <w:pPr>
              <w:shd w:val="clear"/>
              <w:jc w:val="center"/>
              <w:rPr>
                <w:rFonts w:ascii="宋体" w:hAnsi="宋体" w:cs="宋体"/>
                <w:b/>
                <w:color w:val="auto"/>
                <w:kern w:val="0"/>
                <w:sz w:val="32"/>
                <w:szCs w:val="32"/>
                <w:highlight w:val="none"/>
              </w:rPr>
            </w:pPr>
          </w:p>
        </w:tc>
        <w:tc>
          <w:tcPr>
            <w:tcW w:w="1276" w:type="dxa"/>
          </w:tcPr>
          <w:p w14:paraId="3A3BBF35">
            <w:pPr>
              <w:shd w:val="clear"/>
              <w:jc w:val="center"/>
              <w:rPr>
                <w:rFonts w:ascii="宋体" w:hAnsi="宋体" w:cs="宋体"/>
                <w:b/>
                <w:color w:val="auto"/>
                <w:kern w:val="0"/>
                <w:sz w:val="32"/>
                <w:szCs w:val="32"/>
                <w:highlight w:val="none"/>
              </w:rPr>
            </w:pPr>
          </w:p>
        </w:tc>
      </w:tr>
      <w:tr w14:paraId="645AAB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7C3AFE3E">
            <w:pPr>
              <w:shd w:val="clear"/>
              <w:jc w:val="center"/>
              <w:rPr>
                <w:rFonts w:ascii="宋体" w:hAnsi="宋体" w:cs="宋体"/>
                <w:color w:val="auto"/>
                <w:kern w:val="0"/>
                <w:sz w:val="24"/>
                <w:highlight w:val="none"/>
              </w:rPr>
            </w:pPr>
            <w:r>
              <w:rPr>
                <w:rFonts w:hint="eastAsia" w:ascii="宋体" w:hAnsi="宋体" w:cs="宋体"/>
                <w:color w:val="auto"/>
                <w:kern w:val="0"/>
                <w:sz w:val="24"/>
                <w:highlight w:val="none"/>
              </w:rPr>
              <w:t>……</w:t>
            </w:r>
          </w:p>
        </w:tc>
        <w:tc>
          <w:tcPr>
            <w:tcW w:w="3683" w:type="dxa"/>
          </w:tcPr>
          <w:p w14:paraId="184176B1">
            <w:pPr>
              <w:shd w:val="clear"/>
              <w:jc w:val="center"/>
              <w:rPr>
                <w:rFonts w:ascii="宋体" w:hAnsi="宋体" w:cs="宋体"/>
                <w:b/>
                <w:color w:val="auto"/>
                <w:kern w:val="0"/>
                <w:sz w:val="32"/>
                <w:szCs w:val="32"/>
                <w:highlight w:val="none"/>
              </w:rPr>
            </w:pPr>
          </w:p>
        </w:tc>
        <w:tc>
          <w:tcPr>
            <w:tcW w:w="3546" w:type="dxa"/>
          </w:tcPr>
          <w:p w14:paraId="5E62BEDB">
            <w:pPr>
              <w:shd w:val="clear"/>
              <w:jc w:val="center"/>
              <w:rPr>
                <w:rFonts w:ascii="宋体" w:hAnsi="宋体" w:cs="宋体"/>
                <w:b/>
                <w:color w:val="auto"/>
                <w:kern w:val="0"/>
                <w:sz w:val="32"/>
                <w:szCs w:val="32"/>
                <w:highlight w:val="none"/>
              </w:rPr>
            </w:pPr>
          </w:p>
        </w:tc>
        <w:tc>
          <w:tcPr>
            <w:tcW w:w="1276" w:type="dxa"/>
          </w:tcPr>
          <w:p w14:paraId="672CED56">
            <w:pPr>
              <w:shd w:val="clear"/>
              <w:jc w:val="center"/>
              <w:rPr>
                <w:rFonts w:ascii="宋体" w:hAnsi="宋体" w:cs="宋体"/>
                <w:b/>
                <w:color w:val="auto"/>
                <w:kern w:val="0"/>
                <w:sz w:val="32"/>
                <w:szCs w:val="32"/>
                <w:highlight w:val="none"/>
              </w:rPr>
            </w:pPr>
          </w:p>
        </w:tc>
      </w:tr>
    </w:tbl>
    <w:p w14:paraId="32B14AAC">
      <w:pPr>
        <w:shd w:val="clear"/>
        <w:jc w:val="left"/>
        <w:rPr>
          <w:rFonts w:ascii="宋体" w:hAnsi="宋体" w:cs="宋体"/>
          <w:color w:val="auto"/>
          <w:kern w:val="0"/>
          <w:sz w:val="24"/>
          <w:highlight w:val="none"/>
        </w:rPr>
      </w:pPr>
      <w:r>
        <w:rPr>
          <w:rFonts w:hint="eastAsia" w:ascii="宋体" w:hAnsi="宋体" w:cs="宋体"/>
          <w:color w:val="auto"/>
          <w:kern w:val="0"/>
          <w:sz w:val="24"/>
          <w:highlight w:val="none"/>
        </w:rPr>
        <w:t>投标人保证：除商务技术偏离表列出的偏离外，投标人响应招标文件的全部要求</w:t>
      </w:r>
    </w:p>
    <w:p w14:paraId="5A2B5D75">
      <w:pPr>
        <w:shd w:val="clear"/>
        <w:jc w:val="center"/>
        <w:rPr>
          <w:rFonts w:ascii="宋体" w:hAnsi="宋体" w:cs="宋体"/>
          <w:b/>
          <w:color w:val="auto"/>
          <w:kern w:val="0"/>
          <w:sz w:val="32"/>
          <w:szCs w:val="32"/>
          <w:highlight w:val="none"/>
        </w:rPr>
      </w:pPr>
    </w:p>
    <w:p w14:paraId="30D994A4">
      <w:pPr>
        <w:shd w:val="clea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3AEAAE8E">
      <w:pPr>
        <w:shd w:val="clear"/>
        <w:ind w:firstLine="1911" w:firstLineChars="595"/>
        <w:rPr>
          <w:rFonts w:ascii="宋体" w:hAnsi="宋体" w:cs="宋体"/>
          <w:b/>
          <w:bCs/>
          <w:color w:val="auto"/>
          <w:sz w:val="32"/>
          <w:szCs w:val="32"/>
          <w:highlight w:val="none"/>
        </w:rPr>
      </w:pPr>
    </w:p>
    <w:p w14:paraId="2DDAE522">
      <w:pPr>
        <w:shd w:val="clear"/>
        <w:ind w:firstLine="1911" w:firstLineChars="595"/>
        <w:rPr>
          <w:rFonts w:ascii="宋体" w:hAnsi="宋体" w:cs="宋体"/>
          <w:b/>
          <w:bCs/>
          <w:color w:val="auto"/>
          <w:sz w:val="32"/>
          <w:szCs w:val="32"/>
          <w:highlight w:val="none"/>
        </w:rPr>
      </w:pPr>
    </w:p>
    <w:p w14:paraId="282971A1">
      <w:pPr>
        <w:shd w:val="clear"/>
        <w:ind w:firstLine="1911" w:firstLineChars="595"/>
        <w:rPr>
          <w:rFonts w:ascii="宋体" w:hAnsi="宋体" w:cs="宋体"/>
          <w:b/>
          <w:bCs/>
          <w:color w:val="auto"/>
          <w:sz w:val="32"/>
          <w:szCs w:val="32"/>
          <w:highlight w:val="none"/>
        </w:rPr>
      </w:pPr>
    </w:p>
    <w:p w14:paraId="608083B6">
      <w:pPr>
        <w:widowControl/>
        <w:shd w:val="clear"/>
        <w:adjustRightInd/>
        <w:jc w:val="left"/>
        <w:rPr>
          <w:rFonts w:ascii="宋体" w:hAnsi="宋体" w:cs="宋体"/>
          <w:b/>
          <w:bCs/>
          <w:color w:val="auto"/>
          <w:sz w:val="32"/>
          <w:szCs w:val="32"/>
          <w:highlight w:val="none"/>
        </w:rPr>
      </w:pPr>
      <w:r>
        <w:rPr>
          <w:rFonts w:ascii="宋体" w:hAnsi="宋体" w:cs="宋体"/>
          <w:b/>
          <w:bCs/>
          <w:color w:val="auto"/>
          <w:sz w:val="32"/>
          <w:szCs w:val="32"/>
          <w:highlight w:val="none"/>
        </w:rPr>
        <w:br w:type="page"/>
      </w:r>
    </w:p>
    <w:p w14:paraId="5FD0C75C">
      <w:pPr>
        <w:shd w:val="clear"/>
        <w:ind w:firstLine="1911" w:firstLineChars="595"/>
        <w:rPr>
          <w:rFonts w:ascii="宋体" w:hAnsi="宋体" w:cs="宋体"/>
          <w:b/>
          <w:color w:val="auto"/>
          <w:kern w:val="0"/>
          <w:sz w:val="32"/>
          <w:szCs w:val="32"/>
          <w:highlight w:val="none"/>
        </w:rPr>
      </w:pPr>
      <w:r>
        <w:rPr>
          <w:rFonts w:hint="eastAsia" w:ascii="宋体" w:hAnsi="宋体" w:cs="宋体"/>
          <w:b/>
          <w:bCs/>
          <w:color w:val="auto"/>
          <w:sz w:val="32"/>
          <w:szCs w:val="32"/>
          <w:highlight w:val="none"/>
          <w:lang w:val="en-US" w:eastAsia="zh-CN"/>
        </w:rPr>
        <w:t>七</w:t>
      </w:r>
      <w:r>
        <w:rPr>
          <w:rFonts w:hint="eastAsia" w:ascii="宋体" w:hAnsi="宋体" w:cs="宋体"/>
          <w:b/>
          <w:color w:val="auto"/>
          <w:kern w:val="0"/>
          <w:sz w:val="32"/>
          <w:szCs w:val="32"/>
          <w:highlight w:val="none"/>
        </w:rPr>
        <w:t>、</w:t>
      </w:r>
      <w:r>
        <w:rPr>
          <w:rFonts w:hint="eastAsia" w:ascii="宋体" w:hAnsi="宋体" w:cs="宋体"/>
          <w:b/>
          <w:color w:val="auto"/>
          <w:kern w:val="0"/>
          <w:sz w:val="32"/>
          <w:szCs w:val="32"/>
          <w:highlight w:val="none"/>
          <w:lang w:val="zh-CN"/>
        </w:rPr>
        <w:t>政府采购供应商廉洁自律承诺书</w:t>
      </w:r>
    </w:p>
    <w:p w14:paraId="306498C5">
      <w:pPr>
        <w:shd w:val="clear"/>
        <w:snapToGrid w:val="0"/>
        <w:spacing w:line="360" w:lineRule="auto"/>
        <w:rPr>
          <w:rFonts w:ascii="宋体" w:hAnsi="宋体" w:cs="宋体"/>
          <w:color w:val="auto"/>
          <w:sz w:val="24"/>
          <w:highlight w:val="none"/>
        </w:rPr>
      </w:pPr>
    </w:p>
    <w:p w14:paraId="00E99070">
      <w:pPr>
        <w:shd w:val="clea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宁波市海曙区机关事务管理局、</w:t>
      </w:r>
      <w:r>
        <w:rPr>
          <w:rFonts w:hint="eastAsia" w:ascii="宋体" w:hAnsi="宋体" w:cs="宋体"/>
          <w:color w:val="auto"/>
          <w:sz w:val="24"/>
          <w:highlight w:val="none"/>
          <w:lang w:val="en-US" w:eastAsia="zh-CN"/>
        </w:rPr>
        <w:t>宁波市海曙区人民政府鼓楼街道办事处</w:t>
      </w:r>
      <w:r>
        <w:rPr>
          <w:rFonts w:hint="eastAsia" w:ascii="宋体" w:hAnsi="宋体" w:cs="宋体"/>
          <w:color w:val="auto"/>
          <w:sz w:val="24"/>
          <w:highlight w:val="none"/>
        </w:rPr>
        <w:t>、</w:t>
      </w:r>
      <w:r>
        <w:rPr>
          <w:rFonts w:hint="eastAsia" w:ascii="宋体" w:hAnsi="宋体" w:cs="宋体"/>
          <w:color w:val="auto"/>
          <w:sz w:val="24"/>
          <w:highlight w:val="none"/>
          <w:lang w:eastAsia="zh-CN"/>
        </w:rPr>
        <w:t>宁波中基国际招标有限公司</w:t>
      </w:r>
      <w:r>
        <w:rPr>
          <w:rFonts w:hint="eastAsia" w:ascii="宋体" w:hAnsi="宋体" w:cs="宋体"/>
          <w:color w:val="auto"/>
          <w:kern w:val="0"/>
          <w:sz w:val="24"/>
          <w:highlight w:val="none"/>
          <w:lang w:val="zh-CN"/>
        </w:rPr>
        <w:t>：</w:t>
      </w:r>
    </w:p>
    <w:p w14:paraId="62692CD4">
      <w:pPr>
        <w:shd w:val="clea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我单位响应你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项目招标要求参加投标。在这次投标过程中和中标后，我们将严格遵守国家法律法规要求，并郑重承诺：</w:t>
      </w:r>
    </w:p>
    <w:p w14:paraId="5FA9BC88">
      <w:pPr>
        <w:shd w:val="clea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一、不向项目有关人员及部门赠送礼金礼物、有价证券、回扣以及中介费、介绍费、咨询费等好处费； </w:t>
      </w:r>
    </w:p>
    <w:p w14:paraId="636F885A">
      <w:pPr>
        <w:shd w:val="clea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二、不为项目有关人员及部门报销应由你方单位或个人支付的费用； </w:t>
      </w:r>
    </w:p>
    <w:p w14:paraId="35BA4534">
      <w:pPr>
        <w:shd w:val="clea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三、不向项目有关人员及部门提供有可能影响公正的宴请和健身娱乐等活动； </w:t>
      </w:r>
    </w:p>
    <w:p w14:paraId="71F91FB5">
      <w:pPr>
        <w:shd w:val="clea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四、不为项目有关人员及部门出国（境）、旅游等提供方便；</w:t>
      </w:r>
    </w:p>
    <w:p w14:paraId="6C805F40">
      <w:pPr>
        <w:shd w:val="clear"/>
        <w:autoSpaceDE w:val="0"/>
        <w:autoSpaceDN w:val="0"/>
        <w:spacing w:line="360" w:lineRule="auto"/>
        <w:ind w:left="481" w:leftChars="229"/>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五、不为项目有关人员个人装修住房、婚丧嫁娶、配偶子女工作安排等提供</w:t>
      </w:r>
    </w:p>
    <w:p w14:paraId="29A6C4F4">
      <w:pPr>
        <w:shd w:val="clear"/>
        <w:autoSpaceDE w:val="0"/>
        <w:autoSpaceDN w:val="0"/>
        <w:spacing w:line="360" w:lineRule="auto"/>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好处；</w:t>
      </w:r>
    </w:p>
    <w:p w14:paraId="41821283">
      <w:pPr>
        <w:shd w:val="clear"/>
        <w:autoSpaceDE w:val="0"/>
        <w:autoSpaceDN w:val="0"/>
        <w:spacing w:line="360" w:lineRule="auto"/>
        <w:ind w:left="220" w:leftChars="105" w:firstLine="259" w:firstLineChars="108"/>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六、严格遵守《</w:t>
      </w:r>
      <w:r>
        <w:rPr>
          <w:rFonts w:hint="eastAsia" w:ascii="宋体" w:hAnsi="宋体" w:cs="宋体"/>
          <w:color w:val="auto"/>
          <w:sz w:val="24"/>
          <w:highlight w:val="none"/>
          <w:lang w:val="zh-CN"/>
        </w:rPr>
        <w:t>中华人民共和国</w:t>
      </w:r>
      <w:r>
        <w:rPr>
          <w:rFonts w:hint="eastAsia" w:ascii="宋体" w:hAnsi="宋体" w:cs="宋体"/>
          <w:color w:val="auto"/>
          <w:kern w:val="0"/>
          <w:sz w:val="24"/>
          <w:highlight w:val="none"/>
          <w:lang w:val="zh-CN"/>
        </w:rPr>
        <w:t>政府采购法》《</w:t>
      </w:r>
      <w:r>
        <w:rPr>
          <w:rFonts w:hint="eastAsia" w:ascii="宋体" w:hAnsi="宋体" w:cs="宋体"/>
          <w:color w:val="auto"/>
          <w:sz w:val="24"/>
          <w:highlight w:val="none"/>
          <w:lang w:val="zh-CN"/>
        </w:rPr>
        <w:t>中华人民共和国</w:t>
      </w:r>
      <w:r>
        <w:rPr>
          <w:rFonts w:hint="eastAsia" w:ascii="宋体" w:hAnsi="宋体" w:cs="宋体"/>
          <w:color w:val="auto"/>
          <w:kern w:val="0"/>
          <w:sz w:val="24"/>
          <w:highlight w:val="none"/>
          <w:lang w:val="zh-CN"/>
        </w:rPr>
        <w:t>招标投标法》</w:t>
      </w:r>
      <w:r>
        <w:rPr>
          <w:rFonts w:hint="eastAsia" w:ascii="宋体" w:hAnsi="宋体" w:cs="宋体"/>
          <w:color w:val="auto"/>
          <w:sz w:val="24"/>
          <w:highlight w:val="none"/>
          <w:lang w:val="zh-CN"/>
        </w:rPr>
        <w:t>《中华人民共和国民法典》</w:t>
      </w:r>
      <w:r>
        <w:rPr>
          <w:rFonts w:hint="eastAsia" w:ascii="宋体" w:hAnsi="宋体" w:cs="宋体"/>
          <w:color w:val="auto"/>
          <w:kern w:val="0"/>
          <w:sz w:val="24"/>
          <w:highlight w:val="none"/>
          <w:lang w:val="zh-CN"/>
        </w:rPr>
        <w:t xml:space="preserve">等法律法规，诚实守信，合法经营，坚决抵制各种违法违纪行为。 </w:t>
      </w:r>
    </w:p>
    <w:p w14:paraId="6B1FDAD5">
      <w:pPr>
        <w:shd w:val="clea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如违反上述承诺，你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有权立即取消我单位投标、中标或在建项目的建设资格，有权拒绝我单位在一定时期内进入你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进行项目建设或其他经营活动，并通报</w:t>
      </w:r>
      <w:r>
        <w:rPr>
          <w:rFonts w:hint="eastAsia" w:ascii="宋体" w:hAnsi="宋体" w:cs="宋体"/>
          <w:color w:val="auto"/>
          <w:kern w:val="0"/>
          <w:sz w:val="24"/>
          <w:highlight w:val="none"/>
          <w:lang w:val="en-US" w:eastAsia="zh-CN"/>
        </w:rPr>
        <w:t>区</w:t>
      </w:r>
      <w:r>
        <w:rPr>
          <w:rFonts w:hint="eastAsia" w:ascii="宋体" w:hAnsi="宋体" w:cs="宋体"/>
          <w:color w:val="auto"/>
          <w:kern w:val="0"/>
          <w:sz w:val="24"/>
          <w:highlight w:val="none"/>
          <w:lang w:val="zh-CN"/>
        </w:rPr>
        <w:t>财政局。由此引起的相应损失均由我单位承担。</w:t>
      </w:r>
    </w:p>
    <w:p w14:paraId="5E092A66">
      <w:pPr>
        <w:shd w:val="clear"/>
        <w:autoSpaceDE w:val="0"/>
        <w:autoSpaceDN w:val="0"/>
        <w:spacing w:line="360" w:lineRule="auto"/>
        <w:ind w:left="2"/>
        <w:jc w:val="left"/>
        <w:rPr>
          <w:rFonts w:ascii="宋体" w:hAnsi="宋体" w:cs="宋体"/>
          <w:color w:val="auto"/>
          <w:kern w:val="0"/>
          <w:sz w:val="24"/>
          <w:highlight w:val="none"/>
          <w:lang w:val="zh-CN"/>
        </w:rPr>
      </w:pPr>
    </w:p>
    <w:p w14:paraId="381E86A2">
      <w:pPr>
        <w:shd w:val="clear"/>
        <w:autoSpaceDE w:val="0"/>
        <w:autoSpaceDN w:val="0"/>
        <w:spacing w:line="360" w:lineRule="auto"/>
        <w:ind w:left="2"/>
        <w:jc w:val="left"/>
        <w:rPr>
          <w:rFonts w:ascii="宋体" w:hAnsi="宋体" w:cs="宋体"/>
          <w:color w:val="auto"/>
          <w:kern w:val="0"/>
          <w:sz w:val="24"/>
          <w:highlight w:val="none"/>
          <w:lang w:val="zh-CN"/>
        </w:rPr>
      </w:pPr>
    </w:p>
    <w:p w14:paraId="7E74B71E">
      <w:pPr>
        <w:shd w:val="clear"/>
        <w:autoSpaceDE w:val="0"/>
        <w:autoSpaceDN w:val="0"/>
        <w:spacing w:line="360" w:lineRule="auto"/>
        <w:ind w:left="2"/>
        <w:jc w:val="left"/>
        <w:rPr>
          <w:rFonts w:ascii="宋体" w:hAnsi="宋体" w:cs="宋体"/>
          <w:color w:val="auto"/>
          <w:kern w:val="0"/>
          <w:sz w:val="24"/>
          <w:highlight w:val="none"/>
          <w:lang w:val="zh-CN"/>
        </w:rPr>
      </w:pPr>
    </w:p>
    <w:p w14:paraId="6F8F89C3">
      <w:pPr>
        <w:shd w:val="clear"/>
        <w:autoSpaceDE w:val="0"/>
        <w:autoSpaceDN w:val="0"/>
        <w:spacing w:line="360" w:lineRule="auto"/>
        <w:ind w:left="2" w:leftChars="1" w:right="1120" w:firstLine="4560" w:firstLineChars="19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投标人名称（</w:t>
      </w:r>
      <w:r>
        <w:rPr>
          <w:rFonts w:hint="eastAsia" w:ascii="宋体" w:hAnsi="宋体" w:cs="宋体"/>
          <w:color w:val="auto"/>
          <w:sz w:val="24"/>
          <w:highlight w:val="none"/>
        </w:rPr>
        <w:t>电子签名</w:t>
      </w:r>
      <w:r>
        <w:rPr>
          <w:rFonts w:hint="eastAsia" w:ascii="宋体" w:hAnsi="宋体" w:cs="宋体"/>
          <w:color w:val="auto"/>
          <w:kern w:val="0"/>
          <w:sz w:val="24"/>
          <w:highlight w:val="none"/>
          <w:lang w:val="zh-CN"/>
        </w:rPr>
        <w:t xml:space="preserve">）：                                                                                                                                                                                                               </w:t>
      </w:r>
    </w:p>
    <w:p w14:paraId="5233C77C">
      <w:pPr>
        <w:shd w:val="clear"/>
        <w:spacing w:line="360" w:lineRule="auto"/>
        <w:ind w:left="4620" w:leftChars="2200"/>
        <w:rPr>
          <w:rFonts w:ascii="宋体" w:hAnsi="宋体" w:cs="宋体"/>
          <w:color w:val="auto"/>
          <w:sz w:val="24"/>
          <w:highlight w:val="none"/>
        </w:rPr>
      </w:pP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 xml:space="preserve">   年   月   日</w:t>
      </w:r>
    </w:p>
    <w:p w14:paraId="7E09E2B0">
      <w:pPr>
        <w:shd w:val="clear"/>
        <w:spacing w:line="360" w:lineRule="auto"/>
        <w:jc w:val="center"/>
        <w:rPr>
          <w:rFonts w:ascii="宋体" w:hAnsi="宋体" w:cs="宋体"/>
          <w:b/>
          <w:bCs/>
          <w:color w:val="auto"/>
          <w:sz w:val="24"/>
          <w:highlight w:val="none"/>
        </w:rPr>
      </w:pPr>
    </w:p>
    <w:p w14:paraId="3655EED7">
      <w:pPr>
        <w:shd w:val="clea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139C1428">
      <w:pPr>
        <w:shd w:val="clear"/>
        <w:spacing w:line="360" w:lineRule="auto"/>
        <w:jc w:val="center"/>
        <w:rPr>
          <w:rFonts w:ascii="宋体" w:hAnsi="宋体" w:cs="宋体"/>
          <w:b/>
          <w:bCs/>
          <w:color w:val="auto"/>
          <w:sz w:val="24"/>
          <w:highlight w:val="none"/>
        </w:rPr>
        <w:sectPr>
          <w:headerReference r:id="rId13" w:type="first"/>
          <w:footerReference r:id="rId15" w:type="first"/>
          <w:headerReference r:id="rId12" w:type="default"/>
          <w:footerReference r:id="rId14" w:type="default"/>
          <w:pgSz w:w="11906" w:h="16838"/>
          <w:pgMar w:top="1276" w:right="1418" w:bottom="1247" w:left="1418" w:header="851" w:footer="992" w:gutter="0"/>
          <w:cols w:space="720" w:num="1"/>
          <w:titlePg/>
          <w:docGrid w:linePitch="312" w:charSpace="0"/>
        </w:sectPr>
      </w:pPr>
    </w:p>
    <w:p w14:paraId="52F87DF3">
      <w:pPr>
        <w:shd w:val="clea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报价文件部分</w:t>
      </w:r>
    </w:p>
    <w:p w14:paraId="10A3E42A">
      <w:pPr>
        <w:shd w:val="clea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14:paraId="416BFD55">
      <w:pPr>
        <w:shd w:val="clear"/>
        <w:spacing w:line="360" w:lineRule="auto"/>
        <w:jc w:val="center"/>
        <w:outlineLvl w:val="0"/>
        <w:rPr>
          <w:rFonts w:ascii="宋体" w:hAnsi="宋体" w:cs="宋体"/>
          <w:b/>
          <w:color w:val="auto"/>
          <w:kern w:val="0"/>
          <w:sz w:val="36"/>
          <w:szCs w:val="36"/>
          <w:highlight w:val="none"/>
        </w:rPr>
      </w:pPr>
    </w:p>
    <w:p w14:paraId="6B25F9AE">
      <w:pPr>
        <w:shd w:val="clea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（1）开标一览表（报价表）………………………………………………………（页码）</w:t>
      </w:r>
    </w:p>
    <w:p w14:paraId="62F12DE9">
      <w:pPr>
        <w:shd w:val="clear"/>
        <w:snapToGrid w:val="0"/>
        <w:spacing w:line="360" w:lineRule="auto"/>
        <w:rPr>
          <w:rFonts w:ascii="宋体" w:hAnsi="宋体" w:cs="宋体"/>
          <w:color w:val="auto"/>
          <w:sz w:val="24"/>
          <w:highlight w:val="none"/>
        </w:rPr>
      </w:pPr>
      <w:r>
        <w:rPr>
          <w:rFonts w:hint="eastAsia" w:ascii="宋体" w:hAnsi="宋体" w:cs="宋体"/>
          <w:color w:val="auto"/>
          <w:sz w:val="24"/>
          <w:highlight w:val="none"/>
        </w:rPr>
        <w:t>（2）中小企业声明函………………………………………………………………（页码）（</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）历史供货价格</w:t>
      </w:r>
      <w:r>
        <w:rPr>
          <w:rFonts w:hint="eastAsia" w:ascii="宋体" w:hAnsi="宋体" w:cs="宋体"/>
          <w:color w:val="auto"/>
          <w:sz w:val="24"/>
          <w:highlight w:val="none"/>
          <w:lang w:val="en-US" w:eastAsia="zh-CN"/>
        </w:rPr>
        <w:t>凭证（供应商应提供合同或供货发票或其他供货证明，证明供应商可按本次报价进行供货）</w:t>
      </w:r>
      <w:r>
        <w:rPr>
          <w:rFonts w:hint="eastAsia" w:ascii="宋体" w:hAnsi="宋体" w:cs="宋体"/>
          <w:color w:val="auto"/>
          <w:sz w:val="24"/>
          <w:highlight w:val="none"/>
        </w:rPr>
        <w:t>………………………………………………………………（页码）（</w:t>
      </w:r>
      <w:r>
        <w:rPr>
          <w:rFonts w:hint="eastAsia" w:ascii="宋体" w:hAnsi="宋体" w:cs="宋体"/>
          <w:color w:val="auto"/>
          <w:sz w:val="24"/>
          <w:highlight w:val="none"/>
          <w:lang w:val="en-US" w:eastAsia="zh-CN"/>
        </w:rPr>
        <w:t>4</w:t>
      </w:r>
      <w:r>
        <w:rPr>
          <w:rFonts w:hint="eastAsia" w:ascii="宋体" w:hAnsi="宋体" w:cs="宋体"/>
          <w:color w:val="auto"/>
          <w:sz w:val="24"/>
          <w:highlight w:val="none"/>
        </w:rPr>
        <w:t>）</w:t>
      </w:r>
      <w:r>
        <w:rPr>
          <w:rFonts w:hint="eastAsia" w:ascii="宋体" w:hAnsi="宋体" w:cs="宋体"/>
          <w:color w:val="auto"/>
          <w:sz w:val="24"/>
          <w:highlight w:val="none"/>
          <w:lang w:val="en-US" w:eastAsia="zh-CN"/>
        </w:rPr>
        <w:t>报价情况说明</w:t>
      </w:r>
      <w:r>
        <w:rPr>
          <w:rFonts w:hint="eastAsia" w:ascii="宋体" w:hAnsi="宋体" w:cs="宋体"/>
          <w:color w:val="auto"/>
          <w:sz w:val="24"/>
          <w:highlight w:val="none"/>
        </w:rPr>
        <w:t>……………………………………………………………………（页码）</w:t>
      </w:r>
    </w:p>
    <w:p w14:paraId="3DC19934">
      <w:pPr>
        <w:shd w:val="clear"/>
        <w:snapToGrid w:val="0"/>
        <w:spacing w:line="360" w:lineRule="auto"/>
        <w:ind w:right="480"/>
        <w:jc w:val="center"/>
        <w:rPr>
          <w:rFonts w:ascii="宋体" w:hAnsi="宋体" w:cs="宋体"/>
          <w:b/>
          <w:color w:val="auto"/>
          <w:kern w:val="0"/>
          <w:sz w:val="32"/>
          <w:szCs w:val="32"/>
          <w:highlight w:val="none"/>
        </w:rPr>
      </w:pPr>
    </w:p>
    <w:p w14:paraId="36D35045">
      <w:pPr>
        <w:shd w:val="clear"/>
        <w:snapToGrid w:val="0"/>
        <w:spacing w:line="360" w:lineRule="auto"/>
        <w:ind w:right="480"/>
        <w:jc w:val="center"/>
        <w:rPr>
          <w:rFonts w:ascii="宋体" w:hAnsi="宋体" w:cs="宋体"/>
          <w:b/>
          <w:color w:val="auto"/>
          <w:kern w:val="0"/>
          <w:sz w:val="32"/>
          <w:szCs w:val="32"/>
          <w:highlight w:val="none"/>
        </w:rPr>
      </w:pPr>
    </w:p>
    <w:p w14:paraId="5F91A664">
      <w:pPr>
        <w:shd w:val="clear"/>
        <w:snapToGrid w:val="0"/>
        <w:spacing w:line="360" w:lineRule="auto"/>
        <w:ind w:right="480"/>
        <w:jc w:val="center"/>
        <w:rPr>
          <w:rFonts w:ascii="宋体" w:hAnsi="宋体" w:cs="宋体"/>
          <w:b/>
          <w:color w:val="auto"/>
          <w:kern w:val="0"/>
          <w:sz w:val="32"/>
          <w:szCs w:val="32"/>
          <w:highlight w:val="none"/>
        </w:rPr>
      </w:pPr>
    </w:p>
    <w:p w14:paraId="12CC6428">
      <w:pPr>
        <w:shd w:val="clear"/>
        <w:snapToGrid w:val="0"/>
        <w:spacing w:line="360" w:lineRule="auto"/>
        <w:ind w:right="480"/>
        <w:jc w:val="center"/>
        <w:rPr>
          <w:rFonts w:ascii="宋体" w:hAnsi="宋体" w:cs="宋体"/>
          <w:b/>
          <w:color w:val="auto"/>
          <w:kern w:val="0"/>
          <w:sz w:val="32"/>
          <w:szCs w:val="32"/>
          <w:highlight w:val="none"/>
        </w:rPr>
      </w:pPr>
    </w:p>
    <w:p w14:paraId="7F4057CC">
      <w:pPr>
        <w:shd w:val="clear"/>
        <w:snapToGrid w:val="0"/>
        <w:spacing w:line="360" w:lineRule="auto"/>
        <w:ind w:right="480"/>
        <w:jc w:val="center"/>
        <w:rPr>
          <w:rFonts w:ascii="宋体" w:hAnsi="宋体" w:cs="宋体"/>
          <w:b/>
          <w:color w:val="auto"/>
          <w:kern w:val="0"/>
          <w:sz w:val="32"/>
          <w:szCs w:val="32"/>
          <w:highlight w:val="none"/>
        </w:rPr>
      </w:pPr>
    </w:p>
    <w:p w14:paraId="6B55BF8C">
      <w:pPr>
        <w:shd w:val="clear"/>
        <w:snapToGrid w:val="0"/>
        <w:spacing w:line="360" w:lineRule="auto"/>
        <w:ind w:right="480"/>
        <w:jc w:val="center"/>
        <w:rPr>
          <w:rFonts w:ascii="宋体" w:hAnsi="宋体" w:cs="宋体"/>
          <w:b/>
          <w:color w:val="auto"/>
          <w:kern w:val="0"/>
          <w:sz w:val="32"/>
          <w:szCs w:val="32"/>
          <w:highlight w:val="none"/>
        </w:rPr>
      </w:pPr>
    </w:p>
    <w:p w14:paraId="23FBDAD0">
      <w:pPr>
        <w:shd w:val="clear"/>
        <w:snapToGrid w:val="0"/>
        <w:spacing w:line="360" w:lineRule="auto"/>
        <w:ind w:right="480"/>
        <w:jc w:val="center"/>
        <w:rPr>
          <w:rFonts w:ascii="宋体" w:hAnsi="宋体" w:cs="宋体"/>
          <w:b/>
          <w:color w:val="auto"/>
          <w:kern w:val="0"/>
          <w:sz w:val="32"/>
          <w:szCs w:val="32"/>
          <w:highlight w:val="none"/>
        </w:rPr>
      </w:pPr>
    </w:p>
    <w:p w14:paraId="2F112FB4">
      <w:pPr>
        <w:shd w:val="clear"/>
        <w:snapToGrid w:val="0"/>
        <w:spacing w:line="360" w:lineRule="auto"/>
        <w:ind w:right="480"/>
        <w:jc w:val="center"/>
        <w:rPr>
          <w:rFonts w:ascii="宋体" w:hAnsi="宋体" w:cs="宋体"/>
          <w:b/>
          <w:color w:val="auto"/>
          <w:kern w:val="0"/>
          <w:sz w:val="32"/>
          <w:szCs w:val="32"/>
          <w:highlight w:val="none"/>
        </w:rPr>
      </w:pPr>
    </w:p>
    <w:p w14:paraId="4A568023">
      <w:pPr>
        <w:shd w:val="clear"/>
        <w:snapToGrid w:val="0"/>
        <w:spacing w:line="360" w:lineRule="auto"/>
        <w:ind w:right="480"/>
        <w:jc w:val="center"/>
        <w:rPr>
          <w:rFonts w:ascii="宋体" w:hAnsi="宋体" w:cs="宋体"/>
          <w:b/>
          <w:color w:val="auto"/>
          <w:kern w:val="0"/>
          <w:sz w:val="32"/>
          <w:szCs w:val="32"/>
          <w:highlight w:val="none"/>
        </w:rPr>
      </w:pPr>
    </w:p>
    <w:p w14:paraId="26C8DB53">
      <w:pPr>
        <w:shd w:val="clear"/>
        <w:snapToGrid w:val="0"/>
        <w:spacing w:line="360" w:lineRule="auto"/>
        <w:ind w:right="480"/>
        <w:jc w:val="center"/>
        <w:rPr>
          <w:rFonts w:ascii="宋体" w:hAnsi="宋体" w:cs="宋体"/>
          <w:b/>
          <w:color w:val="auto"/>
          <w:kern w:val="0"/>
          <w:sz w:val="32"/>
          <w:szCs w:val="32"/>
          <w:highlight w:val="none"/>
        </w:rPr>
      </w:pPr>
    </w:p>
    <w:p w14:paraId="46C6A3C9">
      <w:pPr>
        <w:shd w:val="clear"/>
        <w:snapToGrid w:val="0"/>
        <w:spacing w:line="360" w:lineRule="auto"/>
        <w:ind w:right="480"/>
        <w:jc w:val="center"/>
        <w:rPr>
          <w:rFonts w:ascii="宋体" w:hAnsi="宋体" w:cs="宋体"/>
          <w:b/>
          <w:color w:val="auto"/>
          <w:kern w:val="0"/>
          <w:sz w:val="32"/>
          <w:szCs w:val="32"/>
          <w:highlight w:val="none"/>
        </w:rPr>
      </w:pPr>
    </w:p>
    <w:p w14:paraId="2B340D81">
      <w:pPr>
        <w:shd w:val="clear"/>
        <w:snapToGrid w:val="0"/>
        <w:spacing w:line="360" w:lineRule="auto"/>
        <w:ind w:right="480"/>
        <w:jc w:val="center"/>
        <w:rPr>
          <w:rFonts w:ascii="宋体" w:hAnsi="宋体" w:cs="宋体"/>
          <w:b/>
          <w:color w:val="auto"/>
          <w:kern w:val="0"/>
          <w:sz w:val="32"/>
          <w:szCs w:val="32"/>
          <w:highlight w:val="none"/>
        </w:rPr>
      </w:pPr>
    </w:p>
    <w:p w14:paraId="4CD490AA">
      <w:pPr>
        <w:shd w:val="clear"/>
        <w:snapToGrid w:val="0"/>
        <w:spacing w:line="360" w:lineRule="auto"/>
        <w:ind w:right="480"/>
        <w:jc w:val="center"/>
        <w:rPr>
          <w:rFonts w:ascii="宋体" w:hAnsi="宋体" w:cs="宋体"/>
          <w:b/>
          <w:color w:val="auto"/>
          <w:kern w:val="0"/>
          <w:sz w:val="32"/>
          <w:szCs w:val="32"/>
          <w:highlight w:val="none"/>
        </w:rPr>
      </w:pPr>
    </w:p>
    <w:p w14:paraId="649FC9CB">
      <w:pPr>
        <w:shd w:val="clear"/>
        <w:snapToGrid w:val="0"/>
        <w:spacing w:line="360" w:lineRule="auto"/>
        <w:ind w:right="480"/>
        <w:jc w:val="center"/>
        <w:rPr>
          <w:rFonts w:ascii="宋体" w:hAnsi="宋体" w:cs="宋体"/>
          <w:b/>
          <w:color w:val="auto"/>
          <w:kern w:val="0"/>
          <w:sz w:val="32"/>
          <w:szCs w:val="32"/>
          <w:highlight w:val="none"/>
        </w:rPr>
      </w:pPr>
    </w:p>
    <w:p w14:paraId="02782BAC">
      <w:pPr>
        <w:shd w:val="clear"/>
        <w:snapToGrid w:val="0"/>
        <w:spacing w:line="360" w:lineRule="auto"/>
        <w:ind w:right="480"/>
        <w:jc w:val="center"/>
        <w:rPr>
          <w:rFonts w:ascii="宋体" w:hAnsi="宋体" w:cs="宋体"/>
          <w:b/>
          <w:color w:val="auto"/>
          <w:kern w:val="0"/>
          <w:sz w:val="32"/>
          <w:szCs w:val="32"/>
          <w:highlight w:val="none"/>
        </w:rPr>
      </w:pPr>
    </w:p>
    <w:p w14:paraId="378F6D7A">
      <w:pPr>
        <w:pStyle w:val="690"/>
        <w:keepNext w:val="0"/>
        <w:pageBreakBefore w:val="0"/>
        <w:shd w:val="clear"/>
        <w:tabs>
          <w:tab w:val="clear" w:pos="720"/>
        </w:tabs>
        <w:snapToGrid w:val="0"/>
        <w:spacing w:before="120" w:after="120"/>
        <w:ind w:firstLine="643"/>
        <w:outlineLvl w:val="9"/>
        <w:rPr>
          <w:rFonts w:ascii="宋体" w:hAnsi="宋体" w:eastAsia="宋体" w:cs="宋体"/>
          <w:color w:val="auto"/>
          <w:kern w:val="2"/>
          <w:sz w:val="32"/>
          <w:szCs w:val="32"/>
          <w:highlight w:val="none"/>
        </w:rPr>
        <w:sectPr>
          <w:headerReference r:id="rId17" w:type="first"/>
          <w:footerReference r:id="rId19" w:type="first"/>
          <w:headerReference r:id="rId16" w:type="default"/>
          <w:footerReference r:id="rId18" w:type="default"/>
          <w:pgSz w:w="11906" w:h="16838"/>
          <w:pgMar w:top="1276" w:right="1418" w:bottom="1247" w:left="1418" w:header="851" w:footer="992" w:gutter="0"/>
          <w:cols w:space="720" w:num="1"/>
          <w:titlePg/>
          <w:docGrid w:linePitch="312" w:charSpace="0"/>
        </w:sectPr>
      </w:pPr>
    </w:p>
    <w:p w14:paraId="36D86617">
      <w:pPr>
        <w:pStyle w:val="690"/>
        <w:keepNext w:val="0"/>
        <w:pageBreakBefore w:val="0"/>
        <w:shd w:val="clear"/>
        <w:tabs>
          <w:tab w:val="clear" w:pos="720"/>
        </w:tabs>
        <w:snapToGrid w:val="0"/>
        <w:spacing w:before="120" w:after="120"/>
        <w:ind w:firstLine="643"/>
        <w:outlineLvl w:val="9"/>
        <w:rPr>
          <w:rFonts w:ascii="宋体" w:hAnsi="宋体" w:eastAsia="宋体" w:cs="宋体"/>
          <w:color w:val="auto"/>
          <w:kern w:val="2"/>
          <w:sz w:val="32"/>
          <w:szCs w:val="32"/>
          <w:highlight w:val="none"/>
        </w:rPr>
      </w:pPr>
      <w:r>
        <w:rPr>
          <w:rFonts w:hint="eastAsia" w:ascii="宋体" w:hAnsi="宋体" w:eastAsia="宋体" w:cs="宋体"/>
          <w:color w:val="auto"/>
          <w:kern w:val="2"/>
          <w:sz w:val="32"/>
          <w:szCs w:val="32"/>
          <w:highlight w:val="none"/>
        </w:rPr>
        <w:t>一、开标一览表（报价表）</w:t>
      </w:r>
    </w:p>
    <w:p w14:paraId="206C404D">
      <w:pPr>
        <w:shd w:val="clea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宁波市海曙区机关事务管理局、</w:t>
      </w:r>
      <w:r>
        <w:rPr>
          <w:rFonts w:hint="eastAsia" w:ascii="宋体" w:hAnsi="宋体" w:cs="宋体"/>
          <w:color w:val="auto"/>
          <w:sz w:val="24"/>
          <w:highlight w:val="none"/>
          <w:lang w:val="en-US" w:eastAsia="zh-CN"/>
        </w:rPr>
        <w:t>宁波市海曙区人民政府鼓楼街道办事处</w:t>
      </w:r>
      <w:r>
        <w:rPr>
          <w:rFonts w:hint="eastAsia" w:ascii="宋体" w:hAnsi="宋体" w:cs="宋体"/>
          <w:color w:val="auto"/>
          <w:sz w:val="24"/>
          <w:highlight w:val="none"/>
        </w:rPr>
        <w:t>、</w:t>
      </w:r>
      <w:r>
        <w:rPr>
          <w:rFonts w:hint="eastAsia" w:ascii="宋体" w:hAnsi="宋体" w:cs="宋体"/>
          <w:color w:val="auto"/>
          <w:sz w:val="24"/>
          <w:highlight w:val="none"/>
          <w:lang w:eastAsia="zh-CN"/>
        </w:rPr>
        <w:t>宁波中基国际招标有限公司</w:t>
      </w:r>
      <w:r>
        <w:rPr>
          <w:rFonts w:hint="eastAsia" w:ascii="宋体" w:hAnsi="宋体" w:cs="宋体"/>
          <w:color w:val="auto"/>
          <w:kern w:val="0"/>
          <w:sz w:val="24"/>
          <w:highlight w:val="none"/>
          <w:lang w:val="zh-CN"/>
        </w:rPr>
        <w:t>：</w:t>
      </w:r>
    </w:p>
    <w:p w14:paraId="539C0A14">
      <w:pPr>
        <w:shd w:val="clear"/>
        <w:snapToGrid w:val="0"/>
        <w:spacing w:line="360" w:lineRule="auto"/>
        <w:ind w:firstLine="482"/>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按你方招标文件要求，我们，本投标文件签字方，谨此向你方发出要约如下：如你方接受本投标，我方承诺按照如下开标一览表（报价表）的价格完成</w:t>
      </w:r>
      <w:r>
        <w:rPr>
          <w:rFonts w:hint="eastAsia" w:ascii="宋体" w:hAnsi="宋体" w:cs="宋体"/>
          <w:color w:val="auto"/>
          <w:sz w:val="24"/>
          <w:highlight w:val="none"/>
          <w:lang w:eastAsia="zh-CN"/>
        </w:rPr>
        <w:t>宁波市海曙区各集中管理办公区等食堂原材料采购项目（蔬果类）</w:t>
      </w:r>
      <w:r>
        <w:rPr>
          <w:rFonts w:hint="eastAsia" w:ascii="宋体" w:hAnsi="宋体" w:cs="宋体"/>
          <w:color w:val="auto"/>
          <w:kern w:val="0"/>
          <w:sz w:val="24"/>
          <w:highlight w:val="none"/>
          <w:lang w:val="zh-CN"/>
        </w:rPr>
        <w:t>【招标编号：</w:t>
      </w:r>
      <w:r>
        <w:rPr>
          <w:rFonts w:hint="eastAsia" w:ascii="宋体" w:hAnsi="宋体" w:cs="宋体"/>
          <w:color w:val="auto"/>
          <w:sz w:val="24"/>
          <w:highlight w:val="none"/>
          <w:lang w:eastAsia="zh-CN"/>
        </w:rPr>
        <w:t>2025NBHSWT112</w:t>
      </w:r>
      <w:r>
        <w:rPr>
          <w:rFonts w:hint="eastAsia" w:ascii="宋体" w:hAnsi="宋体" w:cs="宋体"/>
          <w:color w:val="auto"/>
          <w:sz w:val="24"/>
          <w:highlight w:val="none"/>
        </w:rPr>
        <w:t>】的实施</w:t>
      </w:r>
      <w:r>
        <w:rPr>
          <w:rFonts w:hint="eastAsia" w:ascii="宋体" w:hAnsi="宋体" w:cs="宋体"/>
          <w:color w:val="auto"/>
          <w:kern w:val="0"/>
          <w:sz w:val="24"/>
          <w:highlight w:val="none"/>
          <w:lang w:val="zh-CN"/>
        </w:rPr>
        <w:t>。</w:t>
      </w:r>
    </w:p>
    <w:p w14:paraId="6E5D2C3C">
      <w:pPr>
        <w:snapToGrid w:val="0"/>
        <w:spacing w:line="360" w:lineRule="auto"/>
        <w:ind w:left="480"/>
        <w:jc w:val="center"/>
        <w:rPr>
          <w:rFonts w:hint="eastAsia" w:ascii="宋体" w:hAnsi="宋体" w:cs="宋体"/>
          <w:b/>
          <w:color w:val="auto"/>
          <w:kern w:val="0"/>
          <w:sz w:val="24"/>
          <w:highlight w:val="none"/>
          <w:lang w:val="zh-CN" w:eastAsia="zh-CN"/>
        </w:rPr>
      </w:pPr>
      <w:r>
        <w:rPr>
          <w:rFonts w:hint="eastAsia" w:ascii="宋体" w:hAnsi="宋体" w:cs="宋体"/>
          <w:b/>
          <w:color w:val="auto"/>
          <w:kern w:val="0"/>
          <w:sz w:val="24"/>
          <w:highlight w:val="none"/>
          <w:lang w:val="zh-CN"/>
        </w:rPr>
        <w:t>开标一览表</w:t>
      </w:r>
      <w:r>
        <w:rPr>
          <w:rFonts w:hint="eastAsia" w:ascii="宋体" w:hAnsi="宋体" w:cs="宋体"/>
          <w:b/>
          <w:color w:val="auto"/>
          <w:kern w:val="0"/>
          <w:sz w:val="24"/>
          <w:highlight w:val="none"/>
          <w:lang w:val="zh-CN" w:eastAsia="zh-CN"/>
        </w:rPr>
        <w:t>（适用于标项1）</w:t>
      </w:r>
    </w:p>
    <w:tbl>
      <w:tblPr>
        <w:tblStyle w:val="63"/>
        <w:tblW w:w="8947"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2787"/>
        <w:gridCol w:w="2835"/>
        <w:gridCol w:w="3325"/>
      </w:tblGrid>
      <w:tr w14:paraId="337DC73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6" w:hRule="atLeast"/>
          <w:jc w:val="center"/>
        </w:trPr>
        <w:tc>
          <w:tcPr>
            <w:tcW w:w="2787" w:type="dxa"/>
            <w:tcBorders>
              <w:top w:val="single" w:color="auto" w:sz="4" w:space="0"/>
              <w:left w:val="single" w:color="auto" w:sz="4" w:space="0"/>
              <w:bottom w:val="single" w:color="auto" w:sz="4" w:space="0"/>
              <w:right w:val="single" w:color="auto" w:sz="4" w:space="0"/>
            </w:tcBorders>
            <w:noWrap w:val="0"/>
            <w:vAlign w:val="center"/>
          </w:tcPr>
          <w:p w14:paraId="2056ED45">
            <w:pPr>
              <w:adjustRightInd/>
              <w:snapToGrid w:val="0"/>
              <w:spacing w:before="50" w:after="50" w:line="360" w:lineRule="auto"/>
              <w:jc w:val="center"/>
              <w:rPr>
                <w:rFonts w:ascii="宋体" w:hAnsi="宋体"/>
                <w:b/>
                <w:bCs w:val="0"/>
                <w:color w:val="auto"/>
                <w:szCs w:val="21"/>
                <w:highlight w:val="none"/>
              </w:rPr>
            </w:pPr>
            <w:r>
              <w:rPr>
                <w:rFonts w:hint="eastAsia" w:ascii="宋体" w:hAnsi="宋体"/>
                <w:b/>
                <w:bCs w:val="0"/>
                <w:color w:val="auto"/>
                <w:szCs w:val="21"/>
                <w:highlight w:val="none"/>
              </w:rPr>
              <w:t>食品类别</w:t>
            </w:r>
          </w:p>
        </w:tc>
        <w:tc>
          <w:tcPr>
            <w:tcW w:w="2835" w:type="dxa"/>
            <w:tcBorders>
              <w:top w:val="single" w:color="auto" w:sz="4" w:space="0"/>
              <w:left w:val="single" w:color="auto" w:sz="4" w:space="0"/>
              <w:bottom w:val="single" w:color="auto" w:sz="4" w:space="0"/>
              <w:right w:val="single" w:color="auto" w:sz="4" w:space="0"/>
            </w:tcBorders>
            <w:noWrap w:val="0"/>
            <w:vAlign w:val="center"/>
          </w:tcPr>
          <w:p w14:paraId="58B3ECFE">
            <w:pPr>
              <w:adjustRightInd/>
              <w:snapToGrid w:val="0"/>
              <w:spacing w:before="50" w:after="50" w:line="360" w:lineRule="auto"/>
              <w:jc w:val="center"/>
              <w:rPr>
                <w:rFonts w:ascii="宋体" w:hAnsi="宋体"/>
                <w:b/>
                <w:bCs w:val="0"/>
                <w:color w:val="auto"/>
                <w:szCs w:val="21"/>
                <w:highlight w:val="none"/>
              </w:rPr>
            </w:pPr>
            <w:r>
              <w:rPr>
                <w:rFonts w:hint="eastAsia" w:ascii="宋体" w:hAnsi="宋体"/>
                <w:b/>
                <w:bCs w:val="0"/>
                <w:color w:val="auto"/>
                <w:szCs w:val="21"/>
                <w:highlight w:val="none"/>
              </w:rPr>
              <w:t>投标</w:t>
            </w:r>
            <w:r>
              <w:rPr>
                <w:rFonts w:hint="eastAsia" w:ascii="宋体" w:hAnsi="宋体"/>
                <w:b/>
                <w:bCs w:val="0"/>
                <w:color w:val="auto"/>
                <w:szCs w:val="21"/>
                <w:highlight w:val="none"/>
                <w:lang w:val="en-US" w:eastAsia="zh-CN"/>
              </w:rPr>
              <w:t>折扣系数</w:t>
            </w:r>
            <w:r>
              <w:rPr>
                <w:rFonts w:hint="eastAsia" w:ascii="宋体" w:hAnsi="宋体"/>
                <w:b/>
                <w:bCs w:val="0"/>
                <w:color w:val="auto"/>
                <w:szCs w:val="21"/>
                <w:highlight w:val="none"/>
              </w:rPr>
              <w:t>（%）</w:t>
            </w:r>
          </w:p>
        </w:tc>
        <w:tc>
          <w:tcPr>
            <w:tcW w:w="3325" w:type="dxa"/>
            <w:tcBorders>
              <w:top w:val="single" w:color="auto" w:sz="4" w:space="0"/>
              <w:left w:val="single" w:color="auto" w:sz="4" w:space="0"/>
              <w:bottom w:val="single" w:color="auto" w:sz="4" w:space="0"/>
              <w:right w:val="single" w:color="auto" w:sz="4" w:space="0"/>
            </w:tcBorders>
            <w:noWrap w:val="0"/>
            <w:vAlign w:val="center"/>
          </w:tcPr>
          <w:p w14:paraId="2F5F6613">
            <w:pPr>
              <w:adjustRightInd/>
              <w:snapToGrid w:val="0"/>
              <w:spacing w:before="50" w:after="50" w:line="360" w:lineRule="auto"/>
              <w:jc w:val="center"/>
              <w:rPr>
                <w:rFonts w:hint="default" w:ascii="宋体" w:hAnsi="宋体" w:eastAsia="宋体"/>
                <w:b/>
                <w:bCs w:val="0"/>
                <w:color w:val="auto"/>
                <w:szCs w:val="21"/>
                <w:highlight w:val="none"/>
                <w:lang w:val="en-US" w:eastAsia="zh-CN"/>
              </w:rPr>
            </w:pPr>
            <w:r>
              <w:rPr>
                <w:rFonts w:hint="eastAsia" w:ascii="宋体" w:hAnsi="宋体"/>
                <w:b/>
                <w:bCs w:val="0"/>
                <w:color w:val="auto"/>
                <w:szCs w:val="21"/>
                <w:highlight w:val="none"/>
                <w:lang w:val="en-US" w:eastAsia="zh-CN"/>
              </w:rPr>
              <w:t>合同履约期限</w:t>
            </w:r>
          </w:p>
        </w:tc>
      </w:tr>
      <w:tr w14:paraId="343A3A2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2787" w:type="dxa"/>
            <w:tcBorders>
              <w:top w:val="single" w:color="auto" w:sz="4" w:space="0"/>
              <w:left w:val="single" w:color="auto" w:sz="4" w:space="0"/>
              <w:bottom w:val="single" w:color="auto" w:sz="4" w:space="0"/>
              <w:right w:val="single" w:color="auto" w:sz="4" w:space="0"/>
            </w:tcBorders>
            <w:noWrap w:val="0"/>
            <w:vAlign w:val="center"/>
          </w:tcPr>
          <w:p w14:paraId="79F256A8">
            <w:pPr>
              <w:adjustRightInd/>
              <w:snapToGrid w:val="0"/>
              <w:spacing w:before="50" w:after="50" w:line="360" w:lineRule="auto"/>
              <w:jc w:val="center"/>
              <w:rPr>
                <w:rFonts w:hint="eastAsia" w:ascii="宋体" w:hAnsi="宋体"/>
                <w:b/>
                <w:bCs w:val="0"/>
                <w:color w:val="auto"/>
                <w:kern w:val="2"/>
                <w:sz w:val="21"/>
                <w:szCs w:val="21"/>
                <w:highlight w:val="none"/>
                <w:lang w:val="en-US" w:eastAsia="zh-CN" w:bidi="ar-SA"/>
              </w:rPr>
            </w:pPr>
            <w:r>
              <w:rPr>
                <w:rFonts w:hint="eastAsia" w:ascii="宋体" w:hAnsi="宋体" w:eastAsia="宋体" w:cs="Times New Roman"/>
                <w:b/>
                <w:bCs w:val="0"/>
                <w:color w:val="auto"/>
                <w:szCs w:val="21"/>
                <w:highlight w:val="none"/>
                <w:lang w:val="en-US" w:eastAsia="zh-CN"/>
              </w:rPr>
              <w:t>蔬菜类</w:t>
            </w:r>
          </w:p>
        </w:tc>
        <w:tc>
          <w:tcPr>
            <w:tcW w:w="2835" w:type="dxa"/>
            <w:tcBorders>
              <w:top w:val="single" w:color="auto" w:sz="4" w:space="0"/>
              <w:left w:val="single" w:color="auto" w:sz="4" w:space="0"/>
              <w:bottom w:val="single" w:color="auto" w:sz="4" w:space="0"/>
              <w:right w:val="single" w:color="auto" w:sz="4" w:space="0"/>
            </w:tcBorders>
            <w:noWrap w:val="0"/>
            <w:vAlign w:val="center"/>
          </w:tcPr>
          <w:p w14:paraId="1EC3E0FF">
            <w:pPr>
              <w:adjustRightInd/>
              <w:snapToGrid w:val="0"/>
              <w:spacing w:before="50" w:after="50" w:line="360" w:lineRule="auto"/>
              <w:jc w:val="both"/>
              <w:rPr>
                <w:rFonts w:ascii="宋体" w:hAnsi="宋体"/>
                <w:b/>
                <w:bCs w:val="0"/>
                <w:color w:val="auto"/>
                <w:kern w:val="2"/>
                <w:sz w:val="21"/>
                <w:szCs w:val="21"/>
                <w:highlight w:val="none"/>
                <w:lang w:val="en-US" w:eastAsia="zh-CN" w:bidi="ar-SA"/>
              </w:rPr>
            </w:pPr>
          </w:p>
        </w:tc>
        <w:tc>
          <w:tcPr>
            <w:tcW w:w="3325" w:type="dxa"/>
            <w:vMerge w:val="restart"/>
            <w:tcBorders>
              <w:left w:val="single" w:color="auto" w:sz="4" w:space="0"/>
              <w:right w:val="single" w:color="auto" w:sz="4" w:space="0"/>
            </w:tcBorders>
            <w:noWrap w:val="0"/>
            <w:vAlign w:val="center"/>
          </w:tcPr>
          <w:p w14:paraId="5DE52F76">
            <w:pPr>
              <w:adjustRightInd/>
              <w:snapToGrid w:val="0"/>
              <w:spacing w:before="50" w:after="50" w:line="360" w:lineRule="auto"/>
              <w:jc w:val="center"/>
              <w:rPr>
                <w:rFonts w:hint="eastAsia" w:ascii="宋体" w:hAnsi="宋体"/>
                <w:b/>
                <w:bCs w:val="0"/>
                <w:color w:val="auto"/>
                <w:kern w:val="2"/>
                <w:sz w:val="21"/>
                <w:szCs w:val="21"/>
                <w:highlight w:val="none"/>
                <w:lang w:val="en-US" w:eastAsia="zh-CN" w:bidi="ar-SA"/>
              </w:rPr>
            </w:pPr>
          </w:p>
        </w:tc>
      </w:tr>
      <w:tr w14:paraId="759EE5F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6" w:hRule="atLeast"/>
          <w:jc w:val="center"/>
        </w:trPr>
        <w:tc>
          <w:tcPr>
            <w:tcW w:w="2787" w:type="dxa"/>
            <w:tcBorders>
              <w:top w:val="single" w:color="auto" w:sz="4" w:space="0"/>
              <w:left w:val="single" w:color="auto" w:sz="4" w:space="0"/>
              <w:bottom w:val="single" w:color="auto" w:sz="4" w:space="0"/>
              <w:right w:val="single" w:color="auto" w:sz="4" w:space="0"/>
            </w:tcBorders>
            <w:noWrap w:val="0"/>
            <w:vAlign w:val="center"/>
          </w:tcPr>
          <w:p w14:paraId="4D294C9D">
            <w:pPr>
              <w:adjustRightInd/>
              <w:snapToGrid w:val="0"/>
              <w:spacing w:before="50" w:after="50" w:line="360" w:lineRule="auto"/>
              <w:jc w:val="center"/>
              <w:rPr>
                <w:rFonts w:hint="eastAsia"/>
                <w:b/>
                <w:bCs w:val="0"/>
                <w:color w:val="auto"/>
                <w:szCs w:val="21"/>
                <w:highlight w:val="none"/>
              </w:rPr>
            </w:pPr>
            <w:r>
              <w:rPr>
                <w:rFonts w:hint="eastAsia" w:ascii="宋体" w:hAnsi="宋体" w:eastAsia="宋体" w:cs="Times New Roman"/>
                <w:b/>
                <w:bCs w:val="0"/>
                <w:color w:val="auto"/>
                <w:szCs w:val="21"/>
                <w:highlight w:val="none"/>
                <w:lang w:val="en-US" w:eastAsia="zh-CN"/>
              </w:rPr>
              <w:t>豆制品类</w:t>
            </w:r>
          </w:p>
        </w:tc>
        <w:tc>
          <w:tcPr>
            <w:tcW w:w="2835" w:type="dxa"/>
            <w:tcBorders>
              <w:top w:val="single" w:color="auto" w:sz="4" w:space="0"/>
              <w:left w:val="single" w:color="auto" w:sz="4" w:space="0"/>
              <w:bottom w:val="single" w:color="auto" w:sz="4" w:space="0"/>
              <w:right w:val="single" w:color="auto" w:sz="4" w:space="0"/>
            </w:tcBorders>
            <w:noWrap w:val="0"/>
            <w:vAlign w:val="center"/>
          </w:tcPr>
          <w:p w14:paraId="6A35E0F5">
            <w:pPr>
              <w:adjustRightInd/>
              <w:snapToGrid w:val="0"/>
              <w:spacing w:before="50" w:after="50" w:line="360" w:lineRule="auto"/>
              <w:jc w:val="center"/>
              <w:rPr>
                <w:rFonts w:ascii="宋体" w:hAnsi="宋体"/>
                <w:b/>
                <w:bCs w:val="0"/>
                <w:color w:val="auto"/>
                <w:szCs w:val="21"/>
                <w:highlight w:val="none"/>
              </w:rPr>
            </w:pPr>
          </w:p>
        </w:tc>
        <w:tc>
          <w:tcPr>
            <w:tcW w:w="3325" w:type="dxa"/>
            <w:vMerge w:val="continue"/>
            <w:tcBorders>
              <w:left w:val="single" w:color="auto" w:sz="4" w:space="0"/>
              <w:right w:val="single" w:color="auto" w:sz="4" w:space="0"/>
            </w:tcBorders>
            <w:noWrap w:val="0"/>
            <w:vAlign w:val="center"/>
          </w:tcPr>
          <w:p w14:paraId="09AABB4E">
            <w:pPr>
              <w:adjustRightInd/>
              <w:snapToGrid w:val="0"/>
              <w:spacing w:before="50" w:after="50" w:line="360" w:lineRule="auto"/>
              <w:jc w:val="center"/>
              <w:rPr>
                <w:rFonts w:hint="eastAsia"/>
                <w:b/>
                <w:bCs w:val="0"/>
                <w:color w:val="auto"/>
                <w:szCs w:val="21"/>
                <w:highlight w:val="none"/>
              </w:rPr>
            </w:pPr>
          </w:p>
        </w:tc>
      </w:tr>
      <w:tr w14:paraId="5139196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740" w:hRule="atLeast"/>
          <w:jc w:val="center"/>
        </w:trPr>
        <w:tc>
          <w:tcPr>
            <w:tcW w:w="2787" w:type="dxa"/>
            <w:tcBorders>
              <w:top w:val="single" w:color="auto" w:sz="4" w:space="0"/>
              <w:left w:val="single" w:color="auto" w:sz="4" w:space="0"/>
              <w:bottom w:val="single" w:color="auto" w:sz="4" w:space="0"/>
              <w:right w:val="single" w:color="auto" w:sz="4" w:space="0"/>
            </w:tcBorders>
            <w:noWrap w:val="0"/>
            <w:vAlign w:val="center"/>
          </w:tcPr>
          <w:p w14:paraId="54B9F059">
            <w:pPr>
              <w:adjustRightInd/>
              <w:snapToGrid w:val="0"/>
              <w:spacing w:before="50" w:after="50" w:line="360" w:lineRule="auto"/>
              <w:jc w:val="center"/>
              <w:rPr>
                <w:rFonts w:ascii="宋体" w:hAnsi="宋体"/>
                <w:b/>
                <w:bCs w:val="0"/>
                <w:color w:val="auto"/>
                <w:sz w:val="24"/>
                <w:highlight w:val="none"/>
              </w:rPr>
            </w:pPr>
            <w:r>
              <w:rPr>
                <w:rFonts w:hint="eastAsia" w:ascii="宋体" w:hAnsi="宋体" w:eastAsia="宋体" w:cs="Times New Roman"/>
                <w:b/>
                <w:bCs w:val="0"/>
                <w:color w:val="auto"/>
                <w:szCs w:val="21"/>
                <w:highlight w:val="none"/>
              </w:rPr>
              <w:t>投标声明</w:t>
            </w:r>
          </w:p>
        </w:tc>
        <w:tc>
          <w:tcPr>
            <w:tcW w:w="6160" w:type="dxa"/>
            <w:gridSpan w:val="2"/>
            <w:tcBorders>
              <w:top w:val="single" w:color="auto" w:sz="4" w:space="0"/>
              <w:left w:val="single" w:color="auto" w:sz="4" w:space="0"/>
              <w:bottom w:val="single" w:color="auto" w:sz="4" w:space="0"/>
              <w:right w:val="single" w:color="auto" w:sz="4" w:space="0"/>
            </w:tcBorders>
            <w:noWrap w:val="0"/>
            <w:vAlign w:val="center"/>
          </w:tcPr>
          <w:p w14:paraId="483C70A5">
            <w:pPr>
              <w:adjustRightInd/>
              <w:snapToGrid w:val="0"/>
              <w:spacing w:before="50" w:after="50" w:line="360" w:lineRule="auto"/>
              <w:rPr>
                <w:rFonts w:ascii="宋体" w:hAnsi="宋体"/>
                <w:b/>
                <w:bCs w:val="0"/>
                <w:color w:val="auto"/>
                <w:sz w:val="24"/>
                <w:highlight w:val="none"/>
              </w:rPr>
            </w:pPr>
          </w:p>
        </w:tc>
      </w:tr>
    </w:tbl>
    <w:p w14:paraId="40F9DD44">
      <w:pPr>
        <w:rPr>
          <w:rFonts w:hint="eastAsia" w:ascii="宋体" w:hAnsi="宋体" w:cs="宋体"/>
          <w:b/>
          <w:color w:val="auto"/>
          <w:kern w:val="0"/>
          <w:sz w:val="24"/>
          <w:highlight w:val="none"/>
          <w:lang w:val="zh-CN"/>
        </w:rPr>
      </w:pPr>
    </w:p>
    <w:p w14:paraId="08C95EF2">
      <w:pPr>
        <w:jc w:val="center"/>
        <w:rPr>
          <w:rFonts w:hint="eastAsia" w:ascii="宋体" w:hAnsi="宋体" w:cs="宋体"/>
          <w:b/>
          <w:color w:val="auto"/>
          <w:kern w:val="0"/>
          <w:sz w:val="24"/>
          <w:highlight w:val="none"/>
          <w:lang w:val="zh-CN" w:eastAsia="zh-CN"/>
        </w:rPr>
      </w:pPr>
      <w:r>
        <w:rPr>
          <w:rFonts w:hint="eastAsia" w:ascii="宋体" w:hAnsi="宋体" w:cs="宋体"/>
          <w:b/>
          <w:color w:val="auto"/>
          <w:kern w:val="0"/>
          <w:sz w:val="24"/>
          <w:highlight w:val="none"/>
          <w:lang w:val="zh-CN"/>
        </w:rPr>
        <w:t>开标一览表</w:t>
      </w:r>
      <w:r>
        <w:rPr>
          <w:rFonts w:hint="eastAsia" w:ascii="宋体" w:hAnsi="宋体" w:cs="宋体"/>
          <w:b/>
          <w:color w:val="auto"/>
          <w:kern w:val="0"/>
          <w:sz w:val="24"/>
          <w:highlight w:val="none"/>
          <w:lang w:val="zh-CN" w:eastAsia="zh-CN"/>
        </w:rPr>
        <w:t>（适用于标项</w:t>
      </w:r>
      <w:r>
        <w:rPr>
          <w:rFonts w:hint="eastAsia" w:ascii="宋体" w:hAnsi="宋体" w:cs="宋体"/>
          <w:b/>
          <w:color w:val="auto"/>
          <w:kern w:val="0"/>
          <w:sz w:val="24"/>
          <w:highlight w:val="none"/>
          <w:lang w:val="en-US" w:eastAsia="zh-CN"/>
        </w:rPr>
        <w:t>2</w:t>
      </w:r>
      <w:r>
        <w:rPr>
          <w:rFonts w:hint="eastAsia" w:ascii="宋体" w:hAnsi="宋体" w:cs="宋体"/>
          <w:b/>
          <w:color w:val="auto"/>
          <w:kern w:val="0"/>
          <w:sz w:val="24"/>
          <w:highlight w:val="none"/>
          <w:lang w:val="zh-CN" w:eastAsia="zh-CN"/>
        </w:rPr>
        <w:t>）</w:t>
      </w:r>
    </w:p>
    <w:tbl>
      <w:tblPr>
        <w:tblStyle w:val="63"/>
        <w:tblW w:w="8947"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2787"/>
        <w:gridCol w:w="2835"/>
        <w:gridCol w:w="3325"/>
      </w:tblGrid>
      <w:tr w14:paraId="3FEDDCB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6" w:hRule="atLeast"/>
          <w:jc w:val="center"/>
        </w:trPr>
        <w:tc>
          <w:tcPr>
            <w:tcW w:w="2787" w:type="dxa"/>
            <w:tcBorders>
              <w:top w:val="single" w:color="auto" w:sz="4" w:space="0"/>
              <w:left w:val="single" w:color="auto" w:sz="4" w:space="0"/>
              <w:bottom w:val="single" w:color="auto" w:sz="4" w:space="0"/>
              <w:right w:val="single" w:color="auto" w:sz="4" w:space="0"/>
            </w:tcBorders>
            <w:noWrap w:val="0"/>
            <w:vAlign w:val="center"/>
          </w:tcPr>
          <w:p w14:paraId="14828364">
            <w:pPr>
              <w:snapToGrid w:val="0"/>
              <w:spacing w:line="360" w:lineRule="auto"/>
              <w:jc w:val="center"/>
              <w:rPr>
                <w:rFonts w:hint="eastAsia" w:ascii="宋体" w:hAnsi="宋体" w:cs="宋体"/>
                <w:b/>
                <w:color w:val="auto"/>
                <w:kern w:val="0"/>
                <w:sz w:val="21"/>
                <w:szCs w:val="21"/>
                <w:highlight w:val="none"/>
                <w:lang w:val="zh-CN"/>
              </w:rPr>
            </w:pPr>
            <w:r>
              <w:rPr>
                <w:rFonts w:hint="eastAsia" w:ascii="宋体" w:hAnsi="宋体" w:cs="宋体"/>
                <w:b/>
                <w:color w:val="auto"/>
                <w:kern w:val="0"/>
                <w:sz w:val="21"/>
                <w:szCs w:val="21"/>
                <w:highlight w:val="none"/>
                <w:lang w:val="zh-CN"/>
              </w:rPr>
              <w:t>食品类别</w:t>
            </w:r>
          </w:p>
        </w:tc>
        <w:tc>
          <w:tcPr>
            <w:tcW w:w="2835" w:type="dxa"/>
            <w:tcBorders>
              <w:top w:val="single" w:color="auto" w:sz="4" w:space="0"/>
              <w:left w:val="single" w:color="auto" w:sz="4" w:space="0"/>
              <w:bottom w:val="single" w:color="auto" w:sz="4" w:space="0"/>
              <w:right w:val="single" w:color="auto" w:sz="4" w:space="0"/>
            </w:tcBorders>
            <w:noWrap w:val="0"/>
            <w:vAlign w:val="center"/>
          </w:tcPr>
          <w:p w14:paraId="5506FE8A">
            <w:pPr>
              <w:snapToGrid w:val="0"/>
              <w:spacing w:line="360" w:lineRule="auto"/>
              <w:jc w:val="center"/>
              <w:rPr>
                <w:rFonts w:hint="eastAsia" w:ascii="宋体" w:hAnsi="宋体" w:cs="宋体"/>
                <w:b/>
                <w:color w:val="auto"/>
                <w:kern w:val="0"/>
                <w:sz w:val="21"/>
                <w:szCs w:val="21"/>
                <w:highlight w:val="none"/>
                <w:lang w:val="zh-CN"/>
              </w:rPr>
            </w:pPr>
            <w:r>
              <w:rPr>
                <w:rFonts w:hint="eastAsia" w:ascii="宋体" w:hAnsi="宋体" w:cs="宋体"/>
                <w:b/>
                <w:color w:val="auto"/>
                <w:kern w:val="0"/>
                <w:sz w:val="21"/>
                <w:szCs w:val="21"/>
                <w:highlight w:val="none"/>
                <w:lang w:val="zh-CN"/>
              </w:rPr>
              <w:t>投标</w:t>
            </w:r>
            <w:r>
              <w:rPr>
                <w:rFonts w:hint="eastAsia" w:ascii="宋体" w:hAnsi="宋体" w:cs="宋体"/>
                <w:b/>
                <w:color w:val="auto"/>
                <w:kern w:val="0"/>
                <w:sz w:val="21"/>
                <w:szCs w:val="21"/>
                <w:highlight w:val="none"/>
                <w:lang w:val="zh-CN" w:eastAsia="zh-CN"/>
              </w:rPr>
              <w:t>折扣系数</w:t>
            </w:r>
            <w:r>
              <w:rPr>
                <w:rFonts w:hint="eastAsia" w:ascii="宋体" w:hAnsi="宋体" w:cs="宋体"/>
                <w:b/>
                <w:color w:val="auto"/>
                <w:kern w:val="0"/>
                <w:sz w:val="21"/>
                <w:szCs w:val="21"/>
                <w:highlight w:val="none"/>
                <w:lang w:val="zh-CN"/>
              </w:rPr>
              <w:t>（%）</w:t>
            </w:r>
          </w:p>
        </w:tc>
        <w:tc>
          <w:tcPr>
            <w:tcW w:w="3325" w:type="dxa"/>
            <w:tcBorders>
              <w:top w:val="single" w:color="auto" w:sz="4" w:space="0"/>
              <w:left w:val="single" w:color="auto" w:sz="4" w:space="0"/>
              <w:bottom w:val="single" w:color="auto" w:sz="4" w:space="0"/>
              <w:right w:val="single" w:color="auto" w:sz="4" w:space="0"/>
            </w:tcBorders>
            <w:noWrap w:val="0"/>
            <w:vAlign w:val="center"/>
          </w:tcPr>
          <w:p w14:paraId="79343000">
            <w:pPr>
              <w:snapToGrid w:val="0"/>
              <w:spacing w:line="360" w:lineRule="auto"/>
              <w:jc w:val="center"/>
              <w:rPr>
                <w:rFonts w:hint="eastAsia" w:ascii="宋体" w:hAnsi="宋体" w:cs="宋体"/>
                <w:b/>
                <w:color w:val="auto"/>
                <w:kern w:val="0"/>
                <w:sz w:val="21"/>
                <w:szCs w:val="21"/>
                <w:highlight w:val="none"/>
                <w:lang w:val="zh-CN" w:eastAsia="zh-CN"/>
              </w:rPr>
            </w:pPr>
            <w:r>
              <w:rPr>
                <w:rFonts w:hint="eastAsia" w:ascii="宋体" w:hAnsi="宋体" w:cs="宋体"/>
                <w:b/>
                <w:color w:val="auto"/>
                <w:kern w:val="0"/>
                <w:sz w:val="21"/>
                <w:szCs w:val="21"/>
                <w:highlight w:val="none"/>
                <w:lang w:val="zh-CN" w:eastAsia="zh-CN"/>
              </w:rPr>
              <w:t>合同履约期限</w:t>
            </w:r>
          </w:p>
        </w:tc>
      </w:tr>
      <w:tr w14:paraId="31BDF0A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6" w:hRule="atLeast"/>
          <w:jc w:val="center"/>
        </w:trPr>
        <w:tc>
          <w:tcPr>
            <w:tcW w:w="2787" w:type="dxa"/>
            <w:tcBorders>
              <w:top w:val="single" w:color="auto" w:sz="4" w:space="0"/>
              <w:left w:val="single" w:color="auto" w:sz="4" w:space="0"/>
              <w:bottom w:val="single" w:color="auto" w:sz="4" w:space="0"/>
              <w:right w:val="single" w:color="auto" w:sz="4" w:space="0"/>
            </w:tcBorders>
            <w:noWrap w:val="0"/>
            <w:vAlign w:val="center"/>
          </w:tcPr>
          <w:p w14:paraId="4A5EA634">
            <w:pPr>
              <w:snapToGrid w:val="0"/>
              <w:spacing w:line="360" w:lineRule="auto"/>
              <w:jc w:val="center"/>
              <w:rPr>
                <w:rFonts w:hint="eastAsia" w:ascii="宋体" w:hAnsi="宋体" w:cs="宋体"/>
                <w:b/>
                <w:color w:val="auto"/>
                <w:kern w:val="0"/>
                <w:sz w:val="21"/>
                <w:szCs w:val="21"/>
                <w:highlight w:val="none"/>
                <w:lang w:val="zh-CN"/>
              </w:rPr>
            </w:pPr>
            <w:r>
              <w:rPr>
                <w:rFonts w:hint="eastAsia" w:ascii="宋体" w:hAnsi="宋体" w:cs="宋体"/>
                <w:b/>
                <w:color w:val="auto"/>
                <w:kern w:val="0"/>
                <w:sz w:val="21"/>
                <w:szCs w:val="21"/>
                <w:highlight w:val="none"/>
                <w:lang w:val="zh-CN" w:eastAsia="zh-CN"/>
              </w:rPr>
              <w:t>水果类</w:t>
            </w:r>
          </w:p>
        </w:tc>
        <w:tc>
          <w:tcPr>
            <w:tcW w:w="2835" w:type="dxa"/>
            <w:tcBorders>
              <w:top w:val="single" w:color="auto" w:sz="4" w:space="0"/>
              <w:left w:val="single" w:color="auto" w:sz="4" w:space="0"/>
              <w:bottom w:val="single" w:color="auto" w:sz="4" w:space="0"/>
              <w:right w:val="single" w:color="auto" w:sz="4" w:space="0"/>
            </w:tcBorders>
            <w:noWrap w:val="0"/>
            <w:vAlign w:val="center"/>
          </w:tcPr>
          <w:p w14:paraId="6929A610">
            <w:pPr>
              <w:snapToGrid w:val="0"/>
              <w:spacing w:line="360" w:lineRule="auto"/>
              <w:ind w:left="480"/>
              <w:jc w:val="center"/>
              <w:rPr>
                <w:rFonts w:hint="eastAsia" w:ascii="宋体" w:hAnsi="宋体" w:cs="宋体"/>
                <w:b/>
                <w:color w:val="auto"/>
                <w:kern w:val="0"/>
                <w:sz w:val="21"/>
                <w:szCs w:val="21"/>
                <w:highlight w:val="none"/>
                <w:lang w:val="zh-CN"/>
              </w:rPr>
            </w:pPr>
          </w:p>
        </w:tc>
        <w:tc>
          <w:tcPr>
            <w:tcW w:w="3325" w:type="dxa"/>
            <w:tcBorders>
              <w:top w:val="single" w:color="auto" w:sz="4" w:space="0"/>
              <w:left w:val="single" w:color="auto" w:sz="4" w:space="0"/>
              <w:right w:val="single" w:color="auto" w:sz="4" w:space="0"/>
            </w:tcBorders>
            <w:noWrap w:val="0"/>
            <w:vAlign w:val="center"/>
          </w:tcPr>
          <w:p w14:paraId="1D22A689">
            <w:pPr>
              <w:snapToGrid w:val="0"/>
              <w:spacing w:line="360" w:lineRule="auto"/>
              <w:ind w:left="480"/>
              <w:jc w:val="center"/>
              <w:rPr>
                <w:rFonts w:hint="eastAsia" w:ascii="宋体" w:hAnsi="宋体" w:cs="宋体"/>
                <w:b/>
                <w:color w:val="auto"/>
                <w:kern w:val="0"/>
                <w:sz w:val="21"/>
                <w:szCs w:val="21"/>
                <w:highlight w:val="none"/>
                <w:lang w:val="zh-CN"/>
              </w:rPr>
            </w:pPr>
          </w:p>
        </w:tc>
      </w:tr>
      <w:tr w14:paraId="0292E37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740" w:hRule="atLeast"/>
          <w:jc w:val="center"/>
        </w:trPr>
        <w:tc>
          <w:tcPr>
            <w:tcW w:w="2787" w:type="dxa"/>
            <w:tcBorders>
              <w:top w:val="single" w:color="auto" w:sz="4" w:space="0"/>
              <w:left w:val="single" w:color="auto" w:sz="4" w:space="0"/>
              <w:bottom w:val="single" w:color="auto" w:sz="4" w:space="0"/>
              <w:right w:val="single" w:color="auto" w:sz="4" w:space="0"/>
            </w:tcBorders>
            <w:noWrap w:val="0"/>
            <w:vAlign w:val="center"/>
          </w:tcPr>
          <w:p w14:paraId="6BB5C8C6">
            <w:pPr>
              <w:snapToGrid w:val="0"/>
              <w:spacing w:line="360" w:lineRule="auto"/>
              <w:jc w:val="center"/>
              <w:rPr>
                <w:rFonts w:hint="eastAsia" w:ascii="宋体" w:hAnsi="宋体" w:cs="宋体"/>
                <w:b/>
                <w:color w:val="auto"/>
                <w:kern w:val="0"/>
                <w:sz w:val="21"/>
                <w:szCs w:val="21"/>
                <w:highlight w:val="none"/>
                <w:lang w:val="zh-CN"/>
              </w:rPr>
            </w:pPr>
            <w:r>
              <w:rPr>
                <w:rFonts w:hint="eastAsia" w:ascii="宋体" w:hAnsi="宋体" w:cs="宋体"/>
                <w:b/>
                <w:color w:val="auto"/>
                <w:kern w:val="0"/>
                <w:sz w:val="21"/>
                <w:szCs w:val="21"/>
                <w:highlight w:val="none"/>
                <w:lang w:val="zh-CN"/>
              </w:rPr>
              <w:t>投标声明</w:t>
            </w:r>
          </w:p>
        </w:tc>
        <w:tc>
          <w:tcPr>
            <w:tcW w:w="6160" w:type="dxa"/>
            <w:gridSpan w:val="2"/>
            <w:tcBorders>
              <w:top w:val="single" w:color="auto" w:sz="4" w:space="0"/>
              <w:left w:val="single" w:color="auto" w:sz="4" w:space="0"/>
              <w:bottom w:val="single" w:color="auto" w:sz="4" w:space="0"/>
              <w:right w:val="single" w:color="auto" w:sz="4" w:space="0"/>
            </w:tcBorders>
            <w:noWrap w:val="0"/>
            <w:vAlign w:val="center"/>
          </w:tcPr>
          <w:p w14:paraId="03E72294">
            <w:pPr>
              <w:snapToGrid w:val="0"/>
              <w:spacing w:line="360" w:lineRule="auto"/>
              <w:ind w:left="480"/>
              <w:jc w:val="center"/>
              <w:rPr>
                <w:rFonts w:hint="eastAsia" w:ascii="宋体" w:hAnsi="宋体" w:cs="宋体"/>
                <w:b/>
                <w:color w:val="auto"/>
                <w:kern w:val="0"/>
                <w:sz w:val="21"/>
                <w:szCs w:val="21"/>
                <w:highlight w:val="none"/>
                <w:lang w:val="zh-CN"/>
              </w:rPr>
            </w:pPr>
          </w:p>
        </w:tc>
      </w:tr>
    </w:tbl>
    <w:p w14:paraId="66780BEB">
      <w:pPr>
        <w:snapToGrid w:val="0"/>
        <w:spacing w:line="360" w:lineRule="auto"/>
        <w:ind w:left="480"/>
        <w:jc w:val="center"/>
        <w:rPr>
          <w:rFonts w:hint="eastAsia" w:ascii="宋体" w:hAnsi="宋体" w:eastAsia="宋体" w:cs="宋体"/>
          <w:b/>
          <w:color w:val="auto"/>
          <w:kern w:val="0"/>
          <w:sz w:val="24"/>
          <w:highlight w:val="none"/>
          <w:lang w:val="en-US" w:eastAsia="zh-CN"/>
        </w:rPr>
      </w:pPr>
    </w:p>
    <w:p w14:paraId="3C7C1BBE">
      <w:pPr>
        <w:snapToGrid w:val="0"/>
        <w:spacing w:line="360" w:lineRule="auto"/>
        <w:ind w:left="480"/>
        <w:jc w:val="center"/>
        <w:rPr>
          <w:rFonts w:hint="eastAsia" w:ascii="宋体" w:hAnsi="宋体" w:eastAsia="宋体" w:cs="宋体"/>
          <w:b/>
          <w:color w:val="auto"/>
          <w:kern w:val="0"/>
          <w:sz w:val="24"/>
          <w:highlight w:val="none"/>
          <w:lang w:val="en-US" w:eastAsia="zh-CN"/>
        </w:rPr>
      </w:pPr>
      <w:r>
        <w:rPr>
          <w:rFonts w:hint="eastAsia" w:ascii="宋体" w:hAnsi="宋体" w:eastAsia="宋体" w:cs="宋体"/>
          <w:b/>
          <w:color w:val="auto"/>
          <w:kern w:val="0"/>
          <w:sz w:val="24"/>
          <w:highlight w:val="none"/>
          <w:lang w:val="en-US" w:eastAsia="zh-CN"/>
        </w:rPr>
        <w:t>开标一览表（适用于标项</w:t>
      </w:r>
      <w:r>
        <w:rPr>
          <w:rFonts w:hint="eastAsia" w:ascii="宋体" w:hAnsi="宋体" w:cs="宋体"/>
          <w:b/>
          <w:color w:val="auto"/>
          <w:kern w:val="0"/>
          <w:sz w:val="24"/>
          <w:highlight w:val="none"/>
          <w:lang w:val="en-US" w:eastAsia="zh-CN"/>
        </w:rPr>
        <w:t>3</w:t>
      </w:r>
      <w:r>
        <w:rPr>
          <w:rFonts w:hint="eastAsia" w:ascii="宋体" w:hAnsi="宋体" w:eastAsia="宋体" w:cs="宋体"/>
          <w:b/>
          <w:color w:val="auto"/>
          <w:kern w:val="0"/>
          <w:sz w:val="24"/>
          <w:highlight w:val="none"/>
          <w:lang w:val="en-US" w:eastAsia="zh-CN"/>
        </w:rPr>
        <w:t>）</w:t>
      </w:r>
    </w:p>
    <w:tbl>
      <w:tblPr>
        <w:tblStyle w:val="63"/>
        <w:tblW w:w="9019"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2809"/>
        <w:gridCol w:w="2858"/>
        <w:gridCol w:w="3352"/>
      </w:tblGrid>
      <w:tr w14:paraId="7E7F087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60" w:hRule="atLeast"/>
          <w:jc w:val="center"/>
        </w:trPr>
        <w:tc>
          <w:tcPr>
            <w:tcW w:w="2809" w:type="dxa"/>
            <w:tcBorders>
              <w:top w:val="single" w:color="auto" w:sz="4" w:space="0"/>
              <w:left w:val="single" w:color="auto" w:sz="4" w:space="0"/>
              <w:bottom w:val="single" w:color="auto" w:sz="4" w:space="0"/>
              <w:right w:val="single" w:color="auto" w:sz="4" w:space="0"/>
            </w:tcBorders>
            <w:noWrap w:val="0"/>
            <w:vAlign w:val="center"/>
          </w:tcPr>
          <w:p w14:paraId="46D83516">
            <w:pPr>
              <w:adjustRightInd/>
              <w:snapToGrid w:val="0"/>
              <w:spacing w:before="50" w:after="50" w:line="360" w:lineRule="auto"/>
              <w:jc w:val="center"/>
              <w:rPr>
                <w:rFonts w:hint="eastAsia" w:ascii="宋体" w:hAnsi="宋体" w:eastAsia="宋体"/>
                <w:b/>
                <w:bCs w:val="0"/>
                <w:color w:val="auto"/>
                <w:szCs w:val="21"/>
                <w:highlight w:val="none"/>
              </w:rPr>
            </w:pPr>
            <w:r>
              <w:rPr>
                <w:rFonts w:hint="eastAsia" w:ascii="宋体" w:hAnsi="宋体" w:eastAsia="宋体"/>
                <w:b/>
                <w:bCs w:val="0"/>
                <w:color w:val="auto"/>
                <w:szCs w:val="21"/>
                <w:highlight w:val="none"/>
              </w:rPr>
              <w:t>食品类别</w:t>
            </w:r>
          </w:p>
        </w:tc>
        <w:tc>
          <w:tcPr>
            <w:tcW w:w="2858" w:type="dxa"/>
            <w:tcBorders>
              <w:top w:val="single" w:color="auto" w:sz="4" w:space="0"/>
              <w:left w:val="single" w:color="auto" w:sz="4" w:space="0"/>
              <w:bottom w:val="single" w:color="auto" w:sz="4" w:space="0"/>
              <w:right w:val="single" w:color="auto" w:sz="4" w:space="0"/>
            </w:tcBorders>
            <w:noWrap w:val="0"/>
            <w:vAlign w:val="center"/>
          </w:tcPr>
          <w:p w14:paraId="75382B6F">
            <w:pPr>
              <w:adjustRightInd/>
              <w:snapToGrid w:val="0"/>
              <w:spacing w:before="50" w:after="50" w:line="360" w:lineRule="auto"/>
              <w:jc w:val="center"/>
              <w:rPr>
                <w:rFonts w:hint="eastAsia" w:ascii="宋体" w:hAnsi="宋体" w:eastAsia="宋体"/>
                <w:b/>
                <w:bCs w:val="0"/>
                <w:color w:val="auto"/>
                <w:szCs w:val="21"/>
                <w:highlight w:val="none"/>
              </w:rPr>
            </w:pPr>
            <w:r>
              <w:rPr>
                <w:rFonts w:hint="eastAsia" w:ascii="宋体" w:hAnsi="宋体" w:eastAsia="宋体"/>
                <w:b/>
                <w:bCs w:val="0"/>
                <w:color w:val="auto"/>
                <w:szCs w:val="21"/>
                <w:highlight w:val="none"/>
              </w:rPr>
              <w:t>投标</w:t>
            </w:r>
            <w:r>
              <w:rPr>
                <w:rFonts w:hint="eastAsia" w:ascii="宋体" w:hAnsi="宋体" w:eastAsia="宋体"/>
                <w:b/>
                <w:bCs w:val="0"/>
                <w:color w:val="auto"/>
                <w:szCs w:val="21"/>
                <w:highlight w:val="none"/>
                <w:lang w:val="en-US" w:eastAsia="zh-CN"/>
              </w:rPr>
              <w:t>折扣系数</w:t>
            </w:r>
            <w:r>
              <w:rPr>
                <w:rFonts w:hint="eastAsia" w:ascii="宋体" w:hAnsi="宋体" w:eastAsia="宋体"/>
                <w:b/>
                <w:bCs w:val="0"/>
                <w:color w:val="auto"/>
                <w:szCs w:val="21"/>
                <w:highlight w:val="none"/>
              </w:rPr>
              <w:t>（%）</w:t>
            </w:r>
          </w:p>
        </w:tc>
        <w:tc>
          <w:tcPr>
            <w:tcW w:w="3352" w:type="dxa"/>
            <w:tcBorders>
              <w:top w:val="single" w:color="auto" w:sz="4" w:space="0"/>
              <w:left w:val="single" w:color="auto" w:sz="4" w:space="0"/>
              <w:bottom w:val="single" w:color="auto" w:sz="4" w:space="0"/>
              <w:right w:val="single" w:color="auto" w:sz="4" w:space="0"/>
            </w:tcBorders>
            <w:noWrap w:val="0"/>
            <w:vAlign w:val="center"/>
          </w:tcPr>
          <w:p w14:paraId="19D5A952">
            <w:pPr>
              <w:adjustRightInd/>
              <w:snapToGrid w:val="0"/>
              <w:spacing w:before="50" w:after="50" w:line="360" w:lineRule="auto"/>
              <w:jc w:val="center"/>
              <w:rPr>
                <w:rFonts w:hint="default" w:ascii="宋体" w:hAnsi="宋体" w:eastAsia="宋体"/>
                <w:b/>
                <w:bCs w:val="0"/>
                <w:color w:val="auto"/>
                <w:szCs w:val="21"/>
                <w:highlight w:val="none"/>
                <w:lang w:val="en-US" w:eastAsia="zh-CN"/>
              </w:rPr>
            </w:pPr>
            <w:r>
              <w:rPr>
                <w:rFonts w:hint="eastAsia" w:ascii="宋体" w:hAnsi="宋体" w:eastAsia="宋体"/>
                <w:b/>
                <w:bCs w:val="0"/>
                <w:color w:val="auto"/>
                <w:szCs w:val="21"/>
                <w:highlight w:val="none"/>
                <w:lang w:val="en-US" w:eastAsia="zh-CN"/>
              </w:rPr>
              <w:t>合同履约期限</w:t>
            </w:r>
          </w:p>
        </w:tc>
      </w:tr>
      <w:tr w14:paraId="77ED5A2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2809" w:type="dxa"/>
            <w:tcBorders>
              <w:top w:val="single" w:color="auto" w:sz="4" w:space="0"/>
              <w:left w:val="single" w:color="auto" w:sz="4" w:space="0"/>
              <w:bottom w:val="single" w:color="auto" w:sz="4" w:space="0"/>
              <w:right w:val="single" w:color="auto" w:sz="4" w:space="0"/>
            </w:tcBorders>
            <w:noWrap w:val="0"/>
            <w:vAlign w:val="center"/>
          </w:tcPr>
          <w:p w14:paraId="62F674FF">
            <w:pPr>
              <w:adjustRightInd/>
              <w:snapToGrid w:val="0"/>
              <w:spacing w:before="50" w:after="50" w:line="360" w:lineRule="auto"/>
              <w:jc w:val="center"/>
              <w:rPr>
                <w:rFonts w:hint="eastAsia" w:ascii="宋体" w:hAnsi="宋体" w:eastAsia="宋体"/>
                <w:b/>
                <w:bCs w:val="0"/>
                <w:color w:val="auto"/>
                <w:szCs w:val="21"/>
                <w:highlight w:val="none"/>
              </w:rPr>
            </w:pPr>
            <w:r>
              <w:rPr>
                <w:rFonts w:hint="eastAsia" w:ascii="宋体" w:hAnsi="宋体" w:eastAsia="宋体"/>
                <w:b/>
                <w:bCs w:val="0"/>
                <w:color w:val="auto"/>
                <w:szCs w:val="21"/>
                <w:highlight w:val="none"/>
              </w:rPr>
              <w:t>其他杂项类</w:t>
            </w:r>
          </w:p>
        </w:tc>
        <w:tc>
          <w:tcPr>
            <w:tcW w:w="2858" w:type="dxa"/>
            <w:tcBorders>
              <w:top w:val="single" w:color="auto" w:sz="4" w:space="0"/>
              <w:left w:val="single" w:color="auto" w:sz="4" w:space="0"/>
              <w:bottom w:val="single" w:color="auto" w:sz="4" w:space="0"/>
              <w:right w:val="single" w:color="auto" w:sz="4" w:space="0"/>
            </w:tcBorders>
            <w:noWrap w:val="0"/>
            <w:vAlign w:val="center"/>
          </w:tcPr>
          <w:p w14:paraId="40A44D89">
            <w:pPr>
              <w:adjustRightInd/>
              <w:snapToGrid w:val="0"/>
              <w:spacing w:before="50" w:after="50" w:line="360" w:lineRule="auto"/>
              <w:jc w:val="center"/>
              <w:rPr>
                <w:rFonts w:hint="eastAsia" w:ascii="宋体" w:hAnsi="宋体" w:eastAsia="宋体"/>
                <w:b/>
                <w:bCs w:val="0"/>
                <w:color w:val="auto"/>
                <w:szCs w:val="21"/>
                <w:highlight w:val="none"/>
              </w:rPr>
            </w:pPr>
          </w:p>
        </w:tc>
        <w:tc>
          <w:tcPr>
            <w:tcW w:w="3352" w:type="dxa"/>
            <w:tcBorders>
              <w:left w:val="single" w:color="auto" w:sz="4" w:space="0"/>
              <w:right w:val="single" w:color="auto" w:sz="4" w:space="0"/>
            </w:tcBorders>
            <w:noWrap w:val="0"/>
            <w:vAlign w:val="center"/>
          </w:tcPr>
          <w:p w14:paraId="35C14C3C">
            <w:pPr>
              <w:adjustRightInd/>
              <w:snapToGrid w:val="0"/>
              <w:spacing w:before="50" w:after="50" w:line="360" w:lineRule="auto"/>
              <w:jc w:val="center"/>
              <w:rPr>
                <w:rFonts w:hint="eastAsia" w:ascii="宋体" w:hAnsi="宋体" w:eastAsia="宋体"/>
                <w:b/>
                <w:bCs w:val="0"/>
                <w:color w:val="auto"/>
                <w:szCs w:val="21"/>
                <w:highlight w:val="none"/>
              </w:rPr>
            </w:pPr>
          </w:p>
        </w:tc>
      </w:tr>
      <w:tr w14:paraId="4EC420F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00" w:hRule="atLeast"/>
          <w:jc w:val="center"/>
        </w:trPr>
        <w:tc>
          <w:tcPr>
            <w:tcW w:w="2809" w:type="dxa"/>
            <w:tcBorders>
              <w:top w:val="single" w:color="auto" w:sz="4" w:space="0"/>
              <w:left w:val="single" w:color="auto" w:sz="4" w:space="0"/>
              <w:bottom w:val="single" w:color="auto" w:sz="4" w:space="0"/>
              <w:right w:val="single" w:color="auto" w:sz="4" w:space="0"/>
            </w:tcBorders>
            <w:noWrap w:val="0"/>
            <w:vAlign w:val="center"/>
          </w:tcPr>
          <w:p w14:paraId="47998C2F">
            <w:pPr>
              <w:adjustRightInd/>
              <w:snapToGrid w:val="0"/>
              <w:spacing w:before="50" w:after="50" w:line="360" w:lineRule="auto"/>
              <w:jc w:val="center"/>
              <w:rPr>
                <w:rFonts w:hint="eastAsia" w:ascii="宋体" w:hAnsi="宋体" w:eastAsia="宋体"/>
                <w:b/>
                <w:bCs w:val="0"/>
                <w:color w:val="auto"/>
                <w:szCs w:val="21"/>
                <w:highlight w:val="none"/>
              </w:rPr>
            </w:pPr>
            <w:r>
              <w:rPr>
                <w:rFonts w:hint="eastAsia" w:ascii="宋体" w:hAnsi="宋体" w:eastAsia="宋体"/>
                <w:b/>
                <w:bCs w:val="0"/>
                <w:color w:val="auto"/>
                <w:szCs w:val="21"/>
                <w:highlight w:val="none"/>
              </w:rPr>
              <w:t>投标声明</w:t>
            </w:r>
          </w:p>
        </w:tc>
        <w:tc>
          <w:tcPr>
            <w:tcW w:w="6210" w:type="dxa"/>
            <w:gridSpan w:val="2"/>
            <w:tcBorders>
              <w:top w:val="single" w:color="auto" w:sz="4" w:space="0"/>
              <w:left w:val="single" w:color="auto" w:sz="4" w:space="0"/>
              <w:bottom w:val="single" w:color="auto" w:sz="4" w:space="0"/>
              <w:right w:val="single" w:color="auto" w:sz="4" w:space="0"/>
            </w:tcBorders>
            <w:noWrap w:val="0"/>
            <w:vAlign w:val="center"/>
          </w:tcPr>
          <w:p w14:paraId="0A286428">
            <w:pPr>
              <w:adjustRightInd/>
              <w:snapToGrid w:val="0"/>
              <w:spacing w:before="50" w:after="50" w:line="360" w:lineRule="auto"/>
              <w:jc w:val="center"/>
              <w:rPr>
                <w:rFonts w:hint="eastAsia" w:ascii="宋体" w:hAnsi="宋体" w:eastAsia="宋体"/>
                <w:b/>
                <w:bCs w:val="0"/>
                <w:color w:val="auto"/>
                <w:szCs w:val="21"/>
                <w:highlight w:val="none"/>
              </w:rPr>
            </w:pPr>
          </w:p>
        </w:tc>
      </w:tr>
    </w:tbl>
    <w:p w14:paraId="65EE2417">
      <w:pPr>
        <w:shd w:val="clear"/>
        <w:snapToGrid w:val="0"/>
        <w:spacing w:line="360" w:lineRule="auto"/>
        <w:ind w:left="480"/>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注：</w:t>
      </w:r>
    </w:p>
    <w:p w14:paraId="125DEEA1">
      <w:pPr>
        <w:shd w:val="clear"/>
        <w:spacing w:line="360" w:lineRule="auto"/>
        <w:ind w:left="-2" w:leftChars="-1"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1、投标人需按本表格式填写</w:t>
      </w:r>
      <w:r>
        <w:rPr>
          <w:rFonts w:hint="eastAsia" w:ascii="宋体" w:hAnsi="宋体" w:cs="宋体"/>
          <w:b/>
          <w:color w:val="auto"/>
          <w:kern w:val="0"/>
          <w:sz w:val="24"/>
          <w:highlight w:val="none"/>
          <w:lang w:val="zh-CN"/>
        </w:rPr>
        <w:t>，</w:t>
      </w:r>
      <w:r>
        <w:rPr>
          <w:rFonts w:hint="eastAsia" w:ascii="宋体" w:hAnsi="宋体" w:cs="宋体"/>
          <w:b/>
          <w:color w:val="auto"/>
          <w:kern w:val="0"/>
          <w:sz w:val="24"/>
          <w:highlight w:val="none"/>
        </w:rPr>
        <w:t>否则视为</w:t>
      </w:r>
      <w:r>
        <w:rPr>
          <w:rFonts w:hint="eastAsia" w:ascii="宋体" w:hAnsi="宋体" w:cs="宋体"/>
          <w:b/>
          <w:color w:val="auto"/>
          <w:sz w:val="24"/>
          <w:highlight w:val="none"/>
        </w:rPr>
        <w:t>投标文件含有采购人不能接受的附加条件，投标无效</w:t>
      </w:r>
      <w:r>
        <w:rPr>
          <w:rFonts w:hint="eastAsia" w:ascii="宋体" w:hAnsi="宋体" w:cs="宋体"/>
          <w:color w:val="auto"/>
          <w:kern w:val="0"/>
          <w:sz w:val="24"/>
          <w:highlight w:val="none"/>
          <w:lang w:val="zh-CN"/>
        </w:rPr>
        <w:t>。</w:t>
      </w:r>
    </w:p>
    <w:p w14:paraId="1DE1E992">
      <w:pPr>
        <w:shd w:val="clea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lang w:val="zh-CN"/>
        </w:rPr>
        <w:t>2、有关本项目实施所涉及的一切费用均计入报价。</w:t>
      </w:r>
      <w:r>
        <w:rPr>
          <w:rFonts w:hint="eastAsia" w:ascii="宋体" w:hAnsi="宋体" w:cs="宋体"/>
          <w:b/>
          <w:color w:val="auto"/>
          <w:kern w:val="0"/>
          <w:sz w:val="24"/>
          <w:highlight w:val="none"/>
          <w:lang w:val="zh-CN"/>
        </w:rPr>
        <w:t>采购人将以合同形式有偿取得货物或服务，不接受投标人给予的赠品、回扣或者与采购无关的其他商品、服务</w:t>
      </w:r>
      <w:r>
        <w:rPr>
          <w:rFonts w:hint="eastAsia" w:ascii="宋体" w:hAnsi="宋体" w:cs="宋体"/>
          <w:color w:val="auto"/>
          <w:kern w:val="0"/>
          <w:sz w:val="24"/>
          <w:highlight w:val="none"/>
          <w:lang w:val="zh-CN"/>
        </w:rPr>
        <w:t>，</w:t>
      </w:r>
      <w:r>
        <w:rPr>
          <w:rFonts w:hint="eastAsia" w:ascii="宋体" w:hAnsi="宋体" w:cs="宋体"/>
          <w:b/>
          <w:color w:val="auto"/>
          <w:kern w:val="0"/>
          <w:sz w:val="24"/>
          <w:highlight w:val="none"/>
          <w:lang w:val="zh-CN"/>
        </w:rPr>
        <w:t>不得出现“0元”“免费赠送”等形式的无偿报价，</w:t>
      </w:r>
      <w:r>
        <w:rPr>
          <w:rFonts w:hint="eastAsia" w:ascii="宋体" w:hAnsi="宋体" w:cs="宋体"/>
          <w:b/>
          <w:color w:val="auto"/>
          <w:kern w:val="0"/>
          <w:sz w:val="24"/>
          <w:highlight w:val="none"/>
        </w:rPr>
        <w:t>否则视为</w:t>
      </w:r>
      <w:r>
        <w:rPr>
          <w:rFonts w:hint="eastAsia" w:ascii="宋体" w:hAnsi="宋体" w:cs="宋体"/>
          <w:b/>
          <w:color w:val="auto"/>
          <w:sz w:val="24"/>
          <w:highlight w:val="none"/>
        </w:rPr>
        <w:t>投标文件含有采购人不能接受的附加条件，投标无效</w:t>
      </w:r>
      <w:r>
        <w:rPr>
          <w:rFonts w:hint="eastAsia" w:ascii="宋体" w:hAnsi="宋体" w:cs="宋体"/>
          <w:b/>
          <w:color w:val="auto"/>
          <w:kern w:val="0"/>
          <w:sz w:val="24"/>
          <w:highlight w:val="none"/>
          <w:lang w:val="zh-CN"/>
        </w:rPr>
        <w:t>；采购内容未包含在《开标一览表（报价表）》名称栏中，投标人不能作出合理解释的，</w:t>
      </w:r>
      <w:r>
        <w:rPr>
          <w:rFonts w:hint="eastAsia" w:ascii="宋体" w:hAnsi="宋体" w:cs="宋体"/>
          <w:b/>
          <w:color w:val="auto"/>
          <w:kern w:val="0"/>
          <w:sz w:val="24"/>
          <w:highlight w:val="none"/>
        </w:rPr>
        <w:t>视为</w:t>
      </w:r>
      <w:r>
        <w:rPr>
          <w:rFonts w:hint="eastAsia" w:ascii="宋体" w:hAnsi="宋体" w:cs="宋体"/>
          <w:b/>
          <w:color w:val="auto"/>
          <w:sz w:val="24"/>
          <w:highlight w:val="none"/>
        </w:rPr>
        <w:t>投标文件含有采购人不能接受的附加条件的，投标无效。</w:t>
      </w:r>
    </w:p>
    <w:p w14:paraId="6E79192F">
      <w:pPr>
        <w:shd w:val="clear"/>
        <w:snapToGrid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3、特别提示：采购代理机构将对项目名称和项目编号，中标供应商名称、地址和中标金额，主要中标标的名称、服务范围、服务要求、服务时间、服务标准等予以公示。</w:t>
      </w:r>
    </w:p>
    <w:p w14:paraId="2C9DA9C7">
      <w:pPr>
        <w:shd w:val="clear"/>
        <w:snapToGrid w:val="0"/>
        <w:spacing w:line="360" w:lineRule="auto"/>
        <w:ind w:firstLine="480" w:firstLineChars="200"/>
        <w:jc w:val="left"/>
        <w:rPr>
          <w:rFonts w:ascii="宋体" w:hAnsi="宋体" w:eastAsia="宋体" w:cs="宋体"/>
          <w:color w:val="auto"/>
          <w:kern w:val="2"/>
          <w:sz w:val="32"/>
          <w:szCs w:val="32"/>
          <w:highlight w:val="none"/>
        </w:rPr>
      </w:pPr>
      <w:r>
        <w:rPr>
          <w:rFonts w:ascii="宋体" w:hAnsi="宋体" w:cs="宋体"/>
          <w:color w:val="auto"/>
          <w:kern w:val="0"/>
          <w:sz w:val="24"/>
          <w:szCs w:val="22"/>
          <w:highlight w:val="none"/>
          <w:lang w:val="zh-CN"/>
        </w:rPr>
        <w:t>4</w:t>
      </w:r>
      <w:r>
        <w:rPr>
          <w:rFonts w:hint="eastAsia" w:ascii="宋体" w:hAnsi="宋体" w:cs="宋体"/>
          <w:color w:val="auto"/>
          <w:kern w:val="0"/>
          <w:sz w:val="24"/>
          <w:szCs w:val="22"/>
          <w:highlight w:val="none"/>
          <w:lang w:val="zh-CN"/>
        </w:rPr>
        <w:t>、</w:t>
      </w:r>
      <w:r>
        <w:rPr>
          <w:rFonts w:hint="eastAsia" w:ascii="宋体" w:hAnsi="宋体" w:cs="宋体"/>
          <w:color w:val="auto"/>
          <w:kern w:val="0"/>
          <w:sz w:val="24"/>
          <w:highlight w:val="none"/>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71119324">
      <w:pPr>
        <w:pStyle w:val="690"/>
        <w:keepNext w:val="0"/>
        <w:pageBreakBefore w:val="0"/>
        <w:shd w:val="clear"/>
        <w:tabs>
          <w:tab w:val="clear" w:pos="720"/>
        </w:tabs>
        <w:snapToGrid w:val="0"/>
        <w:spacing w:before="120" w:after="120"/>
        <w:ind w:firstLine="643"/>
        <w:outlineLvl w:val="9"/>
        <w:rPr>
          <w:rFonts w:ascii="宋体" w:hAnsi="宋体" w:eastAsia="宋体" w:cs="宋体"/>
          <w:color w:val="auto"/>
          <w:kern w:val="2"/>
          <w:sz w:val="32"/>
          <w:szCs w:val="32"/>
          <w:highlight w:val="none"/>
        </w:rPr>
        <w:sectPr>
          <w:pgSz w:w="11906" w:h="16838"/>
          <w:pgMar w:top="1247" w:right="1418" w:bottom="1276" w:left="1418" w:header="851" w:footer="992" w:gutter="0"/>
          <w:cols w:space="720" w:num="1"/>
          <w:titlePg/>
          <w:docGrid w:linePitch="312" w:charSpace="0"/>
        </w:sectPr>
      </w:pPr>
    </w:p>
    <w:p w14:paraId="1575949D">
      <w:pPr>
        <w:pStyle w:val="690"/>
        <w:keepNext w:val="0"/>
        <w:pageBreakBefore w:val="0"/>
        <w:shd w:val="clear"/>
        <w:tabs>
          <w:tab w:val="clear" w:pos="720"/>
        </w:tabs>
        <w:snapToGrid w:val="0"/>
        <w:spacing w:before="120" w:after="120"/>
        <w:ind w:firstLine="643"/>
        <w:outlineLvl w:val="9"/>
        <w:rPr>
          <w:rFonts w:ascii="宋体" w:hAnsi="宋体" w:eastAsia="宋体" w:cs="宋体"/>
          <w:color w:val="auto"/>
          <w:sz w:val="32"/>
          <w:szCs w:val="32"/>
          <w:highlight w:val="none"/>
        </w:rPr>
      </w:pPr>
      <w:r>
        <w:rPr>
          <w:rFonts w:hint="eastAsia" w:ascii="宋体" w:hAnsi="宋体" w:eastAsia="宋体" w:cs="宋体"/>
          <w:color w:val="auto"/>
          <w:kern w:val="2"/>
          <w:sz w:val="32"/>
          <w:szCs w:val="32"/>
          <w:highlight w:val="none"/>
        </w:rPr>
        <w:t>二、</w:t>
      </w:r>
      <w:r>
        <w:rPr>
          <w:rFonts w:hint="eastAsia" w:ascii="宋体" w:hAnsi="宋体" w:eastAsia="宋体" w:cs="宋体"/>
          <w:color w:val="auto"/>
          <w:sz w:val="32"/>
          <w:szCs w:val="32"/>
          <w:highlight w:val="none"/>
        </w:rPr>
        <w:t>中小企业声明函（如果有）</w:t>
      </w:r>
    </w:p>
    <w:p w14:paraId="47BAC1EF">
      <w:pPr>
        <w:widowControl/>
        <w:shd w:val="clear"/>
        <w:spacing w:line="360" w:lineRule="auto"/>
        <w:ind w:firstLine="120" w:firstLineChars="50"/>
        <w:jc w:val="left"/>
        <w:rPr>
          <w:rFonts w:ascii="宋体" w:hAnsi="宋体" w:cs="宋体"/>
          <w:b/>
          <w:color w:val="auto"/>
          <w:sz w:val="24"/>
          <w:highlight w:val="none"/>
        </w:rPr>
      </w:pPr>
      <w:r>
        <w:rPr>
          <w:rFonts w:hint="eastAsia" w:ascii="宋体" w:hAnsi="宋体" w:cs="宋体"/>
          <w:b/>
          <w:color w:val="auto"/>
          <w:sz w:val="24"/>
          <w:highlight w:val="none"/>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宋体" w:hAnsi="宋体" w:cs="宋体"/>
          <w:b/>
          <w:color w:val="auto"/>
          <w:sz w:val="24"/>
          <w:highlight w:val="none"/>
        </w:rPr>
        <w:t>7</w:t>
      </w:r>
      <w:r>
        <w:rPr>
          <w:rFonts w:hint="eastAsia" w:ascii="宋体" w:hAnsi="宋体" w:cs="宋体"/>
          <w:b/>
          <w:color w:val="auto"/>
          <w:sz w:val="24"/>
          <w:highlight w:val="none"/>
        </w:rPr>
        <w:t>）。]</w:t>
      </w:r>
    </w:p>
    <w:p w14:paraId="535DA28C">
      <w:pPr>
        <w:pStyle w:val="690"/>
        <w:keepNext w:val="0"/>
        <w:pageBreakBefore w:val="0"/>
        <w:shd w:val="clear"/>
        <w:tabs>
          <w:tab w:val="clear" w:pos="720"/>
        </w:tabs>
        <w:snapToGrid w:val="0"/>
        <w:spacing w:before="120" w:after="120"/>
        <w:ind w:firstLine="643"/>
        <w:outlineLvl w:val="9"/>
        <w:rPr>
          <w:rFonts w:ascii="宋体" w:hAnsi="宋体" w:eastAsia="宋体" w:cs="宋体"/>
          <w:b w:val="0"/>
          <w:color w:val="auto"/>
          <w:sz w:val="32"/>
          <w:szCs w:val="32"/>
          <w:highlight w:val="none"/>
        </w:rPr>
      </w:pPr>
    </w:p>
    <w:p w14:paraId="10C07BE4">
      <w:pPr>
        <w:shd w:val="clear"/>
        <w:spacing w:line="360" w:lineRule="auto"/>
        <w:ind w:right="420" w:firstLine="3614" w:firstLineChars="1000"/>
        <w:rPr>
          <w:rFonts w:ascii="宋体" w:hAnsi="宋体" w:cs="宋体"/>
          <w:b/>
          <w:color w:val="auto"/>
          <w:kern w:val="0"/>
          <w:sz w:val="36"/>
          <w:szCs w:val="36"/>
          <w:highlight w:val="none"/>
        </w:rPr>
      </w:pPr>
    </w:p>
    <w:p w14:paraId="0ED98E4F">
      <w:pPr>
        <w:shd w:val="clear"/>
        <w:spacing w:line="360" w:lineRule="auto"/>
        <w:ind w:right="420" w:firstLine="3614" w:firstLineChars="1000"/>
        <w:rPr>
          <w:rFonts w:ascii="宋体" w:hAnsi="宋体" w:cs="宋体"/>
          <w:b/>
          <w:color w:val="auto"/>
          <w:kern w:val="0"/>
          <w:sz w:val="36"/>
          <w:szCs w:val="36"/>
          <w:highlight w:val="none"/>
        </w:rPr>
      </w:pPr>
    </w:p>
    <w:p w14:paraId="0B54968E">
      <w:pPr>
        <w:shd w:val="clear"/>
        <w:spacing w:line="360" w:lineRule="auto"/>
        <w:ind w:right="420" w:firstLine="3614" w:firstLineChars="1000"/>
        <w:rPr>
          <w:rFonts w:ascii="宋体" w:hAnsi="宋体" w:cs="宋体"/>
          <w:b/>
          <w:color w:val="auto"/>
          <w:kern w:val="0"/>
          <w:sz w:val="36"/>
          <w:szCs w:val="36"/>
          <w:highlight w:val="none"/>
        </w:rPr>
      </w:pPr>
    </w:p>
    <w:p w14:paraId="39BDECB8">
      <w:pPr>
        <w:shd w:val="clear"/>
        <w:spacing w:line="360" w:lineRule="auto"/>
        <w:ind w:right="420" w:firstLine="3614" w:firstLineChars="1000"/>
        <w:rPr>
          <w:rFonts w:ascii="宋体" w:hAnsi="宋体" w:cs="宋体"/>
          <w:b/>
          <w:color w:val="auto"/>
          <w:kern w:val="0"/>
          <w:sz w:val="36"/>
          <w:szCs w:val="36"/>
          <w:highlight w:val="none"/>
        </w:rPr>
      </w:pPr>
    </w:p>
    <w:p w14:paraId="7DB45FD6">
      <w:pPr>
        <w:shd w:val="clear"/>
        <w:spacing w:line="360" w:lineRule="auto"/>
        <w:ind w:right="420" w:firstLine="3614" w:firstLineChars="1000"/>
        <w:rPr>
          <w:rFonts w:ascii="宋体" w:hAnsi="宋体" w:cs="宋体"/>
          <w:b/>
          <w:color w:val="auto"/>
          <w:kern w:val="0"/>
          <w:sz w:val="36"/>
          <w:szCs w:val="36"/>
          <w:highlight w:val="none"/>
        </w:rPr>
      </w:pPr>
    </w:p>
    <w:p w14:paraId="03B0183F">
      <w:pPr>
        <w:shd w:val="clear"/>
        <w:spacing w:line="360" w:lineRule="auto"/>
        <w:ind w:right="420" w:firstLine="3614" w:firstLineChars="1000"/>
        <w:rPr>
          <w:rFonts w:ascii="宋体" w:hAnsi="宋体" w:cs="宋体"/>
          <w:b/>
          <w:color w:val="auto"/>
          <w:kern w:val="0"/>
          <w:sz w:val="36"/>
          <w:szCs w:val="36"/>
          <w:highlight w:val="none"/>
        </w:rPr>
      </w:pPr>
    </w:p>
    <w:p w14:paraId="01BA3FDB">
      <w:pPr>
        <w:shd w:val="clear"/>
        <w:spacing w:line="360" w:lineRule="auto"/>
        <w:ind w:right="420" w:firstLine="3614" w:firstLineChars="1000"/>
        <w:rPr>
          <w:rFonts w:ascii="宋体" w:hAnsi="宋体" w:cs="宋体"/>
          <w:b/>
          <w:color w:val="auto"/>
          <w:kern w:val="0"/>
          <w:sz w:val="36"/>
          <w:szCs w:val="36"/>
          <w:highlight w:val="none"/>
        </w:rPr>
      </w:pPr>
    </w:p>
    <w:p w14:paraId="1C8C7834">
      <w:pPr>
        <w:shd w:val="clear"/>
        <w:spacing w:line="360" w:lineRule="auto"/>
        <w:ind w:right="420" w:firstLine="3614" w:firstLineChars="1000"/>
        <w:rPr>
          <w:rFonts w:ascii="宋体" w:hAnsi="宋体" w:cs="宋体"/>
          <w:b/>
          <w:color w:val="auto"/>
          <w:kern w:val="0"/>
          <w:sz w:val="36"/>
          <w:szCs w:val="36"/>
          <w:highlight w:val="none"/>
        </w:rPr>
      </w:pPr>
    </w:p>
    <w:p w14:paraId="16EFD65A">
      <w:pPr>
        <w:shd w:val="clear"/>
        <w:spacing w:line="360" w:lineRule="auto"/>
        <w:ind w:right="420" w:firstLine="3614" w:firstLineChars="1000"/>
        <w:rPr>
          <w:rFonts w:ascii="宋体" w:hAnsi="宋体" w:cs="宋体"/>
          <w:b/>
          <w:color w:val="auto"/>
          <w:kern w:val="0"/>
          <w:sz w:val="36"/>
          <w:szCs w:val="36"/>
          <w:highlight w:val="none"/>
        </w:rPr>
      </w:pPr>
    </w:p>
    <w:p w14:paraId="073EFF4F">
      <w:pPr>
        <w:shd w:val="clear"/>
        <w:spacing w:line="360" w:lineRule="auto"/>
        <w:ind w:right="420" w:firstLine="3614" w:firstLineChars="1000"/>
        <w:rPr>
          <w:rFonts w:ascii="宋体" w:hAnsi="宋体" w:cs="宋体"/>
          <w:b/>
          <w:color w:val="auto"/>
          <w:kern w:val="0"/>
          <w:sz w:val="36"/>
          <w:szCs w:val="36"/>
          <w:highlight w:val="none"/>
        </w:rPr>
      </w:pPr>
    </w:p>
    <w:p w14:paraId="415F755D">
      <w:pPr>
        <w:shd w:val="clear"/>
        <w:spacing w:line="360" w:lineRule="auto"/>
        <w:ind w:right="420" w:firstLine="3614" w:firstLineChars="1000"/>
        <w:rPr>
          <w:rFonts w:ascii="宋体" w:hAnsi="宋体" w:cs="宋体"/>
          <w:b/>
          <w:color w:val="auto"/>
          <w:kern w:val="0"/>
          <w:sz w:val="36"/>
          <w:szCs w:val="36"/>
          <w:highlight w:val="none"/>
        </w:rPr>
      </w:pPr>
    </w:p>
    <w:p w14:paraId="4B668B0F">
      <w:pPr>
        <w:shd w:val="clear"/>
        <w:spacing w:line="360" w:lineRule="auto"/>
        <w:ind w:right="420" w:firstLine="3614" w:firstLineChars="1000"/>
        <w:rPr>
          <w:rFonts w:ascii="宋体" w:hAnsi="宋体" w:cs="宋体"/>
          <w:b/>
          <w:color w:val="auto"/>
          <w:kern w:val="0"/>
          <w:sz w:val="36"/>
          <w:szCs w:val="36"/>
          <w:highlight w:val="none"/>
        </w:rPr>
      </w:pPr>
    </w:p>
    <w:p w14:paraId="3ACD7D6F">
      <w:pPr>
        <w:shd w:val="clear"/>
        <w:spacing w:line="360" w:lineRule="auto"/>
        <w:ind w:right="420" w:firstLine="3614" w:firstLineChars="1000"/>
        <w:rPr>
          <w:rFonts w:ascii="宋体" w:hAnsi="宋体" w:cs="宋体"/>
          <w:b/>
          <w:color w:val="auto"/>
          <w:kern w:val="0"/>
          <w:sz w:val="36"/>
          <w:szCs w:val="36"/>
          <w:highlight w:val="none"/>
        </w:rPr>
      </w:pPr>
    </w:p>
    <w:p w14:paraId="5AFACAC2">
      <w:pPr>
        <w:shd w:val="clear"/>
        <w:spacing w:line="360" w:lineRule="auto"/>
        <w:ind w:right="420" w:firstLine="3614" w:firstLineChars="1000"/>
        <w:rPr>
          <w:rFonts w:ascii="宋体" w:hAnsi="宋体" w:cs="宋体"/>
          <w:b/>
          <w:color w:val="auto"/>
          <w:kern w:val="0"/>
          <w:sz w:val="36"/>
          <w:szCs w:val="36"/>
          <w:highlight w:val="none"/>
        </w:rPr>
      </w:pPr>
    </w:p>
    <w:p w14:paraId="5BCA5F39">
      <w:pPr>
        <w:shd w:val="clear"/>
        <w:spacing w:line="360" w:lineRule="auto"/>
        <w:ind w:right="420" w:firstLine="3614" w:firstLineChars="1000"/>
        <w:rPr>
          <w:rFonts w:ascii="宋体" w:hAnsi="宋体" w:cs="宋体"/>
          <w:b/>
          <w:color w:val="auto"/>
          <w:kern w:val="0"/>
          <w:sz w:val="36"/>
          <w:szCs w:val="36"/>
          <w:highlight w:val="none"/>
        </w:rPr>
      </w:pPr>
    </w:p>
    <w:p w14:paraId="248983D6">
      <w:pPr>
        <w:shd w:val="clear"/>
        <w:spacing w:line="360" w:lineRule="auto"/>
        <w:ind w:right="420" w:firstLine="3614" w:firstLineChars="1000"/>
        <w:rPr>
          <w:rFonts w:ascii="宋体" w:hAnsi="宋体" w:cs="宋体"/>
          <w:b/>
          <w:color w:val="auto"/>
          <w:kern w:val="0"/>
          <w:sz w:val="36"/>
          <w:szCs w:val="36"/>
          <w:highlight w:val="none"/>
        </w:rPr>
      </w:pPr>
    </w:p>
    <w:p w14:paraId="3A31DF3F">
      <w:pPr>
        <w:pStyle w:val="4"/>
        <w:keepNext w:val="0"/>
        <w:keepLines w:val="0"/>
        <w:pageBreakBefore/>
        <w:widowControl/>
        <w:shd w:val="clear"/>
        <w:spacing w:before="100" w:beforeAutospacing="1" w:after="100" w:afterAutospacing="1" w:line="360" w:lineRule="auto"/>
        <w:ind w:left="1290" w:firstLine="3092" w:firstLineChars="700"/>
        <w:rPr>
          <w:rFonts w:ascii="宋体" w:hAnsi="宋体" w:cs="宋体"/>
          <w:color w:val="auto"/>
          <w:highlight w:val="none"/>
        </w:rPr>
      </w:pPr>
      <w:r>
        <w:rPr>
          <w:rFonts w:hint="eastAsia" w:ascii="宋体" w:hAnsi="宋体" w:cs="宋体"/>
          <w:color w:val="auto"/>
          <w:highlight w:val="none"/>
        </w:rPr>
        <w:t>附件</w:t>
      </w:r>
    </w:p>
    <w:p w14:paraId="56378AD8">
      <w:pPr>
        <w:shd w:val="clear"/>
        <w:spacing w:line="360" w:lineRule="auto"/>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附件1：</w:t>
      </w:r>
    </w:p>
    <w:p w14:paraId="4ADC3728">
      <w:pPr>
        <w:shd w:val="clear"/>
        <w:spacing w:line="360" w:lineRule="auto"/>
        <w:jc w:val="center"/>
        <w:rPr>
          <w:rFonts w:ascii="宋体" w:hAnsi="宋体" w:cs="宋体"/>
          <w:b/>
          <w:color w:val="auto"/>
          <w:spacing w:val="6"/>
          <w:sz w:val="32"/>
          <w:szCs w:val="32"/>
          <w:highlight w:val="none"/>
        </w:rPr>
      </w:pPr>
      <w:bookmarkStart w:id="511" w:name="OLE_LINK14"/>
      <w:bookmarkStart w:id="512" w:name="OLE_LINK13"/>
      <w:r>
        <w:rPr>
          <w:rFonts w:hint="eastAsia" w:ascii="宋体" w:hAnsi="宋体" w:cs="宋体"/>
          <w:b/>
          <w:color w:val="auto"/>
          <w:spacing w:val="6"/>
          <w:sz w:val="32"/>
          <w:szCs w:val="32"/>
          <w:highlight w:val="none"/>
        </w:rPr>
        <w:t>残疾人福利性单位声明函</w:t>
      </w:r>
    </w:p>
    <w:bookmarkEnd w:id="511"/>
    <w:bookmarkEnd w:id="512"/>
    <w:p w14:paraId="2809CCC3">
      <w:pPr>
        <w:shd w:val="clear"/>
        <w:spacing w:line="360" w:lineRule="auto"/>
        <w:rPr>
          <w:rFonts w:ascii="宋体" w:hAnsi="宋体" w:cs="宋体"/>
          <w:b/>
          <w:color w:val="auto"/>
          <w:spacing w:val="6"/>
          <w:sz w:val="30"/>
          <w:szCs w:val="30"/>
          <w:highlight w:val="none"/>
        </w:rPr>
      </w:pPr>
    </w:p>
    <w:p w14:paraId="33598415">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本单位郑重声明，根据《财政部 民政部 中国残疾人联合会关于促进残疾人就业政府采购政策的通知》（财库〔2017〕 141号）的规定，本单位为符合条件的残疾人福利性单位，且本单位参加_</w:t>
      </w:r>
      <w:r>
        <w:rPr>
          <w:rFonts w:hint="eastAsia" w:ascii="宋体" w:hAnsi="宋体" w:cs="宋体"/>
          <w:color w:val="auto"/>
          <w:sz w:val="24"/>
          <w:highlight w:val="none"/>
          <w:lang w:eastAsia="zh-CN"/>
        </w:rPr>
        <w:t>（</w:t>
      </w:r>
      <w:r>
        <w:rPr>
          <w:rFonts w:hint="eastAsia" w:ascii="宋体" w:hAnsi="宋体" w:cs="宋体"/>
          <w:color w:val="auto"/>
          <w:sz w:val="24"/>
          <w:highlight w:val="none"/>
          <w:u w:val="single"/>
        </w:rPr>
        <w:t>采购人</w:t>
      </w:r>
      <w:r>
        <w:rPr>
          <w:rFonts w:hint="eastAsia" w:ascii="宋体" w:hAnsi="宋体" w:cs="宋体"/>
          <w:color w:val="auto"/>
          <w:sz w:val="24"/>
          <w:highlight w:val="none"/>
          <w:u w:val="single"/>
          <w:lang w:eastAsia="zh-CN"/>
        </w:rPr>
        <w:t>）</w:t>
      </w:r>
      <w:r>
        <w:rPr>
          <w:rFonts w:hint="eastAsia" w:ascii="宋体" w:hAnsi="宋体" w:cs="宋体"/>
          <w:color w:val="auto"/>
          <w:sz w:val="24"/>
          <w:highlight w:val="none"/>
        </w:rPr>
        <w:t>_单位的_</w:t>
      </w:r>
      <w:r>
        <w:rPr>
          <w:rFonts w:hint="eastAsia" w:ascii="宋体" w:hAnsi="宋体" w:cs="宋体"/>
          <w:color w:val="auto"/>
          <w:sz w:val="24"/>
          <w:highlight w:val="none"/>
          <w:u w:val="single"/>
          <w:lang w:eastAsia="zh-CN"/>
        </w:rPr>
        <w:t>宁波市海曙区各集中管理办公区等食堂原材料采购项目（蔬果类）</w:t>
      </w:r>
      <w:r>
        <w:rPr>
          <w:rFonts w:hint="eastAsia" w:ascii="宋体" w:hAnsi="宋体" w:cs="宋体"/>
          <w:color w:val="auto"/>
          <w:sz w:val="24"/>
          <w:highlight w:val="none"/>
        </w:rPr>
        <w:t>采购活动提供本单位制造的货物（由本单位承担工程/提供服务），或者提供其他残疾人福利性单位制造的货物（不包括使用非残疾人福利性单位注册商标的货物）。</w:t>
      </w:r>
    </w:p>
    <w:p w14:paraId="7202F1CA">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本单位对上述声明的真实性负责。如有虚假，将依法承担相应责任。</w:t>
      </w:r>
    </w:p>
    <w:p w14:paraId="1732EF0C">
      <w:pPr>
        <w:shd w:val="clear"/>
        <w:spacing w:line="360" w:lineRule="auto"/>
        <w:ind w:firstLine="480" w:firstLineChars="200"/>
        <w:rPr>
          <w:rFonts w:ascii="宋体" w:hAnsi="宋体" w:cs="宋体"/>
          <w:color w:val="auto"/>
          <w:sz w:val="24"/>
          <w:highlight w:val="none"/>
        </w:rPr>
      </w:pPr>
    </w:p>
    <w:p w14:paraId="7C581A03">
      <w:pPr>
        <w:shd w:val="clear"/>
        <w:spacing w:line="360" w:lineRule="auto"/>
        <w:ind w:firstLine="480" w:firstLineChars="200"/>
        <w:rPr>
          <w:rFonts w:ascii="宋体" w:hAnsi="宋体" w:cs="宋体"/>
          <w:color w:val="auto"/>
          <w:sz w:val="24"/>
          <w:highlight w:val="none"/>
        </w:rPr>
      </w:pPr>
    </w:p>
    <w:p w14:paraId="1DA76913">
      <w:pPr>
        <w:shd w:val="clear"/>
        <w:tabs>
          <w:tab w:val="left" w:pos="4860"/>
        </w:tabs>
        <w:spacing w:line="360" w:lineRule="auto"/>
        <w:ind w:right="1560"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color w:val="auto"/>
          <w:kern w:val="0"/>
          <w:sz w:val="24"/>
          <w:highlight w:val="none"/>
          <w:lang w:val="zh-CN"/>
        </w:rPr>
        <w:t>投标人名称（电子签名）</w:t>
      </w:r>
      <w:r>
        <w:rPr>
          <w:rFonts w:hint="eastAsia" w:ascii="宋体" w:hAnsi="宋体" w:cs="宋体"/>
          <w:color w:val="auto"/>
          <w:sz w:val="24"/>
          <w:highlight w:val="none"/>
        </w:rPr>
        <w:t>：</w:t>
      </w:r>
    </w:p>
    <w:p w14:paraId="1DB7F2C4">
      <w:pPr>
        <w:shd w:val="clear"/>
        <w:tabs>
          <w:tab w:val="left" w:pos="4860"/>
        </w:tabs>
        <w:spacing w:line="360" w:lineRule="auto"/>
        <w:ind w:right="1560"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       日  期：</w:t>
      </w:r>
    </w:p>
    <w:p w14:paraId="26E32D1D">
      <w:pPr>
        <w:shd w:val="clear"/>
        <w:spacing w:line="360" w:lineRule="auto"/>
        <w:ind w:firstLine="480" w:firstLineChars="200"/>
        <w:rPr>
          <w:rFonts w:ascii="宋体" w:hAnsi="宋体" w:cs="宋体"/>
          <w:color w:val="auto"/>
          <w:sz w:val="24"/>
          <w:highlight w:val="none"/>
        </w:rPr>
      </w:pPr>
    </w:p>
    <w:p w14:paraId="0E7F59E4">
      <w:pPr>
        <w:shd w:val="clear"/>
        <w:spacing w:line="360" w:lineRule="auto"/>
        <w:ind w:firstLine="420" w:firstLineChars="200"/>
        <w:rPr>
          <w:rFonts w:ascii="宋体" w:hAnsi="宋体" w:cs="宋体"/>
          <w:color w:val="auto"/>
          <w:highlight w:val="none"/>
        </w:rPr>
      </w:pPr>
    </w:p>
    <w:p w14:paraId="47F4EC0F">
      <w:pPr>
        <w:shd w:val="clear"/>
        <w:spacing w:line="360" w:lineRule="auto"/>
        <w:ind w:firstLine="420" w:firstLineChars="200"/>
        <w:rPr>
          <w:rFonts w:ascii="宋体" w:hAnsi="宋体" w:cs="宋体"/>
          <w:color w:val="auto"/>
          <w:highlight w:val="none"/>
        </w:rPr>
      </w:pPr>
    </w:p>
    <w:p w14:paraId="6C796FAB">
      <w:pPr>
        <w:shd w:val="clear"/>
        <w:spacing w:line="360" w:lineRule="auto"/>
        <w:ind w:firstLine="420" w:firstLineChars="200"/>
        <w:rPr>
          <w:rFonts w:ascii="宋体" w:hAnsi="宋体" w:cs="宋体"/>
          <w:color w:val="auto"/>
          <w:highlight w:val="none"/>
        </w:rPr>
      </w:pPr>
    </w:p>
    <w:p w14:paraId="70456A83">
      <w:pPr>
        <w:shd w:val="clear"/>
        <w:spacing w:line="360" w:lineRule="auto"/>
        <w:ind w:firstLine="420" w:firstLineChars="200"/>
        <w:rPr>
          <w:rFonts w:ascii="宋体" w:hAnsi="宋体" w:cs="宋体"/>
          <w:color w:val="auto"/>
          <w:highlight w:val="none"/>
        </w:rPr>
      </w:pPr>
    </w:p>
    <w:p w14:paraId="57944223">
      <w:pPr>
        <w:shd w:val="clear"/>
        <w:spacing w:line="360" w:lineRule="auto"/>
        <w:rPr>
          <w:rFonts w:ascii="宋体" w:hAnsi="宋体" w:cs="宋体"/>
          <w:b/>
          <w:color w:val="auto"/>
          <w:sz w:val="24"/>
          <w:highlight w:val="none"/>
        </w:rPr>
      </w:pPr>
    </w:p>
    <w:p w14:paraId="5118E205">
      <w:pPr>
        <w:shd w:val="clear"/>
        <w:spacing w:line="360" w:lineRule="auto"/>
        <w:rPr>
          <w:rFonts w:ascii="宋体" w:hAnsi="宋体" w:cs="宋体"/>
          <w:b/>
          <w:color w:val="auto"/>
          <w:sz w:val="24"/>
          <w:highlight w:val="none"/>
        </w:rPr>
      </w:pPr>
    </w:p>
    <w:p w14:paraId="69DE7EAD">
      <w:pPr>
        <w:shd w:val="clear"/>
        <w:spacing w:line="360" w:lineRule="auto"/>
        <w:rPr>
          <w:rFonts w:ascii="宋体" w:hAnsi="宋体" w:cs="宋体"/>
          <w:b/>
          <w:color w:val="auto"/>
          <w:sz w:val="24"/>
          <w:highlight w:val="none"/>
        </w:rPr>
      </w:pPr>
    </w:p>
    <w:p w14:paraId="74218AC3">
      <w:pPr>
        <w:shd w:val="clear"/>
        <w:spacing w:line="360" w:lineRule="auto"/>
        <w:rPr>
          <w:rFonts w:ascii="宋体" w:hAnsi="宋体" w:cs="宋体"/>
          <w:b/>
          <w:color w:val="auto"/>
          <w:sz w:val="24"/>
          <w:highlight w:val="none"/>
        </w:rPr>
      </w:pPr>
    </w:p>
    <w:p w14:paraId="4F9A7D0C">
      <w:pPr>
        <w:shd w:val="clear"/>
        <w:spacing w:line="360" w:lineRule="auto"/>
        <w:rPr>
          <w:rFonts w:ascii="宋体" w:hAnsi="宋体" w:cs="宋体"/>
          <w:b/>
          <w:color w:val="auto"/>
          <w:sz w:val="24"/>
          <w:highlight w:val="none"/>
        </w:rPr>
      </w:pPr>
    </w:p>
    <w:p w14:paraId="476962C9">
      <w:pPr>
        <w:shd w:val="clear"/>
        <w:spacing w:line="360" w:lineRule="auto"/>
        <w:rPr>
          <w:rFonts w:ascii="宋体" w:hAnsi="宋体" w:cs="宋体"/>
          <w:b/>
          <w:color w:val="auto"/>
          <w:sz w:val="24"/>
          <w:highlight w:val="none"/>
        </w:rPr>
      </w:pPr>
    </w:p>
    <w:p w14:paraId="3608F4A5">
      <w:pPr>
        <w:shd w:val="clear"/>
        <w:spacing w:line="360" w:lineRule="auto"/>
        <w:rPr>
          <w:rFonts w:ascii="宋体" w:hAnsi="宋体" w:cs="宋体"/>
          <w:b/>
          <w:color w:val="auto"/>
          <w:sz w:val="24"/>
          <w:highlight w:val="none"/>
        </w:rPr>
      </w:pPr>
    </w:p>
    <w:p w14:paraId="5A5C6EE7">
      <w:pPr>
        <w:shd w:val="clear"/>
        <w:spacing w:line="360" w:lineRule="auto"/>
        <w:rPr>
          <w:rFonts w:ascii="宋体" w:hAnsi="宋体" w:cs="宋体"/>
          <w:b/>
          <w:color w:val="auto"/>
          <w:sz w:val="24"/>
          <w:highlight w:val="none"/>
        </w:rPr>
      </w:pPr>
    </w:p>
    <w:p w14:paraId="79506C6D">
      <w:pPr>
        <w:shd w:val="clear"/>
        <w:spacing w:line="360" w:lineRule="auto"/>
        <w:rPr>
          <w:rFonts w:ascii="宋体" w:hAnsi="宋体" w:cs="宋体"/>
          <w:b/>
          <w:color w:val="auto"/>
          <w:sz w:val="24"/>
          <w:highlight w:val="none"/>
        </w:rPr>
      </w:pPr>
    </w:p>
    <w:p w14:paraId="3574B7AF">
      <w:pPr>
        <w:shd w:val="clear"/>
        <w:spacing w:line="36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附件2：质疑函范本及制作说明</w:t>
      </w:r>
    </w:p>
    <w:p w14:paraId="0135AE18">
      <w:pPr>
        <w:shd w:val="clea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质疑函范本</w:t>
      </w:r>
    </w:p>
    <w:p w14:paraId="21015758">
      <w:pPr>
        <w:shd w:val="clear"/>
        <w:snapToGrid w:val="0"/>
        <w:spacing w:before="240" w:beforeLines="100" w:line="360" w:lineRule="auto"/>
        <w:rPr>
          <w:rFonts w:ascii="宋体" w:hAnsi="宋体" w:cs="宋体"/>
          <w:bCs/>
          <w:color w:val="auto"/>
          <w:sz w:val="24"/>
          <w:highlight w:val="none"/>
        </w:rPr>
      </w:pPr>
      <w:r>
        <w:rPr>
          <w:rFonts w:hint="eastAsia" w:ascii="宋体" w:hAnsi="宋体" w:cs="宋体"/>
          <w:bCs/>
          <w:color w:val="auto"/>
          <w:sz w:val="24"/>
          <w:highlight w:val="none"/>
        </w:rPr>
        <w:t>一、质疑供应商基本信息</w:t>
      </w:r>
    </w:p>
    <w:p w14:paraId="1E0138B4">
      <w:pPr>
        <w:shd w:val="clea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质疑供应商：</w:t>
      </w:r>
      <w:r>
        <w:rPr>
          <w:rFonts w:hint="eastAsia" w:ascii="宋体" w:hAnsi="宋体" w:cs="宋体"/>
          <w:color w:val="auto"/>
          <w:sz w:val="24"/>
          <w:highlight w:val="none"/>
          <w:u w:val="dotted"/>
        </w:rPr>
        <w:t xml:space="preserve">                                        </w:t>
      </w:r>
    </w:p>
    <w:p w14:paraId="77A6A356">
      <w:pPr>
        <w:shd w:val="clear"/>
        <w:snapToGrid w:val="0"/>
        <w:spacing w:line="360" w:lineRule="auto"/>
        <w:rPr>
          <w:rFonts w:ascii="宋体" w:hAnsi="宋体" w:cs="宋体"/>
          <w:color w:val="auto"/>
          <w:sz w:val="24"/>
          <w:highlight w:val="none"/>
        </w:rPr>
      </w:pPr>
      <w:r>
        <w:rPr>
          <w:rFonts w:hint="eastAsia" w:ascii="宋体" w:hAnsi="宋体" w:cs="宋体"/>
          <w:color w:val="auto"/>
          <w:sz w:val="24"/>
          <w:highlight w:val="none"/>
        </w:rPr>
        <w:t>地址：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7B88F3F4">
      <w:pPr>
        <w:shd w:val="clea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7D703C51">
      <w:pPr>
        <w:shd w:val="clea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p>
    <w:p w14:paraId="60D46688">
      <w:pPr>
        <w:shd w:val="clea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676C69BD">
      <w:pPr>
        <w:shd w:val="clea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地址： </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32D2AC39">
      <w:pPr>
        <w:shd w:val="clea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二、质疑项目基本情况</w:t>
      </w:r>
    </w:p>
    <w:p w14:paraId="1DAC45C1">
      <w:pPr>
        <w:shd w:val="clea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质疑项目的名称：</w:t>
      </w:r>
      <w:r>
        <w:rPr>
          <w:rFonts w:hint="eastAsia" w:ascii="宋体" w:hAnsi="宋体" w:cs="宋体"/>
          <w:color w:val="auto"/>
          <w:sz w:val="24"/>
          <w:highlight w:val="none"/>
          <w:u w:val="dotted"/>
        </w:rPr>
        <w:t xml:space="preserve">                                      </w:t>
      </w:r>
    </w:p>
    <w:p w14:paraId="47D7A113">
      <w:pPr>
        <w:shd w:val="clea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质疑项目的编号：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48B95DC1">
      <w:pPr>
        <w:shd w:val="clea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p>
    <w:p w14:paraId="558E7DC4">
      <w:pPr>
        <w:shd w:val="clear"/>
        <w:snapToGrid w:val="0"/>
        <w:spacing w:line="360" w:lineRule="auto"/>
        <w:rPr>
          <w:rFonts w:ascii="宋体" w:hAnsi="宋体" w:cs="宋体"/>
          <w:color w:val="auto"/>
          <w:sz w:val="24"/>
          <w:highlight w:val="none"/>
        </w:rPr>
      </w:pPr>
      <w:r>
        <w:rPr>
          <w:rFonts w:hint="eastAsia" w:ascii="宋体" w:hAnsi="宋体" w:cs="宋体"/>
          <w:color w:val="auto"/>
          <w:sz w:val="24"/>
          <w:highlight w:val="none"/>
        </w:rPr>
        <w:t>采购文件获取日期：</w:t>
      </w:r>
      <w:r>
        <w:rPr>
          <w:rFonts w:hint="eastAsia" w:ascii="宋体" w:hAnsi="宋体" w:cs="宋体"/>
          <w:color w:val="auto"/>
          <w:sz w:val="24"/>
          <w:highlight w:val="none"/>
          <w:u w:val="dotted"/>
        </w:rPr>
        <w:t xml:space="preserve">                                           </w:t>
      </w:r>
    </w:p>
    <w:p w14:paraId="1A45F446">
      <w:pPr>
        <w:shd w:val="clea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三、质疑事项具体内容</w:t>
      </w:r>
    </w:p>
    <w:p w14:paraId="291F03D1">
      <w:pPr>
        <w:shd w:val="clea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质疑事项1：</w:t>
      </w:r>
      <w:r>
        <w:rPr>
          <w:rFonts w:hint="eastAsia" w:ascii="宋体" w:hAnsi="宋体" w:cs="宋体"/>
          <w:color w:val="auto"/>
          <w:sz w:val="24"/>
          <w:highlight w:val="none"/>
          <w:u w:val="dotted"/>
        </w:rPr>
        <w:t xml:space="preserve">                                         </w:t>
      </w:r>
    </w:p>
    <w:p w14:paraId="6FE1F48A">
      <w:pPr>
        <w:shd w:val="clea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709BAE4D">
      <w:pPr>
        <w:shd w:val="clear"/>
        <w:snapToGrid w:val="0"/>
        <w:spacing w:line="360" w:lineRule="auto"/>
        <w:rPr>
          <w:rFonts w:ascii="宋体" w:hAnsi="宋体" w:cs="宋体"/>
          <w:color w:val="auto"/>
          <w:sz w:val="24"/>
          <w:highlight w:val="none"/>
        </w:rPr>
      </w:pPr>
      <w:r>
        <w:rPr>
          <w:rFonts w:hint="eastAsia" w:ascii="宋体" w:hAnsi="宋体" w:cs="宋体"/>
          <w:color w:val="auto"/>
          <w:sz w:val="24"/>
          <w:highlight w:val="none"/>
          <w:u w:val="dotted"/>
        </w:rPr>
        <w:t xml:space="preserve">                                                       </w:t>
      </w:r>
    </w:p>
    <w:p w14:paraId="2C579D0B">
      <w:pPr>
        <w:shd w:val="clea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117A624E">
      <w:pPr>
        <w:shd w:val="clea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5E1824C3">
      <w:pPr>
        <w:shd w:val="clea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质疑事项2</w:t>
      </w:r>
    </w:p>
    <w:p w14:paraId="75EF9137">
      <w:pPr>
        <w:shd w:val="clea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p>
    <w:p w14:paraId="2D70BE4B">
      <w:pPr>
        <w:shd w:val="clea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四、与质疑事项相关的质疑请求</w:t>
      </w:r>
    </w:p>
    <w:p w14:paraId="0D4C2C0A">
      <w:pPr>
        <w:shd w:val="clea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p>
    <w:p w14:paraId="2659EC94">
      <w:pPr>
        <w:shd w:val="clear"/>
        <w:spacing w:line="360" w:lineRule="auto"/>
        <w:rPr>
          <w:rFonts w:ascii="宋体" w:hAnsi="宋体" w:cs="宋体"/>
          <w:color w:val="auto"/>
          <w:sz w:val="24"/>
          <w:highlight w:val="none"/>
        </w:rPr>
      </w:pPr>
      <w:r>
        <w:rPr>
          <w:rFonts w:hint="eastAsia" w:ascii="宋体" w:hAnsi="宋体" w:cs="宋体"/>
          <w:color w:val="auto"/>
          <w:sz w:val="24"/>
          <w:highlight w:val="none"/>
        </w:rPr>
        <w:t>签字</w:t>
      </w:r>
      <w:r>
        <w:rPr>
          <w:rFonts w:hint="eastAsia" w:ascii="宋体" w:hAnsi="宋体" w:cs="宋体"/>
          <w:color w:val="auto"/>
          <w:sz w:val="24"/>
          <w:highlight w:val="none"/>
          <w:lang w:eastAsia="zh-CN"/>
        </w:rPr>
        <w:t>（</w:t>
      </w:r>
      <w:r>
        <w:rPr>
          <w:rFonts w:hint="eastAsia" w:ascii="宋体" w:hAnsi="宋体" w:cs="宋体"/>
          <w:color w:val="auto"/>
          <w:sz w:val="24"/>
          <w:highlight w:val="none"/>
        </w:rPr>
        <w:t>签章</w:t>
      </w:r>
      <w:r>
        <w:rPr>
          <w:rFonts w:hint="eastAsia" w:ascii="宋体" w:hAnsi="宋体" w:cs="宋体"/>
          <w:color w:val="auto"/>
          <w:sz w:val="24"/>
          <w:highlight w:val="none"/>
          <w:lang w:eastAsia="zh-CN"/>
        </w:rPr>
        <w:t>）</w:t>
      </w:r>
      <w:r>
        <w:rPr>
          <w:rFonts w:hint="eastAsia" w:ascii="宋体" w:hAnsi="宋体" w:cs="宋体"/>
          <w:color w:val="auto"/>
          <w:sz w:val="24"/>
          <w:highlight w:val="none"/>
        </w:rPr>
        <w:t xml:space="preserve">：                   公章：                      </w:t>
      </w:r>
    </w:p>
    <w:p w14:paraId="4DF94857">
      <w:pPr>
        <w:shd w:val="clear"/>
        <w:spacing w:line="360" w:lineRule="auto"/>
        <w:rPr>
          <w:rFonts w:ascii="宋体" w:hAnsi="宋体" w:cs="宋体"/>
          <w:color w:val="auto"/>
          <w:sz w:val="24"/>
          <w:highlight w:val="none"/>
        </w:rPr>
      </w:pPr>
      <w:r>
        <w:rPr>
          <w:rFonts w:hint="eastAsia" w:ascii="宋体" w:hAnsi="宋体" w:cs="宋体"/>
          <w:color w:val="auto"/>
          <w:sz w:val="24"/>
          <w:highlight w:val="none"/>
        </w:rPr>
        <w:t xml:space="preserve">日期：    </w:t>
      </w:r>
    </w:p>
    <w:p w14:paraId="13660DD2">
      <w:pPr>
        <w:shd w:val="clear"/>
        <w:spacing w:line="360" w:lineRule="auto"/>
        <w:jc w:val="center"/>
        <w:rPr>
          <w:rFonts w:ascii="宋体" w:hAnsi="宋体" w:cs="宋体"/>
          <w:b/>
          <w:bCs/>
          <w:color w:val="auto"/>
          <w:sz w:val="24"/>
          <w:highlight w:val="none"/>
        </w:rPr>
      </w:pPr>
    </w:p>
    <w:p w14:paraId="4803770C">
      <w:pPr>
        <w:shd w:val="clear"/>
        <w:spacing w:line="360" w:lineRule="auto"/>
        <w:rPr>
          <w:rFonts w:ascii="宋体" w:hAnsi="宋体" w:cs="宋体"/>
          <w:b/>
          <w:color w:val="auto"/>
          <w:sz w:val="24"/>
          <w:highlight w:val="none"/>
        </w:rPr>
      </w:pPr>
    </w:p>
    <w:p w14:paraId="6CC51CEF">
      <w:pPr>
        <w:shd w:val="clear"/>
        <w:spacing w:line="360" w:lineRule="auto"/>
        <w:rPr>
          <w:rFonts w:ascii="宋体" w:hAnsi="宋体" w:cs="宋体"/>
          <w:b/>
          <w:color w:val="auto"/>
          <w:sz w:val="24"/>
          <w:highlight w:val="none"/>
        </w:rPr>
      </w:pPr>
    </w:p>
    <w:p w14:paraId="7875EBCB">
      <w:pPr>
        <w:shd w:val="clear"/>
        <w:spacing w:line="360" w:lineRule="auto"/>
        <w:rPr>
          <w:rFonts w:ascii="宋体" w:hAnsi="宋体" w:cs="宋体"/>
          <w:b/>
          <w:color w:val="auto"/>
          <w:sz w:val="24"/>
          <w:highlight w:val="none"/>
        </w:rPr>
      </w:pPr>
    </w:p>
    <w:p w14:paraId="13C76A86">
      <w:pPr>
        <w:shd w:val="clear"/>
        <w:spacing w:line="360" w:lineRule="auto"/>
        <w:rPr>
          <w:rFonts w:ascii="宋体" w:hAnsi="宋体" w:cs="宋体"/>
          <w:b/>
          <w:color w:val="auto"/>
          <w:sz w:val="24"/>
          <w:highlight w:val="none"/>
        </w:rPr>
      </w:pPr>
      <w:r>
        <w:rPr>
          <w:rFonts w:hint="eastAsia" w:ascii="宋体" w:hAnsi="宋体" w:cs="宋体"/>
          <w:b/>
          <w:color w:val="auto"/>
          <w:sz w:val="24"/>
          <w:highlight w:val="none"/>
        </w:rPr>
        <w:t>质疑函制作说明：</w:t>
      </w:r>
    </w:p>
    <w:p w14:paraId="1D450073">
      <w:pPr>
        <w:widowControl/>
        <w:shd w:val="clea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1.供应商提出质疑时，应提交质疑函和必要的证明材料。</w:t>
      </w:r>
    </w:p>
    <w:p w14:paraId="6A98B912">
      <w:pPr>
        <w:widowControl/>
        <w:shd w:val="clea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2.质疑供应商若委托代理人进行质疑的，质疑函应按要求列明“授权代表”的有关内容，并在附件中提交由质疑</w:t>
      </w:r>
      <w:r>
        <w:rPr>
          <w:rFonts w:hint="eastAsia" w:ascii="宋体" w:hAnsi="宋体" w:cs="宋体"/>
          <w:color w:val="auto"/>
          <w:kern w:val="0"/>
          <w:sz w:val="24"/>
          <w:highlight w:val="none"/>
        </w:rPr>
        <w:t>供应商签署的授权委托书。授权委托书应载明代理人的姓名或者名称、代理事项、具体权限、期限和相关事项。</w:t>
      </w:r>
    </w:p>
    <w:p w14:paraId="57454B30">
      <w:pPr>
        <w:widowControl/>
        <w:shd w:val="clea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3.质疑供应商若对项目的某一分包进行质疑，质疑函中应列明具体分包号。</w:t>
      </w:r>
    </w:p>
    <w:p w14:paraId="34D5E0CB">
      <w:pPr>
        <w:widowControl/>
        <w:shd w:val="clea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4.质疑函的质疑事项应具体、明确，并有必要的事实依据和法律依据。</w:t>
      </w:r>
    </w:p>
    <w:p w14:paraId="74EA7FF2">
      <w:pPr>
        <w:widowControl/>
        <w:shd w:val="clea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5.质疑函的质疑请求应与质疑事项相关。</w:t>
      </w:r>
    </w:p>
    <w:p w14:paraId="1D8117E1">
      <w:pPr>
        <w:widowControl/>
        <w:shd w:val="clea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6.质疑供应商为自然人的，质疑函应由本人签字；质疑供应商为法人或者其他组织的，质疑函应由法定代表人、主要负责人，或者其授权代表签字或者盖章，并加盖公章。</w:t>
      </w:r>
    </w:p>
    <w:p w14:paraId="00B90077">
      <w:pPr>
        <w:widowControl/>
        <w:shd w:val="clear"/>
        <w:spacing w:line="360" w:lineRule="auto"/>
        <w:ind w:firstLine="600" w:firstLineChars="200"/>
        <w:jc w:val="left"/>
        <w:rPr>
          <w:rFonts w:ascii="宋体" w:hAnsi="宋体" w:cs="宋体"/>
          <w:color w:val="auto"/>
          <w:sz w:val="30"/>
          <w:szCs w:val="30"/>
          <w:highlight w:val="none"/>
        </w:rPr>
      </w:pPr>
    </w:p>
    <w:p w14:paraId="20848629">
      <w:pPr>
        <w:shd w:val="clear"/>
        <w:spacing w:line="360" w:lineRule="auto"/>
        <w:jc w:val="center"/>
        <w:rPr>
          <w:rFonts w:ascii="宋体" w:hAnsi="宋体" w:cs="宋体"/>
          <w:b/>
          <w:color w:val="auto"/>
          <w:spacing w:val="6"/>
          <w:sz w:val="32"/>
          <w:szCs w:val="32"/>
          <w:highlight w:val="none"/>
        </w:rPr>
      </w:pPr>
    </w:p>
    <w:p w14:paraId="5B835E14">
      <w:pPr>
        <w:shd w:val="clear"/>
        <w:spacing w:line="360" w:lineRule="auto"/>
        <w:jc w:val="center"/>
        <w:rPr>
          <w:rFonts w:ascii="宋体" w:hAnsi="宋体" w:cs="宋体"/>
          <w:b/>
          <w:color w:val="auto"/>
          <w:spacing w:val="6"/>
          <w:sz w:val="32"/>
          <w:szCs w:val="32"/>
          <w:highlight w:val="none"/>
        </w:rPr>
      </w:pPr>
    </w:p>
    <w:p w14:paraId="01F09882">
      <w:pPr>
        <w:shd w:val="clear"/>
        <w:spacing w:line="360" w:lineRule="auto"/>
        <w:jc w:val="center"/>
        <w:rPr>
          <w:rFonts w:ascii="宋体" w:hAnsi="宋体" w:cs="宋体"/>
          <w:b/>
          <w:color w:val="auto"/>
          <w:spacing w:val="6"/>
          <w:sz w:val="32"/>
          <w:szCs w:val="32"/>
          <w:highlight w:val="none"/>
        </w:rPr>
      </w:pPr>
    </w:p>
    <w:p w14:paraId="13D7B6EC">
      <w:pPr>
        <w:shd w:val="clear"/>
        <w:spacing w:line="360" w:lineRule="auto"/>
        <w:jc w:val="center"/>
        <w:rPr>
          <w:rFonts w:ascii="宋体" w:hAnsi="宋体" w:cs="宋体"/>
          <w:b/>
          <w:color w:val="auto"/>
          <w:spacing w:val="6"/>
          <w:sz w:val="32"/>
          <w:szCs w:val="32"/>
          <w:highlight w:val="none"/>
        </w:rPr>
      </w:pPr>
    </w:p>
    <w:p w14:paraId="369D8029">
      <w:pPr>
        <w:shd w:val="clear"/>
        <w:spacing w:line="360" w:lineRule="auto"/>
        <w:jc w:val="center"/>
        <w:rPr>
          <w:rFonts w:ascii="宋体" w:hAnsi="宋体" w:cs="宋体"/>
          <w:b/>
          <w:color w:val="auto"/>
          <w:spacing w:val="6"/>
          <w:sz w:val="32"/>
          <w:szCs w:val="32"/>
          <w:highlight w:val="none"/>
        </w:rPr>
      </w:pPr>
    </w:p>
    <w:p w14:paraId="0F11DECE">
      <w:pPr>
        <w:shd w:val="clear"/>
        <w:spacing w:line="360" w:lineRule="auto"/>
        <w:jc w:val="center"/>
        <w:rPr>
          <w:rFonts w:ascii="宋体" w:hAnsi="宋体" w:cs="宋体"/>
          <w:b/>
          <w:color w:val="auto"/>
          <w:spacing w:val="6"/>
          <w:sz w:val="32"/>
          <w:szCs w:val="32"/>
          <w:highlight w:val="none"/>
        </w:rPr>
      </w:pPr>
    </w:p>
    <w:p w14:paraId="6668B116">
      <w:pPr>
        <w:shd w:val="clear"/>
        <w:spacing w:line="360" w:lineRule="auto"/>
        <w:jc w:val="center"/>
        <w:rPr>
          <w:rFonts w:ascii="宋体" w:hAnsi="宋体" w:cs="宋体"/>
          <w:b/>
          <w:color w:val="auto"/>
          <w:spacing w:val="6"/>
          <w:sz w:val="32"/>
          <w:szCs w:val="32"/>
          <w:highlight w:val="none"/>
        </w:rPr>
      </w:pPr>
    </w:p>
    <w:p w14:paraId="7811A8F0">
      <w:pPr>
        <w:shd w:val="clear"/>
        <w:spacing w:line="360" w:lineRule="auto"/>
        <w:jc w:val="center"/>
        <w:rPr>
          <w:rFonts w:ascii="宋体" w:hAnsi="宋体" w:cs="宋体"/>
          <w:b/>
          <w:color w:val="auto"/>
          <w:spacing w:val="6"/>
          <w:sz w:val="32"/>
          <w:szCs w:val="32"/>
          <w:highlight w:val="none"/>
        </w:rPr>
      </w:pPr>
    </w:p>
    <w:p w14:paraId="22695244">
      <w:pPr>
        <w:shd w:val="clear"/>
        <w:spacing w:line="360" w:lineRule="auto"/>
        <w:jc w:val="center"/>
        <w:rPr>
          <w:rFonts w:ascii="宋体" w:hAnsi="宋体" w:cs="宋体"/>
          <w:b/>
          <w:color w:val="auto"/>
          <w:spacing w:val="6"/>
          <w:sz w:val="32"/>
          <w:szCs w:val="32"/>
          <w:highlight w:val="none"/>
        </w:rPr>
      </w:pPr>
    </w:p>
    <w:p w14:paraId="2F0E4B9A">
      <w:pPr>
        <w:shd w:val="clear"/>
        <w:spacing w:line="360" w:lineRule="auto"/>
        <w:jc w:val="center"/>
        <w:rPr>
          <w:rFonts w:ascii="宋体" w:hAnsi="宋体" w:cs="宋体"/>
          <w:b/>
          <w:color w:val="auto"/>
          <w:spacing w:val="6"/>
          <w:sz w:val="32"/>
          <w:szCs w:val="32"/>
          <w:highlight w:val="none"/>
        </w:rPr>
      </w:pPr>
    </w:p>
    <w:p w14:paraId="13735CBF">
      <w:pPr>
        <w:shd w:val="clear"/>
        <w:spacing w:line="360" w:lineRule="auto"/>
        <w:jc w:val="center"/>
        <w:rPr>
          <w:rFonts w:ascii="宋体" w:hAnsi="宋体" w:cs="宋体"/>
          <w:b/>
          <w:color w:val="auto"/>
          <w:spacing w:val="6"/>
          <w:sz w:val="32"/>
          <w:szCs w:val="32"/>
          <w:highlight w:val="none"/>
        </w:rPr>
      </w:pPr>
    </w:p>
    <w:p w14:paraId="76E46016">
      <w:pPr>
        <w:shd w:val="clear"/>
        <w:spacing w:line="360" w:lineRule="auto"/>
        <w:jc w:val="center"/>
        <w:rPr>
          <w:rFonts w:ascii="宋体" w:hAnsi="宋体" w:cs="宋体"/>
          <w:b/>
          <w:color w:val="auto"/>
          <w:spacing w:val="6"/>
          <w:sz w:val="32"/>
          <w:szCs w:val="32"/>
          <w:highlight w:val="none"/>
        </w:rPr>
      </w:pPr>
    </w:p>
    <w:p w14:paraId="73F74ACC">
      <w:pPr>
        <w:shd w:val="clear"/>
        <w:spacing w:line="360" w:lineRule="auto"/>
        <w:jc w:val="left"/>
        <w:rPr>
          <w:rFonts w:ascii="宋体" w:hAnsi="宋体" w:cs="宋体"/>
          <w:b/>
          <w:color w:val="auto"/>
          <w:spacing w:val="6"/>
          <w:sz w:val="32"/>
          <w:szCs w:val="32"/>
          <w:highlight w:val="none"/>
        </w:rPr>
      </w:pPr>
    </w:p>
    <w:p w14:paraId="3DD31352">
      <w:pPr>
        <w:shd w:val="clear"/>
        <w:spacing w:line="360" w:lineRule="auto"/>
        <w:jc w:val="left"/>
        <w:rPr>
          <w:rFonts w:ascii="宋体" w:hAnsi="宋体" w:cs="宋体"/>
          <w:b/>
          <w:color w:val="auto"/>
          <w:spacing w:val="6"/>
          <w:sz w:val="32"/>
          <w:szCs w:val="32"/>
          <w:highlight w:val="none"/>
        </w:rPr>
      </w:pPr>
    </w:p>
    <w:p w14:paraId="1E8CFA61">
      <w:pPr>
        <w:shd w:val="clear"/>
        <w:spacing w:line="36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附件3：投诉书范本及制作说明</w:t>
      </w:r>
    </w:p>
    <w:p w14:paraId="2D4BE690">
      <w:pPr>
        <w:shd w:val="clear"/>
        <w:spacing w:line="360" w:lineRule="auto"/>
        <w:jc w:val="center"/>
        <w:rPr>
          <w:rFonts w:ascii="宋体" w:hAnsi="宋体" w:cs="宋体"/>
          <w:b/>
          <w:color w:val="auto"/>
          <w:sz w:val="24"/>
          <w:highlight w:val="none"/>
        </w:rPr>
      </w:pPr>
    </w:p>
    <w:p w14:paraId="1EC15EF6">
      <w:pPr>
        <w:shd w:val="clea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投诉书范本</w:t>
      </w:r>
    </w:p>
    <w:p w14:paraId="0CE06056">
      <w:pPr>
        <w:shd w:val="clear"/>
        <w:spacing w:line="360" w:lineRule="auto"/>
        <w:rPr>
          <w:rFonts w:ascii="宋体" w:hAnsi="宋体" w:cs="宋体"/>
          <w:color w:val="auto"/>
          <w:sz w:val="24"/>
          <w:highlight w:val="none"/>
        </w:rPr>
      </w:pPr>
      <w:r>
        <w:rPr>
          <w:rFonts w:hint="eastAsia" w:ascii="宋体" w:hAnsi="宋体" w:cs="宋体"/>
          <w:color w:val="auto"/>
          <w:sz w:val="24"/>
          <w:highlight w:val="none"/>
        </w:rPr>
        <w:t>一、投诉相关主体基本情况</w:t>
      </w:r>
    </w:p>
    <w:p w14:paraId="5D518A92">
      <w:pPr>
        <w:shd w:val="clear"/>
        <w:spacing w:line="360" w:lineRule="auto"/>
        <w:rPr>
          <w:rFonts w:ascii="宋体" w:hAnsi="宋体" w:cs="宋体"/>
          <w:color w:val="auto"/>
          <w:sz w:val="24"/>
          <w:highlight w:val="none"/>
          <w:u w:val="dotted"/>
        </w:rPr>
      </w:pPr>
      <w:r>
        <w:rPr>
          <w:rFonts w:hint="eastAsia" w:ascii="宋体" w:hAnsi="宋体" w:cs="宋体"/>
          <w:color w:val="auto"/>
          <w:sz w:val="24"/>
          <w:highlight w:val="none"/>
        </w:rPr>
        <w:t>投诉人：</w:t>
      </w:r>
      <w:r>
        <w:rPr>
          <w:rFonts w:hint="eastAsia" w:ascii="宋体" w:hAnsi="宋体" w:cs="宋体"/>
          <w:color w:val="auto"/>
          <w:sz w:val="24"/>
          <w:highlight w:val="none"/>
          <w:u w:val="dotted"/>
        </w:rPr>
        <w:t xml:space="preserve">                                               </w:t>
      </w:r>
    </w:p>
    <w:p w14:paraId="1FABBD69">
      <w:pPr>
        <w:shd w:val="clea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283E8279">
      <w:pPr>
        <w:shd w:val="clear"/>
        <w:tabs>
          <w:tab w:val="left" w:pos="6510"/>
        </w:tabs>
        <w:spacing w:line="360" w:lineRule="auto"/>
        <w:jc w:val="left"/>
        <w:rPr>
          <w:rFonts w:ascii="宋体" w:hAnsi="宋体" w:cs="宋体"/>
          <w:color w:val="auto"/>
          <w:sz w:val="24"/>
          <w:highlight w:val="none"/>
        </w:rPr>
      </w:pPr>
      <w:r>
        <w:rPr>
          <w:rFonts w:hint="eastAsia" w:ascii="宋体" w:hAnsi="宋体" w:cs="宋体"/>
          <w:color w:val="auto"/>
          <w:sz w:val="24"/>
          <w:highlight w:val="none"/>
        </w:rPr>
        <w:t>法定代表人/主要负责人：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5CB47F80">
      <w:pPr>
        <w:shd w:val="clear"/>
        <w:tabs>
          <w:tab w:val="left" w:pos="6510"/>
        </w:tabs>
        <w:spacing w:line="360" w:lineRule="auto"/>
        <w:rPr>
          <w:rFonts w:ascii="宋体" w:hAnsi="宋体" w:cs="宋体"/>
          <w:color w:val="auto"/>
          <w:sz w:val="24"/>
          <w:highlight w:val="none"/>
          <w:u w:val="dotted"/>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4ED313D3">
      <w:pPr>
        <w:shd w:val="clear"/>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5B028927">
      <w:pPr>
        <w:shd w:val="clear"/>
        <w:spacing w:line="360" w:lineRule="auto"/>
        <w:rPr>
          <w:rFonts w:ascii="宋体" w:hAnsi="宋体" w:cs="宋体"/>
          <w:color w:val="auto"/>
          <w:sz w:val="24"/>
          <w:highlight w:val="none"/>
          <w:u w:val="dotted"/>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dotted"/>
        </w:rPr>
        <w:t xml:space="preserve">                   </w:t>
      </w:r>
    </w:p>
    <w:p w14:paraId="2A82D0F7">
      <w:pPr>
        <w:shd w:val="clear"/>
        <w:spacing w:line="360" w:lineRule="auto"/>
        <w:rPr>
          <w:rFonts w:ascii="宋体" w:hAnsi="宋体" w:cs="宋体"/>
          <w:color w:val="auto"/>
          <w:sz w:val="24"/>
          <w:highlight w:val="none"/>
          <w:u w:val="single"/>
        </w:rPr>
      </w:pPr>
      <w:r>
        <w:rPr>
          <w:rFonts w:hint="eastAsia" w:ascii="宋体" w:hAnsi="宋体" w:cs="宋体"/>
          <w:color w:val="auto"/>
          <w:sz w:val="24"/>
          <w:highlight w:val="none"/>
        </w:rPr>
        <w:t>被投诉人1：</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53FE24A9">
      <w:pPr>
        <w:shd w:val="clea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4FD54EC5">
      <w:pPr>
        <w:shd w:val="clea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22C3529B">
      <w:pPr>
        <w:shd w:val="clear"/>
        <w:spacing w:line="360" w:lineRule="auto"/>
        <w:rPr>
          <w:rFonts w:ascii="宋体" w:hAnsi="宋体" w:cs="宋体"/>
          <w:color w:val="auto"/>
          <w:sz w:val="24"/>
          <w:highlight w:val="none"/>
        </w:rPr>
      </w:pPr>
      <w:r>
        <w:rPr>
          <w:rFonts w:hint="eastAsia" w:ascii="宋体" w:hAnsi="宋体" w:cs="宋体"/>
          <w:color w:val="auto"/>
          <w:sz w:val="24"/>
          <w:highlight w:val="none"/>
        </w:rPr>
        <w:t>被投诉人2</w:t>
      </w:r>
    </w:p>
    <w:p w14:paraId="124A13E4">
      <w:pPr>
        <w:shd w:val="clea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14:paraId="288BFF74">
      <w:pPr>
        <w:shd w:val="clear"/>
        <w:spacing w:line="360" w:lineRule="auto"/>
        <w:rPr>
          <w:rFonts w:ascii="宋体" w:hAnsi="宋体" w:cs="宋体"/>
          <w:color w:val="auto"/>
          <w:sz w:val="24"/>
          <w:highlight w:val="none"/>
          <w:u w:val="single"/>
        </w:rPr>
      </w:pPr>
      <w:r>
        <w:rPr>
          <w:rFonts w:hint="eastAsia" w:ascii="宋体" w:hAnsi="宋体" w:cs="宋体"/>
          <w:color w:val="auto"/>
          <w:sz w:val="24"/>
          <w:highlight w:val="none"/>
        </w:rPr>
        <w:t>相关供应商：</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610AACD2">
      <w:pPr>
        <w:shd w:val="clea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5CFAB7C1">
      <w:pPr>
        <w:shd w:val="clea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14819210">
      <w:pPr>
        <w:shd w:val="clear"/>
        <w:spacing w:line="360" w:lineRule="auto"/>
        <w:rPr>
          <w:rFonts w:ascii="宋体" w:hAnsi="宋体" w:cs="宋体"/>
          <w:color w:val="auto"/>
          <w:sz w:val="24"/>
          <w:highlight w:val="none"/>
        </w:rPr>
      </w:pPr>
      <w:r>
        <w:rPr>
          <w:rFonts w:hint="eastAsia" w:ascii="宋体" w:hAnsi="宋体" w:cs="宋体"/>
          <w:color w:val="auto"/>
          <w:sz w:val="24"/>
          <w:highlight w:val="none"/>
        </w:rPr>
        <w:t>二、投诉项目基本情况</w:t>
      </w:r>
    </w:p>
    <w:p w14:paraId="7FA35B1C">
      <w:pPr>
        <w:shd w:val="clea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采购项目名称：</w:t>
      </w:r>
      <w:r>
        <w:rPr>
          <w:rFonts w:hint="eastAsia" w:ascii="宋体" w:hAnsi="宋体" w:cs="宋体"/>
          <w:color w:val="auto"/>
          <w:sz w:val="24"/>
          <w:highlight w:val="none"/>
          <w:u w:val="dotted"/>
        </w:rPr>
        <w:t xml:space="preserve">                                        </w:t>
      </w:r>
    </w:p>
    <w:p w14:paraId="16C89E57">
      <w:pPr>
        <w:shd w:val="clear"/>
        <w:spacing w:line="360" w:lineRule="auto"/>
        <w:rPr>
          <w:rFonts w:ascii="宋体" w:hAnsi="宋体" w:cs="宋体"/>
          <w:color w:val="auto"/>
          <w:sz w:val="24"/>
          <w:highlight w:val="none"/>
          <w:u w:val="single"/>
        </w:rPr>
      </w:pPr>
      <w:r>
        <w:rPr>
          <w:rFonts w:hint="eastAsia" w:ascii="宋体" w:hAnsi="宋体" w:cs="宋体"/>
          <w:color w:val="auto"/>
          <w:sz w:val="24"/>
          <w:highlight w:val="none"/>
        </w:rPr>
        <w:t>采购项目编号：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24BBD00A">
      <w:pPr>
        <w:shd w:val="clear"/>
        <w:spacing w:line="360" w:lineRule="auto"/>
        <w:rPr>
          <w:rFonts w:ascii="宋体" w:hAnsi="宋体" w:cs="宋体"/>
          <w:color w:val="auto"/>
          <w:sz w:val="24"/>
          <w:highlight w:val="none"/>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1A418F9F">
      <w:pPr>
        <w:shd w:val="clear"/>
        <w:spacing w:line="360" w:lineRule="auto"/>
        <w:rPr>
          <w:rFonts w:ascii="宋体" w:hAnsi="宋体" w:cs="宋体"/>
          <w:color w:val="auto"/>
          <w:sz w:val="24"/>
          <w:highlight w:val="none"/>
          <w:u w:val="single"/>
        </w:rPr>
      </w:pPr>
      <w:r>
        <w:rPr>
          <w:rFonts w:hint="eastAsia" w:ascii="宋体" w:hAnsi="宋体" w:cs="宋体"/>
          <w:color w:val="auto"/>
          <w:sz w:val="24"/>
          <w:highlight w:val="none"/>
        </w:rPr>
        <w:t>代理机构名称：</w:t>
      </w:r>
      <w:r>
        <w:rPr>
          <w:rFonts w:hint="eastAsia" w:ascii="宋体" w:hAnsi="宋体" w:cs="宋体"/>
          <w:color w:val="auto"/>
          <w:sz w:val="24"/>
          <w:highlight w:val="none"/>
          <w:u w:val="dotted"/>
        </w:rPr>
        <w:t xml:space="preserve">                                         </w:t>
      </w:r>
    </w:p>
    <w:p w14:paraId="5119A1EA">
      <w:pPr>
        <w:shd w:val="clea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采购文件公告</w:t>
      </w:r>
      <w:r>
        <w:rPr>
          <w:rFonts w:hint="eastAsia" w:ascii="宋体" w:hAnsi="宋体" w:cs="宋体"/>
          <w:color w:val="auto"/>
          <w:sz w:val="24"/>
          <w:highlight w:val="none"/>
          <w:lang w:eastAsia="zh-CN"/>
        </w:rPr>
        <w:t>：</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637EB567">
      <w:pPr>
        <w:shd w:val="clear"/>
        <w:spacing w:line="360" w:lineRule="auto"/>
        <w:rPr>
          <w:rFonts w:ascii="宋体" w:hAnsi="宋体" w:cs="宋体"/>
          <w:color w:val="auto"/>
          <w:sz w:val="24"/>
          <w:highlight w:val="none"/>
          <w:u w:val="single"/>
        </w:rPr>
      </w:pPr>
      <w:r>
        <w:rPr>
          <w:rFonts w:hint="eastAsia" w:ascii="宋体" w:hAnsi="宋体" w:cs="宋体"/>
          <w:color w:val="auto"/>
          <w:sz w:val="24"/>
          <w:highlight w:val="none"/>
        </w:rPr>
        <w:t>采购结果公告</w:t>
      </w:r>
      <w:r>
        <w:rPr>
          <w:rFonts w:hint="eastAsia" w:ascii="宋体" w:hAnsi="宋体" w:cs="宋体"/>
          <w:color w:val="auto"/>
          <w:sz w:val="24"/>
          <w:highlight w:val="none"/>
          <w:lang w:eastAsia="zh-CN"/>
        </w:rPr>
        <w:t>：</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1266F0B3">
      <w:pPr>
        <w:shd w:val="clear"/>
        <w:spacing w:line="360" w:lineRule="auto"/>
        <w:rPr>
          <w:rFonts w:ascii="宋体" w:hAnsi="宋体" w:cs="宋体"/>
          <w:color w:val="auto"/>
          <w:sz w:val="24"/>
          <w:highlight w:val="none"/>
        </w:rPr>
      </w:pPr>
      <w:r>
        <w:rPr>
          <w:rFonts w:hint="eastAsia" w:ascii="宋体" w:hAnsi="宋体" w:cs="宋体"/>
          <w:color w:val="auto"/>
          <w:sz w:val="24"/>
          <w:highlight w:val="none"/>
        </w:rPr>
        <w:t>三、质疑基本情况</w:t>
      </w:r>
    </w:p>
    <w:p w14:paraId="7EFEA050">
      <w:pPr>
        <w:shd w:val="clear"/>
        <w:spacing w:line="360" w:lineRule="auto"/>
        <w:ind w:firstLine="480" w:firstLineChars="200"/>
        <w:rPr>
          <w:rFonts w:ascii="宋体" w:hAnsi="宋体" w:cs="宋体"/>
          <w:color w:val="auto"/>
          <w:sz w:val="24"/>
          <w:highlight w:val="none"/>
          <w:u w:val="dotted"/>
        </w:rPr>
      </w:pPr>
      <w:r>
        <w:rPr>
          <w:rFonts w:hint="eastAsia" w:ascii="宋体" w:hAnsi="宋体" w:cs="宋体"/>
          <w:color w:val="auto"/>
          <w:sz w:val="24"/>
          <w:highlight w:val="none"/>
        </w:rPr>
        <w:t>投诉人于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日,向</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提出质疑，质疑事项为：</w:t>
      </w:r>
      <w:r>
        <w:rPr>
          <w:rFonts w:hint="eastAsia" w:ascii="宋体" w:hAnsi="宋体" w:cs="宋体"/>
          <w:color w:val="auto"/>
          <w:sz w:val="24"/>
          <w:highlight w:val="none"/>
          <w:u w:val="dotted"/>
        </w:rPr>
        <w:t xml:space="preserve">                                </w:t>
      </w:r>
    </w:p>
    <w:p w14:paraId="55CF494A">
      <w:pPr>
        <w:shd w:val="clea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322C1C3D">
      <w:pPr>
        <w:shd w:val="clear"/>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u w:val="dotted"/>
        </w:rPr>
        <w:t>采购人/代理机构</w:t>
      </w:r>
      <w:r>
        <w:rPr>
          <w:rFonts w:hint="eastAsia" w:ascii="宋体" w:hAnsi="宋体" w:cs="宋体"/>
          <w:color w:val="auto"/>
          <w:sz w:val="24"/>
          <w:highlight w:val="none"/>
        </w:rPr>
        <w:t>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w:t>
      </w:r>
      <w:r>
        <w:rPr>
          <w:rFonts w:hint="eastAsia" w:ascii="宋体" w:hAnsi="宋体" w:cs="宋体"/>
          <w:color w:val="auto"/>
          <w:sz w:val="24"/>
          <w:highlight w:val="none"/>
          <w:lang w:eastAsia="zh-CN"/>
        </w:rPr>
        <w:t>，</w:t>
      </w:r>
      <w:r>
        <w:rPr>
          <w:rFonts w:hint="eastAsia" w:ascii="宋体" w:hAnsi="宋体" w:cs="宋体"/>
          <w:color w:val="auto"/>
          <w:sz w:val="24"/>
          <w:highlight w:val="none"/>
        </w:rPr>
        <w:t>就质疑事项作出了答复/没有在法定期限内作出答复。</w:t>
      </w:r>
    </w:p>
    <w:p w14:paraId="6E2005C8">
      <w:pPr>
        <w:shd w:val="clear"/>
        <w:spacing w:line="360" w:lineRule="auto"/>
        <w:rPr>
          <w:rFonts w:ascii="宋体" w:hAnsi="宋体" w:cs="宋体"/>
          <w:color w:val="auto"/>
          <w:sz w:val="24"/>
          <w:highlight w:val="none"/>
        </w:rPr>
      </w:pPr>
      <w:r>
        <w:rPr>
          <w:rFonts w:hint="eastAsia" w:ascii="宋体" w:hAnsi="宋体" w:cs="宋体"/>
          <w:color w:val="auto"/>
          <w:sz w:val="24"/>
          <w:highlight w:val="none"/>
        </w:rPr>
        <w:t>四、投诉事项具体内容</w:t>
      </w:r>
    </w:p>
    <w:p w14:paraId="04E5FCE6">
      <w:pPr>
        <w:shd w:val="clear"/>
        <w:spacing w:line="360" w:lineRule="auto"/>
        <w:rPr>
          <w:rFonts w:ascii="宋体" w:hAnsi="宋体" w:cs="宋体"/>
          <w:color w:val="auto"/>
          <w:sz w:val="24"/>
          <w:highlight w:val="none"/>
          <w:u w:val="single"/>
        </w:rPr>
      </w:pPr>
      <w:r>
        <w:rPr>
          <w:rFonts w:hint="eastAsia" w:ascii="宋体" w:hAnsi="宋体" w:cs="宋体"/>
          <w:color w:val="auto"/>
          <w:sz w:val="24"/>
          <w:highlight w:val="none"/>
        </w:rPr>
        <w:t>投诉事项 1：</w:t>
      </w:r>
      <w:r>
        <w:rPr>
          <w:rFonts w:hint="eastAsia" w:ascii="宋体" w:hAnsi="宋体" w:cs="宋体"/>
          <w:color w:val="auto"/>
          <w:sz w:val="24"/>
          <w:highlight w:val="none"/>
          <w:u w:val="dotted"/>
        </w:rPr>
        <w:t xml:space="preserve">                                       </w:t>
      </w:r>
    </w:p>
    <w:p w14:paraId="69FDB289">
      <w:pPr>
        <w:shd w:val="clear"/>
        <w:spacing w:line="360" w:lineRule="auto"/>
        <w:rPr>
          <w:rFonts w:ascii="宋体" w:hAnsi="宋体" w:cs="宋体"/>
          <w:color w:val="auto"/>
          <w:sz w:val="24"/>
          <w:highlight w:val="none"/>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7D4466FF">
      <w:pPr>
        <w:shd w:val="clea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58CFB867">
      <w:pPr>
        <w:shd w:val="clear"/>
        <w:spacing w:line="360" w:lineRule="auto"/>
        <w:rPr>
          <w:rFonts w:ascii="宋体" w:hAnsi="宋体" w:cs="宋体"/>
          <w:color w:val="auto"/>
          <w:sz w:val="24"/>
          <w:highlight w:val="none"/>
          <w:u w:val="single"/>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05A6B682">
      <w:pPr>
        <w:shd w:val="clea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2C3BA1DB">
      <w:pPr>
        <w:shd w:val="clear"/>
        <w:spacing w:line="360" w:lineRule="auto"/>
        <w:rPr>
          <w:rFonts w:ascii="宋体" w:hAnsi="宋体" w:cs="宋体"/>
          <w:color w:val="auto"/>
          <w:sz w:val="24"/>
          <w:highlight w:val="none"/>
        </w:rPr>
      </w:pPr>
      <w:r>
        <w:rPr>
          <w:rFonts w:hint="eastAsia" w:ascii="宋体" w:hAnsi="宋体" w:cs="宋体"/>
          <w:color w:val="auto"/>
          <w:sz w:val="24"/>
          <w:highlight w:val="none"/>
        </w:rPr>
        <w:t>投诉事项2</w:t>
      </w:r>
    </w:p>
    <w:p w14:paraId="03BE017C">
      <w:pPr>
        <w:shd w:val="clea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14:paraId="6173FC5C">
      <w:pPr>
        <w:shd w:val="clear"/>
        <w:spacing w:line="360" w:lineRule="auto"/>
        <w:rPr>
          <w:rFonts w:ascii="宋体" w:hAnsi="宋体" w:cs="宋体"/>
          <w:color w:val="auto"/>
          <w:sz w:val="24"/>
          <w:highlight w:val="none"/>
        </w:rPr>
      </w:pPr>
      <w:r>
        <w:rPr>
          <w:rFonts w:hint="eastAsia" w:ascii="宋体" w:hAnsi="宋体" w:cs="宋体"/>
          <w:color w:val="auto"/>
          <w:sz w:val="24"/>
          <w:highlight w:val="none"/>
        </w:rPr>
        <w:t>五、与投诉事项相关的投诉请求</w:t>
      </w:r>
    </w:p>
    <w:p w14:paraId="20802064">
      <w:pPr>
        <w:shd w:val="clear"/>
        <w:spacing w:line="360" w:lineRule="auto"/>
        <w:rPr>
          <w:rFonts w:ascii="宋体" w:hAnsi="宋体" w:cs="宋体"/>
          <w:color w:val="auto"/>
          <w:sz w:val="24"/>
          <w:highlight w:val="none"/>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1A49C667">
      <w:pPr>
        <w:shd w:val="clear"/>
        <w:spacing w:line="360" w:lineRule="auto"/>
        <w:rPr>
          <w:rFonts w:ascii="宋体" w:hAnsi="宋体" w:cs="宋体"/>
          <w:color w:val="auto"/>
          <w:sz w:val="24"/>
          <w:highlight w:val="none"/>
          <w:u w:val="single"/>
        </w:rPr>
      </w:pPr>
      <w:r>
        <w:rPr>
          <w:rFonts w:hint="eastAsia" w:ascii="宋体" w:hAnsi="宋体" w:cs="宋体"/>
          <w:color w:val="auto"/>
          <w:sz w:val="24"/>
          <w:highlight w:val="none"/>
        </w:rPr>
        <w:t xml:space="preserve">                                                                                                    </w:t>
      </w:r>
    </w:p>
    <w:p w14:paraId="202170DA">
      <w:pPr>
        <w:shd w:val="clear"/>
        <w:spacing w:line="360" w:lineRule="auto"/>
        <w:rPr>
          <w:rFonts w:ascii="宋体" w:hAnsi="宋体" w:cs="宋体"/>
          <w:color w:val="auto"/>
          <w:sz w:val="24"/>
          <w:highlight w:val="none"/>
        </w:rPr>
      </w:pPr>
      <w:r>
        <w:rPr>
          <w:rFonts w:hint="eastAsia" w:ascii="宋体" w:hAnsi="宋体" w:cs="宋体"/>
          <w:color w:val="auto"/>
          <w:sz w:val="24"/>
          <w:highlight w:val="none"/>
        </w:rPr>
        <w:t>签字</w:t>
      </w:r>
      <w:r>
        <w:rPr>
          <w:rFonts w:hint="eastAsia" w:ascii="宋体" w:hAnsi="宋体" w:cs="宋体"/>
          <w:color w:val="auto"/>
          <w:sz w:val="24"/>
          <w:highlight w:val="none"/>
          <w:lang w:eastAsia="zh-CN"/>
        </w:rPr>
        <w:t>（</w:t>
      </w:r>
      <w:r>
        <w:rPr>
          <w:rFonts w:hint="eastAsia" w:ascii="宋体" w:hAnsi="宋体" w:cs="宋体"/>
          <w:color w:val="auto"/>
          <w:sz w:val="24"/>
          <w:highlight w:val="none"/>
        </w:rPr>
        <w:t>签章</w:t>
      </w:r>
      <w:r>
        <w:rPr>
          <w:rFonts w:hint="eastAsia" w:ascii="宋体" w:hAnsi="宋体" w:cs="宋体"/>
          <w:color w:val="auto"/>
          <w:sz w:val="24"/>
          <w:highlight w:val="none"/>
          <w:lang w:eastAsia="zh-CN"/>
        </w:rPr>
        <w:t>）</w:t>
      </w:r>
      <w:r>
        <w:rPr>
          <w:rFonts w:hint="eastAsia" w:ascii="宋体" w:hAnsi="宋体" w:cs="宋体"/>
          <w:color w:val="auto"/>
          <w:sz w:val="24"/>
          <w:highlight w:val="none"/>
        </w:rPr>
        <w:t xml:space="preserve">：                   公章：                      </w:t>
      </w:r>
    </w:p>
    <w:p w14:paraId="307E76D2">
      <w:pPr>
        <w:shd w:val="clear"/>
        <w:spacing w:line="360" w:lineRule="auto"/>
        <w:rPr>
          <w:rFonts w:ascii="宋体" w:hAnsi="宋体" w:cs="宋体"/>
          <w:color w:val="auto"/>
          <w:sz w:val="24"/>
          <w:highlight w:val="none"/>
        </w:rPr>
      </w:pPr>
      <w:r>
        <w:rPr>
          <w:rFonts w:hint="eastAsia" w:ascii="宋体" w:hAnsi="宋体" w:cs="宋体"/>
          <w:color w:val="auto"/>
          <w:sz w:val="24"/>
          <w:highlight w:val="none"/>
        </w:rPr>
        <w:t xml:space="preserve">日期：    </w:t>
      </w:r>
    </w:p>
    <w:p w14:paraId="1547C006">
      <w:pPr>
        <w:shd w:val="clear"/>
        <w:spacing w:line="360" w:lineRule="auto"/>
        <w:rPr>
          <w:rFonts w:ascii="宋体" w:hAnsi="宋体" w:cs="宋体"/>
          <w:b/>
          <w:color w:val="auto"/>
          <w:sz w:val="24"/>
          <w:highlight w:val="none"/>
        </w:rPr>
      </w:pPr>
    </w:p>
    <w:p w14:paraId="0B28F3D3">
      <w:pPr>
        <w:shd w:val="clear"/>
        <w:spacing w:line="360" w:lineRule="auto"/>
        <w:rPr>
          <w:rFonts w:ascii="宋体" w:hAnsi="宋体" w:cs="宋体"/>
          <w:b/>
          <w:color w:val="auto"/>
          <w:sz w:val="24"/>
          <w:highlight w:val="none"/>
        </w:rPr>
      </w:pPr>
    </w:p>
    <w:p w14:paraId="5335C4FF">
      <w:pPr>
        <w:shd w:val="clear"/>
        <w:spacing w:line="360" w:lineRule="auto"/>
        <w:rPr>
          <w:rFonts w:ascii="宋体" w:hAnsi="宋体" w:cs="宋体"/>
          <w:b/>
          <w:color w:val="auto"/>
          <w:sz w:val="24"/>
          <w:highlight w:val="none"/>
        </w:rPr>
      </w:pPr>
      <w:r>
        <w:rPr>
          <w:rFonts w:hint="eastAsia" w:ascii="宋体" w:hAnsi="宋体" w:cs="宋体"/>
          <w:b/>
          <w:color w:val="auto"/>
          <w:sz w:val="24"/>
          <w:highlight w:val="none"/>
        </w:rPr>
        <w:t>投诉书制作说明：</w:t>
      </w:r>
    </w:p>
    <w:p w14:paraId="4042B1FA">
      <w:pPr>
        <w:widowControl/>
        <w:shd w:val="clear"/>
        <w:spacing w:line="360" w:lineRule="auto"/>
        <w:ind w:firstLine="480" w:firstLineChars="200"/>
        <w:rPr>
          <w:rFonts w:ascii="宋体" w:hAnsi="宋体" w:cs="宋体"/>
          <w:color w:val="auto"/>
          <w:kern w:val="0"/>
          <w:sz w:val="24"/>
          <w:highlight w:val="none"/>
        </w:rPr>
      </w:pPr>
      <w:r>
        <w:rPr>
          <w:rFonts w:hint="eastAsia" w:ascii="宋体" w:hAnsi="宋体" w:cs="宋体"/>
          <w:color w:val="auto"/>
          <w:sz w:val="24"/>
          <w:highlight w:val="none"/>
        </w:rPr>
        <w:t>1.投诉人提起投诉时，应当提交投诉书和必要的证明材料，并按照被投诉人和与投诉事项有关的供应商数量提供投诉书副本。</w:t>
      </w:r>
    </w:p>
    <w:p w14:paraId="72305243">
      <w:pPr>
        <w:widowControl/>
        <w:shd w:val="clear"/>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2.投诉人若委托代理人进行投诉的，投诉书应按照要求列明“授权代表”的有关内容，并在附件中提交由</w:t>
      </w:r>
      <w:r>
        <w:rPr>
          <w:rFonts w:hint="eastAsia" w:ascii="宋体" w:hAnsi="宋体" w:cs="宋体"/>
          <w:color w:val="auto"/>
          <w:kern w:val="0"/>
          <w:sz w:val="24"/>
          <w:highlight w:val="none"/>
        </w:rPr>
        <w:t>投诉人签署的授权委托书。授权委托书应当载明代理人的姓名或者名称、代理事项、具体权限、期限和相关事项。</w:t>
      </w:r>
    </w:p>
    <w:p w14:paraId="093A8E0C">
      <w:pPr>
        <w:widowControl/>
        <w:shd w:val="clea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3.投诉人若对项目的某一分包进行投诉，投诉书应列明具体分包号。</w:t>
      </w:r>
    </w:p>
    <w:p w14:paraId="69BE06BB">
      <w:pPr>
        <w:widowControl/>
        <w:shd w:val="clea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4.投诉书应简要列明质疑事项，质疑函、质疑答复等作为附件材料提供。</w:t>
      </w:r>
    </w:p>
    <w:p w14:paraId="39AE6012">
      <w:pPr>
        <w:widowControl/>
        <w:shd w:val="clea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5.投诉书的投诉事项应具体、明确，并有必要的事实依据和法律依据。</w:t>
      </w:r>
    </w:p>
    <w:p w14:paraId="7933BC3B">
      <w:pPr>
        <w:widowControl/>
        <w:shd w:val="clea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6.投诉书的投诉请求应与投诉事项相关。</w:t>
      </w:r>
    </w:p>
    <w:p w14:paraId="73C314DB">
      <w:pPr>
        <w:widowControl/>
        <w:shd w:val="clear"/>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7.投诉人为自然人的，投诉书应当由本人签字；投诉人为法人或者其他组织的，投诉书应当由法定代表人、主要负责人，或者其授权代表签字或者盖章，并加盖公章。</w:t>
      </w:r>
    </w:p>
    <w:p w14:paraId="471D2551">
      <w:pPr>
        <w:shd w:val="clear"/>
        <w:spacing w:line="360" w:lineRule="auto"/>
        <w:rPr>
          <w:rFonts w:ascii="宋体" w:hAnsi="宋体" w:cs="宋体"/>
          <w:b/>
          <w:color w:val="auto"/>
          <w:sz w:val="24"/>
          <w:highlight w:val="none"/>
        </w:rPr>
      </w:pPr>
    </w:p>
    <w:p w14:paraId="49CA1E5F">
      <w:pPr>
        <w:shd w:val="clear"/>
        <w:autoSpaceDE w:val="0"/>
        <w:autoSpaceDN w:val="0"/>
        <w:jc w:val="center"/>
        <w:rPr>
          <w:rFonts w:ascii="宋体" w:hAnsi="宋体" w:cs="宋体"/>
          <w:b/>
          <w:color w:val="auto"/>
          <w:spacing w:val="6"/>
          <w:sz w:val="32"/>
          <w:szCs w:val="32"/>
          <w:highlight w:val="none"/>
        </w:rPr>
      </w:pPr>
    </w:p>
    <w:p w14:paraId="776F24D3">
      <w:pPr>
        <w:shd w:val="clear"/>
        <w:autoSpaceDE w:val="0"/>
        <w:autoSpaceDN w:val="0"/>
        <w:jc w:val="center"/>
        <w:rPr>
          <w:rFonts w:ascii="宋体" w:hAnsi="宋体" w:cs="宋体"/>
          <w:b/>
          <w:color w:val="auto"/>
          <w:spacing w:val="6"/>
          <w:sz w:val="32"/>
          <w:szCs w:val="32"/>
          <w:highlight w:val="none"/>
        </w:rPr>
      </w:pPr>
    </w:p>
    <w:p w14:paraId="556D3529">
      <w:pPr>
        <w:shd w:val="clear"/>
        <w:autoSpaceDE w:val="0"/>
        <w:autoSpaceDN w:val="0"/>
        <w:jc w:val="center"/>
        <w:rPr>
          <w:rFonts w:ascii="宋体" w:hAnsi="宋体" w:cs="宋体"/>
          <w:b/>
          <w:bCs/>
          <w:color w:val="auto"/>
          <w:sz w:val="32"/>
          <w:szCs w:val="32"/>
          <w:highlight w:val="none"/>
        </w:rPr>
      </w:pPr>
      <w:r>
        <w:rPr>
          <w:rFonts w:hint="eastAsia" w:ascii="宋体" w:hAnsi="宋体" w:cs="宋体"/>
          <w:b/>
          <w:color w:val="auto"/>
          <w:spacing w:val="6"/>
          <w:sz w:val="32"/>
          <w:szCs w:val="32"/>
          <w:highlight w:val="none"/>
        </w:rPr>
        <w:t>附件4：</w:t>
      </w:r>
      <w:r>
        <w:rPr>
          <w:rFonts w:hint="eastAsia" w:ascii="宋体" w:hAnsi="宋体" w:cs="宋体"/>
          <w:b/>
          <w:bCs/>
          <w:color w:val="auto"/>
          <w:sz w:val="32"/>
          <w:szCs w:val="32"/>
          <w:highlight w:val="none"/>
        </w:rPr>
        <w:t>业务专用章使用说明函</w:t>
      </w:r>
    </w:p>
    <w:p w14:paraId="6BB05BCE">
      <w:pPr>
        <w:shd w:val="clear"/>
        <w:spacing w:line="360" w:lineRule="auto"/>
        <w:rPr>
          <w:rFonts w:ascii="宋体" w:hAnsi="宋体" w:cs="宋体"/>
          <w:color w:val="auto"/>
          <w:sz w:val="24"/>
          <w:highlight w:val="none"/>
          <w:u w:val="single"/>
        </w:rPr>
      </w:pPr>
    </w:p>
    <w:p w14:paraId="2476A8FD">
      <w:pPr>
        <w:shd w:val="clear"/>
        <w:spacing w:line="360" w:lineRule="auto"/>
        <w:rPr>
          <w:rFonts w:ascii="宋体" w:hAnsi="宋体" w:cs="宋体"/>
          <w:color w:val="auto"/>
          <w:sz w:val="24"/>
          <w:highlight w:val="none"/>
        </w:rPr>
      </w:pPr>
      <w:r>
        <w:rPr>
          <w:rFonts w:hint="eastAsia" w:ascii="宋体" w:hAnsi="宋体" w:cs="宋体"/>
          <w:color w:val="auto"/>
          <w:sz w:val="24"/>
          <w:highlight w:val="none"/>
          <w:u w:val="single"/>
          <w:lang w:eastAsia="zh-CN"/>
        </w:rPr>
        <w:t>宁波市海曙区机关事务管理局、</w:t>
      </w:r>
      <w:r>
        <w:rPr>
          <w:rFonts w:hint="eastAsia" w:ascii="宋体" w:hAnsi="宋体" w:cs="宋体"/>
          <w:color w:val="auto"/>
          <w:sz w:val="24"/>
          <w:highlight w:val="none"/>
          <w:u w:val="single"/>
          <w:lang w:val="en-US" w:eastAsia="zh-CN"/>
        </w:rPr>
        <w:t>宁波市海曙区人民政府鼓楼街道办事处</w:t>
      </w:r>
      <w:r>
        <w:rPr>
          <w:rFonts w:hint="eastAsia" w:ascii="宋体" w:hAnsi="宋体" w:cs="宋体"/>
          <w:color w:val="auto"/>
          <w:sz w:val="24"/>
          <w:highlight w:val="none"/>
          <w:u w:val="single"/>
        </w:rPr>
        <w:t>、</w:t>
      </w:r>
      <w:r>
        <w:rPr>
          <w:rFonts w:hint="eastAsia" w:ascii="宋体" w:hAnsi="宋体" w:cs="宋体"/>
          <w:color w:val="auto"/>
          <w:sz w:val="24"/>
          <w:highlight w:val="none"/>
          <w:u w:val="single"/>
          <w:lang w:eastAsia="zh-CN"/>
        </w:rPr>
        <w:t>宁波中基国际招标有限公司</w:t>
      </w:r>
      <w:r>
        <w:rPr>
          <w:rFonts w:hint="eastAsia" w:ascii="宋体" w:hAnsi="宋体" w:cs="宋体"/>
          <w:color w:val="auto"/>
          <w:sz w:val="24"/>
          <w:highlight w:val="none"/>
          <w:u w:val="single"/>
        </w:rPr>
        <w:t>：</w:t>
      </w:r>
    </w:p>
    <w:p w14:paraId="2820BED4">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lang w:val="zh-CN"/>
        </w:rPr>
        <w:t>我方</w:t>
      </w:r>
      <w:r>
        <w:rPr>
          <w:rFonts w:hint="eastAsia" w:ascii="宋体" w:hAnsi="宋体" w:cs="宋体"/>
          <w:color w:val="auto"/>
          <w:kern w:val="0"/>
          <w:sz w:val="24"/>
          <w:highlight w:val="none"/>
          <w:u w:val="single"/>
          <w:lang w:val="zh-CN"/>
        </w:rPr>
        <w:t xml:space="preserve">                         （</w:t>
      </w:r>
      <w:r>
        <w:rPr>
          <w:rFonts w:hint="eastAsia" w:ascii="宋体" w:hAnsi="宋体" w:cs="宋体"/>
          <w:color w:val="auto"/>
          <w:sz w:val="24"/>
          <w:highlight w:val="none"/>
        </w:rPr>
        <w:t>投标人全称</w:t>
      </w:r>
      <w:r>
        <w:rPr>
          <w:rFonts w:hint="eastAsia" w:ascii="宋体" w:hAnsi="宋体" w:cs="宋体"/>
          <w:color w:val="auto"/>
          <w:sz w:val="24"/>
          <w:highlight w:val="none"/>
          <w:lang w:eastAsia="zh-CN"/>
        </w:rPr>
        <w:t>）</w:t>
      </w:r>
      <w:r>
        <w:rPr>
          <w:rFonts w:hint="eastAsia" w:ascii="宋体" w:hAnsi="宋体" w:cs="宋体"/>
          <w:color w:val="auto"/>
          <w:sz w:val="24"/>
          <w:highlight w:val="none"/>
        </w:rPr>
        <w:t>是中华人民共和国依法登记注册的合法企业，</w:t>
      </w:r>
      <w:r>
        <w:rPr>
          <w:rFonts w:hint="eastAsia" w:ascii="宋体" w:hAnsi="宋体" w:cs="宋体"/>
          <w:bCs/>
          <w:color w:val="auto"/>
          <w:sz w:val="24"/>
          <w:highlight w:val="none"/>
        </w:rPr>
        <w:t>在参加</w:t>
      </w:r>
      <w:r>
        <w:rPr>
          <w:rFonts w:hint="eastAsia" w:ascii="宋体" w:hAnsi="宋体" w:cs="宋体"/>
          <w:color w:val="auto"/>
          <w:sz w:val="24"/>
          <w:highlight w:val="none"/>
        </w:rPr>
        <w:t>你方组织的</w:t>
      </w:r>
      <w:r>
        <w:rPr>
          <w:rFonts w:hint="eastAsia" w:ascii="宋体" w:hAnsi="宋体" w:cs="宋体"/>
          <w:color w:val="auto"/>
          <w:sz w:val="24"/>
          <w:highlight w:val="none"/>
          <w:lang w:eastAsia="zh-CN"/>
        </w:rPr>
        <w:t>宁波市海曙区各集中管理办公区等食堂原材料采购项目（蔬果类）</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2025NBHSWT112</w:t>
      </w:r>
      <w:r>
        <w:rPr>
          <w:rFonts w:hint="eastAsia" w:ascii="宋体" w:hAnsi="宋体" w:cs="宋体"/>
          <w:color w:val="auto"/>
          <w:sz w:val="24"/>
          <w:highlight w:val="none"/>
        </w:rPr>
        <w:t>】</w:t>
      </w:r>
      <w:r>
        <w:rPr>
          <w:rFonts w:hint="eastAsia" w:ascii="宋体" w:hAnsi="宋体" w:cs="宋体"/>
          <w:bCs/>
          <w:color w:val="auto"/>
          <w:sz w:val="24"/>
          <w:highlight w:val="none"/>
        </w:rPr>
        <w:t>投标活动中作如下说明：</w:t>
      </w:r>
      <w:r>
        <w:rPr>
          <w:rFonts w:hint="eastAsia" w:ascii="宋体" w:hAnsi="宋体" w:cs="宋体"/>
          <w:color w:val="auto"/>
          <w:sz w:val="24"/>
          <w:highlight w:val="none"/>
        </w:rPr>
        <w:t xml:space="preserve">我方所使用的“XX专用章”与法定名称章具有同等的法律效力，对使用“XX专用章”的行为予以完全承认，并愿意承担相应责任。   </w:t>
      </w:r>
    </w:p>
    <w:p w14:paraId="783F575B">
      <w:pPr>
        <w:shd w:val="clea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特此说明。</w:t>
      </w:r>
    </w:p>
    <w:p w14:paraId="08F8BDA4">
      <w:pPr>
        <w:shd w:val="clear"/>
        <w:spacing w:line="360" w:lineRule="auto"/>
        <w:ind w:firstLine="494"/>
        <w:rPr>
          <w:rFonts w:ascii="宋体" w:hAnsi="宋体" w:cs="宋体"/>
          <w:color w:val="auto"/>
          <w:sz w:val="24"/>
          <w:highlight w:val="none"/>
        </w:rPr>
      </w:pPr>
    </w:p>
    <w:p w14:paraId="7047DCEC">
      <w:pPr>
        <w:shd w:val="clear"/>
        <w:spacing w:line="360" w:lineRule="auto"/>
        <w:ind w:firstLine="494"/>
        <w:rPr>
          <w:rFonts w:ascii="宋体" w:hAnsi="宋体" w:cs="宋体"/>
          <w:color w:val="auto"/>
          <w:sz w:val="24"/>
          <w:highlight w:val="none"/>
        </w:rPr>
      </w:pPr>
    </w:p>
    <w:p w14:paraId="60ACA3B7">
      <w:pPr>
        <w:shd w:val="clear"/>
        <w:spacing w:line="360" w:lineRule="auto"/>
        <w:ind w:firstLine="494"/>
        <w:rPr>
          <w:rFonts w:ascii="宋体" w:hAnsi="宋体" w:cs="宋体"/>
          <w:color w:val="auto"/>
          <w:sz w:val="24"/>
          <w:highlight w:val="none"/>
        </w:rPr>
      </w:pPr>
    </w:p>
    <w:p w14:paraId="40730103">
      <w:pPr>
        <w:shd w:val="clear"/>
        <w:spacing w:line="360" w:lineRule="auto"/>
        <w:ind w:firstLine="494"/>
        <w:rPr>
          <w:rFonts w:ascii="宋体" w:hAnsi="宋体" w:cs="宋体"/>
          <w:color w:val="auto"/>
          <w:sz w:val="24"/>
          <w:highlight w:val="none"/>
        </w:rPr>
      </w:pPr>
    </w:p>
    <w:p w14:paraId="32773479">
      <w:pPr>
        <w:shd w:val="clear"/>
        <w:spacing w:line="360" w:lineRule="auto"/>
        <w:ind w:right="480" w:firstLine="4080" w:firstLineChars="1700"/>
        <w:rPr>
          <w:rFonts w:ascii="宋体" w:hAnsi="宋体" w:cs="宋体"/>
          <w:color w:val="auto"/>
          <w:sz w:val="24"/>
          <w:highlight w:val="none"/>
        </w:rPr>
      </w:pPr>
      <w:r>
        <w:rPr>
          <w:rFonts w:hint="eastAsia" w:ascii="宋体" w:hAnsi="宋体" w:cs="宋体"/>
          <w:color w:val="auto"/>
          <w:sz w:val="24"/>
          <w:highlight w:val="none"/>
        </w:rPr>
        <w:t>投标单位（法定名称章）：</w:t>
      </w:r>
    </w:p>
    <w:p w14:paraId="65152A0F">
      <w:pPr>
        <w:shd w:val="clear"/>
        <w:ind w:right="1440" w:firstLine="494"/>
        <w:jc w:val="center"/>
        <w:rPr>
          <w:rFonts w:ascii="宋体" w:hAnsi="宋体" w:cs="宋体"/>
          <w:color w:val="auto"/>
          <w:sz w:val="24"/>
          <w:highlight w:val="none"/>
        </w:rPr>
      </w:pPr>
      <w:r>
        <w:rPr>
          <w:rFonts w:hint="eastAsia" w:ascii="宋体" w:hAnsi="宋体" w:cs="宋体"/>
          <w:color w:val="auto"/>
          <w:sz w:val="24"/>
          <w:highlight w:val="none"/>
        </w:rPr>
        <w:t xml:space="preserve">                              日期：       年     月     日</w:t>
      </w:r>
    </w:p>
    <w:p w14:paraId="2BB67126">
      <w:pPr>
        <w:shd w:val="clear"/>
        <w:rPr>
          <w:rFonts w:ascii="宋体" w:hAnsi="宋体" w:cs="宋体"/>
          <w:color w:val="auto"/>
          <w:sz w:val="24"/>
          <w:highlight w:val="none"/>
        </w:rPr>
      </w:pPr>
      <w:r>
        <w:rPr>
          <w:rFonts w:hint="eastAsia" w:ascii="宋体" w:hAnsi="宋体" w:cs="宋体"/>
          <w:b/>
          <w:bCs/>
          <w:color w:val="auto"/>
          <w:sz w:val="24"/>
          <w:highlight w:val="none"/>
        </w:rPr>
        <w:t>附：</w:t>
      </w:r>
    </w:p>
    <w:p w14:paraId="6FB94BA5">
      <w:pPr>
        <w:shd w:val="clear"/>
        <w:spacing w:line="360" w:lineRule="auto"/>
        <w:rPr>
          <w:rFonts w:ascii="宋体" w:hAnsi="宋体" w:cs="宋体"/>
          <w:bCs/>
          <w:color w:val="auto"/>
          <w:sz w:val="24"/>
          <w:highlight w:val="none"/>
        </w:rPr>
      </w:pPr>
      <w:r>
        <w:rPr>
          <w:rFonts w:hint="eastAsia" w:ascii="宋体" w:hAnsi="宋体" w:cs="宋体"/>
          <w:b/>
          <w:bCs/>
          <w:color w:val="auto"/>
          <w:sz w:val="24"/>
          <w:highlight w:val="none"/>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txbx>
                        <w:txbxContent>
                          <w:p w14:paraId="6767FA73">
                            <w:pPr>
                              <w:jc w:val="center"/>
                            </w:pPr>
                          </w:p>
                        </w:txbxContent>
                      </wps:txbx>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PWQDz/YAAAACgEAAA8AAAAAAAAAAQAgAAAAIgAAAGRycy9kb3ducmV2LnhtbFBL&#10;AQIUABQAAAAIAIdO4kDILD+2LwIAAH8EAAAOAAAAAAAAAAEAIAAAACcBAABkcnMvZTJvRG9jLnht&#10;bFBLBQYAAAAABgAGAFkBAADIBQAAAAA=&#10;">
                <v:fill on="t" focussize="0,0"/>
                <v:stroke color="#000000" miterlimit="2" joinstyle="miter"/>
                <v:imagedata o:title=""/>
                <o:lock v:ext="edit" aspectratio="f"/>
                <v:textbox>
                  <w:txbxContent>
                    <w:p w14:paraId="6767FA73">
                      <w:pPr>
                        <w:jc w:val="center"/>
                      </w:pPr>
                    </w:p>
                  </w:txbxContent>
                </v:textbox>
              </v:rect>
            </w:pict>
          </mc:Fallback>
        </mc:AlternateContent>
      </w:r>
      <w:r>
        <w:rPr>
          <w:rFonts w:hint="eastAsia" w:ascii="宋体" w:hAnsi="宋体" w:cs="宋体"/>
          <w:b/>
          <w:bCs/>
          <w:color w:val="auto"/>
          <w:sz w:val="24"/>
          <w:highlight w:val="none"/>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txbx>
                        <w:txbxContent>
                          <w:p w14:paraId="3846DD03">
                            <w:pPr>
                              <w:jc w:val="center"/>
                            </w:pPr>
                          </w:p>
                        </w:txbxContent>
                      </wps:txbx>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BmMR6bYAAAACgEAAA8AAAAAAAAAAQAgAAAAIgAAAGRycy9kb3ducmV2LnhtbFBL&#10;AQIUABQAAAAIAIdO4kBKL3uDLwIAAH8EAAAOAAAAAAAAAAEAIAAAACcBAABkcnMvZTJvRG9jLnht&#10;bFBLBQYAAAAABgAGAFkBAADIBQAAAAA=&#10;">
                <v:fill on="t" focussize="0,0"/>
                <v:stroke color="#000000" miterlimit="2" joinstyle="miter"/>
                <v:imagedata o:title=""/>
                <o:lock v:ext="edit" aspectratio="f"/>
                <v:textbox>
                  <w:txbxContent>
                    <w:p w14:paraId="3846DD03">
                      <w:pPr>
                        <w:jc w:val="center"/>
                      </w:pPr>
                    </w:p>
                  </w:txbxContent>
                </v:textbox>
              </v:rect>
            </w:pict>
          </mc:Fallback>
        </mc:AlternateContent>
      </w:r>
      <w:r>
        <w:rPr>
          <w:rFonts w:hint="eastAsia" w:ascii="宋体" w:hAnsi="宋体" w:cs="宋体"/>
          <w:color w:val="auto"/>
          <w:sz w:val="24"/>
          <w:highlight w:val="none"/>
        </w:rPr>
        <w:t>投标单位法定名称章（印模）                投标单位“XX专用章”（印模）</w:t>
      </w:r>
    </w:p>
    <w:p w14:paraId="0E82DB58">
      <w:pPr>
        <w:shd w:val="clear"/>
        <w:autoSpaceDE w:val="0"/>
        <w:autoSpaceDN w:val="0"/>
        <w:jc w:val="center"/>
        <w:rPr>
          <w:rFonts w:ascii="宋体" w:hAnsi="宋体" w:cs="宋体"/>
          <w:b/>
          <w:color w:val="auto"/>
          <w:spacing w:val="6"/>
          <w:sz w:val="32"/>
          <w:szCs w:val="32"/>
          <w:highlight w:val="none"/>
        </w:rPr>
      </w:pPr>
    </w:p>
    <w:p w14:paraId="08AE6694">
      <w:pPr>
        <w:shd w:val="clear"/>
        <w:autoSpaceDE w:val="0"/>
        <w:autoSpaceDN w:val="0"/>
        <w:jc w:val="center"/>
        <w:rPr>
          <w:rFonts w:ascii="宋体" w:hAnsi="宋体" w:cs="宋体"/>
          <w:b/>
          <w:color w:val="auto"/>
          <w:spacing w:val="6"/>
          <w:sz w:val="32"/>
          <w:szCs w:val="32"/>
          <w:highlight w:val="none"/>
        </w:rPr>
      </w:pPr>
    </w:p>
    <w:p w14:paraId="4F8BBE10">
      <w:pPr>
        <w:shd w:val="clear"/>
        <w:autoSpaceDE w:val="0"/>
        <w:autoSpaceDN w:val="0"/>
        <w:jc w:val="center"/>
        <w:rPr>
          <w:rFonts w:ascii="宋体" w:hAnsi="宋体" w:cs="宋体"/>
          <w:b/>
          <w:color w:val="auto"/>
          <w:spacing w:val="6"/>
          <w:sz w:val="32"/>
          <w:szCs w:val="32"/>
          <w:highlight w:val="none"/>
        </w:rPr>
      </w:pPr>
    </w:p>
    <w:p w14:paraId="079A18B5">
      <w:pPr>
        <w:shd w:val="clear"/>
        <w:autoSpaceDE w:val="0"/>
        <w:autoSpaceDN w:val="0"/>
        <w:jc w:val="center"/>
        <w:rPr>
          <w:rFonts w:ascii="宋体" w:hAnsi="宋体" w:cs="宋体"/>
          <w:b/>
          <w:color w:val="auto"/>
          <w:spacing w:val="6"/>
          <w:sz w:val="32"/>
          <w:szCs w:val="32"/>
          <w:highlight w:val="none"/>
        </w:rPr>
      </w:pPr>
    </w:p>
    <w:p w14:paraId="6A26CA45">
      <w:pPr>
        <w:shd w:val="clear"/>
        <w:autoSpaceDE w:val="0"/>
        <w:autoSpaceDN w:val="0"/>
        <w:jc w:val="center"/>
        <w:rPr>
          <w:rFonts w:ascii="宋体" w:hAnsi="宋体" w:cs="宋体"/>
          <w:b/>
          <w:color w:val="auto"/>
          <w:spacing w:val="6"/>
          <w:sz w:val="32"/>
          <w:szCs w:val="32"/>
          <w:highlight w:val="none"/>
        </w:rPr>
      </w:pPr>
    </w:p>
    <w:p w14:paraId="0325C95F">
      <w:pPr>
        <w:shd w:val="clear"/>
        <w:autoSpaceDE w:val="0"/>
        <w:autoSpaceDN w:val="0"/>
        <w:jc w:val="center"/>
        <w:rPr>
          <w:rFonts w:ascii="宋体" w:hAnsi="宋体" w:cs="宋体"/>
          <w:b/>
          <w:color w:val="auto"/>
          <w:spacing w:val="6"/>
          <w:sz w:val="32"/>
          <w:szCs w:val="32"/>
          <w:highlight w:val="none"/>
        </w:rPr>
      </w:pPr>
    </w:p>
    <w:p w14:paraId="2CED0074">
      <w:pPr>
        <w:shd w:val="clear"/>
        <w:autoSpaceDE w:val="0"/>
        <w:autoSpaceDN w:val="0"/>
        <w:jc w:val="center"/>
        <w:rPr>
          <w:rFonts w:ascii="宋体" w:hAnsi="宋体" w:cs="宋体"/>
          <w:b/>
          <w:color w:val="auto"/>
          <w:spacing w:val="6"/>
          <w:sz w:val="32"/>
          <w:szCs w:val="32"/>
          <w:highlight w:val="none"/>
        </w:rPr>
      </w:pPr>
    </w:p>
    <w:p w14:paraId="6CA664E1">
      <w:pPr>
        <w:shd w:val="clear"/>
        <w:autoSpaceDE w:val="0"/>
        <w:autoSpaceDN w:val="0"/>
        <w:jc w:val="center"/>
        <w:rPr>
          <w:rFonts w:ascii="宋体" w:hAnsi="宋体" w:cs="宋体"/>
          <w:b/>
          <w:color w:val="auto"/>
          <w:spacing w:val="6"/>
          <w:sz w:val="32"/>
          <w:szCs w:val="32"/>
          <w:highlight w:val="none"/>
        </w:rPr>
      </w:pPr>
    </w:p>
    <w:p w14:paraId="400266C3">
      <w:pPr>
        <w:shd w:val="clear"/>
        <w:autoSpaceDE w:val="0"/>
        <w:autoSpaceDN w:val="0"/>
        <w:jc w:val="center"/>
        <w:rPr>
          <w:rFonts w:ascii="宋体" w:hAnsi="宋体" w:cs="宋体"/>
          <w:b/>
          <w:color w:val="auto"/>
          <w:spacing w:val="6"/>
          <w:sz w:val="32"/>
          <w:szCs w:val="32"/>
          <w:highlight w:val="none"/>
        </w:rPr>
      </w:pPr>
    </w:p>
    <w:p w14:paraId="662906DB">
      <w:pPr>
        <w:shd w:val="clear"/>
        <w:autoSpaceDE w:val="0"/>
        <w:autoSpaceDN w:val="0"/>
        <w:jc w:val="center"/>
        <w:rPr>
          <w:rFonts w:ascii="宋体" w:hAnsi="宋体" w:cs="宋体"/>
          <w:b/>
          <w:color w:val="auto"/>
          <w:spacing w:val="6"/>
          <w:sz w:val="32"/>
          <w:szCs w:val="32"/>
          <w:highlight w:val="none"/>
        </w:rPr>
      </w:pPr>
    </w:p>
    <w:p w14:paraId="03795F6D">
      <w:pPr>
        <w:shd w:val="clear"/>
        <w:autoSpaceDE w:val="0"/>
        <w:autoSpaceDN w:val="0"/>
        <w:jc w:val="center"/>
        <w:rPr>
          <w:rFonts w:ascii="宋体" w:hAnsi="宋体" w:cs="宋体"/>
          <w:b/>
          <w:color w:val="auto"/>
          <w:spacing w:val="6"/>
          <w:sz w:val="32"/>
          <w:szCs w:val="32"/>
          <w:highlight w:val="none"/>
        </w:rPr>
      </w:pPr>
    </w:p>
    <w:p w14:paraId="6A6CED5C">
      <w:pPr>
        <w:shd w:val="clear"/>
        <w:autoSpaceDE w:val="0"/>
        <w:autoSpaceDN w:val="0"/>
        <w:jc w:val="center"/>
        <w:rPr>
          <w:rFonts w:ascii="宋体" w:hAnsi="宋体" w:cs="宋体"/>
          <w:b/>
          <w:color w:val="auto"/>
          <w:spacing w:val="6"/>
          <w:sz w:val="32"/>
          <w:szCs w:val="32"/>
          <w:highlight w:val="none"/>
        </w:rPr>
      </w:pPr>
    </w:p>
    <w:p w14:paraId="66D97916">
      <w:pPr>
        <w:shd w:val="clear"/>
        <w:autoSpaceDE w:val="0"/>
        <w:autoSpaceDN w:val="0"/>
        <w:jc w:val="center"/>
        <w:rPr>
          <w:rFonts w:ascii="宋体" w:hAnsi="宋体" w:cs="宋体"/>
          <w:b/>
          <w:color w:val="auto"/>
          <w:spacing w:val="6"/>
          <w:sz w:val="32"/>
          <w:szCs w:val="32"/>
          <w:highlight w:val="none"/>
        </w:rPr>
      </w:pPr>
    </w:p>
    <w:p w14:paraId="4CA2AA53">
      <w:pPr>
        <w:shd w:val="clear"/>
        <w:autoSpaceDE w:val="0"/>
        <w:autoSpaceDN w:val="0"/>
        <w:jc w:val="center"/>
        <w:rPr>
          <w:rFonts w:ascii="宋体" w:hAnsi="宋体" w:cs="宋体"/>
          <w:b/>
          <w:color w:val="auto"/>
          <w:spacing w:val="6"/>
          <w:sz w:val="32"/>
          <w:szCs w:val="32"/>
          <w:highlight w:val="none"/>
        </w:rPr>
      </w:pPr>
    </w:p>
    <w:p w14:paraId="76AD3E33">
      <w:pPr>
        <w:shd w:val="clear"/>
        <w:autoSpaceDE w:val="0"/>
        <w:autoSpaceDN w:val="0"/>
        <w:jc w:val="center"/>
        <w:rPr>
          <w:rFonts w:ascii="宋体" w:hAnsi="宋体" w:cs="宋体"/>
          <w:b/>
          <w:color w:val="auto"/>
          <w:spacing w:val="6"/>
          <w:sz w:val="32"/>
          <w:szCs w:val="32"/>
          <w:highlight w:val="none"/>
        </w:rPr>
      </w:pPr>
    </w:p>
    <w:p w14:paraId="26E4AC11">
      <w:pPr>
        <w:shd w:val="clear"/>
        <w:autoSpaceDE w:val="0"/>
        <w:autoSpaceDN w:val="0"/>
        <w:jc w:val="center"/>
        <w:rPr>
          <w:rFonts w:ascii="宋体" w:hAnsi="宋体" w:cs="宋体"/>
          <w:b/>
          <w:color w:val="auto"/>
          <w:spacing w:val="6"/>
          <w:sz w:val="32"/>
          <w:szCs w:val="32"/>
          <w:highlight w:val="none"/>
        </w:rPr>
      </w:pPr>
    </w:p>
    <w:p w14:paraId="1CC68EFC">
      <w:pPr>
        <w:shd w:val="clear"/>
        <w:autoSpaceDE w:val="0"/>
        <w:autoSpaceDN w:val="0"/>
        <w:jc w:val="center"/>
        <w:rPr>
          <w:rFonts w:ascii="宋体" w:hAnsi="宋体" w:cs="宋体"/>
          <w:b/>
          <w:color w:val="auto"/>
          <w:spacing w:val="6"/>
          <w:sz w:val="32"/>
          <w:szCs w:val="32"/>
          <w:highlight w:val="none"/>
        </w:rPr>
      </w:pPr>
    </w:p>
    <w:p w14:paraId="45C3E959">
      <w:pPr>
        <w:shd w:val="clear"/>
        <w:autoSpaceDE w:val="0"/>
        <w:autoSpaceDN w:val="0"/>
        <w:jc w:val="center"/>
        <w:rPr>
          <w:rFonts w:ascii="宋体" w:hAnsi="宋体" w:cs="宋体"/>
          <w:b/>
          <w:color w:val="auto"/>
          <w:kern w:val="0"/>
          <w:sz w:val="32"/>
          <w:szCs w:val="32"/>
          <w:highlight w:val="none"/>
          <w:lang w:val="zh-CN"/>
        </w:rPr>
      </w:pPr>
      <w:r>
        <w:rPr>
          <w:rFonts w:hint="eastAsia" w:ascii="宋体" w:hAnsi="宋体" w:cs="宋体"/>
          <w:b/>
          <w:color w:val="auto"/>
          <w:spacing w:val="6"/>
          <w:sz w:val="32"/>
          <w:szCs w:val="32"/>
          <w:highlight w:val="none"/>
        </w:rPr>
        <w:t>附件</w:t>
      </w:r>
      <w:r>
        <w:rPr>
          <w:rFonts w:ascii="宋体" w:hAnsi="宋体" w:cs="宋体"/>
          <w:b/>
          <w:color w:val="auto"/>
          <w:spacing w:val="6"/>
          <w:sz w:val="32"/>
          <w:szCs w:val="32"/>
          <w:highlight w:val="none"/>
        </w:rPr>
        <w:t>5</w:t>
      </w:r>
      <w:r>
        <w:rPr>
          <w:rFonts w:hint="eastAsia" w:ascii="宋体" w:hAnsi="宋体" w:cs="宋体"/>
          <w:b/>
          <w:color w:val="auto"/>
          <w:spacing w:val="6"/>
          <w:sz w:val="32"/>
          <w:szCs w:val="32"/>
          <w:highlight w:val="none"/>
        </w:rPr>
        <w:t>：</w:t>
      </w:r>
      <w:r>
        <w:rPr>
          <w:rFonts w:hint="eastAsia" w:ascii="宋体" w:hAnsi="宋体" w:cs="宋体"/>
          <w:b/>
          <w:color w:val="auto"/>
          <w:kern w:val="0"/>
          <w:sz w:val="32"/>
          <w:szCs w:val="32"/>
          <w:highlight w:val="none"/>
          <w:lang w:val="zh-CN"/>
        </w:rPr>
        <w:t>联合协议</w:t>
      </w:r>
    </w:p>
    <w:p w14:paraId="4A020C70">
      <w:pPr>
        <w:widowControl/>
        <w:shd w:val="clear"/>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（以联合体形式投标的，提供联合协议；本项目不接受联合体投标或者投标人不以联合体形式投标的，则不需要提供）</w:t>
      </w:r>
    </w:p>
    <w:p w14:paraId="794BF9C0">
      <w:pPr>
        <w:shd w:val="clea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（联合体所有成员名称）</w:t>
      </w:r>
      <w:r>
        <w:rPr>
          <w:rFonts w:hint="eastAsia" w:ascii="宋体" w:hAnsi="宋体" w:cs="宋体"/>
          <w:color w:val="auto"/>
          <w:kern w:val="0"/>
          <w:sz w:val="24"/>
          <w:highlight w:val="none"/>
        </w:rPr>
        <w:t>自愿</w:t>
      </w:r>
      <w:r>
        <w:rPr>
          <w:rFonts w:hint="eastAsia" w:ascii="宋体" w:hAnsi="宋体" w:cs="宋体"/>
          <w:color w:val="auto"/>
          <w:kern w:val="0"/>
          <w:sz w:val="24"/>
          <w:highlight w:val="none"/>
          <w:lang w:val="zh-CN"/>
        </w:rPr>
        <w:t>组成一个联合体，以一个投标人的身份</w:t>
      </w:r>
      <w:r>
        <w:rPr>
          <w:rFonts w:hint="eastAsia" w:ascii="宋体" w:hAnsi="宋体" w:cs="宋体"/>
          <w:color w:val="auto"/>
          <w:kern w:val="0"/>
          <w:sz w:val="24"/>
          <w:highlight w:val="none"/>
        </w:rPr>
        <w:t>参加</w:t>
      </w:r>
      <w:r>
        <w:rPr>
          <w:rFonts w:hint="eastAsia" w:ascii="宋体" w:hAnsi="宋体" w:cs="宋体"/>
          <w:color w:val="auto"/>
          <w:sz w:val="24"/>
          <w:highlight w:val="none"/>
          <w:lang w:eastAsia="zh-CN"/>
        </w:rPr>
        <w:t>宁波市海曙区各集中管理办公区等食堂原材料采购项目（蔬果类）</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2025NBHSWT112</w:t>
      </w:r>
      <w:r>
        <w:rPr>
          <w:rFonts w:hint="eastAsia" w:ascii="宋体" w:hAnsi="宋体" w:cs="宋体"/>
          <w:color w:val="auto"/>
          <w:sz w:val="24"/>
          <w:highlight w:val="none"/>
        </w:rPr>
        <w:t>】</w:t>
      </w:r>
      <w:r>
        <w:rPr>
          <w:rFonts w:hint="eastAsia" w:ascii="宋体" w:hAnsi="宋体" w:cs="宋体"/>
          <w:color w:val="auto"/>
          <w:kern w:val="0"/>
          <w:sz w:val="24"/>
          <w:highlight w:val="none"/>
          <w:lang w:val="zh-CN"/>
        </w:rPr>
        <w:t xml:space="preserve">投标。 </w:t>
      </w:r>
    </w:p>
    <w:p w14:paraId="5F1EA19A">
      <w:pPr>
        <w:shd w:val="clea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一、各方一致决定，</w:t>
      </w:r>
      <w:r>
        <w:rPr>
          <w:rFonts w:hint="eastAsia" w:ascii="宋体" w:hAnsi="宋体" w:cs="宋体"/>
          <w:color w:val="auto"/>
          <w:kern w:val="0"/>
          <w:sz w:val="24"/>
          <w:highlight w:val="none"/>
          <w:u w:val="single"/>
        </w:rPr>
        <w:t>（某联合体成员名称）</w:t>
      </w:r>
      <w:r>
        <w:rPr>
          <w:rFonts w:hint="eastAsia" w:ascii="宋体" w:hAnsi="宋体" w:cs="宋体"/>
          <w:color w:val="auto"/>
          <w:kern w:val="0"/>
          <w:sz w:val="24"/>
          <w:highlight w:val="none"/>
        </w:rPr>
        <w:t>为联合体</w:t>
      </w:r>
      <w:r>
        <w:rPr>
          <w:rFonts w:hint="eastAsia" w:ascii="宋体" w:hAnsi="宋体" w:cs="宋体"/>
          <w:color w:val="auto"/>
          <w:kern w:val="0"/>
          <w:sz w:val="24"/>
          <w:highlight w:val="none"/>
          <w:lang w:val="zh-CN"/>
        </w:rPr>
        <w:t>牵头人</w:t>
      </w:r>
      <w:r>
        <w:rPr>
          <w:rFonts w:hint="eastAsia" w:ascii="宋体" w:hAnsi="宋体" w:cs="宋体"/>
          <w:color w:val="auto"/>
          <w:sz w:val="24"/>
          <w:highlight w:val="none"/>
        </w:rPr>
        <w:t>，代表所有联合体成员负责投标和合同实施阶段的主办、协调工作</w:t>
      </w:r>
      <w:r>
        <w:rPr>
          <w:rFonts w:hint="eastAsia" w:ascii="宋体" w:hAnsi="宋体" w:cs="宋体"/>
          <w:color w:val="auto"/>
          <w:kern w:val="0"/>
          <w:sz w:val="24"/>
          <w:highlight w:val="none"/>
          <w:lang w:val="zh-CN"/>
        </w:rPr>
        <w:t>。</w:t>
      </w:r>
    </w:p>
    <w:p w14:paraId="78FAEAC4">
      <w:pPr>
        <w:shd w:val="clea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w:t>
      </w:r>
      <w:r>
        <w:rPr>
          <w:rFonts w:hint="eastAsia" w:ascii="宋体" w:hAnsi="宋体" w:cs="宋体"/>
          <w:color w:val="auto"/>
          <w:sz w:val="24"/>
          <w:highlight w:val="none"/>
        </w:rPr>
        <w:t>所有联合体成员各方签署授权书，授权书载明的</w:t>
      </w:r>
      <w:r>
        <w:rPr>
          <w:rFonts w:hint="eastAsia" w:ascii="宋体" w:hAnsi="宋体" w:cs="宋体"/>
          <w:color w:val="auto"/>
          <w:kern w:val="0"/>
          <w:sz w:val="24"/>
          <w:highlight w:val="none"/>
          <w:lang w:val="zh-CN"/>
        </w:rPr>
        <w:t>授权代表根据招标文件规定及投标内容而对采购人、采购代理机构所作的任何合法承诺，包括书面澄清及</w:t>
      </w:r>
      <w:r>
        <w:rPr>
          <w:rFonts w:hint="eastAsia" w:ascii="宋体" w:hAnsi="宋体" w:cs="宋体"/>
          <w:color w:val="auto"/>
          <w:kern w:val="0"/>
          <w:sz w:val="24"/>
          <w:highlight w:val="none"/>
          <w:lang w:val="en-US" w:eastAsia="zh-CN"/>
        </w:rPr>
        <w:t>响应</w:t>
      </w:r>
      <w:r>
        <w:rPr>
          <w:rFonts w:hint="eastAsia" w:ascii="宋体" w:hAnsi="宋体" w:cs="宋体"/>
          <w:color w:val="auto"/>
          <w:kern w:val="0"/>
          <w:sz w:val="24"/>
          <w:highlight w:val="none"/>
          <w:lang w:val="zh-CN"/>
        </w:rPr>
        <w:t>等均对联合投标各方产生约束力。</w:t>
      </w:r>
    </w:p>
    <w:p w14:paraId="0A1A81CC">
      <w:pPr>
        <w:shd w:val="clea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三、本次联合投标中，分工如下：</w:t>
      </w:r>
    </w:p>
    <w:p w14:paraId="0FEF4984">
      <w:pPr>
        <w:shd w:val="clea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（联合体成员1）</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0DFCA700">
      <w:pPr>
        <w:shd w:val="clea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w:t>
      </w:r>
      <w:r>
        <w:rPr>
          <w:rFonts w:ascii="宋体" w:hAnsi="宋体" w:cs="宋体"/>
          <w:color w:val="auto"/>
          <w:kern w:val="0"/>
          <w:sz w:val="24"/>
          <w:highlight w:val="none"/>
          <w:u w:val="single"/>
        </w:rPr>
        <w:t>2</w:t>
      </w:r>
      <w:r>
        <w:rPr>
          <w:rFonts w:hint="eastAsia" w:ascii="宋体" w:hAnsi="宋体" w:cs="宋体"/>
          <w:color w:val="auto"/>
          <w:kern w:val="0"/>
          <w:sz w:val="24"/>
          <w:highlight w:val="none"/>
          <w:u w:val="single"/>
        </w:rPr>
        <w:t>）</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2B7ACA0C">
      <w:pPr>
        <w:shd w:val="clea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w:t>
      </w:r>
    </w:p>
    <w:p w14:paraId="481801D8">
      <w:pPr>
        <w:shd w:val="clea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四、联合体成员中小企业合同份额。</w:t>
      </w:r>
    </w:p>
    <w:p w14:paraId="1C8CD386">
      <w:pPr>
        <w:shd w:val="clear"/>
        <w:snapToGrid w:val="0"/>
        <w:spacing w:line="360" w:lineRule="auto"/>
        <w:ind w:firstLine="576"/>
        <w:rPr>
          <w:rFonts w:ascii="宋体" w:hAnsi="宋体" w:cs="宋体"/>
          <w:b/>
          <w:color w:val="auto"/>
          <w:kern w:val="0"/>
          <w:sz w:val="24"/>
          <w:highlight w:val="none"/>
          <w:lang w:val="zh-CN"/>
        </w:rPr>
      </w:pPr>
      <w:r>
        <w:rPr>
          <w:rFonts w:hint="eastAsia" w:ascii="宋体" w:hAnsi="宋体" w:cs="宋体"/>
          <w:color w:val="auto"/>
          <w:kern w:val="0"/>
          <w:sz w:val="24"/>
          <w:highlight w:val="none"/>
          <w:lang w:val="zh-CN"/>
        </w:rPr>
        <w:t>1、</w:t>
      </w:r>
      <w:r>
        <w:rPr>
          <w:rFonts w:hint="eastAsia" w:ascii="宋体" w:hAnsi="宋体" w:cs="宋体"/>
          <w:color w:val="auto"/>
          <w:kern w:val="0"/>
          <w:sz w:val="24"/>
          <w:highlight w:val="none"/>
          <w:u w:val="single"/>
        </w:rPr>
        <w:t>（</w:t>
      </w:r>
      <w:bookmarkStart w:id="513" w:name="_Hlk101131882"/>
      <w:r>
        <w:rPr>
          <w:rFonts w:hint="eastAsia" w:ascii="宋体" w:hAnsi="宋体" w:cs="宋体"/>
          <w:color w:val="auto"/>
          <w:kern w:val="0"/>
          <w:sz w:val="24"/>
          <w:highlight w:val="none"/>
          <w:u w:val="single"/>
        </w:rPr>
        <w:t>联合体成员X</w:t>
      </w:r>
      <w:r>
        <w:rPr>
          <w:rFonts w:ascii="宋体" w:hAnsi="宋体" w:cs="宋体"/>
          <w:color w:val="auto"/>
          <w:kern w:val="0"/>
          <w:sz w:val="24"/>
          <w:highlight w:val="none"/>
          <w:u w:val="single"/>
        </w:rPr>
        <w:t>,</w:t>
      </w:r>
      <w:r>
        <w:rPr>
          <w:rFonts w:hint="eastAsia" w:ascii="宋体" w:hAnsi="宋体" w:cs="宋体"/>
          <w:color w:val="auto"/>
          <w:kern w:val="0"/>
          <w:sz w:val="24"/>
          <w:highlight w:val="none"/>
          <w:u w:val="single"/>
        </w:rPr>
        <w:t>……</w:t>
      </w:r>
      <w:bookmarkEnd w:id="513"/>
      <w:r>
        <w:rPr>
          <w:rFonts w:hint="eastAsia" w:ascii="宋体" w:hAnsi="宋体" w:cs="宋体"/>
          <w:color w:val="auto"/>
          <w:kern w:val="0"/>
          <w:sz w:val="24"/>
          <w:highlight w:val="none"/>
          <w:u w:val="single"/>
        </w:rPr>
        <w:t>）</w:t>
      </w:r>
      <w:r>
        <w:rPr>
          <w:rFonts w:hint="eastAsia" w:ascii="宋体" w:hAnsi="宋体" w:cs="宋体"/>
          <w:color w:val="auto"/>
          <w:kern w:val="0"/>
          <w:sz w:val="24"/>
          <w:highlight w:val="none"/>
        </w:rPr>
        <w:t>提供的服务由小微企业承接，其合同份额占到合同总金额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kern w:val="0"/>
          <w:sz w:val="24"/>
          <w:highlight w:val="none"/>
          <w:lang w:val="zh-CN"/>
        </w:rPr>
        <w:t>。</w:t>
      </w:r>
      <w:r>
        <w:rPr>
          <w:rFonts w:hint="eastAsia" w:ascii="宋体" w:hAnsi="宋体" w:cs="宋体"/>
          <w:b/>
          <w:color w:val="auto"/>
          <w:kern w:val="0"/>
          <w:sz w:val="24"/>
          <w:highlight w:val="none"/>
          <w:lang w:val="zh-CN"/>
        </w:rPr>
        <w:t>（</w:t>
      </w:r>
      <w:bookmarkStart w:id="514" w:name="_Hlk101133598"/>
      <w:r>
        <w:rPr>
          <w:rFonts w:hint="eastAsia" w:ascii="宋体" w:hAnsi="宋体" w:cs="宋体"/>
          <w:b/>
          <w:color w:val="auto"/>
          <w:kern w:val="0"/>
          <w:sz w:val="24"/>
          <w:highlight w:val="none"/>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color w:val="auto"/>
          <w:sz w:val="24"/>
          <w:highlight w:val="none"/>
        </w:rPr>
        <w:t>拟享受以上价格扣除政策的，填写有关内容。</w:t>
      </w:r>
      <w:bookmarkEnd w:id="514"/>
      <w:r>
        <w:rPr>
          <w:rFonts w:hint="eastAsia" w:ascii="宋体" w:hAnsi="宋体" w:cs="宋体"/>
          <w:b/>
          <w:color w:val="auto"/>
          <w:kern w:val="0"/>
          <w:sz w:val="24"/>
          <w:highlight w:val="none"/>
          <w:lang w:val="zh-CN"/>
        </w:rPr>
        <w:t>）</w:t>
      </w:r>
    </w:p>
    <w:p w14:paraId="7A05990A">
      <w:pPr>
        <w:shd w:val="clear"/>
        <w:spacing w:line="360" w:lineRule="auto"/>
        <w:ind w:firstLine="480" w:firstLineChars="200"/>
        <w:rPr>
          <w:rFonts w:ascii="宋体" w:hAnsi="宋体" w:cs="宋体"/>
          <w:b/>
          <w:bCs/>
          <w:color w:val="auto"/>
          <w:kern w:val="0"/>
          <w:sz w:val="24"/>
          <w:highlight w:val="none"/>
          <w:lang w:val="zh-CN"/>
        </w:rPr>
      </w:pPr>
      <w:r>
        <w:rPr>
          <w:rFonts w:hint="eastAsia" w:ascii="宋体" w:hAnsi="宋体" w:cs="宋体"/>
          <w:color w:val="auto"/>
          <w:sz w:val="24"/>
          <w:highlight w:val="none"/>
        </w:rPr>
        <w:t>2、</w:t>
      </w:r>
      <w:bookmarkStart w:id="515" w:name="_Hlk101133173"/>
      <w:r>
        <w:rPr>
          <w:rFonts w:hint="eastAsia" w:ascii="宋体" w:hAnsi="宋体" w:cs="宋体"/>
          <w:color w:val="auto"/>
          <w:sz w:val="24"/>
          <w:highlight w:val="none"/>
        </w:rPr>
        <w:t>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cs="宋体"/>
          <w:b/>
          <w:bCs/>
          <w:color w:val="auto"/>
          <w:kern w:val="0"/>
          <w:sz w:val="24"/>
          <w:highlight w:val="none"/>
          <w:lang w:val="zh-CN"/>
        </w:rPr>
        <w:t>）</w:t>
      </w:r>
      <w:bookmarkEnd w:id="515"/>
    </w:p>
    <w:p w14:paraId="76113441">
      <w:pPr>
        <w:shd w:val="clea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五、如果中标，</w:t>
      </w:r>
      <w:r>
        <w:rPr>
          <w:rFonts w:hint="eastAsia" w:ascii="宋体" w:hAnsi="宋体" w:cs="宋体"/>
          <w:color w:val="auto"/>
          <w:sz w:val="24"/>
          <w:highlight w:val="none"/>
        </w:rPr>
        <w:t>联合体各成员方共同与采购人签订合同，并就采购合同约定的事项对采购人承担连带责任。</w:t>
      </w:r>
    </w:p>
    <w:p w14:paraId="32BC1494">
      <w:pPr>
        <w:shd w:val="clea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六、有关本次联合投标的其他事宜：</w:t>
      </w:r>
    </w:p>
    <w:p w14:paraId="333CDF98">
      <w:pPr>
        <w:shd w:val="clea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1、联合体各方不再单独参加或者与其他供应商另外组成联合体参加同一合同项下的政府采购活动。</w:t>
      </w:r>
    </w:p>
    <w:p w14:paraId="3261A9C8">
      <w:pPr>
        <w:shd w:val="clea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2、联合体中有同类资质的各方按照联合体分工承担相同工作的，按照资质等级较低的供应商确定资质等级。</w:t>
      </w:r>
    </w:p>
    <w:p w14:paraId="621E5354">
      <w:pPr>
        <w:shd w:val="clea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3、本协议提交采购人、采购代理机构后，联合体各方不得以任何形式对上述内容进行修改或撤销。</w:t>
      </w:r>
    </w:p>
    <w:p w14:paraId="09BC886A">
      <w:pPr>
        <w:shd w:val="clea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0BC4D829">
      <w:pPr>
        <w:shd w:val="clea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783336F2">
      <w:pPr>
        <w:shd w:val="clear"/>
        <w:snapToGrid w:val="0"/>
        <w:spacing w:line="360" w:lineRule="auto"/>
        <w:ind w:right="960"/>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14:paraId="2C6B609A">
      <w:pPr>
        <w:shd w:val="clear"/>
        <w:snapToGrid w:val="0"/>
        <w:spacing w:line="360" w:lineRule="auto"/>
        <w:jc w:val="righ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日期：  年  月   日</w:t>
      </w:r>
    </w:p>
    <w:p w14:paraId="328CDCDA">
      <w:pPr>
        <w:shd w:val="clea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1CFB088A">
      <w:pPr>
        <w:shd w:val="clear"/>
        <w:autoSpaceDE w:val="0"/>
        <w:autoSpaceDN w:val="0"/>
        <w:jc w:val="center"/>
        <w:rPr>
          <w:rFonts w:ascii="宋体" w:hAnsi="宋体" w:cs="宋体"/>
          <w:b/>
          <w:color w:val="auto"/>
          <w:spacing w:val="6"/>
          <w:sz w:val="32"/>
          <w:szCs w:val="32"/>
          <w:highlight w:val="none"/>
        </w:rPr>
      </w:pPr>
    </w:p>
    <w:p w14:paraId="77097B37">
      <w:pPr>
        <w:shd w:val="clear"/>
        <w:autoSpaceDE w:val="0"/>
        <w:autoSpaceDN w:val="0"/>
        <w:jc w:val="center"/>
        <w:rPr>
          <w:rFonts w:ascii="宋体" w:hAnsi="宋体" w:cs="宋体"/>
          <w:b/>
          <w:color w:val="auto"/>
          <w:spacing w:val="6"/>
          <w:sz w:val="32"/>
          <w:szCs w:val="32"/>
          <w:highlight w:val="none"/>
        </w:rPr>
      </w:pPr>
    </w:p>
    <w:p w14:paraId="0123B06B">
      <w:pPr>
        <w:shd w:val="clear"/>
        <w:autoSpaceDE w:val="0"/>
        <w:autoSpaceDN w:val="0"/>
        <w:jc w:val="center"/>
        <w:rPr>
          <w:rFonts w:ascii="宋体" w:hAnsi="宋体" w:cs="宋体"/>
          <w:b/>
          <w:color w:val="auto"/>
          <w:spacing w:val="6"/>
          <w:sz w:val="32"/>
          <w:szCs w:val="32"/>
          <w:highlight w:val="none"/>
        </w:rPr>
      </w:pPr>
    </w:p>
    <w:p w14:paraId="37DCC658">
      <w:pPr>
        <w:shd w:val="clear"/>
        <w:autoSpaceDE w:val="0"/>
        <w:autoSpaceDN w:val="0"/>
        <w:jc w:val="center"/>
        <w:rPr>
          <w:rFonts w:ascii="宋体" w:hAnsi="宋体" w:cs="宋体"/>
          <w:b/>
          <w:color w:val="auto"/>
          <w:spacing w:val="6"/>
          <w:sz w:val="32"/>
          <w:szCs w:val="32"/>
          <w:highlight w:val="none"/>
        </w:rPr>
      </w:pPr>
    </w:p>
    <w:p w14:paraId="163AD2BA">
      <w:pPr>
        <w:shd w:val="clear"/>
        <w:autoSpaceDE w:val="0"/>
        <w:autoSpaceDN w:val="0"/>
        <w:jc w:val="center"/>
        <w:rPr>
          <w:rFonts w:ascii="宋体" w:hAnsi="宋体" w:cs="宋体"/>
          <w:b/>
          <w:color w:val="auto"/>
          <w:spacing w:val="6"/>
          <w:sz w:val="32"/>
          <w:szCs w:val="32"/>
          <w:highlight w:val="none"/>
        </w:rPr>
      </w:pPr>
    </w:p>
    <w:p w14:paraId="1DF4A179">
      <w:pPr>
        <w:shd w:val="clear"/>
        <w:autoSpaceDE w:val="0"/>
        <w:autoSpaceDN w:val="0"/>
        <w:jc w:val="center"/>
        <w:rPr>
          <w:rFonts w:ascii="宋体" w:hAnsi="宋体" w:cs="宋体"/>
          <w:b/>
          <w:color w:val="auto"/>
          <w:spacing w:val="6"/>
          <w:sz w:val="32"/>
          <w:szCs w:val="32"/>
          <w:highlight w:val="none"/>
        </w:rPr>
      </w:pPr>
    </w:p>
    <w:p w14:paraId="74E7F2DD">
      <w:pPr>
        <w:shd w:val="clear"/>
        <w:autoSpaceDE w:val="0"/>
        <w:autoSpaceDN w:val="0"/>
        <w:jc w:val="center"/>
        <w:rPr>
          <w:rFonts w:ascii="宋体" w:hAnsi="宋体" w:cs="宋体"/>
          <w:b/>
          <w:color w:val="auto"/>
          <w:spacing w:val="6"/>
          <w:sz w:val="32"/>
          <w:szCs w:val="32"/>
          <w:highlight w:val="none"/>
        </w:rPr>
      </w:pPr>
    </w:p>
    <w:p w14:paraId="2388AB4B">
      <w:pPr>
        <w:shd w:val="clear"/>
        <w:autoSpaceDE w:val="0"/>
        <w:autoSpaceDN w:val="0"/>
        <w:jc w:val="center"/>
        <w:rPr>
          <w:rFonts w:ascii="宋体" w:hAnsi="宋体" w:cs="宋体"/>
          <w:b/>
          <w:color w:val="auto"/>
          <w:spacing w:val="6"/>
          <w:sz w:val="32"/>
          <w:szCs w:val="32"/>
          <w:highlight w:val="none"/>
        </w:rPr>
      </w:pPr>
    </w:p>
    <w:p w14:paraId="7F1615D4">
      <w:pPr>
        <w:shd w:val="clear"/>
        <w:autoSpaceDE w:val="0"/>
        <w:autoSpaceDN w:val="0"/>
        <w:jc w:val="center"/>
        <w:rPr>
          <w:rFonts w:ascii="宋体" w:hAnsi="宋体" w:cs="宋体"/>
          <w:b/>
          <w:color w:val="auto"/>
          <w:spacing w:val="6"/>
          <w:sz w:val="32"/>
          <w:szCs w:val="32"/>
          <w:highlight w:val="none"/>
        </w:rPr>
      </w:pPr>
    </w:p>
    <w:p w14:paraId="28331D0C">
      <w:pPr>
        <w:shd w:val="clear"/>
        <w:autoSpaceDE w:val="0"/>
        <w:autoSpaceDN w:val="0"/>
        <w:jc w:val="center"/>
        <w:rPr>
          <w:rFonts w:ascii="宋体" w:hAnsi="宋体" w:cs="宋体"/>
          <w:b/>
          <w:color w:val="auto"/>
          <w:spacing w:val="6"/>
          <w:sz w:val="32"/>
          <w:szCs w:val="32"/>
          <w:highlight w:val="none"/>
        </w:rPr>
      </w:pPr>
    </w:p>
    <w:p w14:paraId="254C4C3D">
      <w:pPr>
        <w:shd w:val="clear"/>
        <w:autoSpaceDE w:val="0"/>
        <w:autoSpaceDN w:val="0"/>
        <w:jc w:val="center"/>
        <w:rPr>
          <w:rFonts w:ascii="宋体" w:hAnsi="宋体" w:cs="宋体"/>
          <w:b/>
          <w:color w:val="auto"/>
          <w:spacing w:val="6"/>
          <w:sz w:val="32"/>
          <w:szCs w:val="32"/>
          <w:highlight w:val="none"/>
        </w:rPr>
      </w:pPr>
    </w:p>
    <w:p w14:paraId="42E6A03C">
      <w:pPr>
        <w:shd w:val="clear"/>
        <w:autoSpaceDE w:val="0"/>
        <w:autoSpaceDN w:val="0"/>
        <w:jc w:val="center"/>
        <w:rPr>
          <w:rFonts w:ascii="宋体" w:hAnsi="宋体" w:cs="宋体"/>
          <w:b/>
          <w:color w:val="auto"/>
          <w:spacing w:val="6"/>
          <w:sz w:val="32"/>
          <w:szCs w:val="32"/>
          <w:highlight w:val="none"/>
        </w:rPr>
      </w:pPr>
    </w:p>
    <w:p w14:paraId="5EFE7C95">
      <w:pPr>
        <w:shd w:val="clear"/>
        <w:autoSpaceDE w:val="0"/>
        <w:autoSpaceDN w:val="0"/>
        <w:jc w:val="center"/>
        <w:rPr>
          <w:rFonts w:ascii="宋体" w:hAnsi="宋体" w:cs="宋体"/>
          <w:b/>
          <w:color w:val="auto"/>
          <w:spacing w:val="6"/>
          <w:sz w:val="32"/>
          <w:szCs w:val="32"/>
          <w:highlight w:val="none"/>
        </w:rPr>
      </w:pPr>
    </w:p>
    <w:p w14:paraId="4BA3B385">
      <w:pPr>
        <w:shd w:val="clear"/>
        <w:autoSpaceDE w:val="0"/>
        <w:autoSpaceDN w:val="0"/>
        <w:jc w:val="center"/>
        <w:rPr>
          <w:rFonts w:ascii="宋体" w:hAnsi="宋体" w:cs="宋体"/>
          <w:b/>
          <w:color w:val="auto"/>
          <w:spacing w:val="6"/>
          <w:sz w:val="32"/>
          <w:szCs w:val="32"/>
          <w:highlight w:val="none"/>
        </w:rPr>
      </w:pPr>
    </w:p>
    <w:p w14:paraId="6FBC792A">
      <w:pPr>
        <w:shd w:val="clear"/>
        <w:autoSpaceDE w:val="0"/>
        <w:autoSpaceDN w:val="0"/>
        <w:jc w:val="center"/>
        <w:rPr>
          <w:rFonts w:ascii="宋体" w:hAnsi="宋体" w:cs="宋体"/>
          <w:b/>
          <w:color w:val="auto"/>
          <w:spacing w:val="6"/>
          <w:sz w:val="32"/>
          <w:szCs w:val="32"/>
          <w:highlight w:val="none"/>
        </w:rPr>
      </w:pPr>
    </w:p>
    <w:p w14:paraId="598992E6">
      <w:pPr>
        <w:shd w:val="clear"/>
        <w:autoSpaceDE w:val="0"/>
        <w:autoSpaceDN w:val="0"/>
        <w:jc w:val="center"/>
        <w:rPr>
          <w:rFonts w:ascii="宋体" w:hAnsi="宋体" w:cs="宋体"/>
          <w:b/>
          <w:color w:val="auto"/>
          <w:spacing w:val="6"/>
          <w:sz w:val="32"/>
          <w:szCs w:val="32"/>
          <w:highlight w:val="none"/>
        </w:rPr>
      </w:pPr>
    </w:p>
    <w:p w14:paraId="0C640DEE">
      <w:pPr>
        <w:shd w:val="clear"/>
        <w:autoSpaceDE w:val="0"/>
        <w:autoSpaceDN w:val="0"/>
        <w:jc w:val="center"/>
        <w:rPr>
          <w:rFonts w:ascii="宋体" w:hAnsi="宋体" w:cs="宋体"/>
          <w:b/>
          <w:color w:val="auto"/>
          <w:spacing w:val="6"/>
          <w:sz w:val="32"/>
          <w:szCs w:val="32"/>
          <w:highlight w:val="none"/>
        </w:rPr>
      </w:pPr>
    </w:p>
    <w:p w14:paraId="71161A23">
      <w:pPr>
        <w:widowControl/>
        <w:shd w:val="clear"/>
        <w:adjustRightInd/>
        <w:jc w:val="left"/>
        <w:rPr>
          <w:rFonts w:ascii="宋体" w:hAnsi="宋体" w:cs="宋体"/>
          <w:b/>
          <w:color w:val="auto"/>
          <w:spacing w:val="6"/>
          <w:sz w:val="32"/>
          <w:szCs w:val="32"/>
          <w:highlight w:val="none"/>
        </w:rPr>
      </w:pPr>
      <w:r>
        <w:rPr>
          <w:rFonts w:ascii="宋体" w:hAnsi="宋体" w:cs="宋体"/>
          <w:b/>
          <w:color w:val="auto"/>
          <w:spacing w:val="6"/>
          <w:sz w:val="32"/>
          <w:szCs w:val="32"/>
          <w:highlight w:val="none"/>
        </w:rPr>
        <w:br w:type="page"/>
      </w:r>
    </w:p>
    <w:p w14:paraId="06298308">
      <w:pPr>
        <w:shd w:val="clear"/>
        <w:snapToGrid w:val="0"/>
        <w:spacing w:line="360" w:lineRule="auto"/>
        <w:ind w:firstLine="3666" w:firstLineChars="1100"/>
        <w:rPr>
          <w:rFonts w:ascii="宋体" w:hAnsi="宋体" w:cs="宋体"/>
          <w:b/>
          <w:color w:val="auto"/>
          <w:kern w:val="0"/>
          <w:sz w:val="32"/>
          <w:szCs w:val="32"/>
          <w:highlight w:val="none"/>
        </w:rPr>
      </w:pPr>
      <w:r>
        <w:rPr>
          <w:rFonts w:hint="eastAsia" w:ascii="宋体" w:hAnsi="宋体" w:cs="宋体"/>
          <w:b/>
          <w:color w:val="auto"/>
          <w:spacing w:val="6"/>
          <w:sz w:val="32"/>
          <w:szCs w:val="32"/>
          <w:highlight w:val="none"/>
        </w:rPr>
        <w:t>附件</w:t>
      </w:r>
      <w:r>
        <w:rPr>
          <w:rFonts w:ascii="宋体" w:hAnsi="宋体" w:cs="宋体"/>
          <w:b/>
          <w:color w:val="auto"/>
          <w:spacing w:val="6"/>
          <w:sz w:val="32"/>
          <w:szCs w:val="32"/>
          <w:highlight w:val="none"/>
        </w:rPr>
        <w:t>6</w:t>
      </w:r>
      <w:r>
        <w:rPr>
          <w:rFonts w:hint="eastAsia" w:ascii="宋体" w:hAnsi="宋体" w:cs="宋体"/>
          <w:b/>
          <w:color w:val="auto"/>
          <w:spacing w:val="6"/>
          <w:sz w:val="32"/>
          <w:szCs w:val="32"/>
          <w:highlight w:val="none"/>
        </w:rPr>
        <w:t>：</w:t>
      </w:r>
      <w:r>
        <w:rPr>
          <w:rFonts w:hint="eastAsia" w:ascii="宋体" w:hAnsi="宋体" w:cs="宋体"/>
          <w:b/>
          <w:color w:val="auto"/>
          <w:kern w:val="0"/>
          <w:sz w:val="32"/>
          <w:szCs w:val="32"/>
          <w:highlight w:val="none"/>
        </w:rPr>
        <w:t>分包意向协议</w:t>
      </w:r>
    </w:p>
    <w:p w14:paraId="63916DDA">
      <w:pPr>
        <w:widowControl/>
        <w:shd w:val="clear"/>
        <w:spacing w:line="360" w:lineRule="auto"/>
        <w:ind w:firstLine="120" w:firstLineChars="50"/>
        <w:jc w:val="left"/>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b/>
          <w:color w:val="auto"/>
          <w:sz w:val="24"/>
          <w:highlight w:val="none"/>
        </w:rPr>
        <w:t>中标后以分包方式履行合同的，提供分包意向协议；采购人不同意分包或者投标人中标后不以分包方式履行合同的，则不需要提供。</w:t>
      </w:r>
      <w:r>
        <w:rPr>
          <w:rFonts w:hint="eastAsia" w:ascii="宋体" w:hAnsi="宋体" w:cs="宋体"/>
          <w:color w:val="auto"/>
          <w:sz w:val="24"/>
          <w:highlight w:val="none"/>
        </w:rPr>
        <w:t>）</w:t>
      </w:r>
    </w:p>
    <w:p w14:paraId="0DFBA9F5">
      <w:pPr>
        <w:shd w:val="clea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lang w:val="zh-CN"/>
        </w:rPr>
        <w:t>若成为</w:t>
      </w:r>
      <w:r>
        <w:rPr>
          <w:rFonts w:hint="eastAsia" w:ascii="宋体" w:hAnsi="宋体" w:cs="宋体"/>
          <w:color w:val="auto"/>
          <w:sz w:val="24"/>
          <w:highlight w:val="none"/>
          <w:lang w:eastAsia="zh-CN"/>
        </w:rPr>
        <w:t>宁波市海曙区各集中管理办公区等食堂原材料采购项目（蔬果类）</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2025NBHSWT112</w:t>
      </w:r>
      <w:r>
        <w:rPr>
          <w:rFonts w:hint="eastAsia" w:ascii="宋体" w:hAnsi="宋体" w:cs="宋体"/>
          <w:color w:val="auto"/>
          <w:sz w:val="24"/>
          <w:highlight w:val="none"/>
        </w:rPr>
        <w:t>】</w:t>
      </w:r>
      <w:r>
        <w:rPr>
          <w:rFonts w:hint="eastAsia" w:ascii="宋体" w:hAnsi="宋体" w:cs="宋体"/>
          <w:color w:val="auto"/>
          <w:kern w:val="0"/>
          <w:sz w:val="24"/>
          <w:highlight w:val="none"/>
          <w:lang w:val="zh-CN"/>
        </w:rPr>
        <w:t>的中标供应商，将依法采取分包方式履行合同。</w:t>
      </w: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rPr>
        <w:t>与</w:t>
      </w:r>
      <w:r>
        <w:rPr>
          <w:rFonts w:hint="eastAsia" w:ascii="宋体" w:hAnsi="宋体" w:cs="宋体"/>
          <w:color w:val="auto"/>
          <w:kern w:val="0"/>
          <w:sz w:val="24"/>
          <w:highlight w:val="none"/>
          <w:u w:val="single"/>
        </w:rPr>
        <w:t>（所有分包供应商名称）</w:t>
      </w:r>
      <w:r>
        <w:rPr>
          <w:rFonts w:hint="eastAsia" w:ascii="宋体" w:hAnsi="宋体" w:cs="宋体"/>
          <w:color w:val="auto"/>
          <w:kern w:val="0"/>
          <w:sz w:val="24"/>
          <w:highlight w:val="none"/>
        </w:rPr>
        <w:t>达成分包意向协议</w:t>
      </w:r>
      <w:r>
        <w:rPr>
          <w:rFonts w:hint="eastAsia" w:ascii="宋体" w:hAnsi="宋体" w:cs="宋体"/>
          <w:color w:val="auto"/>
          <w:kern w:val="0"/>
          <w:sz w:val="24"/>
          <w:highlight w:val="none"/>
          <w:lang w:val="zh-CN"/>
        </w:rPr>
        <w:t xml:space="preserve">。 </w:t>
      </w:r>
    </w:p>
    <w:p w14:paraId="1A577EF0">
      <w:pPr>
        <w:shd w:val="clea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一、分包标的及数量</w:t>
      </w:r>
    </w:p>
    <w:p w14:paraId="40953027">
      <w:pPr>
        <w:shd w:val="clea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lang w:val="zh-CN"/>
        </w:rPr>
        <w:t>将</w:t>
      </w:r>
      <w:r>
        <w:rPr>
          <w:rFonts w:hint="eastAsia" w:ascii="宋体" w:hAnsi="宋体" w:cs="宋体"/>
          <w:color w:val="auto"/>
          <w:highlight w:val="none"/>
          <w:u w:val="single"/>
        </w:rPr>
        <w:t xml:space="preserve">  </w:t>
      </w:r>
      <w:r>
        <w:rPr>
          <w:rFonts w:ascii="宋体" w:hAnsi="宋体" w:cs="宋体"/>
          <w:color w:val="auto"/>
          <w:kern w:val="0"/>
          <w:sz w:val="24"/>
          <w:highlight w:val="none"/>
          <w:u w:val="single"/>
        </w:rPr>
        <w:t xml:space="preserve"> XX工作内容   </w:t>
      </w:r>
      <w:r>
        <w:rPr>
          <w:rFonts w:hint="eastAsia" w:ascii="宋体" w:hAnsi="宋体" w:cs="宋体"/>
          <w:color w:val="auto"/>
          <w:sz w:val="24"/>
          <w:highlight w:val="none"/>
        </w:rPr>
        <w:t>分包给</w:t>
      </w:r>
      <w:r>
        <w:rPr>
          <w:rFonts w:hint="eastAsia" w:ascii="宋体" w:hAnsi="宋体" w:cs="宋体"/>
          <w:color w:val="auto"/>
          <w:kern w:val="0"/>
          <w:sz w:val="24"/>
          <w:highlight w:val="none"/>
          <w:u w:val="single"/>
        </w:rPr>
        <w:t>（分包供应商1名称）</w:t>
      </w:r>
      <w:r>
        <w:rPr>
          <w:rFonts w:hint="eastAsia" w:ascii="宋体" w:hAnsi="宋体" w:cs="宋体"/>
          <w:color w:val="auto"/>
          <w:kern w:val="0"/>
          <w:sz w:val="24"/>
          <w:highlight w:val="none"/>
          <w:lang w:val="zh-CN"/>
        </w:rPr>
        <w:t>，</w:t>
      </w:r>
      <w:r>
        <w:rPr>
          <w:rFonts w:hint="eastAsia" w:ascii="宋体" w:hAnsi="宋体" w:cs="宋体"/>
          <w:color w:val="auto"/>
          <w:kern w:val="0"/>
          <w:sz w:val="24"/>
          <w:highlight w:val="none"/>
          <w:u w:val="single"/>
        </w:rPr>
        <w:t>（分包供应商2名称），</w:t>
      </w:r>
      <w:r>
        <w:rPr>
          <w:rFonts w:hint="eastAsia" w:ascii="宋体" w:hAnsi="宋体" w:cs="宋体"/>
          <w:color w:val="auto"/>
          <w:kern w:val="0"/>
          <w:sz w:val="24"/>
          <w:highlight w:val="none"/>
          <w:lang w:val="zh-CN"/>
        </w:rPr>
        <w:t>具备承</w:t>
      </w:r>
      <w:r>
        <w:rPr>
          <w:rFonts w:hint="eastAsia" w:ascii="宋体" w:hAnsi="宋体" w:cs="宋体"/>
          <w:color w:val="auto"/>
          <w:kern w:val="0"/>
          <w:sz w:val="24"/>
          <w:highlight w:val="none"/>
        </w:rPr>
        <w:t>担</w:t>
      </w:r>
      <w:r>
        <w:rPr>
          <w:rFonts w:hint="eastAsia" w:ascii="宋体" w:hAnsi="宋体" w:cs="宋体"/>
          <w:color w:val="auto"/>
          <w:kern w:val="0"/>
          <w:sz w:val="24"/>
          <w:highlight w:val="none"/>
          <w:u w:val="single"/>
          <w:lang w:val="zh-CN"/>
        </w:rPr>
        <w:t>XX工作内容</w:t>
      </w:r>
      <w:r>
        <w:rPr>
          <w:rFonts w:hint="eastAsia" w:ascii="宋体" w:hAnsi="宋体" w:cs="宋体"/>
          <w:color w:val="auto"/>
          <w:kern w:val="0"/>
          <w:sz w:val="24"/>
          <w:highlight w:val="none"/>
          <w:lang w:val="zh-CN"/>
        </w:rPr>
        <w:t>相应资质条件且不得再次分包；</w:t>
      </w:r>
    </w:p>
    <w:p w14:paraId="778CCBBD">
      <w:pPr>
        <w:pStyle w:val="5"/>
        <w:shd w:val="clear"/>
        <w:ind w:left="664" w:leftChars="316" w:firstLine="229" w:firstLineChars="95"/>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w:t>
      </w:r>
    </w:p>
    <w:p w14:paraId="5DA9DB99">
      <w:pPr>
        <w:shd w:val="clear"/>
        <w:rPr>
          <w:color w:val="auto"/>
          <w:highlight w:val="none"/>
        </w:rPr>
      </w:pPr>
      <w:r>
        <w:rPr>
          <w:rFonts w:hint="eastAsia"/>
          <w:color w:val="auto"/>
          <w:highlight w:val="none"/>
          <w:lang w:val="zh-CN"/>
        </w:rPr>
        <w:t xml:space="preserve"> </w:t>
      </w:r>
    </w:p>
    <w:p w14:paraId="784B9FD3">
      <w:pPr>
        <w:shd w:val="clea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二、分包供应商中小企业合同份额</w:t>
      </w:r>
    </w:p>
    <w:p w14:paraId="0CFDE08A">
      <w:pPr>
        <w:shd w:val="clear"/>
        <w:snapToGrid w:val="0"/>
        <w:spacing w:line="360" w:lineRule="auto"/>
        <w:ind w:firstLine="576"/>
        <w:rPr>
          <w:rFonts w:ascii="宋体" w:hAnsi="宋体" w:cs="宋体"/>
          <w:b/>
          <w:color w:val="auto"/>
          <w:kern w:val="0"/>
          <w:sz w:val="24"/>
          <w:highlight w:val="none"/>
          <w:lang w:val="zh-CN"/>
        </w:rPr>
      </w:pPr>
      <w:r>
        <w:rPr>
          <w:rFonts w:ascii="宋体" w:hAnsi="宋体" w:cs="宋体"/>
          <w:color w:val="auto"/>
          <w:kern w:val="0"/>
          <w:sz w:val="24"/>
          <w:highlight w:val="none"/>
        </w:rPr>
        <w:t>1、</w:t>
      </w:r>
      <w:r>
        <w:rPr>
          <w:rFonts w:hint="eastAsia" w:ascii="宋体" w:hAnsi="宋体" w:cs="宋体"/>
          <w:color w:val="auto"/>
          <w:kern w:val="0"/>
          <w:sz w:val="24"/>
          <w:highlight w:val="none"/>
          <w:u w:val="single"/>
        </w:rPr>
        <w:t>（分包供应商X</w:t>
      </w:r>
      <w:r>
        <w:rPr>
          <w:rFonts w:ascii="宋体" w:hAnsi="宋体" w:cs="宋体"/>
          <w:color w:val="auto"/>
          <w:kern w:val="0"/>
          <w:sz w:val="24"/>
          <w:highlight w:val="none"/>
          <w:u w:val="single"/>
        </w:rPr>
        <w:t>,</w:t>
      </w:r>
      <w:r>
        <w:rPr>
          <w:rFonts w:hint="eastAsia" w:ascii="宋体" w:hAnsi="宋体" w:cs="宋体"/>
          <w:color w:val="auto"/>
          <w:kern w:val="0"/>
          <w:sz w:val="24"/>
          <w:highlight w:val="none"/>
          <w:u w:val="single"/>
        </w:rPr>
        <w:t>……）提供的服务全部由小微企业承接，</w:t>
      </w:r>
      <w:r>
        <w:rPr>
          <w:rFonts w:hint="eastAsia" w:ascii="宋体" w:hAnsi="宋体" w:cs="宋体"/>
          <w:color w:val="auto"/>
          <w:kern w:val="0"/>
          <w:sz w:val="24"/>
          <w:highlight w:val="none"/>
        </w:rPr>
        <w:t>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highlight w:val="none"/>
        </w:rPr>
        <w:t>。</w:t>
      </w:r>
      <w:r>
        <w:rPr>
          <w:rFonts w:hint="eastAsia" w:ascii="宋体" w:hAnsi="宋体" w:cs="宋体"/>
          <w:b/>
          <w:color w:val="auto"/>
          <w:kern w:val="0"/>
          <w:sz w:val="24"/>
          <w:highlight w:val="none"/>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cs="宋体"/>
          <w:b/>
          <w:color w:val="auto"/>
          <w:sz w:val="24"/>
          <w:highlight w:val="none"/>
        </w:rPr>
        <w:t>拟享受以上价格扣除政策的，填写有关内容。</w:t>
      </w:r>
      <w:r>
        <w:rPr>
          <w:rFonts w:hint="eastAsia" w:ascii="宋体" w:hAnsi="宋体" w:cs="宋体"/>
          <w:b/>
          <w:color w:val="auto"/>
          <w:kern w:val="0"/>
          <w:sz w:val="24"/>
          <w:highlight w:val="none"/>
          <w:lang w:val="zh-CN"/>
        </w:rPr>
        <w:t>）</w:t>
      </w:r>
    </w:p>
    <w:p w14:paraId="47C25D35">
      <w:pPr>
        <w:shd w:val="clear"/>
        <w:spacing w:line="360" w:lineRule="auto"/>
        <w:ind w:firstLine="480" w:firstLineChars="200"/>
        <w:rPr>
          <w:rFonts w:ascii="宋体" w:hAnsi="宋体" w:cs="宋体"/>
          <w:b/>
          <w:bCs/>
          <w:color w:val="auto"/>
          <w:kern w:val="0"/>
          <w:sz w:val="24"/>
          <w:highlight w:val="none"/>
          <w:lang w:val="zh-CN"/>
        </w:rPr>
      </w:pPr>
      <w:r>
        <w:rPr>
          <w:rFonts w:hint="eastAsia" w:ascii="宋体" w:hAnsi="宋体" w:cs="宋体"/>
          <w:color w:val="auto"/>
          <w:sz w:val="24"/>
          <w:highlight w:val="none"/>
        </w:rPr>
        <w:t>2、中小企业合同金额达到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要求合同分包形式参加的项目或采购包，供应商按招标文件第一部分招标公告申请人的资格要求中规定的</w:t>
      </w:r>
      <w:r>
        <w:rPr>
          <w:rFonts w:hint="eastAsia" w:ascii="宋体" w:hAnsi="宋体" w:cs="宋体"/>
          <w:b/>
          <w:color w:val="auto"/>
          <w:kern w:val="0"/>
          <w:sz w:val="24"/>
          <w:highlight w:val="none"/>
          <w:lang w:val="zh-CN"/>
        </w:rPr>
        <w:t>分包意向协议</w:t>
      </w:r>
      <w:r>
        <w:rPr>
          <w:rFonts w:hint="eastAsia" w:ascii="宋体" w:hAnsi="宋体" w:cs="宋体"/>
          <w:b/>
          <w:bCs/>
          <w:color w:val="auto"/>
          <w:sz w:val="24"/>
          <w:highlight w:val="none"/>
        </w:rPr>
        <w:t>中中小企业、小微企业合同金额应当达到的比例要求填写。</w:t>
      </w:r>
      <w:r>
        <w:rPr>
          <w:rFonts w:hint="eastAsia" w:ascii="宋体" w:hAnsi="宋体" w:cs="宋体"/>
          <w:b/>
          <w:bCs/>
          <w:color w:val="auto"/>
          <w:kern w:val="0"/>
          <w:sz w:val="24"/>
          <w:highlight w:val="none"/>
          <w:lang w:val="zh-CN"/>
        </w:rPr>
        <w:t>）</w:t>
      </w:r>
    </w:p>
    <w:p w14:paraId="45EFAE5C">
      <w:pPr>
        <w:shd w:val="clea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三、分包工作履行期限、地点、方式</w:t>
      </w:r>
    </w:p>
    <w:p w14:paraId="6FD0C62B">
      <w:pPr>
        <w:shd w:val="clear"/>
        <w:snapToGrid w:val="0"/>
        <w:spacing w:line="360" w:lineRule="auto"/>
        <w:ind w:firstLine="576"/>
        <w:rPr>
          <w:rFonts w:ascii="宋体" w:hAnsi="宋体" w:cs="宋体"/>
          <w:color w:val="auto"/>
          <w:highlight w:val="none"/>
          <w:u w:val="single"/>
        </w:rPr>
      </w:pPr>
      <w:r>
        <w:rPr>
          <w:rFonts w:hint="eastAsia" w:ascii="宋体" w:hAnsi="宋体" w:cs="宋体"/>
          <w:color w:val="auto"/>
          <w:highlight w:val="none"/>
          <w:u w:val="single"/>
        </w:rPr>
        <w:t xml:space="preserve">                                                                                  </w:t>
      </w:r>
    </w:p>
    <w:p w14:paraId="760CEB2F">
      <w:pPr>
        <w:shd w:val="clea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四、质量</w:t>
      </w:r>
    </w:p>
    <w:p w14:paraId="505B757B">
      <w:pPr>
        <w:shd w:val="clea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443B4044">
      <w:pPr>
        <w:shd w:val="clea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五、价款或者报酬</w:t>
      </w:r>
    </w:p>
    <w:p w14:paraId="2C9272DB">
      <w:pPr>
        <w:shd w:val="clear"/>
        <w:snapToGrid w:val="0"/>
        <w:spacing w:line="360" w:lineRule="auto"/>
        <w:ind w:left="573" w:leftChars="273"/>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02815AAE">
      <w:pPr>
        <w:shd w:val="clear"/>
        <w:snapToGrid w:val="0"/>
        <w:spacing w:line="360" w:lineRule="auto"/>
        <w:ind w:left="573" w:leftChars="273"/>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六、违约责任</w:t>
      </w:r>
    </w:p>
    <w:p w14:paraId="06632A57">
      <w:pPr>
        <w:shd w:val="clea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4C9D177D">
      <w:pPr>
        <w:shd w:val="clea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七、争议解决的办法</w:t>
      </w:r>
    </w:p>
    <w:p w14:paraId="34548F18">
      <w:pPr>
        <w:shd w:val="clea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7BB0E3B3">
      <w:pPr>
        <w:shd w:val="clea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八、其他</w:t>
      </w:r>
    </w:p>
    <w:p w14:paraId="634341DA">
      <w:pPr>
        <w:shd w:val="clear"/>
        <w:snapToGrid w:val="0"/>
        <w:spacing w:line="360" w:lineRule="auto"/>
        <w:ind w:left="5758" w:leftChars="342" w:hanging="5040" w:hangingChars="2100"/>
        <w:rPr>
          <w:rFonts w:ascii="宋体" w:hAnsi="宋体" w:cs="宋体"/>
          <w:color w:val="auto"/>
          <w:kern w:val="0"/>
          <w:sz w:val="24"/>
          <w:highlight w:val="none"/>
          <w:lang w:val="zh-CN"/>
        </w:rPr>
      </w:pPr>
      <w:r>
        <w:rPr>
          <w:rFonts w:hint="eastAsia" w:ascii="宋体" w:hAnsi="宋体" w:cs="宋体"/>
          <w:color w:val="auto"/>
          <w:sz w:val="24"/>
          <w:highlight w:val="none"/>
        </w:rPr>
        <w:t>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 xml:space="preserve">  。                                           投标人名称（电子签名）：</w:t>
      </w:r>
    </w:p>
    <w:p w14:paraId="22402A6A">
      <w:pPr>
        <w:shd w:val="clear"/>
        <w:snapToGrid w:val="0"/>
        <w:spacing w:line="360" w:lineRule="auto"/>
        <w:jc w:val="righ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分包供应商名称（电子签名/公章）：</w:t>
      </w:r>
    </w:p>
    <w:p w14:paraId="7F7DEC8C">
      <w:pPr>
        <w:shd w:val="clear"/>
        <w:snapToGrid w:val="0"/>
        <w:spacing w:line="360" w:lineRule="auto"/>
        <w:ind w:firstLine="5760" w:firstLineChars="2400"/>
        <w:rPr>
          <w:rFonts w:ascii="宋体" w:hAnsi="宋体" w:cs="宋体"/>
          <w:color w:val="auto"/>
          <w:highlight w:val="none"/>
        </w:rPr>
      </w:pPr>
      <w:r>
        <w:rPr>
          <w:rFonts w:hint="eastAsia" w:ascii="宋体" w:hAnsi="宋体" w:cs="宋体"/>
          <w:color w:val="auto"/>
          <w:kern w:val="0"/>
          <w:sz w:val="24"/>
          <w:highlight w:val="none"/>
          <w:lang w:val="zh-CN"/>
        </w:rPr>
        <w:t>……</w:t>
      </w:r>
    </w:p>
    <w:p w14:paraId="777536B9">
      <w:pPr>
        <w:shd w:val="clear"/>
        <w:snapToGrid w:val="0"/>
        <w:spacing w:line="360" w:lineRule="auto"/>
        <w:ind w:left="5758" w:leftChars="342" w:hanging="5040" w:hanging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431C0540">
      <w:pPr>
        <w:shd w:val="clea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46303FE9">
      <w:pPr>
        <w:shd w:val="clear"/>
        <w:autoSpaceDE w:val="0"/>
        <w:autoSpaceDN w:val="0"/>
        <w:jc w:val="center"/>
        <w:rPr>
          <w:rFonts w:ascii="宋体" w:hAnsi="宋体" w:cs="宋体"/>
          <w:b/>
          <w:color w:val="auto"/>
          <w:spacing w:val="6"/>
          <w:sz w:val="32"/>
          <w:szCs w:val="32"/>
          <w:highlight w:val="none"/>
        </w:rPr>
      </w:pPr>
    </w:p>
    <w:p w14:paraId="734B28CE">
      <w:pPr>
        <w:shd w:val="clear"/>
        <w:autoSpaceDE w:val="0"/>
        <w:autoSpaceDN w:val="0"/>
        <w:jc w:val="center"/>
        <w:rPr>
          <w:rFonts w:ascii="宋体" w:hAnsi="宋体" w:cs="宋体"/>
          <w:b/>
          <w:color w:val="auto"/>
          <w:spacing w:val="6"/>
          <w:sz w:val="32"/>
          <w:szCs w:val="32"/>
          <w:highlight w:val="none"/>
        </w:rPr>
      </w:pPr>
    </w:p>
    <w:p w14:paraId="662EA1AC">
      <w:pPr>
        <w:shd w:val="clear"/>
        <w:autoSpaceDE w:val="0"/>
        <w:autoSpaceDN w:val="0"/>
        <w:jc w:val="center"/>
        <w:rPr>
          <w:rFonts w:ascii="宋体" w:hAnsi="宋体" w:cs="宋体"/>
          <w:b/>
          <w:color w:val="auto"/>
          <w:spacing w:val="6"/>
          <w:sz w:val="32"/>
          <w:szCs w:val="32"/>
          <w:highlight w:val="none"/>
        </w:rPr>
      </w:pPr>
    </w:p>
    <w:p w14:paraId="3B2F1807">
      <w:pPr>
        <w:shd w:val="clear"/>
        <w:autoSpaceDE w:val="0"/>
        <w:autoSpaceDN w:val="0"/>
        <w:jc w:val="center"/>
        <w:rPr>
          <w:rFonts w:ascii="宋体" w:hAnsi="宋体" w:cs="宋体"/>
          <w:b/>
          <w:color w:val="auto"/>
          <w:spacing w:val="6"/>
          <w:sz w:val="32"/>
          <w:szCs w:val="32"/>
          <w:highlight w:val="none"/>
        </w:rPr>
      </w:pPr>
    </w:p>
    <w:p w14:paraId="6731231A">
      <w:pPr>
        <w:shd w:val="clear"/>
        <w:autoSpaceDE w:val="0"/>
        <w:autoSpaceDN w:val="0"/>
        <w:jc w:val="center"/>
        <w:rPr>
          <w:rFonts w:ascii="宋体" w:hAnsi="宋体" w:cs="宋体"/>
          <w:b/>
          <w:color w:val="auto"/>
          <w:spacing w:val="6"/>
          <w:sz w:val="32"/>
          <w:szCs w:val="32"/>
          <w:highlight w:val="none"/>
        </w:rPr>
      </w:pPr>
    </w:p>
    <w:p w14:paraId="096712DA">
      <w:pPr>
        <w:shd w:val="clear"/>
        <w:autoSpaceDE w:val="0"/>
        <w:autoSpaceDN w:val="0"/>
        <w:jc w:val="center"/>
        <w:rPr>
          <w:rFonts w:ascii="宋体" w:hAnsi="宋体" w:cs="宋体"/>
          <w:b/>
          <w:color w:val="auto"/>
          <w:spacing w:val="6"/>
          <w:sz w:val="32"/>
          <w:szCs w:val="32"/>
          <w:highlight w:val="none"/>
        </w:rPr>
      </w:pPr>
    </w:p>
    <w:p w14:paraId="0A880687">
      <w:pPr>
        <w:shd w:val="clear"/>
        <w:autoSpaceDE w:val="0"/>
        <w:autoSpaceDN w:val="0"/>
        <w:jc w:val="center"/>
        <w:rPr>
          <w:rFonts w:ascii="宋体" w:hAnsi="宋体" w:cs="宋体"/>
          <w:b/>
          <w:color w:val="auto"/>
          <w:spacing w:val="6"/>
          <w:sz w:val="32"/>
          <w:szCs w:val="32"/>
          <w:highlight w:val="none"/>
        </w:rPr>
      </w:pPr>
    </w:p>
    <w:p w14:paraId="6ABAEBC3">
      <w:pPr>
        <w:shd w:val="clear"/>
        <w:autoSpaceDE w:val="0"/>
        <w:autoSpaceDN w:val="0"/>
        <w:jc w:val="center"/>
        <w:rPr>
          <w:rFonts w:ascii="宋体" w:hAnsi="宋体" w:cs="宋体"/>
          <w:b/>
          <w:color w:val="auto"/>
          <w:spacing w:val="6"/>
          <w:sz w:val="32"/>
          <w:szCs w:val="32"/>
          <w:highlight w:val="none"/>
        </w:rPr>
      </w:pPr>
    </w:p>
    <w:p w14:paraId="0E283EA5">
      <w:pPr>
        <w:shd w:val="clear"/>
        <w:autoSpaceDE w:val="0"/>
        <w:autoSpaceDN w:val="0"/>
        <w:jc w:val="center"/>
        <w:rPr>
          <w:rFonts w:ascii="宋体" w:hAnsi="宋体" w:cs="宋体"/>
          <w:b/>
          <w:color w:val="auto"/>
          <w:spacing w:val="6"/>
          <w:sz w:val="32"/>
          <w:szCs w:val="32"/>
          <w:highlight w:val="none"/>
        </w:rPr>
      </w:pPr>
    </w:p>
    <w:p w14:paraId="612D70FE">
      <w:pPr>
        <w:shd w:val="clear"/>
        <w:autoSpaceDE w:val="0"/>
        <w:autoSpaceDN w:val="0"/>
        <w:jc w:val="center"/>
        <w:rPr>
          <w:rFonts w:ascii="宋体" w:hAnsi="宋体" w:cs="宋体"/>
          <w:b/>
          <w:color w:val="auto"/>
          <w:spacing w:val="6"/>
          <w:sz w:val="32"/>
          <w:szCs w:val="32"/>
          <w:highlight w:val="none"/>
        </w:rPr>
      </w:pPr>
    </w:p>
    <w:p w14:paraId="3C7DCA3E">
      <w:pPr>
        <w:shd w:val="clear"/>
        <w:autoSpaceDE w:val="0"/>
        <w:autoSpaceDN w:val="0"/>
        <w:jc w:val="center"/>
        <w:rPr>
          <w:rFonts w:ascii="宋体" w:hAnsi="宋体" w:cs="宋体"/>
          <w:b/>
          <w:color w:val="auto"/>
          <w:spacing w:val="6"/>
          <w:sz w:val="32"/>
          <w:szCs w:val="32"/>
          <w:highlight w:val="none"/>
        </w:rPr>
      </w:pPr>
    </w:p>
    <w:p w14:paraId="00A61E03">
      <w:pPr>
        <w:shd w:val="clear"/>
        <w:autoSpaceDE w:val="0"/>
        <w:autoSpaceDN w:val="0"/>
        <w:jc w:val="center"/>
        <w:rPr>
          <w:rFonts w:ascii="宋体" w:hAnsi="宋体" w:cs="宋体"/>
          <w:b/>
          <w:color w:val="auto"/>
          <w:spacing w:val="6"/>
          <w:sz w:val="32"/>
          <w:szCs w:val="32"/>
          <w:highlight w:val="none"/>
        </w:rPr>
      </w:pPr>
    </w:p>
    <w:p w14:paraId="073EAB73">
      <w:pPr>
        <w:shd w:val="clear"/>
        <w:autoSpaceDE w:val="0"/>
        <w:autoSpaceDN w:val="0"/>
        <w:jc w:val="center"/>
        <w:rPr>
          <w:rFonts w:ascii="宋体" w:hAnsi="宋体" w:cs="宋体"/>
          <w:b/>
          <w:color w:val="auto"/>
          <w:spacing w:val="6"/>
          <w:sz w:val="32"/>
          <w:szCs w:val="32"/>
          <w:highlight w:val="none"/>
        </w:rPr>
      </w:pPr>
    </w:p>
    <w:p w14:paraId="2DF90C39">
      <w:pPr>
        <w:shd w:val="clear"/>
        <w:autoSpaceDE w:val="0"/>
        <w:autoSpaceDN w:val="0"/>
        <w:jc w:val="center"/>
        <w:rPr>
          <w:rFonts w:ascii="宋体" w:hAnsi="宋体" w:cs="宋体"/>
          <w:b/>
          <w:color w:val="auto"/>
          <w:spacing w:val="6"/>
          <w:sz w:val="32"/>
          <w:szCs w:val="32"/>
          <w:highlight w:val="none"/>
        </w:rPr>
      </w:pPr>
    </w:p>
    <w:p w14:paraId="3B750E73">
      <w:pPr>
        <w:shd w:val="clear"/>
        <w:autoSpaceDE w:val="0"/>
        <w:autoSpaceDN w:val="0"/>
        <w:jc w:val="center"/>
        <w:rPr>
          <w:rFonts w:ascii="宋体" w:hAnsi="宋体" w:cs="宋体"/>
          <w:b/>
          <w:color w:val="auto"/>
          <w:spacing w:val="6"/>
          <w:sz w:val="32"/>
          <w:szCs w:val="32"/>
          <w:highlight w:val="none"/>
        </w:rPr>
      </w:pPr>
    </w:p>
    <w:p w14:paraId="112AF1AB">
      <w:pPr>
        <w:shd w:val="clear"/>
        <w:autoSpaceDE w:val="0"/>
        <w:autoSpaceDN w:val="0"/>
        <w:jc w:val="center"/>
        <w:rPr>
          <w:rFonts w:ascii="宋体" w:hAnsi="宋体" w:cs="宋体"/>
          <w:b/>
          <w:color w:val="auto"/>
          <w:spacing w:val="6"/>
          <w:sz w:val="32"/>
          <w:szCs w:val="32"/>
          <w:highlight w:val="none"/>
        </w:rPr>
      </w:pPr>
    </w:p>
    <w:p w14:paraId="3277E148">
      <w:pPr>
        <w:shd w:val="clear"/>
        <w:autoSpaceDE w:val="0"/>
        <w:autoSpaceDN w:val="0"/>
        <w:jc w:val="center"/>
        <w:rPr>
          <w:rFonts w:ascii="宋体" w:hAnsi="宋体" w:cs="宋体"/>
          <w:b/>
          <w:color w:val="auto"/>
          <w:spacing w:val="6"/>
          <w:sz w:val="32"/>
          <w:szCs w:val="32"/>
          <w:highlight w:val="none"/>
        </w:rPr>
      </w:pPr>
    </w:p>
    <w:p w14:paraId="5D7F4A7C">
      <w:pPr>
        <w:shd w:val="clear"/>
        <w:autoSpaceDE w:val="0"/>
        <w:autoSpaceDN w:val="0"/>
        <w:jc w:val="center"/>
        <w:rPr>
          <w:rFonts w:ascii="宋体" w:hAnsi="宋体" w:cs="宋体"/>
          <w:b/>
          <w:color w:val="auto"/>
          <w:spacing w:val="6"/>
          <w:sz w:val="32"/>
          <w:szCs w:val="32"/>
          <w:highlight w:val="none"/>
        </w:rPr>
      </w:pPr>
    </w:p>
    <w:p w14:paraId="01F87B9D">
      <w:pPr>
        <w:shd w:val="clear"/>
        <w:autoSpaceDE w:val="0"/>
        <w:autoSpaceDN w:val="0"/>
        <w:jc w:val="center"/>
        <w:rPr>
          <w:rFonts w:ascii="宋体" w:hAnsi="宋体" w:cs="宋体"/>
          <w:b/>
          <w:color w:val="auto"/>
          <w:spacing w:val="6"/>
          <w:sz w:val="32"/>
          <w:szCs w:val="32"/>
          <w:highlight w:val="none"/>
        </w:rPr>
      </w:pPr>
    </w:p>
    <w:p w14:paraId="44F4FA93">
      <w:pPr>
        <w:shd w:val="clear"/>
        <w:autoSpaceDE w:val="0"/>
        <w:autoSpaceDN w:val="0"/>
        <w:jc w:val="center"/>
        <w:rPr>
          <w:rFonts w:ascii="宋体" w:hAnsi="宋体" w:cs="宋体"/>
          <w:b/>
          <w:color w:val="auto"/>
          <w:spacing w:val="6"/>
          <w:sz w:val="32"/>
          <w:szCs w:val="32"/>
          <w:highlight w:val="none"/>
        </w:rPr>
      </w:pPr>
    </w:p>
    <w:p w14:paraId="661CCB73">
      <w:pPr>
        <w:shd w:val="clear"/>
        <w:autoSpaceDE w:val="0"/>
        <w:autoSpaceDN w:val="0"/>
        <w:jc w:val="center"/>
        <w:rPr>
          <w:rFonts w:ascii="宋体" w:hAnsi="宋体" w:cs="宋体"/>
          <w:b/>
          <w:color w:val="auto"/>
          <w:spacing w:val="6"/>
          <w:sz w:val="32"/>
          <w:szCs w:val="32"/>
          <w:highlight w:val="none"/>
        </w:rPr>
      </w:pPr>
    </w:p>
    <w:p w14:paraId="6E101B75">
      <w:pPr>
        <w:shd w:val="clear"/>
        <w:autoSpaceDE w:val="0"/>
        <w:autoSpaceDN w:val="0"/>
        <w:jc w:val="center"/>
        <w:rPr>
          <w:rFonts w:ascii="宋体" w:hAnsi="宋体" w:cs="宋体"/>
          <w:b/>
          <w:color w:val="auto"/>
          <w:spacing w:val="6"/>
          <w:sz w:val="32"/>
          <w:szCs w:val="32"/>
          <w:highlight w:val="none"/>
        </w:rPr>
      </w:pPr>
    </w:p>
    <w:p w14:paraId="2CB65875">
      <w:pPr>
        <w:shd w:val="clear"/>
        <w:autoSpaceDE w:val="0"/>
        <w:autoSpaceDN w:val="0"/>
        <w:jc w:val="center"/>
        <w:rPr>
          <w:rFonts w:ascii="宋体" w:hAnsi="宋体" w:cs="宋体"/>
          <w:b/>
          <w:color w:val="auto"/>
          <w:spacing w:val="6"/>
          <w:sz w:val="32"/>
          <w:szCs w:val="32"/>
          <w:highlight w:val="none"/>
        </w:rPr>
      </w:pPr>
    </w:p>
    <w:p w14:paraId="30432E82">
      <w:pPr>
        <w:shd w:val="clear"/>
        <w:autoSpaceDE w:val="0"/>
        <w:autoSpaceDN w:val="0"/>
        <w:jc w:val="center"/>
        <w:rPr>
          <w:rFonts w:ascii="宋体" w:hAnsi="宋体" w:cs="宋体"/>
          <w:b/>
          <w:color w:val="auto"/>
          <w:spacing w:val="6"/>
          <w:sz w:val="32"/>
          <w:szCs w:val="32"/>
          <w:highlight w:val="none"/>
        </w:rPr>
      </w:pPr>
    </w:p>
    <w:p w14:paraId="028C827A">
      <w:pPr>
        <w:shd w:val="clear"/>
        <w:autoSpaceDE w:val="0"/>
        <w:autoSpaceDN w:val="0"/>
        <w:jc w:val="center"/>
        <w:rPr>
          <w:rFonts w:ascii="宋体" w:hAnsi="宋体" w:cs="宋体"/>
          <w:b/>
          <w:color w:val="auto"/>
          <w:spacing w:val="6"/>
          <w:sz w:val="32"/>
          <w:szCs w:val="32"/>
          <w:highlight w:val="none"/>
        </w:rPr>
      </w:pPr>
    </w:p>
    <w:p w14:paraId="241E64AF">
      <w:pPr>
        <w:shd w:val="clear"/>
        <w:autoSpaceDE w:val="0"/>
        <w:autoSpaceDN w:val="0"/>
        <w:jc w:val="center"/>
        <w:rPr>
          <w:rFonts w:ascii="宋体" w:hAnsi="宋体" w:cs="宋体"/>
          <w:b/>
          <w:color w:val="auto"/>
          <w:spacing w:val="6"/>
          <w:sz w:val="32"/>
          <w:szCs w:val="32"/>
          <w:highlight w:val="none"/>
        </w:rPr>
      </w:pPr>
    </w:p>
    <w:p w14:paraId="0C54ACA3">
      <w:pPr>
        <w:shd w:val="clear"/>
        <w:autoSpaceDE w:val="0"/>
        <w:autoSpaceDN w:val="0"/>
        <w:jc w:val="center"/>
        <w:rPr>
          <w:rFonts w:ascii="宋体" w:hAnsi="宋体" w:cs="宋体"/>
          <w:b/>
          <w:color w:val="auto"/>
          <w:spacing w:val="6"/>
          <w:sz w:val="32"/>
          <w:szCs w:val="32"/>
          <w:highlight w:val="none"/>
        </w:rPr>
      </w:pPr>
    </w:p>
    <w:p w14:paraId="6290A9FC">
      <w:pPr>
        <w:shd w:val="clear"/>
        <w:spacing w:line="360" w:lineRule="auto"/>
        <w:jc w:val="left"/>
        <w:outlineLvl w:val="0"/>
        <w:rPr>
          <w:rFonts w:ascii="宋体" w:hAnsi="宋体" w:cs="宋体"/>
          <w:b/>
          <w:color w:val="auto"/>
          <w:sz w:val="36"/>
          <w:szCs w:val="20"/>
          <w:highlight w:val="none"/>
        </w:rPr>
      </w:pPr>
      <w:r>
        <w:rPr>
          <w:rFonts w:hint="eastAsia" w:ascii="宋体" w:hAnsi="宋体" w:cs="宋体"/>
          <w:b/>
          <w:color w:val="auto"/>
          <w:sz w:val="36"/>
          <w:szCs w:val="20"/>
          <w:highlight w:val="none"/>
        </w:rPr>
        <w:t>附件</w:t>
      </w:r>
      <w:r>
        <w:rPr>
          <w:rFonts w:ascii="宋体" w:hAnsi="宋体" w:cs="宋体"/>
          <w:b/>
          <w:color w:val="auto"/>
          <w:sz w:val="36"/>
          <w:szCs w:val="20"/>
          <w:highlight w:val="none"/>
        </w:rPr>
        <w:t>7</w:t>
      </w:r>
      <w:r>
        <w:rPr>
          <w:rFonts w:hint="eastAsia" w:ascii="宋体" w:hAnsi="宋体" w:cs="宋体"/>
          <w:b/>
          <w:color w:val="auto"/>
          <w:sz w:val="36"/>
          <w:szCs w:val="20"/>
          <w:highlight w:val="none"/>
        </w:rPr>
        <w:t>：中小企业声明函</w:t>
      </w:r>
    </w:p>
    <w:p w14:paraId="7CBD4D9C">
      <w:pPr>
        <w:shd w:val="clear"/>
        <w:spacing w:line="360" w:lineRule="auto"/>
        <w:jc w:val="center"/>
        <w:rPr>
          <w:rFonts w:ascii="宋体" w:hAnsi="宋体" w:cs="宋体"/>
          <w:color w:val="auto"/>
          <w:sz w:val="24"/>
          <w:highlight w:val="none"/>
          <w:u w:val="single"/>
        </w:rPr>
      </w:pPr>
    </w:p>
    <w:p w14:paraId="769AFC07">
      <w:pPr>
        <w:shd w:val="clear"/>
        <w:spacing w:line="360" w:lineRule="auto"/>
        <w:jc w:val="center"/>
        <w:rPr>
          <w:rFonts w:ascii="宋体" w:hAnsi="宋体" w:cs="宋体"/>
          <w:b/>
          <w:color w:val="auto"/>
          <w:sz w:val="32"/>
          <w:szCs w:val="32"/>
          <w:highlight w:val="none"/>
        </w:rPr>
      </w:pPr>
      <w:r>
        <w:rPr>
          <w:rFonts w:hint="eastAsia" w:ascii="宋体" w:hAnsi="宋体" w:cs="宋体"/>
          <w:b/>
          <w:color w:val="auto"/>
          <w:sz w:val="32"/>
          <w:szCs w:val="32"/>
          <w:highlight w:val="none"/>
        </w:rPr>
        <w:t>中小企业声明函（服务）</w:t>
      </w:r>
    </w:p>
    <w:p w14:paraId="54461B4E">
      <w:pPr>
        <w:shd w:val="clear"/>
        <w:spacing w:line="360" w:lineRule="auto"/>
        <w:ind w:firstLine="360" w:firstLineChars="150"/>
        <w:jc w:val="left"/>
        <w:rPr>
          <w:rFonts w:ascii="宋体" w:hAnsi="宋体" w:cs="宋体"/>
          <w:color w:val="auto"/>
          <w:sz w:val="24"/>
          <w:highlight w:val="none"/>
        </w:rPr>
      </w:pPr>
      <w:r>
        <w:rPr>
          <w:rFonts w:hint="eastAsia" w:ascii="宋体" w:hAnsi="宋体" w:cs="宋体"/>
          <w:color w:val="auto"/>
          <w:sz w:val="24"/>
          <w:highlight w:val="none"/>
        </w:rPr>
        <w:t xml:space="preserve">本公司（联合体）郑重声明，根据《政府采购促进中小企业发展管理办法》（财库﹝2020﹞46 号）的规定，本公司（联合体）参加 </w:t>
      </w:r>
      <w:r>
        <w:rPr>
          <w:rFonts w:hint="eastAsia" w:ascii="宋体" w:hAnsi="宋体" w:cs="宋体"/>
          <w:color w:val="auto"/>
          <w:sz w:val="24"/>
          <w:highlight w:val="none"/>
          <w:u w:val="single"/>
          <w:lang w:eastAsia="zh-CN"/>
        </w:rPr>
        <w:t>宁波市海曙区机关事务管理局、</w:t>
      </w:r>
      <w:r>
        <w:rPr>
          <w:rFonts w:hint="eastAsia" w:ascii="宋体" w:hAnsi="宋体" w:cs="宋体"/>
          <w:color w:val="auto"/>
          <w:sz w:val="24"/>
          <w:highlight w:val="none"/>
          <w:u w:val="single"/>
          <w:lang w:val="en-US" w:eastAsia="zh-CN"/>
        </w:rPr>
        <w:t>宁波市海曙区人民政府鼓楼街道办事处</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的</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eastAsia="zh-CN"/>
        </w:rPr>
        <w:t>宁波市海曙区各集中管理办公区等食堂原材料采购项目（蔬果类）</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采购活动，工程的施工单位全部为符合政策要求的中小企业（或者：服务全部由符合政策要求的中小企业承接）。相关企业（含联合体中的中小企业、签订分包意向协议的中小企业）的具体情况如下：</w:t>
      </w:r>
    </w:p>
    <w:p w14:paraId="2D42C061">
      <w:pPr>
        <w:shd w:val="clea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highlight w:val="none"/>
        </w:rPr>
        <w:t xml:space="preserve"> </w:t>
      </w:r>
      <w:r>
        <w:rPr>
          <w:rFonts w:hint="eastAsia" w:ascii="宋体" w:hAnsi="宋体" w:cs="宋体"/>
          <w:color w:val="auto"/>
          <w:sz w:val="24"/>
          <w:highlight w:val="none"/>
          <w:u w:val="single"/>
        </w:rPr>
        <w:t>（</w:t>
      </w:r>
      <w:r>
        <w:rPr>
          <w:rFonts w:hint="eastAsia" w:ascii="宋体" w:hAnsi="宋体" w:cs="宋体"/>
          <w:b/>
          <w:bCs/>
          <w:color w:val="auto"/>
          <w:sz w:val="24"/>
          <w:highlight w:val="none"/>
          <w:u w:val="single"/>
        </w:rPr>
        <w:t>标的名称：</w:t>
      </w:r>
      <w:r>
        <w:rPr>
          <w:rFonts w:hint="eastAsia" w:ascii="宋体" w:hAnsi="宋体" w:cs="宋体"/>
          <w:b/>
          <w:bCs/>
          <w:color w:val="auto"/>
          <w:sz w:val="24"/>
          <w:highlight w:val="none"/>
          <w:u w:val="single"/>
          <w:lang w:val="en-US" w:eastAsia="zh-CN"/>
        </w:rPr>
        <w:t>标项1：蔬菜及豆制品类</w:t>
      </w:r>
      <w:r>
        <w:rPr>
          <w:rFonts w:hint="eastAsia" w:ascii="宋体" w:hAnsi="宋体" w:eastAsia="宋体" w:cs="宋体"/>
          <w:b/>
          <w:bCs/>
          <w:color w:val="auto"/>
          <w:kern w:val="0"/>
          <w:sz w:val="24"/>
          <w:highlight w:val="none"/>
          <w:u w:val="single"/>
          <w:lang w:val="en-US" w:eastAsia="zh-CN"/>
        </w:rPr>
        <w:t>/</w:t>
      </w:r>
      <w:r>
        <w:rPr>
          <w:rFonts w:hint="eastAsia" w:ascii="宋体" w:hAnsi="宋体" w:cs="宋体"/>
          <w:b/>
          <w:bCs/>
          <w:color w:val="auto"/>
          <w:sz w:val="24"/>
          <w:highlight w:val="none"/>
          <w:u w:val="single"/>
          <w:lang w:val="en-US" w:eastAsia="zh-CN"/>
        </w:rPr>
        <w:t>标项2：水果类</w:t>
      </w:r>
      <w:r>
        <w:rPr>
          <w:rFonts w:hint="eastAsia" w:ascii="宋体" w:hAnsi="宋体" w:eastAsia="宋体" w:cs="宋体"/>
          <w:b/>
          <w:bCs/>
          <w:color w:val="auto"/>
          <w:kern w:val="0"/>
          <w:sz w:val="24"/>
          <w:highlight w:val="none"/>
          <w:u w:val="single"/>
          <w:lang w:val="en-US" w:eastAsia="zh-CN"/>
        </w:rPr>
        <w:t>/</w:t>
      </w:r>
      <w:r>
        <w:rPr>
          <w:rFonts w:hint="eastAsia" w:ascii="宋体" w:hAnsi="宋体" w:cs="宋体"/>
          <w:b/>
          <w:bCs/>
          <w:color w:val="auto"/>
          <w:sz w:val="24"/>
          <w:highlight w:val="none"/>
          <w:u w:val="single"/>
          <w:lang w:val="en-US" w:eastAsia="zh-CN"/>
        </w:rPr>
        <w:t>标项3：其他杂项类</w:t>
      </w:r>
      <w:r>
        <w:rPr>
          <w:rFonts w:hint="eastAsia" w:ascii="宋体" w:hAnsi="宋体" w:eastAsia="宋体" w:cs="宋体"/>
          <w:b/>
          <w:bCs/>
          <w:color w:val="auto"/>
          <w:kern w:val="0"/>
          <w:sz w:val="24"/>
          <w:highlight w:val="none"/>
          <w:u w:val="single"/>
          <w:lang w:val="en-US" w:eastAsia="zh-CN"/>
        </w:rPr>
        <w:t>，由供应商根据所参与标项自行调整</w:t>
      </w:r>
      <w:r>
        <w:rPr>
          <w:rFonts w:hint="eastAsia" w:ascii="宋体" w:hAnsi="宋体" w:cs="宋体"/>
          <w:color w:val="auto"/>
          <w:sz w:val="24"/>
          <w:highlight w:val="none"/>
          <w:u w:val="single"/>
        </w:rPr>
        <w:t>）</w:t>
      </w:r>
      <w:r>
        <w:rPr>
          <w:rFonts w:hint="eastAsia" w:ascii="宋体" w:hAnsi="宋体" w:cs="宋体"/>
          <w:color w:val="auto"/>
          <w:sz w:val="24"/>
          <w:highlight w:val="none"/>
        </w:rPr>
        <w:t>，属于</w:t>
      </w:r>
      <w:r>
        <w:rPr>
          <w:rFonts w:hint="eastAsia" w:ascii="宋体" w:hAnsi="宋体" w:cs="宋体"/>
          <w:color w:val="auto"/>
          <w:sz w:val="24"/>
          <w:highlight w:val="none"/>
          <w:u w:val="single"/>
        </w:rPr>
        <w:t xml:space="preserve"> （采购文件中明确的所属行业</w:t>
      </w:r>
      <w:r>
        <w:rPr>
          <w:rFonts w:hint="eastAsia" w:ascii="宋体" w:hAnsi="宋体" w:cs="宋体"/>
          <w:color w:val="auto"/>
          <w:sz w:val="24"/>
          <w:highlight w:val="none"/>
          <w:u w:val="single"/>
          <w:lang w:eastAsia="zh-CN"/>
        </w:rPr>
        <w:t>：批发业</w:t>
      </w:r>
      <w:r>
        <w:rPr>
          <w:rFonts w:hint="eastAsia" w:ascii="宋体" w:hAnsi="宋体" w:cs="宋体"/>
          <w:color w:val="auto"/>
          <w:sz w:val="24"/>
          <w:highlight w:val="none"/>
          <w:u w:val="single"/>
        </w:rPr>
        <w:t>）</w:t>
      </w:r>
      <w:r>
        <w:rPr>
          <w:rFonts w:hint="eastAsia" w:ascii="宋体" w:hAnsi="宋体" w:cs="宋体"/>
          <w:color w:val="auto"/>
          <w:sz w:val="24"/>
          <w:highlight w:val="none"/>
        </w:rPr>
        <w:t xml:space="preserve"> ；承建（承接）企业为 </w:t>
      </w:r>
      <w:r>
        <w:rPr>
          <w:rFonts w:hint="eastAsia" w:ascii="宋体" w:hAnsi="宋体" w:cs="宋体"/>
          <w:color w:val="auto"/>
          <w:sz w:val="24"/>
          <w:highlight w:val="none"/>
          <w:u w:val="single"/>
        </w:rPr>
        <w:t>（企业名称）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w:t>
      </w:r>
      <w:r>
        <w:rPr>
          <w:rFonts w:hint="eastAsia" w:ascii="宋体" w:hAnsi="宋体" w:cs="宋体"/>
          <w:color w:val="auto"/>
          <w:sz w:val="24"/>
          <w:highlight w:val="none"/>
          <w:lang w:eastAsia="zh-CN"/>
        </w:rPr>
        <w:t>，</w:t>
      </w:r>
      <w:r>
        <w:rPr>
          <w:rFonts w:hint="eastAsia" w:ascii="宋体" w:hAnsi="宋体" w:cs="宋体"/>
          <w:color w:val="auto"/>
          <w:sz w:val="24"/>
          <w:highlight w:val="none"/>
        </w:rPr>
        <w:t>属于</w:t>
      </w:r>
      <w:r>
        <w:rPr>
          <w:rFonts w:hint="eastAsia" w:ascii="宋体" w:hAnsi="宋体" w:cs="宋体"/>
          <w:color w:val="auto"/>
          <w:sz w:val="24"/>
          <w:highlight w:val="none"/>
          <w:u w:val="single"/>
        </w:rPr>
        <w:t xml:space="preserve"> （中型企业、小型企业、微型企业） </w:t>
      </w:r>
      <w:r>
        <w:rPr>
          <w:rFonts w:hint="eastAsia" w:ascii="宋体" w:hAnsi="宋体" w:cs="宋体"/>
          <w:color w:val="auto"/>
          <w:sz w:val="24"/>
          <w:highlight w:val="none"/>
        </w:rPr>
        <w:t>；</w:t>
      </w:r>
    </w:p>
    <w:p w14:paraId="5FC10B9C">
      <w:pPr>
        <w:shd w:val="clea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u w:val="single"/>
        </w:rPr>
        <w:t xml:space="preserve"> （</w:t>
      </w:r>
      <w:r>
        <w:rPr>
          <w:rFonts w:hint="eastAsia" w:ascii="宋体" w:hAnsi="宋体" w:cs="宋体"/>
          <w:b/>
          <w:bCs/>
          <w:color w:val="auto"/>
          <w:sz w:val="24"/>
          <w:highlight w:val="none"/>
          <w:u w:val="single"/>
        </w:rPr>
        <w:t>标的名称：</w:t>
      </w:r>
      <w:r>
        <w:rPr>
          <w:rFonts w:hint="eastAsia" w:ascii="宋体" w:hAnsi="宋体" w:cs="宋体"/>
          <w:b/>
          <w:bCs/>
          <w:color w:val="auto"/>
          <w:sz w:val="24"/>
          <w:highlight w:val="none"/>
          <w:u w:val="single"/>
          <w:lang w:val="en-US" w:eastAsia="zh-CN"/>
        </w:rPr>
        <w:t>标项1：蔬菜及豆制品类/标项2：水果类/标项3：其他杂项类，由供应商根据所参与标项自行调整</w:t>
      </w:r>
      <w:r>
        <w:rPr>
          <w:rFonts w:hint="eastAsia" w:ascii="宋体" w:hAnsi="宋体" w:cs="宋体"/>
          <w:color w:val="auto"/>
          <w:sz w:val="24"/>
          <w:highlight w:val="none"/>
          <w:u w:val="single"/>
        </w:rPr>
        <w:t>），</w:t>
      </w:r>
      <w:r>
        <w:rPr>
          <w:rFonts w:hint="eastAsia" w:ascii="宋体" w:hAnsi="宋体" w:cs="宋体"/>
          <w:color w:val="auto"/>
          <w:sz w:val="24"/>
          <w:highlight w:val="none"/>
        </w:rPr>
        <w:t xml:space="preserve">属于 </w:t>
      </w:r>
      <w:r>
        <w:rPr>
          <w:rFonts w:hint="eastAsia" w:ascii="宋体" w:hAnsi="宋体" w:cs="宋体"/>
          <w:color w:val="auto"/>
          <w:sz w:val="24"/>
          <w:highlight w:val="none"/>
          <w:u w:val="single"/>
        </w:rPr>
        <w:t>（采购文件中明确的所属行业</w:t>
      </w:r>
      <w:r>
        <w:rPr>
          <w:rFonts w:hint="eastAsia" w:ascii="宋体" w:hAnsi="宋体" w:cs="宋体"/>
          <w:color w:val="auto"/>
          <w:sz w:val="24"/>
          <w:highlight w:val="none"/>
          <w:u w:val="single"/>
          <w:lang w:eastAsia="zh-CN"/>
        </w:rPr>
        <w:t>：批发业</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xml:space="preserve">；承建（承接）企业为 </w:t>
      </w:r>
      <w:r>
        <w:rPr>
          <w:rFonts w:hint="eastAsia" w:ascii="宋体" w:hAnsi="宋体" w:cs="宋体"/>
          <w:color w:val="auto"/>
          <w:sz w:val="24"/>
          <w:highlight w:val="none"/>
          <w:u w:val="single"/>
        </w:rPr>
        <w:t>（企业名称）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w:t>
      </w:r>
      <w:r>
        <w:rPr>
          <w:rFonts w:hint="eastAsia" w:ascii="宋体" w:hAnsi="宋体" w:cs="宋体"/>
          <w:color w:val="auto"/>
          <w:sz w:val="24"/>
          <w:highlight w:val="none"/>
          <w:lang w:eastAsia="zh-CN"/>
        </w:rPr>
        <w:t>，</w:t>
      </w:r>
      <w:r>
        <w:rPr>
          <w:rFonts w:hint="eastAsia" w:ascii="宋体" w:hAnsi="宋体" w:cs="宋体"/>
          <w:color w:val="auto"/>
          <w:sz w:val="24"/>
          <w:highlight w:val="none"/>
        </w:rPr>
        <w:t>属于</w:t>
      </w:r>
      <w:r>
        <w:rPr>
          <w:rFonts w:hint="eastAsia" w:ascii="宋体" w:hAnsi="宋体" w:cs="宋体"/>
          <w:color w:val="auto"/>
          <w:sz w:val="24"/>
          <w:highlight w:val="none"/>
          <w:u w:val="single"/>
        </w:rPr>
        <w:t xml:space="preserve"> （中型企业、小型企业、微型企业） </w:t>
      </w:r>
      <w:r>
        <w:rPr>
          <w:rFonts w:hint="eastAsia" w:ascii="宋体" w:hAnsi="宋体" w:cs="宋体"/>
          <w:color w:val="auto"/>
          <w:sz w:val="24"/>
          <w:highlight w:val="none"/>
        </w:rPr>
        <w:t>；</w:t>
      </w:r>
    </w:p>
    <w:p w14:paraId="6C6B7C29">
      <w:pPr>
        <w:shd w:val="clea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w:t>
      </w:r>
    </w:p>
    <w:p w14:paraId="10ACBFAC">
      <w:pPr>
        <w:shd w:val="clea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以上企业，不属于大企业的分支机构，不存在控股股东为大企业的情形，也不存在与大企业的负责人为同一人的情形。</w:t>
      </w:r>
    </w:p>
    <w:p w14:paraId="71B9EAD6">
      <w:pPr>
        <w:shd w:val="clea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本企业对上述声明内容的真实性负责。如有虚假，将依法承担相应责任。</w:t>
      </w:r>
    </w:p>
    <w:p w14:paraId="25BFA8E9">
      <w:pPr>
        <w:shd w:val="clear"/>
        <w:spacing w:line="360" w:lineRule="auto"/>
        <w:ind w:right="1760"/>
        <w:jc w:val="right"/>
        <w:rPr>
          <w:rFonts w:ascii="宋体" w:hAnsi="宋体" w:cs="宋体"/>
          <w:color w:val="auto"/>
          <w:sz w:val="24"/>
          <w:highlight w:val="none"/>
        </w:rPr>
      </w:pPr>
      <w:r>
        <w:rPr>
          <w:rFonts w:hint="eastAsia" w:ascii="宋体" w:hAnsi="宋体" w:cs="宋体"/>
          <w:color w:val="auto"/>
          <w:sz w:val="24"/>
          <w:highlight w:val="none"/>
        </w:rPr>
        <w:t>投标人名称（电子签名）：</w:t>
      </w:r>
    </w:p>
    <w:p w14:paraId="2F697060">
      <w:pPr>
        <w:shd w:val="clear"/>
        <w:spacing w:line="360" w:lineRule="auto"/>
        <w:ind w:right="1120" w:firstLine="4680" w:firstLineChars="1950"/>
        <w:rPr>
          <w:rFonts w:ascii="宋体" w:hAnsi="宋体" w:cs="宋体"/>
          <w:color w:val="auto"/>
          <w:sz w:val="24"/>
          <w:highlight w:val="none"/>
        </w:rPr>
      </w:pPr>
      <w:r>
        <w:rPr>
          <w:rFonts w:hint="eastAsia" w:ascii="宋体" w:hAnsi="宋体" w:cs="宋体"/>
          <w:color w:val="auto"/>
          <w:sz w:val="24"/>
          <w:highlight w:val="none"/>
        </w:rPr>
        <w:t>日 期：</w:t>
      </w:r>
    </w:p>
    <w:p w14:paraId="2CC11638">
      <w:pPr>
        <w:shd w:val="clear"/>
        <w:spacing w:line="360" w:lineRule="auto"/>
        <w:ind w:firstLine="310" w:firstLineChars="147"/>
        <w:jc w:val="left"/>
        <w:rPr>
          <w:rFonts w:ascii="宋体" w:hAnsi="宋体" w:cs="宋体"/>
          <w:b/>
          <w:color w:val="auto"/>
          <w:szCs w:val="21"/>
          <w:highlight w:val="none"/>
        </w:rPr>
      </w:pPr>
      <w:r>
        <w:rPr>
          <w:rFonts w:hint="eastAsia" w:ascii="宋体" w:hAnsi="宋体" w:cs="宋体"/>
          <w:b/>
          <w:color w:val="auto"/>
          <w:szCs w:val="21"/>
          <w:highlight w:val="none"/>
        </w:rPr>
        <w:t>从业人员、营业收入、资产总额填报上一年度数据，无上一年度数据的新成立企业可不填报。</w:t>
      </w:r>
    </w:p>
    <w:p w14:paraId="407D3DBB">
      <w:pPr>
        <w:shd w:val="clear"/>
        <w:spacing w:line="360" w:lineRule="auto"/>
        <w:ind w:right="420"/>
        <w:rPr>
          <w:rFonts w:ascii="宋体" w:hAnsi="宋体" w:cs="宋体"/>
          <w:color w:val="auto"/>
          <w:sz w:val="24"/>
          <w:highlight w:val="none"/>
        </w:rPr>
      </w:pPr>
    </w:p>
    <w:p w14:paraId="38A69EDA">
      <w:pPr>
        <w:shd w:val="clear"/>
        <w:spacing w:line="360" w:lineRule="auto"/>
        <w:ind w:right="420"/>
        <w:rPr>
          <w:rFonts w:ascii="宋体" w:hAnsi="宋体" w:cs="宋体"/>
          <w:color w:val="auto"/>
          <w:sz w:val="24"/>
          <w:highlight w:val="none"/>
        </w:rPr>
      </w:pPr>
      <w:r>
        <w:rPr>
          <w:rFonts w:hint="eastAsia" w:ascii="宋体" w:hAnsi="宋体" w:cs="宋体"/>
          <w:color w:val="auto"/>
          <w:sz w:val="24"/>
          <w:highlight w:val="none"/>
        </w:rPr>
        <w:t xml:space="preserve">   注：</w:t>
      </w:r>
    </w:p>
    <w:p w14:paraId="2F7A7B5A">
      <w:pPr>
        <w:shd w:val="clear"/>
        <w:spacing w:line="360" w:lineRule="auto"/>
        <w:ind w:right="420" w:firstLine="480" w:firstLineChars="200"/>
        <w:rPr>
          <w:rFonts w:ascii="宋体" w:hAnsi="宋体" w:cs="宋体"/>
          <w:color w:val="auto"/>
          <w:sz w:val="24"/>
          <w:highlight w:val="none"/>
        </w:rPr>
      </w:pPr>
      <w:r>
        <w:rPr>
          <w:rFonts w:hint="eastAsia" w:ascii="宋体" w:hAnsi="宋体" w:cs="宋体"/>
          <w:color w:val="auto"/>
          <w:sz w:val="24"/>
          <w:highlight w:val="none"/>
        </w:rPr>
        <w:t>1、填写要求：①“标的名称</w:t>
      </w:r>
      <w:r>
        <w:rPr>
          <w:rFonts w:hint="eastAsia" w:ascii="宋体" w:hAnsi="宋体" w:cs="宋体"/>
          <w:color w:val="auto"/>
          <w:sz w:val="24"/>
          <w:highlight w:val="none"/>
          <w:lang w:eastAsia="zh-CN"/>
        </w:rPr>
        <w:t>”“</w:t>
      </w:r>
      <w:r>
        <w:rPr>
          <w:rFonts w:hint="eastAsia" w:ascii="宋体" w:hAnsi="宋体" w:cs="宋体"/>
          <w:color w:val="auto"/>
          <w:sz w:val="24"/>
          <w:highlight w:val="none"/>
        </w:rPr>
        <w:t>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声明内容不实的，属于提供虚假材料谋取中标、成交的，依法承担法律责任。</w:t>
      </w:r>
    </w:p>
    <w:p w14:paraId="67160D59">
      <w:pPr>
        <w:shd w:val="clear"/>
        <w:spacing w:line="360" w:lineRule="auto"/>
        <w:ind w:right="420" w:firstLine="720" w:firstLineChars="300"/>
        <w:rPr>
          <w:rFonts w:hint="eastAsia" w:ascii="宋体" w:hAnsi="宋体" w:cs="宋体"/>
          <w:color w:val="auto"/>
          <w:sz w:val="24"/>
          <w:highlight w:val="none"/>
        </w:rPr>
      </w:pPr>
      <w:r>
        <w:rPr>
          <w:rFonts w:hint="eastAsia" w:ascii="宋体" w:hAnsi="宋体" w:cs="宋体"/>
          <w:color w:val="auto"/>
          <w:sz w:val="24"/>
          <w:highlight w:val="none"/>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03BAE2EF">
      <w:pPr>
        <w:shd w:val="clear"/>
        <w:spacing w:line="360" w:lineRule="auto"/>
        <w:ind w:right="420" w:firstLine="720" w:firstLineChars="300"/>
        <w:rPr>
          <w:rFonts w:hint="eastAsia"/>
          <w:color w:val="auto"/>
          <w:highlight w:val="none"/>
        </w:rPr>
      </w:pPr>
      <w:r>
        <w:rPr>
          <w:rFonts w:hint="eastAsia" w:ascii="宋体" w:hAnsi="宋体" w:cs="宋体"/>
          <w:color w:val="auto"/>
          <w:sz w:val="24"/>
          <w:highlight w:val="none"/>
          <w:lang w:val="en-US" w:eastAsia="zh-CN"/>
        </w:rPr>
        <w:t>3、本采购文件中明确的所属行业为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184E6BB6">
      <w:pPr>
        <w:pStyle w:val="25"/>
        <w:shd w:val="clear"/>
        <w:rPr>
          <w:color w:val="auto"/>
          <w:highlight w:val="none"/>
        </w:rPr>
      </w:pPr>
    </w:p>
    <w:p w14:paraId="6C9C251B">
      <w:pPr>
        <w:pStyle w:val="5"/>
        <w:shd w:val="clear"/>
        <w:rPr>
          <w:rFonts w:ascii="宋体" w:hAnsi="宋体" w:eastAsia="宋体" w:cs="宋体"/>
          <w:color w:val="auto"/>
          <w:highlight w:val="none"/>
          <w:lang w:val="en-US"/>
        </w:rPr>
      </w:pPr>
    </w:p>
    <w:p w14:paraId="4F01AC2D">
      <w:pPr>
        <w:shd w:val="clear"/>
        <w:spacing w:line="360" w:lineRule="auto"/>
        <w:ind w:right="420"/>
        <w:rPr>
          <w:rFonts w:ascii="宋体" w:hAnsi="宋体" w:cs="宋体"/>
          <w:color w:val="auto"/>
          <w:highlight w:val="none"/>
        </w:rPr>
      </w:pPr>
    </w:p>
    <w:p w14:paraId="6F55103B">
      <w:pPr>
        <w:shd w:val="clear"/>
        <w:spacing w:line="360" w:lineRule="auto"/>
        <w:rPr>
          <w:rFonts w:ascii="宋体" w:hAnsi="宋体" w:cs="宋体"/>
          <w:bCs/>
          <w:color w:val="auto"/>
          <w:sz w:val="24"/>
          <w:highlight w:val="none"/>
        </w:rPr>
      </w:pPr>
    </w:p>
    <w:sectPr>
      <w:headerReference r:id="rId21" w:type="first"/>
      <w:footerReference r:id="rId24" w:type="first"/>
      <w:headerReference r:id="rId20" w:type="default"/>
      <w:footerReference r:id="rId22" w:type="default"/>
      <w:footerReference r:id="rId23" w:type="even"/>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34"/>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itka Text"/>
    <w:panose1 w:val="020B0500000000000000"/>
    <w:charset w:val="00"/>
    <w:family w:val="swiss"/>
    <w:pitch w:val="default"/>
    <w:sig w:usb0="00000000" w:usb1="00000000" w:usb2="00000000" w:usb3="00000000" w:csb0="00000001" w:csb1="00000000"/>
  </w:font>
  <w:font w:name="Sitka Text">
    <w:panose1 w:val="02000505000000020004"/>
    <w:charset w:val="00"/>
    <w:family w:val="auto"/>
    <w:pitch w:val="default"/>
    <w:sig w:usb0="A00002EF" w:usb1="4000204B" w:usb2="00000000" w:usb3="00000000" w:csb0="2000019F" w:csb1="00000000"/>
  </w:font>
  <w:font w:name="Lucida Sans">
    <w:panose1 w:val="020B0602030504020204"/>
    <w:charset w:val="00"/>
    <w:family w:val="swiss"/>
    <w:pitch w:val="default"/>
    <w:sig w:usb0="00000003" w:usb1="00000000" w:usb2="00000000" w:usb3="00000000" w:csb0="2000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603F01FF" w:csb1="FFFF0000"/>
  </w:font>
  <w:font w:name="Helvetica">
    <w:altName w:val="Arial"/>
    <w:panose1 w:val="020B0604020202020204"/>
    <w:charset w:val="00"/>
    <w:family w:val="swiss"/>
    <w:pitch w:val="default"/>
    <w:sig w:usb0="00000000" w:usb1="00000000" w:usb2="00000000" w:usb3="00000000" w:csb0="00000000"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UI Semilight"/>
    <w:panose1 w:val="02000400000000000000"/>
    <w:charset w:val="01"/>
    <w:family w:val="roman"/>
    <w:pitch w:val="default"/>
    <w:sig w:usb0="00000000" w:usb1="00000000" w:usb2="00000000" w:usb3="00000000" w:csb0="00000000" w:csb1="00000000"/>
  </w:font>
  <w:font w:name="Segoe UI Semilight">
    <w:panose1 w:val="020B0402040204020203"/>
    <w:charset w:val="00"/>
    <w:family w:val="auto"/>
    <w:pitch w:val="default"/>
    <w:sig w:usb0="E4002EFF" w:usb1="C000E47F" w:usb2="00000009" w:usb3="00000000" w:csb0="200001FF"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Lucida Sans Unicode">
    <w:panose1 w:val="020B0602030504020204"/>
    <w:charset w:val="00"/>
    <w:family w:val="swiss"/>
    <w:pitch w:val="default"/>
    <w:sig w:usb0="80001AFF" w:usb1="0000396B" w:usb2="00000000" w:usb3="00000000" w:csb0="200000BF" w:csb1="D7F7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微软雅黑"/>
    <w:panose1 w:val="00000000000000000000"/>
    <w:charset w:val="00"/>
    <w:family w:val="modern"/>
    <w:pitch w:val="default"/>
    <w:sig w:usb0="00000000" w:usb1="00000000" w:usb2="00000000" w:usb3="00000000" w:csb0="00040001" w:csb1="00000000"/>
  </w:font>
  <w:font w:name="Segoe UI Symbol">
    <w:panose1 w:val="020B0502040204020203"/>
    <w:charset w:val="00"/>
    <w:family w:val="swiss"/>
    <w:pitch w:val="default"/>
    <w:sig w:usb0="800001E3" w:usb1="1200FFEF" w:usb2="00040000" w:usb3="04000000" w:csb0="00000001" w:csb1="40000000"/>
  </w:font>
  <w:font w:name="MS Gothic">
    <w:panose1 w:val="020B0609070205080204"/>
    <w:charset w:val="80"/>
    <w:family w:val="modern"/>
    <w:pitch w:val="default"/>
    <w:sig w:usb0="E00002FF" w:usb1="6AC7FDFB" w:usb2="08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CE930B">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5B40EE">
    <w:pPr>
      <w:pStyle w:val="41"/>
      <w:framePr w:wrap="around" w:vAnchor="text" w:hAnchor="margin" w:xAlign="right" w:y="1"/>
      <w:rPr>
        <w:rStyle w:val="73"/>
      </w:rPr>
    </w:pPr>
    <w:r>
      <w:fldChar w:fldCharType="begin"/>
    </w:r>
    <w:r>
      <w:rPr>
        <w:rStyle w:val="73"/>
      </w:rPr>
      <w:instrText xml:space="preserve">PAGE  </w:instrText>
    </w:r>
    <w:r>
      <w:fldChar w:fldCharType="end"/>
    </w:r>
  </w:p>
  <w:p w14:paraId="409514C1">
    <w:pPr>
      <w:pStyle w:val="41"/>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49A073">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656D4C">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3F98A3A0">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AFF166">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118685FF">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BDFAB6">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76E4F74B">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FED046">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77BC4F93">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649BD4">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24B73960">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23AE20">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11452381">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1E752A">
    <w:pPr>
      <w:pStyle w:val="41"/>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DE7A56">
    <w:pPr>
      <w:pStyle w:val="41"/>
      <w:framePr w:wrap="around" w:vAnchor="text" w:hAnchor="margin" w:xAlign="right" w:y="1"/>
      <w:rPr>
        <w:rStyle w:val="73"/>
      </w:rPr>
    </w:pPr>
    <w:r>
      <w:fldChar w:fldCharType="begin"/>
    </w:r>
    <w:r>
      <w:rPr>
        <w:rStyle w:val="73"/>
      </w:rPr>
      <w:instrText xml:space="preserve">PAGE  </w:instrText>
    </w:r>
    <w:r>
      <w:fldChar w:fldCharType="end"/>
    </w:r>
  </w:p>
  <w:p w14:paraId="57DD98DC">
    <w:pPr>
      <w:pStyle w:val="41"/>
      <w:ind w:right="360"/>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306D7B">
    <w:pPr>
      <w:pStyle w:val="41"/>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bookmarkStart w:id="516" w:name="_Toc131845147"/>
    <w:bookmarkStart w:id="517" w:name="_Toc91899912"/>
    <w:bookmarkStart w:id="518" w:name="_Toc36110187"/>
    <w:bookmarkStart w:id="519" w:name="_Toc164085800"/>
    <w:r>
      <w:rPr>
        <w:rFonts w:hint="eastAsia" w:ascii="仿宋_GB2312" w:eastAsia="仿宋_GB2312"/>
        <w:kern w:val="0"/>
        <w:szCs w:val="21"/>
      </w:rPr>
      <w:t xml:space="preserve"> 页</w:t>
    </w:r>
    <w:bookmarkEnd w:id="516"/>
    <w:bookmarkEnd w:id="517"/>
    <w:bookmarkEnd w:id="518"/>
    <w:bookmarkEnd w:id="519"/>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370699">
    <w:pPr>
      <w:pStyle w:val="42"/>
      <w:pBdr>
        <w:bottom w:val="single" w:color="auto" w:sz="6" w:space="4"/>
      </w:pBdr>
      <w:jc w:val="right"/>
    </w:pPr>
    <w:r>
      <w:t></w:t>
    </w:r>
    <w:r>
      <w:rPr>
        <w:rFonts w:hint="eastAsia"/>
      </w:rPr>
      <w:t xml:space="preserve">             </w:t>
    </w:r>
    <w:r>
      <w:t>政府采购公开招标文件</w:t>
    </w:r>
  </w:p>
  <w:p w14:paraId="775623A9">
    <w:pPr>
      <w:pStyle w:val="60"/>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8D7DDA">
    <w:pPr>
      <w:pStyle w:val="42"/>
      <w:pBdr>
        <w:bottom w:val="single" w:color="auto" w:sz="6" w:space="0"/>
      </w:pBdr>
      <w:tabs>
        <w:tab w:val="center" w:pos="4535"/>
        <w:tab w:val="right" w:pos="9070"/>
        <w:tab w:val="clear" w:pos="4153"/>
        <w:tab w:val="clear" w:pos="8306"/>
      </w:tabs>
      <w:jc w:val="right"/>
    </w:pPr>
    <w:r>
      <w:rPr>
        <w:lang w:val="zh-CN"/>
      </w:rPr>
      <w:t></w:t>
    </w:r>
    <w:r>
      <w:tab/>
    </w:r>
    <w:r>
      <w:rPr>
        <w:lang w:val="zh-CN"/>
      </w:rPr>
      <w:t>政府采购公开招标文件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6C522F">
    <w:pPr>
      <w:pStyle w:val="42"/>
      <w:rPr>
        <w:rFonts w:ascii="仿宋_GB2312" w:eastAsia="仿宋_GB2312"/>
        <w:b/>
        <w:i/>
        <w:u w:val="single"/>
      </w:rPr>
    </w:pPr>
    <w:r>
      <w:t></w:t>
    </w:r>
    <w:r>
      <w:rPr>
        <w:rFonts w:hint="eastAsia"/>
      </w:rPr>
      <w:t xml:space="preserve">                                                  </w:t>
    </w:r>
    <w:r>
      <w:t xml:space="preserve">             </w:t>
    </w:r>
    <w:r>
      <w:rPr>
        <w:rFonts w:hint="eastAsia"/>
        <w:lang w:val="en-US" w:eastAsia="zh-CN"/>
      </w:rPr>
      <w:t xml:space="preserve">   </w:t>
    </w:r>
    <w:r>
      <w:t>政府采购公开招标文件</w:t>
    </w:r>
  </w:p>
  <w:p w14:paraId="68D39571">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981CE6">
    <w:pPr>
      <w:pStyle w:val="42"/>
    </w:pPr>
    <w:r>
      <w:t></w:t>
    </w:r>
    <w:r>
      <w:rPr>
        <w:rFonts w:hint="eastAsia"/>
      </w:rPr>
      <w:t xml:space="preserve">         </w:t>
    </w:r>
  </w:p>
  <w:p w14:paraId="20C6A50B">
    <w:pPr>
      <w:pStyle w:val="42"/>
      <w:rPr>
        <w:rFonts w:hint="eastAsia" w:eastAsia="宋体"/>
        <w:lang w:eastAsia="zh-CN"/>
      </w:rPr>
    </w:pPr>
    <w:r>
      <w:rPr>
        <w:rFonts w:hint="eastAsia"/>
      </w:rPr>
      <w:t xml:space="preserve">                                                                  </w:t>
    </w:r>
    <w:r>
      <w:rPr>
        <w:rFonts w:hint="eastAsia"/>
        <w:lang w:eastAsia="zh-CN"/>
      </w:rPr>
      <w:t>宁波市政府采购公开招标文件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0837A2">
    <w:pPr>
      <w:pStyle w:val="42"/>
      <w:rPr>
        <w:rFonts w:ascii="仿宋_GB2312" w:eastAsia="仿宋_GB2312"/>
        <w:b/>
        <w:i/>
        <w:u w:val="single"/>
      </w:rPr>
    </w:pPr>
    <w:r>
      <w:t></w:t>
    </w:r>
    <w:r>
      <w:rPr>
        <w:rFonts w:hint="eastAsia"/>
      </w:rPr>
      <w:t xml:space="preserve">                                               </w:t>
    </w:r>
    <w:r>
      <w:rPr>
        <w:rFonts w:hint="eastAsia"/>
        <w:lang w:val="en-US" w:eastAsia="zh-CN"/>
      </w:rPr>
      <w:t xml:space="preserve"> </w:t>
    </w:r>
    <w:r>
      <w:rPr>
        <w:rFonts w:hint="eastAsia"/>
      </w:rPr>
      <w:t xml:space="preserve">   </w:t>
    </w:r>
    <w:r>
      <w:t>政府采购公开招标文件</w:t>
    </w:r>
  </w:p>
  <w:p w14:paraId="480B86F4">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BF50D5">
    <w:pPr>
      <w:pStyle w:val="42"/>
      <w:jc w:val="right"/>
      <w:rPr>
        <w:rFonts w:hint="eastAsia" w:eastAsia="宋体"/>
        <w:lang w:eastAsia="zh-CN"/>
      </w:rPr>
    </w:pPr>
    <w:r>
      <w:t></w:t>
    </w:r>
    <w:r>
      <w:rPr>
        <w:rFonts w:hint="eastAsia"/>
      </w:rPr>
      <w:t xml:space="preserve">                 </w:t>
    </w:r>
    <w:r>
      <w:t xml:space="preserve">                                </w:t>
    </w:r>
    <w:r>
      <w:rPr>
        <w:rFonts w:hint="eastAsia"/>
      </w:rPr>
      <w:t xml:space="preserve">         </w:t>
    </w:r>
    <w:r>
      <w:rPr>
        <w:rFonts w:hint="eastAsia"/>
        <w:lang w:eastAsia="zh-CN"/>
      </w:rPr>
      <w:t>宁波市政府采购公开招标文件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90030F">
    <w:pPr>
      <w:pStyle w:val="42"/>
      <w:jc w:val="right"/>
      <w:rPr>
        <w:rFonts w:hint="eastAsia" w:ascii="仿宋_GB2312" w:eastAsia="宋体"/>
        <w:b/>
        <w:i/>
        <w:u w:val="single"/>
        <w:lang w:eastAsia="zh-CN"/>
      </w:rPr>
    </w:pPr>
    <w:r>
      <w:rPr>
        <w:rFonts w:hint="eastAsia"/>
      </w:rPr>
      <w:t xml:space="preserve">                                  </w:t>
    </w:r>
    <w:r>
      <w:rPr>
        <w:rFonts w:hint="eastAsia"/>
        <w:lang w:eastAsia="zh-CN"/>
      </w:rPr>
      <w:t>宁波市政府采购公开招标文件</w:t>
    </w:r>
  </w:p>
  <w:p w14:paraId="107A625A">
    <w:pPr>
      <w:rPr>
        <w:rFonts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A00AC0">
    <w:pPr>
      <w:pStyle w:val="42"/>
      <w:jc w:val="right"/>
    </w:pPr>
    <w:r>
      <w:rPr>
        <w:rFonts w:hint="eastAsia"/>
      </w:rPr>
      <w:t xml:space="preserve">                                                                                                        </w:t>
    </w:r>
    <w:r>
      <w:rPr>
        <w:rFonts w:hint="eastAsia"/>
        <w:lang w:val="en-US" w:eastAsia="zh-CN"/>
      </w:rPr>
      <w:t>政</w:t>
    </w:r>
    <w:r>
      <w:t>府采购公开招标文件</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58D81F">
    <w:pPr>
      <w:pStyle w:val="42"/>
      <w:jc w:val="right"/>
      <w:rPr>
        <w:rFonts w:ascii="仿宋_GB2312" w:eastAsia="仿宋_GB2312"/>
        <w:b/>
        <w:i/>
        <w:iCs/>
        <w:u w:val="single"/>
      </w:rPr>
    </w:pPr>
    <w:r>
      <w:t>政府采购公开招标文件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8D92C1">
    <w:pPr>
      <w:pStyle w:val="42"/>
    </w:pPr>
    <w:r>
      <w:t></w:t>
    </w:r>
    <w:r>
      <w:rPr>
        <w:rFonts w:hint="eastAsia"/>
      </w:rPr>
      <w:t xml:space="preserve">                                            </w:t>
    </w:r>
    <w:r>
      <w:t>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25"/>
    <w:multiLevelType w:val="singleLevel"/>
    <w:tmpl w:val="00000025"/>
    <w:lvl w:ilvl="0" w:tentative="0">
      <w:start w:val="1"/>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bordersDoNotSurroundHeader w:val="0"/>
  <w:bordersDoNotSurroundFooter w:val="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WE5ZDFhYmQxNjZmOTZmYjJkNGIyODE3NWI3ZDZkNjEifQ=="/>
    <w:docVar w:name="KSO_WPS_MARK_KEY" w:val="2caabb78-dd7d-4915-b9aa-db80bf10b0a9"/>
  </w:docVars>
  <w:rsids>
    <w:rsidRoot w:val="00172A27"/>
    <w:rsid w:val="00000451"/>
    <w:rsid w:val="0000108B"/>
    <w:rsid w:val="0000133D"/>
    <w:rsid w:val="00001509"/>
    <w:rsid w:val="00001E3F"/>
    <w:rsid w:val="000032B2"/>
    <w:rsid w:val="0000363B"/>
    <w:rsid w:val="000058BD"/>
    <w:rsid w:val="00006109"/>
    <w:rsid w:val="00006150"/>
    <w:rsid w:val="000063E8"/>
    <w:rsid w:val="00006725"/>
    <w:rsid w:val="0000675E"/>
    <w:rsid w:val="000071E3"/>
    <w:rsid w:val="00007CAA"/>
    <w:rsid w:val="00010FE9"/>
    <w:rsid w:val="0001122F"/>
    <w:rsid w:val="00011A4B"/>
    <w:rsid w:val="00012251"/>
    <w:rsid w:val="00012B4A"/>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6965"/>
    <w:rsid w:val="00067821"/>
    <w:rsid w:val="0006785E"/>
    <w:rsid w:val="00067AFB"/>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A3E"/>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97CDB"/>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1D51"/>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51"/>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51"/>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0F57"/>
    <w:rsid w:val="00111993"/>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16E"/>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0A84"/>
    <w:rsid w:val="00161185"/>
    <w:rsid w:val="001620BA"/>
    <w:rsid w:val="001623AC"/>
    <w:rsid w:val="00162BAA"/>
    <w:rsid w:val="00163C40"/>
    <w:rsid w:val="0016470A"/>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0"/>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1025"/>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4DE5"/>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619"/>
    <w:rsid w:val="001A1F0E"/>
    <w:rsid w:val="001A3335"/>
    <w:rsid w:val="001A473A"/>
    <w:rsid w:val="001A4977"/>
    <w:rsid w:val="001A4ED9"/>
    <w:rsid w:val="001A5785"/>
    <w:rsid w:val="001A5FD7"/>
    <w:rsid w:val="001A66A6"/>
    <w:rsid w:val="001A6BAF"/>
    <w:rsid w:val="001A6BBB"/>
    <w:rsid w:val="001A79A2"/>
    <w:rsid w:val="001A7F98"/>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35BF"/>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0F77"/>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56F"/>
    <w:rsid w:val="001F5DA1"/>
    <w:rsid w:val="001F612E"/>
    <w:rsid w:val="001F6A92"/>
    <w:rsid w:val="001F77E8"/>
    <w:rsid w:val="00201A0C"/>
    <w:rsid w:val="00201B0F"/>
    <w:rsid w:val="0020255A"/>
    <w:rsid w:val="00202800"/>
    <w:rsid w:val="002029C7"/>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1E58"/>
    <w:rsid w:val="0026212A"/>
    <w:rsid w:val="002621D7"/>
    <w:rsid w:val="00262996"/>
    <w:rsid w:val="00263044"/>
    <w:rsid w:val="00263759"/>
    <w:rsid w:val="002638BD"/>
    <w:rsid w:val="0026470B"/>
    <w:rsid w:val="0026486D"/>
    <w:rsid w:val="00264C4B"/>
    <w:rsid w:val="00264ED0"/>
    <w:rsid w:val="00265346"/>
    <w:rsid w:val="00265501"/>
    <w:rsid w:val="00266045"/>
    <w:rsid w:val="002660C3"/>
    <w:rsid w:val="00266519"/>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5D6E"/>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1AB"/>
    <w:rsid w:val="002A4868"/>
    <w:rsid w:val="002A4A05"/>
    <w:rsid w:val="002A4EB3"/>
    <w:rsid w:val="002A51D9"/>
    <w:rsid w:val="002A525A"/>
    <w:rsid w:val="002A5968"/>
    <w:rsid w:val="002A5CAB"/>
    <w:rsid w:val="002A5D40"/>
    <w:rsid w:val="002A622E"/>
    <w:rsid w:val="002A6424"/>
    <w:rsid w:val="002A64E7"/>
    <w:rsid w:val="002A70AD"/>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0C6"/>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032"/>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4A88"/>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6FBC"/>
    <w:rsid w:val="003971A1"/>
    <w:rsid w:val="003A03D0"/>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B7751"/>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51FF"/>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4BE"/>
    <w:rsid w:val="004056B6"/>
    <w:rsid w:val="00405764"/>
    <w:rsid w:val="00406745"/>
    <w:rsid w:val="0040674B"/>
    <w:rsid w:val="00406B32"/>
    <w:rsid w:val="004074FA"/>
    <w:rsid w:val="00407A56"/>
    <w:rsid w:val="00407FB7"/>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172B3"/>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183"/>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08AE"/>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BDB"/>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42C9"/>
    <w:rsid w:val="00465A21"/>
    <w:rsid w:val="00465DE5"/>
    <w:rsid w:val="00466151"/>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5CBD"/>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36D8"/>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2F9F"/>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683"/>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5D8"/>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BBA"/>
    <w:rsid w:val="00540D47"/>
    <w:rsid w:val="00540E71"/>
    <w:rsid w:val="00540EE7"/>
    <w:rsid w:val="00541A22"/>
    <w:rsid w:val="00541EAD"/>
    <w:rsid w:val="005424C2"/>
    <w:rsid w:val="005426B2"/>
    <w:rsid w:val="00543519"/>
    <w:rsid w:val="00543640"/>
    <w:rsid w:val="00544019"/>
    <w:rsid w:val="0054422C"/>
    <w:rsid w:val="005444C6"/>
    <w:rsid w:val="00544BF9"/>
    <w:rsid w:val="00544F05"/>
    <w:rsid w:val="00544FCC"/>
    <w:rsid w:val="005454B8"/>
    <w:rsid w:val="00545697"/>
    <w:rsid w:val="00545ACB"/>
    <w:rsid w:val="00545DB9"/>
    <w:rsid w:val="005462ED"/>
    <w:rsid w:val="00546585"/>
    <w:rsid w:val="00546703"/>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841"/>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1AA8"/>
    <w:rsid w:val="00581D39"/>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37FD"/>
    <w:rsid w:val="005E4543"/>
    <w:rsid w:val="005E4A1C"/>
    <w:rsid w:val="005E56C9"/>
    <w:rsid w:val="005E5CF7"/>
    <w:rsid w:val="005E5FF0"/>
    <w:rsid w:val="005E642A"/>
    <w:rsid w:val="005E65A7"/>
    <w:rsid w:val="005E6A54"/>
    <w:rsid w:val="005E721E"/>
    <w:rsid w:val="005F0857"/>
    <w:rsid w:val="005F1470"/>
    <w:rsid w:val="005F15A9"/>
    <w:rsid w:val="005F2807"/>
    <w:rsid w:val="005F2CD5"/>
    <w:rsid w:val="005F3382"/>
    <w:rsid w:val="005F3720"/>
    <w:rsid w:val="005F3949"/>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00D"/>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0815"/>
    <w:rsid w:val="006212D3"/>
    <w:rsid w:val="00621639"/>
    <w:rsid w:val="00622B22"/>
    <w:rsid w:val="00622F67"/>
    <w:rsid w:val="00623571"/>
    <w:rsid w:val="00623A5E"/>
    <w:rsid w:val="006241E9"/>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4CE6"/>
    <w:rsid w:val="00635B73"/>
    <w:rsid w:val="00635BB7"/>
    <w:rsid w:val="00636888"/>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2F6C"/>
    <w:rsid w:val="0065343E"/>
    <w:rsid w:val="00653548"/>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1E43"/>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E37"/>
    <w:rsid w:val="006B2F60"/>
    <w:rsid w:val="006B33DB"/>
    <w:rsid w:val="006B33DD"/>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2E"/>
    <w:rsid w:val="006C5D5D"/>
    <w:rsid w:val="006C627E"/>
    <w:rsid w:val="006C6303"/>
    <w:rsid w:val="006C6A51"/>
    <w:rsid w:val="006C6EBD"/>
    <w:rsid w:val="006C7E04"/>
    <w:rsid w:val="006C7F79"/>
    <w:rsid w:val="006D0004"/>
    <w:rsid w:val="006D015F"/>
    <w:rsid w:val="006D060E"/>
    <w:rsid w:val="006D0665"/>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49D2"/>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637"/>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814"/>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BF0"/>
    <w:rsid w:val="00763F8B"/>
    <w:rsid w:val="007640F3"/>
    <w:rsid w:val="0076417E"/>
    <w:rsid w:val="0076497F"/>
    <w:rsid w:val="007660EC"/>
    <w:rsid w:val="007662C7"/>
    <w:rsid w:val="00766862"/>
    <w:rsid w:val="007675DD"/>
    <w:rsid w:val="007702BF"/>
    <w:rsid w:val="007705F0"/>
    <w:rsid w:val="00771CAC"/>
    <w:rsid w:val="00772036"/>
    <w:rsid w:val="00772AD2"/>
    <w:rsid w:val="00773098"/>
    <w:rsid w:val="007739A3"/>
    <w:rsid w:val="00773BD9"/>
    <w:rsid w:val="00773CB0"/>
    <w:rsid w:val="00773D71"/>
    <w:rsid w:val="00775526"/>
    <w:rsid w:val="00775651"/>
    <w:rsid w:val="00775F3F"/>
    <w:rsid w:val="0077710B"/>
    <w:rsid w:val="0077765A"/>
    <w:rsid w:val="007776E8"/>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30"/>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6FED"/>
    <w:rsid w:val="0080705B"/>
    <w:rsid w:val="0080723C"/>
    <w:rsid w:val="00807F71"/>
    <w:rsid w:val="0081000F"/>
    <w:rsid w:val="00812657"/>
    <w:rsid w:val="00812A1A"/>
    <w:rsid w:val="00812DFF"/>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26E73"/>
    <w:rsid w:val="00830052"/>
    <w:rsid w:val="008300D0"/>
    <w:rsid w:val="008308D8"/>
    <w:rsid w:val="00830ECE"/>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18B"/>
    <w:rsid w:val="008425CC"/>
    <w:rsid w:val="00842DC2"/>
    <w:rsid w:val="0084357B"/>
    <w:rsid w:val="008465B4"/>
    <w:rsid w:val="00846D25"/>
    <w:rsid w:val="00850013"/>
    <w:rsid w:val="008500DD"/>
    <w:rsid w:val="00850A0A"/>
    <w:rsid w:val="00850A94"/>
    <w:rsid w:val="00851CEF"/>
    <w:rsid w:val="00851E96"/>
    <w:rsid w:val="00851F1C"/>
    <w:rsid w:val="0085237B"/>
    <w:rsid w:val="00852FA5"/>
    <w:rsid w:val="00853864"/>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0BB"/>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653D"/>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5A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65BE"/>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0F3"/>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076CA"/>
    <w:rsid w:val="00910041"/>
    <w:rsid w:val="0091112B"/>
    <w:rsid w:val="00911D61"/>
    <w:rsid w:val="00912850"/>
    <w:rsid w:val="009128B8"/>
    <w:rsid w:val="009141F2"/>
    <w:rsid w:val="0091472C"/>
    <w:rsid w:val="00914DC9"/>
    <w:rsid w:val="00915243"/>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4E4B"/>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545F"/>
    <w:rsid w:val="00936EA5"/>
    <w:rsid w:val="00937114"/>
    <w:rsid w:val="0094015D"/>
    <w:rsid w:val="00940916"/>
    <w:rsid w:val="009412B7"/>
    <w:rsid w:val="00941B13"/>
    <w:rsid w:val="0094215C"/>
    <w:rsid w:val="00942A27"/>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0A"/>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07"/>
    <w:rsid w:val="00961A4F"/>
    <w:rsid w:val="009625B7"/>
    <w:rsid w:val="00962FB8"/>
    <w:rsid w:val="00963183"/>
    <w:rsid w:val="0096373F"/>
    <w:rsid w:val="00964007"/>
    <w:rsid w:val="00964283"/>
    <w:rsid w:val="009642A4"/>
    <w:rsid w:val="009643F4"/>
    <w:rsid w:val="009645A6"/>
    <w:rsid w:val="00964F5A"/>
    <w:rsid w:val="0096527F"/>
    <w:rsid w:val="009653ED"/>
    <w:rsid w:val="009664AE"/>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4E60"/>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A2"/>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686F"/>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2A74"/>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3D28"/>
    <w:rsid w:val="00A5468F"/>
    <w:rsid w:val="00A54909"/>
    <w:rsid w:val="00A54DC0"/>
    <w:rsid w:val="00A550C9"/>
    <w:rsid w:val="00A55228"/>
    <w:rsid w:val="00A55410"/>
    <w:rsid w:val="00A55A04"/>
    <w:rsid w:val="00A564DE"/>
    <w:rsid w:val="00A6054E"/>
    <w:rsid w:val="00A60799"/>
    <w:rsid w:val="00A6170B"/>
    <w:rsid w:val="00A61767"/>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07F"/>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4E67"/>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4E"/>
    <w:rsid w:val="00A94BF5"/>
    <w:rsid w:val="00A954F8"/>
    <w:rsid w:val="00A962AE"/>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18B"/>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6B4F"/>
    <w:rsid w:val="00B06BEA"/>
    <w:rsid w:val="00B07316"/>
    <w:rsid w:val="00B07A43"/>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938"/>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6FC"/>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18FA"/>
    <w:rsid w:val="00B72A0B"/>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6D85"/>
    <w:rsid w:val="00BB777D"/>
    <w:rsid w:val="00BB7EC0"/>
    <w:rsid w:val="00BB7F88"/>
    <w:rsid w:val="00BC0207"/>
    <w:rsid w:val="00BC089F"/>
    <w:rsid w:val="00BC0A0C"/>
    <w:rsid w:val="00BC0A5A"/>
    <w:rsid w:val="00BC0E64"/>
    <w:rsid w:val="00BC25D1"/>
    <w:rsid w:val="00BC2DBD"/>
    <w:rsid w:val="00BC3BCB"/>
    <w:rsid w:val="00BC3CF1"/>
    <w:rsid w:val="00BC4202"/>
    <w:rsid w:val="00BC428A"/>
    <w:rsid w:val="00BC4C40"/>
    <w:rsid w:val="00BC51C6"/>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47B"/>
    <w:rsid w:val="00C0378E"/>
    <w:rsid w:val="00C04314"/>
    <w:rsid w:val="00C04BD0"/>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57612"/>
    <w:rsid w:val="00C60CB2"/>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5D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51E"/>
    <w:rsid w:val="00D3497A"/>
    <w:rsid w:val="00D35F2F"/>
    <w:rsid w:val="00D35FC6"/>
    <w:rsid w:val="00D36BB8"/>
    <w:rsid w:val="00D3756D"/>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372"/>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9726C"/>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33F"/>
    <w:rsid w:val="00DB7662"/>
    <w:rsid w:val="00DB7E46"/>
    <w:rsid w:val="00DC1395"/>
    <w:rsid w:val="00DC203C"/>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39B"/>
    <w:rsid w:val="00DF3798"/>
    <w:rsid w:val="00DF393E"/>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5CE"/>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5F7"/>
    <w:rsid w:val="00E726F2"/>
    <w:rsid w:val="00E728E2"/>
    <w:rsid w:val="00E738FA"/>
    <w:rsid w:val="00E739B6"/>
    <w:rsid w:val="00E74A2B"/>
    <w:rsid w:val="00E75667"/>
    <w:rsid w:val="00E756D3"/>
    <w:rsid w:val="00E75A5A"/>
    <w:rsid w:val="00E76004"/>
    <w:rsid w:val="00E7608F"/>
    <w:rsid w:val="00E760D7"/>
    <w:rsid w:val="00E769CC"/>
    <w:rsid w:val="00E76E26"/>
    <w:rsid w:val="00E77124"/>
    <w:rsid w:val="00E77341"/>
    <w:rsid w:val="00E7783E"/>
    <w:rsid w:val="00E778B8"/>
    <w:rsid w:val="00E801C7"/>
    <w:rsid w:val="00E8062F"/>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976"/>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3E8"/>
    <w:rsid w:val="00EA2E21"/>
    <w:rsid w:val="00EA2EAA"/>
    <w:rsid w:val="00EA380C"/>
    <w:rsid w:val="00EA613D"/>
    <w:rsid w:val="00EA6744"/>
    <w:rsid w:val="00EA6768"/>
    <w:rsid w:val="00EA7308"/>
    <w:rsid w:val="00EA7474"/>
    <w:rsid w:val="00EA7C70"/>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659"/>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B87"/>
    <w:rsid w:val="00EF4DB4"/>
    <w:rsid w:val="00EF50D5"/>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6D97"/>
    <w:rsid w:val="00F07134"/>
    <w:rsid w:val="00F0724D"/>
    <w:rsid w:val="00F07378"/>
    <w:rsid w:val="00F10B81"/>
    <w:rsid w:val="00F10BC9"/>
    <w:rsid w:val="00F11078"/>
    <w:rsid w:val="00F113C9"/>
    <w:rsid w:val="00F11C01"/>
    <w:rsid w:val="00F11D80"/>
    <w:rsid w:val="00F1360D"/>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068"/>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BA9"/>
    <w:rsid w:val="00F62CA8"/>
    <w:rsid w:val="00F62F92"/>
    <w:rsid w:val="00F630B4"/>
    <w:rsid w:val="00F635EF"/>
    <w:rsid w:val="00F63BF4"/>
    <w:rsid w:val="00F63C55"/>
    <w:rsid w:val="00F63C60"/>
    <w:rsid w:val="00F64991"/>
    <w:rsid w:val="00F65425"/>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34DD"/>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5856"/>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1DE4"/>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36AFB"/>
    <w:rsid w:val="019F7441"/>
    <w:rsid w:val="01B37585"/>
    <w:rsid w:val="01D55165"/>
    <w:rsid w:val="01DF6BF8"/>
    <w:rsid w:val="01EC2C57"/>
    <w:rsid w:val="02361CE9"/>
    <w:rsid w:val="025F0711"/>
    <w:rsid w:val="026B2E25"/>
    <w:rsid w:val="02824D4D"/>
    <w:rsid w:val="02DC4B10"/>
    <w:rsid w:val="02DD76CE"/>
    <w:rsid w:val="02F36323"/>
    <w:rsid w:val="02F5619C"/>
    <w:rsid w:val="0326446A"/>
    <w:rsid w:val="032D5555"/>
    <w:rsid w:val="036634D2"/>
    <w:rsid w:val="03DD35E4"/>
    <w:rsid w:val="04076900"/>
    <w:rsid w:val="041A5A3B"/>
    <w:rsid w:val="042311BA"/>
    <w:rsid w:val="042B157A"/>
    <w:rsid w:val="048F763B"/>
    <w:rsid w:val="049F330E"/>
    <w:rsid w:val="04AA775C"/>
    <w:rsid w:val="04AF1889"/>
    <w:rsid w:val="04F66F48"/>
    <w:rsid w:val="05251E14"/>
    <w:rsid w:val="05A16594"/>
    <w:rsid w:val="05A7762D"/>
    <w:rsid w:val="060B66D9"/>
    <w:rsid w:val="060E5941"/>
    <w:rsid w:val="06110FAF"/>
    <w:rsid w:val="06493CA7"/>
    <w:rsid w:val="065A6178"/>
    <w:rsid w:val="066F1CF3"/>
    <w:rsid w:val="06930BB8"/>
    <w:rsid w:val="06F723B4"/>
    <w:rsid w:val="07245D42"/>
    <w:rsid w:val="07264C62"/>
    <w:rsid w:val="0779354C"/>
    <w:rsid w:val="08061376"/>
    <w:rsid w:val="08370E67"/>
    <w:rsid w:val="08452D77"/>
    <w:rsid w:val="086401F8"/>
    <w:rsid w:val="08751CAA"/>
    <w:rsid w:val="087E4C40"/>
    <w:rsid w:val="08A871D0"/>
    <w:rsid w:val="08D66AD6"/>
    <w:rsid w:val="08DA33A3"/>
    <w:rsid w:val="08E80F13"/>
    <w:rsid w:val="09335624"/>
    <w:rsid w:val="0944690F"/>
    <w:rsid w:val="09535675"/>
    <w:rsid w:val="095F057D"/>
    <w:rsid w:val="09642282"/>
    <w:rsid w:val="09733572"/>
    <w:rsid w:val="09772C16"/>
    <w:rsid w:val="098353B5"/>
    <w:rsid w:val="09A92330"/>
    <w:rsid w:val="09B06B87"/>
    <w:rsid w:val="09C13146"/>
    <w:rsid w:val="09E04166"/>
    <w:rsid w:val="0A1C0718"/>
    <w:rsid w:val="0A27015B"/>
    <w:rsid w:val="0A2F2F7D"/>
    <w:rsid w:val="0A3E7710"/>
    <w:rsid w:val="0A5B7E63"/>
    <w:rsid w:val="0AA374A5"/>
    <w:rsid w:val="0AAB7649"/>
    <w:rsid w:val="0ABC5606"/>
    <w:rsid w:val="0B30404E"/>
    <w:rsid w:val="0B4C6C14"/>
    <w:rsid w:val="0B547599"/>
    <w:rsid w:val="0B631A88"/>
    <w:rsid w:val="0B683D45"/>
    <w:rsid w:val="0B7F3F11"/>
    <w:rsid w:val="0B884417"/>
    <w:rsid w:val="0BF6188C"/>
    <w:rsid w:val="0BF73C91"/>
    <w:rsid w:val="0C170175"/>
    <w:rsid w:val="0C571A41"/>
    <w:rsid w:val="0C5C1171"/>
    <w:rsid w:val="0C5E1CBC"/>
    <w:rsid w:val="0C615B50"/>
    <w:rsid w:val="0C8445DA"/>
    <w:rsid w:val="0C87121B"/>
    <w:rsid w:val="0CC007F7"/>
    <w:rsid w:val="0CC617AC"/>
    <w:rsid w:val="0CE618DF"/>
    <w:rsid w:val="0CFE707A"/>
    <w:rsid w:val="0D063BDA"/>
    <w:rsid w:val="0D08375F"/>
    <w:rsid w:val="0D184CFB"/>
    <w:rsid w:val="0D4A7419"/>
    <w:rsid w:val="0D827401"/>
    <w:rsid w:val="0D84094E"/>
    <w:rsid w:val="0D8A00E9"/>
    <w:rsid w:val="0D8D589E"/>
    <w:rsid w:val="0D9F75C1"/>
    <w:rsid w:val="0DA01C73"/>
    <w:rsid w:val="0DD63300"/>
    <w:rsid w:val="0DF50604"/>
    <w:rsid w:val="0DF702FE"/>
    <w:rsid w:val="0E060E51"/>
    <w:rsid w:val="0E5604B2"/>
    <w:rsid w:val="0E6D5D79"/>
    <w:rsid w:val="0E9D0089"/>
    <w:rsid w:val="0EB803EE"/>
    <w:rsid w:val="0EF94D4B"/>
    <w:rsid w:val="0F4958DC"/>
    <w:rsid w:val="0F515DF7"/>
    <w:rsid w:val="0F596BA8"/>
    <w:rsid w:val="0F6248D2"/>
    <w:rsid w:val="0F693536"/>
    <w:rsid w:val="0F7B0511"/>
    <w:rsid w:val="0F7B76D9"/>
    <w:rsid w:val="0F816ACD"/>
    <w:rsid w:val="0F9832DB"/>
    <w:rsid w:val="0FA9345E"/>
    <w:rsid w:val="0FBF3FD2"/>
    <w:rsid w:val="0FBF7FF3"/>
    <w:rsid w:val="10646583"/>
    <w:rsid w:val="107D4B15"/>
    <w:rsid w:val="108A3C80"/>
    <w:rsid w:val="10C26171"/>
    <w:rsid w:val="10F33360"/>
    <w:rsid w:val="10FC16EA"/>
    <w:rsid w:val="110F1D40"/>
    <w:rsid w:val="11266F33"/>
    <w:rsid w:val="118963A1"/>
    <w:rsid w:val="11C6522A"/>
    <w:rsid w:val="11E104CC"/>
    <w:rsid w:val="11E20309"/>
    <w:rsid w:val="12255233"/>
    <w:rsid w:val="12530213"/>
    <w:rsid w:val="127723A9"/>
    <w:rsid w:val="12862074"/>
    <w:rsid w:val="12883966"/>
    <w:rsid w:val="128E7A56"/>
    <w:rsid w:val="129E45B4"/>
    <w:rsid w:val="12D81596"/>
    <w:rsid w:val="13072A44"/>
    <w:rsid w:val="135F4BE2"/>
    <w:rsid w:val="139B1A0A"/>
    <w:rsid w:val="139D25C7"/>
    <w:rsid w:val="13BF3CE4"/>
    <w:rsid w:val="141008D8"/>
    <w:rsid w:val="14125FE6"/>
    <w:rsid w:val="14636234"/>
    <w:rsid w:val="146D271E"/>
    <w:rsid w:val="14982588"/>
    <w:rsid w:val="149A5AD9"/>
    <w:rsid w:val="14A7619D"/>
    <w:rsid w:val="150536C3"/>
    <w:rsid w:val="150C1963"/>
    <w:rsid w:val="151447A0"/>
    <w:rsid w:val="154A6454"/>
    <w:rsid w:val="15762120"/>
    <w:rsid w:val="157B6F93"/>
    <w:rsid w:val="16A8729C"/>
    <w:rsid w:val="16B33777"/>
    <w:rsid w:val="16BC70A7"/>
    <w:rsid w:val="16C6339E"/>
    <w:rsid w:val="172F2D79"/>
    <w:rsid w:val="17557BEF"/>
    <w:rsid w:val="17D349C1"/>
    <w:rsid w:val="1830729E"/>
    <w:rsid w:val="1870062C"/>
    <w:rsid w:val="18817102"/>
    <w:rsid w:val="18830A15"/>
    <w:rsid w:val="18852B28"/>
    <w:rsid w:val="188B5321"/>
    <w:rsid w:val="19932372"/>
    <w:rsid w:val="19A20DD5"/>
    <w:rsid w:val="19AE03F1"/>
    <w:rsid w:val="1A071A03"/>
    <w:rsid w:val="1A1F16AE"/>
    <w:rsid w:val="1A3B5C77"/>
    <w:rsid w:val="1A984BAD"/>
    <w:rsid w:val="1AB8220E"/>
    <w:rsid w:val="1AE4166C"/>
    <w:rsid w:val="1AF06CFB"/>
    <w:rsid w:val="1AF11B8D"/>
    <w:rsid w:val="1B11359C"/>
    <w:rsid w:val="1B2A271F"/>
    <w:rsid w:val="1B530544"/>
    <w:rsid w:val="1B713184"/>
    <w:rsid w:val="1BA209CF"/>
    <w:rsid w:val="1BB4777D"/>
    <w:rsid w:val="1BD75AB8"/>
    <w:rsid w:val="1C0459C2"/>
    <w:rsid w:val="1C1B3B4A"/>
    <w:rsid w:val="1C88086E"/>
    <w:rsid w:val="1D266CE1"/>
    <w:rsid w:val="1D3963AF"/>
    <w:rsid w:val="1D6A673C"/>
    <w:rsid w:val="1D9247AE"/>
    <w:rsid w:val="1DB567EC"/>
    <w:rsid w:val="1DF51A98"/>
    <w:rsid w:val="1E3D060F"/>
    <w:rsid w:val="1E3F7D2E"/>
    <w:rsid w:val="1E4134E4"/>
    <w:rsid w:val="1E5062B3"/>
    <w:rsid w:val="1E523514"/>
    <w:rsid w:val="1E714A66"/>
    <w:rsid w:val="1E802593"/>
    <w:rsid w:val="1E8B6156"/>
    <w:rsid w:val="1EA703CC"/>
    <w:rsid w:val="1EB7330C"/>
    <w:rsid w:val="1F0A0FF3"/>
    <w:rsid w:val="1F5771FF"/>
    <w:rsid w:val="1FD52DD5"/>
    <w:rsid w:val="1FE868A9"/>
    <w:rsid w:val="20034907"/>
    <w:rsid w:val="20173E4B"/>
    <w:rsid w:val="204E48BC"/>
    <w:rsid w:val="208921B3"/>
    <w:rsid w:val="20973DEB"/>
    <w:rsid w:val="20B26522"/>
    <w:rsid w:val="20B44310"/>
    <w:rsid w:val="211116EB"/>
    <w:rsid w:val="216133FC"/>
    <w:rsid w:val="21D24F42"/>
    <w:rsid w:val="21D56769"/>
    <w:rsid w:val="21E52EF3"/>
    <w:rsid w:val="21FB5D7B"/>
    <w:rsid w:val="22015E94"/>
    <w:rsid w:val="220B1C3D"/>
    <w:rsid w:val="221D1D20"/>
    <w:rsid w:val="22334A87"/>
    <w:rsid w:val="22496CD1"/>
    <w:rsid w:val="228C0379"/>
    <w:rsid w:val="22932674"/>
    <w:rsid w:val="22BE6801"/>
    <w:rsid w:val="233500BF"/>
    <w:rsid w:val="23377FF7"/>
    <w:rsid w:val="236B425F"/>
    <w:rsid w:val="23836192"/>
    <w:rsid w:val="23901F29"/>
    <w:rsid w:val="239C0061"/>
    <w:rsid w:val="23B908A4"/>
    <w:rsid w:val="23E95BEF"/>
    <w:rsid w:val="23FD0064"/>
    <w:rsid w:val="245375B0"/>
    <w:rsid w:val="24642C0A"/>
    <w:rsid w:val="24B22173"/>
    <w:rsid w:val="24B95AD9"/>
    <w:rsid w:val="24BE24DA"/>
    <w:rsid w:val="24CF5825"/>
    <w:rsid w:val="24D663E6"/>
    <w:rsid w:val="24D77F2B"/>
    <w:rsid w:val="258B00E2"/>
    <w:rsid w:val="25A917A6"/>
    <w:rsid w:val="25BE27CC"/>
    <w:rsid w:val="25F74A5C"/>
    <w:rsid w:val="2628662C"/>
    <w:rsid w:val="262D45DE"/>
    <w:rsid w:val="26871DC8"/>
    <w:rsid w:val="26A53EF9"/>
    <w:rsid w:val="26A94201"/>
    <w:rsid w:val="26AC274F"/>
    <w:rsid w:val="27044A29"/>
    <w:rsid w:val="271D34C8"/>
    <w:rsid w:val="276142BF"/>
    <w:rsid w:val="27783712"/>
    <w:rsid w:val="27907362"/>
    <w:rsid w:val="281E2337"/>
    <w:rsid w:val="28333E1D"/>
    <w:rsid w:val="28432A8E"/>
    <w:rsid w:val="28454BD6"/>
    <w:rsid w:val="28455253"/>
    <w:rsid w:val="28551971"/>
    <w:rsid w:val="285B1C53"/>
    <w:rsid w:val="289F7086"/>
    <w:rsid w:val="28C32028"/>
    <w:rsid w:val="28CC490F"/>
    <w:rsid w:val="28DE40AA"/>
    <w:rsid w:val="29227C9E"/>
    <w:rsid w:val="29345E77"/>
    <w:rsid w:val="294C65AD"/>
    <w:rsid w:val="29806583"/>
    <w:rsid w:val="298B3C4C"/>
    <w:rsid w:val="29F26D24"/>
    <w:rsid w:val="2A15033F"/>
    <w:rsid w:val="2A1662C1"/>
    <w:rsid w:val="2A1C7367"/>
    <w:rsid w:val="2A2815FA"/>
    <w:rsid w:val="2A6D6092"/>
    <w:rsid w:val="2A7D76B4"/>
    <w:rsid w:val="2AE412F9"/>
    <w:rsid w:val="2B437463"/>
    <w:rsid w:val="2B7807EE"/>
    <w:rsid w:val="2BA50BF7"/>
    <w:rsid w:val="2BBF00EC"/>
    <w:rsid w:val="2BC37CFD"/>
    <w:rsid w:val="2BD5237F"/>
    <w:rsid w:val="2BE536CE"/>
    <w:rsid w:val="2BE758D9"/>
    <w:rsid w:val="2C09049E"/>
    <w:rsid w:val="2C0A653C"/>
    <w:rsid w:val="2C107FEF"/>
    <w:rsid w:val="2C191F85"/>
    <w:rsid w:val="2C2D7517"/>
    <w:rsid w:val="2C4832B1"/>
    <w:rsid w:val="2CE82D6F"/>
    <w:rsid w:val="2D343236"/>
    <w:rsid w:val="2D5C23F2"/>
    <w:rsid w:val="2DD15014"/>
    <w:rsid w:val="2DF72DE4"/>
    <w:rsid w:val="2E0220AF"/>
    <w:rsid w:val="2E4B082A"/>
    <w:rsid w:val="2E5D4E86"/>
    <w:rsid w:val="2E5D790B"/>
    <w:rsid w:val="2E9A3C18"/>
    <w:rsid w:val="2EBB0FEE"/>
    <w:rsid w:val="2EC63002"/>
    <w:rsid w:val="2F0A6B38"/>
    <w:rsid w:val="2F946CCB"/>
    <w:rsid w:val="2FD25781"/>
    <w:rsid w:val="2FDC745C"/>
    <w:rsid w:val="2FFD7934"/>
    <w:rsid w:val="30733ACD"/>
    <w:rsid w:val="308C3862"/>
    <w:rsid w:val="309379D8"/>
    <w:rsid w:val="309D5D66"/>
    <w:rsid w:val="30A270F7"/>
    <w:rsid w:val="30DF1478"/>
    <w:rsid w:val="30EC586F"/>
    <w:rsid w:val="314550B7"/>
    <w:rsid w:val="319C6071"/>
    <w:rsid w:val="31AC537E"/>
    <w:rsid w:val="31E3679B"/>
    <w:rsid w:val="31E732FD"/>
    <w:rsid w:val="32517576"/>
    <w:rsid w:val="32931745"/>
    <w:rsid w:val="32BE5C2C"/>
    <w:rsid w:val="32FB6478"/>
    <w:rsid w:val="33263B3F"/>
    <w:rsid w:val="336963EB"/>
    <w:rsid w:val="33816EEB"/>
    <w:rsid w:val="33EB55CD"/>
    <w:rsid w:val="33EC4C02"/>
    <w:rsid w:val="340D2360"/>
    <w:rsid w:val="3410665D"/>
    <w:rsid w:val="34211214"/>
    <w:rsid w:val="342E63AB"/>
    <w:rsid w:val="34950E68"/>
    <w:rsid w:val="34986E94"/>
    <w:rsid w:val="34AF62C9"/>
    <w:rsid w:val="34CB4388"/>
    <w:rsid w:val="34FA6E12"/>
    <w:rsid w:val="350A2BC4"/>
    <w:rsid w:val="35457E70"/>
    <w:rsid w:val="354D7158"/>
    <w:rsid w:val="357839D6"/>
    <w:rsid w:val="358D5588"/>
    <w:rsid w:val="363A3B40"/>
    <w:rsid w:val="365302AE"/>
    <w:rsid w:val="36607A0A"/>
    <w:rsid w:val="366E227C"/>
    <w:rsid w:val="366F2E0D"/>
    <w:rsid w:val="367B6A5C"/>
    <w:rsid w:val="36A74ADA"/>
    <w:rsid w:val="36AD60D5"/>
    <w:rsid w:val="36B224F9"/>
    <w:rsid w:val="36EC0CC9"/>
    <w:rsid w:val="36F6277F"/>
    <w:rsid w:val="373F410B"/>
    <w:rsid w:val="37EE7094"/>
    <w:rsid w:val="38296C89"/>
    <w:rsid w:val="383002EB"/>
    <w:rsid w:val="38586797"/>
    <w:rsid w:val="38BC0149"/>
    <w:rsid w:val="38D87D1C"/>
    <w:rsid w:val="39636459"/>
    <w:rsid w:val="396B7F6C"/>
    <w:rsid w:val="39B417A9"/>
    <w:rsid w:val="39FC5695"/>
    <w:rsid w:val="3A006D8E"/>
    <w:rsid w:val="3A3651E5"/>
    <w:rsid w:val="3A4028B5"/>
    <w:rsid w:val="3A744481"/>
    <w:rsid w:val="3A8C7BEF"/>
    <w:rsid w:val="3A906246"/>
    <w:rsid w:val="3B2349B7"/>
    <w:rsid w:val="3B616CFF"/>
    <w:rsid w:val="3B6259F6"/>
    <w:rsid w:val="3B976654"/>
    <w:rsid w:val="3BC01EFC"/>
    <w:rsid w:val="3BCA786A"/>
    <w:rsid w:val="3BD31E2F"/>
    <w:rsid w:val="3BF15831"/>
    <w:rsid w:val="3C105946"/>
    <w:rsid w:val="3C471448"/>
    <w:rsid w:val="3C5F759A"/>
    <w:rsid w:val="3C6C525A"/>
    <w:rsid w:val="3C7E7C4F"/>
    <w:rsid w:val="3C8861EC"/>
    <w:rsid w:val="3CCE23CB"/>
    <w:rsid w:val="3CD17D17"/>
    <w:rsid w:val="3D3C7F39"/>
    <w:rsid w:val="3D440F09"/>
    <w:rsid w:val="3D4504A0"/>
    <w:rsid w:val="3D8734BB"/>
    <w:rsid w:val="3D9A11D4"/>
    <w:rsid w:val="3DA16D89"/>
    <w:rsid w:val="3DA364BE"/>
    <w:rsid w:val="3DE041CB"/>
    <w:rsid w:val="3E0D48F6"/>
    <w:rsid w:val="3E1868B4"/>
    <w:rsid w:val="3E377251"/>
    <w:rsid w:val="3E42664B"/>
    <w:rsid w:val="3E5A7334"/>
    <w:rsid w:val="3E7B5D6B"/>
    <w:rsid w:val="3E843E66"/>
    <w:rsid w:val="3E8F51FE"/>
    <w:rsid w:val="3E926F87"/>
    <w:rsid w:val="3E9A59DE"/>
    <w:rsid w:val="3EAF4836"/>
    <w:rsid w:val="3EC33DFA"/>
    <w:rsid w:val="3F060E16"/>
    <w:rsid w:val="3F1D1096"/>
    <w:rsid w:val="3F2F0234"/>
    <w:rsid w:val="3F6363FE"/>
    <w:rsid w:val="3F756B8F"/>
    <w:rsid w:val="3F95482B"/>
    <w:rsid w:val="4019356B"/>
    <w:rsid w:val="40592157"/>
    <w:rsid w:val="406E1CAE"/>
    <w:rsid w:val="40A0133A"/>
    <w:rsid w:val="40C31A53"/>
    <w:rsid w:val="40FF545D"/>
    <w:rsid w:val="410067C8"/>
    <w:rsid w:val="418F0D2A"/>
    <w:rsid w:val="41D01505"/>
    <w:rsid w:val="42474939"/>
    <w:rsid w:val="424C3C57"/>
    <w:rsid w:val="42613FF3"/>
    <w:rsid w:val="42660D96"/>
    <w:rsid w:val="428667D2"/>
    <w:rsid w:val="42CD1CE0"/>
    <w:rsid w:val="42E1381E"/>
    <w:rsid w:val="42ED6459"/>
    <w:rsid w:val="42FE58DD"/>
    <w:rsid w:val="43174B3D"/>
    <w:rsid w:val="434B790E"/>
    <w:rsid w:val="4360274F"/>
    <w:rsid w:val="43977AB6"/>
    <w:rsid w:val="43A3342B"/>
    <w:rsid w:val="43C77C27"/>
    <w:rsid w:val="43DE09EE"/>
    <w:rsid w:val="43FB1A4F"/>
    <w:rsid w:val="44002FAD"/>
    <w:rsid w:val="448805EC"/>
    <w:rsid w:val="449101DD"/>
    <w:rsid w:val="44DE1391"/>
    <w:rsid w:val="451B225C"/>
    <w:rsid w:val="452410C9"/>
    <w:rsid w:val="45317DFB"/>
    <w:rsid w:val="456D3CE4"/>
    <w:rsid w:val="4579042C"/>
    <w:rsid w:val="457F0571"/>
    <w:rsid w:val="45851176"/>
    <w:rsid w:val="45C63B94"/>
    <w:rsid w:val="460E7DA5"/>
    <w:rsid w:val="46395C97"/>
    <w:rsid w:val="46422483"/>
    <w:rsid w:val="464E56A6"/>
    <w:rsid w:val="4659254A"/>
    <w:rsid w:val="465B0637"/>
    <w:rsid w:val="465E3F0D"/>
    <w:rsid w:val="466754AF"/>
    <w:rsid w:val="466A16E6"/>
    <w:rsid w:val="46893F2B"/>
    <w:rsid w:val="46C4686E"/>
    <w:rsid w:val="477B778F"/>
    <w:rsid w:val="478203EC"/>
    <w:rsid w:val="47B025FA"/>
    <w:rsid w:val="4809698F"/>
    <w:rsid w:val="4811697D"/>
    <w:rsid w:val="487A3E25"/>
    <w:rsid w:val="488B5503"/>
    <w:rsid w:val="48937E21"/>
    <w:rsid w:val="489A0361"/>
    <w:rsid w:val="48B94FF3"/>
    <w:rsid w:val="48E37AAB"/>
    <w:rsid w:val="48FD4B4C"/>
    <w:rsid w:val="490A68E0"/>
    <w:rsid w:val="491055FE"/>
    <w:rsid w:val="495F5B3E"/>
    <w:rsid w:val="496F77D7"/>
    <w:rsid w:val="497654FD"/>
    <w:rsid w:val="49B64211"/>
    <w:rsid w:val="49E56AF9"/>
    <w:rsid w:val="49F6167F"/>
    <w:rsid w:val="4A064FA0"/>
    <w:rsid w:val="4A16615C"/>
    <w:rsid w:val="4A4424D7"/>
    <w:rsid w:val="4A783806"/>
    <w:rsid w:val="4AB82D0F"/>
    <w:rsid w:val="4AEB7664"/>
    <w:rsid w:val="4AFD7C19"/>
    <w:rsid w:val="4B0567D1"/>
    <w:rsid w:val="4B236AAE"/>
    <w:rsid w:val="4B707271"/>
    <w:rsid w:val="4B874640"/>
    <w:rsid w:val="4B9739F7"/>
    <w:rsid w:val="4BCA1FA1"/>
    <w:rsid w:val="4BD44D46"/>
    <w:rsid w:val="4BEE2503"/>
    <w:rsid w:val="4C245A30"/>
    <w:rsid w:val="4CB6685F"/>
    <w:rsid w:val="4CC367FE"/>
    <w:rsid w:val="4CE67C4A"/>
    <w:rsid w:val="4D077F3C"/>
    <w:rsid w:val="4D123355"/>
    <w:rsid w:val="4D2A3B31"/>
    <w:rsid w:val="4D312C52"/>
    <w:rsid w:val="4D905305"/>
    <w:rsid w:val="4D964A72"/>
    <w:rsid w:val="4D9C1254"/>
    <w:rsid w:val="4E793892"/>
    <w:rsid w:val="4E800872"/>
    <w:rsid w:val="4EC569ED"/>
    <w:rsid w:val="4ED50EA1"/>
    <w:rsid w:val="4EEC050C"/>
    <w:rsid w:val="4F104EC3"/>
    <w:rsid w:val="4F47354A"/>
    <w:rsid w:val="4F911C54"/>
    <w:rsid w:val="4FC24352"/>
    <w:rsid w:val="4FE625E0"/>
    <w:rsid w:val="5021480F"/>
    <w:rsid w:val="50962ECB"/>
    <w:rsid w:val="50A42E38"/>
    <w:rsid w:val="50A4577F"/>
    <w:rsid w:val="50B73D1F"/>
    <w:rsid w:val="50BD5BC9"/>
    <w:rsid w:val="50C11EEE"/>
    <w:rsid w:val="50E97CFC"/>
    <w:rsid w:val="50FA4028"/>
    <w:rsid w:val="510D65B7"/>
    <w:rsid w:val="511157AB"/>
    <w:rsid w:val="5142540C"/>
    <w:rsid w:val="518832C8"/>
    <w:rsid w:val="519D3C50"/>
    <w:rsid w:val="51A0432A"/>
    <w:rsid w:val="51A86090"/>
    <w:rsid w:val="51B7396D"/>
    <w:rsid w:val="522E4CC3"/>
    <w:rsid w:val="523763B0"/>
    <w:rsid w:val="5244713B"/>
    <w:rsid w:val="52615633"/>
    <w:rsid w:val="526F4DE4"/>
    <w:rsid w:val="52977FD4"/>
    <w:rsid w:val="52A25790"/>
    <w:rsid w:val="52A96B6F"/>
    <w:rsid w:val="52B45975"/>
    <w:rsid w:val="52D94AA4"/>
    <w:rsid w:val="52EA3A62"/>
    <w:rsid w:val="52F50BB8"/>
    <w:rsid w:val="53097272"/>
    <w:rsid w:val="53544462"/>
    <w:rsid w:val="5397158E"/>
    <w:rsid w:val="54013861"/>
    <w:rsid w:val="54487265"/>
    <w:rsid w:val="544D6070"/>
    <w:rsid w:val="54605E1E"/>
    <w:rsid w:val="54B3506A"/>
    <w:rsid w:val="54CA0D16"/>
    <w:rsid w:val="54DD4057"/>
    <w:rsid w:val="54E7490F"/>
    <w:rsid w:val="550764A4"/>
    <w:rsid w:val="550B2BF6"/>
    <w:rsid w:val="55214EB5"/>
    <w:rsid w:val="55364EFD"/>
    <w:rsid w:val="555D4828"/>
    <w:rsid w:val="557A4C8B"/>
    <w:rsid w:val="558931E1"/>
    <w:rsid w:val="55923347"/>
    <w:rsid w:val="55925180"/>
    <w:rsid w:val="55983B1B"/>
    <w:rsid w:val="55A8376B"/>
    <w:rsid w:val="55DC29B6"/>
    <w:rsid w:val="55DD4241"/>
    <w:rsid w:val="566B6D1E"/>
    <w:rsid w:val="57032A2C"/>
    <w:rsid w:val="570F5219"/>
    <w:rsid w:val="5731646B"/>
    <w:rsid w:val="575D12B5"/>
    <w:rsid w:val="57610A87"/>
    <w:rsid w:val="577B1140"/>
    <w:rsid w:val="577B7F21"/>
    <w:rsid w:val="577F181B"/>
    <w:rsid w:val="57921984"/>
    <w:rsid w:val="579737F0"/>
    <w:rsid w:val="57AB7B30"/>
    <w:rsid w:val="57AF5251"/>
    <w:rsid w:val="57B26373"/>
    <w:rsid w:val="57B63F04"/>
    <w:rsid w:val="57CD20C2"/>
    <w:rsid w:val="57D675AB"/>
    <w:rsid w:val="57D95FDD"/>
    <w:rsid w:val="58917D2F"/>
    <w:rsid w:val="5894085C"/>
    <w:rsid w:val="58AE4F0C"/>
    <w:rsid w:val="58B85899"/>
    <w:rsid w:val="58E363A9"/>
    <w:rsid w:val="595E1678"/>
    <w:rsid w:val="596D5BD4"/>
    <w:rsid w:val="597E3DD8"/>
    <w:rsid w:val="59F80043"/>
    <w:rsid w:val="5A09252F"/>
    <w:rsid w:val="5A0B2778"/>
    <w:rsid w:val="5A2A7C7B"/>
    <w:rsid w:val="5A3E2560"/>
    <w:rsid w:val="5A5D3B6E"/>
    <w:rsid w:val="5A637A76"/>
    <w:rsid w:val="5A6D33BA"/>
    <w:rsid w:val="5A7469E7"/>
    <w:rsid w:val="5A792B1F"/>
    <w:rsid w:val="5A874767"/>
    <w:rsid w:val="5AA85BE2"/>
    <w:rsid w:val="5AAD6F28"/>
    <w:rsid w:val="5AD63A24"/>
    <w:rsid w:val="5B2E1A1D"/>
    <w:rsid w:val="5B843A1C"/>
    <w:rsid w:val="5B873E3F"/>
    <w:rsid w:val="5BA83AF9"/>
    <w:rsid w:val="5C02690E"/>
    <w:rsid w:val="5C196DA7"/>
    <w:rsid w:val="5C2A048C"/>
    <w:rsid w:val="5C757E7F"/>
    <w:rsid w:val="5C80234E"/>
    <w:rsid w:val="5C8A680C"/>
    <w:rsid w:val="5D0C4701"/>
    <w:rsid w:val="5D0F0395"/>
    <w:rsid w:val="5D221076"/>
    <w:rsid w:val="5D397964"/>
    <w:rsid w:val="5D5A391C"/>
    <w:rsid w:val="5D5F10C0"/>
    <w:rsid w:val="5D891B7B"/>
    <w:rsid w:val="5DAD38EE"/>
    <w:rsid w:val="5E006862"/>
    <w:rsid w:val="5E0207B9"/>
    <w:rsid w:val="5E1834A1"/>
    <w:rsid w:val="5E261785"/>
    <w:rsid w:val="5E4A7017"/>
    <w:rsid w:val="5E552BBA"/>
    <w:rsid w:val="5E611C10"/>
    <w:rsid w:val="5E7A0F3F"/>
    <w:rsid w:val="5E7A6BA0"/>
    <w:rsid w:val="5EFC7377"/>
    <w:rsid w:val="5F06174D"/>
    <w:rsid w:val="5F2579DE"/>
    <w:rsid w:val="5F3A3602"/>
    <w:rsid w:val="5F45733B"/>
    <w:rsid w:val="5F6277C6"/>
    <w:rsid w:val="5F6D0B1D"/>
    <w:rsid w:val="5F8D0B82"/>
    <w:rsid w:val="5FCC5339"/>
    <w:rsid w:val="5FE34A5B"/>
    <w:rsid w:val="5FFE1E36"/>
    <w:rsid w:val="60232584"/>
    <w:rsid w:val="607330CE"/>
    <w:rsid w:val="60825176"/>
    <w:rsid w:val="609F2AC4"/>
    <w:rsid w:val="60B451BD"/>
    <w:rsid w:val="60FA2EE8"/>
    <w:rsid w:val="61054A27"/>
    <w:rsid w:val="610A52BC"/>
    <w:rsid w:val="611D2366"/>
    <w:rsid w:val="61421856"/>
    <w:rsid w:val="615227C4"/>
    <w:rsid w:val="61654E3F"/>
    <w:rsid w:val="6182292A"/>
    <w:rsid w:val="619F7F92"/>
    <w:rsid w:val="61F94C26"/>
    <w:rsid w:val="62000E56"/>
    <w:rsid w:val="624F3E49"/>
    <w:rsid w:val="62632286"/>
    <w:rsid w:val="62885958"/>
    <w:rsid w:val="62F40B65"/>
    <w:rsid w:val="62FC2CFE"/>
    <w:rsid w:val="63024505"/>
    <w:rsid w:val="63500D87"/>
    <w:rsid w:val="635600A5"/>
    <w:rsid w:val="635B1DB5"/>
    <w:rsid w:val="63711FED"/>
    <w:rsid w:val="63880DDC"/>
    <w:rsid w:val="638D750D"/>
    <w:rsid w:val="63AC6CC0"/>
    <w:rsid w:val="64055776"/>
    <w:rsid w:val="64240056"/>
    <w:rsid w:val="643E143A"/>
    <w:rsid w:val="64491666"/>
    <w:rsid w:val="648B6EEF"/>
    <w:rsid w:val="64C158BF"/>
    <w:rsid w:val="64CE2EAA"/>
    <w:rsid w:val="653C3090"/>
    <w:rsid w:val="657B2729"/>
    <w:rsid w:val="65854376"/>
    <w:rsid w:val="658767BE"/>
    <w:rsid w:val="65892531"/>
    <w:rsid w:val="66195831"/>
    <w:rsid w:val="662E75B1"/>
    <w:rsid w:val="66342C2E"/>
    <w:rsid w:val="663E784C"/>
    <w:rsid w:val="668B6A45"/>
    <w:rsid w:val="67011F07"/>
    <w:rsid w:val="672F3F24"/>
    <w:rsid w:val="673E055F"/>
    <w:rsid w:val="67551CE3"/>
    <w:rsid w:val="67A22552"/>
    <w:rsid w:val="67B22DCC"/>
    <w:rsid w:val="67BE71AA"/>
    <w:rsid w:val="67CA6B60"/>
    <w:rsid w:val="67D90273"/>
    <w:rsid w:val="67DE5875"/>
    <w:rsid w:val="67E55852"/>
    <w:rsid w:val="67EB1AB4"/>
    <w:rsid w:val="67FA1285"/>
    <w:rsid w:val="68551F4F"/>
    <w:rsid w:val="687C10C9"/>
    <w:rsid w:val="68840C16"/>
    <w:rsid w:val="68872541"/>
    <w:rsid w:val="68876EFB"/>
    <w:rsid w:val="68884654"/>
    <w:rsid w:val="689F444F"/>
    <w:rsid w:val="68B96DBB"/>
    <w:rsid w:val="68CA2805"/>
    <w:rsid w:val="68E937A3"/>
    <w:rsid w:val="691664E5"/>
    <w:rsid w:val="693E15D3"/>
    <w:rsid w:val="69627681"/>
    <w:rsid w:val="6977531D"/>
    <w:rsid w:val="69CC2BFF"/>
    <w:rsid w:val="69FD55B8"/>
    <w:rsid w:val="6A0B1C62"/>
    <w:rsid w:val="6A2406C8"/>
    <w:rsid w:val="6AD01BCD"/>
    <w:rsid w:val="6ADE0BD1"/>
    <w:rsid w:val="6AE96859"/>
    <w:rsid w:val="6B147746"/>
    <w:rsid w:val="6B24787C"/>
    <w:rsid w:val="6B573233"/>
    <w:rsid w:val="6B5B6274"/>
    <w:rsid w:val="6B935D53"/>
    <w:rsid w:val="6C196F71"/>
    <w:rsid w:val="6C226FCB"/>
    <w:rsid w:val="6C31226F"/>
    <w:rsid w:val="6C53684F"/>
    <w:rsid w:val="6C552F0B"/>
    <w:rsid w:val="6C8C67B7"/>
    <w:rsid w:val="6C9D744C"/>
    <w:rsid w:val="6D167928"/>
    <w:rsid w:val="6D26299B"/>
    <w:rsid w:val="6D3C2A7C"/>
    <w:rsid w:val="6D4772EC"/>
    <w:rsid w:val="6D9078AF"/>
    <w:rsid w:val="6DAA3FEF"/>
    <w:rsid w:val="6DC0172B"/>
    <w:rsid w:val="6DCB690C"/>
    <w:rsid w:val="6DCC4136"/>
    <w:rsid w:val="6DD41A5B"/>
    <w:rsid w:val="6DF43C2E"/>
    <w:rsid w:val="6DF51CA3"/>
    <w:rsid w:val="6E8335BD"/>
    <w:rsid w:val="6E8E12EF"/>
    <w:rsid w:val="6E972936"/>
    <w:rsid w:val="6ED446C5"/>
    <w:rsid w:val="6F2A7D94"/>
    <w:rsid w:val="6F8331F1"/>
    <w:rsid w:val="6FAE1A09"/>
    <w:rsid w:val="6FD75BF8"/>
    <w:rsid w:val="707723D0"/>
    <w:rsid w:val="70F5661B"/>
    <w:rsid w:val="71360107"/>
    <w:rsid w:val="713B688E"/>
    <w:rsid w:val="71D43752"/>
    <w:rsid w:val="71F1796A"/>
    <w:rsid w:val="72154626"/>
    <w:rsid w:val="72262B5D"/>
    <w:rsid w:val="72283FF7"/>
    <w:rsid w:val="722E7212"/>
    <w:rsid w:val="723A0474"/>
    <w:rsid w:val="725923E4"/>
    <w:rsid w:val="72864BF7"/>
    <w:rsid w:val="729023FC"/>
    <w:rsid w:val="73C0646E"/>
    <w:rsid w:val="7417314E"/>
    <w:rsid w:val="742222F5"/>
    <w:rsid w:val="743C3A55"/>
    <w:rsid w:val="74476126"/>
    <w:rsid w:val="74706664"/>
    <w:rsid w:val="747F3682"/>
    <w:rsid w:val="749C4185"/>
    <w:rsid w:val="75067759"/>
    <w:rsid w:val="752E6DCD"/>
    <w:rsid w:val="7551380D"/>
    <w:rsid w:val="75600BE5"/>
    <w:rsid w:val="7564475C"/>
    <w:rsid w:val="7583797F"/>
    <w:rsid w:val="759E2C05"/>
    <w:rsid w:val="75D20F1D"/>
    <w:rsid w:val="75DA2C18"/>
    <w:rsid w:val="75F54412"/>
    <w:rsid w:val="761D08E0"/>
    <w:rsid w:val="765D347C"/>
    <w:rsid w:val="76826699"/>
    <w:rsid w:val="76C87133"/>
    <w:rsid w:val="76CD08D5"/>
    <w:rsid w:val="76DB4B92"/>
    <w:rsid w:val="76FD013A"/>
    <w:rsid w:val="77052AA4"/>
    <w:rsid w:val="77136511"/>
    <w:rsid w:val="77340A39"/>
    <w:rsid w:val="77351FD0"/>
    <w:rsid w:val="77472422"/>
    <w:rsid w:val="777F31F2"/>
    <w:rsid w:val="77D1700D"/>
    <w:rsid w:val="77EC04CC"/>
    <w:rsid w:val="785F0B3D"/>
    <w:rsid w:val="78775729"/>
    <w:rsid w:val="78A42DB0"/>
    <w:rsid w:val="78A656AB"/>
    <w:rsid w:val="78B2245C"/>
    <w:rsid w:val="78E172CC"/>
    <w:rsid w:val="78EA1D1F"/>
    <w:rsid w:val="7904172F"/>
    <w:rsid w:val="790F7E27"/>
    <w:rsid w:val="792A231A"/>
    <w:rsid w:val="79316829"/>
    <w:rsid w:val="797E66A9"/>
    <w:rsid w:val="798518A4"/>
    <w:rsid w:val="79A97383"/>
    <w:rsid w:val="79E27E8B"/>
    <w:rsid w:val="79F850CE"/>
    <w:rsid w:val="79FD443C"/>
    <w:rsid w:val="7A1D1975"/>
    <w:rsid w:val="7A3E5150"/>
    <w:rsid w:val="7A4670D6"/>
    <w:rsid w:val="7A534B63"/>
    <w:rsid w:val="7A615382"/>
    <w:rsid w:val="7A67303B"/>
    <w:rsid w:val="7AAB1D04"/>
    <w:rsid w:val="7AB62133"/>
    <w:rsid w:val="7ABA4368"/>
    <w:rsid w:val="7AD05746"/>
    <w:rsid w:val="7B257FFD"/>
    <w:rsid w:val="7B273D20"/>
    <w:rsid w:val="7B343476"/>
    <w:rsid w:val="7B5A2978"/>
    <w:rsid w:val="7B5A7E4C"/>
    <w:rsid w:val="7B667AF9"/>
    <w:rsid w:val="7B7468F8"/>
    <w:rsid w:val="7B74701A"/>
    <w:rsid w:val="7BEE0103"/>
    <w:rsid w:val="7C0A0FE4"/>
    <w:rsid w:val="7C254906"/>
    <w:rsid w:val="7C590818"/>
    <w:rsid w:val="7C7C10F6"/>
    <w:rsid w:val="7C853BEA"/>
    <w:rsid w:val="7C881368"/>
    <w:rsid w:val="7CE27788"/>
    <w:rsid w:val="7D0C32F1"/>
    <w:rsid w:val="7D0F408D"/>
    <w:rsid w:val="7D491C6C"/>
    <w:rsid w:val="7D5429C0"/>
    <w:rsid w:val="7D6E6D43"/>
    <w:rsid w:val="7DB57A34"/>
    <w:rsid w:val="7DE60973"/>
    <w:rsid w:val="7DEF0916"/>
    <w:rsid w:val="7E1E5218"/>
    <w:rsid w:val="7E381D20"/>
    <w:rsid w:val="7E9A4E1F"/>
    <w:rsid w:val="7EA7723A"/>
    <w:rsid w:val="7EF56FBB"/>
    <w:rsid w:val="7F0768EB"/>
    <w:rsid w:val="7F143BEC"/>
    <w:rsid w:val="7F715AF2"/>
    <w:rsid w:val="7F886E69"/>
    <w:rsid w:val="BB7FA927"/>
    <w:rsid w:val="F5FFD31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1"/>
    <w:link w:val="281"/>
    <w:autoRedefine/>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5">
    <w:name w:val="heading 2"/>
    <w:basedOn w:val="1"/>
    <w:next w:val="1"/>
    <w:autoRedefine/>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6">
    <w:name w:val="heading 3"/>
    <w:basedOn w:val="1"/>
    <w:next w:val="7"/>
    <w:autoRedefine/>
    <w:qFormat/>
    <w:uiPriority w:val="0"/>
    <w:pPr>
      <w:keepNext/>
      <w:keepLines/>
      <w:tabs>
        <w:tab w:val="left" w:pos="900"/>
      </w:tabs>
      <w:spacing w:before="260" w:after="260" w:line="416" w:lineRule="auto"/>
      <w:ind w:left="900" w:hanging="720"/>
      <w:outlineLvl w:val="2"/>
    </w:pPr>
    <w:rPr>
      <w:b/>
      <w:bCs/>
      <w:sz w:val="32"/>
      <w:szCs w:val="32"/>
    </w:rPr>
  </w:style>
  <w:style w:type="paragraph" w:styleId="8">
    <w:name w:val="heading 4"/>
    <w:basedOn w:val="1"/>
    <w:next w:val="1"/>
    <w:link w:val="325"/>
    <w:autoRedefine/>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9">
    <w:name w:val="heading 5"/>
    <w:basedOn w:val="1"/>
    <w:next w:val="1"/>
    <w:link w:val="291"/>
    <w:autoRedefine/>
    <w:qFormat/>
    <w:uiPriority w:val="0"/>
    <w:pPr>
      <w:keepNext/>
      <w:keepLines/>
      <w:tabs>
        <w:tab w:val="left" w:pos="1008"/>
      </w:tabs>
      <w:spacing w:before="280" w:after="290" w:line="376" w:lineRule="auto"/>
      <w:ind w:left="1008" w:hanging="1008"/>
      <w:outlineLvl w:val="4"/>
    </w:pPr>
    <w:rPr>
      <w:b/>
      <w:bCs/>
      <w:sz w:val="28"/>
      <w:szCs w:val="28"/>
    </w:rPr>
  </w:style>
  <w:style w:type="paragraph" w:styleId="10">
    <w:name w:val="heading 6"/>
    <w:basedOn w:val="1"/>
    <w:next w:val="1"/>
    <w:link w:val="145"/>
    <w:autoRedefine/>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1">
    <w:name w:val="heading 7"/>
    <w:basedOn w:val="1"/>
    <w:next w:val="1"/>
    <w:link w:val="305"/>
    <w:autoRedefine/>
    <w:qFormat/>
    <w:uiPriority w:val="0"/>
    <w:pPr>
      <w:keepNext/>
      <w:keepLines/>
      <w:tabs>
        <w:tab w:val="left" w:pos="1296"/>
      </w:tabs>
      <w:spacing w:before="240" w:after="64" w:line="320" w:lineRule="auto"/>
      <w:ind w:left="1296" w:hanging="1296"/>
      <w:outlineLvl w:val="6"/>
    </w:pPr>
    <w:rPr>
      <w:b/>
      <w:bCs/>
      <w:sz w:val="24"/>
    </w:rPr>
  </w:style>
  <w:style w:type="paragraph" w:styleId="12">
    <w:name w:val="heading 8"/>
    <w:basedOn w:val="1"/>
    <w:next w:val="1"/>
    <w:link w:val="356"/>
    <w:autoRedefine/>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3">
    <w:name w:val="heading 9"/>
    <w:basedOn w:val="1"/>
    <w:next w:val="1"/>
    <w:link w:val="180"/>
    <w:autoRedefine/>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0">
    <w:name w:val="Default Paragraph Font"/>
    <w:autoRedefine/>
    <w:semiHidden/>
    <w:unhideWhenUsed/>
    <w:qFormat/>
    <w:uiPriority w:val="1"/>
  </w:style>
  <w:style w:type="table" w:default="1" w:styleId="63">
    <w:name w:val="Normal Table"/>
    <w:autoRedefine/>
    <w:semiHidden/>
    <w:unhideWhenUsed/>
    <w:qFormat/>
    <w:uiPriority w:val="99"/>
    <w:tblPr>
      <w:tblCellMar>
        <w:top w:w="0" w:type="dxa"/>
        <w:left w:w="108" w:type="dxa"/>
        <w:bottom w:w="0" w:type="dxa"/>
        <w:right w:w="108" w:type="dxa"/>
      </w:tblCellMar>
    </w:tblPr>
  </w:style>
  <w:style w:type="paragraph" w:customStyle="1" w:styleId="2">
    <w:name w:val="样式3"/>
    <w:basedOn w:val="3"/>
    <w:next w:val="1"/>
    <w:autoRedefine/>
    <w:qFormat/>
    <w:uiPriority w:val="0"/>
    <w:pPr>
      <w:tabs>
        <w:tab w:val="left" w:pos="2790"/>
        <w:tab w:val="left" w:pos="4230"/>
      </w:tabs>
      <w:spacing w:before="312" w:beforeLines="100"/>
      <w:jc w:val="left"/>
    </w:pPr>
  </w:style>
  <w:style w:type="paragraph" w:styleId="3">
    <w:name w:val="Plain Text"/>
    <w:basedOn w:val="1"/>
    <w:link w:val="123"/>
    <w:autoRedefine/>
    <w:qFormat/>
    <w:uiPriority w:val="0"/>
    <w:rPr>
      <w:rFonts w:ascii="宋体" w:hAnsi="Courier New" w:cs="Arial"/>
      <w:snapToGrid w:val="0"/>
      <w:szCs w:val="21"/>
    </w:rPr>
  </w:style>
  <w:style w:type="paragraph" w:styleId="7">
    <w:name w:val="Normal Indent"/>
    <w:basedOn w:val="1"/>
    <w:link w:val="191"/>
    <w:autoRedefine/>
    <w:qFormat/>
    <w:uiPriority w:val="0"/>
    <w:pPr>
      <w:widowControl/>
      <w:snapToGrid w:val="0"/>
      <w:spacing w:line="480" w:lineRule="exact"/>
      <w:ind w:firstLine="567"/>
    </w:pPr>
    <w:rPr>
      <w:rFonts w:ascii="宋体"/>
      <w:snapToGrid w:val="0"/>
      <w:color w:val="000000"/>
      <w:kern w:val="28"/>
      <w:sz w:val="28"/>
      <w:szCs w:val="20"/>
    </w:rPr>
  </w:style>
  <w:style w:type="paragraph" w:styleId="14">
    <w:name w:val="toc 7"/>
    <w:basedOn w:val="1"/>
    <w:next w:val="1"/>
    <w:autoRedefine/>
    <w:qFormat/>
    <w:uiPriority w:val="0"/>
    <w:pPr>
      <w:ind w:left="2520" w:leftChars="1200"/>
    </w:pPr>
  </w:style>
  <w:style w:type="paragraph" w:styleId="15">
    <w:name w:val="List Number 2"/>
    <w:basedOn w:val="1"/>
    <w:autoRedefine/>
    <w:qFormat/>
    <w:uiPriority w:val="0"/>
    <w:pPr>
      <w:widowControl/>
      <w:tabs>
        <w:tab w:val="left" w:pos="1697"/>
      </w:tabs>
      <w:adjustRightInd/>
      <w:spacing w:after="156" w:afterLines="50"/>
      <w:ind w:left="1697" w:hanging="420"/>
      <w:jc w:val="left"/>
    </w:pPr>
    <w:rPr>
      <w:kern w:val="0"/>
      <w:sz w:val="24"/>
      <w:szCs w:val="20"/>
    </w:rPr>
  </w:style>
  <w:style w:type="paragraph" w:styleId="16">
    <w:name w:val="List Bullet 4"/>
    <w:basedOn w:val="1"/>
    <w:autoRedefine/>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7">
    <w:name w:val="List Number"/>
    <w:basedOn w:val="1"/>
    <w:autoRedefine/>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8">
    <w:name w:val="caption"/>
    <w:basedOn w:val="1"/>
    <w:next w:val="1"/>
    <w:link w:val="227"/>
    <w:autoRedefine/>
    <w:qFormat/>
    <w:uiPriority w:val="0"/>
    <w:rPr>
      <w:b/>
      <w:sz w:val="28"/>
      <w:szCs w:val="20"/>
    </w:rPr>
  </w:style>
  <w:style w:type="paragraph" w:styleId="19">
    <w:name w:val="index 5"/>
    <w:basedOn w:val="1"/>
    <w:next w:val="1"/>
    <w:autoRedefine/>
    <w:qFormat/>
    <w:uiPriority w:val="0"/>
    <w:pPr>
      <w:adjustRightInd/>
      <w:ind w:left="800" w:leftChars="800" w:firstLine="200" w:firstLineChars="200"/>
    </w:pPr>
  </w:style>
  <w:style w:type="paragraph" w:styleId="20">
    <w:name w:val="Document Map"/>
    <w:basedOn w:val="1"/>
    <w:link w:val="200"/>
    <w:autoRedefine/>
    <w:qFormat/>
    <w:uiPriority w:val="0"/>
    <w:pPr>
      <w:shd w:val="clear" w:color="auto" w:fill="000080"/>
    </w:pPr>
  </w:style>
  <w:style w:type="paragraph" w:styleId="21">
    <w:name w:val="annotation text"/>
    <w:basedOn w:val="1"/>
    <w:link w:val="342"/>
    <w:autoRedefine/>
    <w:qFormat/>
    <w:uiPriority w:val="99"/>
    <w:pPr>
      <w:jc w:val="left"/>
    </w:pPr>
  </w:style>
  <w:style w:type="paragraph" w:styleId="22">
    <w:name w:val="Salutation"/>
    <w:basedOn w:val="1"/>
    <w:next w:val="1"/>
    <w:link w:val="296"/>
    <w:autoRedefine/>
    <w:qFormat/>
    <w:uiPriority w:val="0"/>
    <w:rPr>
      <w:rFonts w:ascii="仿宋_GB2312" w:eastAsia="仿宋_GB2312"/>
      <w:sz w:val="28"/>
      <w:szCs w:val="20"/>
    </w:rPr>
  </w:style>
  <w:style w:type="paragraph" w:styleId="23">
    <w:name w:val="Body Text 3"/>
    <w:basedOn w:val="1"/>
    <w:link w:val="328"/>
    <w:autoRedefine/>
    <w:qFormat/>
    <w:uiPriority w:val="0"/>
    <w:pPr>
      <w:jc w:val="center"/>
    </w:pPr>
    <w:rPr>
      <w:szCs w:val="20"/>
    </w:rPr>
  </w:style>
  <w:style w:type="paragraph" w:styleId="24">
    <w:name w:val="List Bullet 3"/>
    <w:basedOn w:val="1"/>
    <w:autoRedefine/>
    <w:unhideWhenUsed/>
    <w:qFormat/>
    <w:uiPriority w:val="0"/>
    <w:pPr>
      <w:snapToGrid w:val="0"/>
      <w:spacing w:line="360" w:lineRule="auto"/>
      <w:ind w:left="360" w:right="238" w:hanging="360"/>
      <w:contextualSpacing/>
    </w:pPr>
    <w:rPr>
      <w:sz w:val="24"/>
    </w:rPr>
  </w:style>
  <w:style w:type="paragraph" w:styleId="25">
    <w:name w:val="Body Text"/>
    <w:basedOn w:val="1"/>
    <w:next w:val="26"/>
    <w:link w:val="428"/>
    <w:autoRedefine/>
    <w:qFormat/>
    <w:uiPriority w:val="0"/>
    <w:pPr>
      <w:autoSpaceDE w:val="0"/>
      <w:autoSpaceDN w:val="0"/>
      <w:spacing w:line="360" w:lineRule="auto"/>
    </w:pPr>
    <w:rPr>
      <w:rFonts w:ascii="宋体" w:hAnsi="Arial" w:cs="Arial"/>
      <w:snapToGrid w:val="0"/>
      <w:sz w:val="24"/>
      <w:szCs w:val="21"/>
      <w:lang w:val="zh-CN"/>
    </w:rPr>
  </w:style>
  <w:style w:type="paragraph" w:styleId="26">
    <w:name w:val="Body Text First Indent"/>
    <w:basedOn w:val="25"/>
    <w:next w:val="1"/>
    <w:link w:val="319"/>
    <w:autoRedefine/>
    <w:qFormat/>
    <w:uiPriority w:val="0"/>
    <w:pPr>
      <w:ind w:firstLine="420"/>
    </w:pPr>
    <w:rPr>
      <w:rFonts w:hAnsi="Calibri" w:cs="Times New Roman"/>
      <w:snapToGrid/>
      <w:szCs w:val="20"/>
    </w:rPr>
  </w:style>
  <w:style w:type="paragraph" w:styleId="27">
    <w:name w:val="Body Text Indent"/>
    <w:basedOn w:val="1"/>
    <w:link w:val="263"/>
    <w:autoRedefine/>
    <w:qFormat/>
    <w:uiPriority w:val="0"/>
    <w:pPr>
      <w:spacing w:line="480" w:lineRule="exact"/>
      <w:ind w:firstLine="480" w:firstLineChars="200"/>
    </w:pPr>
    <w:rPr>
      <w:rFonts w:ascii="宋体" w:hAnsi="宋体"/>
      <w:sz w:val="24"/>
    </w:rPr>
  </w:style>
  <w:style w:type="paragraph" w:styleId="28">
    <w:name w:val="List Number 3"/>
    <w:basedOn w:val="1"/>
    <w:autoRedefine/>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9">
    <w:name w:val="List 2"/>
    <w:basedOn w:val="1"/>
    <w:autoRedefine/>
    <w:qFormat/>
    <w:uiPriority w:val="0"/>
    <w:pPr>
      <w:adjustRightInd/>
      <w:spacing w:line="360" w:lineRule="auto"/>
      <w:ind w:left="100" w:leftChars="200" w:hanging="200" w:hangingChars="200"/>
    </w:pPr>
    <w:rPr>
      <w:rFonts w:eastAsia="微软雅黑"/>
    </w:rPr>
  </w:style>
  <w:style w:type="paragraph" w:styleId="30">
    <w:name w:val="Block Text"/>
    <w:basedOn w:val="1"/>
    <w:autoRedefine/>
    <w:qFormat/>
    <w:uiPriority w:val="0"/>
    <w:pPr>
      <w:ind w:left="-359" w:leftChars="-171" w:right="-244" w:rightChars="-244" w:firstLine="501" w:firstLineChars="239"/>
    </w:pPr>
    <w:rPr>
      <w:rFonts w:ascii="仿宋_GB2312" w:eastAsia="仿宋_GB2312"/>
      <w:sz w:val="30"/>
      <w:szCs w:val="20"/>
    </w:rPr>
  </w:style>
  <w:style w:type="paragraph" w:styleId="31">
    <w:name w:val="List Bullet 2"/>
    <w:basedOn w:val="1"/>
    <w:autoRedefine/>
    <w:qFormat/>
    <w:uiPriority w:val="0"/>
    <w:pPr>
      <w:autoSpaceDE w:val="0"/>
      <w:autoSpaceDN w:val="0"/>
      <w:ind w:left="420"/>
      <w:jc w:val="left"/>
    </w:pPr>
    <w:rPr>
      <w:rFonts w:ascii="宋体" w:hAnsi="宋体"/>
      <w:color w:val="000000"/>
      <w:kern w:val="0"/>
      <w:sz w:val="24"/>
      <w:szCs w:val="20"/>
    </w:rPr>
  </w:style>
  <w:style w:type="paragraph" w:styleId="32">
    <w:name w:val="HTML Address"/>
    <w:basedOn w:val="1"/>
    <w:link w:val="217"/>
    <w:autoRedefine/>
    <w:qFormat/>
    <w:uiPriority w:val="0"/>
    <w:pPr>
      <w:widowControl/>
      <w:adjustRightInd/>
      <w:ind w:firstLine="200" w:firstLineChars="200"/>
      <w:jc w:val="left"/>
    </w:pPr>
    <w:rPr>
      <w:rFonts w:ascii="宋体" w:hAnsi="宋体"/>
      <w:i/>
      <w:iCs/>
      <w:kern w:val="0"/>
      <w:sz w:val="24"/>
    </w:rPr>
  </w:style>
  <w:style w:type="paragraph" w:styleId="33">
    <w:name w:val="toc 5"/>
    <w:basedOn w:val="1"/>
    <w:next w:val="1"/>
    <w:autoRedefine/>
    <w:qFormat/>
    <w:uiPriority w:val="0"/>
    <w:pPr>
      <w:ind w:left="1680" w:leftChars="800"/>
    </w:pPr>
  </w:style>
  <w:style w:type="paragraph" w:styleId="34">
    <w:name w:val="toc 3"/>
    <w:basedOn w:val="1"/>
    <w:next w:val="1"/>
    <w:autoRedefine/>
    <w:qFormat/>
    <w:uiPriority w:val="0"/>
    <w:pPr>
      <w:tabs>
        <w:tab w:val="right" w:leader="dot" w:pos="8268"/>
      </w:tabs>
      <w:spacing w:line="460" w:lineRule="exact"/>
      <w:ind w:left="840" w:leftChars="400" w:firstLine="482"/>
    </w:pPr>
    <w:rPr>
      <w:rFonts w:ascii="宋体" w:hAnsi="宋体"/>
    </w:rPr>
  </w:style>
  <w:style w:type="paragraph" w:styleId="35">
    <w:name w:val="List Number 4"/>
    <w:basedOn w:val="1"/>
    <w:autoRedefine/>
    <w:qFormat/>
    <w:uiPriority w:val="0"/>
    <w:pPr>
      <w:tabs>
        <w:tab w:val="left" w:pos="840"/>
      </w:tabs>
      <w:autoSpaceDE w:val="0"/>
      <w:autoSpaceDN w:val="0"/>
      <w:spacing w:line="360" w:lineRule="atLeast"/>
      <w:ind w:left="840" w:hanging="420"/>
    </w:pPr>
    <w:rPr>
      <w:kern w:val="0"/>
      <w:sz w:val="24"/>
    </w:rPr>
  </w:style>
  <w:style w:type="paragraph" w:styleId="36">
    <w:name w:val="toc 8"/>
    <w:basedOn w:val="1"/>
    <w:next w:val="1"/>
    <w:autoRedefine/>
    <w:qFormat/>
    <w:uiPriority w:val="0"/>
    <w:pPr>
      <w:ind w:left="2940" w:leftChars="1400"/>
    </w:pPr>
  </w:style>
  <w:style w:type="paragraph" w:styleId="37">
    <w:name w:val="Date"/>
    <w:basedOn w:val="1"/>
    <w:next w:val="1"/>
    <w:link w:val="179"/>
    <w:autoRedefine/>
    <w:qFormat/>
    <w:uiPriority w:val="0"/>
    <w:pPr>
      <w:ind w:left="100" w:leftChars="2500"/>
    </w:pPr>
    <w:rPr>
      <w:rFonts w:ascii="宋体"/>
      <w:sz w:val="24"/>
      <w:szCs w:val="21"/>
      <w:lang w:val="zh-CN"/>
    </w:rPr>
  </w:style>
  <w:style w:type="paragraph" w:styleId="38">
    <w:name w:val="Body Text Indent 2"/>
    <w:basedOn w:val="1"/>
    <w:link w:val="306"/>
    <w:autoRedefine/>
    <w:qFormat/>
    <w:uiPriority w:val="0"/>
    <w:pPr>
      <w:spacing w:line="360" w:lineRule="auto"/>
      <w:ind w:firstLine="601"/>
      <w:textAlignment w:val="baseline"/>
    </w:pPr>
    <w:rPr>
      <w:rFonts w:ascii="宋体"/>
      <w:kern w:val="0"/>
      <w:sz w:val="28"/>
      <w:szCs w:val="20"/>
    </w:rPr>
  </w:style>
  <w:style w:type="paragraph" w:styleId="39">
    <w:name w:val="endnote text"/>
    <w:basedOn w:val="1"/>
    <w:link w:val="929"/>
    <w:autoRedefine/>
    <w:qFormat/>
    <w:uiPriority w:val="0"/>
    <w:rPr>
      <w:lang w:val="zh-CN"/>
    </w:rPr>
  </w:style>
  <w:style w:type="paragraph" w:styleId="40">
    <w:name w:val="Balloon Text"/>
    <w:basedOn w:val="1"/>
    <w:link w:val="186"/>
    <w:autoRedefine/>
    <w:qFormat/>
    <w:uiPriority w:val="0"/>
    <w:rPr>
      <w:sz w:val="18"/>
      <w:szCs w:val="18"/>
    </w:rPr>
  </w:style>
  <w:style w:type="paragraph" w:styleId="41">
    <w:name w:val="footer"/>
    <w:basedOn w:val="1"/>
    <w:link w:val="381"/>
    <w:autoRedefine/>
    <w:qFormat/>
    <w:uiPriority w:val="99"/>
    <w:pPr>
      <w:tabs>
        <w:tab w:val="center" w:pos="4153"/>
        <w:tab w:val="right" w:pos="8306"/>
      </w:tabs>
      <w:snapToGrid w:val="0"/>
      <w:jc w:val="left"/>
    </w:pPr>
    <w:rPr>
      <w:sz w:val="18"/>
      <w:szCs w:val="18"/>
    </w:rPr>
  </w:style>
  <w:style w:type="paragraph" w:styleId="42">
    <w:name w:val="header"/>
    <w:basedOn w:val="1"/>
    <w:link w:val="390"/>
    <w:autoRedefine/>
    <w:qFormat/>
    <w:uiPriority w:val="99"/>
    <w:pPr>
      <w:pBdr>
        <w:bottom w:val="single" w:color="auto" w:sz="6" w:space="1"/>
      </w:pBdr>
      <w:tabs>
        <w:tab w:val="center" w:pos="4153"/>
        <w:tab w:val="right" w:pos="8306"/>
      </w:tabs>
      <w:snapToGrid w:val="0"/>
      <w:jc w:val="center"/>
    </w:pPr>
    <w:rPr>
      <w:sz w:val="18"/>
      <w:szCs w:val="18"/>
    </w:rPr>
  </w:style>
  <w:style w:type="paragraph" w:styleId="43">
    <w:name w:val="Signature"/>
    <w:basedOn w:val="1"/>
    <w:link w:val="343"/>
    <w:autoRedefine/>
    <w:qFormat/>
    <w:uiPriority w:val="0"/>
    <w:pPr>
      <w:spacing w:after="600" w:line="312" w:lineRule="atLeast"/>
      <w:jc w:val="center"/>
      <w:textAlignment w:val="baseline"/>
    </w:pPr>
    <w:rPr>
      <w:rFonts w:eastAsia="仿宋_GB2312"/>
      <w:kern w:val="0"/>
      <w:sz w:val="24"/>
      <w:szCs w:val="20"/>
    </w:rPr>
  </w:style>
  <w:style w:type="paragraph" w:styleId="44">
    <w:name w:val="toc 1"/>
    <w:basedOn w:val="1"/>
    <w:next w:val="1"/>
    <w:autoRedefine/>
    <w:qFormat/>
    <w:uiPriority w:val="0"/>
  </w:style>
  <w:style w:type="paragraph" w:styleId="45">
    <w:name w:val="toc 4"/>
    <w:basedOn w:val="1"/>
    <w:next w:val="1"/>
    <w:autoRedefine/>
    <w:qFormat/>
    <w:uiPriority w:val="0"/>
    <w:pPr>
      <w:ind w:left="1260" w:leftChars="600"/>
    </w:pPr>
  </w:style>
  <w:style w:type="paragraph" w:styleId="46">
    <w:name w:val="index heading"/>
    <w:basedOn w:val="1"/>
    <w:next w:val="47"/>
    <w:autoRedefine/>
    <w:qFormat/>
    <w:uiPriority w:val="0"/>
    <w:pPr>
      <w:adjustRightInd/>
      <w:ind w:firstLine="200" w:firstLineChars="200"/>
    </w:pPr>
  </w:style>
  <w:style w:type="paragraph" w:styleId="47">
    <w:name w:val="index 1"/>
    <w:basedOn w:val="1"/>
    <w:next w:val="1"/>
    <w:autoRedefine/>
    <w:qFormat/>
    <w:uiPriority w:val="0"/>
    <w:pPr>
      <w:adjustRightInd/>
      <w:spacing w:line="360" w:lineRule="auto"/>
      <w:ind w:firstLine="200" w:firstLineChars="200"/>
      <w:jc w:val="center"/>
    </w:pPr>
    <w:rPr>
      <w:sz w:val="24"/>
      <w:szCs w:val="20"/>
    </w:rPr>
  </w:style>
  <w:style w:type="paragraph" w:styleId="48">
    <w:name w:val="Subtitle"/>
    <w:link w:val="131"/>
    <w:autoRedefine/>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9">
    <w:name w:val="List Number 5"/>
    <w:basedOn w:val="1"/>
    <w:autoRedefine/>
    <w:qFormat/>
    <w:uiPriority w:val="0"/>
    <w:pPr>
      <w:tabs>
        <w:tab w:val="left" w:pos="902"/>
      </w:tabs>
      <w:adjustRightInd/>
      <w:spacing w:line="400" w:lineRule="exact"/>
      <w:ind w:left="902" w:hanging="420"/>
    </w:pPr>
    <w:rPr>
      <w:sz w:val="24"/>
      <w:szCs w:val="20"/>
    </w:rPr>
  </w:style>
  <w:style w:type="paragraph" w:styleId="50">
    <w:name w:val="List"/>
    <w:basedOn w:val="1"/>
    <w:autoRedefine/>
    <w:qFormat/>
    <w:uiPriority w:val="0"/>
    <w:pPr>
      <w:ind w:left="200" w:hanging="200" w:hangingChars="200"/>
    </w:pPr>
  </w:style>
  <w:style w:type="paragraph" w:styleId="51">
    <w:name w:val="footnote text"/>
    <w:basedOn w:val="7"/>
    <w:link w:val="308"/>
    <w:autoRedefine/>
    <w:qFormat/>
    <w:uiPriority w:val="0"/>
    <w:pPr>
      <w:adjustRightInd/>
      <w:snapToGrid/>
      <w:spacing w:before="60" w:after="60" w:line="300" w:lineRule="exact"/>
      <w:ind w:firstLine="0"/>
    </w:pPr>
    <w:rPr>
      <w:rFonts w:ascii="Calibri"/>
      <w:snapToGrid/>
      <w:color w:val="0000FF"/>
      <w:kern w:val="0"/>
      <w:sz w:val="21"/>
    </w:rPr>
  </w:style>
  <w:style w:type="paragraph" w:styleId="52">
    <w:name w:val="toc 6"/>
    <w:basedOn w:val="1"/>
    <w:next w:val="1"/>
    <w:autoRedefine/>
    <w:qFormat/>
    <w:uiPriority w:val="0"/>
    <w:pPr>
      <w:ind w:left="2100" w:leftChars="1000"/>
    </w:pPr>
  </w:style>
  <w:style w:type="paragraph" w:styleId="53">
    <w:name w:val="List 5"/>
    <w:basedOn w:val="1"/>
    <w:autoRedefine/>
    <w:qFormat/>
    <w:uiPriority w:val="0"/>
    <w:pPr>
      <w:adjustRightInd/>
      <w:ind w:left="100" w:leftChars="800" w:hanging="200" w:hangingChars="200"/>
    </w:pPr>
  </w:style>
  <w:style w:type="paragraph" w:styleId="54">
    <w:name w:val="Body Text Indent 3"/>
    <w:basedOn w:val="1"/>
    <w:link w:val="373"/>
    <w:autoRedefine/>
    <w:qFormat/>
    <w:uiPriority w:val="0"/>
    <w:pPr>
      <w:spacing w:line="360" w:lineRule="auto"/>
      <w:ind w:firstLine="420"/>
    </w:pPr>
    <w:rPr>
      <w:sz w:val="24"/>
      <w:szCs w:val="20"/>
    </w:rPr>
  </w:style>
  <w:style w:type="paragraph" w:styleId="55">
    <w:name w:val="toc 2"/>
    <w:basedOn w:val="1"/>
    <w:next w:val="1"/>
    <w:autoRedefine/>
    <w:qFormat/>
    <w:uiPriority w:val="0"/>
    <w:pPr>
      <w:ind w:left="420" w:leftChars="200"/>
    </w:pPr>
  </w:style>
  <w:style w:type="paragraph" w:styleId="56">
    <w:name w:val="toc 9"/>
    <w:basedOn w:val="1"/>
    <w:next w:val="1"/>
    <w:autoRedefine/>
    <w:qFormat/>
    <w:uiPriority w:val="0"/>
    <w:pPr>
      <w:ind w:left="3360" w:leftChars="1600"/>
    </w:pPr>
  </w:style>
  <w:style w:type="paragraph" w:styleId="57">
    <w:name w:val="Body Text 2"/>
    <w:basedOn w:val="1"/>
    <w:link w:val="300"/>
    <w:autoRedefine/>
    <w:qFormat/>
    <w:uiPriority w:val="0"/>
    <w:pPr>
      <w:spacing w:after="120" w:line="480" w:lineRule="auto"/>
    </w:pPr>
  </w:style>
  <w:style w:type="paragraph" w:styleId="58">
    <w:name w:val="HTML Preformatted"/>
    <w:basedOn w:val="1"/>
    <w:link w:val="299"/>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9">
    <w:name w:val="Normal (Web)"/>
    <w:basedOn w:val="1"/>
    <w:autoRedefine/>
    <w:qFormat/>
    <w:uiPriority w:val="99"/>
    <w:pPr>
      <w:widowControl/>
      <w:spacing w:before="100" w:beforeAutospacing="1" w:after="100" w:afterAutospacing="1"/>
      <w:jc w:val="left"/>
    </w:pPr>
    <w:rPr>
      <w:rFonts w:ascii="宋体" w:hAnsi="宋体"/>
      <w:kern w:val="0"/>
      <w:sz w:val="24"/>
    </w:rPr>
  </w:style>
  <w:style w:type="paragraph" w:styleId="60">
    <w:name w:val="Title"/>
    <w:basedOn w:val="1"/>
    <w:link w:val="284"/>
    <w:autoRedefine/>
    <w:qFormat/>
    <w:uiPriority w:val="10"/>
    <w:pPr>
      <w:widowControl/>
      <w:overflowPunct w:val="0"/>
      <w:autoSpaceDE w:val="0"/>
      <w:autoSpaceDN w:val="0"/>
      <w:jc w:val="center"/>
      <w:textAlignment w:val="baseline"/>
    </w:pPr>
    <w:rPr>
      <w:b/>
      <w:kern w:val="0"/>
      <w:sz w:val="24"/>
      <w:szCs w:val="20"/>
      <w:lang w:val="en-GB"/>
    </w:rPr>
  </w:style>
  <w:style w:type="paragraph" w:styleId="61">
    <w:name w:val="annotation subject"/>
    <w:basedOn w:val="21"/>
    <w:next w:val="21"/>
    <w:link w:val="94"/>
    <w:autoRedefine/>
    <w:qFormat/>
    <w:uiPriority w:val="0"/>
    <w:rPr>
      <w:b/>
      <w:bCs/>
    </w:rPr>
  </w:style>
  <w:style w:type="paragraph" w:styleId="62">
    <w:name w:val="Body Text First Indent 2"/>
    <w:basedOn w:val="27"/>
    <w:link w:val="119"/>
    <w:autoRedefine/>
    <w:qFormat/>
    <w:uiPriority w:val="0"/>
    <w:pPr>
      <w:adjustRightInd/>
      <w:spacing w:after="120" w:line="240" w:lineRule="auto"/>
      <w:ind w:left="420" w:leftChars="200" w:firstLine="210"/>
    </w:pPr>
    <w:rPr>
      <w:sz w:val="21"/>
    </w:rPr>
  </w:style>
  <w:style w:type="table" w:styleId="64">
    <w:name w:val="Table Grid"/>
    <w:basedOn w:val="63"/>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Theme"/>
    <w:basedOn w:val="63"/>
    <w:autoRedefine/>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6">
    <w:name w:val="Table Elegant"/>
    <w:basedOn w:val="63"/>
    <w:autoRedefine/>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7">
    <w:name w:val="Table Grid 5"/>
    <w:basedOn w:val="63"/>
    <w:autoRedefine/>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8">
    <w:name w:val="Table Grid 8"/>
    <w:basedOn w:val="63"/>
    <w:autoRedefine/>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9">
    <w:name w:val="Table Professional"/>
    <w:basedOn w:val="63"/>
    <w:autoRedefine/>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1">
    <w:name w:val="Strong"/>
    <w:autoRedefine/>
    <w:qFormat/>
    <w:uiPriority w:val="22"/>
    <w:rPr>
      <w:b/>
      <w:bCs/>
    </w:rPr>
  </w:style>
  <w:style w:type="character" w:styleId="72">
    <w:name w:val="endnote reference"/>
    <w:autoRedefine/>
    <w:qFormat/>
    <w:uiPriority w:val="0"/>
    <w:rPr>
      <w:vertAlign w:val="superscript"/>
    </w:rPr>
  </w:style>
  <w:style w:type="character" w:styleId="73">
    <w:name w:val="page number"/>
    <w:basedOn w:val="70"/>
    <w:autoRedefine/>
    <w:qFormat/>
    <w:uiPriority w:val="0"/>
    <w:rPr>
      <w:rFonts w:ascii="Arial" w:hAnsi="Arial" w:eastAsia="黑体" w:cs="Arial"/>
      <w:snapToGrid w:val="0"/>
      <w:kern w:val="0"/>
      <w:szCs w:val="21"/>
    </w:rPr>
  </w:style>
  <w:style w:type="character" w:styleId="74">
    <w:name w:val="FollowedHyperlink"/>
    <w:autoRedefine/>
    <w:qFormat/>
    <w:uiPriority w:val="99"/>
    <w:rPr>
      <w:rFonts w:ascii="Arial" w:hAnsi="Arial" w:eastAsia="黑体" w:cs="Arial"/>
      <w:snapToGrid w:val="0"/>
      <w:color w:val="000000"/>
      <w:kern w:val="0"/>
      <w:sz w:val="18"/>
      <w:szCs w:val="18"/>
      <w:u w:val="none"/>
    </w:rPr>
  </w:style>
  <w:style w:type="character" w:styleId="75">
    <w:name w:val="Emphasis"/>
    <w:autoRedefine/>
    <w:qFormat/>
    <w:uiPriority w:val="20"/>
    <w:rPr>
      <w:color w:val="CC0033"/>
    </w:rPr>
  </w:style>
  <w:style w:type="character" w:styleId="76">
    <w:name w:val="line number"/>
    <w:basedOn w:val="70"/>
    <w:autoRedefine/>
    <w:qFormat/>
    <w:uiPriority w:val="0"/>
    <w:rPr>
      <w:rFonts w:ascii="Arial" w:hAnsi="Arial" w:eastAsia="黑体" w:cs="Arial"/>
      <w:snapToGrid w:val="0"/>
      <w:kern w:val="0"/>
      <w:szCs w:val="21"/>
    </w:rPr>
  </w:style>
  <w:style w:type="character" w:styleId="77">
    <w:name w:val="Hyperlink"/>
    <w:autoRedefine/>
    <w:qFormat/>
    <w:uiPriority w:val="99"/>
    <w:rPr>
      <w:rFonts w:ascii="Arial" w:hAnsi="Arial" w:eastAsia="黑体" w:cs="Arial"/>
      <w:snapToGrid w:val="0"/>
      <w:color w:val="000000"/>
      <w:kern w:val="0"/>
      <w:sz w:val="18"/>
      <w:szCs w:val="18"/>
      <w:u w:val="none"/>
    </w:rPr>
  </w:style>
  <w:style w:type="character" w:styleId="78">
    <w:name w:val="HTML Code"/>
    <w:autoRedefine/>
    <w:qFormat/>
    <w:uiPriority w:val="0"/>
    <w:rPr>
      <w:rFonts w:ascii="黑体" w:hAnsi="Courier New" w:eastAsia="黑体" w:cs="楷体_GB2312"/>
      <w:sz w:val="20"/>
      <w:szCs w:val="20"/>
    </w:rPr>
  </w:style>
  <w:style w:type="character" w:styleId="79">
    <w:name w:val="annotation reference"/>
    <w:autoRedefine/>
    <w:qFormat/>
    <w:uiPriority w:val="99"/>
    <w:rPr>
      <w:sz w:val="21"/>
      <w:szCs w:val="21"/>
    </w:rPr>
  </w:style>
  <w:style w:type="character" w:customStyle="1" w:styleId="80">
    <w:name w:val="表格非标题文字 Char"/>
    <w:link w:val="81"/>
    <w:autoRedefine/>
    <w:qFormat/>
    <w:uiPriority w:val="0"/>
    <w:rPr>
      <w:rFonts w:ascii="Futura Bk" w:hAnsi="Futura Bk"/>
      <w:kern w:val="2"/>
      <w:sz w:val="18"/>
      <w:szCs w:val="21"/>
      <w:lang w:val="en-US" w:eastAsia="zh-CN" w:bidi="ar-SA"/>
    </w:rPr>
  </w:style>
  <w:style w:type="paragraph" w:customStyle="1" w:styleId="81">
    <w:name w:val="表格非标题文字"/>
    <w:link w:val="80"/>
    <w:autoRedefine/>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2">
    <w:name w:val="*正文 Char"/>
    <w:link w:val="83"/>
    <w:autoRedefine/>
    <w:qFormat/>
    <w:locked/>
    <w:uiPriority w:val="0"/>
    <w:rPr>
      <w:rFonts w:ascii="宋体" w:hAnsi="宋体"/>
      <w:sz w:val="24"/>
    </w:rPr>
  </w:style>
  <w:style w:type="paragraph" w:customStyle="1" w:styleId="83">
    <w:name w:val="*正文"/>
    <w:basedOn w:val="1"/>
    <w:link w:val="82"/>
    <w:autoRedefine/>
    <w:qFormat/>
    <w:uiPriority w:val="0"/>
    <w:pPr>
      <w:snapToGrid w:val="0"/>
      <w:spacing w:line="360" w:lineRule="auto"/>
      <w:ind w:firstLine="482"/>
      <w:jc w:val="left"/>
    </w:pPr>
    <w:rPr>
      <w:rFonts w:ascii="宋体" w:hAnsi="宋体"/>
      <w:kern w:val="0"/>
      <w:sz w:val="24"/>
      <w:szCs w:val="20"/>
    </w:rPr>
  </w:style>
  <w:style w:type="character" w:customStyle="1" w:styleId="84">
    <w:name w:val="Char Char71"/>
    <w:autoRedefine/>
    <w:semiHidden/>
    <w:qFormat/>
    <w:uiPriority w:val="0"/>
    <w:rPr>
      <w:rFonts w:eastAsia="宋体"/>
      <w:kern w:val="2"/>
      <w:sz w:val="21"/>
      <w:szCs w:val="24"/>
      <w:lang w:val="en-US" w:eastAsia="zh-CN" w:bidi="ar-SA"/>
    </w:rPr>
  </w:style>
  <w:style w:type="character" w:customStyle="1" w:styleId="85">
    <w:name w:val="Char Char6"/>
    <w:autoRedefine/>
    <w:qFormat/>
    <w:uiPriority w:val="0"/>
    <w:rPr>
      <w:rFonts w:eastAsia="宋体"/>
      <w:kern w:val="2"/>
      <w:sz w:val="21"/>
      <w:szCs w:val="24"/>
      <w:lang w:val="en-US" w:eastAsia="zh-CN" w:bidi="ar-SA"/>
    </w:rPr>
  </w:style>
  <w:style w:type="character" w:customStyle="1" w:styleId="86">
    <w:name w:val="正文缩进 Char"/>
    <w:autoRedefine/>
    <w:qFormat/>
    <w:uiPriority w:val="0"/>
    <w:rPr>
      <w:rFonts w:eastAsia="宋体"/>
      <w:kern w:val="2"/>
      <w:sz w:val="21"/>
      <w:lang w:val="en-US" w:eastAsia="zh-CN"/>
    </w:rPr>
  </w:style>
  <w:style w:type="character" w:customStyle="1" w:styleId="87">
    <w:name w:val="正文首行缩进 Char1"/>
    <w:autoRedefine/>
    <w:qFormat/>
    <w:uiPriority w:val="0"/>
    <w:rPr>
      <w:rFonts w:ascii="宋体" w:hAnsi="Times New Roman" w:eastAsia="宋体" w:cs="Times New Roman"/>
      <w:snapToGrid w:val="0"/>
      <w:kern w:val="2"/>
      <w:sz w:val="24"/>
      <w:szCs w:val="21"/>
      <w:lang w:val="zh-CN"/>
    </w:rPr>
  </w:style>
  <w:style w:type="character" w:customStyle="1" w:styleId="88">
    <w:name w:val="Char Char28"/>
    <w:autoRedefine/>
    <w:qFormat/>
    <w:uiPriority w:val="6"/>
    <w:rPr>
      <w:rFonts w:ascii="仿宋_GB2312" w:hAnsi="仿宋_GB2312" w:eastAsia="仿宋_GB2312"/>
      <w:kern w:val="1"/>
      <w:sz w:val="28"/>
    </w:rPr>
  </w:style>
  <w:style w:type="character" w:customStyle="1" w:styleId="89">
    <w:name w:val="标题 3 Char1"/>
    <w:autoRedefine/>
    <w:qFormat/>
    <w:uiPriority w:val="0"/>
    <w:rPr>
      <w:rFonts w:hint="eastAsia" w:ascii="华文中宋" w:hAnsi="华文中宋" w:eastAsia="华文中宋"/>
      <w:b/>
      <w:bCs/>
      <w:kern w:val="2"/>
      <w:sz w:val="32"/>
      <w:szCs w:val="32"/>
      <w:lang w:val="en-US" w:eastAsia="zh-CN" w:bidi="ar-SA"/>
    </w:rPr>
  </w:style>
  <w:style w:type="character" w:customStyle="1" w:styleId="90">
    <w:name w:val="Heading 1 Char"/>
    <w:autoRedefine/>
    <w:qFormat/>
    <w:uiPriority w:val="6"/>
    <w:rPr>
      <w:rFonts w:ascii="Times New Roman" w:hAnsi="Times New Roman" w:eastAsia="黑体" w:cs="Times New Roman"/>
      <w:b/>
      <w:kern w:val="0"/>
      <w:sz w:val="24"/>
      <w:szCs w:val="24"/>
    </w:rPr>
  </w:style>
  <w:style w:type="character" w:customStyle="1" w:styleId="91">
    <w:name w:val="U_正文 Char"/>
    <w:link w:val="92"/>
    <w:autoRedefine/>
    <w:qFormat/>
    <w:uiPriority w:val="0"/>
    <w:rPr>
      <w:sz w:val="24"/>
      <w:szCs w:val="24"/>
    </w:rPr>
  </w:style>
  <w:style w:type="paragraph" w:customStyle="1" w:styleId="92">
    <w:name w:val="U_正文"/>
    <w:basedOn w:val="1"/>
    <w:link w:val="91"/>
    <w:autoRedefine/>
    <w:qFormat/>
    <w:uiPriority w:val="0"/>
    <w:pPr>
      <w:adjustRightInd/>
      <w:spacing w:beforeLines="20" w:afterLines="20" w:line="300" w:lineRule="auto"/>
      <w:ind w:firstLine="200" w:firstLineChars="200"/>
    </w:pPr>
    <w:rPr>
      <w:kern w:val="0"/>
      <w:sz w:val="24"/>
    </w:rPr>
  </w:style>
  <w:style w:type="character" w:customStyle="1" w:styleId="93">
    <w:name w:val="HTML 地址 Char1"/>
    <w:autoRedefine/>
    <w:qFormat/>
    <w:uiPriority w:val="0"/>
    <w:rPr>
      <w:rFonts w:ascii="Times New Roman" w:hAnsi="Times New Roman" w:eastAsia="宋体" w:cs="Times New Roman"/>
      <w:i/>
      <w:iCs/>
      <w:szCs w:val="24"/>
    </w:rPr>
  </w:style>
  <w:style w:type="character" w:customStyle="1" w:styleId="94">
    <w:name w:val="批注主题 Char1"/>
    <w:link w:val="61"/>
    <w:autoRedefine/>
    <w:qFormat/>
    <w:uiPriority w:val="0"/>
    <w:rPr>
      <w:b/>
      <w:bCs/>
      <w:kern w:val="2"/>
      <w:sz w:val="21"/>
      <w:szCs w:val="24"/>
    </w:rPr>
  </w:style>
  <w:style w:type="character" w:customStyle="1" w:styleId="95">
    <w:name w:val="Char Char51"/>
    <w:autoRedefine/>
    <w:qFormat/>
    <w:uiPriority w:val="0"/>
    <w:rPr>
      <w:rFonts w:ascii="宋体" w:hAnsi="Courier New" w:eastAsia="宋体"/>
      <w:kern w:val="2"/>
      <w:sz w:val="21"/>
      <w:lang w:val="en-US" w:eastAsia="zh-CN"/>
    </w:rPr>
  </w:style>
  <w:style w:type="character" w:customStyle="1" w:styleId="96">
    <w:name w:val="表正文 Char"/>
    <w:autoRedefine/>
    <w:qFormat/>
    <w:uiPriority w:val="0"/>
    <w:rPr>
      <w:rFonts w:ascii="宋体" w:eastAsia="宋体"/>
      <w:snapToGrid w:val="0"/>
      <w:color w:val="000000"/>
      <w:kern w:val="28"/>
      <w:sz w:val="28"/>
      <w:lang w:val="en-US" w:eastAsia="zh-CN" w:bidi="ar-SA"/>
    </w:rPr>
  </w:style>
  <w:style w:type="character" w:customStyle="1" w:styleId="97">
    <w:name w:val="Char Char34"/>
    <w:autoRedefine/>
    <w:qFormat/>
    <w:uiPriority w:val="6"/>
    <w:rPr>
      <w:b/>
      <w:kern w:val="1"/>
      <w:sz w:val="28"/>
      <w:szCs w:val="28"/>
    </w:rPr>
  </w:style>
  <w:style w:type="character" w:customStyle="1" w:styleId="98">
    <w:name w:val="Normal Indent Char"/>
    <w:autoRedefine/>
    <w:qFormat/>
    <w:locked/>
    <w:uiPriority w:val="0"/>
    <w:rPr>
      <w:rFonts w:ascii="Calibri" w:hAnsi="Calibri" w:eastAsia="宋体" w:cs="黑体"/>
      <w:snapToGrid w:val="0"/>
      <w:kern w:val="2"/>
      <w:sz w:val="24"/>
      <w:szCs w:val="22"/>
      <w:lang w:val="en-US" w:eastAsia="zh-CN" w:bidi="ar-SA"/>
    </w:rPr>
  </w:style>
  <w:style w:type="character" w:customStyle="1" w:styleId="99">
    <w:name w:val="哈哈正文 Char"/>
    <w:link w:val="100"/>
    <w:autoRedefine/>
    <w:qFormat/>
    <w:uiPriority w:val="0"/>
    <w:rPr>
      <w:rFonts w:ascii="宋体" w:hAnsi="宋体" w:eastAsia="宋体"/>
      <w:kern w:val="2"/>
      <w:sz w:val="24"/>
      <w:lang w:bidi="ar-SA"/>
    </w:rPr>
  </w:style>
  <w:style w:type="paragraph" w:customStyle="1" w:styleId="100">
    <w:name w:val="哈哈正文"/>
    <w:basedOn w:val="1"/>
    <w:link w:val="99"/>
    <w:autoRedefine/>
    <w:qFormat/>
    <w:uiPriority w:val="0"/>
    <w:pPr>
      <w:adjustRightInd/>
      <w:spacing w:line="360" w:lineRule="auto"/>
      <w:ind w:firstLine="200" w:firstLineChars="200"/>
    </w:pPr>
    <w:rPr>
      <w:rFonts w:ascii="宋体" w:hAnsi="宋体"/>
      <w:sz w:val="24"/>
      <w:szCs w:val="20"/>
    </w:rPr>
  </w:style>
  <w:style w:type="character" w:customStyle="1" w:styleId="101">
    <w:name w:val="未处理的提及1"/>
    <w:autoRedefine/>
    <w:qFormat/>
    <w:uiPriority w:val="0"/>
    <w:rPr>
      <w:color w:val="808080"/>
      <w:shd w:val="clear" w:color="auto" w:fill="E6E6E6"/>
    </w:rPr>
  </w:style>
  <w:style w:type="character" w:customStyle="1" w:styleId="102">
    <w:name w:val="txt"/>
    <w:autoRedefine/>
    <w:qFormat/>
    <w:uiPriority w:val="0"/>
    <w:rPr>
      <w:rFonts w:ascii="仿宋_GB2312" w:eastAsia="微软雅黑"/>
      <w:b/>
      <w:kern w:val="2"/>
      <w:sz w:val="32"/>
      <w:szCs w:val="32"/>
      <w:lang w:val="en-US" w:eastAsia="zh-CN" w:bidi="ar-SA"/>
    </w:rPr>
  </w:style>
  <w:style w:type="character" w:customStyle="1" w:styleId="103">
    <w:name w:val="二级标题 Char Char"/>
    <w:autoRedefine/>
    <w:qFormat/>
    <w:uiPriority w:val="0"/>
    <w:rPr>
      <w:rFonts w:ascii="宋体" w:hAnsi="宋体" w:eastAsia="宋体"/>
      <w:b/>
      <w:snapToGrid w:val="0"/>
      <w:kern w:val="2"/>
      <w:sz w:val="24"/>
      <w:szCs w:val="24"/>
      <w:lang w:val="en-US" w:eastAsia="zh-CN" w:bidi="ar-SA"/>
    </w:rPr>
  </w:style>
  <w:style w:type="character" w:customStyle="1" w:styleId="104">
    <w:name w:val="Char Char32"/>
    <w:autoRedefine/>
    <w:qFormat/>
    <w:uiPriority w:val="6"/>
    <w:rPr>
      <w:b/>
      <w:kern w:val="1"/>
      <w:sz w:val="24"/>
      <w:szCs w:val="24"/>
    </w:rPr>
  </w:style>
  <w:style w:type="character" w:customStyle="1" w:styleId="105">
    <w:name w:val="PI Char1"/>
    <w:autoRedefine/>
    <w:qFormat/>
    <w:uiPriority w:val="0"/>
    <w:rPr>
      <w:rFonts w:ascii="宋体" w:hAnsi="宋体"/>
      <w:kern w:val="2"/>
      <w:sz w:val="24"/>
      <w:szCs w:val="24"/>
    </w:rPr>
  </w:style>
  <w:style w:type="character" w:customStyle="1" w:styleId="106">
    <w:name w:val="tw4winTerm"/>
    <w:autoRedefine/>
    <w:qFormat/>
    <w:uiPriority w:val="0"/>
    <w:rPr>
      <w:color w:val="0000FF"/>
    </w:rPr>
  </w:style>
  <w:style w:type="character" w:customStyle="1" w:styleId="107">
    <w:name w:val="Footer Char"/>
    <w:autoRedefine/>
    <w:qFormat/>
    <w:locked/>
    <w:uiPriority w:val="0"/>
    <w:rPr>
      <w:rFonts w:eastAsia="宋体"/>
      <w:kern w:val="2"/>
      <w:sz w:val="18"/>
      <w:lang w:val="en-US" w:eastAsia="zh-CN" w:bidi="ar-SA"/>
    </w:rPr>
  </w:style>
  <w:style w:type="character" w:customStyle="1" w:styleId="108">
    <w:name w:val="普通文字 Char Char1"/>
    <w:autoRedefine/>
    <w:qFormat/>
    <w:uiPriority w:val="0"/>
    <w:rPr>
      <w:rFonts w:ascii="宋体" w:hAnsi="Courier New"/>
      <w:kern w:val="2"/>
      <w:sz w:val="21"/>
    </w:rPr>
  </w:style>
  <w:style w:type="character" w:customStyle="1" w:styleId="109">
    <w:name w:val="Char Char101"/>
    <w:autoRedefine/>
    <w:qFormat/>
    <w:uiPriority w:val="6"/>
    <w:rPr>
      <w:rFonts w:ascii="宋体" w:hAnsi="宋体"/>
      <w:kern w:val="2"/>
      <w:sz w:val="21"/>
      <w:szCs w:val="24"/>
      <w:lang w:val="en-US" w:eastAsia="zh-CN"/>
    </w:rPr>
  </w:style>
  <w:style w:type="character" w:customStyle="1" w:styleId="110">
    <w:name w:val="标题 4 Char"/>
    <w:autoRedefine/>
    <w:qFormat/>
    <w:uiPriority w:val="0"/>
    <w:rPr>
      <w:rFonts w:ascii="Arial" w:hAnsi="Arial" w:eastAsia="黑体"/>
      <w:b/>
      <w:kern w:val="2"/>
      <w:sz w:val="28"/>
    </w:rPr>
  </w:style>
  <w:style w:type="character" w:customStyle="1" w:styleId="111">
    <w:name w:val="链接"/>
    <w:autoRedefine/>
    <w:qFormat/>
    <w:uiPriority w:val="0"/>
    <w:rPr>
      <w:color w:val="0000FF"/>
      <w:sz w:val="21"/>
      <w:szCs w:val="21"/>
      <w:u w:val="single"/>
    </w:rPr>
  </w:style>
  <w:style w:type="character" w:customStyle="1" w:styleId="112">
    <w:name w:val="h4 Char"/>
    <w:autoRedefine/>
    <w:qFormat/>
    <w:uiPriority w:val="0"/>
    <w:rPr>
      <w:rFonts w:ascii="Arial" w:hAnsi="Arial" w:eastAsia="黑体"/>
      <w:b/>
      <w:bCs/>
      <w:kern w:val="2"/>
      <w:sz w:val="28"/>
      <w:szCs w:val="28"/>
      <w:lang w:val="zh-CN" w:eastAsia="zh-CN" w:bidi="ar-SA"/>
    </w:rPr>
  </w:style>
  <w:style w:type="character" w:customStyle="1" w:styleId="113">
    <w:name w:val="5正文 Char"/>
    <w:link w:val="114"/>
    <w:autoRedefine/>
    <w:qFormat/>
    <w:uiPriority w:val="0"/>
    <w:rPr>
      <w:rFonts w:ascii="仿宋_GB2312" w:hAnsi="微软雅黑" w:eastAsia="仿宋_GB2312"/>
      <w:sz w:val="28"/>
      <w:szCs w:val="21"/>
    </w:rPr>
  </w:style>
  <w:style w:type="paragraph" w:customStyle="1" w:styleId="114">
    <w:name w:val="5正文"/>
    <w:basedOn w:val="1"/>
    <w:link w:val="113"/>
    <w:autoRedefine/>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5">
    <w:name w:val="标题 3 字符"/>
    <w:autoRedefine/>
    <w:qFormat/>
    <w:uiPriority w:val="9"/>
    <w:rPr>
      <w:b/>
      <w:bCs/>
      <w:kern w:val="2"/>
      <w:sz w:val="32"/>
      <w:szCs w:val="32"/>
    </w:rPr>
  </w:style>
  <w:style w:type="character" w:customStyle="1" w:styleId="116">
    <w:name w:val="样式6 Char"/>
    <w:autoRedefine/>
    <w:qFormat/>
    <w:uiPriority w:val="0"/>
    <w:rPr>
      <w:rFonts w:ascii="仿宋_GB2312" w:hAnsi="宋体" w:eastAsia="仿宋_GB2312"/>
      <w:b/>
      <w:bCs/>
      <w:kern w:val="2"/>
      <w:sz w:val="24"/>
      <w:szCs w:val="24"/>
      <w:lang w:val="en-US" w:eastAsia="zh-CN" w:bidi="ar-SA"/>
    </w:rPr>
  </w:style>
  <w:style w:type="character" w:customStyle="1" w:styleId="117">
    <w:name w:val="Char Char14"/>
    <w:autoRedefine/>
    <w:qFormat/>
    <w:uiPriority w:val="6"/>
    <w:rPr>
      <w:rFonts w:ascii="黑体" w:hAnsi="黑体" w:eastAsia="黑体"/>
    </w:rPr>
  </w:style>
  <w:style w:type="character" w:customStyle="1" w:styleId="118">
    <w:name w:val="Heading 2 Hidden Char"/>
    <w:autoRedefine/>
    <w:qFormat/>
    <w:uiPriority w:val="0"/>
    <w:rPr>
      <w:rFonts w:ascii="仿宋_GB2312" w:eastAsia="仿宋_GB2312"/>
      <w:b/>
      <w:bCs/>
      <w:kern w:val="2"/>
      <w:sz w:val="24"/>
      <w:szCs w:val="24"/>
      <w:lang w:val="zh-CN" w:eastAsia="zh-CN" w:bidi="ar-SA"/>
    </w:rPr>
  </w:style>
  <w:style w:type="character" w:customStyle="1" w:styleId="119">
    <w:name w:val="正文首行缩进 2 Char"/>
    <w:link w:val="62"/>
    <w:autoRedefine/>
    <w:qFormat/>
    <w:uiPriority w:val="0"/>
    <w:rPr>
      <w:rFonts w:ascii="宋体" w:hAnsi="宋体"/>
      <w:kern w:val="2"/>
      <w:sz w:val="21"/>
      <w:szCs w:val="24"/>
    </w:rPr>
  </w:style>
  <w:style w:type="character" w:customStyle="1" w:styleId="120">
    <w:name w:val="font11"/>
    <w:autoRedefine/>
    <w:qFormat/>
    <w:uiPriority w:val="0"/>
    <w:rPr>
      <w:rFonts w:hint="default" w:ascii="Times New Roman" w:hAnsi="Times New Roman" w:cs="Times New Roman"/>
      <w:color w:val="000000"/>
      <w:sz w:val="22"/>
      <w:szCs w:val="22"/>
      <w:u w:val="none"/>
    </w:rPr>
  </w:style>
  <w:style w:type="character" w:customStyle="1" w:styleId="121">
    <w:name w:val="表正文 Char1"/>
    <w:autoRedefine/>
    <w:qFormat/>
    <w:uiPriority w:val="0"/>
    <w:rPr>
      <w:rFonts w:ascii="宋体" w:eastAsia="宋体"/>
      <w:snapToGrid w:val="0"/>
      <w:color w:val="000000"/>
      <w:kern w:val="28"/>
      <w:sz w:val="28"/>
    </w:rPr>
  </w:style>
  <w:style w:type="character" w:customStyle="1" w:styleId="122">
    <w:name w:val="blue1"/>
    <w:basedOn w:val="70"/>
    <w:autoRedefine/>
    <w:qFormat/>
    <w:uiPriority w:val="0"/>
    <w:rPr>
      <w:rFonts w:ascii="Arial" w:hAnsi="Arial" w:eastAsia="黑体" w:cs="Arial"/>
      <w:snapToGrid w:val="0"/>
      <w:kern w:val="0"/>
      <w:szCs w:val="21"/>
    </w:rPr>
  </w:style>
  <w:style w:type="character" w:customStyle="1" w:styleId="123">
    <w:name w:val="纯文本 Char"/>
    <w:link w:val="3"/>
    <w:autoRedefine/>
    <w:qFormat/>
    <w:uiPriority w:val="0"/>
    <w:rPr>
      <w:rFonts w:ascii="宋体" w:hAnsi="Courier New" w:eastAsia="宋体" w:cs="Arial"/>
      <w:snapToGrid w:val="0"/>
      <w:kern w:val="2"/>
      <w:sz w:val="21"/>
      <w:szCs w:val="21"/>
      <w:lang w:val="en-US" w:eastAsia="zh-CN" w:bidi="ar-SA"/>
    </w:rPr>
  </w:style>
  <w:style w:type="character" w:customStyle="1" w:styleId="124">
    <w:name w:val="标书1 Char"/>
    <w:autoRedefine/>
    <w:qFormat/>
    <w:uiPriority w:val="0"/>
    <w:rPr>
      <w:rFonts w:eastAsia="宋体"/>
      <w:b/>
      <w:bCs/>
      <w:kern w:val="44"/>
      <w:sz w:val="44"/>
      <w:szCs w:val="44"/>
      <w:lang w:val="en-US" w:eastAsia="zh-CN" w:bidi="ar-SA"/>
    </w:rPr>
  </w:style>
  <w:style w:type="character" w:customStyle="1" w:styleId="125">
    <w:name w:val="样式5 Char"/>
    <w:autoRedefine/>
    <w:qFormat/>
    <w:uiPriority w:val="0"/>
    <w:rPr>
      <w:rFonts w:ascii="仿宋_GB2312" w:hAnsi="仿宋" w:eastAsia="仿宋_GB2312"/>
      <w:kern w:val="2"/>
      <w:sz w:val="24"/>
      <w:szCs w:val="24"/>
    </w:rPr>
  </w:style>
  <w:style w:type="character" w:customStyle="1" w:styleId="126">
    <w:name w:val="样式4 Char"/>
    <w:autoRedefine/>
    <w:qFormat/>
    <w:uiPriority w:val="0"/>
    <w:rPr>
      <w:rFonts w:ascii="仿宋_GB2312" w:hAnsi="仿宋" w:eastAsia="仿宋_GB2312"/>
      <w:b/>
      <w:kern w:val="2"/>
      <w:sz w:val="32"/>
      <w:szCs w:val="32"/>
      <w:lang w:bidi="ar-SA"/>
    </w:rPr>
  </w:style>
  <w:style w:type="character" w:customStyle="1" w:styleId="127">
    <w:name w:val="插图说明 Char"/>
    <w:autoRedefine/>
    <w:qFormat/>
    <w:uiPriority w:val="0"/>
    <w:rPr>
      <w:rFonts w:eastAsia="黑体"/>
      <w:sz w:val="24"/>
      <w:lang w:val="en-US" w:eastAsia="zh-CN"/>
    </w:rPr>
  </w:style>
  <w:style w:type="character" w:customStyle="1" w:styleId="128">
    <w:name w:val="正文2 Char Char"/>
    <w:link w:val="129"/>
    <w:autoRedefine/>
    <w:qFormat/>
    <w:uiPriority w:val="0"/>
    <w:rPr>
      <w:rFonts w:eastAsia="宋体"/>
      <w:kern w:val="2"/>
      <w:sz w:val="24"/>
      <w:lang w:val="en-US" w:eastAsia="zh-CN" w:bidi="ar-SA"/>
    </w:rPr>
  </w:style>
  <w:style w:type="paragraph" w:customStyle="1" w:styleId="129">
    <w:name w:val="正文2"/>
    <w:basedOn w:val="1"/>
    <w:link w:val="128"/>
    <w:autoRedefine/>
    <w:qFormat/>
    <w:uiPriority w:val="0"/>
    <w:pPr>
      <w:spacing w:before="156" w:line="360" w:lineRule="auto"/>
      <w:ind w:firstLine="510" w:firstLineChars="200"/>
    </w:pPr>
    <w:rPr>
      <w:sz w:val="24"/>
      <w:szCs w:val="20"/>
    </w:rPr>
  </w:style>
  <w:style w:type="character" w:customStyle="1" w:styleId="130">
    <w:name w:val="Char Char24"/>
    <w:autoRedefine/>
    <w:qFormat/>
    <w:uiPriority w:val="6"/>
    <w:rPr>
      <w:kern w:val="1"/>
      <w:sz w:val="21"/>
    </w:rPr>
  </w:style>
  <w:style w:type="character" w:customStyle="1" w:styleId="131">
    <w:name w:val="副标题 Char"/>
    <w:link w:val="48"/>
    <w:autoRedefine/>
    <w:qFormat/>
    <w:uiPriority w:val="0"/>
    <w:rPr>
      <w:rFonts w:ascii="Arial" w:hAnsi="Arial" w:eastAsia="隶书"/>
      <w:b/>
      <w:bCs/>
      <w:kern w:val="28"/>
      <w:sz w:val="44"/>
      <w:szCs w:val="32"/>
      <w:lang w:val="en-US" w:eastAsia="zh-CN" w:bidi="ar-SA"/>
    </w:rPr>
  </w:style>
  <w:style w:type="character" w:customStyle="1" w:styleId="132">
    <w:name w:val="普通文字 Char1 Char"/>
    <w:autoRedefine/>
    <w:qFormat/>
    <w:uiPriority w:val="0"/>
    <w:rPr>
      <w:rFonts w:ascii="宋体" w:hAnsi="Courier New" w:eastAsia="宋体"/>
      <w:kern w:val="2"/>
      <w:sz w:val="21"/>
      <w:szCs w:val="24"/>
      <w:lang w:val="en-US" w:eastAsia="zh-CN" w:bidi="ar-SA"/>
    </w:rPr>
  </w:style>
  <w:style w:type="character" w:customStyle="1" w:styleId="133">
    <w:name w:val="h3 Char1"/>
    <w:autoRedefine/>
    <w:qFormat/>
    <w:uiPriority w:val="0"/>
    <w:rPr>
      <w:rFonts w:eastAsia="宋体"/>
      <w:b/>
      <w:bCs/>
      <w:kern w:val="2"/>
      <w:sz w:val="32"/>
      <w:szCs w:val="32"/>
      <w:lang w:bidi="ar-SA"/>
    </w:rPr>
  </w:style>
  <w:style w:type="character" w:customStyle="1" w:styleId="134">
    <w:name w:val="标题 Char1"/>
    <w:autoRedefine/>
    <w:qFormat/>
    <w:uiPriority w:val="0"/>
    <w:rPr>
      <w:rFonts w:ascii="Cambria" w:hAnsi="Cambria" w:eastAsia="宋体" w:cs="Times New Roman"/>
      <w:b/>
      <w:bCs/>
      <w:sz w:val="32"/>
      <w:szCs w:val="32"/>
      <w:lang w:bidi="ar-SA"/>
    </w:rPr>
  </w:style>
  <w:style w:type="character" w:customStyle="1" w:styleId="135">
    <w:name w:val="gf正文1 Char"/>
    <w:autoRedefine/>
    <w:qFormat/>
    <w:uiPriority w:val="0"/>
    <w:rPr>
      <w:rFonts w:ascii="宋体" w:hAnsi="宋体" w:eastAsia="宋体" w:cs="宋体"/>
      <w:kern w:val="2"/>
      <w:sz w:val="24"/>
      <w:szCs w:val="24"/>
      <w:lang w:val="en-US" w:eastAsia="zh-CN" w:bidi="ar-SA"/>
    </w:rPr>
  </w:style>
  <w:style w:type="character" w:customStyle="1" w:styleId="136">
    <w:name w:val="正文文本缩进 Char1"/>
    <w:autoRedefine/>
    <w:qFormat/>
    <w:uiPriority w:val="0"/>
    <w:rPr>
      <w:rFonts w:ascii="Calibri" w:hAnsi="Calibri"/>
      <w:sz w:val="28"/>
    </w:rPr>
  </w:style>
  <w:style w:type="character" w:customStyle="1" w:styleId="137">
    <w:name w:val="No Spacing Char"/>
    <w:link w:val="138"/>
    <w:autoRedefine/>
    <w:qFormat/>
    <w:uiPriority w:val="1"/>
    <w:rPr>
      <w:sz w:val="22"/>
      <w:szCs w:val="22"/>
      <w:lang w:val="en-US" w:eastAsia="zh-CN" w:bidi="ar-SA"/>
    </w:rPr>
  </w:style>
  <w:style w:type="paragraph" w:customStyle="1" w:styleId="138">
    <w:name w:val="无间隔1"/>
    <w:link w:val="137"/>
    <w:autoRedefine/>
    <w:qFormat/>
    <w:uiPriority w:val="1"/>
    <w:rPr>
      <w:rFonts w:ascii="Times New Roman" w:hAnsi="Times New Roman" w:eastAsia="宋体" w:cs="Times New Roman"/>
      <w:sz w:val="22"/>
      <w:szCs w:val="22"/>
      <w:lang w:val="en-US" w:eastAsia="zh-CN" w:bidi="ar-SA"/>
    </w:rPr>
  </w:style>
  <w:style w:type="character" w:customStyle="1" w:styleId="139">
    <w:name w:val="样式7 Char"/>
    <w:autoRedefine/>
    <w:qFormat/>
    <w:uiPriority w:val="0"/>
    <w:rPr>
      <w:rFonts w:ascii="仿宋_GB2312" w:hAnsi="仿宋" w:eastAsia="仿宋_GB2312"/>
      <w:b/>
      <w:kern w:val="2"/>
      <w:sz w:val="24"/>
      <w:szCs w:val="24"/>
    </w:rPr>
  </w:style>
  <w:style w:type="character" w:customStyle="1" w:styleId="140">
    <w:name w:val="font12gray1"/>
    <w:autoRedefine/>
    <w:qFormat/>
    <w:uiPriority w:val="0"/>
    <w:rPr>
      <w:rFonts w:ascii="仿宋_GB2312" w:eastAsia="微软雅黑"/>
      <w:b/>
      <w:spacing w:val="300"/>
      <w:kern w:val="2"/>
      <w:sz w:val="18"/>
      <w:szCs w:val="18"/>
      <w:lang w:val="en-US" w:eastAsia="zh-CN" w:bidi="ar-SA"/>
    </w:rPr>
  </w:style>
  <w:style w:type="character" w:customStyle="1" w:styleId="141">
    <w:name w:val="Char Char7"/>
    <w:autoRedefine/>
    <w:semiHidden/>
    <w:qFormat/>
    <w:uiPriority w:val="0"/>
    <w:rPr>
      <w:rFonts w:eastAsia="宋体"/>
      <w:kern w:val="2"/>
      <w:sz w:val="21"/>
      <w:szCs w:val="24"/>
      <w:lang w:val="en-US" w:eastAsia="zh-CN" w:bidi="ar-SA"/>
    </w:rPr>
  </w:style>
  <w:style w:type="character" w:customStyle="1" w:styleId="142">
    <w:name w:val="表名 Char"/>
    <w:autoRedefine/>
    <w:qFormat/>
    <w:uiPriority w:val="0"/>
    <w:rPr>
      <w:rFonts w:eastAsia="宋体"/>
      <w:b/>
      <w:bCs/>
      <w:kern w:val="2"/>
      <w:sz w:val="24"/>
      <w:szCs w:val="24"/>
      <w:lang w:val="en-US" w:eastAsia="zh-CN" w:bidi="ar-SA"/>
    </w:rPr>
  </w:style>
  <w:style w:type="character" w:customStyle="1" w:styleId="143">
    <w:name w:val="Document Map Char"/>
    <w:autoRedefine/>
    <w:qFormat/>
    <w:locked/>
    <w:uiPriority w:val="0"/>
    <w:rPr>
      <w:rFonts w:eastAsia="宋体"/>
      <w:kern w:val="2"/>
      <w:sz w:val="21"/>
      <w:szCs w:val="24"/>
      <w:lang w:val="en-US" w:eastAsia="zh-CN" w:bidi="ar-SA"/>
    </w:rPr>
  </w:style>
  <w:style w:type="character" w:customStyle="1" w:styleId="144">
    <w:name w:val="font41"/>
    <w:autoRedefine/>
    <w:qFormat/>
    <w:uiPriority w:val="0"/>
    <w:rPr>
      <w:rFonts w:hint="eastAsia" w:ascii="仿宋_GB2312" w:eastAsia="仿宋_GB2312" w:cs="仿宋_GB2312"/>
      <w:color w:val="000000"/>
      <w:sz w:val="22"/>
      <w:szCs w:val="22"/>
      <w:u w:val="none"/>
    </w:rPr>
  </w:style>
  <w:style w:type="character" w:customStyle="1" w:styleId="145">
    <w:name w:val="标题 6 Char"/>
    <w:link w:val="10"/>
    <w:autoRedefine/>
    <w:qFormat/>
    <w:uiPriority w:val="0"/>
    <w:rPr>
      <w:rFonts w:ascii="Arial" w:hAnsi="Arial" w:eastAsia="黑体"/>
      <w:b/>
      <w:bCs/>
      <w:kern w:val="2"/>
      <w:sz w:val="24"/>
      <w:szCs w:val="24"/>
    </w:rPr>
  </w:style>
  <w:style w:type="character" w:customStyle="1" w:styleId="146">
    <w:name w:val="纯文本 Char_0"/>
    <w:link w:val="147"/>
    <w:autoRedefine/>
    <w:qFormat/>
    <w:uiPriority w:val="0"/>
    <w:rPr>
      <w:rFonts w:ascii="宋体" w:hAnsi="Courier New"/>
      <w:kern w:val="2"/>
      <w:sz w:val="21"/>
      <w:szCs w:val="21"/>
      <w:lang w:val="en-US" w:eastAsia="zh-CN"/>
    </w:rPr>
  </w:style>
  <w:style w:type="paragraph" w:customStyle="1" w:styleId="147">
    <w:name w:val="纯文本_0_0"/>
    <w:basedOn w:val="148"/>
    <w:link w:val="146"/>
    <w:autoRedefine/>
    <w:qFormat/>
    <w:uiPriority w:val="0"/>
    <w:rPr>
      <w:rFonts w:ascii="宋体" w:hAnsi="Courier New"/>
      <w:szCs w:val="21"/>
    </w:rPr>
  </w:style>
  <w:style w:type="paragraph" w:customStyle="1" w:styleId="148">
    <w:name w:val="正文_1_0"/>
    <w:autoRedefine/>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49">
    <w:name w:val="Balloon Text Char"/>
    <w:autoRedefine/>
    <w:qFormat/>
    <w:locked/>
    <w:uiPriority w:val="0"/>
    <w:rPr>
      <w:rFonts w:eastAsia="宋体"/>
      <w:kern w:val="2"/>
      <w:sz w:val="18"/>
      <w:szCs w:val="18"/>
      <w:lang w:val="en-US" w:eastAsia="zh-CN" w:bidi="ar-SA"/>
    </w:rPr>
  </w:style>
  <w:style w:type="character" w:customStyle="1" w:styleId="150">
    <w:name w:val="正文 项目2 Char"/>
    <w:basedOn w:val="151"/>
    <w:autoRedefine/>
    <w:qFormat/>
    <w:uiPriority w:val="0"/>
    <w:rPr>
      <w:rFonts w:ascii="仿宋_GB2312" w:hAnsi="仿宋_GB2312" w:eastAsia="仿宋_GB2312"/>
      <w:kern w:val="2"/>
      <w:sz w:val="24"/>
      <w:lang w:bidi="ar-SA"/>
    </w:rPr>
  </w:style>
  <w:style w:type="character" w:customStyle="1" w:styleId="151">
    <w:name w:val="正文 项目 Char"/>
    <w:autoRedefine/>
    <w:qFormat/>
    <w:uiPriority w:val="0"/>
    <w:rPr>
      <w:rFonts w:ascii="仿宋_GB2312" w:hAnsi="仿宋_GB2312" w:eastAsia="仿宋_GB2312"/>
      <w:kern w:val="2"/>
      <w:sz w:val="24"/>
      <w:lang w:bidi="ar-SA"/>
    </w:rPr>
  </w:style>
  <w:style w:type="character" w:customStyle="1" w:styleId="152">
    <w:name w:val="h Char Char1"/>
    <w:autoRedefine/>
    <w:qFormat/>
    <w:uiPriority w:val="0"/>
    <w:rPr>
      <w:rFonts w:eastAsia="宋体"/>
      <w:kern w:val="2"/>
      <w:sz w:val="18"/>
      <w:szCs w:val="18"/>
      <w:lang w:val="en-US" w:eastAsia="zh-CN" w:bidi="ar-SA"/>
    </w:rPr>
  </w:style>
  <w:style w:type="character" w:customStyle="1" w:styleId="153">
    <w:name w:val="Char Char27"/>
    <w:autoRedefine/>
    <w:qFormat/>
    <w:uiPriority w:val="6"/>
    <w:rPr>
      <w:rFonts w:ascii="宋体" w:hAnsi="宋体" w:eastAsia="宋体"/>
      <w:color w:val="000000"/>
      <w:kern w:val="1"/>
      <w:sz w:val="28"/>
      <w:lang w:val="en-US" w:eastAsia="zh-CN" w:bidi="ar-SA"/>
    </w:rPr>
  </w:style>
  <w:style w:type="character" w:customStyle="1" w:styleId="154">
    <w:name w:val="px14"/>
    <w:autoRedefine/>
    <w:qFormat/>
    <w:uiPriority w:val="0"/>
    <w:rPr>
      <w:rFonts w:ascii="仿宋_GB2312" w:eastAsia="微软雅黑" w:cs="Times New Roman"/>
      <w:b/>
      <w:kern w:val="2"/>
      <w:sz w:val="32"/>
      <w:szCs w:val="32"/>
      <w:lang w:val="en-US" w:eastAsia="zh-CN" w:bidi="ar-SA"/>
    </w:rPr>
  </w:style>
  <w:style w:type="character" w:customStyle="1" w:styleId="155">
    <w:name w:val="HTML 预设格式 Char1"/>
    <w:autoRedefine/>
    <w:qFormat/>
    <w:uiPriority w:val="0"/>
    <w:rPr>
      <w:rFonts w:ascii="Courier New" w:hAnsi="Courier New" w:eastAsia="宋体" w:cs="Courier New"/>
      <w:sz w:val="20"/>
      <w:szCs w:val="20"/>
    </w:rPr>
  </w:style>
  <w:style w:type="character" w:customStyle="1" w:styleId="156">
    <w:name w:val="普通文字 Char1"/>
    <w:autoRedefine/>
    <w:qFormat/>
    <w:uiPriority w:val="0"/>
    <w:rPr>
      <w:rFonts w:ascii="宋体" w:hAnsi="Courier New" w:eastAsia="宋体"/>
      <w:kern w:val="2"/>
      <w:sz w:val="21"/>
      <w:lang w:val="en-US" w:eastAsia="zh-CN"/>
    </w:rPr>
  </w:style>
  <w:style w:type="character" w:customStyle="1" w:styleId="157">
    <w:name w:val="hei16b1"/>
    <w:autoRedefine/>
    <w:qFormat/>
    <w:uiPriority w:val="0"/>
    <w:rPr>
      <w:rFonts w:hint="default" w:ascii="Arial" w:hAnsi="Arial" w:cs="Arial"/>
      <w:b/>
      <w:bCs/>
      <w:color w:val="000000"/>
      <w:sz w:val="24"/>
      <w:szCs w:val="24"/>
    </w:rPr>
  </w:style>
  <w:style w:type="character" w:customStyle="1" w:styleId="158">
    <w:name w:val="正文（绿盟科技） Char"/>
    <w:link w:val="159"/>
    <w:autoRedefine/>
    <w:qFormat/>
    <w:uiPriority w:val="0"/>
    <w:rPr>
      <w:rFonts w:ascii="Arial" w:hAnsi="Arial"/>
      <w:sz w:val="21"/>
      <w:szCs w:val="21"/>
    </w:rPr>
  </w:style>
  <w:style w:type="paragraph" w:customStyle="1" w:styleId="159">
    <w:name w:val="正文（绿盟科技）"/>
    <w:link w:val="158"/>
    <w:autoRedefine/>
    <w:qFormat/>
    <w:uiPriority w:val="0"/>
    <w:pPr>
      <w:spacing w:line="300" w:lineRule="auto"/>
    </w:pPr>
    <w:rPr>
      <w:rFonts w:ascii="Arial" w:hAnsi="Arial" w:eastAsia="宋体" w:cs="Times New Roman"/>
      <w:sz w:val="21"/>
      <w:szCs w:val="21"/>
      <w:lang w:val="en-US" w:eastAsia="zh-CN" w:bidi="ar-SA"/>
    </w:rPr>
  </w:style>
  <w:style w:type="character" w:customStyle="1" w:styleId="160">
    <w:name w:val="Char Char19"/>
    <w:autoRedefine/>
    <w:qFormat/>
    <w:uiPriority w:val="6"/>
    <w:rPr>
      <w:rFonts w:ascii="宋体" w:hAnsi="宋体"/>
      <w:i/>
      <w:sz w:val="24"/>
      <w:szCs w:val="24"/>
    </w:rPr>
  </w:style>
  <w:style w:type="character" w:customStyle="1" w:styleId="161">
    <w:name w:val="页脚 Char"/>
    <w:autoRedefine/>
    <w:qFormat/>
    <w:uiPriority w:val="0"/>
    <w:rPr>
      <w:rFonts w:eastAsia="仿宋_GB2312"/>
      <w:kern w:val="2"/>
      <w:sz w:val="18"/>
      <w:lang w:val="en-US" w:eastAsia="zh-CN"/>
    </w:rPr>
  </w:style>
  <w:style w:type="character" w:customStyle="1" w:styleId="162">
    <w:name w:val="批注主题 Char"/>
    <w:autoRedefine/>
    <w:qFormat/>
    <w:uiPriority w:val="0"/>
    <w:rPr>
      <w:rFonts w:eastAsia="宋体"/>
      <w:b/>
      <w:bCs/>
      <w:kern w:val="2"/>
      <w:sz w:val="21"/>
      <w:szCs w:val="24"/>
      <w:lang w:val="en-US" w:eastAsia="zh-CN" w:bidi="ar-SA"/>
    </w:rPr>
  </w:style>
  <w:style w:type="character" w:customStyle="1" w:styleId="163">
    <w:name w:val="Comment Text Char"/>
    <w:autoRedefine/>
    <w:qFormat/>
    <w:locked/>
    <w:uiPriority w:val="0"/>
    <w:rPr>
      <w:rFonts w:ascii="宋体" w:hAnsi="宋体" w:eastAsia="宋体"/>
      <w:kern w:val="2"/>
      <w:sz w:val="24"/>
      <w:lang w:val="en-US" w:eastAsia="zh-CN" w:bidi="ar-SA"/>
    </w:rPr>
  </w:style>
  <w:style w:type="character" w:customStyle="1" w:styleId="164">
    <w:name w:val="标题 2 字符"/>
    <w:autoRedefine/>
    <w:qFormat/>
    <w:uiPriority w:val="1"/>
    <w:rPr>
      <w:rFonts w:ascii="仿宋_GB2312" w:hAnsi="Times New Roman" w:eastAsia="仿宋_GB2312" w:cs="Times New Roman"/>
      <w:b/>
      <w:kern w:val="2"/>
      <w:sz w:val="24"/>
      <w:lang w:val="zh-CN"/>
    </w:rPr>
  </w:style>
  <w:style w:type="character" w:customStyle="1" w:styleId="165">
    <w:name w:val="Char Char72"/>
    <w:autoRedefine/>
    <w:qFormat/>
    <w:uiPriority w:val="0"/>
    <w:rPr>
      <w:rFonts w:eastAsia="宋体"/>
      <w:kern w:val="2"/>
      <w:sz w:val="21"/>
      <w:szCs w:val="24"/>
      <w:lang w:val="en-US" w:eastAsia="zh-CN" w:bidi="ar-SA"/>
    </w:rPr>
  </w:style>
  <w:style w:type="character" w:customStyle="1" w:styleId="166">
    <w:name w:val="正文文本缩进 Char2"/>
    <w:autoRedefine/>
    <w:qFormat/>
    <w:uiPriority w:val="0"/>
    <w:rPr>
      <w:rFonts w:ascii="Times New Roman" w:hAnsi="Times New Roman" w:eastAsia="宋体" w:cs="Times New Roman"/>
      <w:snapToGrid w:val="0"/>
      <w:kern w:val="0"/>
      <w:szCs w:val="24"/>
    </w:rPr>
  </w:style>
  <w:style w:type="character" w:customStyle="1" w:styleId="167">
    <w:name w:val="样式2 Char"/>
    <w:autoRedefine/>
    <w:qFormat/>
    <w:uiPriority w:val="0"/>
    <w:rPr>
      <w:rFonts w:ascii="仿宋_GB2312" w:hAnsi="仿宋" w:eastAsia="仿宋_GB2312" w:cs="仿宋_GB2312"/>
      <w:b/>
      <w:bCs/>
      <w:sz w:val="32"/>
      <w:szCs w:val="30"/>
      <w:lang w:val="zh-CN"/>
    </w:rPr>
  </w:style>
  <w:style w:type="character" w:customStyle="1" w:styleId="168">
    <w:name w:val="表格名称[858D7CFB-ED40-4347-BF05-701D383B685F]"/>
    <w:link w:val="169"/>
    <w:autoRedefine/>
    <w:qFormat/>
    <w:uiPriority w:val="0"/>
    <w:rPr>
      <w:sz w:val="32"/>
    </w:rPr>
  </w:style>
  <w:style w:type="paragraph" w:customStyle="1" w:styleId="169">
    <w:name w:val="表格名称"/>
    <w:basedOn w:val="5"/>
    <w:link w:val="168"/>
    <w:autoRedefine/>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0">
    <w:name w:val="Char Char4"/>
    <w:autoRedefine/>
    <w:qFormat/>
    <w:uiPriority w:val="0"/>
    <w:rPr>
      <w:rFonts w:eastAsia="宋体"/>
      <w:b/>
      <w:sz w:val="24"/>
      <w:lang w:val="en-GB" w:eastAsia="zh-CN" w:bidi="ar-SA"/>
    </w:rPr>
  </w:style>
  <w:style w:type="character" w:customStyle="1" w:styleId="171">
    <w:name w:val="c7 style3"/>
    <w:autoRedefine/>
    <w:qFormat/>
    <w:uiPriority w:val="0"/>
  </w:style>
  <w:style w:type="character" w:customStyle="1" w:styleId="172">
    <w:name w:val="正文文本 3 Char1"/>
    <w:autoRedefine/>
    <w:semiHidden/>
    <w:qFormat/>
    <w:uiPriority w:val="99"/>
    <w:rPr>
      <w:rFonts w:ascii="Times New Roman" w:hAnsi="Times New Roman" w:eastAsia="宋体" w:cs="Times New Roman"/>
      <w:sz w:val="16"/>
      <w:szCs w:val="16"/>
    </w:rPr>
  </w:style>
  <w:style w:type="character" w:customStyle="1" w:styleId="173">
    <w:name w:val="tw4winInternal"/>
    <w:autoRedefine/>
    <w:qFormat/>
    <w:uiPriority w:val="0"/>
    <w:rPr>
      <w:rFonts w:ascii="Courier New" w:hAnsi="Courier New" w:cs="Courier New"/>
      <w:color w:val="FF0000"/>
      <w:lang w:val="en-US" w:eastAsia="zh-CN"/>
    </w:rPr>
  </w:style>
  <w:style w:type="character" w:customStyle="1" w:styleId="174">
    <w:name w:val="Char Char10"/>
    <w:autoRedefine/>
    <w:semiHidden/>
    <w:qFormat/>
    <w:uiPriority w:val="0"/>
    <w:rPr>
      <w:rFonts w:ascii="宋体" w:hAnsi="宋体"/>
      <w:kern w:val="2"/>
      <w:sz w:val="21"/>
      <w:szCs w:val="24"/>
      <w:lang w:val="en-US" w:eastAsia="zh-CN"/>
    </w:rPr>
  </w:style>
  <w:style w:type="character" w:customStyle="1" w:styleId="175">
    <w:name w:val="shadow11"/>
    <w:autoRedefine/>
    <w:qFormat/>
    <w:uiPriority w:val="0"/>
    <w:rPr>
      <w:color w:val="000000"/>
      <w:sz w:val="21"/>
    </w:rPr>
  </w:style>
  <w:style w:type="character" w:customStyle="1" w:styleId="176">
    <w:name w:val="正文非缩进 Char3"/>
    <w:autoRedefine/>
    <w:qFormat/>
    <w:uiPriority w:val="0"/>
    <w:rPr>
      <w:rFonts w:ascii="宋体" w:eastAsia="宋体"/>
      <w:snapToGrid w:val="0"/>
      <w:color w:val="000000"/>
      <w:kern w:val="28"/>
      <w:sz w:val="28"/>
      <w:lang w:val="en-US" w:eastAsia="zh-CN" w:bidi="ar-SA"/>
    </w:rPr>
  </w:style>
  <w:style w:type="character" w:customStyle="1" w:styleId="177">
    <w:name w:val="Char Char"/>
    <w:autoRedefine/>
    <w:qFormat/>
    <w:uiPriority w:val="0"/>
    <w:rPr>
      <w:rFonts w:ascii="宋体" w:hAnsi="Courier New" w:eastAsia="宋体"/>
      <w:kern w:val="2"/>
      <w:sz w:val="21"/>
      <w:lang w:val="en-US" w:eastAsia="zh-CN" w:bidi="ar-SA"/>
    </w:rPr>
  </w:style>
  <w:style w:type="character" w:customStyle="1" w:styleId="178">
    <w:name w:val="签名 Char1"/>
    <w:autoRedefine/>
    <w:qFormat/>
    <w:uiPriority w:val="0"/>
    <w:rPr>
      <w:rFonts w:ascii="Times New Roman" w:hAnsi="Times New Roman" w:eastAsia="宋体" w:cs="Times New Roman"/>
      <w:szCs w:val="24"/>
    </w:rPr>
  </w:style>
  <w:style w:type="character" w:customStyle="1" w:styleId="179">
    <w:name w:val="日期 Char"/>
    <w:link w:val="37"/>
    <w:autoRedefine/>
    <w:qFormat/>
    <w:uiPriority w:val="0"/>
    <w:rPr>
      <w:rFonts w:ascii="宋体"/>
      <w:kern w:val="2"/>
      <w:sz w:val="24"/>
      <w:szCs w:val="21"/>
      <w:lang w:val="zh-CN"/>
    </w:rPr>
  </w:style>
  <w:style w:type="character" w:customStyle="1" w:styleId="180">
    <w:name w:val="标题 9 Char"/>
    <w:link w:val="13"/>
    <w:autoRedefine/>
    <w:qFormat/>
    <w:uiPriority w:val="0"/>
    <w:rPr>
      <w:rFonts w:ascii="Arial" w:hAnsi="Arial" w:eastAsia="黑体"/>
      <w:kern w:val="2"/>
      <w:sz w:val="21"/>
      <w:szCs w:val="21"/>
    </w:rPr>
  </w:style>
  <w:style w:type="character" w:customStyle="1" w:styleId="181">
    <w:name w:val="Char Char18"/>
    <w:autoRedefine/>
    <w:qFormat/>
    <w:uiPriority w:val="6"/>
    <w:rPr>
      <w:rFonts w:ascii="宋体" w:hAnsi="宋体"/>
      <w:sz w:val="28"/>
    </w:rPr>
  </w:style>
  <w:style w:type="character" w:customStyle="1" w:styleId="182">
    <w:name w:val="批注文字 Char"/>
    <w:autoRedefine/>
    <w:qFormat/>
    <w:uiPriority w:val="99"/>
    <w:rPr>
      <w:kern w:val="2"/>
      <w:sz w:val="21"/>
      <w:szCs w:val="24"/>
    </w:rPr>
  </w:style>
  <w:style w:type="character" w:customStyle="1" w:styleId="183">
    <w:name w:val="Char Char22"/>
    <w:autoRedefine/>
    <w:qFormat/>
    <w:uiPriority w:val="6"/>
    <w:rPr>
      <w:rFonts w:ascii="宋体" w:hAnsi="宋体"/>
      <w:kern w:val="1"/>
      <w:sz w:val="24"/>
      <w:szCs w:val="24"/>
    </w:rPr>
  </w:style>
  <w:style w:type="character" w:customStyle="1" w:styleId="184">
    <w:name w:val="pt141"/>
    <w:autoRedefine/>
    <w:qFormat/>
    <w:uiPriority w:val="0"/>
    <w:rPr>
      <w:color w:val="330066"/>
      <w:sz w:val="22"/>
      <w:szCs w:val="22"/>
    </w:rPr>
  </w:style>
  <w:style w:type="character" w:customStyle="1" w:styleId="185">
    <w:name w:val="正文文本缩进 2 Char1"/>
    <w:autoRedefine/>
    <w:semiHidden/>
    <w:qFormat/>
    <w:uiPriority w:val="99"/>
    <w:rPr>
      <w:rFonts w:ascii="Times New Roman" w:hAnsi="Times New Roman" w:eastAsia="宋体" w:cs="Times New Roman"/>
      <w:szCs w:val="24"/>
    </w:rPr>
  </w:style>
  <w:style w:type="character" w:customStyle="1" w:styleId="186">
    <w:name w:val="批注框文本 Char"/>
    <w:link w:val="40"/>
    <w:autoRedefine/>
    <w:qFormat/>
    <w:uiPriority w:val="0"/>
    <w:rPr>
      <w:kern w:val="2"/>
      <w:sz w:val="18"/>
      <w:szCs w:val="18"/>
    </w:rPr>
  </w:style>
  <w:style w:type="character" w:customStyle="1" w:styleId="187">
    <w:name w:val="Char Char611"/>
    <w:autoRedefine/>
    <w:qFormat/>
    <w:uiPriority w:val="0"/>
    <w:rPr>
      <w:rFonts w:eastAsia="宋体"/>
      <w:kern w:val="2"/>
      <w:sz w:val="21"/>
      <w:szCs w:val="24"/>
      <w:lang w:val="en-US" w:eastAsia="zh-CN" w:bidi="ar-SA"/>
    </w:rPr>
  </w:style>
  <w:style w:type="character" w:customStyle="1" w:styleId="188">
    <w:name w:val="highlight1"/>
    <w:autoRedefine/>
    <w:qFormat/>
    <w:uiPriority w:val="0"/>
    <w:rPr>
      <w:rFonts w:ascii="仿宋_GB2312" w:eastAsia="微软雅黑"/>
      <w:b/>
      <w:kern w:val="2"/>
      <w:sz w:val="23"/>
      <w:szCs w:val="23"/>
      <w:lang w:val="en-US" w:eastAsia="zh-CN" w:bidi="ar-SA"/>
    </w:rPr>
  </w:style>
  <w:style w:type="character" w:customStyle="1" w:styleId="189">
    <w:name w:val="my正文 Char"/>
    <w:link w:val="190"/>
    <w:autoRedefine/>
    <w:qFormat/>
    <w:locked/>
    <w:uiPriority w:val="0"/>
    <w:rPr>
      <w:rFonts w:ascii="Tahoma" w:hAnsi="Tahoma"/>
      <w:sz w:val="24"/>
      <w:szCs w:val="24"/>
    </w:rPr>
  </w:style>
  <w:style w:type="paragraph" w:customStyle="1" w:styleId="190">
    <w:name w:val="my正文"/>
    <w:basedOn w:val="1"/>
    <w:link w:val="189"/>
    <w:autoRedefine/>
    <w:qFormat/>
    <w:uiPriority w:val="0"/>
    <w:pPr>
      <w:adjustRightInd/>
      <w:spacing w:line="360" w:lineRule="auto"/>
      <w:ind w:firstLine="480" w:firstLineChars="200"/>
    </w:pPr>
    <w:rPr>
      <w:rFonts w:ascii="Tahoma" w:hAnsi="Tahoma"/>
      <w:kern w:val="0"/>
      <w:sz w:val="24"/>
    </w:rPr>
  </w:style>
  <w:style w:type="character" w:customStyle="1" w:styleId="191">
    <w:name w:val="正文缩进 Char2"/>
    <w:link w:val="7"/>
    <w:autoRedefine/>
    <w:qFormat/>
    <w:uiPriority w:val="0"/>
    <w:rPr>
      <w:rFonts w:ascii="宋体" w:eastAsia="宋体"/>
      <w:snapToGrid w:val="0"/>
      <w:color w:val="000000"/>
      <w:kern w:val="28"/>
      <w:sz w:val="28"/>
      <w:lang w:val="en-US" w:eastAsia="zh-CN" w:bidi="ar-SA"/>
    </w:rPr>
  </w:style>
  <w:style w:type="character" w:customStyle="1" w:styleId="192">
    <w:name w:val="Used by Word for text of Help footnotes Char Char1"/>
    <w:autoRedefine/>
    <w:qFormat/>
    <w:uiPriority w:val="0"/>
    <w:rPr>
      <w:color w:val="0000FF"/>
      <w:sz w:val="21"/>
    </w:rPr>
  </w:style>
  <w:style w:type="character" w:customStyle="1" w:styleId="193">
    <w:name w:val="页眉 Char"/>
    <w:autoRedefine/>
    <w:qFormat/>
    <w:uiPriority w:val="0"/>
    <w:rPr>
      <w:rFonts w:eastAsia="仿宋_GB2312"/>
      <w:kern w:val="2"/>
      <w:sz w:val="18"/>
      <w:lang w:val="en-US" w:eastAsia="zh-CN"/>
    </w:rPr>
  </w:style>
  <w:style w:type="character" w:customStyle="1" w:styleId="194">
    <w:name w:val="FA正文 Char Char"/>
    <w:autoRedefine/>
    <w:qFormat/>
    <w:uiPriority w:val="0"/>
    <w:rPr>
      <w:rFonts w:hAnsi="宋体"/>
      <w:kern w:val="2"/>
      <w:sz w:val="24"/>
      <w:lang w:bidi="ar-SA"/>
    </w:rPr>
  </w:style>
  <w:style w:type="character" w:customStyle="1" w:styleId="195">
    <w:name w:val="纯文本 字符"/>
    <w:autoRedefine/>
    <w:qFormat/>
    <w:uiPriority w:val="0"/>
    <w:rPr>
      <w:rFonts w:ascii="宋体" w:hAnsi="Courier New" w:eastAsia="宋体" w:cs="Arial"/>
      <w:snapToGrid w:val="0"/>
      <w:kern w:val="2"/>
      <w:sz w:val="21"/>
      <w:szCs w:val="21"/>
      <w:lang w:val="en-US" w:eastAsia="zh-CN" w:bidi="ar-SA"/>
    </w:rPr>
  </w:style>
  <w:style w:type="character" w:customStyle="1" w:styleId="196">
    <w:name w:val="3级 Char"/>
    <w:link w:val="197"/>
    <w:autoRedefine/>
    <w:qFormat/>
    <w:uiPriority w:val="0"/>
    <w:rPr>
      <w:rFonts w:ascii="宋体" w:hAnsi="宋体"/>
      <w:b/>
      <w:bCs/>
      <w:snapToGrid/>
      <w:sz w:val="28"/>
    </w:rPr>
  </w:style>
  <w:style w:type="paragraph" w:customStyle="1" w:styleId="197">
    <w:name w:val="3级"/>
    <w:basedOn w:val="198"/>
    <w:link w:val="196"/>
    <w:autoRedefine/>
    <w:qFormat/>
    <w:uiPriority w:val="0"/>
    <w:pPr>
      <w:ind w:left="0" w:right="466" w:firstLine="288"/>
    </w:pPr>
    <w:rPr>
      <w:rFonts w:hAnsi="宋体"/>
      <w:snapToGrid/>
    </w:rPr>
  </w:style>
  <w:style w:type="paragraph" w:customStyle="1" w:styleId="198">
    <w:name w:val="样式 标题 3h33rd level3BOD 0H3l3CTHeading 3 - oldLevel 3 He..."/>
    <w:basedOn w:val="6"/>
    <w:autoRedefine/>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199">
    <w:name w:val="myp11"/>
    <w:autoRedefine/>
    <w:qFormat/>
    <w:uiPriority w:val="0"/>
    <w:rPr>
      <w:rFonts w:ascii="仿宋_GB2312" w:eastAsia="微软雅黑"/>
      <w:b/>
      <w:kern w:val="2"/>
      <w:sz w:val="32"/>
      <w:szCs w:val="32"/>
      <w:lang w:val="en-US" w:eastAsia="zh-CN" w:bidi="ar-SA"/>
    </w:rPr>
  </w:style>
  <w:style w:type="character" w:customStyle="1" w:styleId="200">
    <w:name w:val="文档结构图 Char1"/>
    <w:link w:val="20"/>
    <w:autoRedefine/>
    <w:qFormat/>
    <w:uiPriority w:val="0"/>
    <w:rPr>
      <w:kern w:val="2"/>
      <w:sz w:val="21"/>
      <w:szCs w:val="24"/>
      <w:shd w:val="clear" w:color="auto" w:fill="000080"/>
    </w:rPr>
  </w:style>
  <w:style w:type="character" w:customStyle="1" w:styleId="201">
    <w:name w:val="H6 Char"/>
    <w:autoRedefine/>
    <w:qFormat/>
    <w:uiPriority w:val="0"/>
    <w:rPr>
      <w:rFonts w:ascii="Arial" w:hAnsi="Arial" w:eastAsia="黑体"/>
      <w:b/>
      <w:bCs/>
      <w:kern w:val="2"/>
      <w:sz w:val="24"/>
      <w:szCs w:val="24"/>
    </w:rPr>
  </w:style>
  <w:style w:type="character" w:customStyle="1" w:styleId="202">
    <w:name w:val="Char Char91"/>
    <w:autoRedefine/>
    <w:qFormat/>
    <w:uiPriority w:val="0"/>
    <w:rPr>
      <w:rFonts w:eastAsia="宋体"/>
      <w:kern w:val="2"/>
      <w:sz w:val="18"/>
      <w:szCs w:val="18"/>
      <w:lang w:val="en-US" w:eastAsia="zh-CN" w:bidi="ar-SA"/>
    </w:rPr>
  </w:style>
  <w:style w:type="character" w:customStyle="1" w:styleId="203">
    <w:name w:val="副标题 Char1"/>
    <w:autoRedefine/>
    <w:qFormat/>
    <w:uiPriority w:val="0"/>
    <w:rPr>
      <w:rFonts w:ascii="Cambria" w:hAnsi="Cambria" w:eastAsia="宋体" w:cs="Times New Roman"/>
      <w:b/>
      <w:bCs/>
      <w:snapToGrid w:val="0"/>
      <w:kern w:val="28"/>
      <w:sz w:val="32"/>
      <w:szCs w:val="32"/>
    </w:rPr>
  </w:style>
  <w:style w:type="character" w:customStyle="1" w:styleId="204">
    <w:name w:val="font61"/>
    <w:autoRedefine/>
    <w:qFormat/>
    <w:uiPriority w:val="0"/>
    <w:rPr>
      <w:rFonts w:hint="eastAsia" w:ascii="仿宋" w:hAnsi="仿宋" w:eastAsia="仿宋" w:cs="仿宋"/>
      <w:color w:val="000000"/>
      <w:sz w:val="20"/>
      <w:szCs w:val="20"/>
      <w:u w:val="none"/>
    </w:rPr>
  </w:style>
  <w:style w:type="character" w:customStyle="1" w:styleId="205">
    <w:name w:val="bod1"/>
    <w:autoRedefine/>
    <w:qFormat/>
    <w:uiPriority w:val="0"/>
    <w:rPr>
      <w:rFonts w:ascii="MS Sans Serif" w:hAnsi="MS Sans Serif" w:eastAsia="微软雅黑" w:cs="Times New Roman"/>
      <w:b/>
      <w:color w:val="000000"/>
      <w:kern w:val="2"/>
      <w:sz w:val="20"/>
      <w:szCs w:val="20"/>
      <w:lang w:val="en-US" w:eastAsia="zh-CN" w:bidi="ar-SA"/>
    </w:rPr>
  </w:style>
  <w:style w:type="character" w:customStyle="1" w:styleId="206">
    <w:name w:val="Char Char211"/>
    <w:autoRedefine/>
    <w:qFormat/>
    <w:uiPriority w:val="0"/>
    <w:rPr>
      <w:rFonts w:eastAsia="宋体"/>
      <w:b/>
      <w:bCs/>
      <w:kern w:val="2"/>
      <w:sz w:val="21"/>
      <w:szCs w:val="24"/>
      <w:lang w:val="en-US" w:eastAsia="zh-CN" w:bidi="ar-SA"/>
    </w:rPr>
  </w:style>
  <w:style w:type="character" w:customStyle="1" w:styleId="207">
    <w:name w:val="标题 2 Char"/>
    <w:autoRedefine/>
    <w:qFormat/>
    <w:uiPriority w:val="0"/>
    <w:rPr>
      <w:rFonts w:ascii="Arial" w:hAnsi="Arial" w:eastAsia="黑体"/>
      <w:b/>
      <w:kern w:val="2"/>
      <w:sz w:val="32"/>
      <w:lang w:val="en-US" w:eastAsia="zh-CN"/>
    </w:rPr>
  </w:style>
  <w:style w:type="character" w:customStyle="1" w:styleId="208">
    <w:name w:val="maywed421"/>
    <w:autoRedefine/>
    <w:qFormat/>
    <w:uiPriority w:val="0"/>
    <w:rPr>
      <w:color w:val="366FB6"/>
      <w:u w:val="none"/>
    </w:rPr>
  </w:style>
  <w:style w:type="character" w:customStyle="1" w:styleId="209">
    <w:name w:val="正文文本缩进 Char"/>
    <w:autoRedefine/>
    <w:qFormat/>
    <w:uiPriority w:val="0"/>
    <w:rPr>
      <w:rFonts w:ascii="宋体" w:hAnsi="宋体"/>
      <w:kern w:val="2"/>
      <w:sz w:val="24"/>
      <w:szCs w:val="24"/>
    </w:rPr>
  </w:style>
  <w:style w:type="character" w:customStyle="1" w:styleId="210">
    <w:name w:val="Char Char102"/>
    <w:autoRedefine/>
    <w:semiHidden/>
    <w:qFormat/>
    <w:uiPriority w:val="0"/>
    <w:rPr>
      <w:rFonts w:ascii="宋体" w:hAnsi="宋体"/>
      <w:kern w:val="2"/>
      <w:sz w:val="21"/>
      <w:szCs w:val="24"/>
      <w:lang w:val="en-US" w:eastAsia="zh-CN"/>
    </w:rPr>
  </w:style>
  <w:style w:type="character" w:customStyle="1" w:styleId="211">
    <w:name w:val="页眉 Char1"/>
    <w:autoRedefine/>
    <w:qFormat/>
    <w:uiPriority w:val="0"/>
    <w:rPr>
      <w:rFonts w:eastAsia="宋体"/>
      <w:kern w:val="2"/>
      <w:sz w:val="18"/>
      <w:szCs w:val="18"/>
      <w:lang w:val="en-US" w:eastAsia="zh-CN" w:bidi="ar-SA"/>
    </w:rPr>
  </w:style>
  <w:style w:type="character" w:customStyle="1" w:styleId="212">
    <w:name w:val="md"/>
    <w:basedOn w:val="70"/>
    <w:autoRedefine/>
    <w:qFormat/>
    <w:uiPriority w:val="0"/>
    <w:rPr>
      <w:rFonts w:ascii="Arial" w:hAnsi="Arial" w:eastAsia="黑体" w:cs="Arial"/>
      <w:snapToGrid w:val="0"/>
      <w:kern w:val="0"/>
      <w:szCs w:val="21"/>
    </w:rPr>
  </w:style>
  <w:style w:type="character" w:customStyle="1" w:styleId="213">
    <w:name w:val="big1"/>
    <w:autoRedefine/>
    <w:qFormat/>
    <w:uiPriority w:val="0"/>
    <w:rPr>
      <w:rFonts w:hint="eastAsia" w:ascii="宋体" w:hAnsi="宋体" w:eastAsia="宋体"/>
      <w:color w:val="333333"/>
      <w:sz w:val="22"/>
      <w:szCs w:val="22"/>
    </w:rPr>
  </w:style>
  <w:style w:type="character" w:customStyle="1" w:styleId="214">
    <w:name w:val="Char Char311"/>
    <w:autoRedefine/>
    <w:qFormat/>
    <w:uiPriority w:val="0"/>
    <w:rPr>
      <w:rFonts w:eastAsia="宋体"/>
      <w:kern w:val="2"/>
      <w:sz w:val="21"/>
      <w:szCs w:val="24"/>
      <w:lang w:val="en-US" w:eastAsia="zh-CN" w:bidi="ar-SA"/>
    </w:rPr>
  </w:style>
  <w:style w:type="character" w:customStyle="1" w:styleId="215">
    <w:name w:val="Char Char81"/>
    <w:autoRedefine/>
    <w:qFormat/>
    <w:uiPriority w:val="6"/>
    <w:rPr>
      <w:rFonts w:eastAsia="宋体"/>
      <w:b/>
      <w:sz w:val="24"/>
      <w:lang w:val="en-GB" w:eastAsia="zh-CN"/>
    </w:rPr>
  </w:style>
  <w:style w:type="character" w:customStyle="1" w:styleId="216">
    <w:name w:val="样式3 Char"/>
    <w:basedOn w:val="167"/>
    <w:autoRedefine/>
    <w:qFormat/>
    <w:uiPriority w:val="0"/>
    <w:rPr>
      <w:rFonts w:ascii="仿宋_GB2312" w:hAnsi="仿宋" w:eastAsia="仿宋_GB2312" w:cs="仿宋_GB2312"/>
      <w:sz w:val="32"/>
      <w:szCs w:val="30"/>
      <w:lang w:val="zh-CN"/>
    </w:rPr>
  </w:style>
  <w:style w:type="character" w:customStyle="1" w:styleId="217">
    <w:name w:val="HTML 地址 Char"/>
    <w:link w:val="32"/>
    <w:autoRedefine/>
    <w:qFormat/>
    <w:uiPriority w:val="0"/>
    <w:rPr>
      <w:rFonts w:ascii="宋体" w:hAnsi="宋体"/>
      <w:i/>
      <w:iCs/>
      <w:sz w:val="24"/>
      <w:szCs w:val="24"/>
    </w:rPr>
  </w:style>
  <w:style w:type="character" w:customStyle="1" w:styleId="218">
    <w:name w:val="正文首行缩进 2 Char1"/>
    <w:autoRedefine/>
    <w:qFormat/>
    <w:uiPriority w:val="0"/>
    <w:rPr>
      <w:rFonts w:ascii="Times New Roman" w:hAnsi="Times New Roman" w:eastAsia="宋体" w:cs="Times New Roman"/>
      <w:kern w:val="2"/>
      <w:sz w:val="24"/>
      <w:szCs w:val="24"/>
    </w:rPr>
  </w:style>
  <w:style w:type="character" w:customStyle="1" w:styleId="219">
    <w:name w:val="副标题 Char2"/>
    <w:autoRedefine/>
    <w:qFormat/>
    <w:uiPriority w:val="0"/>
    <w:rPr>
      <w:rFonts w:ascii="Cambria" w:hAnsi="Cambria" w:eastAsia="宋体" w:cs="Times New Roman"/>
      <w:b/>
      <w:bCs/>
      <w:snapToGrid w:val="0"/>
      <w:kern w:val="28"/>
      <w:sz w:val="32"/>
      <w:szCs w:val="32"/>
    </w:rPr>
  </w:style>
  <w:style w:type="character" w:customStyle="1" w:styleId="220">
    <w:name w:val="标题4-dyf Char"/>
    <w:link w:val="221"/>
    <w:autoRedefine/>
    <w:qFormat/>
    <w:uiPriority w:val="0"/>
    <w:rPr>
      <w:rFonts w:ascii="Cambria" w:hAnsi="Cambria"/>
      <w:b/>
      <w:bCs/>
      <w:color w:val="000000"/>
      <w:kern w:val="2"/>
      <w:sz w:val="21"/>
      <w:szCs w:val="21"/>
    </w:rPr>
  </w:style>
  <w:style w:type="paragraph" w:customStyle="1" w:styleId="221">
    <w:name w:val="标题4-dyf"/>
    <w:basedOn w:val="8"/>
    <w:link w:val="220"/>
    <w:autoRedefine/>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2">
    <w:name w:val="dectext1"/>
    <w:autoRedefine/>
    <w:qFormat/>
    <w:uiPriority w:val="0"/>
    <w:rPr>
      <w:rFonts w:ascii="宋体" w:hAnsi="宋体" w:eastAsia="宋体"/>
      <w:color w:val="333333"/>
      <w:sz w:val="21"/>
      <w:szCs w:val="21"/>
      <w:u w:val="none"/>
    </w:rPr>
  </w:style>
  <w:style w:type="character" w:customStyle="1" w:styleId="223">
    <w:name w:val="冯 Char"/>
    <w:link w:val="224"/>
    <w:autoRedefine/>
    <w:qFormat/>
    <w:uiPriority w:val="0"/>
    <w:rPr>
      <w:rFonts w:ascii="宋体" w:hAnsi="宋体"/>
      <w:color w:val="000000"/>
      <w:sz w:val="24"/>
      <w:szCs w:val="24"/>
    </w:rPr>
  </w:style>
  <w:style w:type="paragraph" w:customStyle="1" w:styleId="224">
    <w:name w:val="冯"/>
    <w:basedOn w:val="1"/>
    <w:link w:val="223"/>
    <w:autoRedefine/>
    <w:qFormat/>
    <w:uiPriority w:val="0"/>
    <w:pPr>
      <w:widowControl/>
      <w:adjustRightInd/>
      <w:spacing w:line="360" w:lineRule="auto"/>
      <w:ind w:firstLine="480" w:firstLineChars="200"/>
    </w:pPr>
    <w:rPr>
      <w:rFonts w:ascii="宋体" w:hAnsi="宋体"/>
      <w:color w:val="000000"/>
      <w:kern w:val="0"/>
      <w:sz w:val="24"/>
    </w:rPr>
  </w:style>
  <w:style w:type="character" w:customStyle="1" w:styleId="225">
    <w:name w:val="Header Char"/>
    <w:autoRedefine/>
    <w:qFormat/>
    <w:locked/>
    <w:uiPriority w:val="0"/>
    <w:rPr>
      <w:rFonts w:eastAsia="宋体"/>
      <w:kern w:val="2"/>
      <w:sz w:val="18"/>
      <w:szCs w:val="18"/>
      <w:lang w:val="en-US" w:eastAsia="zh-CN" w:bidi="ar-SA"/>
    </w:rPr>
  </w:style>
  <w:style w:type="character" w:customStyle="1" w:styleId="226">
    <w:name w:val="Char Char12"/>
    <w:autoRedefine/>
    <w:qFormat/>
    <w:uiPriority w:val="0"/>
    <w:rPr>
      <w:rFonts w:ascii="仿宋_GB2312" w:eastAsia="仿宋_GB2312"/>
      <w:b/>
      <w:bCs/>
      <w:kern w:val="2"/>
      <w:sz w:val="24"/>
      <w:szCs w:val="24"/>
      <w:lang w:val="zh-CN" w:eastAsia="zh-CN" w:bidi="ar-SA"/>
    </w:rPr>
  </w:style>
  <w:style w:type="character" w:customStyle="1" w:styleId="227">
    <w:name w:val="题注 Char"/>
    <w:link w:val="18"/>
    <w:autoRedefine/>
    <w:qFormat/>
    <w:uiPriority w:val="0"/>
    <w:rPr>
      <w:b/>
      <w:kern w:val="2"/>
      <w:sz w:val="28"/>
    </w:rPr>
  </w:style>
  <w:style w:type="character" w:customStyle="1" w:styleId="228">
    <w:name w:val="普通文字 Char3"/>
    <w:autoRedefine/>
    <w:qFormat/>
    <w:uiPriority w:val="0"/>
    <w:rPr>
      <w:rFonts w:ascii="宋体" w:hAnsi="Courier New" w:eastAsia="宋体"/>
      <w:kern w:val="2"/>
      <w:sz w:val="21"/>
      <w:lang w:val="en-US" w:eastAsia="zh-CN" w:bidi="ar-SA"/>
    </w:rPr>
  </w:style>
  <w:style w:type="character" w:customStyle="1" w:styleId="229">
    <w:name w:val="公文正文 Char"/>
    <w:autoRedefine/>
    <w:qFormat/>
    <w:uiPriority w:val="0"/>
    <w:rPr>
      <w:rFonts w:ascii="仿宋_GB2312" w:eastAsia="仿宋_GB2312"/>
      <w:kern w:val="2"/>
      <w:sz w:val="24"/>
      <w:szCs w:val="24"/>
      <w:lang w:val="en-US" w:eastAsia="zh-CN" w:bidi="ar-SA"/>
    </w:rPr>
  </w:style>
  <w:style w:type="character" w:customStyle="1" w:styleId="230">
    <w:name w:val="正文首行缩进 Char Char Char Char Char"/>
    <w:autoRedefine/>
    <w:qFormat/>
    <w:uiPriority w:val="0"/>
    <w:rPr>
      <w:rFonts w:ascii="宋体"/>
      <w:kern w:val="2"/>
      <w:sz w:val="24"/>
      <w:lang w:val="zh-CN"/>
    </w:rPr>
  </w:style>
  <w:style w:type="character" w:customStyle="1" w:styleId="231">
    <w:name w:val="PI Char"/>
    <w:autoRedefine/>
    <w:qFormat/>
    <w:uiPriority w:val="0"/>
    <w:rPr>
      <w:rFonts w:ascii="宋体" w:hAnsi="宋体" w:eastAsia="宋体"/>
      <w:kern w:val="2"/>
      <w:sz w:val="24"/>
      <w:szCs w:val="24"/>
      <w:lang w:val="en-US" w:eastAsia="zh-CN" w:bidi="ar-SA"/>
    </w:rPr>
  </w:style>
  <w:style w:type="character" w:customStyle="1" w:styleId="232">
    <w:name w:val="Default Char"/>
    <w:link w:val="233"/>
    <w:autoRedefine/>
    <w:qFormat/>
    <w:uiPriority w:val="0"/>
    <w:rPr>
      <w:rFonts w:ascii="仿宋_GB2312" w:eastAsia="仿宋_GB2312" w:cs="仿宋_GB2312"/>
      <w:color w:val="000000"/>
      <w:sz w:val="24"/>
      <w:szCs w:val="24"/>
      <w:lang w:val="en-US" w:eastAsia="zh-CN" w:bidi="ar-SA"/>
    </w:rPr>
  </w:style>
  <w:style w:type="paragraph" w:customStyle="1" w:styleId="233">
    <w:name w:val="Default"/>
    <w:link w:val="232"/>
    <w:autoRedefine/>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4">
    <w:name w:val="style91"/>
    <w:autoRedefine/>
    <w:qFormat/>
    <w:uiPriority w:val="0"/>
    <w:rPr>
      <w:color w:val="333333"/>
    </w:rPr>
  </w:style>
  <w:style w:type="character" w:customStyle="1" w:styleId="235">
    <w:name w:val="列出段落 Char2"/>
    <w:autoRedefine/>
    <w:qFormat/>
    <w:uiPriority w:val="34"/>
    <w:rPr>
      <w:rFonts w:ascii="Calibri" w:hAnsi="Calibri"/>
      <w:kern w:val="2"/>
      <w:sz w:val="28"/>
    </w:rPr>
  </w:style>
  <w:style w:type="character" w:customStyle="1" w:styleId="236">
    <w:name w:val="mdeck"/>
    <w:autoRedefine/>
    <w:qFormat/>
    <w:uiPriority w:val="0"/>
    <w:rPr>
      <w:rFonts w:ascii="仿宋_GB2312" w:eastAsia="微软雅黑"/>
      <w:b/>
      <w:kern w:val="2"/>
      <w:sz w:val="32"/>
      <w:szCs w:val="32"/>
      <w:lang w:val="en-US" w:eastAsia="zh-CN" w:bidi="ar-SA"/>
    </w:rPr>
  </w:style>
  <w:style w:type="character" w:customStyle="1" w:styleId="237">
    <w:name w:val="unnamed11"/>
    <w:autoRedefine/>
    <w:qFormat/>
    <w:uiPriority w:val="0"/>
    <w:rPr>
      <w:sz w:val="20"/>
      <w:szCs w:val="20"/>
    </w:rPr>
  </w:style>
  <w:style w:type="character" w:customStyle="1" w:styleId="238">
    <w:name w:val="正文文本 Char2"/>
    <w:autoRedefine/>
    <w:semiHidden/>
    <w:qFormat/>
    <w:uiPriority w:val="99"/>
    <w:rPr>
      <w:rFonts w:ascii="Times New Roman" w:hAnsi="Times New Roman" w:eastAsia="宋体" w:cs="Times New Roman"/>
      <w:snapToGrid w:val="0"/>
      <w:kern w:val="0"/>
      <w:szCs w:val="24"/>
    </w:rPr>
  </w:style>
  <w:style w:type="character" w:customStyle="1" w:styleId="239">
    <w:name w:val="标书正文格式 Char"/>
    <w:autoRedefine/>
    <w:qFormat/>
    <w:uiPriority w:val="0"/>
    <w:rPr>
      <w:rFonts w:eastAsia="楷体_GB2312"/>
      <w:kern w:val="2"/>
      <w:sz w:val="24"/>
      <w:szCs w:val="24"/>
      <w:lang w:bidi="ar-SA"/>
    </w:rPr>
  </w:style>
  <w:style w:type="character" w:customStyle="1" w:styleId="240">
    <w:name w:val="Char Char11"/>
    <w:autoRedefine/>
    <w:qFormat/>
    <w:locked/>
    <w:uiPriority w:val="0"/>
    <w:rPr>
      <w:rFonts w:ascii="宋体" w:hAnsi="宋体" w:eastAsia="宋体"/>
      <w:b/>
      <w:kern w:val="2"/>
      <w:sz w:val="24"/>
      <w:szCs w:val="24"/>
      <w:lang w:val="en-US" w:eastAsia="zh-CN" w:bidi="ar-SA"/>
    </w:rPr>
  </w:style>
  <w:style w:type="character" w:customStyle="1" w:styleId="241">
    <w:name w:val="ca-131"/>
    <w:autoRedefine/>
    <w:qFormat/>
    <w:uiPriority w:val="0"/>
    <w:rPr>
      <w:rFonts w:hint="eastAsia" w:ascii="仿宋_GB2312" w:eastAsia="仿宋_GB2312"/>
      <w:b/>
      <w:bCs/>
      <w:color w:val="000000"/>
      <w:spacing w:val="-20"/>
      <w:sz w:val="24"/>
      <w:szCs w:val="24"/>
    </w:rPr>
  </w:style>
  <w:style w:type="character" w:customStyle="1" w:styleId="242">
    <w:name w:val="tw4winMark"/>
    <w:autoRedefine/>
    <w:qFormat/>
    <w:uiPriority w:val="0"/>
    <w:rPr>
      <w:rFonts w:ascii="Courier New" w:hAnsi="Courier New" w:cs="Courier New"/>
      <w:vanish/>
      <w:color w:val="800080"/>
      <w:sz w:val="24"/>
      <w:szCs w:val="24"/>
      <w:vertAlign w:val="subscript"/>
    </w:rPr>
  </w:style>
  <w:style w:type="character" w:customStyle="1" w:styleId="243">
    <w:name w:val="正文样式 Char"/>
    <w:link w:val="244"/>
    <w:autoRedefine/>
    <w:qFormat/>
    <w:uiPriority w:val="0"/>
    <w:rPr>
      <w:rFonts w:ascii="Calibri" w:hAnsi="Calibri"/>
      <w:sz w:val="24"/>
      <w:szCs w:val="24"/>
    </w:rPr>
  </w:style>
  <w:style w:type="paragraph" w:customStyle="1" w:styleId="244">
    <w:name w:val="正文样式"/>
    <w:basedOn w:val="1"/>
    <w:link w:val="243"/>
    <w:autoRedefine/>
    <w:qFormat/>
    <w:uiPriority w:val="0"/>
    <w:pPr>
      <w:adjustRightInd/>
      <w:spacing w:line="360" w:lineRule="auto"/>
      <w:ind w:firstLine="480" w:firstLineChars="200"/>
    </w:pPr>
    <w:rPr>
      <w:kern w:val="0"/>
      <w:sz w:val="24"/>
    </w:rPr>
  </w:style>
  <w:style w:type="character" w:customStyle="1" w:styleId="245">
    <w:name w:val="表正文 Char3"/>
    <w:autoRedefine/>
    <w:qFormat/>
    <w:uiPriority w:val="0"/>
    <w:rPr>
      <w:rFonts w:eastAsia="宋体"/>
    </w:rPr>
  </w:style>
  <w:style w:type="character" w:customStyle="1" w:styleId="246">
    <w:name w:val="H5 Char"/>
    <w:autoRedefine/>
    <w:qFormat/>
    <w:uiPriority w:val="0"/>
    <w:rPr>
      <w:b/>
      <w:bCs/>
      <w:kern w:val="2"/>
      <w:sz w:val="28"/>
      <w:szCs w:val="28"/>
    </w:rPr>
  </w:style>
  <w:style w:type="character" w:customStyle="1" w:styleId="247">
    <w:name w:val="Char Char3"/>
    <w:autoRedefine/>
    <w:qFormat/>
    <w:uiPriority w:val="0"/>
    <w:rPr>
      <w:rFonts w:eastAsia="宋体"/>
      <w:kern w:val="2"/>
      <w:sz w:val="21"/>
      <w:szCs w:val="24"/>
      <w:lang w:val="en-US" w:eastAsia="zh-CN" w:bidi="ar-SA"/>
    </w:rPr>
  </w:style>
  <w:style w:type="character" w:customStyle="1" w:styleId="248">
    <w:name w:val="正文 编号 Char"/>
    <w:autoRedefine/>
    <w:qFormat/>
    <w:uiPriority w:val="0"/>
    <w:rPr>
      <w:rFonts w:ascii="仿宋_GB2312" w:hAnsi="仿宋_GB2312" w:eastAsia="仿宋_GB2312"/>
      <w:kern w:val="2"/>
      <w:sz w:val="24"/>
      <w:lang w:bidi="ar-SA"/>
    </w:rPr>
  </w:style>
  <w:style w:type="character" w:customStyle="1" w:styleId="249">
    <w:name w:val="question-title2"/>
    <w:autoRedefine/>
    <w:qFormat/>
    <w:uiPriority w:val="6"/>
    <w:rPr>
      <w:rFonts w:ascii="Arial" w:hAnsi="Arial" w:eastAsia="黑体" w:cs="Arial"/>
      <w:snapToGrid w:val="0"/>
      <w:kern w:val="0"/>
      <w:szCs w:val="21"/>
    </w:rPr>
  </w:style>
  <w:style w:type="character" w:customStyle="1" w:styleId="250">
    <w:name w:val="gf正文1 Char Char"/>
    <w:link w:val="251"/>
    <w:autoRedefine/>
    <w:qFormat/>
    <w:uiPriority w:val="0"/>
    <w:rPr>
      <w:rFonts w:ascii="宋体" w:hAnsi="宋体" w:cs="宋体"/>
      <w:kern w:val="2"/>
      <w:sz w:val="24"/>
      <w:szCs w:val="24"/>
    </w:rPr>
  </w:style>
  <w:style w:type="paragraph" w:customStyle="1" w:styleId="251">
    <w:name w:val="gf正文1"/>
    <w:basedOn w:val="1"/>
    <w:link w:val="250"/>
    <w:autoRedefine/>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2">
    <w:name w:val="Char Char15"/>
    <w:autoRedefine/>
    <w:qFormat/>
    <w:uiPriority w:val="6"/>
    <w:rPr>
      <w:rFonts w:ascii="宋体" w:hAnsi="宋体"/>
      <w:kern w:val="1"/>
      <w:sz w:val="21"/>
    </w:rPr>
  </w:style>
  <w:style w:type="character" w:customStyle="1" w:styleId="253">
    <w:name w:val="正文缩进 Char3"/>
    <w:autoRedefine/>
    <w:qFormat/>
    <w:uiPriority w:val="0"/>
    <w:rPr>
      <w:rFonts w:ascii="宋体" w:eastAsia="宋体"/>
      <w:snapToGrid w:val="0"/>
      <w:color w:val="000000"/>
      <w:kern w:val="28"/>
      <w:sz w:val="28"/>
      <w:lang w:val="en-US" w:eastAsia="zh-CN" w:bidi="ar-SA"/>
    </w:rPr>
  </w:style>
  <w:style w:type="character" w:customStyle="1" w:styleId="254">
    <w:name w:val="列出段落 Char1"/>
    <w:link w:val="255"/>
    <w:autoRedefine/>
    <w:qFormat/>
    <w:uiPriority w:val="0"/>
    <w:rPr>
      <w:rFonts w:ascii="Calibri" w:hAnsi="Calibri"/>
      <w:sz w:val="24"/>
      <w:lang w:eastAsia="en-US"/>
    </w:rPr>
  </w:style>
  <w:style w:type="paragraph" w:customStyle="1" w:styleId="255">
    <w:name w:val="列表1"/>
    <w:basedOn w:val="1"/>
    <w:next w:val="256"/>
    <w:link w:val="254"/>
    <w:autoRedefine/>
    <w:qFormat/>
    <w:uiPriority w:val="0"/>
    <w:pPr>
      <w:widowControl/>
      <w:adjustRightInd/>
      <w:spacing w:after="200" w:line="360" w:lineRule="auto"/>
      <w:ind w:left="720" w:firstLine="200" w:firstLineChars="200"/>
      <w:jc w:val="left"/>
    </w:pPr>
    <w:rPr>
      <w:kern w:val="0"/>
      <w:sz w:val="24"/>
      <w:szCs w:val="20"/>
      <w:lang w:eastAsia="en-US"/>
    </w:rPr>
  </w:style>
  <w:style w:type="paragraph" w:styleId="256">
    <w:name w:val="List Paragraph"/>
    <w:basedOn w:val="1"/>
    <w:autoRedefine/>
    <w:qFormat/>
    <w:uiPriority w:val="34"/>
    <w:pPr>
      <w:spacing w:line="360" w:lineRule="auto"/>
      <w:ind w:firstLine="200" w:firstLineChars="200"/>
    </w:pPr>
    <w:rPr>
      <w:rFonts w:eastAsia="楷体_GB2312" w:cs="Lucida Sans"/>
      <w:sz w:val="24"/>
    </w:rPr>
  </w:style>
  <w:style w:type="character" w:customStyle="1" w:styleId="257">
    <w:name w:val="Char Char8"/>
    <w:autoRedefine/>
    <w:qFormat/>
    <w:uiPriority w:val="0"/>
    <w:rPr>
      <w:rFonts w:eastAsia="宋体"/>
      <w:b/>
      <w:sz w:val="24"/>
      <w:lang w:val="en-GB" w:eastAsia="zh-CN"/>
    </w:rPr>
  </w:style>
  <w:style w:type="character" w:customStyle="1" w:styleId="258">
    <w:name w:val="Normal Indent Char Char"/>
    <w:autoRedefine/>
    <w:qFormat/>
    <w:uiPriority w:val="0"/>
    <w:rPr>
      <w:rFonts w:eastAsia="宋体"/>
      <w:kern w:val="2"/>
      <w:sz w:val="21"/>
      <w:lang w:val="en-US" w:eastAsia="zh-CN" w:bidi="ar-SA"/>
    </w:rPr>
  </w:style>
  <w:style w:type="character" w:customStyle="1" w:styleId="259">
    <w:name w:val="列表段落 字符"/>
    <w:autoRedefine/>
    <w:qFormat/>
    <w:uiPriority w:val="99"/>
  </w:style>
  <w:style w:type="character" w:customStyle="1" w:styleId="260">
    <w:name w:val="Ò³Ã¼ Char Char1"/>
    <w:autoRedefine/>
    <w:qFormat/>
    <w:uiPriority w:val="0"/>
    <w:rPr>
      <w:rFonts w:eastAsia="宋体"/>
      <w:kern w:val="2"/>
      <w:sz w:val="18"/>
      <w:szCs w:val="18"/>
      <w:lang w:val="en-US" w:eastAsia="zh-CN" w:bidi="ar-SA"/>
    </w:rPr>
  </w:style>
  <w:style w:type="character" w:customStyle="1" w:styleId="261">
    <w:name w:val="方案正文 Char"/>
    <w:autoRedefine/>
    <w:qFormat/>
    <w:uiPriority w:val="0"/>
    <w:rPr>
      <w:rFonts w:ascii="仿宋_GB2312" w:eastAsia="仿宋_GB2312"/>
      <w:b/>
      <w:color w:val="000000"/>
      <w:kern w:val="2"/>
      <w:sz w:val="24"/>
      <w:lang w:val="en-US" w:eastAsia="zh-CN" w:bidi="ar-SA"/>
    </w:rPr>
  </w:style>
  <w:style w:type="character" w:customStyle="1" w:styleId="262">
    <w:name w:val="Char Char30"/>
    <w:autoRedefine/>
    <w:qFormat/>
    <w:uiPriority w:val="6"/>
    <w:rPr>
      <w:rFonts w:ascii="Arial" w:hAnsi="Arial" w:eastAsia="黑体"/>
      <w:kern w:val="1"/>
      <w:sz w:val="21"/>
      <w:szCs w:val="21"/>
    </w:rPr>
  </w:style>
  <w:style w:type="character" w:customStyle="1" w:styleId="263">
    <w:name w:val="正文文本缩进 Char3"/>
    <w:link w:val="27"/>
    <w:autoRedefine/>
    <w:qFormat/>
    <w:uiPriority w:val="0"/>
    <w:rPr>
      <w:rFonts w:ascii="宋体" w:hAnsi="宋体"/>
      <w:kern w:val="2"/>
      <w:sz w:val="24"/>
      <w:szCs w:val="24"/>
    </w:rPr>
  </w:style>
  <w:style w:type="character" w:customStyle="1" w:styleId="264">
    <w:name w:val="font01"/>
    <w:autoRedefine/>
    <w:qFormat/>
    <w:uiPriority w:val="0"/>
    <w:rPr>
      <w:rFonts w:hint="eastAsia" w:ascii="微软雅黑" w:hAnsi="微软雅黑" w:eastAsia="微软雅黑" w:cs="微软雅黑"/>
      <w:color w:val="000000"/>
      <w:sz w:val="20"/>
      <w:szCs w:val="20"/>
      <w:u w:val="none"/>
    </w:rPr>
  </w:style>
  <w:style w:type="character" w:customStyle="1" w:styleId="265">
    <w:name w:val="Char Char20"/>
    <w:autoRedefine/>
    <w:qFormat/>
    <w:uiPriority w:val="6"/>
    <w:rPr>
      <w:kern w:val="1"/>
      <w:sz w:val="24"/>
    </w:rPr>
  </w:style>
  <w:style w:type="character" w:customStyle="1" w:styleId="266">
    <w:name w:val="tw4winExternal"/>
    <w:autoRedefine/>
    <w:qFormat/>
    <w:uiPriority w:val="0"/>
    <w:rPr>
      <w:rFonts w:ascii="Courier New" w:hAnsi="Courier New" w:cs="Courier New"/>
      <w:color w:val="808080"/>
      <w:lang w:val="en-US" w:eastAsia="zh-CN"/>
    </w:rPr>
  </w:style>
  <w:style w:type="character" w:customStyle="1" w:styleId="267">
    <w:name w:val="标题 4 Char1"/>
    <w:autoRedefine/>
    <w:qFormat/>
    <w:uiPriority w:val="9"/>
    <w:rPr>
      <w:rFonts w:ascii="Cambria" w:hAnsi="Cambria" w:eastAsia="宋体" w:cs="Times New Roman"/>
      <w:b/>
      <w:bCs/>
      <w:kern w:val="2"/>
      <w:sz w:val="28"/>
      <w:szCs w:val="28"/>
    </w:rPr>
  </w:style>
  <w:style w:type="character" w:customStyle="1" w:styleId="268">
    <w:name w:val="批注文字 Char2"/>
    <w:autoRedefine/>
    <w:qFormat/>
    <w:uiPriority w:val="99"/>
    <w:rPr>
      <w:rFonts w:ascii="Times New Roman" w:hAnsi="Times New Roman" w:eastAsia="宋体" w:cs="Times New Roman"/>
      <w:snapToGrid w:val="0"/>
      <w:kern w:val="0"/>
      <w:szCs w:val="24"/>
    </w:rPr>
  </w:style>
  <w:style w:type="character" w:customStyle="1" w:styleId="269">
    <w:name w:val="正文文本 2 Char"/>
    <w:autoRedefine/>
    <w:qFormat/>
    <w:uiPriority w:val="0"/>
    <w:rPr>
      <w:rFonts w:eastAsia="宋体"/>
      <w:kern w:val="2"/>
      <w:sz w:val="21"/>
      <w:szCs w:val="24"/>
      <w:lang w:val="en-US" w:eastAsia="zh-CN" w:bidi="ar-SA"/>
    </w:rPr>
  </w:style>
  <w:style w:type="character" w:customStyle="1" w:styleId="270">
    <w:name w:val="Ò³Ã¼ Char Char"/>
    <w:autoRedefine/>
    <w:qFormat/>
    <w:uiPriority w:val="0"/>
    <w:rPr>
      <w:rFonts w:eastAsia="宋体"/>
      <w:kern w:val="2"/>
      <w:sz w:val="18"/>
      <w:lang w:val="en-US" w:eastAsia="zh-CN" w:bidi="ar-SA"/>
    </w:rPr>
  </w:style>
  <w:style w:type="character" w:customStyle="1" w:styleId="271">
    <w:name w:val="message1"/>
    <w:autoRedefine/>
    <w:qFormat/>
    <w:uiPriority w:val="0"/>
    <w:rPr>
      <w:rFonts w:hint="default" w:ascii="Tahoma" w:hAnsi="Tahoma" w:cs="Tahoma"/>
      <w:sz w:val="18"/>
      <w:szCs w:val="18"/>
    </w:rPr>
  </w:style>
  <w:style w:type="character" w:customStyle="1" w:styleId="272">
    <w:name w:val="Char Char23"/>
    <w:autoRedefine/>
    <w:qFormat/>
    <w:uiPriority w:val="6"/>
    <w:rPr>
      <w:color w:val="0000FF"/>
      <w:sz w:val="21"/>
    </w:rPr>
  </w:style>
  <w:style w:type="character" w:customStyle="1" w:styleId="273">
    <w:name w:val="批注框文本 字符"/>
    <w:autoRedefine/>
    <w:qFormat/>
    <w:uiPriority w:val="0"/>
    <w:rPr>
      <w:rFonts w:ascii="Arial" w:hAnsi="Arial" w:eastAsia="黑体" w:cs="Arial"/>
      <w:snapToGrid w:val="0"/>
      <w:kern w:val="0"/>
      <w:sz w:val="18"/>
      <w:szCs w:val="18"/>
    </w:rPr>
  </w:style>
  <w:style w:type="character" w:customStyle="1" w:styleId="274">
    <w:name w:val="纯文本 Char2"/>
    <w:autoRedefine/>
    <w:semiHidden/>
    <w:qFormat/>
    <w:uiPriority w:val="99"/>
    <w:rPr>
      <w:rFonts w:ascii="宋体" w:hAnsi="Courier New" w:eastAsia="宋体" w:cs="Courier New"/>
    </w:rPr>
  </w:style>
  <w:style w:type="character" w:customStyle="1" w:styleId="275">
    <w:name w:val="Char Char25"/>
    <w:autoRedefine/>
    <w:qFormat/>
    <w:uiPriority w:val="6"/>
    <w:rPr>
      <w:rFonts w:ascii="宋体" w:hAnsi="宋体"/>
      <w:kern w:val="1"/>
      <w:sz w:val="24"/>
      <w:lang w:val="zh-CN"/>
    </w:rPr>
  </w:style>
  <w:style w:type="character" w:customStyle="1" w:styleId="276">
    <w:name w:val="Char Char411"/>
    <w:autoRedefine/>
    <w:qFormat/>
    <w:uiPriority w:val="0"/>
    <w:rPr>
      <w:rFonts w:eastAsia="宋体"/>
      <w:b/>
      <w:sz w:val="24"/>
      <w:lang w:val="en-GB" w:eastAsia="zh-CN" w:bidi="ar-SA"/>
    </w:rPr>
  </w:style>
  <w:style w:type="character" w:customStyle="1" w:styleId="277">
    <w:name w:val="Heading 7 Char"/>
    <w:autoRedefine/>
    <w:qFormat/>
    <w:locked/>
    <w:uiPriority w:val="0"/>
    <w:rPr>
      <w:rFonts w:ascii="宋体" w:hAnsi="宋体" w:eastAsia="宋体"/>
      <w:b/>
      <w:bCs/>
      <w:kern w:val="2"/>
      <w:sz w:val="24"/>
      <w:szCs w:val="24"/>
      <w:lang w:val="en-US" w:eastAsia="zh-CN" w:bidi="ar-SA"/>
    </w:rPr>
  </w:style>
  <w:style w:type="character" w:customStyle="1" w:styleId="278">
    <w:name w:val="此正文 Char"/>
    <w:link w:val="279"/>
    <w:autoRedefine/>
    <w:qFormat/>
    <w:uiPriority w:val="0"/>
    <w:rPr>
      <w:kern w:val="2"/>
      <w:sz w:val="24"/>
      <w:szCs w:val="24"/>
    </w:rPr>
  </w:style>
  <w:style w:type="paragraph" w:customStyle="1" w:styleId="279">
    <w:name w:val="此正文"/>
    <w:basedOn w:val="1"/>
    <w:link w:val="278"/>
    <w:autoRedefine/>
    <w:qFormat/>
    <w:uiPriority w:val="0"/>
    <w:pPr>
      <w:adjustRightInd/>
      <w:spacing w:line="360" w:lineRule="auto"/>
      <w:ind w:firstLine="200" w:firstLineChars="200"/>
    </w:pPr>
    <w:rPr>
      <w:sz w:val="24"/>
    </w:rPr>
  </w:style>
  <w:style w:type="character" w:customStyle="1" w:styleId="280">
    <w:name w:val="Char Char2"/>
    <w:autoRedefine/>
    <w:qFormat/>
    <w:uiPriority w:val="0"/>
    <w:rPr>
      <w:rFonts w:eastAsia="宋体"/>
      <w:b/>
      <w:bCs/>
      <w:kern w:val="2"/>
      <w:sz w:val="21"/>
      <w:szCs w:val="24"/>
      <w:lang w:val="en-US" w:eastAsia="zh-CN" w:bidi="ar-SA"/>
    </w:rPr>
  </w:style>
  <w:style w:type="character" w:customStyle="1" w:styleId="281">
    <w:name w:val="标题 1 Char"/>
    <w:link w:val="4"/>
    <w:autoRedefine/>
    <w:qFormat/>
    <w:uiPriority w:val="9"/>
    <w:rPr>
      <w:b/>
      <w:bCs/>
      <w:kern w:val="44"/>
      <w:sz w:val="44"/>
      <w:szCs w:val="44"/>
    </w:rPr>
  </w:style>
  <w:style w:type="character" w:customStyle="1" w:styleId="282">
    <w:name w:val="Footer-Even Char1"/>
    <w:autoRedefine/>
    <w:qFormat/>
    <w:uiPriority w:val="0"/>
    <w:rPr>
      <w:rFonts w:eastAsia="宋体"/>
      <w:kern w:val="2"/>
      <w:sz w:val="18"/>
      <w:szCs w:val="18"/>
      <w:lang w:val="en-US" w:eastAsia="zh-CN" w:bidi="ar-SA"/>
    </w:rPr>
  </w:style>
  <w:style w:type="character" w:customStyle="1" w:styleId="283">
    <w:name w:val="Char Char29"/>
    <w:autoRedefine/>
    <w:qFormat/>
    <w:uiPriority w:val="6"/>
    <w:rPr>
      <w:rFonts w:ascii="Arial" w:hAnsi="Arial" w:eastAsia="微软雅黑"/>
      <w:b/>
      <w:kern w:val="1"/>
      <w:sz w:val="44"/>
      <w:szCs w:val="32"/>
      <w:lang w:val="en-US" w:eastAsia="zh-CN" w:bidi="ar-SA"/>
    </w:rPr>
  </w:style>
  <w:style w:type="character" w:customStyle="1" w:styleId="284">
    <w:name w:val="标题 Char2"/>
    <w:link w:val="60"/>
    <w:autoRedefine/>
    <w:qFormat/>
    <w:uiPriority w:val="10"/>
    <w:rPr>
      <w:b/>
      <w:sz w:val="24"/>
      <w:lang w:val="en-GB"/>
    </w:rPr>
  </w:style>
  <w:style w:type="character" w:customStyle="1" w:styleId="285">
    <w:name w:val="font81"/>
    <w:autoRedefine/>
    <w:qFormat/>
    <w:uiPriority w:val="0"/>
    <w:rPr>
      <w:rFonts w:ascii="微软雅黑" w:hAnsi="微软雅黑" w:eastAsia="微软雅黑" w:cs="微软雅黑"/>
      <w:color w:val="000000"/>
      <w:sz w:val="20"/>
      <w:szCs w:val="20"/>
      <w:u w:val="none"/>
    </w:rPr>
  </w:style>
  <w:style w:type="character" w:customStyle="1" w:styleId="286">
    <w:name w:val="Char Char312"/>
    <w:autoRedefine/>
    <w:qFormat/>
    <w:uiPriority w:val="0"/>
    <w:rPr>
      <w:rFonts w:ascii="Times New Roman" w:hAnsi="Times New Roman" w:eastAsia="宋体" w:cs="Times New Roman"/>
      <w:b/>
      <w:kern w:val="2"/>
      <w:sz w:val="32"/>
      <w:szCs w:val="24"/>
      <w:lang w:val="en-US" w:eastAsia="zh-CN" w:bidi="ar-SA"/>
    </w:rPr>
  </w:style>
  <w:style w:type="character" w:customStyle="1" w:styleId="287">
    <w:name w:val="t21"/>
    <w:autoRedefine/>
    <w:qFormat/>
    <w:uiPriority w:val="0"/>
    <w:rPr>
      <w:rFonts w:ascii="仿宋_GB2312" w:eastAsia="微软雅黑"/>
      <w:b/>
      <w:kern w:val="2"/>
      <w:sz w:val="23"/>
      <w:szCs w:val="23"/>
      <w:lang w:val="en-US" w:eastAsia="zh-CN" w:bidi="ar-SA"/>
    </w:rPr>
  </w:style>
  <w:style w:type="character" w:customStyle="1" w:styleId="288">
    <w:name w:val="样式8 Char"/>
    <w:autoRedefine/>
    <w:qFormat/>
    <w:uiPriority w:val="0"/>
    <w:rPr>
      <w:rFonts w:ascii="仿宋_GB2312" w:hAnsi="宋体" w:eastAsia="仿宋_GB2312"/>
      <w:b/>
      <w:bCs/>
      <w:kern w:val="2"/>
      <w:sz w:val="24"/>
      <w:szCs w:val="24"/>
    </w:rPr>
  </w:style>
  <w:style w:type="character" w:customStyle="1" w:styleId="289">
    <w:name w:val="表格 Char Char"/>
    <w:autoRedefine/>
    <w:qFormat/>
    <w:uiPriority w:val="0"/>
    <w:rPr>
      <w:rFonts w:ascii="宋体" w:hAnsi="宋体" w:eastAsia="宋体"/>
      <w:lang w:bidi="ar-SA"/>
    </w:rPr>
  </w:style>
  <w:style w:type="character" w:customStyle="1" w:styleId="290">
    <w:name w:val="正文文本 字符1"/>
    <w:autoRedefine/>
    <w:qFormat/>
    <w:uiPriority w:val="0"/>
    <w:rPr>
      <w:rFonts w:ascii="Calibri" w:hAnsi="Calibri" w:eastAsia="黑体" w:cs="Arial"/>
      <w:snapToGrid w:val="0"/>
      <w:kern w:val="2"/>
      <w:sz w:val="28"/>
      <w:szCs w:val="21"/>
    </w:rPr>
  </w:style>
  <w:style w:type="character" w:customStyle="1" w:styleId="291">
    <w:name w:val="标题 5 Char"/>
    <w:link w:val="9"/>
    <w:autoRedefine/>
    <w:qFormat/>
    <w:uiPriority w:val="9"/>
    <w:rPr>
      <w:b/>
      <w:bCs/>
      <w:kern w:val="2"/>
      <w:sz w:val="28"/>
      <w:szCs w:val="28"/>
    </w:rPr>
  </w:style>
  <w:style w:type="character" w:customStyle="1" w:styleId="292">
    <w:name w:val="标题 6 Char1"/>
    <w:autoRedefine/>
    <w:qFormat/>
    <w:uiPriority w:val="0"/>
    <w:rPr>
      <w:rFonts w:ascii="Arial" w:hAnsi="Arial" w:eastAsia="黑体" w:cs="Times New Roman"/>
      <w:b/>
      <w:sz w:val="24"/>
      <w:szCs w:val="20"/>
      <w:lang w:bidi="ar-SA"/>
    </w:rPr>
  </w:style>
  <w:style w:type="character" w:customStyle="1" w:styleId="293">
    <w:name w:val="带编号样式 Char"/>
    <w:autoRedefine/>
    <w:qFormat/>
    <w:uiPriority w:val="0"/>
    <w:rPr>
      <w:rFonts w:ascii="仿宋_GB2312" w:eastAsia="仿宋_GB2312"/>
      <w:color w:val="000000"/>
      <w:sz w:val="24"/>
      <w:lang w:bidi="ar-SA"/>
    </w:rPr>
  </w:style>
  <w:style w:type="character" w:customStyle="1" w:styleId="294">
    <w:name w:val="unnamed31"/>
    <w:autoRedefine/>
    <w:qFormat/>
    <w:uiPriority w:val="0"/>
    <w:rPr>
      <w:rFonts w:ascii="Tahoma" w:hAnsi="Tahoma" w:eastAsia="宋体"/>
      <w:b/>
      <w:kern w:val="2"/>
      <w:sz w:val="24"/>
      <w:szCs w:val="32"/>
      <w:u w:val="none"/>
      <w:lang w:val="en-US" w:eastAsia="zh-CN" w:bidi="ar-SA"/>
    </w:rPr>
  </w:style>
  <w:style w:type="character" w:customStyle="1" w:styleId="295">
    <w:name w:val="正文首行缩进 Char Char Char Char Char Char1"/>
    <w:autoRedefine/>
    <w:qFormat/>
    <w:uiPriority w:val="0"/>
    <w:rPr>
      <w:rFonts w:ascii="宋体" w:eastAsia="宋体"/>
      <w:kern w:val="2"/>
      <w:sz w:val="24"/>
      <w:szCs w:val="24"/>
      <w:lang w:val="zh-CN" w:bidi="ar-SA"/>
    </w:rPr>
  </w:style>
  <w:style w:type="character" w:customStyle="1" w:styleId="296">
    <w:name w:val="称呼 Char"/>
    <w:link w:val="22"/>
    <w:autoRedefine/>
    <w:qFormat/>
    <w:uiPriority w:val="0"/>
    <w:rPr>
      <w:rFonts w:ascii="仿宋_GB2312" w:eastAsia="仿宋_GB2312"/>
      <w:kern w:val="2"/>
      <w:sz w:val="28"/>
    </w:rPr>
  </w:style>
  <w:style w:type="character" w:customStyle="1" w:styleId="297">
    <w:name w:val="文本正文 Char Char"/>
    <w:autoRedefine/>
    <w:qFormat/>
    <w:locked/>
    <w:uiPriority w:val="0"/>
    <w:rPr>
      <w:sz w:val="24"/>
      <w:lang w:bidi="ar-SA"/>
    </w:rPr>
  </w:style>
  <w:style w:type="character" w:customStyle="1" w:styleId="298">
    <w:name w:val="正文缩进 字符"/>
    <w:autoRedefine/>
    <w:qFormat/>
    <w:uiPriority w:val="0"/>
    <w:rPr>
      <w:rFonts w:ascii="宋体" w:eastAsia="宋体"/>
      <w:snapToGrid w:val="0"/>
      <w:color w:val="000000"/>
      <w:kern w:val="28"/>
      <w:sz w:val="28"/>
      <w:lang w:val="en-US" w:eastAsia="zh-CN" w:bidi="ar-SA"/>
    </w:rPr>
  </w:style>
  <w:style w:type="character" w:customStyle="1" w:styleId="299">
    <w:name w:val="HTML 预设格式 Char"/>
    <w:link w:val="58"/>
    <w:autoRedefine/>
    <w:qFormat/>
    <w:uiPriority w:val="0"/>
    <w:rPr>
      <w:rFonts w:ascii="黑体" w:hAnsi="Courier New" w:eastAsia="黑体"/>
    </w:rPr>
  </w:style>
  <w:style w:type="character" w:customStyle="1" w:styleId="300">
    <w:name w:val="正文文本 2 Char1"/>
    <w:link w:val="57"/>
    <w:autoRedefine/>
    <w:qFormat/>
    <w:uiPriority w:val="0"/>
    <w:rPr>
      <w:kern w:val="2"/>
      <w:sz w:val="21"/>
      <w:szCs w:val="24"/>
    </w:rPr>
  </w:style>
  <w:style w:type="character" w:customStyle="1" w:styleId="301">
    <w:name w:val="样式 样式 标题 4h4H4Fab-4T5Ref Heading 1rh1Heading sqlsect 1.2.3.... +... Char"/>
    <w:link w:val="302"/>
    <w:autoRedefine/>
    <w:qFormat/>
    <w:uiPriority w:val="0"/>
    <w:rPr>
      <w:rFonts w:ascii="微软雅黑" w:hAnsi="微软雅黑" w:eastAsia="微软雅黑"/>
      <w:b/>
      <w:bCs/>
      <w:kern w:val="2"/>
      <w:sz w:val="24"/>
      <w:szCs w:val="28"/>
    </w:rPr>
  </w:style>
  <w:style w:type="paragraph" w:customStyle="1" w:styleId="302">
    <w:name w:val="样式 样式 标题 4h4H4Fab-4T5Ref Heading 1rh1Heading sqlsect 1.2.3.... +..."/>
    <w:basedOn w:val="303"/>
    <w:link w:val="301"/>
    <w:autoRedefine/>
    <w:qFormat/>
    <w:uiPriority w:val="0"/>
    <w:pPr>
      <w:tabs>
        <w:tab w:val="left" w:pos="2356"/>
      </w:tabs>
    </w:pPr>
  </w:style>
  <w:style w:type="paragraph" w:customStyle="1" w:styleId="303">
    <w:name w:val="样式 标题 4h4H4Fab-4T5Ref Heading 1rh1Heading sqlsect 1.2.3...."/>
    <w:basedOn w:val="8"/>
    <w:link w:val="411"/>
    <w:autoRedefine/>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4">
    <w:name w:val="正文非缩进 Char"/>
    <w:autoRedefine/>
    <w:qFormat/>
    <w:uiPriority w:val="0"/>
    <w:rPr>
      <w:rFonts w:ascii="宋体" w:eastAsia="宋体"/>
      <w:snapToGrid w:val="0"/>
      <w:color w:val="000000"/>
      <w:kern w:val="28"/>
      <w:sz w:val="28"/>
      <w:lang w:val="en-US" w:eastAsia="zh-CN" w:bidi="ar-SA"/>
    </w:rPr>
  </w:style>
  <w:style w:type="character" w:customStyle="1" w:styleId="305">
    <w:name w:val="标题 7 Char"/>
    <w:link w:val="11"/>
    <w:autoRedefine/>
    <w:qFormat/>
    <w:uiPriority w:val="0"/>
    <w:rPr>
      <w:b/>
      <w:bCs/>
      <w:kern w:val="2"/>
      <w:sz w:val="24"/>
      <w:szCs w:val="24"/>
    </w:rPr>
  </w:style>
  <w:style w:type="character" w:customStyle="1" w:styleId="306">
    <w:name w:val="正文文本缩进 2 Char"/>
    <w:link w:val="38"/>
    <w:autoRedefine/>
    <w:qFormat/>
    <w:uiPriority w:val="0"/>
    <w:rPr>
      <w:rFonts w:ascii="宋体"/>
      <w:sz w:val="28"/>
    </w:rPr>
  </w:style>
  <w:style w:type="character" w:customStyle="1" w:styleId="307">
    <w:name w:val="Char Char5"/>
    <w:autoRedefine/>
    <w:qFormat/>
    <w:uiPriority w:val="0"/>
    <w:rPr>
      <w:rFonts w:ascii="宋体" w:hAnsi="Courier New" w:eastAsia="宋体"/>
      <w:kern w:val="2"/>
      <w:sz w:val="21"/>
      <w:lang w:val="en-US" w:eastAsia="zh-CN"/>
    </w:rPr>
  </w:style>
  <w:style w:type="character" w:customStyle="1" w:styleId="308">
    <w:name w:val="脚注文本 Char"/>
    <w:link w:val="51"/>
    <w:autoRedefine/>
    <w:qFormat/>
    <w:uiPriority w:val="0"/>
    <w:rPr>
      <w:color w:val="0000FF"/>
      <w:sz w:val="21"/>
    </w:rPr>
  </w:style>
  <w:style w:type="character" w:customStyle="1" w:styleId="309">
    <w:name w:val="称呼 Char1"/>
    <w:autoRedefine/>
    <w:qFormat/>
    <w:uiPriority w:val="0"/>
    <w:rPr>
      <w:rFonts w:ascii="Times New Roman" w:hAnsi="Times New Roman" w:eastAsia="宋体" w:cs="Times New Roman"/>
      <w:szCs w:val="24"/>
    </w:rPr>
  </w:style>
  <w:style w:type="character" w:customStyle="1" w:styleId="310">
    <w:name w:val="正文1 Char"/>
    <w:autoRedefine/>
    <w:qFormat/>
    <w:uiPriority w:val="0"/>
    <w:rPr>
      <w:rFonts w:ascii="宋体" w:eastAsia="宋体"/>
      <w:snapToGrid w:val="0"/>
      <w:color w:val="000000"/>
      <w:kern w:val="28"/>
      <w:sz w:val="28"/>
      <w:lang w:val="en-US" w:eastAsia="zh-CN" w:bidi="ar-SA"/>
    </w:rPr>
  </w:style>
  <w:style w:type="character" w:customStyle="1" w:styleId="311">
    <w:name w:val="正文缩进 Char1"/>
    <w:autoRedefine/>
    <w:qFormat/>
    <w:uiPriority w:val="0"/>
    <w:rPr>
      <w:rFonts w:ascii="宋体" w:eastAsia="宋体"/>
      <w:snapToGrid w:val="0"/>
      <w:color w:val="000000"/>
      <w:kern w:val="28"/>
      <w:sz w:val="28"/>
      <w:lang w:val="en-US" w:eastAsia="zh-CN" w:bidi="ar-SA"/>
    </w:rPr>
  </w:style>
  <w:style w:type="character" w:customStyle="1" w:styleId="312">
    <w:name w:val="font21"/>
    <w:autoRedefine/>
    <w:qFormat/>
    <w:uiPriority w:val="0"/>
    <w:rPr>
      <w:rFonts w:hint="eastAsia" w:ascii="宋体" w:hAnsi="宋体" w:eastAsia="宋体"/>
      <w:kern w:val="2"/>
      <w:sz w:val="28"/>
      <w:szCs w:val="28"/>
      <w:lang w:val="en-US" w:eastAsia="zh-CN" w:bidi="ar-SA"/>
    </w:rPr>
  </w:style>
  <w:style w:type="character" w:customStyle="1" w:styleId="313">
    <w:name w:val="Char Char26"/>
    <w:autoRedefine/>
    <w:qFormat/>
    <w:uiPriority w:val="6"/>
    <w:rPr>
      <w:kern w:val="1"/>
      <w:sz w:val="21"/>
      <w:szCs w:val="24"/>
    </w:rPr>
  </w:style>
  <w:style w:type="character" w:customStyle="1" w:styleId="314">
    <w:name w:val="Item List Char"/>
    <w:link w:val="315"/>
    <w:autoRedefine/>
    <w:qFormat/>
    <w:uiPriority w:val="0"/>
    <w:rPr>
      <w:rFonts w:ascii="Arial"/>
      <w:bCs/>
      <w:sz w:val="21"/>
      <w:szCs w:val="21"/>
      <w:lang w:val="en-US" w:eastAsia="zh-CN" w:bidi="ar-SA"/>
    </w:rPr>
  </w:style>
  <w:style w:type="paragraph" w:customStyle="1" w:styleId="315">
    <w:name w:val="Item List"/>
    <w:link w:val="314"/>
    <w:autoRedefine/>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6">
    <w:name w:val="批注框文本 Char1"/>
    <w:autoRedefine/>
    <w:qFormat/>
    <w:uiPriority w:val="0"/>
    <w:rPr>
      <w:rFonts w:ascii="Times New Roman" w:hAnsi="Times New Roman" w:eastAsia="宋体" w:cs="Times New Roman"/>
      <w:sz w:val="18"/>
      <w:szCs w:val="18"/>
    </w:rPr>
  </w:style>
  <w:style w:type="character" w:customStyle="1" w:styleId="317">
    <w:name w:val="纯文本 Char1"/>
    <w:link w:val="318"/>
    <w:autoRedefine/>
    <w:qFormat/>
    <w:uiPriority w:val="0"/>
    <w:rPr>
      <w:rFonts w:ascii="宋体" w:hAnsi="Courier New"/>
    </w:rPr>
  </w:style>
  <w:style w:type="paragraph" w:customStyle="1" w:styleId="318">
    <w:name w:val="纯文本1"/>
    <w:basedOn w:val="1"/>
    <w:link w:val="317"/>
    <w:autoRedefine/>
    <w:qFormat/>
    <w:uiPriority w:val="0"/>
    <w:pPr>
      <w:adjustRightInd/>
    </w:pPr>
    <w:rPr>
      <w:rFonts w:ascii="宋体" w:hAnsi="Courier New"/>
      <w:kern w:val="0"/>
      <w:sz w:val="20"/>
      <w:szCs w:val="20"/>
    </w:rPr>
  </w:style>
  <w:style w:type="character" w:customStyle="1" w:styleId="319">
    <w:name w:val="正文首行缩进 Char"/>
    <w:link w:val="26"/>
    <w:autoRedefine/>
    <w:qFormat/>
    <w:uiPriority w:val="0"/>
    <w:rPr>
      <w:rFonts w:ascii="宋体"/>
      <w:kern w:val="2"/>
      <w:sz w:val="24"/>
      <w:lang w:val="zh-CN"/>
    </w:rPr>
  </w:style>
  <w:style w:type="character" w:customStyle="1" w:styleId="320">
    <w:name w:val="h3 Char"/>
    <w:autoRedefine/>
    <w:qFormat/>
    <w:uiPriority w:val="0"/>
    <w:rPr>
      <w:rFonts w:eastAsia="宋体"/>
      <w:b/>
      <w:kern w:val="2"/>
      <w:sz w:val="32"/>
      <w:lang w:val="en-US" w:eastAsia="zh-CN" w:bidi="ar-SA"/>
    </w:rPr>
  </w:style>
  <w:style w:type="character" w:customStyle="1" w:styleId="321">
    <w:name w:val="dandyren_title1"/>
    <w:autoRedefine/>
    <w:qFormat/>
    <w:uiPriority w:val="0"/>
    <w:rPr>
      <w:b/>
      <w:bCs/>
      <w:color w:val="FF6633"/>
      <w:sz w:val="18"/>
      <w:szCs w:val="18"/>
    </w:rPr>
  </w:style>
  <w:style w:type="character" w:customStyle="1" w:styleId="322">
    <w:name w:val="Char Char31"/>
    <w:autoRedefine/>
    <w:qFormat/>
    <w:uiPriority w:val="6"/>
    <w:rPr>
      <w:rFonts w:ascii="Arial" w:hAnsi="Arial" w:eastAsia="黑体"/>
      <w:kern w:val="1"/>
      <w:sz w:val="24"/>
      <w:szCs w:val="24"/>
    </w:rPr>
  </w:style>
  <w:style w:type="character" w:customStyle="1" w:styleId="323">
    <w:name w:val="h Char1"/>
    <w:autoRedefine/>
    <w:qFormat/>
    <w:uiPriority w:val="0"/>
    <w:rPr>
      <w:sz w:val="18"/>
      <w:szCs w:val="18"/>
    </w:rPr>
  </w:style>
  <w:style w:type="character" w:customStyle="1" w:styleId="324">
    <w:name w:val="solutionfonts"/>
    <w:autoRedefine/>
    <w:qFormat/>
    <w:uiPriority w:val="0"/>
  </w:style>
  <w:style w:type="character" w:customStyle="1" w:styleId="325">
    <w:name w:val="标题 4 Char2"/>
    <w:link w:val="8"/>
    <w:autoRedefine/>
    <w:qFormat/>
    <w:uiPriority w:val="9"/>
    <w:rPr>
      <w:rFonts w:ascii="Arial" w:hAnsi="Arial" w:eastAsia="黑体"/>
      <w:b/>
      <w:bCs/>
      <w:kern w:val="2"/>
      <w:sz w:val="28"/>
      <w:szCs w:val="28"/>
      <w:lang w:val="zh-CN"/>
    </w:rPr>
  </w:style>
  <w:style w:type="character" w:customStyle="1" w:styleId="326">
    <w:name w:val="首行缩进 Char"/>
    <w:autoRedefine/>
    <w:qFormat/>
    <w:uiPriority w:val="0"/>
    <w:rPr>
      <w:rFonts w:ascii="宋体" w:eastAsia="宋体"/>
      <w:kern w:val="2"/>
      <w:sz w:val="24"/>
      <w:lang w:val="en-US" w:eastAsia="zh-CN" w:bidi="ar-SA"/>
    </w:rPr>
  </w:style>
  <w:style w:type="character" w:customStyle="1" w:styleId="327">
    <w:name w:val="Char Char52"/>
    <w:autoRedefine/>
    <w:qFormat/>
    <w:uiPriority w:val="0"/>
    <w:rPr>
      <w:rFonts w:ascii="宋体" w:hAnsi="Courier New" w:eastAsia="宋体"/>
      <w:kern w:val="2"/>
      <w:sz w:val="21"/>
      <w:lang w:val="en-US" w:eastAsia="zh-CN"/>
    </w:rPr>
  </w:style>
  <w:style w:type="character" w:customStyle="1" w:styleId="328">
    <w:name w:val="正文文本 3 Char"/>
    <w:link w:val="23"/>
    <w:autoRedefine/>
    <w:qFormat/>
    <w:uiPriority w:val="0"/>
    <w:rPr>
      <w:kern w:val="2"/>
      <w:sz w:val="21"/>
    </w:rPr>
  </w:style>
  <w:style w:type="character" w:customStyle="1" w:styleId="329">
    <w:name w:val="font31"/>
    <w:autoRedefine/>
    <w:qFormat/>
    <w:uiPriority w:val="0"/>
    <w:rPr>
      <w:rFonts w:hint="eastAsia" w:ascii="仿宋" w:hAnsi="仿宋" w:eastAsia="仿宋" w:cs="仿宋"/>
      <w:color w:val="000000"/>
      <w:sz w:val="20"/>
      <w:szCs w:val="20"/>
      <w:u w:val="none"/>
    </w:rPr>
  </w:style>
  <w:style w:type="character" w:customStyle="1" w:styleId="330">
    <w:name w:val="正文说明 Char"/>
    <w:link w:val="331"/>
    <w:autoRedefine/>
    <w:qFormat/>
    <w:uiPriority w:val="0"/>
    <w:rPr>
      <w:sz w:val="24"/>
      <w:szCs w:val="24"/>
    </w:rPr>
  </w:style>
  <w:style w:type="paragraph" w:customStyle="1" w:styleId="331">
    <w:name w:val="正文说明"/>
    <w:basedOn w:val="1"/>
    <w:link w:val="330"/>
    <w:autoRedefine/>
    <w:qFormat/>
    <w:uiPriority w:val="0"/>
    <w:pPr>
      <w:adjustRightInd/>
      <w:spacing w:line="360" w:lineRule="auto"/>
    </w:pPr>
    <w:rPr>
      <w:kern w:val="0"/>
      <w:sz w:val="24"/>
    </w:rPr>
  </w:style>
  <w:style w:type="character" w:customStyle="1" w:styleId="332">
    <w:name w:val="脚注文本 Char1"/>
    <w:autoRedefine/>
    <w:qFormat/>
    <w:uiPriority w:val="0"/>
    <w:rPr>
      <w:rFonts w:ascii="Times New Roman" w:hAnsi="Times New Roman" w:eastAsia="宋体" w:cs="Times New Roman"/>
      <w:sz w:val="18"/>
      <w:szCs w:val="18"/>
    </w:rPr>
  </w:style>
  <w:style w:type="character" w:customStyle="1" w:styleId="333">
    <w:name w:val="Char Char1211"/>
    <w:autoRedefine/>
    <w:qFormat/>
    <w:uiPriority w:val="0"/>
    <w:rPr>
      <w:rFonts w:ascii="仿宋_GB2312" w:eastAsia="仿宋_GB2312"/>
      <w:b/>
      <w:bCs/>
      <w:kern w:val="2"/>
      <w:sz w:val="24"/>
      <w:szCs w:val="24"/>
      <w:lang w:val="zh-CN" w:eastAsia="zh-CN" w:bidi="ar-SA"/>
    </w:rPr>
  </w:style>
  <w:style w:type="character" w:customStyle="1" w:styleId="334">
    <w:name w:val="标题 Char"/>
    <w:autoRedefine/>
    <w:qFormat/>
    <w:uiPriority w:val="0"/>
    <w:rPr>
      <w:rFonts w:eastAsia="宋体"/>
      <w:b/>
      <w:sz w:val="24"/>
      <w:lang w:val="en-GB" w:eastAsia="zh-CN" w:bidi="ar-SA"/>
    </w:rPr>
  </w:style>
  <w:style w:type="character" w:customStyle="1" w:styleId="335">
    <w:name w:val="Char Char35"/>
    <w:autoRedefine/>
    <w:qFormat/>
    <w:uiPriority w:val="6"/>
    <w:rPr>
      <w:rFonts w:ascii="Arial" w:hAnsi="Arial" w:eastAsia="黑体"/>
      <w:b/>
      <w:kern w:val="1"/>
      <w:sz w:val="28"/>
      <w:szCs w:val="28"/>
      <w:lang w:val="zh-CN"/>
    </w:rPr>
  </w:style>
  <w:style w:type="character" w:customStyle="1" w:styleId="336">
    <w:name w:val="纯文本 Char Char Char"/>
    <w:autoRedefine/>
    <w:qFormat/>
    <w:uiPriority w:val="0"/>
    <w:rPr>
      <w:rFonts w:ascii="宋体" w:hAnsi="Courier New" w:eastAsia="宋体"/>
      <w:kern w:val="2"/>
      <w:sz w:val="21"/>
      <w:lang w:val="en-US" w:eastAsia="zh-CN" w:bidi="ar-SA"/>
    </w:rPr>
  </w:style>
  <w:style w:type="character" w:customStyle="1" w:styleId="337">
    <w:name w:val="Table Text Char"/>
    <w:link w:val="338"/>
    <w:autoRedefine/>
    <w:qFormat/>
    <w:uiPriority w:val="0"/>
    <w:rPr>
      <w:sz w:val="24"/>
      <w:szCs w:val="24"/>
    </w:rPr>
  </w:style>
  <w:style w:type="paragraph" w:customStyle="1" w:styleId="338">
    <w:name w:val="Table Text"/>
    <w:basedOn w:val="1"/>
    <w:link w:val="337"/>
    <w:autoRedefine/>
    <w:qFormat/>
    <w:uiPriority w:val="0"/>
    <w:pPr>
      <w:widowControl/>
      <w:spacing w:before="60" w:after="60"/>
      <w:jc w:val="left"/>
    </w:pPr>
    <w:rPr>
      <w:kern w:val="0"/>
      <w:sz w:val="24"/>
    </w:rPr>
  </w:style>
  <w:style w:type="character" w:customStyle="1" w:styleId="339">
    <w:name w:val="正文1 Char1"/>
    <w:autoRedefine/>
    <w:qFormat/>
    <w:uiPriority w:val="0"/>
    <w:rPr>
      <w:rFonts w:ascii="仿宋_GB2312" w:hAnsi="Courier New" w:eastAsia="仿宋_GB2312"/>
      <w:kern w:val="28"/>
      <w:sz w:val="24"/>
      <w:szCs w:val="24"/>
      <w:lang w:val="en-US" w:eastAsia="zh-CN"/>
    </w:rPr>
  </w:style>
  <w:style w:type="character" w:customStyle="1" w:styleId="340">
    <w:name w:val="页脚 Char1"/>
    <w:autoRedefine/>
    <w:qFormat/>
    <w:uiPriority w:val="0"/>
    <w:rPr>
      <w:rFonts w:eastAsia="宋体"/>
      <w:kern w:val="2"/>
      <w:sz w:val="18"/>
      <w:szCs w:val="18"/>
      <w:lang w:val="en-US" w:eastAsia="zh-CN" w:bidi="ar-SA"/>
    </w:rPr>
  </w:style>
  <w:style w:type="character" w:customStyle="1" w:styleId="341">
    <w:name w:val="Bold"/>
    <w:autoRedefine/>
    <w:qFormat/>
    <w:uiPriority w:val="0"/>
    <w:rPr>
      <w:rFonts w:ascii="Arial" w:hAnsi="Arial" w:eastAsia="黑体" w:cs="Times New Roman"/>
      <w:b/>
      <w:kern w:val="2"/>
      <w:sz w:val="32"/>
      <w:szCs w:val="32"/>
      <w:lang w:val="en-US" w:eastAsia="zh-CN" w:bidi="ar-SA"/>
    </w:rPr>
  </w:style>
  <w:style w:type="character" w:customStyle="1" w:styleId="342">
    <w:name w:val="批注文字 Char1"/>
    <w:link w:val="21"/>
    <w:autoRedefine/>
    <w:qFormat/>
    <w:uiPriority w:val="99"/>
    <w:rPr>
      <w:kern w:val="2"/>
      <w:sz w:val="21"/>
      <w:szCs w:val="24"/>
    </w:rPr>
  </w:style>
  <w:style w:type="character" w:customStyle="1" w:styleId="343">
    <w:name w:val="签名 Char"/>
    <w:link w:val="43"/>
    <w:autoRedefine/>
    <w:qFormat/>
    <w:uiPriority w:val="0"/>
    <w:rPr>
      <w:rFonts w:eastAsia="仿宋_GB2312"/>
      <w:sz w:val="24"/>
    </w:rPr>
  </w:style>
  <w:style w:type="character" w:customStyle="1" w:styleId="344">
    <w:name w:val="hui3"/>
    <w:autoRedefine/>
    <w:qFormat/>
    <w:uiPriority w:val="0"/>
    <w:rPr>
      <w:color w:val="333333"/>
    </w:rPr>
  </w:style>
  <w:style w:type="character" w:customStyle="1" w:styleId="345">
    <w:name w:val="Char Char17"/>
    <w:autoRedefine/>
    <w:qFormat/>
    <w:uiPriority w:val="6"/>
    <w:rPr>
      <w:rFonts w:eastAsia="仿宋_GB2312"/>
      <w:sz w:val="24"/>
    </w:rPr>
  </w:style>
  <w:style w:type="character" w:customStyle="1" w:styleId="346">
    <w:name w:val="标题 4 字符"/>
    <w:autoRedefine/>
    <w:qFormat/>
    <w:uiPriority w:val="9"/>
    <w:rPr>
      <w:rFonts w:ascii="等线 Light" w:hAnsi="等线 Light" w:eastAsia="等线 Light" w:cs="Times New Roman"/>
      <w:b/>
      <w:bCs/>
      <w:snapToGrid w:val="0"/>
      <w:kern w:val="0"/>
      <w:sz w:val="28"/>
      <w:szCs w:val="28"/>
    </w:rPr>
  </w:style>
  <w:style w:type="character" w:customStyle="1" w:styleId="347">
    <w:name w:val="Char Char37"/>
    <w:autoRedefine/>
    <w:qFormat/>
    <w:uiPriority w:val="6"/>
    <w:rPr>
      <w:b/>
      <w:kern w:val="1"/>
      <w:sz w:val="44"/>
      <w:szCs w:val="44"/>
    </w:rPr>
  </w:style>
  <w:style w:type="character" w:customStyle="1" w:styleId="348">
    <w:name w:val="列出段落 Char"/>
    <w:autoRedefine/>
    <w:qFormat/>
    <w:uiPriority w:val="0"/>
    <w:rPr>
      <w:rFonts w:eastAsia="楷体_GB2312" w:cs="Lucida Sans"/>
      <w:kern w:val="2"/>
      <w:sz w:val="24"/>
      <w:szCs w:val="24"/>
      <w:lang w:val="en-US" w:eastAsia="zh-CN" w:bidi="ar-SA"/>
    </w:rPr>
  </w:style>
  <w:style w:type="character" w:customStyle="1" w:styleId="349">
    <w:name w:val="正文文本缩进 3 Char1"/>
    <w:autoRedefine/>
    <w:semiHidden/>
    <w:qFormat/>
    <w:uiPriority w:val="99"/>
    <w:rPr>
      <w:rFonts w:ascii="Times New Roman" w:hAnsi="Times New Roman" w:eastAsia="宋体" w:cs="Times New Roman"/>
      <w:sz w:val="16"/>
      <w:szCs w:val="16"/>
    </w:rPr>
  </w:style>
  <w:style w:type="character" w:customStyle="1" w:styleId="350">
    <w:name w:val="公文正文 Char Char"/>
    <w:link w:val="351"/>
    <w:autoRedefine/>
    <w:qFormat/>
    <w:uiPriority w:val="0"/>
    <w:rPr>
      <w:rFonts w:ascii="仿宋_GB2312" w:eastAsia="仿宋_GB2312"/>
      <w:kern w:val="2"/>
      <w:sz w:val="24"/>
      <w:szCs w:val="24"/>
    </w:rPr>
  </w:style>
  <w:style w:type="paragraph" w:customStyle="1" w:styleId="351">
    <w:name w:val="公文正文"/>
    <w:basedOn w:val="1"/>
    <w:link w:val="350"/>
    <w:autoRedefine/>
    <w:qFormat/>
    <w:uiPriority w:val="0"/>
    <w:pPr>
      <w:adjustRightInd/>
      <w:spacing w:before="156" w:line="360" w:lineRule="auto"/>
      <w:ind w:firstLine="360" w:firstLineChars="200"/>
    </w:pPr>
    <w:rPr>
      <w:rFonts w:ascii="仿宋_GB2312" w:eastAsia="仿宋_GB2312"/>
      <w:sz w:val="24"/>
    </w:rPr>
  </w:style>
  <w:style w:type="character" w:customStyle="1" w:styleId="352">
    <w:name w:val="Table Text Char1"/>
    <w:autoRedefine/>
    <w:qFormat/>
    <w:uiPriority w:val="0"/>
    <w:rPr>
      <w:rFonts w:eastAsia="宋体"/>
      <w:sz w:val="24"/>
      <w:szCs w:val="24"/>
      <w:lang w:val="en-US" w:eastAsia="zh-CN" w:bidi="ar-SA"/>
    </w:rPr>
  </w:style>
  <w:style w:type="character" w:customStyle="1" w:styleId="353">
    <w:name w:val="标题 1 Char Char"/>
    <w:autoRedefine/>
    <w:qFormat/>
    <w:uiPriority w:val="0"/>
    <w:rPr>
      <w:rFonts w:hint="eastAsia" w:ascii="宋体" w:hAnsi="宋体" w:eastAsia="宋体"/>
      <w:b/>
      <w:spacing w:val="-2"/>
      <w:sz w:val="24"/>
      <w:lang w:val="en-US" w:eastAsia="zh-CN" w:bidi="ar-SA"/>
    </w:rPr>
  </w:style>
  <w:style w:type="character" w:customStyle="1" w:styleId="354">
    <w:name w:val="正文（缩进2汉字） Char"/>
    <w:link w:val="355"/>
    <w:autoRedefine/>
    <w:qFormat/>
    <w:uiPriority w:val="0"/>
    <w:rPr>
      <w:rFonts w:ascii="宋体"/>
    </w:rPr>
  </w:style>
  <w:style w:type="paragraph" w:customStyle="1" w:styleId="355">
    <w:name w:val="正文（缩进2汉字）"/>
    <w:basedOn w:val="1"/>
    <w:link w:val="354"/>
    <w:autoRedefine/>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6">
    <w:name w:val="标题 8 Char"/>
    <w:link w:val="12"/>
    <w:autoRedefine/>
    <w:qFormat/>
    <w:uiPriority w:val="0"/>
    <w:rPr>
      <w:rFonts w:ascii="Arial" w:hAnsi="Arial" w:eastAsia="黑体"/>
      <w:kern w:val="2"/>
      <w:sz w:val="24"/>
      <w:szCs w:val="24"/>
    </w:rPr>
  </w:style>
  <w:style w:type="character" w:customStyle="1" w:styleId="357">
    <w:name w:val="标书表格字体格式 Char"/>
    <w:autoRedefine/>
    <w:qFormat/>
    <w:uiPriority w:val="0"/>
    <w:rPr>
      <w:kern w:val="2"/>
      <w:sz w:val="21"/>
      <w:szCs w:val="24"/>
      <w:lang w:bidi="ar-SA"/>
    </w:rPr>
  </w:style>
  <w:style w:type="character" w:customStyle="1" w:styleId="358">
    <w:name w:val="tw4winError"/>
    <w:autoRedefine/>
    <w:qFormat/>
    <w:uiPriority w:val="0"/>
    <w:rPr>
      <w:rFonts w:ascii="Courier New" w:hAnsi="Courier New" w:cs="Courier New"/>
      <w:color w:val="00FF00"/>
      <w:sz w:val="40"/>
      <w:szCs w:val="40"/>
    </w:rPr>
  </w:style>
  <w:style w:type="character" w:customStyle="1" w:styleId="359">
    <w:name w:val="Body Text(ch) Char Char"/>
    <w:autoRedefine/>
    <w:qFormat/>
    <w:uiPriority w:val="0"/>
    <w:rPr>
      <w:rFonts w:ascii="宋体"/>
      <w:kern w:val="2"/>
      <w:sz w:val="24"/>
      <w:szCs w:val="21"/>
      <w:lang w:val="zh-CN"/>
    </w:rPr>
  </w:style>
  <w:style w:type="character" w:customStyle="1" w:styleId="360">
    <w:name w:val="正文首行缩进两字 Char"/>
    <w:autoRedefine/>
    <w:qFormat/>
    <w:uiPriority w:val="0"/>
    <w:rPr>
      <w:sz w:val="24"/>
      <w:szCs w:val="24"/>
      <w:lang w:val="en-US" w:eastAsia="zh-CN" w:bidi="ar-SA"/>
    </w:rPr>
  </w:style>
  <w:style w:type="character" w:customStyle="1" w:styleId="361">
    <w:name w:val="正文文本 Char"/>
    <w:autoRedefine/>
    <w:qFormat/>
    <w:uiPriority w:val="0"/>
    <w:rPr>
      <w:rFonts w:eastAsia="宋体"/>
      <w:kern w:val="2"/>
      <w:sz w:val="24"/>
      <w:szCs w:val="24"/>
      <w:lang w:val="en-US" w:eastAsia="zh-CN" w:bidi="ar-SA"/>
    </w:rPr>
  </w:style>
  <w:style w:type="character" w:customStyle="1" w:styleId="362">
    <w:name w:val="文档结构图 字符1"/>
    <w:autoRedefine/>
    <w:qFormat/>
    <w:uiPriority w:val="0"/>
    <w:rPr>
      <w:rFonts w:ascii="宋体" w:hAnsi="Calibri" w:eastAsia="黑体" w:cs="Arial"/>
      <w:snapToGrid w:val="0"/>
      <w:kern w:val="2"/>
      <w:sz w:val="18"/>
      <w:szCs w:val="18"/>
    </w:rPr>
  </w:style>
  <w:style w:type="character" w:customStyle="1" w:styleId="363">
    <w:name w:val="content"/>
    <w:autoRedefine/>
    <w:qFormat/>
    <w:uiPriority w:val="0"/>
  </w:style>
  <w:style w:type="character" w:customStyle="1" w:styleId="364">
    <w:name w:val="tw4winPopup"/>
    <w:autoRedefine/>
    <w:qFormat/>
    <w:uiPriority w:val="0"/>
    <w:rPr>
      <w:rFonts w:ascii="Courier New" w:hAnsi="Courier New" w:cs="Courier New"/>
      <w:color w:val="008000"/>
      <w:lang w:val="en-US" w:eastAsia="zh-CN"/>
    </w:rPr>
  </w:style>
  <w:style w:type="character" w:customStyle="1" w:styleId="365">
    <w:name w:val="param-name"/>
    <w:autoRedefine/>
    <w:qFormat/>
    <w:uiPriority w:val="99"/>
    <w:rPr>
      <w:rFonts w:ascii="Arial" w:hAnsi="Arial" w:eastAsia="黑体" w:cs="Arial"/>
      <w:snapToGrid w:val="0"/>
      <w:kern w:val="0"/>
      <w:szCs w:val="21"/>
    </w:rPr>
  </w:style>
  <w:style w:type="character" w:customStyle="1" w:styleId="366">
    <w:name w:val="标准正文格式 Char"/>
    <w:autoRedefine/>
    <w:qFormat/>
    <w:uiPriority w:val="0"/>
    <w:rPr>
      <w:rFonts w:ascii="宋体" w:eastAsia="仿宋_GB2312" w:cs="宋体"/>
      <w:color w:val="000000"/>
      <w:sz w:val="24"/>
      <w:lang w:val="en-US" w:eastAsia="zh-CN" w:bidi="ar-SA"/>
    </w:rPr>
  </w:style>
  <w:style w:type="character" w:customStyle="1" w:styleId="367">
    <w:name w:val="Char Char212"/>
    <w:autoRedefine/>
    <w:qFormat/>
    <w:uiPriority w:val="0"/>
    <w:rPr>
      <w:rFonts w:eastAsia="宋体"/>
      <w:b/>
      <w:bCs/>
      <w:kern w:val="2"/>
      <w:sz w:val="21"/>
      <w:szCs w:val="24"/>
      <w:lang w:val="en-US" w:eastAsia="zh-CN" w:bidi="ar-SA"/>
    </w:rPr>
  </w:style>
  <w:style w:type="character" w:customStyle="1" w:styleId="368">
    <w:name w:val="文档结构图 Char"/>
    <w:autoRedefine/>
    <w:qFormat/>
    <w:uiPriority w:val="0"/>
    <w:rPr>
      <w:rFonts w:eastAsia="宋体"/>
      <w:kern w:val="2"/>
      <w:sz w:val="21"/>
      <w:szCs w:val="24"/>
      <w:lang w:val="en-US" w:eastAsia="zh-CN" w:bidi="ar-SA"/>
    </w:rPr>
  </w:style>
  <w:style w:type="character" w:customStyle="1" w:styleId="369">
    <w:name w:val="zbggmain style9"/>
    <w:autoRedefine/>
    <w:qFormat/>
    <w:uiPriority w:val="0"/>
  </w:style>
  <w:style w:type="character" w:customStyle="1" w:styleId="370">
    <w:name w:val="Char Char16"/>
    <w:autoRedefine/>
    <w:qFormat/>
    <w:uiPriority w:val="6"/>
    <w:rPr>
      <w:kern w:val="1"/>
      <w:sz w:val="18"/>
      <w:szCs w:val="18"/>
    </w:rPr>
  </w:style>
  <w:style w:type="character" w:customStyle="1" w:styleId="371">
    <w:name w:val="font51"/>
    <w:autoRedefine/>
    <w:qFormat/>
    <w:uiPriority w:val="0"/>
    <w:rPr>
      <w:rFonts w:hint="eastAsia" w:ascii="仿宋" w:hAnsi="仿宋" w:eastAsia="仿宋" w:cs="仿宋"/>
      <w:color w:val="000000"/>
      <w:sz w:val="20"/>
      <w:szCs w:val="20"/>
      <w:u w:val="none"/>
    </w:rPr>
  </w:style>
  <w:style w:type="character" w:customStyle="1" w:styleId="372">
    <w:name w:val="Char Char82"/>
    <w:autoRedefine/>
    <w:qFormat/>
    <w:uiPriority w:val="0"/>
    <w:rPr>
      <w:rFonts w:eastAsia="宋体"/>
      <w:b/>
      <w:sz w:val="24"/>
      <w:lang w:val="en-GB" w:eastAsia="zh-CN"/>
    </w:rPr>
  </w:style>
  <w:style w:type="character" w:customStyle="1" w:styleId="373">
    <w:name w:val="正文文本缩进 3 Char"/>
    <w:link w:val="54"/>
    <w:autoRedefine/>
    <w:qFormat/>
    <w:uiPriority w:val="0"/>
    <w:rPr>
      <w:kern w:val="2"/>
      <w:sz w:val="24"/>
    </w:rPr>
  </w:style>
  <w:style w:type="character" w:customStyle="1" w:styleId="374">
    <w:name w:val="日期 Char1"/>
    <w:autoRedefine/>
    <w:semiHidden/>
    <w:qFormat/>
    <w:uiPriority w:val="99"/>
    <w:rPr>
      <w:rFonts w:ascii="Times New Roman" w:hAnsi="Times New Roman" w:eastAsia="宋体" w:cs="Times New Roman"/>
      <w:szCs w:val="24"/>
    </w:rPr>
  </w:style>
  <w:style w:type="character" w:customStyle="1" w:styleId="375">
    <w:name w:val="页眉 字符"/>
    <w:autoRedefine/>
    <w:qFormat/>
    <w:uiPriority w:val="99"/>
    <w:rPr>
      <w:kern w:val="2"/>
      <w:sz w:val="18"/>
      <w:szCs w:val="18"/>
    </w:rPr>
  </w:style>
  <w:style w:type="character" w:customStyle="1" w:styleId="376">
    <w:name w:val="Char Char33"/>
    <w:autoRedefine/>
    <w:qFormat/>
    <w:uiPriority w:val="6"/>
    <w:rPr>
      <w:rFonts w:ascii="Arial" w:hAnsi="Arial" w:eastAsia="黑体"/>
      <w:b/>
      <w:kern w:val="1"/>
      <w:sz w:val="24"/>
      <w:szCs w:val="24"/>
    </w:rPr>
  </w:style>
  <w:style w:type="character" w:customStyle="1" w:styleId="377">
    <w:name w:val="b11_01b Char"/>
    <w:link w:val="378"/>
    <w:autoRedefine/>
    <w:qFormat/>
    <w:uiPriority w:val="0"/>
    <w:rPr>
      <w:rFonts w:ascii="Verdana" w:hAnsi="Verdana"/>
      <w:b/>
      <w:bCs/>
      <w:color w:val="4A82CA"/>
      <w:sz w:val="17"/>
      <w:szCs w:val="17"/>
    </w:rPr>
  </w:style>
  <w:style w:type="paragraph" w:customStyle="1" w:styleId="378">
    <w:name w:val="b11_01b"/>
    <w:basedOn w:val="1"/>
    <w:next w:val="1"/>
    <w:link w:val="377"/>
    <w:autoRedefine/>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79">
    <w:name w:val="Char Char121"/>
    <w:autoRedefine/>
    <w:qFormat/>
    <w:uiPriority w:val="6"/>
    <w:rPr>
      <w:rFonts w:ascii="仿宋_GB2312" w:eastAsia="仿宋_GB2312"/>
      <w:b/>
      <w:bCs/>
      <w:kern w:val="2"/>
      <w:sz w:val="24"/>
      <w:szCs w:val="24"/>
      <w:lang w:val="zh-CN" w:eastAsia="zh-CN" w:bidi="ar-SA"/>
    </w:rPr>
  </w:style>
  <w:style w:type="character" w:customStyle="1" w:styleId="380">
    <w:name w:val="Footer-Even Char"/>
    <w:autoRedefine/>
    <w:qFormat/>
    <w:uiPriority w:val="0"/>
    <w:rPr>
      <w:rFonts w:eastAsia="宋体"/>
      <w:kern w:val="2"/>
      <w:sz w:val="18"/>
      <w:lang w:val="en-US" w:eastAsia="zh-CN" w:bidi="ar-SA"/>
    </w:rPr>
  </w:style>
  <w:style w:type="character" w:customStyle="1" w:styleId="381">
    <w:name w:val="页脚 Char2"/>
    <w:link w:val="41"/>
    <w:autoRedefine/>
    <w:qFormat/>
    <w:locked/>
    <w:uiPriority w:val="99"/>
    <w:rPr>
      <w:kern w:val="2"/>
      <w:sz w:val="18"/>
      <w:szCs w:val="18"/>
    </w:rPr>
  </w:style>
  <w:style w:type="character" w:customStyle="1" w:styleId="382">
    <w:name w:val="Char Char36"/>
    <w:autoRedefine/>
    <w:qFormat/>
    <w:uiPriority w:val="6"/>
    <w:rPr>
      <w:rFonts w:ascii="仿宋_GB2312" w:hAnsi="仿宋_GB2312" w:eastAsia="仿宋_GB2312" w:cs="Arial"/>
      <w:b/>
      <w:kern w:val="1"/>
      <w:sz w:val="32"/>
      <w:szCs w:val="32"/>
      <w:lang w:val="zh-CN" w:eastAsia="zh-CN" w:bidi="ar-SA"/>
    </w:rPr>
  </w:style>
  <w:style w:type="character" w:customStyle="1" w:styleId="383">
    <w:name w:val="Char Char61"/>
    <w:autoRedefine/>
    <w:qFormat/>
    <w:uiPriority w:val="6"/>
    <w:rPr>
      <w:rFonts w:eastAsia="宋体"/>
      <w:kern w:val="2"/>
      <w:sz w:val="21"/>
      <w:szCs w:val="24"/>
      <w:lang w:val="en-US" w:eastAsia="zh-CN" w:bidi="ar-SA"/>
    </w:rPr>
  </w:style>
  <w:style w:type="character" w:customStyle="1" w:styleId="384">
    <w:name w:val="正文文字缩进 2 Char Char"/>
    <w:autoRedefine/>
    <w:qFormat/>
    <w:uiPriority w:val="0"/>
    <w:rPr>
      <w:rFonts w:ascii="宋体"/>
      <w:sz w:val="28"/>
    </w:rPr>
  </w:style>
  <w:style w:type="character" w:customStyle="1" w:styleId="385">
    <w:name w:val="f141"/>
    <w:autoRedefine/>
    <w:qFormat/>
    <w:uiPriority w:val="0"/>
    <w:rPr>
      <w:rFonts w:ascii="Tahoma" w:hAnsi="Tahoma" w:eastAsia="宋体"/>
      <w:b/>
      <w:kern w:val="2"/>
      <w:sz w:val="21"/>
      <w:szCs w:val="21"/>
      <w:lang w:val="en-US" w:eastAsia="zh-CN" w:bidi="ar-SA"/>
    </w:rPr>
  </w:style>
  <w:style w:type="character" w:customStyle="1" w:styleId="386">
    <w:name w:val="段落 Char Char"/>
    <w:link w:val="387"/>
    <w:autoRedefine/>
    <w:qFormat/>
    <w:uiPriority w:val="0"/>
    <w:rPr>
      <w:rFonts w:ascii="宋体" w:hAnsi="宋体"/>
      <w:sz w:val="24"/>
    </w:rPr>
  </w:style>
  <w:style w:type="paragraph" w:customStyle="1" w:styleId="387">
    <w:name w:val="段落"/>
    <w:basedOn w:val="1"/>
    <w:link w:val="386"/>
    <w:autoRedefine/>
    <w:qFormat/>
    <w:uiPriority w:val="0"/>
    <w:pPr>
      <w:adjustRightInd/>
      <w:spacing w:line="360" w:lineRule="auto"/>
      <w:ind w:firstLine="480" w:firstLineChars="200"/>
    </w:pPr>
    <w:rPr>
      <w:rFonts w:ascii="宋体" w:hAnsi="宋体"/>
      <w:kern w:val="0"/>
      <w:sz w:val="24"/>
      <w:szCs w:val="20"/>
    </w:rPr>
  </w:style>
  <w:style w:type="character" w:customStyle="1" w:styleId="388">
    <w:name w:val="标题 3 Char2"/>
    <w:autoRedefine/>
    <w:qFormat/>
    <w:uiPriority w:val="0"/>
    <w:rPr>
      <w:rFonts w:eastAsia="宋体"/>
      <w:b/>
      <w:bCs/>
      <w:kern w:val="2"/>
      <w:sz w:val="32"/>
      <w:szCs w:val="32"/>
      <w:lang w:val="en-US" w:eastAsia="zh-CN" w:bidi="ar-SA"/>
    </w:rPr>
  </w:style>
  <w:style w:type="character" w:customStyle="1" w:styleId="389">
    <w:name w:val="apple-converted-space"/>
    <w:autoRedefine/>
    <w:qFormat/>
    <w:uiPriority w:val="0"/>
  </w:style>
  <w:style w:type="character" w:customStyle="1" w:styleId="390">
    <w:name w:val="页眉 Char2"/>
    <w:link w:val="42"/>
    <w:autoRedefine/>
    <w:qFormat/>
    <w:uiPriority w:val="99"/>
    <w:rPr>
      <w:kern w:val="2"/>
      <w:sz w:val="18"/>
      <w:szCs w:val="18"/>
    </w:rPr>
  </w:style>
  <w:style w:type="character" w:customStyle="1" w:styleId="391">
    <w:name w:val="Char Char9"/>
    <w:autoRedefine/>
    <w:qFormat/>
    <w:uiPriority w:val="0"/>
    <w:rPr>
      <w:rFonts w:eastAsia="宋体"/>
      <w:kern w:val="2"/>
      <w:sz w:val="18"/>
      <w:szCs w:val="18"/>
      <w:lang w:val="en-US" w:eastAsia="zh-CN" w:bidi="ar-SA"/>
    </w:rPr>
  </w:style>
  <w:style w:type="character" w:customStyle="1" w:styleId="392">
    <w:name w:val="Char Char41"/>
    <w:autoRedefine/>
    <w:qFormat/>
    <w:uiPriority w:val="0"/>
    <w:rPr>
      <w:rFonts w:eastAsia="宋体"/>
      <w:b/>
      <w:sz w:val="24"/>
      <w:lang w:val="en-GB" w:eastAsia="zh-CN" w:bidi="ar-SA"/>
    </w:rPr>
  </w:style>
  <w:style w:type="character" w:customStyle="1" w:styleId="393">
    <w:name w:val="large1"/>
    <w:autoRedefine/>
    <w:qFormat/>
    <w:uiPriority w:val="0"/>
    <w:rPr>
      <w:rFonts w:hint="eastAsia" w:ascii="宋体" w:hAnsi="宋体" w:eastAsia="宋体"/>
      <w:sz w:val="21"/>
      <w:szCs w:val="21"/>
    </w:rPr>
  </w:style>
  <w:style w:type="character" w:customStyle="1" w:styleId="394">
    <w:name w:val="正文段 Char"/>
    <w:link w:val="395"/>
    <w:autoRedefine/>
    <w:qFormat/>
    <w:uiPriority w:val="0"/>
    <w:rPr>
      <w:sz w:val="24"/>
    </w:rPr>
  </w:style>
  <w:style w:type="paragraph" w:customStyle="1" w:styleId="395">
    <w:name w:val="正文段"/>
    <w:basedOn w:val="1"/>
    <w:link w:val="394"/>
    <w:autoRedefine/>
    <w:qFormat/>
    <w:uiPriority w:val="0"/>
    <w:pPr>
      <w:widowControl/>
      <w:snapToGrid w:val="0"/>
      <w:spacing w:after="156" w:afterLines="50"/>
      <w:ind w:firstLine="200" w:firstLineChars="200"/>
    </w:pPr>
    <w:rPr>
      <w:kern w:val="0"/>
      <w:sz w:val="24"/>
      <w:szCs w:val="20"/>
    </w:rPr>
  </w:style>
  <w:style w:type="character" w:customStyle="1" w:styleId="396">
    <w:name w:val="Char Char13"/>
    <w:autoRedefine/>
    <w:qFormat/>
    <w:uiPriority w:val="6"/>
    <w:rPr>
      <w:rFonts w:ascii="宋体" w:hAnsi="宋体"/>
      <w:kern w:val="1"/>
      <w:sz w:val="21"/>
      <w:szCs w:val="24"/>
    </w:rPr>
  </w:style>
  <w:style w:type="character" w:customStyle="1" w:styleId="397">
    <w:name w:val="Char Char92"/>
    <w:autoRedefine/>
    <w:qFormat/>
    <w:uiPriority w:val="0"/>
    <w:rPr>
      <w:rFonts w:ascii="Times New Roman" w:hAnsi="Times New Roman" w:eastAsia="宋体" w:cs="Times New Roman"/>
      <w:b/>
      <w:bCs/>
      <w:kern w:val="2"/>
      <w:sz w:val="32"/>
      <w:szCs w:val="32"/>
      <w:lang w:val="en-US" w:eastAsia="zh-CN" w:bidi="ar-SA"/>
    </w:rPr>
  </w:style>
  <w:style w:type="character" w:customStyle="1" w:styleId="398">
    <w:name w:val="冯广丽 Char"/>
    <w:link w:val="399"/>
    <w:autoRedefine/>
    <w:qFormat/>
    <w:uiPriority w:val="0"/>
    <w:rPr>
      <w:rFonts w:ascii="宋体" w:hAnsi="宋体"/>
      <w:kern w:val="2"/>
      <w:sz w:val="24"/>
      <w:szCs w:val="22"/>
    </w:rPr>
  </w:style>
  <w:style w:type="paragraph" w:customStyle="1" w:styleId="399">
    <w:name w:val="冯广丽"/>
    <w:basedOn w:val="1"/>
    <w:link w:val="398"/>
    <w:autoRedefine/>
    <w:qFormat/>
    <w:uiPriority w:val="0"/>
    <w:pPr>
      <w:adjustRightInd/>
      <w:spacing w:line="360" w:lineRule="auto"/>
      <w:ind w:firstLine="480" w:firstLineChars="200"/>
    </w:pPr>
    <w:rPr>
      <w:rFonts w:ascii="宋体" w:hAnsi="宋体"/>
      <w:sz w:val="24"/>
      <w:szCs w:val="22"/>
    </w:rPr>
  </w:style>
  <w:style w:type="character" w:customStyle="1" w:styleId="400">
    <w:name w:val="批注文字 字符"/>
    <w:autoRedefine/>
    <w:qFormat/>
    <w:uiPriority w:val="0"/>
    <w:rPr>
      <w:rFonts w:ascii="Arial" w:hAnsi="Arial" w:eastAsia="黑体" w:cs="Arial"/>
      <w:snapToGrid w:val="0"/>
      <w:kern w:val="0"/>
      <w:szCs w:val="21"/>
    </w:rPr>
  </w:style>
  <w:style w:type="character" w:customStyle="1" w:styleId="401">
    <w:name w:val="Char Char161"/>
    <w:autoRedefine/>
    <w:qFormat/>
    <w:uiPriority w:val="0"/>
    <w:rPr>
      <w:rFonts w:eastAsia="宋体"/>
      <w:b/>
      <w:kern w:val="2"/>
      <w:sz w:val="32"/>
      <w:lang w:val="en-US" w:eastAsia="zh-CN"/>
    </w:rPr>
  </w:style>
  <w:style w:type="character" w:customStyle="1" w:styleId="402">
    <w:name w:val="javascript"/>
    <w:autoRedefine/>
    <w:qFormat/>
    <w:uiPriority w:val="0"/>
  </w:style>
  <w:style w:type="character" w:customStyle="1" w:styleId="403">
    <w:name w:val="图名 Char"/>
    <w:autoRedefine/>
    <w:qFormat/>
    <w:uiPriority w:val="0"/>
    <w:rPr>
      <w:rFonts w:ascii="Arial" w:hAnsi="Arial" w:eastAsia="黑体"/>
      <w:kern w:val="2"/>
      <w:sz w:val="24"/>
      <w:szCs w:val="24"/>
      <w:lang w:val="en-US" w:eastAsia="zh-CN" w:bidi="ar-SA"/>
    </w:rPr>
  </w:style>
  <w:style w:type="character" w:customStyle="1" w:styleId="404">
    <w:name w:val="Used by Word for text of Help footnotes Char Char"/>
    <w:autoRedefine/>
    <w:qFormat/>
    <w:uiPriority w:val="0"/>
    <w:rPr>
      <w:rFonts w:ascii="Times New Roman" w:hAnsi="Times New Roman" w:eastAsia="宋体" w:cs="Times New Roman"/>
      <w:sz w:val="20"/>
      <w:szCs w:val="20"/>
    </w:rPr>
  </w:style>
  <w:style w:type="character" w:customStyle="1" w:styleId="405">
    <w:name w:val="编号，小四 Char"/>
    <w:link w:val="406"/>
    <w:autoRedefine/>
    <w:qFormat/>
    <w:uiPriority w:val="0"/>
    <w:rPr>
      <w:rFonts w:ascii="Arial" w:hAnsi="Arial"/>
      <w:sz w:val="24"/>
    </w:rPr>
  </w:style>
  <w:style w:type="paragraph" w:customStyle="1" w:styleId="406">
    <w:name w:val="编号，小四"/>
    <w:basedOn w:val="1"/>
    <w:link w:val="405"/>
    <w:autoRedefine/>
    <w:qFormat/>
    <w:uiPriority w:val="0"/>
    <w:pPr>
      <w:tabs>
        <w:tab w:val="left" w:pos="432"/>
      </w:tabs>
      <w:adjustRightInd/>
      <w:spacing w:line="360" w:lineRule="auto"/>
      <w:ind w:left="432" w:hanging="432"/>
    </w:pPr>
    <w:rPr>
      <w:rFonts w:ascii="Arial" w:hAnsi="Arial"/>
      <w:kern w:val="0"/>
      <w:sz w:val="24"/>
      <w:szCs w:val="20"/>
    </w:rPr>
  </w:style>
  <w:style w:type="character" w:customStyle="1" w:styleId="407">
    <w:name w:val="Font Style82"/>
    <w:autoRedefine/>
    <w:qFormat/>
    <w:uiPriority w:val="99"/>
    <w:rPr>
      <w:rFonts w:ascii="宋体" w:eastAsia="宋体" w:cs="宋体"/>
      <w:color w:val="000000"/>
      <w:sz w:val="14"/>
      <w:szCs w:val="14"/>
    </w:rPr>
  </w:style>
  <w:style w:type="character" w:customStyle="1" w:styleId="408">
    <w:name w:val="标题 2 Char Char"/>
    <w:autoRedefine/>
    <w:qFormat/>
    <w:uiPriority w:val="0"/>
    <w:rPr>
      <w:rFonts w:ascii="楷体_GB2312" w:hAnsi="Arial" w:eastAsia="楷体_GB2312"/>
      <w:b/>
      <w:bCs/>
      <w:kern w:val="2"/>
      <w:sz w:val="24"/>
      <w:szCs w:val="32"/>
      <w:lang w:val="en-US" w:eastAsia="zh-CN" w:bidi="ar-SA"/>
    </w:rPr>
  </w:style>
  <w:style w:type="character" w:customStyle="1" w:styleId="409">
    <w:name w:val="未用 Char"/>
    <w:autoRedefine/>
    <w:qFormat/>
    <w:uiPriority w:val="0"/>
    <w:rPr>
      <w:rFonts w:ascii="Arial" w:hAnsi="Arial" w:eastAsia="黑体"/>
      <w:kern w:val="2"/>
      <w:sz w:val="21"/>
      <w:szCs w:val="21"/>
      <w:lang w:val="en-US" w:eastAsia="zh-CN" w:bidi="ar-SA"/>
    </w:rPr>
  </w:style>
  <w:style w:type="character" w:customStyle="1" w:styleId="410">
    <w:name w:val="myp1111"/>
    <w:autoRedefine/>
    <w:qFormat/>
    <w:uiPriority w:val="0"/>
    <w:rPr>
      <w:rFonts w:hint="default" w:ascii="ˎ̥" w:hAnsi="ˎ̥"/>
      <w:color w:val="000000"/>
      <w:sz w:val="20"/>
      <w:szCs w:val="20"/>
      <w:u w:val="none"/>
    </w:rPr>
  </w:style>
  <w:style w:type="character" w:customStyle="1" w:styleId="411">
    <w:name w:val="样式 标题 4h4H4Fab-4T5Ref Heading 1rh1Heading sqlsect 1.2.3.... Char"/>
    <w:link w:val="303"/>
    <w:autoRedefine/>
    <w:qFormat/>
    <w:uiPriority w:val="0"/>
    <w:rPr>
      <w:rFonts w:ascii="微软雅黑" w:hAnsi="微软雅黑" w:eastAsia="微软雅黑"/>
      <w:b/>
      <w:bCs/>
      <w:kern w:val="2"/>
      <w:sz w:val="24"/>
      <w:szCs w:val="28"/>
    </w:rPr>
  </w:style>
  <w:style w:type="character" w:customStyle="1" w:styleId="412">
    <w:name w:val="h Char Char"/>
    <w:autoRedefine/>
    <w:qFormat/>
    <w:uiPriority w:val="0"/>
    <w:rPr>
      <w:rFonts w:eastAsia="宋体"/>
      <w:kern w:val="2"/>
      <w:sz w:val="18"/>
      <w:lang w:val="en-US" w:eastAsia="zh-CN" w:bidi="ar-SA"/>
    </w:rPr>
  </w:style>
  <w:style w:type="character" w:customStyle="1" w:styleId="413">
    <w:name w:val="仿宋正文 Char"/>
    <w:link w:val="414"/>
    <w:autoRedefine/>
    <w:qFormat/>
    <w:uiPriority w:val="0"/>
    <w:rPr>
      <w:rFonts w:ascii="仿宋_GB2312" w:eastAsia="仿宋_GB2312"/>
      <w:kern w:val="2"/>
      <w:sz w:val="24"/>
      <w:lang w:val="en-US" w:eastAsia="zh-CN" w:bidi="ar-SA"/>
    </w:rPr>
  </w:style>
  <w:style w:type="paragraph" w:customStyle="1" w:styleId="414">
    <w:name w:val="仿宋正文"/>
    <w:basedOn w:val="1"/>
    <w:link w:val="413"/>
    <w:autoRedefine/>
    <w:qFormat/>
    <w:uiPriority w:val="0"/>
    <w:pPr>
      <w:adjustRightInd/>
      <w:spacing w:line="360" w:lineRule="auto"/>
      <w:ind w:firstLine="480" w:firstLineChars="200"/>
    </w:pPr>
    <w:rPr>
      <w:rFonts w:ascii="仿宋_GB2312" w:eastAsia="仿宋_GB2312"/>
      <w:sz w:val="24"/>
      <w:szCs w:val="20"/>
    </w:rPr>
  </w:style>
  <w:style w:type="character" w:customStyle="1" w:styleId="415">
    <w:name w:val="正文首行缩进 Char Char Char Char Char Char"/>
    <w:autoRedefine/>
    <w:qFormat/>
    <w:uiPriority w:val="0"/>
    <w:rPr>
      <w:rFonts w:ascii="宋体" w:eastAsia="宋体"/>
      <w:kern w:val="2"/>
      <w:sz w:val="24"/>
      <w:lang w:val="zh-CN" w:bidi="ar-SA"/>
    </w:rPr>
  </w:style>
  <w:style w:type="character" w:customStyle="1" w:styleId="416">
    <w:name w:val="样式 宋体"/>
    <w:autoRedefine/>
    <w:qFormat/>
    <w:uiPriority w:val="0"/>
    <w:rPr>
      <w:rFonts w:ascii="宋体" w:hAnsi="宋体"/>
      <w:sz w:val="24"/>
    </w:rPr>
  </w:style>
  <w:style w:type="character" w:customStyle="1" w:styleId="417">
    <w:name w:val="tw4winJump"/>
    <w:autoRedefine/>
    <w:qFormat/>
    <w:uiPriority w:val="0"/>
    <w:rPr>
      <w:rFonts w:ascii="Courier New" w:hAnsi="Courier New" w:cs="Courier New"/>
      <w:color w:val="008080"/>
      <w:lang w:val="en-US" w:eastAsia="zh-CN"/>
    </w:rPr>
  </w:style>
  <w:style w:type="character" w:customStyle="1" w:styleId="418">
    <w:name w:val="标题 1 字符"/>
    <w:autoRedefine/>
    <w:qFormat/>
    <w:uiPriority w:val="9"/>
    <w:rPr>
      <w:rFonts w:ascii="Arial" w:hAnsi="Arial" w:eastAsia="黑体" w:cs="Arial"/>
      <w:b/>
      <w:bCs/>
      <w:snapToGrid w:val="0"/>
      <w:kern w:val="44"/>
      <w:sz w:val="44"/>
      <w:szCs w:val="44"/>
    </w:rPr>
  </w:style>
  <w:style w:type="character" w:customStyle="1" w:styleId="419">
    <w:name w:val="style36"/>
    <w:basedOn w:val="70"/>
    <w:autoRedefine/>
    <w:qFormat/>
    <w:uiPriority w:val="0"/>
    <w:rPr>
      <w:rFonts w:ascii="Arial" w:hAnsi="Arial" w:eastAsia="黑体" w:cs="Arial"/>
      <w:snapToGrid w:val="0"/>
      <w:kern w:val="0"/>
      <w:szCs w:val="21"/>
    </w:rPr>
  </w:style>
  <w:style w:type="character" w:customStyle="1" w:styleId="420">
    <w:name w:val="pt9"/>
    <w:autoRedefine/>
    <w:qFormat/>
    <w:uiPriority w:val="0"/>
    <w:rPr>
      <w:rFonts w:ascii="仿宋_GB2312" w:eastAsia="微软雅黑"/>
      <w:b/>
      <w:kern w:val="2"/>
      <w:sz w:val="32"/>
      <w:szCs w:val="32"/>
      <w:lang w:val="en-US" w:eastAsia="zh-CN" w:bidi="ar-SA"/>
    </w:rPr>
  </w:style>
  <w:style w:type="character" w:customStyle="1" w:styleId="421">
    <w:name w:val="DO_NOT_TRANSLATE"/>
    <w:autoRedefine/>
    <w:qFormat/>
    <w:uiPriority w:val="0"/>
    <w:rPr>
      <w:rFonts w:ascii="Courier New" w:hAnsi="Courier New" w:cs="Courier New"/>
      <w:color w:val="800000"/>
      <w:lang w:val="en-US" w:eastAsia="zh-CN"/>
    </w:rPr>
  </w:style>
  <w:style w:type="character" w:customStyle="1" w:styleId="422">
    <w:name w:val="标书1 Char1"/>
    <w:autoRedefine/>
    <w:qFormat/>
    <w:uiPriority w:val="0"/>
    <w:rPr>
      <w:rFonts w:eastAsia="宋体"/>
      <w:b/>
      <w:bCs/>
      <w:kern w:val="44"/>
      <w:sz w:val="44"/>
      <w:szCs w:val="44"/>
      <w:lang w:val="en-US" w:eastAsia="zh-CN" w:bidi="ar-SA"/>
    </w:rPr>
  </w:style>
  <w:style w:type="character" w:customStyle="1" w:styleId="423">
    <w:name w:val="页脚 字符"/>
    <w:autoRedefine/>
    <w:qFormat/>
    <w:uiPriority w:val="99"/>
    <w:rPr>
      <w:kern w:val="2"/>
      <w:sz w:val="18"/>
      <w:szCs w:val="18"/>
    </w:rPr>
  </w:style>
  <w:style w:type="character" w:customStyle="1" w:styleId="424">
    <w:name w:val="正文2 Char"/>
    <w:autoRedefine/>
    <w:qFormat/>
    <w:uiPriority w:val="0"/>
    <w:rPr>
      <w:rFonts w:eastAsia="宋体"/>
      <w:kern w:val="2"/>
      <w:sz w:val="24"/>
      <w:lang w:val="en-US" w:eastAsia="zh-CN" w:bidi="ar-SA"/>
    </w:rPr>
  </w:style>
  <w:style w:type="character" w:customStyle="1" w:styleId="425">
    <w:name w:val="Char Char21"/>
    <w:autoRedefine/>
    <w:qFormat/>
    <w:uiPriority w:val="6"/>
    <w:rPr>
      <w:rFonts w:ascii="宋体" w:hAnsi="宋体"/>
      <w:kern w:val="1"/>
      <w:sz w:val="24"/>
      <w:szCs w:val="21"/>
      <w:lang w:val="zh-CN"/>
    </w:rPr>
  </w:style>
  <w:style w:type="character" w:customStyle="1" w:styleId="426">
    <w:name w:val="样式 正文缩进 + 首行缩进:  2 字符 Char Char"/>
    <w:link w:val="427"/>
    <w:autoRedefine/>
    <w:qFormat/>
    <w:uiPriority w:val="0"/>
    <w:rPr>
      <w:rFonts w:cs="宋体"/>
      <w:kern w:val="2"/>
      <w:sz w:val="24"/>
    </w:rPr>
  </w:style>
  <w:style w:type="paragraph" w:customStyle="1" w:styleId="427">
    <w:name w:val="样式 正文缩进 + 首行缩进:  2 字符"/>
    <w:basedOn w:val="7"/>
    <w:link w:val="426"/>
    <w:autoRedefine/>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28">
    <w:name w:val="正文文本 Char1"/>
    <w:link w:val="25"/>
    <w:autoRedefine/>
    <w:qFormat/>
    <w:uiPriority w:val="0"/>
    <w:rPr>
      <w:rFonts w:ascii="宋体" w:hAnsi="Arial" w:eastAsia="宋体" w:cs="Arial"/>
      <w:snapToGrid w:val="0"/>
      <w:kern w:val="2"/>
      <w:sz w:val="24"/>
      <w:szCs w:val="21"/>
      <w:lang w:val="zh-CN" w:eastAsia="zh-CN" w:bidi="ar-SA"/>
    </w:rPr>
  </w:style>
  <w:style w:type="character" w:customStyle="1" w:styleId="429">
    <w:name w:val="gray6"/>
    <w:basedOn w:val="70"/>
    <w:autoRedefine/>
    <w:qFormat/>
    <w:uiPriority w:val="0"/>
    <w:rPr>
      <w:rFonts w:ascii="Arial" w:hAnsi="Arial" w:eastAsia="黑体" w:cs="Arial"/>
      <w:snapToGrid w:val="0"/>
      <w:kern w:val="0"/>
      <w:szCs w:val="21"/>
    </w:rPr>
  </w:style>
  <w:style w:type="character" w:customStyle="1" w:styleId="430">
    <w:name w:val="hui"/>
    <w:basedOn w:val="70"/>
    <w:autoRedefine/>
    <w:qFormat/>
    <w:uiPriority w:val="0"/>
    <w:rPr>
      <w:rFonts w:ascii="Arial" w:hAnsi="Arial" w:eastAsia="黑体" w:cs="Arial"/>
      <w:snapToGrid w:val="0"/>
      <w:kern w:val="0"/>
      <w:szCs w:val="21"/>
    </w:rPr>
  </w:style>
  <w:style w:type="character" w:customStyle="1" w:styleId="431">
    <w:name w:val="哈哈正文 Char Char"/>
    <w:autoRedefine/>
    <w:qFormat/>
    <w:uiPriority w:val="0"/>
    <w:rPr>
      <w:rFonts w:ascii="宋体" w:hAnsi="宋体" w:eastAsia="宋体" w:cs="宋体"/>
      <w:kern w:val="2"/>
      <w:sz w:val="24"/>
      <w:lang w:val="en-US" w:eastAsia="zh-CN" w:bidi="ar-SA"/>
    </w:rPr>
  </w:style>
  <w:style w:type="paragraph" w:customStyle="1" w:styleId="432">
    <w:name w:val="样式 正文文本缩进 + 左侧:  2 字符 首行缩进:  2 字符"/>
    <w:basedOn w:val="27"/>
    <w:autoRedefine/>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3">
    <w:name w:val="封面表格文本"/>
    <w:basedOn w:val="1"/>
    <w:autoRedefine/>
    <w:qFormat/>
    <w:uiPriority w:val="0"/>
    <w:pPr>
      <w:autoSpaceDE w:val="0"/>
      <w:autoSpaceDN w:val="0"/>
      <w:ind w:firstLine="200" w:firstLineChars="200"/>
      <w:jc w:val="center"/>
    </w:pPr>
    <w:rPr>
      <w:rFonts w:ascii="Arial" w:hAnsi="Arial"/>
      <w:kern w:val="0"/>
      <w:szCs w:val="21"/>
    </w:rPr>
  </w:style>
  <w:style w:type="paragraph" w:customStyle="1" w:styleId="434">
    <w:name w:val="正文文本 22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435">
    <w:name w:val="表格标题1"/>
    <w:basedOn w:val="1"/>
    <w:autoRedefine/>
    <w:qFormat/>
    <w:uiPriority w:val="0"/>
    <w:pPr>
      <w:adjustRightInd/>
      <w:spacing w:line="360" w:lineRule="auto"/>
      <w:jc w:val="center"/>
    </w:pPr>
    <w:rPr>
      <w:rFonts w:ascii="宋体" w:hAnsi="宋体" w:cs="宋体"/>
      <w:b/>
      <w:bCs/>
      <w:color w:val="000000"/>
      <w:sz w:val="24"/>
      <w:szCs w:val="21"/>
    </w:rPr>
  </w:style>
  <w:style w:type="paragraph" w:customStyle="1" w:styleId="436">
    <w:name w:val="目录标题"/>
    <w:basedOn w:val="1"/>
    <w:autoRedefine/>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7">
    <w:name w:val="subhead"/>
    <w:autoRedefine/>
    <w:qFormat/>
    <w:uiPriority w:val="0"/>
    <w:pPr>
      <w:spacing w:after="120" w:line="300" w:lineRule="exact"/>
    </w:pPr>
    <w:rPr>
      <w:rFonts w:ascii="Arial" w:hAnsi="Arial" w:eastAsia="宋体" w:cs="Times New Roman"/>
      <w:b/>
      <w:sz w:val="26"/>
      <w:lang w:val="en-US" w:eastAsia="en-US" w:bidi="ar-SA"/>
    </w:rPr>
  </w:style>
  <w:style w:type="paragraph" w:customStyle="1" w:styleId="438">
    <w:name w:val="样式 宋体 三号 加粗 居中"/>
    <w:basedOn w:val="1"/>
    <w:autoRedefine/>
    <w:qFormat/>
    <w:uiPriority w:val="0"/>
    <w:pPr>
      <w:adjustRightInd/>
      <w:spacing w:line="360" w:lineRule="auto"/>
      <w:jc w:val="center"/>
    </w:pPr>
    <w:rPr>
      <w:rFonts w:ascii="宋体" w:hAnsi="宋体" w:cs="宋体"/>
      <w:b/>
      <w:bCs/>
      <w:sz w:val="24"/>
      <w:szCs w:val="20"/>
    </w:rPr>
  </w:style>
  <w:style w:type="paragraph" w:customStyle="1" w:styleId="439">
    <w:name w:val="标题4_自定义"/>
    <w:basedOn w:val="8"/>
    <w:autoRedefine/>
    <w:qFormat/>
    <w:uiPriority w:val="0"/>
    <w:pPr>
      <w:adjustRightInd/>
      <w:spacing w:before="0" w:after="0" w:line="360" w:lineRule="auto"/>
    </w:pPr>
    <w:rPr>
      <w:rFonts w:ascii="Verdana" w:eastAsia="Verdana"/>
      <w:sz w:val="21"/>
      <w:lang w:val="en-US"/>
    </w:rPr>
  </w:style>
  <w:style w:type="paragraph" w:customStyle="1" w:styleId="440">
    <w:name w:val="正文 内标 序号标"/>
    <w:basedOn w:val="441"/>
    <w:autoRedefine/>
    <w:qFormat/>
    <w:uiPriority w:val="0"/>
    <w:pPr>
      <w:tabs>
        <w:tab w:val="left" w:pos="0"/>
      </w:tabs>
      <w:adjustRightInd/>
      <w:spacing w:before="0"/>
      <w:ind w:firstLine="482"/>
    </w:pPr>
    <w:rPr>
      <w:rFonts w:ascii="微软雅黑" w:hAnsi="微软雅黑"/>
      <w:sz w:val="24"/>
      <w:szCs w:val="24"/>
    </w:rPr>
  </w:style>
  <w:style w:type="paragraph" w:customStyle="1" w:styleId="441">
    <w:name w:val="My正文"/>
    <w:basedOn w:val="1"/>
    <w:autoRedefine/>
    <w:qFormat/>
    <w:uiPriority w:val="0"/>
    <w:pPr>
      <w:spacing w:before="120" w:line="360" w:lineRule="auto"/>
      <w:ind w:firstLine="567"/>
    </w:pPr>
    <w:rPr>
      <w:rFonts w:ascii="Arial" w:hAnsi="Arial"/>
      <w:sz w:val="20"/>
      <w:szCs w:val="20"/>
    </w:rPr>
  </w:style>
  <w:style w:type="paragraph" w:customStyle="1" w:styleId="442">
    <w:name w:val="彩色底纹 - 强调文字颜色 11"/>
    <w:autoRedefine/>
    <w:qFormat/>
    <w:uiPriority w:val="0"/>
    <w:rPr>
      <w:rFonts w:ascii="Times New Roman" w:hAnsi="Times New Roman" w:eastAsia="宋体" w:cs="Times New Roman"/>
      <w:kern w:val="2"/>
      <w:sz w:val="21"/>
      <w:szCs w:val="24"/>
      <w:lang w:val="en-US" w:eastAsia="zh-CN" w:bidi="ar-SA"/>
    </w:rPr>
  </w:style>
  <w:style w:type="paragraph" w:customStyle="1" w:styleId="443">
    <w:name w:val="正文 小标"/>
    <w:basedOn w:val="1"/>
    <w:autoRedefine/>
    <w:qFormat/>
    <w:uiPriority w:val="0"/>
    <w:pPr>
      <w:tabs>
        <w:tab w:val="left" w:pos="0"/>
      </w:tabs>
      <w:adjustRightInd/>
      <w:spacing w:line="300" w:lineRule="auto"/>
      <w:ind w:left="425"/>
    </w:pPr>
    <w:rPr>
      <w:rFonts w:ascii="仿宋" w:hAnsi="Calibri" w:eastAsia="仿宋"/>
      <w:sz w:val="24"/>
      <w:szCs w:val="20"/>
    </w:rPr>
  </w:style>
  <w:style w:type="paragraph" w:customStyle="1" w:styleId="444">
    <w:name w:val="reader-word-laye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5">
    <w:name w:val="修订2"/>
    <w:autoRedefine/>
    <w:qFormat/>
    <w:uiPriority w:val="0"/>
    <w:rPr>
      <w:rFonts w:ascii="Times New Roman" w:hAnsi="Times New Roman" w:eastAsia="宋体" w:cs="Times New Roman"/>
      <w:kern w:val="2"/>
      <w:sz w:val="21"/>
      <w:lang w:val="en-US" w:eastAsia="zh-CN" w:bidi="ar-SA"/>
    </w:rPr>
  </w:style>
  <w:style w:type="paragraph" w:customStyle="1" w:styleId="446">
    <w:name w:val="Char Char11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447">
    <w:name w:val="xl84"/>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48">
    <w:name w:val="文章标题"/>
    <w:next w:val="449"/>
    <w:autoRedefine/>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49">
    <w:name w:val="封面公司名"/>
    <w:autoRedefine/>
    <w:qFormat/>
    <w:uiPriority w:val="0"/>
    <w:pPr>
      <w:jc w:val="center"/>
    </w:pPr>
    <w:rPr>
      <w:rFonts w:ascii="Arial" w:hAnsi="Arial" w:eastAsia="楷体_GB2312" w:cs="宋体"/>
      <w:bCs/>
      <w:kern w:val="2"/>
      <w:sz w:val="28"/>
      <w:lang w:val="en-US" w:eastAsia="zh-CN" w:bidi="ar-SA"/>
    </w:rPr>
  </w:style>
  <w:style w:type="paragraph" w:customStyle="1" w:styleId="450">
    <w:name w:val="Char1 Char Char Char5"/>
    <w:basedOn w:val="1"/>
    <w:autoRedefine/>
    <w:qFormat/>
    <w:uiPriority w:val="0"/>
    <w:pPr>
      <w:adjustRightInd/>
      <w:ind w:firstLine="200" w:firstLineChars="200"/>
    </w:pPr>
    <w:rPr>
      <w:rFonts w:ascii="Tahoma" w:hAnsi="Tahoma"/>
      <w:sz w:val="24"/>
      <w:szCs w:val="20"/>
    </w:rPr>
  </w:style>
  <w:style w:type="paragraph" w:customStyle="1" w:styleId="451">
    <w:name w:val="style82 f9a f9a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2">
    <w:name w:val="正文 编号"/>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3">
    <w:name w:val="Char Char Char Char Char Char Char Char"/>
    <w:basedOn w:val="1"/>
    <w:autoRedefine/>
    <w:qFormat/>
    <w:uiPriority w:val="0"/>
    <w:pPr>
      <w:tabs>
        <w:tab w:val="left" w:pos="360"/>
      </w:tabs>
    </w:pPr>
    <w:rPr>
      <w:sz w:val="24"/>
      <w:szCs w:val="20"/>
    </w:rPr>
  </w:style>
  <w:style w:type="paragraph" w:customStyle="1" w:styleId="454">
    <w:name w:val="Char Char11 Char Char Char"/>
    <w:basedOn w:val="1"/>
    <w:autoRedefine/>
    <w:qFormat/>
    <w:uiPriority w:val="0"/>
    <w:pPr>
      <w:spacing w:line="360" w:lineRule="auto"/>
    </w:pPr>
    <w:rPr>
      <w:szCs w:val="20"/>
    </w:rPr>
  </w:style>
  <w:style w:type="paragraph" w:customStyle="1" w:styleId="455">
    <w:name w:val="gjt_3"/>
    <w:next w:val="1"/>
    <w:autoRedefine/>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6">
    <w:name w:val="金宏发行正文"/>
    <w:basedOn w:val="1"/>
    <w:autoRedefine/>
    <w:qFormat/>
    <w:uiPriority w:val="0"/>
    <w:pPr>
      <w:adjustRightInd/>
      <w:spacing w:line="500" w:lineRule="exact"/>
      <w:ind w:firstLine="560" w:firstLineChars="200"/>
    </w:pPr>
    <w:rPr>
      <w:rFonts w:eastAsia="仿宋_GB2312"/>
      <w:sz w:val="28"/>
      <w:szCs w:val="20"/>
    </w:rPr>
  </w:style>
  <w:style w:type="paragraph" w:customStyle="1" w:styleId="457">
    <w:name w:val="样式2"/>
    <w:basedOn w:val="1"/>
    <w:autoRedefine/>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58">
    <w:name w:val="Char Char1 Char Char1 Char Char1"/>
    <w:basedOn w:val="1"/>
    <w:autoRedefine/>
    <w:qFormat/>
    <w:uiPriority w:val="0"/>
    <w:pPr>
      <w:tabs>
        <w:tab w:val="left" w:pos="840"/>
      </w:tabs>
      <w:ind w:left="840" w:hanging="420"/>
    </w:pPr>
    <w:rPr>
      <w:rFonts w:ascii="Tahoma" w:hAnsi="Tahoma"/>
      <w:sz w:val="24"/>
    </w:rPr>
  </w:style>
  <w:style w:type="paragraph" w:customStyle="1" w:styleId="459">
    <w:name w:val="Z5"/>
    <w:basedOn w:val="1"/>
    <w:next w:val="1"/>
    <w:autoRedefine/>
    <w:qFormat/>
    <w:uiPriority w:val="0"/>
    <w:pPr>
      <w:tabs>
        <w:tab w:val="left" w:pos="2100"/>
      </w:tabs>
      <w:adjustRightInd/>
      <w:spacing w:before="240"/>
      <w:ind w:firstLine="200" w:firstLineChars="200"/>
      <w:outlineLvl w:val="4"/>
    </w:pPr>
    <w:rPr>
      <w:rFonts w:ascii="Tahoma" w:hAnsi="Tahoma" w:eastAsia="幼圆"/>
    </w:rPr>
  </w:style>
  <w:style w:type="paragraph" w:customStyle="1" w:styleId="460">
    <w:name w:val="标书标题2"/>
    <w:basedOn w:val="5"/>
    <w:autoRedefine/>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1">
    <w:name w:val="样式 仿宋_GB2312 三号 加粗 黑色 居中 行距: 1.5 倍行距"/>
    <w:basedOn w:val="1"/>
    <w:autoRedefine/>
    <w:qFormat/>
    <w:uiPriority w:val="0"/>
    <w:pPr>
      <w:spacing w:line="360" w:lineRule="auto"/>
      <w:jc w:val="center"/>
    </w:pPr>
    <w:rPr>
      <w:rFonts w:ascii="仿宋_GB2312" w:eastAsia="仿宋_GB2312" w:cs="宋体"/>
      <w:b/>
      <w:bCs/>
      <w:color w:val="000000"/>
      <w:sz w:val="28"/>
      <w:szCs w:val="20"/>
    </w:rPr>
  </w:style>
  <w:style w:type="paragraph" w:customStyle="1" w:styleId="462">
    <w:name w:val="正文21"/>
    <w:basedOn w:val="1"/>
    <w:autoRedefine/>
    <w:qFormat/>
    <w:uiPriority w:val="0"/>
    <w:pPr>
      <w:adjustRightInd/>
      <w:spacing w:before="156" w:line="360" w:lineRule="auto"/>
      <w:ind w:firstLine="510" w:firstLineChars="200"/>
    </w:pPr>
    <w:rPr>
      <w:sz w:val="24"/>
      <w:szCs w:val="20"/>
    </w:rPr>
  </w:style>
  <w:style w:type="paragraph" w:customStyle="1" w:styleId="463">
    <w:name w:val="Test2"/>
    <w:basedOn w:val="5"/>
    <w:autoRedefine/>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4">
    <w:name w:val="xl3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5">
    <w:name w:val="Char1"/>
    <w:basedOn w:val="1"/>
    <w:autoRedefine/>
    <w:qFormat/>
    <w:uiPriority w:val="0"/>
    <w:rPr>
      <w:rFonts w:ascii="仿宋_GB2312" w:eastAsia="仿宋_GB2312"/>
      <w:b/>
      <w:sz w:val="32"/>
      <w:szCs w:val="32"/>
    </w:rPr>
  </w:style>
  <w:style w:type="paragraph" w:customStyle="1" w:styleId="466">
    <w:name w:val="xl81"/>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67">
    <w:name w:val="Char1 Char Char Char Char Char Char Char Char Char Char Char1 Char Char Char Char Char Char Char Char Char Char Char Char Char Char1 Char Char Char Char1"/>
    <w:basedOn w:val="1"/>
    <w:autoRedefine/>
    <w:qFormat/>
    <w:uiPriority w:val="0"/>
    <w:pPr>
      <w:spacing w:line="360" w:lineRule="auto"/>
    </w:pPr>
    <w:rPr>
      <w:kern w:val="0"/>
      <w:sz w:val="24"/>
      <w:szCs w:val="20"/>
    </w:rPr>
  </w:style>
  <w:style w:type="paragraph" w:customStyle="1" w:styleId="468">
    <w:name w:val="样式 宋体 行距: 1.5 倍行距 首行缩进:  2 字符"/>
    <w:basedOn w:val="1"/>
    <w:autoRedefine/>
    <w:qFormat/>
    <w:uiPriority w:val="0"/>
    <w:pPr>
      <w:adjustRightInd/>
      <w:spacing w:line="360" w:lineRule="auto"/>
      <w:ind w:firstLine="420" w:firstLineChars="200"/>
    </w:pPr>
    <w:rPr>
      <w:rFonts w:ascii="宋体" w:hAnsi="宋体"/>
      <w:sz w:val="24"/>
      <w:szCs w:val="20"/>
    </w:rPr>
  </w:style>
  <w:style w:type="paragraph" w:customStyle="1" w:styleId="469">
    <w:name w:val="xl6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0">
    <w:name w:val="6级标题"/>
    <w:basedOn w:val="471"/>
    <w:autoRedefine/>
    <w:qFormat/>
    <w:uiPriority w:val="0"/>
    <w:pPr>
      <w:keepNext/>
      <w:tabs>
        <w:tab w:val="left" w:pos="360"/>
      </w:tabs>
      <w:spacing w:before="0" w:after="0"/>
      <w:outlineLvl w:val="5"/>
    </w:pPr>
  </w:style>
  <w:style w:type="paragraph" w:customStyle="1" w:styleId="471">
    <w:name w:val="5级标题"/>
    <w:basedOn w:val="472"/>
    <w:autoRedefine/>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2">
    <w:name w:val="4级标题"/>
    <w:basedOn w:val="256"/>
    <w:autoRedefine/>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3">
    <w:name w:val="样式 正文文本缩进 + 段前: 2 字符"/>
    <w:basedOn w:val="1"/>
    <w:autoRedefine/>
    <w:qFormat/>
    <w:uiPriority w:val="0"/>
    <w:pPr>
      <w:adjustRightInd/>
      <w:ind w:left="420" w:leftChars="200"/>
      <w:jc w:val="left"/>
    </w:pPr>
    <w:rPr>
      <w:sz w:val="28"/>
      <w:szCs w:val="20"/>
      <w:lang w:eastAsia="zh-TW"/>
    </w:rPr>
  </w:style>
  <w:style w:type="paragraph" w:customStyle="1" w:styleId="474">
    <w:name w:val="Char2 Char Char"/>
    <w:basedOn w:val="1"/>
    <w:autoRedefine/>
    <w:qFormat/>
    <w:uiPriority w:val="0"/>
    <w:pPr>
      <w:adjustRightInd/>
    </w:pPr>
    <w:rPr>
      <w:rFonts w:ascii="Tahoma" w:hAnsi="Tahoma"/>
      <w:sz w:val="24"/>
      <w:szCs w:val="20"/>
    </w:rPr>
  </w:style>
  <w:style w:type="paragraph" w:customStyle="1" w:styleId="475">
    <w:name w:val="_Style 11"/>
    <w:basedOn w:val="1"/>
    <w:autoRedefine/>
    <w:qFormat/>
    <w:uiPriority w:val="34"/>
    <w:pPr>
      <w:adjustRightInd/>
      <w:ind w:firstLine="420" w:firstLineChars="200"/>
    </w:pPr>
    <w:rPr>
      <w:rFonts w:eastAsia="仿宋_GB2312"/>
      <w:sz w:val="28"/>
    </w:rPr>
  </w:style>
  <w:style w:type="paragraph" w:customStyle="1" w:styleId="476">
    <w:name w:val="xl8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77">
    <w:name w:val="Char Char Char"/>
    <w:basedOn w:val="1"/>
    <w:autoRedefine/>
    <w:qFormat/>
    <w:uiPriority w:val="0"/>
    <w:rPr>
      <w:rFonts w:ascii="Tahoma" w:hAnsi="Tahoma"/>
      <w:sz w:val="24"/>
      <w:szCs w:val="20"/>
    </w:rPr>
  </w:style>
  <w:style w:type="paragraph" w:customStyle="1" w:styleId="478">
    <w:name w:val="数字标题6"/>
    <w:basedOn w:val="10"/>
    <w:next w:val="1"/>
    <w:autoRedefine/>
    <w:qFormat/>
    <w:uiPriority w:val="0"/>
    <w:pPr>
      <w:tabs>
        <w:tab w:val="left" w:pos="1080"/>
      </w:tabs>
      <w:ind w:left="1080" w:hanging="1080"/>
    </w:pPr>
    <w:rPr>
      <w:rFonts w:ascii="Times New Roman" w:hAnsi="Times New Roman" w:eastAsia="宋体"/>
      <w:i/>
    </w:rPr>
  </w:style>
  <w:style w:type="paragraph" w:customStyle="1" w:styleId="479">
    <w:name w:val="Table Cell"/>
    <w:autoRedefine/>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0">
    <w:name w:val="No Spacing"/>
    <w:basedOn w:val="1"/>
    <w:link w:val="930"/>
    <w:autoRedefine/>
    <w:qFormat/>
    <w:uiPriority w:val="99"/>
    <w:rPr>
      <w:szCs w:val="22"/>
    </w:rPr>
  </w:style>
  <w:style w:type="paragraph" w:customStyle="1" w:styleId="481">
    <w:name w:val="??"/>
    <w:autoRedefine/>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2">
    <w:name w:val="Char Char Char Char Char Char Char Char Char Char Char Char1 Char1"/>
    <w:basedOn w:val="1"/>
    <w:autoRedefine/>
    <w:qFormat/>
    <w:uiPriority w:val="6"/>
    <w:rPr>
      <w:rFonts w:ascii="Tahoma" w:hAnsi="Tahoma" w:cs="仿宋_GB2312"/>
      <w:sz w:val="24"/>
      <w:szCs w:val="20"/>
    </w:rPr>
  </w:style>
  <w:style w:type="paragraph" w:customStyle="1" w:styleId="483">
    <w:name w:val="xl6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4">
    <w:name w:val="Char Char1 Char1"/>
    <w:basedOn w:val="1"/>
    <w:autoRedefine/>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5">
    <w:name w:val="目录1"/>
    <w:basedOn w:val="1"/>
    <w:autoRedefine/>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6">
    <w:name w:val="MM Topic 2"/>
    <w:basedOn w:val="5"/>
    <w:autoRedefine/>
    <w:qFormat/>
    <w:uiPriority w:val="0"/>
    <w:pPr>
      <w:tabs>
        <w:tab w:val="left" w:pos="1260"/>
      </w:tabs>
      <w:ind w:left="1260" w:hanging="420"/>
    </w:pPr>
    <w:rPr>
      <w:rFonts w:ascii="Arial" w:hAnsi="Arial" w:eastAsia="黑体"/>
      <w:lang w:val="en-US"/>
    </w:rPr>
  </w:style>
  <w:style w:type="paragraph" w:customStyle="1" w:styleId="487">
    <w:name w:val="五级无标题条"/>
    <w:basedOn w:val="1"/>
    <w:autoRedefine/>
    <w:qFormat/>
    <w:uiPriority w:val="0"/>
    <w:pPr>
      <w:adjustRightInd/>
    </w:pPr>
  </w:style>
  <w:style w:type="paragraph" w:customStyle="1" w:styleId="488">
    <w:name w:val="Char5"/>
    <w:basedOn w:val="1"/>
    <w:autoRedefine/>
    <w:qFormat/>
    <w:uiPriority w:val="0"/>
    <w:rPr>
      <w:rFonts w:ascii="仿宋_GB2312" w:eastAsia="仿宋_GB2312"/>
      <w:b/>
      <w:sz w:val="32"/>
      <w:szCs w:val="32"/>
    </w:rPr>
  </w:style>
  <w:style w:type="paragraph" w:customStyle="1" w:styleId="489">
    <w:name w:val="TOC 标题1"/>
    <w:basedOn w:val="4"/>
    <w:next w:val="1"/>
    <w:autoRedefine/>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0">
    <w:name w:val="彩色列表 - 强调文字颜色 12"/>
    <w:basedOn w:val="1"/>
    <w:autoRedefine/>
    <w:qFormat/>
    <w:uiPriority w:val="0"/>
    <w:pPr>
      <w:adjustRightInd/>
      <w:ind w:firstLine="420" w:firstLineChars="200"/>
    </w:pPr>
    <w:rPr>
      <w:rFonts w:ascii="Calibri" w:hAnsi="Calibri"/>
      <w:szCs w:val="22"/>
    </w:rPr>
  </w:style>
  <w:style w:type="paragraph" w:customStyle="1" w:styleId="491">
    <w:name w:val="Char Char11 Char Char Char Char Char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492">
    <w:name w:val="Char2"/>
    <w:basedOn w:val="1"/>
    <w:autoRedefine/>
    <w:qFormat/>
    <w:uiPriority w:val="0"/>
    <w:rPr>
      <w:rFonts w:ascii="仿宋_GB2312" w:eastAsia="仿宋_GB2312"/>
      <w:b/>
      <w:sz w:val="32"/>
      <w:szCs w:val="32"/>
    </w:rPr>
  </w:style>
  <w:style w:type="paragraph" w:customStyle="1" w:styleId="493">
    <w:name w:val="数字标题3"/>
    <w:basedOn w:val="6"/>
    <w:next w:val="1"/>
    <w:autoRedefine/>
    <w:qFormat/>
    <w:uiPriority w:val="0"/>
    <w:pPr>
      <w:spacing w:line="240" w:lineRule="auto"/>
    </w:pPr>
    <w:rPr>
      <w:sz w:val="28"/>
      <w:szCs w:val="28"/>
    </w:rPr>
  </w:style>
  <w:style w:type="paragraph" w:customStyle="1" w:styleId="494">
    <w:name w:val="FA正文"/>
    <w:basedOn w:val="1"/>
    <w:autoRedefine/>
    <w:qFormat/>
    <w:uiPriority w:val="0"/>
    <w:pPr>
      <w:spacing w:line="360" w:lineRule="auto"/>
      <w:ind w:firstLine="480" w:firstLineChars="200"/>
    </w:pPr>
    <w:rPr>
      <w:rFonts w:hAnsi="宋体"/>
      <w:sz w:val="24"/>
      <w:szCs w:val="20"/>
    </w:rPr>
  </w:style>
  <w:style w:type="paragraph" w:customStyle="1" w:styleId="495">
    <w:name w:val="MM Topic 5"/>
    <w:basedOn w:val="9"/>
    <w:autoRedefine/>
    <w:qFormat/>
    <w:uiPriority w:val="0"/>
    <w:pPr>
      <w:tabs>
        <w:tab w:val="left" w:pos="2520"/>
      </w:tabs>
      <w:adjustRightInd/>
      <w:ind w:left="2520" w:hanging="420"/>
    </w:pPr>
  </w:style>
  <w:style w:type="paragraph" w:customStyle="1" w:styleId="496">
    <w:name w:val="Char Char Char Char Char Char Char Char Char Char1"/>
    <w:basedOn w:val="1"/>
    <w:autoRedefine/>
    <w:qFormat/>
    <w:uiPriority w:val="0"/>
    <w:rPr>
      <w:rFonts w:ascii="仿宋_GB2312" w:eastAsia="仿宋_GB2312"/>
      <w:b/>
      <w:sz w:val="32"/>
      <w:szCs w:val="32"/>
    </w:rPr>
  </w:style>
  <w:style w:type="paragraph" w:customStyle="1" w:styleId="497">
    <w:name w:val="xl38"/>
    <w:basedOn w:val="1"/>
    <w:autoRedefine/>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498">
    <w:name w:val="修订1"/>
    <w:autoRedefine/>
    <w:qFormat/>
    <w:uiPriority w:val="3"/>
    <w:rPr>
      <w:rFonts w:ascii="Times New Roman" w:hAnsi="Times New Roman" w:eastAsia="宋体" w:cs="Times New Roman"/>
      <w:color w:val="000000"/>
      <w:kern w:val="1"/>
      <w:sz w:val="21"/>
      <w:lang w:val="en-US" w:eastAsia="zh-CN" w:bidi="ar-SA"/>
    </w:rPr>
  </w:style>
  <w:style w:type="paragraph" w:customStyle="1" w:styleId="499">
    <w:name w:val="Char2 Char Char Char"/>
    <w:basedOn w:val="1"/>
    <w:autoRedefine/>
    <w:qFormat/>
    <w:uiPriority w:val="0"/>
    <w:rPr>
      <w:rFonts w:ascii="仿宋_GB2312" w:eastAsia="仿宋_GB2312"/>
      <w:b/>
      <w:sz w:val="32"/>
      <w:szCs w:val="32"/>
    </w:rPr>
  </w:style>
  <w:style w:type="paragraph" w:customStyle="1" w:styleId="500">
    <w:name w:val="Char2 Char Char Char1"/>
    <w:basedOn w:val="1"/>
    <w:autoRedefine/>
    <w:qFormat/>
    <w:uiPriority w:val="6"/>
    <w:rPr>
      <w:rFonts w:ascii="仿宋_GB2312" w:eastAsia="仿宋_GB2312"/>
      <w:b/>
      <w:sz w:val="32"/>
      <w:szCs w:val="32"/>
    </w:rPr>
  </w:style>
  <w:style w:type="paragraph" w:customStyle="1" w:styleId="501">
    <w:name w:val="默认段落样式"/>
    <w:basedOn w:val="129"/>
    <w:autoRedefine/>
    <w:qFormat/>
    <w:uiPriority w:val="0"/>
    <w:pPr>
      <w:spacing w:before="0"/>
      <w:ind w:firstLine="480"/>
      <w:outlineLvl w:val="2"/>
    </w:pPr>
    <w:rPr>
      <w:rFonts w:ascii="仿宋_GB2312" w:hAnsi="宋体" w:eastAsia="仿宋_GB2312"/>
      <w:color w:val="000000"/>
      <w:szCs w:val="24"/>
    </w:rPr>
  </w:style>
  <w:style w:type="paragraph" w:customStyle="1" w:styleId="502">
    <w:name w:val="图中文字"/>
    <w:basedOn w:val="1"/>
    <w:autoRedefine/>
    <w:qFormat/>
    <w:uiPriority w:val="0"/>
    <w:pPr>
      <w:snapToGrid w:val="0"/>
      <w:spacing w:line="0" w:lineRule="atLeast"/>
      <w:ind w:firstLine="200" w:firstLineChars="200"/>
      <w:jc w:val="center"/>
    </w:pPr>
    <w:rPr>
      <w:sz w:val="24"/>
      <w:szCs w:val="20"/>
    </w:rPr>
  </w:style>
  <w:style w:type="paragraph" w:customStyle="1" w:styleId="503">
    <w:name w:val="xl3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4">
    <w:name w:val="MM Topic 3"/>
    <w:basedOn w:val="6"/>
    <w:autoRedefine/>
    <w:qFormat/>
    <w:uiPriority w:val="0"/>
    <w:pPr>
      <w:tabs>
        <w:tab w:val="left" w:pos="1680"/>
      </w:tabs>
      <w:adjustRightInd/>
      <w:ind w:left="1680" w:hanging="420"/>
    </w:pPr>
  </w:style>
  <w:style w:type="paragraph" w:customStyle="1" w:styleId="505">
    <w:name w:val="标准小四"/>
    <w:basedOn w:val="1"/>
    <w:autoRedefine/>
    <w:qFormat/>
    <w:uiPriority w:val="0"/>
    <w:pPr>
      <w:spacing w:line="360" w:lineRule="auto"/>
      <w:ind w:firstLine="480" w:firstLineChars="200"/>
    </w:pPr>
    <w:rPr>
      <w:rFonts w:ascii="Arial" w:hAnsi="Arial"/>
      <w:sz w:val="24"/>
      <w:szCs w:val="21"/>
    </w:rPr>
  </w:style>
  <w:style w:type="paragraph" w:customStyle="1" w:styleId="506">
    <w:name w:val="样式 标题 2H2h2Underrubrik1prop2l2Chapter Titlesect 1.2DO NO..."/>
    <w:basedOn w:val="5"/>
    <w:autoRedefine/>
    <w:qFormat/>
    <w:uiPriority w:val="0"/>
    <w:pPr>
      <w:spacing w:before="120" w:after="120"/>
      <w:ind w:left="425" w:hanging="425"/>
    </w:pPr>
    <w:rPr>
      <w:rFonts w:ascii="微软雅黑" w:hAnsi="微软雅黑" w:eastAsia="微软雅黑" w:cs="宋体"/>
      <w:szCs w:val="20"/>
      <w:lang w:val="en-US"/>
    </w:rPr>
  </w:style>
  <w:style w:type="paragraph" w:customStyle="1" w:styleId="507">
    <w:name w:val="表格（小）"/>
    <w:basedOn w:val="1"/>
    <w:autoRedefine/>
    <w:qFormat/>
    <w:uiPriority w:val="0"/>
    <w:pPr>
      <w:adjustRightInd/>
      <w:snapToGrid w:val="0"/>
      <w:spacing w:line="300" w:lineRule="auto"/>
    </w:pPr>
    <w:rPr>
      <w:rFonts w:eastAsia="仿宋"/>
      <w:szCs w:val="21"/>
    </w:rPr>
  </w:style>
  <w:style w:type="paragraph" w:customStyle="1" w:styleId="508">
    <w:name w:val="Char Char Char Char Char Char1 Char"/>
    <w:basedOn w:val="1"/>
    <w:autoRedefine/>
    <w:qFormat/>
    <w:uiPriority w:val="0"/>
    <w:pPr>
      <w:widowControl/>
      <w:spacing w:after="160" w:line="240" w:lineRule="exact"/>
      <w:jc w:val="left"/>
    </w:pPr>
    <w:rPr>
      <w:rFonts w:ascii="Verdana" w:hAnsi="Verdana"/>
      <w:kern w:val="0"/>
      <w:szCs w:val="20"/>
      <w:lang w:eastAsia="en-US"/>
    </w:rPr>
  </w:style>
  <w:style w:type="paragraph" w:customStyle="1" w:styleId="509">
    <w:name w:val="Char2 Char Char1"/>
    <w:basedOn w:val="1"/>
    <w:autoRedefine/>
    <w:qFormat/>
    <w:uiPriority w:val="6"/>
    <w:pPr>
      <w:adjustRightInd/>
    </w:pPr>
    <w:rPr>
      <w:rFonts w:ascii="Tahoma" w:hAnsi="Tahoma"/>
      <w:sz w:val="24"/>
      <w:szCs w:val="20"/>
    </w:rPr>
  </w:style>
  <w:style w:type="paragraph" w:customStyle="1" w:styleId="510">
    <w:name w:val="列出段落5"/>
    <w:basedOn w:val="1"/>
    <w:autoRedefine/>
    <w:qFormat/>
    <w:uiPriority w:val="0"/>
    <w:pPr>
      <w:spacing w:line="360" w:lineRule="auto"/>
      <w:ind w:firstLine="200" w:firstLineChars="200"/>
    </w:pPr>
    <w:rPr>
      <w:rFonts w:eastAsia="楷体_GB2312" w:cs="Lucida Sans"/>
      <w:sz w:val="24"/>
    </w:rPr>
  </w:style>
  <w:style w:type="paragraph" w:customStyle="1" w:styleId="511">
    <w:name w:val="font7"/>
    <w:basedOn w:val="1"/>
    <w:autoRedefine/>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2">
    <w:name w:val="表格文字"/>
    <w:basedOn w:val="1"/>
    <w:next w:val="7"/>
    <w:autoRedefine/>
    <w:qFormat/>
    <w:uiPriority w:val="0"/>
    <w:pPr>
      <w:adjustRightInd/>
      <w:ind w:firstLine="200" w:firstLineChars="200"/>
    </w:pPr>
    <w:rPr>
      <w:rFonts w:ascii="Arial" w:hAnsi="Arial"/>
      <w:spacing w:val="-5"/>
      <w:kern w:val="0"/>
      <w:sz w:val="24"/>
      <w:szCs w:val="20"/>
    </w:rPr>
  </w:style>
  <w:style w:type="paragraph" w:customStyle="1" w:styleId="513">
    <w:name w:val="Item Step in Table"/>
    <w:autoRedefin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4">
    <w:name w:val="TOC 标题111"/>
    <w:basedOn w:val="4"/>
    <w:next w:val="1"/>
    <w:autoRedefine/>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5">
    <w:name w:val="xl87"/>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6">
    <w:name w:val="样式 左侧:  0.85 厘米 首行缩进:  0.85 厘米"/>
    <w:basedOn w:val="1"/>
    <w:autoRedefine/>
    <w:qFormat/>
    <w:uiPriority w:val="0"/>
    <w:pPr>
      <w:adjustRightInd/>
      <w:spacing w:line="360" w:lineRule="auto"/>
      <w:ind w:firstLine="482"/>
    </w:pPr>
    <w:rPr>
      <w:rFonts w:cs="宋体"/>
      <w:sz w:val="24"/>
      <w:szCs w:val="20"/>
    </w:rPr>
  </w:style>
  <w:style w:type="paragraph" w:customStyle="1" w:styleId="517">
    <w:name w:val="Char3 Char Char"/>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18">
    <w:name w:val="_Style 3"/>
    <w:basedOn w:val="1"/>
    <w:autoRedefine/>
    <w:qFormat/>
    <w:uiPriority w:val="0"/>
    <w:pPr>
      <w:adjustRightInd/>
      <w:ind w:firstLine="420" w:firstLineChars="200"/>
    </w:pPr>
    <w:rPr>
      <w:rFonts w:eastAsia="仿宋_GB2312"/>
      <w:sz w:val="28"/>
    </w:rPr>
  </w:style>
  <w:style w:type="paragraph" w:customStyle="1" w:styleId="519">
    <w:name w:val="xl39"/>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0">
    <w:name w:val="Bulleting First Indent 1"/>
    <w:basedOn w:val="26"/>
    <w:autoRedefine/>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1">
    <w:name w:val="左对齐表格文字"/>
    <w:basedOn w:val="1"/>
    <w:autoRedefine/>
    <w:qFormat/>
    <w:uiPriority w:val="0"/>
    <w:pPr>
      <w:adjustRightInd/>
      <w:ind w:firstLine="200" w:firstLineChars="200"/>
      <w:jc w:val="right"/>
    </w:pPr>
  </w:style>
  <w:style w:type="paragraph" w:customStyle="1" w:styleId="522">
    <w:name w:val="Char Char11 Char Char Char Char Char Char Char Char Char"/>
    <w:basedOn w:val="1"/>
    <w:autoRedefine/>
    <w:qFormat/>
    <w:uiPriority w:val="0"/>
    <w:pPr>
      <w:spacing w:line="360" w:lineRule="auto"/>
    </w:pPr>
    <w:rPr>
      <w:szCs w:val="20"/>
    </w:rPr>
  </w:style>
  <w:style w:type="paragraph" w:customStyle="1" w:styleId="523">
    <w:name w:val="正文1.25"/>
    <w:basedOn w:val="1"/>
    <w:autoRedefine/>
    <w:qFormat/>
    <w:uiPriority w:val="0"/>
    <w:pPr>
      <w:adjustRightInd/>
      <w:spacing w:line="300" w:lineRule="auto"/>
      <w:ind w:firstLine="480" w:firstLineChars="200"/>
    </w:pPr>
    <w:rPr>
      <w:sz w:val="24"/>
      <w:szCs w:val="20"/>
    </w:rPr>
  </w:style>
  <w:style w:type="paragraph" w:customStyle="1" w:styleId="524">
    <w:name w:val="1正文"/>
    <w:basedOn w:val="1"/>
    <w:autoRedefine/>
    <w:qFormat/>
    <w:uiPriority w:val="0"/>
    <w:pPr>
      <w:adjustRightInd/>
      <w:spacing w:line="360" w:lineRule="auto"/>
      <w:ind w:firstLine="200" w:firstLineChars="200"/>
    </w:pPr>
    <w:rPr>
      <w:rFonts w:ascii="仿宋_GB2312" w:hAnsi="Arial" w:eastAsia="仿宋"/>
      <w:sz w:val="28"/>
      <w:szCs w:val="28"/>
    </w:rPr>
  </w:style>
  <w:style w:type="paragraph" w:customStyle="1" w:styleId="525">
    <w:name w:val="Bul Text 9/14"/>
    <w:autoRedefine/>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6">
    <w:name w:val="xl7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7">
    <w:name w:val="Char Char1 Char Char Char1"/>
    <w:basedOn w:val="1"/>
    <w:autoRedefine/>
    <w:qFormat/>
    <w:uiPriority w:val="6"/>
    <w:rPr>
      <w:rFonts w:ascii="仿宋_GB2312" w:eastAsia="仿宋_GB2312"/>
      <w:b/>
      <w:sz w:val="32"/>
      <w:szCs w:val="20"/>
    </w:rPr>
  </w:style>
  <w:style w:type="paragraph" w:customStyle="1" w:styleId="528">
    <w:name w:val="列出段落2"/>
    <w:basedOn w:val="1"/>
    <w:autoRedefine/>
    <w:qFormat/>
    <w:uiPriority w:val="0"/>
    <w:pPr>
      <w:adjustRightInd/>
      <w:ind w:firstLine="420" w:firstLineChars="200"/>
    </w:pPr>
    <w:rPr>
      <w:rFonts w:ascii="宋体" w:hAnsi="宋体"/>
      <w:sz w:val="24"/>
    </w:rPr>
  </w:style>
  <w:style w:type="paragraph" w:customStyle="1" w:styleId="529">
    <w:name w:val="默认段落字体 Para Char Char Char Char Char Char Char"/>
    <w:basedOn w:val="1"/>
    <w:autoRedefine/>
    <w:qFormat/>
    <w:uiPriority w:val="0"/>
    <w:rPr>
      <w:rFonts w:eastAsia="仿宋_GB2312"/>
      <w:sz w:val="28"/>
      <w:szCs w:val="20"/>
    </w:rPr>
  </w:style>
  <w:style w:type="paragraph" w:customStyle="1" w:styleId="530">
    <w:name w:val="xl74"/>
    <w:basedOn w:val="1"/>
    <w:autoRedefine/>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1">
    <w:name w:val="样式 标题 4PIM 4H4h4bulletblbbH41H42H43H44H45H46H47H48...1"/>
    <w:basedOn w:val="8"/>
    <w:autoRedefine/>
    <w:qFormat/>
    <w:uiPriority w:val="0"/>
    <w:pPr>
      <w:widowControl/>
      <w:jc w:val="left"/>
    </w:pPr>
    <w:rPr>
      <w:rFonts w:cs="宋体"/>
      <w:sz w:val="24"/>
      <w:szCs w:val="20"/>
    </w:rPr>
  </w:style>
  <w:style w:type="paragraph" w:customStyle="1" w:styleId="532">
    <w:name w:val="彩色列表 - 强调文字颜色 11"/>
    <w:basedOn w:val="1"/>
    <w:autoRedefine/>
    <w:qFormat/>
    <w:uiPriority w:val="0"/>
    <w:pPr>
      <w:adjustRightInd/>
      <w:ind w:firstLine="420" w:firstLineChars="200"/>
    </w:pPr>
    <w:rPr>
      <w:rFonts w:ascii="Calibri" w:hAnsi="Calibri"/>
      <w:szCs w:val="22"/>
    </w:rPr>
  </w:style>
  <w:style w:type="paragraph" w:customStyle="1" w:styleId="533">
    <w:name w:val="加粗正文"/>
    <w:basedOn w:val="1"/>
    <w:autoRedefine/>
    <w:qFormat/>
    <w:uiPriority w:val="0"/>
    <w:pPr>
      <w:adjustRightInd/>
      <w:spacing w:before="156" w:beforeLines="50" w:after="156" w:afterLines="50" w:line="360" w:lineRule="auto"/>
      <w:ind w:firstLine="422" w:firstLineChars="200"/>
    </w:pPr>
    <w:rPr>
      <w:b/>
      <w:bCs/>
      <w:szCs w:val="21"/>
    </w:rPr>
  </w:style>
  <w:style w:type="paragraph" w:customStyle="1" w:styleId="534">
    <w:name w:val="xl94"/>
    <w:basedOn w:val="1"/>
    <w:autoRedefine/>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5">
    <w:name w:val="正文6"/>
    <w:basedOn w:val="1"/>
    <w:autoRedefine/>
    <w:qFormat/>
    <w:uiPriority w:val="0"/>
    <w:pPr>
      <w:tabs>
        <w:tab w:val="left" w:pos="0"/>
        <w:tab w:val="left" w:pos="703"/>
      </w:tabs>
      <w:adjustRightInd/>
      <w:spacing w:before="60" w:after="60" w:line="360" w:lineRule="auto"/>
      <w:ind w:left="600" w:leftChars="600"/>
    </w:pPr>
    <w:rPr>
      <w:sz w:val="28"/>
    </w:rPr>
  </w:style>
  <w:style w:type="paragraph" w:customStyle="1" w:styleId="536">
    <w:name w:val="Char Char Char1 Char1"/>
    <w:basedOn w:val="1"/>
    <w:autoRedefine/>
    <w:qFormat/>
    <w:uiPriority w:val="6"/>
    <w:rPr>
      <w:szCs w:val="20"/>
    </w:rPr>
  </w:style>
  <w:style w:type="paragraph" w:customStyle="1" w:styleId="537">
    <w:name w:val="xl2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38">
    <w:name w:val="样式 标题 2 + 宋体 左侧:  1.76 厘米 首行缩进:  0 厘米"/>
    <w:basedOn w:val="5"/>
    <w:autoRedefine/>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39">
    <w:name w:val="List Paragraph*"/>
    <w:basedOn w:val="1"/>
    <w:autoRedefine/>
    <w:qFormat/>
    <w:uiPriority w:val="7"/>
    <w:pPr>
      <w:adjustRightInd/>
      <w:spacing w:line="360" w:lineRule="auto"/>
      <w:ind w:firstLine="420"/>
    </w:pPr>
    <w:rPr>
      <w:rFonts w:ascii="Calibri" w:hAnsi="Calibri" w:cs="Calibri"/>
      <w:color w:val="000000"/>
      <w:kern w:val="1"/>
      <w:sz w:val="24"/>
      <w:szCs w:val="22"/>
    </w:rPr>
  </w:style>
  <w:style w:type="paragraph" w:customStyle="1" w:styleId="540">
    <w:name w:val="Char Char11 Char Char Char Char Char Char Char Char Char Char Char Char Char11"/>
    <w:basedOn w:val="1"/>
    <w:autoRedefine/>
    <w:qFormat/>
    <w:uiPriority w:val="6"/>
    <w:pPr>
      <w:adjustRightInd/>
      <w:spacing w:line="360" w:lineRule="auto"/>
    </w:pPr>
    <w:rPr>
      <w:rFonts w:ascii="Arial" w:hAnsi="Arial" w:eastAsia="黑体" w:cs="Arial"/>
      <w:snapToGrid w:val="0"/>
      <w:kern w:val="0"/>
      <w:szCs w:val="21"/>
    </w:rPr>
  </w:style>
  <w:style w:type="paragraph" w:customStyle="1" w:styleId="541">
    <w:name w:val="xl3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2">
    <w:name w:val="CM14"/>
    <w:basedOn w:val="233"/>
    <w:next w:val="233"/>
    <w:autoRedefine/>
    <w:qFormat/>
    <w:uiPriority w:val="0"/>
    <w:pPr>
      <w:spacing w:after="68"/>
    </w:pPr>
    <w:rPr>
      <w:rFonts w:ascii="FHLHE E+ Futura Bk" w:eastAsia="FHLHE E+ Futura Bk" w:cs="Times New Roman"/>
      <w:color w:val="auto"/>
    </w:rPr>
  </w:style>
  <w:style w:type="paragraph" w:customStyle="1" w:styleId="543">
    <w:name w:val="xl8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4">
    <w:name w:val="无间隔*"/>
    <w:autoRedefine/>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5">
    <w:name w:val="Char Char Char Char1"/>
    <w:basedOn w:val="1"/>
    <w:autoRedefine/>
    <w:qFormat/>
    <w:uiPriority w:val="0"/>
    <w:pPr>
      <w:tabs>
        <w:tab w:val="left" w:pos="0"/>
      </w:tabs>
      <w:adjustRightInd/>
      <w:ind w:firstLine="200" w:firstLineChars="200"/>
    </w:pPr>
    <w:rPr>
      <w:rFonts w:ascii="宋体" w:hAnsi="宋体" w:eastAsia="仿宋_GB2312"/>
      <w:sz w:val="28"/>
    </w:rPr>
  </w:style>
  <w:style w:type="paragraph" w:customStyle="1" w:styleId="546">
    <w:name w:val="正文文字 2"/>
    <w:basedOn w:val="233"/>
    <w:next w:val="233"/>
    <w:autoRedefine/>
    <w:qFormat/>
    <w:uiPriority w:val="0"/>
    <w:rPr>
      <w:rFonts w:ascii="宋体" w:eastAsia="宋体" w:cs="Times New Roman"/>
      <w:color w:val="auto"/>
    </w:rPr>
  </w:style>
  <w:style w:type="paragraph" w:customStyle="1" w:styleId="547">
    <w:name w:val="正文首行缩进两字"/>
    <w:autoRedefine/>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48">
    <w:name w:val="Char Char1 Char"/>
    <w:basedOn w:val="1"/>
    <w:autoRedefine/>
    <w:qFormat/>
    <w:uiPriority w:val="0"/>
    <w:rPr>
      <w:rFonts w:ascii="仿宋_GB2312" w:eastAsia="仿宋_GB2312"/>
      <w:b/>
      <w:sz w:val="32"/>
      <w:szCs w:val="32"/>
    </w:rPr>
  </w:style>
  <w:style w:type="paragraph" w:customStyle="1" w:styleId="549">
    <w:name w:val="xl7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0">
    <w:name w:val="Char Char11 Char Char Char Char Char Char Char Char Char Char Char1"/>
    <w:basedOn w:val="1"/>
    <w:autoRedefine/>
    <w:qFormat/>
    <w:uiPriority w:val="6"/>
    <w:pPr>
      <w:adjustRightInd/>
      <w:spacing w:line="360" w:lineRule="auto"/>
    </w:pPr>
    <w:rPr>
      <w:rFonts w:ascii="Arial" w:hAnsi="Arial" w:eastAsia="黑体" w:cs="Arial"/>
      <w:snapToGrid w:val="0"/>
      <w:kern w:val="0"/>
      <w:szCs w:val="21"/>
    </w:rPr>
  </w:style>
  <w:style w:type="paragraph" w:customStyle="1" w:styleId="551">
    <w:name w:val="Char Char111"/>
    <w:basedOn w:val="1"/>
    <w:autoRedefine/>
    <w:qFormat/>
    <w:uiPriority w:val="0"/>
    <w:pPr>
      <w:spacing w:line="360" w:lineRule="auto"/>
    </w:pPr>
    <w:rPr>
      <w:szCs w:val="20"/>
    </w:rPr>
  </w:style>
  <w:style w:type="paragraph" w:customStyle="1" w:styleId="552">
    <w:name w:val="Char"/>
    <w:basedOn w:val="1"/>
    <w:autoRedefine/>
    <w:qFormat/>
    <w:uiPriority w:val="0"/>
    <w:rPr>
      <w:rFonts w:ascii="仿宋_GB2312" w:eastAsia="仿宋_GB2312"/>
      <w:b/>
      <w:sz w:val="32"/>
      <w:szCs w:val="32"/>
    </w:rPr>
  </w:style>
  <w:style w:type="paragraph" w:customStyle="1" w:styleId="553">
    <w:name w:val="RFI Heading 2nd Level"/>
    <w:basedOn w:val="1"/>
    <w:autoRedefine/>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4">
    <w:name w:val="af17cgridlangnp1033langf"/>
    <w:autoRedefine/>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5">
    <w:name w:val="Char Char Char1 Char"/>
    <w:basedOn w:val="1"/>
    <w:autoRedefine/>
    <w:qFormat/>
    <w:uiPriority w:val="0"/>
    <w:rPr>
      <w:szCs w:val="20"/>
    </w:rPr>
  </w:style>
  <w:style w:type="paragraph" w:customStyle="1" w:styleId="556">
    <w:name w:val="正文标准"/>
    <w:basedOn w:val="1"/>
    <w:autoRedefine/>
    <w:qFormat/>
    <w:uiPriority w:val="0"/>
    <w:pPr>
      <w:adjustRightInd/>
      <w:spacing w:line="360" w:lineRule="auto"/>
      <w:ind w:firstLine="200" w:firstLineChars="200"/>
    </w:pPr>
    <w:rPr>
      <w:rFonts w:ascii="宋体" w:hAnsi="Calibri"/>
      <w:sz w:val="24"/>
    </w:rPr>
  </w:style>
  <w:style w:type="paragraph" w:customStyle="1" w:styleId="557">
    <w:name w:val="正文格式"/>
    <w:basedOn w:val="1"/>
    <w:autoRedefine/>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58">
    <w:name w:val="Char Char11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559">
    <w:name w:val="Th"/>
    <w:autoRedefine/>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0">
    <w:name w:val="规范正文"/>
    <w:basedOn w:val="1"/>
    <w:autoRedefine/>
    <w:qFormat/>
    <w:uiPriority w:val="0"/>
    <w:pPr>
      <w:tabs>
        <w:tab w:val="left" w:pos="840"/>
      </w:tabs>
      <w:spacing w:before="156" w:beforeLines="50" w:line="360" w:lineRule="auto"/>
      <w:ind w:left="840" w:hanging="420"/>
      <w:textAlignment w:val="baseline"/>
    </w:pPr>
    <w:rPr>
      <w:szCs w:val="20"/>
    </w:rPr>
  </w:style>
  <w:style w:type="paragraph" w:customStyle="1" w:styleId="561">
    <w:name w:val="font12"/>
    <w:basedOn w:val="1"/>
    <w:autoRedefine/>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2">
    <w:name w:val="Char Char1 Char2"/>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3">
    <w:name w:val="Char Char Char11"/>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564">
    <w:name w:val="xl42"/>
    <w:basedOn w:val="1"/>
    <w:autoRedefine/>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5">
    <w:name w:val="目录4"/>
    <w:basedOn w:val="1"/>
    <w:autoRedefine/>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6">
    <w:name w:val="xl43"/>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7">
    <w:name w:val="solutionfonts1"/>
    <w:basedOn w:val="1"/>
    <w:autoRedefine/>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68">
    <w:name w:val="标准有序列表（L1）"/>
    <w:basedOn w:val="7"/>
    <w:autoRedefine/>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69">
    <w:name w:val="Char Char Char Char Char Char Char Char Char Char"/>
    <w:basedOn w:val="1"/>
    <w:autoRedefine/>
    <w:qFormat/>
    <w:uiPriority w:val="0"/>
    <w:rPr>
      <w:rFonts w:ascii="仿宋_GB2312" w:eastAsia="仿宋_GB2312"/>
      <w:b/>
      <w:sz w:val="32"/>
      <w:szCs w:val="32"/>
    </w:rPr>
  </w:style>
  <w:style w:type="paragraph" w:customStyle="1" w:styleId="570">
    <w:name w:val="Char1 Char Char Char Char Char Char Char Char Char Char Char1 Char Char Char Char Char Char Char Char Char Char Char Char Char Char1 Char Char Char Char"/>
    <w:basedOn w:val="1"/>
    <w:autoRedefine/>
    <w:qFormat/>
    <w:uiPriority w:val="0"/>
    <w:pPr>
      <w:spacing w:line="360" w:lineRule="auto"/>
    </w:pPr>
    <w:rPr>
      <w:kern w:val="0"/>
      <w:sz w:val="24"/>
      <w:szCs w:val="20"/>
    </w:rPr>
  </w:style>
  <w:style w:type="paragraph" w:customStyle="1" w:styleId="571">
    <w:name w:val="_正文段落"/>
    <w:basedOn w:val="1"/>
    <w:autoRedefine/>
    <w:qFormat/>
    <w:uiPriority w:val="0"/>
    <w:pPr>
      <w:adjustRightInd/>
      <w:ind w:firstLine="560"/>
    </w:pPr>
    <w:rPr>
      <w:rFonts w:ascii="仿宋_GB2312" w:hAnsi="仿宋" w:eastAsia="仿宋_GB2312"/>
      <w:kern w:val="0"/>
      <w:sz w:val="28"/>
      <w:szCs w:val="28"/>
    </w:rPr>
  </w:style>
  <w:style w:type="paragraph" w:customStyle="1" w:styleId="572">
    <w:name w:val="列出段落4"/>
    <w:basedOn w:val="1"/>
    <w:autoRedefine/>
    <w:qFormat/>
    <w:uiPriority w:val="0"/>
    <w:pPr>
      <w:adjustRightInd/>
      <w:spacing w:line="360" w:lineRule="auto"/>
      <w:ind w:firstLine="420" w:firstLineChars="200"/>
    </w:pPr>
    <w:rPr>
      <w:rFonts w:ascii="Calibri" w:hAnsi="Calibri"/>
      <w:sz w:val="24"/>
      <w:szCs w:val="22"/>
    </w:rPr>
  </w:style>
  <w:style w:type="paragraph" w:customStyle="1" w:styleId="573">
    <w:name w:val="前言、引言标题"/>
    <w:next w:val="1"/>
    <w:autoRedefine/>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4">
    <w:name w:val="正文（首行缩进）"/>
    <w:basedOn w:val="27"/>
    <w:autoRedefine/>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5">
    <w:name w:val="Char3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576">
    <w:name w:val="font9"/>
    <w:basedOn w:val="1"/>
    <w:autoRedefine/>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77">
    <w:name w:val="方案正文无缩进"/>
    <w:autoRedefine/>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78">
    <w:name w:val="Char Char Char1 Char2"/>
    <w:basedOn w:val="1"/>
    <w:autoRedefine/>
    <w:qFormat/>
    <w:uiPriority w:val="0"/>
    <w:rPr>
      <w:szCs w:val="20"/>
    </w:rPr>
  </w:style>
  <w:style w:type="paragraph" w:customStyle="1" w:styleId="579">
    <w:name w:val="Char Char11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580">
    <w:name w:val="默认段落字体 Para Char"/>
    <w:basedOn w:val="1"/>
    <w:autoRedefine/>
    <w:qFormat/>
    <w:uiPriority w:val="0"/>
    <w:rPr>
      <w:rFonts w:ascii="Tahoma" w:hAnsi="Tahoma"/>
      <w:sz w:val="24"/>
      <w:szCs w:val="20"/>
    </w:rPr>
  </w:style>
  <w:style w:type="paragraph" w:customStyle="1" w:styleId="581">
    <w:name w:val="标题五"/>
    <w:basedOn w:val="1"/>
    <w:autoRedefine/>
    <w:qFormat/>
    <w:uiPriority w:val="0"/>
    <w:pPr>
      <w:adjustRightInd/>
      <w:spacing w:before="156" w:beforeLines="50" w:line="360" w:lineRule="auto"/>
    </w:pPr>
    <w:rPr>
      <w:b/>
      <w:sz w:val="24"/>
    </w:rPr>
  </w:style>
  <w:style w:type="paragraph" w:customStyle="1" w:styleId="582">
    <w:name w:val="Char Char1101"/>
    <w:basedOn w:val="1"/>
    <w:autoRedefine/>
    <w:qFormat/>
    <w:uiPriority w:val="0"/>
    <w:pPr>
      <w:spacing w:line="360" w:lineRule="auto"/>
    </w:pPr>
    <w:rPr>
      <w:rFonts w:ascii="Tahoma" w:hAnsi="Tahoma"/>
      <w:sz w:val="24"/>
      <w:szCs w:val="20"/>
    </w:rPr>
  </w:style>
  <w:style w:type="paragraph" w:customStyle="1" w:styleId="583">
    <w:name w:val="Char Char Char Char Char Char Char Char1"/>
    <w:basedOn w:val="1"/>
    <w:autoRedefine/>
    <w:qFormat/>
    <w:uiPriority w:val="0"/>
    <w:pPr>
      <w:tabs>
        <w:tab w:val="left" w:pos="360"/>
      </w:tabs>
    </w:pPr>
    <w:rPr>
      <w:sz w:val="24"/>
      <w:szCs w:val="20"/>
    </w:rPr>
  </w:style>
  <w:style w:type="paragraph" w:customStyle="1" w:styleId="584">
    <w:name w:val="Char Char Char 字元 字元"/>
    <w:basedOn w:val="1"/>
    <w:autoRedefine/>
    <w:qFormat/>
    <w:uiPriority w:val="0"/>
    <w:pPr>
      <w:adjustRightInd/>
      <w:spacing w:line="360" w:lineRule="auto"/>
      <w:ind w:firstLine="200" w:firstLineChars="200"/>
    </w:pPr>
    <w:rPr>
      <w:szCs w:val="20"/>
    </w:rPr>
  </w:style>
  <w:style w:type="paragraph" w:customStyle="1" w:styleId="585">
    <w:name w:val="xl70"/>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6">
    <w:name w:val="Char Char Char Char Char Char Char"/>
    <w:basedOn w:val="1"/>
    <w:autoRedefine/>
    <w:qFormat/>
    <w:uiPriority w:val="0"/>
    <w:rPr>
      <w:rFonts w:ascii="仿宋_GB2312" w:eastAsia="仿宋_GB2312"/>
      <w:b/>
      <w:sz w:val="32"/>
      <w:szCs w:val="32"/>
    </w:rPr>
  </w:style>
  <w:style w:type="paragraph" w:customStyle="1" w:styleId="587">
    <w:name w:val="文章附标题"/>
    <w:basedOn w:val="1"/>
    <w:autoRedefine/>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88">
    <w:name w:val="a2"/>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589">
    <w:name w:val="样式 标题 22h2L1 Heading 2H2sect 1.2H21sect 1.21H22sect 1.2..."/>
    <w:basedOn w:val="5"/>
    <w:next w:val="1"/>
    <w:autoRedefine/>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0">
    <w:name w:val="样式6"/>
    <w:basedOn w:val="3"/>
    <w:autoRedefine/>
    <w:qFormat/>
    <w:uiPriority w:val="0"/>
    <w:pPr>
      <w:spacing w:line="460" w:lineRule="exact"/>
      <w:outlineLvl w:val="2"/>
    </w:pPr>
    <w:rPr>
      <w:rFonts w:ascii="仿宋_GB2312" w:hAnsi="宋体" w:eastAsia="仿宋_GB2312"/>
      <w:b/>
      <w:bCs/>
      <w:sz w:val="24"/>
      <w:szCs w:val="24"/>
    </w:rPr>
  </w:style>
  <w:style w:type="paragraph" w:customStyle="1" w:styleId="591">
    <w:name w:val="批注框文本 Char Char"/>
    <w:basedOn w:val="1"/>
    <w:autoRedefine/>
    <w:qFormat/>
    <w:uiPriority w:val="0"/>
    <w:pPr>
      <w:adjustRightInd/>
    </w:pPr>
    <w:rPr>
      <w:sz w:val="18"/>
      <w:szCs w:val="20"/>
    </w:rPr>
  </w:style>
  <w:style w:type="paragraph" w:customStyle="1" w:styleId="592">
    <w:name w:val="封面华为技术"/>
    <w:basedOn w:val="1"/>
    <w:autoRedefine/>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3">
    <w:name w:val="xl3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4">
    <w:name w:val="Char Char11 Char Char Char Char Char Char Char Char Char Char Char Char Char"/>
    <w:basedOn w:val="1"/>
    <w:autoRedefine/>
    <w:qFormat/>
    <w:uiPriority w:val="0"/>
    <w:pPr>
      <w:adjustRightInd/>
      <w:spacing w:line="360" w:lineRule="auto"/>
    </w:pPr>
    <w:rPr>
      <w:rFonts w:ascii="Arial" w:hAnsi="Arial" w:eastAsia="黑体"/>
      <w:snapToGrid w:val="0"/>
      <w:kern w:val="0"/>
      <w:sz w:val="20"/>
      <w:szCs w:val="21"/>
    </w:rPr>
  </w:style>
  <w:style w:type="paragraph" w:customStyle="1" w:styleId="595">
    <w:name w:val="gjt_2"/>
    <w:next w:val="1"/>
    <w:autoRedefine/>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6">
    <w:name w:val="索引 11"/>
    <w:basedOn w:val="1"/>
    <w:next w:val="1"/>
    <w:autoRedefine/>
    <w:qFormat/>
    <w:uiPriority w:val="99"/>
    <w:pPr>
      <w:adjustRightInd/>
      <w:spacing w:line="360" w:lineRule="auto"/>
    </w:pPr>
    <w:rPr>
      <w:rFonts w:ascii="仿宋_GB2312" w:eastAsia="仿宋_GB2312"/>
      <w:sz w:val="24"/>
      <w:szCs w:val="20"/>
    </w:rPr>
  </w:style>
  <w:style w:type="paragraph" w:customStyle="1" w:styleId="597">
    <w:name w:val="xl6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8">
    <w:name w:val="样式"/>
    <w:basedOn w:val="1"/>
    <w:autoRedefine/>
    <w:qFormat/>
    <w:uiPriority w:val="0"/>
    <w:pPr>
      <w:autoSpaceDE w:val="0"/>
      <w:autoSpaceDN w:val="0"/>
      <w:snapToGrid w:val="0"/>
      <w:spacing w:before="120" w:after="120" w:line="360" w:lineRule="auto"/>
    </w:pPr>
    <w:rPr>
      <w:rFonts w:ascii="宋体"/>
      <w:sz w:val="24"/>
      <w:szCs w:val="20"/>
    </w:rPr>
  </w:style>
  <w:style w:type="paragraph" w:customStyle="1" w:styleId="599">
    <w:name w:val="正文文字缩进项目"/>
    <w:basedOn w:val="27"/>
    <w:autoRedefine/>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0">
    <w:name w:val="文档正文"/>
    <w:basedOn w:val="1"/>
    <w:autoRedefine/>
    <w:qFormat/>
    <w:uiPriority w:val="0"/>
    <w:pPr>
      <w:spacing w:line="480" w:lineRule="atLeast"/>
      <w:ind w:firstLine="567"/>
      <w:textAlignment w:val="baseline"/>
    </w:pPr>
    <w:rPr>
      <w:kern w:val="0"/>
      <w:sz w:val="24"/>
      <w:szCs w:val="20"/>
    </w:rPr>
  </w:style>
  <w:style w:type="paragraph" w:customStyle="1" w:styleId="601">
    <w:name w:val="正文文字表格居中"/>
    <w:basedOn w:val="1"/>
    <w:next w:val="57"/>
    <w:autoRedefine/>
    <w:qFormat/>
    <w:uiPriority w:val="0"/>
    <w:pPr>
      <w:snapToGrid w:val="0"/>
      <w:spacing w:line="360" w:lineRule="auto"/>
    </w:pPr>
    <w:rPr>
      <w:rFonts w:ascii="宋体"/>
      <w:b/>
      <w:sz w:val="24"/>
      <w:szCs w:val="20"/>
    </w:rPr>
  </w:style>
  <w:style w:type="paragraph" w:customStyle="1" w:styleId="602">
    <w:name w:val="规划正文"/>
    <w:basedOn w:val="1"/>
    <w:autoRedefine/>
    <w:qFormat/>
    <w:uiPriority w:val="0"/>
    <w:pPr>
      <w:adjustRightInd/>
      <w:spacing w:before="312" w:beforeLines="100" w:line="360" w:lineRule="auto"/>
      <w:jc w:val="left"/>
    </w:pPr>
    <w:rPr>
      <w:rFonts w:ascii="Arial" w:hAnsi="Arial" w:eastAsia="仿宋_GB2312"/>
      <w:bCs/>
      <w:sz w:val="28"/>
    </w:rPr>
  </w:style>
  <w:style w:type="paragraph" w:customStyle="1" w:styleId="603">
    <w:name w:val="小节"/>
    <w:basedOn w:val="6"/>
    <w:autoRedefine/>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4">
    <w:name w:val="Plain Text1"/>
    <w:basedOn w:val="1"/>
    <w:autoRedefine/>
    <w:qFormat/>
    <w:uiPriority w:val="7"/>
    <w:pPr>
      <w:adjustRightInd/>
    </w:pPr>
    <w:rPr>
      <w:rFonts w:ascii="宋体" w:hAnsi="Courier New"/>
    </w:rPr>
  </w:style>
  <w:style w:type="paragraph" w:customStyle="1" w:styleId="605">
    <w:name w:val="Char3"/>
    <w:basedOn w:val="1"/>
    <w:autoRedefine/>
    <w:qFormat/>
    <w:uiPriority w:val="0"/>
    <w:pPr>
      <w:adjustRightInd/>
    </w:pPr>
    <w:rPr>
      <w:rFonts w:ascii="仿宋_GB2312" w:eastAsia="仿宋_GB2312"/>
      <w:b/>
      <w:sz w:val="32"/>
      <w:szCs w:val="32"/>
    </w:rPr>
  </w:style>
  <w:style w:type="paragraph" w:customStyle="1" w:styleId="606">
    <w:name w:val="xl2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07">
    <w:name w:val="ÕýÎÄÊ×ÐÐËõ½ø"/>
    <w:basedOn w:val="1"/>
    <w:autoRedefine/>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08">
    <w:name w:val="标题2"/>
    <w:basedOn w:val="5"/>
    <w:next w:val="1"/>
    <w:autoRedefine/>
    <w:qFormat/>
    <w:uiPriority w:val="0"/>
    <w:pPr>
      <w:tabs>
        <w:tab w:val="left" w:pos="578"/>
        <w:tab w:val="left" w:pos="900"/>
        <w:tab w:val="left" w:pos="1440"/>
      </w:tabs>
      <w:ind w:left="1440" w:hanging="360"/>
    </w:pPr>
    <w:rPr>
      <w:rFonts w:ascii="仿宋" w:eastAsia="仿宋" w:cs="宋体"/>
      <w:bCs w:val="0"/>
      <w:szCs w:val="28"/>
    </w:rPr>
  </w:style>
  <w:style w:type="paragraph" w:customStyle="1" w:styleId="609">
    <w:name w:val="List Paragraph1"/>
    <w:basedOn w:val="1"/>
    <w:autoRedefine/>
    <w:qFormat/>
    <w:uiPriority w:val="0"/>
    <w:pPr>
      <w:spacing w:line="360" w:lineRule="auto"/>
      <w:ind w:firstLine="200" w:firstLineChars="200"/>
    </w:pPr>
    <w:rPr>
      <w:rFonts w:eastAsia="楷体_GB2312" w:cs="Lucida Sans"/>
      <w:sz w:val="24"/>
    </w:rPr>
  </w:style>
  <w:style w:type="paragraph" w:customStyle="1" w:styleId="610">
    <w:name w:val="样式 标题 3标题 3 Char第二层条h33Bold Headbh章标题1小标题level_3PIM 3..."/>
    <w:basedOn w:val="6"/>
    <w:autoRedefine/>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1">
    <w:name w:val="xl2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2">
    <w:name w:val="样式 小四 首行缩进:  0.74 厘米 行距: 1.5 倍行距"/>
    <w:basedOn w:val="1"/>
    <w:autoRedefine/>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3">
    <w:name w:val="Char3 Char Char Char"/>
    <w:basedOn w:val="1"/>
    <w:autoRedefine/>
    <w:qFormat/>
    <w:uiPriority w:val="0"/>
    <w:pPr>
      <w:widowControl/>
      <w:adjustRightInd/>
      <w:spacing w:after="160" w:line="240" w:lineRule="exact"/>
      <w:jc w:val="left"/>
    </w:pPr>
    <w:rPr>
      <w:szCs w:val="20"/>
    </w:rPr>
  </w:style>
  <w:style w:type="paragraph" w:customStyle="1" w:styleId="614">
    <w:name w:val="表格标题2"/>
    <w:basedOn w:val="615"/>
    <w:autoRedefine/>
    <w:qFormat/>
    <w:uiPriority w:val="0"/>
    <w:rPr>
      <w:b/>
    </w:rPr>
  </w:style>
  <w:style w:type="paragraph" w:customStyle="1" w:styleId="615">
    <w:name w:val="表格内文"/>
    <w:basedOn w:val="1"/>
    <w:autoRedefine/>
    <w:qFormat/>
    <w:uiPriority w:val="0"/>
    <w:pPr>
      <w:adjustRightInd/>
      <w:spacing w:line="360" w:lineRule="auto"/>
    </w:pPr>
    <w:rPr>
      <w:rFonts w:ascii="宋体" w:hAnsi="宋体" w:cs="宋体"/>
      <w:color w:val="000000"/>
      <w:szCs w:val="20"/>
    </w:rPr>
  </w:style>
  <w:style w:type="paragraph" w:customStyle="1" w:styleId="616">
    <w:name w:val="Char Char Char Char Char Char Char Char Char Char2"/>
    <w:basedOn w:val="1"/>
    <w:autoRedefine/>
    <w:qFormat/>
    <w:uiPriority w:val="0"/>
    <w:rPr>
      <w:rFonts w:ascii="仿宋_GB2312" w:eastAsia="仿宋_GB2312"/>
      <w:b/>
      <w:sz w:val="32"/>
      <w:szCs w:val="32"/>
    </w:rPr>
  </w:style>
  <w:style w:type="paragraph" w:customStyle="1" w:styleId="617">
    <w:name w:val="正文，首行缩进:  2 字符"/>
    <w:autoRedefine/>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18">
    <w:name w:val="Char3 Char Char1"/>
    <w:basedOn w:val="1"/>
    <w:autoRedefine/>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19">
    <w:name w:val="Char Char11 Char Char Char Char Char Char Char Char Char11"/>
    <w:basedOn w:val="1"/>
    <w:autoRedefine/>
    <w:qFormat/>
    <w:uiPriority w:val="0"/>
    <w:pPr>
      <w:spacing w:line="360" w:lineRule="auto"/>
    </w:pPr>
    <w:rPr>
      <w:szCs w:val="20"/>
    </w:rPr>
  </w:style>
  <w:style w:type="paragraph" w:customStyle="1" w:styleId="620">
    <w:name w:val="正文 大标"/>
    <w:basedOn w:val="1"/>
    <w:autoRedefine/>
    <w:qFormat/>
    <w:uiPriority w:val="0"/>
    <w:pPr>
      <w:tabs>
        <w:tab w:val="left" w:pos="0"/>
      </w:tabs>
      <w:adjustRightInd/>
      <w:spacing w:line="300" w:lineRule="auto"/>
      <w:ind w:left="1021"/>
    </w:pPr>
    <w:rPr>
      <w:rFonts w:ascii="仿宋" w:hAnsi="Calibri" w:eastAsia="仿宋"/>
      <w:sz w:val="24"/>
      <w:szCs w:val="20"/>
    </w:rPr>
  </w:style>
  <w:style w:type="paragraph" w:customStyle="1" w:styleId="621">
    <w:name w:val="样式  + 首行缩进:  2 字符"/>
    <w:basedOn w:val="1"/>
    <w:autoRedefine/>
    <w:qFormat/>
    <w:uiPriority w:val="0"/>
    <w:pPr>
      <w:adjustRightInd/>
      <w:spacing w:before="60" w:after="60" w:line="360" w:lineRule="auto"/>
      <w:ind w:firstLine="200" w:firstLineChars="200"/>
    </w:pPr>
    <w:rPr>
      <w:sz w:val="28"/>
      <w:szCs w:val="20"/>
    </w:rPr>
  </w:style>
  <w:style w:type="paragraph" w:customStyle="1" w:styleId="622">
    <w:name w:val="MM Topic 1"/>
    <w:basedOn w:val="4"/>
    <w:autoRedefine/>
    <w:qFormat/>
    <w:uiPriority w:val="0"/>
    <w:pPr>
      <w:tabs>
        <w:tab w:val="left" w:pos="840"/>
      </w:tabs>
      <w:adjustRightInd/>
      <w:ind w:left="840" w:hanging="420"/>
    </w:pPr>
  </w:style>
  <w:style w:type="paragraph" w:customStyle="1" w:styleId="623">
    <w:name w:val="样式 标题 2标题2H2Heading 2 HiddenHeading 2 CCBSheading 22nd lev..."/>
    <w:basedOn w:val="5"/>
    <w:autoRedefine/>
    <w:qFormat/>
    <w:uiPriority w:val="0"/>
    <w:pPr>
      <w:widowControl/>
      <w:spacing w:before="260" w:after="260" w:line="416" w:lineRule="auto"/>
      <w:ind w:left="0" w:firstLine="0"/>
    </w:pPr>
    <w:rPr>
      <w:rFonts w:ascii="Arial" w:hAnsi="Arial" w:eastAsia="黑体"/>
      <w:sz w:val="30"/>
      <w:szCs w:val="21"/>
    </w:rPr>
  </w:style>
  <w:style w:type="paragraph" w:customStyle="1" w:styleId="624">
    <w:name w:val="文本正文 Char"/>
    <w:basedOn w:val="1"/>
    <w:autoRedefine/>
    <w:qFormat/>
    <w:uiPriority w:val="0"/>
    <w:pPr>
      <w:spacing w:line="360" w:lineRule="auto"/>
      <w:ind w:firstLine="200" w:firstLineChars="200"/>
    </w:pPr>
    <w:rPr>
      <w:kern w:val="0"/>
      <w:sz w:val="24"/>
      <w:szCs w:val="20"/>
    </w:rPr>
  </w:style>
  <w:style w:type="paragraph" w:customStyle="1" w:styleId="625">
    <w:name w:val="表格"/>
    <w:basedOn w:val="1"/>
    <w:autoRedefine/>
    <w:qFormat/>
    <w:uiPriority w:val="0"/>
    <w:pPr>
      <w:snapToGrid w:val="0"/>
      <w:ind w:firstLine="42" w:firstLineChars="21"/>
    </w:pPr>
    <w:rPr>
      <w:rFonts w:ascii="宋体" w:hAnsi="宋体"/>
      <w:kern w:val="0"/>
      <w:sz w:val="20"/>
      <w:szCs w:val="20"/>
    </w:rPr>
  </w:style>
  <w:style w:type="paragraph" w:customStyle="1" w:styleId="626">
    <w:name w:val="标书标题4"/>
    <w:basedOn w:val="8"/>
    <w:autoRedefine/>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27">
    <w:name w:val="插图题注"/>
    <w:next w:val="1"/>
    <w:autoRedefine/>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28">
    <w:name w:val="xl9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29">
    <w:name w:val="表格项目符号 2"/>
    <w:basedOn w:val="31"/>
    <w:autoRedefine/>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0">
    <w:name w:val="EB_表格"/>
    <w:basedOn w:val="1"/>
    <w:autoRedefine/>
    <w:qFormat/>
    <w:uiPriority w:val="0"/>
    <w:pPr>
      <w:adjustRightInd/>
      <w:spacing w:line="300" w:lineRule="auto"/>
      <w:jc w:val="center"/>
    </w:pPr>
  </w:style>
  <w:style w:type="paragraph" w:customStyle="1" w:styleId="631">
    <w:name w:val="_Style 6"/>
    <w:basedOn w:val="1"/>
    <w:autoRedefine/>
    <w:qFormat/>
    <w:uiPriority w:val="34"/>
    <w:pPr>
      <w:adjustRightInd/>
      <w:ind w:firstLine="420" w:firstLineChars="200"/>
    </w:pPr>
    <w:rPr>
      <w:rFonts w:eastAsia="仿宋_GB2312"/>
      <w:sz w:val="28"/>
    </w:rPr>
  </w:style>
  <w:style w:type="paragraph" w:customStyle="1" w:styleId="632">
    <w:name w:val="zTableCellBody"/>
    <w:basedOn w:val="1"/>
    <w:autoRedefine/>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3">
    <w:name w:val="button"/>
    <w:basedOn w:val="1"/>
    <w:autoRedefine/>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4">
    <w:name w:val="!大节"/>
    <w:basedOn w:val="5"/>
    <w:autoRedefine/>
    <w:qFormat/>
    <w:uiPriority w:val="0"/>
    <w:pPr>
      <w:spacing w:before="260" w:after="260" w:line="415" w:lineRule="auto"/>
      <w:ind w:left="420" w:hanging="420"/>
    </w:pPr>
    <w:rPr>
      <w:rFonts w:ascii="Arial" w:hAnsi="Arial" w:eastAsia="微软雅黑"/>
      <w:lang w:val="en-US"/>
    </w:rPr>
  </w:style>
  <w:style w:type="paragraph" w:customStyle="1" w:styleId="635">
    <w:name w:val="正文文本 22"/>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636">
    <w:name w:val="正文表标题"/>
    <w:next w:val="637"/>
    <w:autoRedefine/>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37">
    <w:name w:val="段"/>
    <w:autoRedefine/>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38">
    <w:name w:val="Char Char Char Char Char Char"/>
    <w:basedOn w:val="1"/>
    <w:autoRedefine/>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39">
    <w:name w:val="trademark"/>
    <w:autoRedefine/>
    <w:qFormat/>
    <w:uiPriority w:val="0"/>
    <w:pPr>
      <w:spacing w:after="60"/>
    </w:pPr>
    <w:rPr>
      <w:rFonts w:ascii="Futura Bk" w:hAnsi="Futura Bk" w:eastAsia="宋体" w:cs="Times New Roman"/>
      <w:sz w:val="15"/>
      <w:lang w:val="en-US" w:eastAsia="en-US" w:bidi="ar-SA"/>
    </w:rPr>
  </w:style>
  <w:style w:type="paragraph" w:customStyle="1" w:styleId="640">
    <w:name w:val="Bullet with text 4"/>
    <w:basedOn w:val="1"/>
    <w:autoRedefine/>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1">
    <w:name w:val="Char Char1 Char Char Char Char Char Char1"/>
    <w:basedOn w:val="1"/>
    <w:autoRedefine/>
    <w:qFormat/>
    <w:uiPriority w:val="0"/>
    <w:rPr>
      <w:rFonts w:ascii="仿宋_GB2312" w:eastAsia="仿宋_GB2312"/>
      <w:b/>
      <w:sz w:val="32"/>
      <w:szCs w:val="20"/>
    </w:rPr>
  </w:style>
  <w:style w:type="paragraph" w:customStyle="1" w:styleId="642">
    <w:name w:val="大汉方案正文"/>
    <w:basedOn w:val="1"/>
    <w:autoRedefine/>
    <w:qFormat/>
    <w:uiPriority w:val="0"/>
    <w:pPr>
      <w:adjustRightInd/>
      <w:spacing w:line="360" w:lineRule="auto"/>
      <w:ind w:firstLine="200" w:firstLineChars="200"/>
    </w:pPr>
    <w:rPr>
      <w:rFonts w:ascii="Arial" w:hAnsi="Arial"/>
      <w:sz w:val="24"/>
      <w:szCs w:val="20"/>
    </w:rPr>
  </w:style>
  <w:style w:type="paragraph" w:customStyle="1" w:styleId="643">
    <w:name w:val="Char1 Char Char Char1"/>
    <w:basedOn w:val="1"/>
    <w:autoRedefine/>
    <w:qFormat/>
    <w:uiPriority w:val="0"/>
    <w:pPr>
      <w:adjustRightInd/>
      <w:ind w:firstLine="200" w:firstLineChars="200"/>
    </w:pPr>
    <w:rPr>
      <w:rFonts w:ascii="Tahoma" w:hAnsi="Tahoma"/>
      <w:sz w:val="24"/>
      <w:szCs w:val="20"/>
    </w:rPr>
  </w:style>
  <w:style w:type="paragraph" w:customStyle="1" w:styleId="644">
    <w:name w:val="a1"/>
    <w:basedOn w:val="1"/>
    <w:autoRedefine/>
    <w:qFormat/>
    <w:uiPriority w:val="0"/>
    <w:pPr>
      <w:widowControl/>
      <w:spacing w:line="300" w:lineRule="atLeast"/>
      <w:jc w:val="left"/>
    </w:pPr>
    <w:rPr>
      <w:rFonts w:ascii="宋体" w:hAnsi="宋体"/>
      <w:kern w:val="0"/>
      <w:sz w:val="18"/>
      <w:szCs w:val="20"/>
    </w:rPr>
  </w:style>
  <w:style w:type="paragraph" w:customStyle="1" w:styleId="645">
    <w:name w:val="样式7"/>
    <w:basedOn w:val="646"/>
    <w:next w:val="1"/>
    <w:autoRedefine/>
    <w:qFormat/>
    <w:uiPriority w:val="0"/>
    <w:pPr>
      <w:spacing w:after="156" w:afterLines="50"/>
      <w:jc w:val="left"/>
      <w:outlineLvl w:val="3"/>
    </w:pPr>
    <w:rPr>
      <w:sz w:val="24"/>
      <w:szCs w:val="24"/>
    </w:rPr>
  </w:style>
  <w:style w:type="paragraph" w:customStyle="1" w:styleId="646">
    <w:name w:val="样式4"/>
    <w:basedOn w:val="1"/>
    <w:autoRedefine/>
    <w:qFormat/>
    <w:uiPriority w:val="0"/>
    <w:pPr>
      <w:spacing w:line="360" w:lineRule="auto"/>
      <w:ind w:firstLine="420"/>
      <w:jc w:val="center"/>
      <w:outlineLvl w:val="2"/>
    </w:pPr>
    <w:rPr>
      <w:rFonts w:ascii="仿宋_GB2312" w:hAnsi="仿宋" w:eastAsia="仿宋_GB2312"/>
      <w:b/>
      <w:sz w:val="32"/>
      <w:szCs w:val="32"/>
    </w:rPr>
  </w:style>
  <w:style w:type="paragraph" w:customStyle="1" w:styleId="647">
    <w:name w:val="Char Char11 Char Char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648">
    <w:name w:val="main"/>
    <w:basedOn w:val="1"/>
    <w:autoRedefine/>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49">
    <w:name w:val="样式 样式2 + 左侧:  1 字符 右侧:  1 字符"/>
    <w:basedOn w:val="457"/>
    <w:autoRedefine/>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0">
    <w:name w:val="Char2 Char Char2"/>
    <w:basedOn w:val="1"/>
    <w:autoRedefine/>
    <w:qFormat/>
    <w:uiPriority w:val="0"/>
    <w:pPr>
      <w:adjustRightInd/>
    </w:pPr>
    <w:rPr>
      <w:rFonts w:ascii="Tahoma" w:hAnsi="Tahoma"/>
      <w:sz w:val="24"/>
      <w:szCs w:val="20"/>
    </w:rPr>
  </w:style>
  <w:style w:type="paragraph" w:customStyle="1" w:styleId="651">
    <w:name w:val="Char1 Char Char Char"/>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2">
    <w:name w:val="三级条标题"/>
    <w:basedOn w:val="653"/>
    <w:next w:val="637"/>
    <w:autoRedefine/>
    <w:qFormat/>
    <w:uiPriority w:val="0"/>
    <w:pPr>
      <w:tabs>
        <w:tab w:val="left" w:pos="1260"/>
        <w:tab w:val="left" w:pos="1680"/>
        <w:tab w:val="left" w:pos="2100"/>
        <w:tab w:val="left" w:pos="2520"/>
      </w:tabs>
      <w:ind w:left="2520"/>
      <w:outlineLvl w:val="4"/>
    </w:pPr>
  </w:style>
  <w:style w:type="paragraph" w:customStyle="1" w:styleId="653">
    <w:name w:val="二级条标题"/>
    <w:basedOn w:val="654"/>
    <w:next w:val="637"/>
    <w:autoRedefine/>
    <w:qFormat/>
    <w:uiPriority w:val="0"/>
    <w:pPr>
      <w:tabs>
        <w:tab w:val="left" w:pos="1260"/>
        <w:tab w:val="left" w:pos="1680"/>
        <w:tab w:val="left" w:pos="2100"/>
      </w:tabs>
      <w:ind w:left="0"/>
      <w:outlineLvl w:val="3"/>
    </w:pPr>
  </w:style>
  <w:style w:type="paragraph" w:customStyle="1" w:styleId="654">
    <w:name w:val="一级条标题"/>
    <w:basedOn w:val="655"/>
    <w:next w:val="637"/>
    <w:autoRedefine/>
    <w:qFormat/>
    <w:uiPriority w:val="0"/>
    <w:pPr>
      <w:tabs>
        <w:tab w:val="left" w:pos="1260"/>
        <w:tab w:val="left" w:pos="1680"/>
      </w:tabs>
      <w:spacing w:before="0" w:beforeLines="0" w:after="0" w:afterLines="0"/>
      <w:ind w:left="1680"/>
      <w:outlineLvl w:val="2"/>
    </w:pPr>
  </w:style>
  <w:style w:type="paragraph" w:customStyle="1" w:styleId="655">
    <w:name w:val="章标题"/>
    <w:next w:val="637"/>
    <w:autoRedefine/>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6">
    <w:name w:val="数字标题2"/>
    <w:basedOn w:val="5"/>
    <w:next w:val="1"/>
    <w:autoRedefine/>
    <w:qFormat/>
    <w:uiPriority w:val="0"/>
    <w:pPr>
      <w:tabs>
        <w:tab w:val="left" w:pos="480"/>
      </w:tabs>
      <w:ind w:left="480" w:hanging="480"/>
    </w:pPr>
    <w:rPr>
      <w:rFonts w:ascii="Times New Roman" w:eastAsia="宋体"/>
      <w:i/>
      <w:sz w:val="36"/>
      <w:szCs w:val="36"/>
      <w:lang w:val="en-US"/>
    </w:rPr>
  </w:style>
  <w:style w:type="paragraph" w:customStyle="1" w:styleId="657">
    <w:name w:val="tabletext"/>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658">
    <w:name w:val="样式 标题 1Level 1 HeadPIM 1Section Headh1l11Heading 0Datash..."/>
    <w:basedOn w:val="4"/>
    <w:autoRedefine/>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59">
    <w:name w:val="xl2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0">
    <w:name w:val="样式 标题 1章节第一层h1H"/>
    <w:basedOn w:val="4"/>
    <w:autoRedefine/>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1">
    <w:name w:val="xl30"/>
    <w:basedOn w:val="1"/>
    <w:autoRedefine/>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2">
    <w:name w:val="正文 项目2"/>
    <w:basedOn w:val="663"/>
    <w:autoRedefine/>
    <w:qFormat/>
    <w:uiPriority w:val="0"/>
    <w:pPr>
      <w:tabs>
        <w:tab w:val="left" w:pos="840"/>
      </w:tabs>
      <w:spacing w:after="0"/>
      <w:ind w:left="900"/>
    </w:pPr>
  </w:style>
  <w:style w:type="paragraph" w:customStyle="1" w:styleId="663">
    <w:name w:val="正文 项目"/>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4">
    <w:name w:val="Body Text 2*"/>
    <w:basedOn w:val="1"/>
    <w:autoRedefine/>
    <w:qFormat/>
    <w:uiPriority w:val="6"/>
    <w:pPr>
      <w:widowControl/>
      <w:adjustRightInd/>
      <w:ind w:left="720" w:hanging="720"/>
    </w:pPr>
    <w:rPr>
      <w:color w:val="000000"/>
      <w:kern w:val="0"/>
      <w:sz w:val="24"/>
      <w:szCs w:val="20"/>
      <w:lang w:val="en-GB"/>
    </w:rPr>
  </w:style>
  <w:style w:type="paragraph" w:customStyle="1" w:styleId="665">
    <w:name w:val="表1"/>
    <w:basedOn w:val="1"/>
    <w:autoRedefine/>
    <w:qFormat/>
    <w:uiPriority w:val="0"/>
    <w:pPr>
      <w:tabs>
        <w:tab w:val="left" w:pos="703"/>
      </w:tabs>
      <w:adjustRightInd/>
      <w:spacing w:line="360" w:lineRule="auto"/>
      <w:ind w:left="703"/>
      <w:jc w:val="center"/>
    </w:pPr>
  </w:style>
  <w:style w:type="paragraph" w:customStyle="1" w:styleId="666">
    <w:name w:val="_Style 27"/>
    <w:autoRedefine/>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67">
    <w:name w:val="样式 样式 标题 4 + 非加粗 + (中文) 黑体 段前: 0 磅 段后: 0 磅 行距: 固定值 22 磅"/>
    <w:basedOn w:val="1"/>
    <w:autoRedefine/>
    <w:qFormat/>
    <w:uiPriority w:val="0"/>
    <w:pPr>
      <w:keepNext/>
      <w:keepLines/>
      <w:adjustRightInd/>
      <w:spacing w:beforeLines="50" w:afterLines="50" w:line="500" w:lineRule="exact"/>
      <w:outlineLvl w:val="3"/>
    </w:pPr>
    <w:rPr>
      <w:rFonts w:ascii="Arial" w:hAnsi="Arial"/>
      <w:b/>
      <w:bCs/>
      <w:sz w:val="24"/>
    </w:rPr>
  </w:style>
  <w:style w:type="paragraph" w:customStyle="1" w:styleId="668">
    <w:name w:val="章正文"/>
    <w:basedOn w:val="1"/>
    <w:autoRedefine/>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69">
    <w:name w:val="2级标题"/>
    <w:basedOn w:val="670"/>
    <w:autoRedefine/>
    <w:qFormat/>
    <w:uiPriority w:val="0"/>
    <w:pPr>
      <w:jc w:val="left"/>
      <w:outlineLvl w:val="1"/>
    </w:pPr>
    <w:rPr>
      <w:rFonts w:ascii="Times New Roman" w:hAnsi="Times New Roman" w:eastAsia="仿宋"/>
      <w:sz w:val="30"/>
    </w:rPr>
  </w:style>
  <w:style w:type="paragraph" w:customStyle="1" w:styleId="670">
    <w:name w:val="1级标题"/>
    <w:basedOn w:val="1"/>
    <w:autoRedefine/>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1">
    <w:name w:val="正文 New New New New"/>
    <w:autoRedefine/>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2">
    <w:name w:val="样式 微软雅黑 行距: 1.5 倍行距"/>
    <w:basedOn w:val="1"/>
    <w:autoRedefine/>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3">
    <w:name w:val="xl3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4">
    <w:name w:val="xl33"/>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5">
    <w:name w:val="bullet"/>
    <w:basedOn w:val="1"/>
    <w:autoRedefine/>
    <w:qFormat/>
    <w:uiPriority w:val="0"/>
    <w:pPr>
      <w:tabs>
        <w:tab w:val="left" w:pos="840"/>
      </w:tabs>
      <w:adjustRightInd/>
      <w:ind w:left="840" w:hanging="420"/>
    </w:pPr>
  </w:style>
  <w:style w:type="paragraph" w:customStyle="1" w:styleId="676">
    <w:name w:val="f9a style88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77">
    <w:name w:val="普通正文"/>
    <w:basedOn w:val="1"/>
    <w:autoRedefine/>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78">
    <w:name w:val="说明"/>
    <w:basedOn w:val="1"/>
    <w:autoRedefine/>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79">
    <w:name w:val="xl55"/>
    <w:basedOn w:val="1"/>
    <w:autoRedefine/>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0">
    <w:name w:val="Preformatted Text"/>
    <w:basedOn w:val="1"/>
    <w:autoRedefine/>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1">
    <w:name w:val="xl25"/>
    <w:basedOn w:val="1"/>
    <w:autoRedefine/>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2">
    <w:name w:val="xl73"/>
    <w:basedOn w:val="1"/>
    <w:autoRedefine/>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3">
    <w:name w:val="MM Topic 4"/>
    <w:basedOn w:val="8"/>
    <w:autoRedefine/>
    <w:qFormat/>
    <w:uiPriority w:val="0"/>
    <w:pPr>
      <w:tabs>
        <w:tab w:val="left" w:pos="2100"/>
      </w:tabs>
      <w:adjustRightInd/>
      <w:ind w:left="2100" w:hanging="420"/>
    </w:pPr>
    <w:rPr>
      <w:lang w:val="en-US"/>
    </w:rPr>
  </w:style>
  <w:style w:type="paragraph" w:customStyle="1" w:styleId="684">
    <w:name w:val="Char11"/>
    <w:basedOn w:val="1"/>
    <w:autoRedefine/>
    <w:qFormat/>
    <w:uiPriority w:val="0"/>
    <w:pPr>
      <w:tabs>
        <w:tab w:val="left" w:pos="432"/>
      </w:tabs>
      <w:adjustRightInd/>
      <w:spacing w:before="156" w:beforeLines="50" w:after="156" w:afterLines="50"/>
      <w:ind w:left="432" w:hanging="432" w:firstLineChars="200"/>
    </w:pPr>
    <w:rPr>
      <w:sz w:val="24"/>
    </w:rPr>
  </w:style>
  <w:style w:type="paragraph" w:customStyle="1" w:styleId="685">
    <w:name w:val="gjt_正文"/>
    <w:autoRedefine/>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6">
    <w:name w:val="Char Char11 Char Char Char Char Char Char Char Char Char1"/>
    <w:basedOn w:val="1"/>
    <w:autoRedefine/>
    <w:qFormat/>
    <w:uiPriority w:val="6"/>
    <w:pPr>
      <w:spacing w:line="360" w:lineRule="auto"/>
    </w:pPr>
    <w:rPr>
      <w:szCs w:val="20"/>
    </w:rPr>
  </w:style>
  <w:style w:type="paragraph" w:customStyle="1" w:styleId="687">
    <w:name w:val="金宏发行正文 Char"/>
    <w:basedOn w:val="1"/>
    <w:autoRedefine/>
    <w:qFormat/>
    <w:uiPriority w:val="0"/>
    <w:pPr>
      <w:adjustRightInd/>
      <w:spacing w:line="500" w:lineRule="exact"/>
      <w:ind w:firstLine="560" w:firstLineChars="200"/>
    </w:pPr>
    <w:rPr>
      <w:rFonts w:eastAsia="仿宋_GB2312"/>
      <w:sz w:val="28"/>
      <w:szCs w:val="20"/>
    </w:rPr>
  </w:style>
  <w:style w:type="paragraph" w:customStyle="1" w:styleId="688">
    <w:name w:val="批注框文本1"/>
    <w:basedOn w:val="1"/>
    <w:autoRedefine/>
    <w:qFormat/>
    <w:uiPriority w:val="0"/>
    <w:pPr>
      <w:autoSpaceDE w:val="0"/>
      <w:autoSpaceDN w:val="0"/>
      <w:spacing w:line="351" w:lineRule="atLeast"/>
      <w:ind w:firstLine="419" w:firstLineChars="200"/>
    </w:pPr>
    <w:rPr>
      <w:color w:val="000000"/>
      <w:kern w:val="0"/>
      <w:sz w:val="18"/>
      <w:szCs w:val="18"/>
    </w:rPr>
  </w:style>
  <w:style w:type="paragraph" w:customStyle="1" w:styleId="689">
    <w:name w:val="body text bold"/>
    <w:basedOn w:val="25"/>
    <w:autoRedefine/>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0">
    <w:name w:val="部分1"/>
    <w:basedOn w:val="1"/>
    <w:autoRedefine/>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1">
    <w:name w:val="xl6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2">
    <w:name w:val="正文文字格式"/>
    <w:basedOn w:val="1"/>
    <w:autoRedefine/>
    <w:qFormat/>
    <w:uiPriority w:val="0"/>
    <w:pPr>
      <w:adjustRightInd/>
      <w:spacing w:line="460" w:lineRule="exact"/>
      <w:ind w:firstLine="505"/>
      <w:jc w:val="left"/>
    </w:pPr>
    <w:rPr>
      <w:rFonts w:ascii="宋体"/>
      <w:kern w:val="24"/>
      <w:sz w:val="24"/>
      <w:szCs w:val="20"/>
    </w:rPr>
  </w:style>
  <w:style w:type="paragraph" w:customStyle="1" w:styleId="693">
    <w:name w:val="xl3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4">
    <w:name w:val="xl40"/>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5">
    <w:name w:val="style25"/>
    <w:basedOn w:val="1"/>
    <w:autoRedefine/>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6">
    <w:name w:val="单元格居中"/>
    <w:basedOn w:val="1"/>
    <w:autoRedefine/>
    <w:qFormat/>
    <w:uiPriority w:val="0"/>
    <w:pPr>
      <w:adjustRightInd/>
      <w:spacing w:line="360" w:lineRule="auto"/>
      <w:jc w:val="center"/>
    </w:pPr>
    <w:rPr>
      <w:sz w:val="24"/>
    </w:rPr>
  </w:style>
  <w:style w:type="paragraph" w:customStyle="1" w:styleId="697">
    <w:name w:val="正文3"/>
    <w:basedOn w:val="1"/>
    <w:autoRedefine/>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698">
    <w:name w:val="Char Char Char Char Char Char Char1"/>
    <w:basedOn w:val="1"/>
    <w:autoRedefine/>
    <w:qFormat/>
    <w:uiPriority w:val="6"/>
    <w:rPr>
      <w:rFonts w:ascii="仿宋_GB2312" w:eastAsia="仿宋_GB2312"/>
      <w:b/>
      <w:sz w:val="32"/>
      <w:szCs w:val="32"/>
    </w:rPr>
  </w:style>
  <w:style w:type="paragraph" w:customStyle="1" w:styleId="699">
    <w:name w:val="正文缩进1"/>
    <w:basedOn w:val="1"/>
    <w:next w:val="27"/>
    <w:autoRedefine/>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0">
    <w:name w:val="Ñù"/>
    <w:autoRedefine/>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1">
    <w:name w:val="Char3 Char Char Char11"/>
    <w:basedOn w:val="1"/>
    <w:autoRedefine/>
    <w:qFormat/>
    <w:uiPriority w:val="0"/>
    <w:pPr>
      <w:widowControl/>
      <w:adjustRightInd/>
      <w:spacing w:after="160" w:line="240" w:lineRule="exact"/>
      <w:jc w:val="left"/>
    </w:pPr>
    <w:rPr>
      <w:szCs w:val="20"/>
    </w:rPr>
  </w:style>
  <w:style w:type="paragraph" w:customStyle="1" w:styleId="702">
    <w:name w:val="Char Char1121"/>
    <w:basedOn w:val="1"/>
    <w:autoRedefine/>
    <w:qFormat/>
    <w:uiPriority w:val="0"/>
    <w:pPr>
      <w:spacing w:line="360" w:lineRule="auto"/>
    </w:pPr>
    <w:rPr>
      <w:szCs w:val="20"/>
    </w:rPr>
  </w:style>
  <w:style w:type="paragraph" w:customStyle="1" w:styleId="703">
    <w:name w:val="小项目标题"/>
    <w:basedOn w:val="1"/>
    <w:autoRedefine/>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4">
    <w:name w:val="gjt_4"/>
    <w:next w:val="1"/>
    <w:autoRedefine/>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5">
    <w:name w:val="Normal0"/>
    <w:autoRedefine/>
    <w:qFormat/>
    <w:uiPriority w:val="0"/>
    <w:rPr>
      <w:rFonts w:ascii="Times New Roman" w:hAnsi="Times New Roman" w:eastAsia="宋体" w:cs="Times New Roman"/>
      <w:lang w:val="en-US" w:eastAsia="en-US" w:bidi="ar-SA"/>
    </w:rPr>
  </w:style>
  <w:style w:type="paragraph" w:customStyle="1" w:styleId="706">
    <w:name w:val="带编号样式"/>
    <w:basedOn w:val="624"/>
    <w:autoRedefine/>
    <w:qFormat/>
    <w:uiPriority w:val="0"/>
    <w:pPr>
      <w:tabs>
        <w:tab w:val="left" w:pos="840"/>
      </w:tabs>
      <w:snapToGrid w:val="0"/>
      <w:ind w:left="840" w:hanging="420" w:firstLineChars="0"/>
    </w:pPr>
    <w:rPr>
      <w:rFonts w:ascii="仿宋_GB2312" w:eastAsia="仿宋_GB2312"/>
      <w:color w:val="000000"/>
    </w:rPr>
  </w:style>
  <w:style w:type="paragraph" w:customStyle="1" w:styleId="707">
    <w:name w:val="msonormal"/>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08">
    <w:name w:val="方形箭头"/>
    <w:basedOn w:val="1"/>
    <w:autoRedefine/>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09">
    <w:name w:val="封面"/>
    <w:basedOn w:val="1"/>
    <w:autoRedefine/>
    <w:qFormat/>
    <w:uiPriority w:val="0"/>
    <w:pPr>
      <w:spacing w:line="360" w:lineRule="atLeast"/>
      <w:jc w:val="right"/>
      <w:textAlignment w:val="baseline"/>
    </w:pPr>
    <w:rPr>
      <w:rFonts w:ascii="Symbol" w:hAnsi="Symbol"/>
      <w:kern w:val="0"/>
      <w:szCs w:val="20"/>
    </w:rPr>
  </w:style>
  <w:style w:type="paragraph" w:customStyle="1" w:styleId="710">
    <w:name w:val="__正文"/>
    <w:autoRedefine/>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1">
    <w:name w:val="font5"/>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2">
    <w:name w:val="默认段落字体 Para Char Char Char1 Char"/>
    <w:basedOn w:val="1"/>
    <w:autoRedefine/>
    <w:qFormat/>
    <w:uiPriority w:val="0"/>
    <w:pPr>
      <w:spacing w:line="240" w:lineRule="atLeast"/>
      <w:ind w:left="420" w:firstLine="420"/>
    </w:pPr>
    <w:rPr>
      <w:sz w:val="24"/>
    </w:rPr>
  </w:style>
  <w:style w:type="paragraph" w:customStyle="1" w:styleId="713">
    <w:name w:val="WW-正文文字缩进 2"/>
    <w:basedOn w:val="1"/>
    <w:autoRedefine/>
    <w:qFormat/>
    <w:uiPriority w:val="0"/>
    <w:pPr>
      <w:suppressAutoHyphens/>
      <w:adjustRightInd/>
      <w:ind w:firstLine="420"/>
    </w:pPr>
    <w:rPr>
      <w:kern w:val="1"/>
      <w:szCs w:val="20"/>
    </w:rPr>
  </w:style>
  <w:style w:type="paragraph" w:customStyle="1" w:styleId="714">
    <w:name w:val="xl41"/>
    <w:basedOn w:val="1"/>
    <w:autoRedefine/>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5">
    <w:name w:val="样式 标题 2 + 四号"/>
    <w:basedOn w:val="5"/>
    <w:autoRedefine/>
    <w:qFormat/>
    <w:uiPriority w:val="0"/>
    <w:pPr>
      <w:spacing w:before="120" w:after="120"/>
      <w:ind w:left="0" w:firstLine="0"/>
      <w:jc w:val="both"/>
    </w:pPr>
    <w:rPr>
      <w:rFonts w:ascii="宋体" w:hAnsi="Arial" w:eastAsia="宋体"/>
      <w:sz w:val="28"/>
      <w:lang w:val="en-US"/>
    </w:rPr>
  </w:style>
  <w:style w:type="paragraph" w:customStyle="1" w:styleId="716">
    <w:name w:val="有符号正文"/>
    <w:basedOn w:val="1"/>
    <w:autoRedefine/>
    <w:qFormat/>
    <w:uiPriority w:val="0"/>
    <w:pPr>
      <w:adjustRightInd/>
      <w:spacing w:line="400" w:lineRule="exact"/>
      <w:ind w:firstLine="200" w:firstLineChars="200"/>
    </w:pPr>
    <w:rPr>
      <w:rFonts w:ascii="Arial" w:hAnsi="Arial"/>
    </w:rPr>
  </w:style>
  <w:style w:type="paragraph" w:customStyle="1" w:styleId="717">
    <w:name w:val="font10"/>
    <w:basedOn w:val="1"/>
    <w:autoRedefine/>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18">
    <w:name w:val="样式 样式 正文文本缩进 + 仿宋_GB2312 小四 首行缩进:  0 厘米 行距: 1.5 倍行距 + (中文) 仿宋_GB... Char Char"/>
    <w:basedOn w:val="1"/>
    <w:autoRedefine/>
    <w:qFormat/>
    <w:uiPriority w:val="0"/>
    <w:pPr>
      <w:spacing w:line="360" w:lineRule="auto"/>
      <w:ind w:firstLine="480" w:firstLineChars="200"/>
    </w:pPr>
    <w:rPr>
      <w:rFonts w:ascii="仿宋_GB2312" w:eastAsia="新宋体"/>
      <w:sz w:val="24"/>
      <w:szCs w:val="20"/>
    </w:rPr>
  </w:style>
  <w:style w:type="paragraph" w:customStyle="1" w:styleId="719">
    <w:name w:val="4"/>
    <w:basedOn w:val="1"/>
    <w:next w:val="38"/>
    <w:autoRedefine/>
    <w:qFormat/>
    <w:uiPriority w:val="0"/>
    <w:pPr>
      <w:spacing w:after="120" w:line="480" w:lineRule="auto"/>
      <w:ind w:left="420" w:leftChars="200"/>
    </w:pPr>
    <w:rPr>
      <w:sz w:val="24"/>
      <w:szCs w:val="20"/>
    </w:rPr>
  </w:style>
  <w:style w:type="paragraph" w:customStyle="1" w:styleId="720">
    <w:name w:val="tableheading"/>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1">
    <w:name w:val="样式1"/>
    <w:basedOn w:val="1"/>
    <w:autoRedefine/>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2">
    <w:name w:val="样式 标题 3H3 + 两端对齐"/>
    <w:basedOn w:val="6"/>
    <w:autoRedefine/>
    <w:qFormat/>
    <w:uiPriority w:val="0"/>
    <w:pPr>
      <w:keepLines w:val="0"/>
      <w:spacing w:before="0" w:after="0" w:line="240" w:lineRule="auto"/>
      <w:jc w:val="left"/>
    </w:pPr>
    <w:rPr>
      <w:rFonts w:cs="宋体"/>
      <w:sz w:val="21"/>
      <w:szCs w:val="20"/>
    </w:rPr>
  </w:style>
  <w:style w:type="paragraph" w:customStyle="1" w:styleId="723">
    <w:name w:val="样式 仿宋_GB2312 小三 左侧:  1.06 厘米"/>
    <w:basedOn w:val="1"/>
    <w:autoRedefine/>
    <w:qFormat/>
    <w:uiPriority w:val="0"/>
    <w:pPr>
      <w:spacing w:line="360" w:lineRule="auto"/>
      <w:ind w:left="601"/>
    </w:pPr>
    <w:rPr>
      <w:rFonts w:ascii="仿宋_GB2312" w:eastAsia="仿宋_GB2312"/>
      <w:sz w:val="24"/>
      <w:szCs w:val="20"/>
    </w:rPr>
  </w:style>
  <w:style w:type="paragraph" w:customStyle="1" w:styleId="724">
    <w:name w:val="小标题"/>
    <w:basedOn w:val="1"/>
    <w:autoRedefine/>
    <w:qFormat/>
    <w:uiPriority w:val="0"/>
    <w:pPr>
      <w:spacing w:before="120" w:line="360" w:lineRule="atLeast"/>
      <w:ind w:left="1134"/>
      <w:jc w:val="left"/>
      <w:textAlignment w:val="baseline"/>
    </w:pPr>
    <w:rPr>
      <w:rFonts w:eastAsia="黑体"/>
      <w:kern w:val="0"/>
      <w:szCs w:val="20"/>
    </w:rPr>
  </w:style>
  <w:style w:type="paragraph" w:customStyle="1" w:styleId="725">
    <w:name w:val="节标题"/>
    <w:basedOn w:val="1"/>
    <w:autoRedefine/>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6">
    <w:name w:val="表格 表头"/>
    <w:basedOn w:val="1"/>
    <w:autoRedefine/>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27">
    <w:name w:val="xl7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28">
    <w:name w:val="Char Char1 Char Char Char"/>
    <w:basedOn w:val="1"/>
    <w:autoRedefine/>
    <w:qFormat/>
    <w:uiPriority w:val="0"/>
    <w:rPr>
      <w:rFonts w:ascii="仿宋_GB2312" w:eastAsia="仿宋_GB2312"/>
      <w:b/>
      <w:sz w:val="32"/>
      <w:szCs w:val="20"/>
    </w:rPr>
  </w:style>
  <w:style w:type="paragraph" w:customStyle="1" w:styleId="729">
    <w:name w:val="表格题注"/>
    <w:next w:val="1"/>
    <w:autoRedefine/>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0">
    <w:name w:val="Char Char11 Char Char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731">
    <w:name w:val="Picture"/>
    <w:basedOn w:val="1"/>
    <w:next w:val="18"/>
    <w:autoRedefine/>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2">
    <w:name w:val="Char Char1 Char Char Char2"/>
    <w:basedOn w:val="1"/>
    <w:autoRedefine/>
    <w:qFormat/>
    <w:uiPriority w:val="0"/>
    <w:rPr>
      <w:rFonts w:ascii="仿宋_GB2312" w:eastAsia="仿宋_GB2312"/>
      <w:b/>
      <w:sz w:val="32"/>
      <w:szCs w:val="32"/>
    </w:rPr>
  </w:style>
  <w:style w:type="paragraph" w:customStyle="1" w:styleId="733">
    <w:name w:val="Char3 Char Char Char1"/>
    <w:basedOn w:val="1"/>
    <w:autoRedefine/>
    <w:qFormat/>
    <w:uiPriority w:val="6"/>
    <w:pPr>
      <w:widowControl/>
      <w:adjustRightInd/>
      <w:spacing w:after="160" w:line="240" w:lineRule="exact"/>
      <w:jc w:val="left"/>
    </w:pPr>
    <w:rPr>
      <w:szCs w:val="20"/>
    </w:rPr>
  </w:style>
  <w:style w:type="paragraph" w:customStyle="1" w:styleId="734">
    <w:name w:val="Char1 Char Char Char21"/>
    <w:basedOn w:val="1"/>
    <w:autoRedefine/>
    <w:qFormat/>
    <w:uiPriority w:val="0"/>
    <w:rPr>
      <w:rFonts w:ascii="Tahoma" w:hAnsi="Tahoma"/>
      <w:sz w:val="24"/>
      <w:szCs w:val="20"/>
    </w:rPr>
  </w:style>
  <w:style w:type="paragraph" w:customStyle="1" w:styleId="735">
    <w:name w:val="Char3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736">
    <w:name w:val="正文（标题三）"/>
    <w:basedOn w:val="1"/>
    <w:autoRedefine/>
    <w:qFormat/>
    <w:uiPriority w:val="0"/>
    <w:pPr>
      <w:spacing w:line="360" w:lineRule="auto"/>
      <w:ind w:firstLine="200" w:firstLineChars="200"/>
    </w:pPr>
    <w:rPr>
      <w:sz w:val="24"/>
    </w:rPr>
  </w:style>
  <w:style w:type="paragraph" w:customStyle="1" w:styleId="737">
    <w:name w:val="样式 正1 + 首行缩进:  2 字符"/>
    <w:basedOn w:val="1"/>
    <w:autoRedefine/>
    <w:qFormat/>
    <w:uiPriority w:val="0"/>
    <w:pPr>
      <w:adjustRightInd/>
      <w:spacing w:line="360" w:lineRule="auto"/>
      <w:ind w:firstLine="480" w:firstLineChars="200"/>
    </w:pPr>
    <w:rPr>
      <w:rFonts w:ascii="仿宋_GB2312" w:eastAsia="仿宋_GB2312"/>
      <w:sz w:val="24"/>
    </w:rPr>
  </w:style>
  <w:style w:type="paragraph" w:customStyle="1" w:styleId="738">
    <w:name w:val="xl66"/>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39">
    <w:name w:val="样式 样式 宋体 小四 段前: 7.8 磅 段后: 7.8 磅 行距: 1.5 倍行距 + 小二 首行缩进:  2 字符"/>
    <w:basedOn w:val="1"/>
    <w:autoRedefine/>
    <w:qFormat/>
    <w:uiPriority w:val="0"/>
    <w:pPr>
      <w:adjustRightInd/>
      <w:spacing w:line="360" w:lineRule="auto"/>
      <w:ind w:firstLine="480" w:firstLineChars="200"/>
    </w:pPr>
    <w:rPr>
      <w:rFonts w:ascii="宋体" w:hAnsi="宋体" w:cs="宋体"/>
      <w:sz w:val="24"/>
      <w:szCs w:val="20"/>
    </w:rPr>
  </w:style>
  <w:style w:type="paragraph" w:customStyle="1" w:styleId="740">
    <w:name w:val="Default Text"/>
    <w:basedOn w:val="1"/>
    <w:autoRedefine/>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1">
    <w:name w:val="小节标题"/>
    <w:basedOn w:val="1"/>
    <w:autoRedefine/>
    <w:qFormat/>
    <w:uiPriority w:val="0"/>
    <w:pPr>
      <w:autoSpaceDE w:val="0"/>
      <w:autoSpaceDN w:val="0"/>
      <w:spacing w:before="175" w:after="102" w:line="351" w:lineRule="atLeast"/>
      <w:ind w:firstLine="200" w:firstLineChars="200"/>
    </w:pPr>
    <w:rPr>
      <w:color w:val="000000"/>
      <w:kern w:val="0"/>
      <w:szCs w:val="21"/>
    </w:rPr>
  </w:style>
  <w:style w:type="paragraph" w:customStyle="1" w:styleId="742">
    <w:name w:val="Char1 Char Char Char4"/>
    <w:basedOn w:val="1"/>
    <w:autoRedefine/>
    <w:qFormat/>
    <w:uiPriority w:val="0"/>
    <w:pPr>
      <w:adjustRightInd/>
      <w:ind w:firstLine="200" w:firstLineChars="200"/>
    </w:pPr>
    <w:rPr>
      <w:rFonts w:ascii="Tahoma" w:hAnsi="Tahoma"/>
      <w:sz w:val="24"/>
      <w:szCs w:val="20"/>
    </w:rPr>
  </w:style>
  <w:style w:type="paragraph" w:customStyle="1" w:styleId="743">
    <w:name w:val="_标题2"/>
    <w:basedOn w:val="710"/>
    <w:next w:val="710"/>
    <w:autoRedefine/>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4">
    <w:name w:val="样式1 + (中宋体"/>
    <w:basedOn w:val="721"/>
    <w:autoRedefine/>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5">
    <w:name w:val="xl7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6">
    <w:name w:val="La0b"/>
    <w:basedOn w:val="1"/>
    <w:autoRedefine/>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47">
    <w:name w:val="正文 主体"/>
    <w:basedOn w:val="1"/>
    <w:autoRedefine/>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48">
    <w:name w:val="四号　首行缩进"/>
    <w:basedOn w:val="1"/>
    <w:autoRedefine/>
    <w:qFormat/>
    <w:uiPriority w:val="0"/>
    <w:pPr>
      <w:adjustRightInd/>
      <w:spacing w:line="360" w:lineRule="auto"/>
    </w:pPr>
    <w:rPr>
      <w:rFonts w:ascii="宋体" w:hAnsi="宋体"/>
      <w:szCs w:val="20"/>
    </w:rPr>
  </w:style>
  <w:style w:type="paragraph" w:customStyle="1" w:styleId="749">
    <w:name w:val="深色列表 - 强调文字颜色 51"/>
    <w:basedOn w:val="1"/>
    <w:autoRedefine/>
    <w:qFormat/>
    <w:uiPriority w:val="0"/>
    <w:pPr>
      <w:adjustRightInd/>
      <w:spacing w:line="360" w:lineRule="auto"/>
      <w:ind w:firstLine="200" w:firstLineChars="200"/>
    </w:pPr>
    <w:rPr>
      <w:rFonts w:eastAsia="楷体_GB2312" w:cs="Lucida Sans"/>
      <w:sz w:val="24"/>
    </w:rPr>
  </w:style>
  <w:style w:type="paragraph" w:customStyle="1" w:styleId="750">
    <w:name w:val="Char Char Char Char Char Char Char Char Char Char Char1 Char"/>
    <w:basedOn w:val="1"/>
    <w:autoRedefine/>
    <w:qFormat/>
    <w:uiPriority w:val="0"/>
    <w:pPr>
      <w:adjustRightInd/>
    </w:pPr>
    <w:rPr>
      <w:rFonts w:ascii="Tahoma" w:hAnsi="Tahoma"/>
      <w:sz w:val="24"/>
    </w:rPr>
  </w:style>
  <w:style w:type="paragraph" w:customStyle="1" w:styleId="751">
    <w:name w:val="Char Char Char Char11"/>
    <w:basedOn w:val="1"/>
    <w:autoRedefine/>
    <w:qFormat/>
    <w:uiPriority w:val="0"/>
    <w:rPr>
      <w:rFonts w:ascii="Tahoma" w:hAnsi="Tahoma"/>
      <w:sz w:val="24"/>
      <w:szCs w:val="20"/>
    </w:rPr>
  </w:style>
  <w:style w:type="paragraph" w:customStyle="1" w:styleId="752">
    <w:name w:val="封面文档标题"/>
    <w:basedOn w:val="1"/>
    <w:autoRedefine/>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3">
    <w:name w:val="Char Char Char Char"/>
    <w:basedOn w:val="1"/>
    <w:autoRedefine/>
    <w:qFormat/>
    <w:uiPriority w:val="0"/>
    <w:rPr>
      <w:rFonts w:ascii="Tahoma" w:hAnsi="Tahoma"/>
      <w:sz w:val="24"/>
      <w:szCs w:val="20"/>
    </w:rPr>
  </w:style>
  <w:style w:type="paragraph" w:customStyle="1" w:styleId="754">
    <w:name w:val="标1"/>
    <w:basedOn w:val="1"/>
    <w:autoRedefine/>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5">
    <w:name w:val="Char19"/>
    <w:basedOn w:val="1"/>
    <w:autoRedefine/>
    <w:qFormat/>
    <w:uiPriority w:val="0"/>
    <w:pPr>
      <w:adjustRightInd/>
    </w:pPr>
    <w:rPr>
      <w:szCs w:val="20"/>
    </w:rPr>
  </w:style>
  <w:style w:type="paragraph" w:customStyle="1" w:styleId="756">
    <w:name w:val="标书正文格式"/>
    <w:autoRedefine/>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57">
    <w:name w:val="样式8"/>
    <w:basedOn w:val="1"/>
    <w:autoRedefine/>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58">
    <w:name w:val="_Style 5"/>
    <w:basedOn w:val="1"/>
    <w:autoRedefine/>
    <w:qFormat/>
    <w:uiPriority w:val="34"/>
    <w:pPr>
      <w:adjustRightInd/>
      <w:ind w:firstLine="420" w:firstLineChars="200"/>
    </w:pPr>
    <w:rPr>
      <w:rFonts w:eastAsia="仿宋_GB2312"/>
      <w:sz w:val="28"/>
    </w:rPr>
  </w:style>
  <w:style w:type="paragraph" w:customStyle="1" w:styleId="759">
    <w:name w:val="正文文字缩进"/>
    <w:basedOn w:val="1"/>
    <w:autoRedefine/>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0">
    <w:name w:val="列出段落*"/>
    <w:basedOn w:val="1"/>
    <w:autoRedefine/>
    <w:qFormat/>
    <w:uiPriority w:val="0"/>
    <w:pPr>
      <w:adjustRightInd/>
      <w:spacing w:line="360" w:lineRule="auto"/>
      <w:ind w:firstLine="200"/>
    </w:pPr>
    <w:rPr>
      <w:rFonts w:eastAsia="楷体_GB2312" w:cs="Lucida Sans Unicode"/>
      <w:color w:val="000000"/>
      <w:kern w:val="1"/>
      <w:sz w:val="24"/>
    </w:rPr>
  </w:style>
  <w:style w:type="paragraph" w:customStyle="1" w:styleId="761">
    <w:name w:val="文章总标题"/>
    <w:basedOn w:val="1"/>
    <w:autoRedefine/>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2">
    <w:name w:val="标书表格字体格式"/>
    <w:next w:val="756"/>
    <w:autoRedefine/>
    <w:qFormat/>
    <w:uiPriority w:val="0"/>
    <w:rPr>
      <w:rFonts w:ascii="Times New Roman" w:hAnsi="Times New Roman" w:eastAsia="宋体" w:cs="Times New Roman"/>
      <w:kern w:val="2"/>
      <w:sz w:val="21"/>
      <w:szCs w:val="24"/>
      <w:lang w:val="en-US" w:eastAsia="zh-CN" w:bidi="ar-SA"/>
    </w:rPr>
  </w:style>
  <w:style w:type="paragraph" w:customStyle="1" w:styleId="763">
    <w:name w:val="Char22"/>
    <w:basedOn w:val="1"/>
    <w:autoRedefine/>
    <w:qFormat/>
    <w:uiPriority w:val="0"/>
    <w:pPr>
      <w:adjustRightInd/>
      <w:spacing w:line="360" w:lineRule="auto"/>
      <w:ind w:firstLine="480" w:firstLineChars="200"/>
    </w:pPr>
    <w:rPr>
      <w:rFonts w:ascii="仿宋_GB2312" w:eastAsia="仿宋_GB2312"/>
      <w:b/>
      <w:sz w:val="32"/>
      <w:szCs w:val="32"/>
    </w:rPr>
  </w:style>
  <w:style w:type="paragraph" w:customStyle="1" w:styleId="764">
    <w:name w:val="Char12"/>
    <w:basedOn w:val="1"/>
    <w:autoRedefine/>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5">
    <w:name w:val="修订3"/>
    <w:autoRedefine/>
    <w:qFormat/>
    <w:uiPriority w:val="0"/>
    <w:rPr>
      <w:rFonts w:ascii="Times New Roman" w:hAnsi="Times New Roman" w:eastAsia="宋体" w:cs="Times New Roman"/>
      <w:kern w:val="2"/>
      <w:sz w:val="21"/>
      <w:lang w:val="en-US" w:eastAsia="zh-CN" w:bidi="ar-SA"/>
    </w:rPr>
  </w:style>
  <w:style w:type="paragraph" w:customStyle="1" w:styleId="766">
    <w:name w:val="CSS1级正文 Char"/>
    <w:basedOn w:val="25"/>
    <w:autoRedefine/>
    <w:qFormat/>
    <w:uiPriority w:val="0"/>
    <w:pPr>
      <w:autoSpaceDE/>
      <w:autoSpaceDN/>
      <w:snapToGrid w:val="0"/>
      <w:ind w:firstLine="480" w:firstLineChars="200"/>
    </w:pPr>
    <w:rPr>
      <w:rFonts w:ascii="Times New Roman"/>
      <w:szCs w:val="24"/>
      <w:lang w:val="en-US"/>
    </w:rPr>
  </w:style>
  <w:style w:type="paragraph" w:customStyle="1" w:styleId="767">
    <w:name w:val="无间隔2"/>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68">
    <w:name w:val="表文字"/>
    <w:autoRedefine/>
    <w:qFormat/>
    <w:uiPriority w:val="0"/>
    <w:rPr>
      <w:rFonts w:ascii="宋体" w:hAnsi="Times New Roman" w:eastAsia="宋体" w:cs="Times New Roman"/>
      <w:kern w:val="2"/>
      <w:lang w:val="en-US" w:eastAsia="zh-CN" w:bidi="ar-SA"/>
    </w:rPr>
  </w:style>
  <w:style w:type="paragraph" w:customStyle="1" w:styleId="769">
    <w:name w:val="MM Title"/>
    <w:basedOn w:val="60"/>
    <w:autoRedefine/>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0">
    <w:name w:val="缺省文本"/>
    <w:basedOn w:val="1"/>
    <w:autoRedefine/>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1">
    <w:name w:val="Char Char Char Char Char Char1 Char1"/>
    <w:basedOn w:val="1"/>
    <w:autoRedefine/>
    <w:qFormat/>
    <w:uiPriority w:val="0"/>
    <w:pPr>
      <w:widowControl/>
      <w:spacing w:after="160" w:line="240" w:lineRule="exact"/>
      <w:jc w:val="left"/>
    </w:pPr>
    <w:rPr>
      <w:rFonts w:ascii="Verdana" w:hAnsi="Verdana"/>
      <w:kern w:val="0"/>
      <w:szCs w:val="20"/>
      <w:lang w:eastAsia="en-US"/>
    </w:rPr>
  </w:style>
  <w:style w:type="paragraph" w:customStyle="1" w:styleId="772">
    <w:name w:val="Char Char Char Char Char Char Char Char2"/>
    <w:basedOn w:val="1"/>
    <w:autoRedefine/>
    <w:qFormat/>
    <w:uiPriority w:val="0"/>
    <w:pPr>
      <w:tabs>
        <w:tab w:val="left" w:pos="360"/>
      </w:tabs>
    </w:pPr>
    <w:rPr>
      <w:sz w:val="24"/>
      <w:szCs w:val="20"/>
    </w:rPr>
  </w:style>
  <w:style w:type="paragraph" w:customStyle="1" w:styleId="773">
    <w:name w:val="表内文字"/>
    <w:basedOn w:val="1"/>
    <w:autoRedefine/>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4">
    <w:name w:val="正文文本 2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775">
    <w:name w:val="中文标题 3"/>
    <w:basedOn w:val="27"/>
    <w:autoRedefine/>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6">
    <w:name w:val="bt_content"/>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77">
    <w:name w:val="标准书眉_奇数页"/>
    <w:next w:val="1"/>
    <w:autoRedefine/>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78">
    <w:name w:val="正文－恩普"/>
    <w:basedOn w:val="7"/>
    <w:autoRedefine/>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79">
    <w:name w:val="Char Char11 Char Char Char Char Char Char Char Char Char Char Char Char Char12"/>
    <w:basedOn w:val="1"/>
    <w:autoRedefine/>
    <w:qFormat/>
    <w:uiPriority w:val="0"/>
    <w:pPr>
      <w:adjustRightInd/>
      <w:spacing w:line="360" w:lineRule="auto"/>
    </w:pPr>
    <w:rPr>
      <w:rFonts w:ascii="Arial" w:hAnsi="Arial" w:eastAsia="黑体" w:cs="Arial"/>
      <w:snapToGrid w:val="0"/>
      <w:kern w:val="0"/>
      <w:szCs w:val="21"/>
    </w:rPr>
  </w:style>
  <w:style w:type="paragraph" w:customStyle="1" w:styleId="780">
    <w:name w:val="Char4"/>
    <w:basedOn w:val="1"/>
    <w:autoRedefine/>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1">
    <w:name w:val="p0"/>
    <w:basedOn w:val="1"/>
    <w:autoRedefine/>
    <w:qFormat/>
    <w:uiPriority w:val="0"/>
    <w:pPr>
      <w:widowControl/>
      <w:adjustRightInd/>
    </w:pPr>
    <w:rPr>
      <w:kern w:val="0"/>
      <w:szCs w:val="21"/>
    </w:rPr>
  </w:style>
  <w:style w:type="paragraph" w:customStyle="1" w:styleId="782">
    <w:name w:val="Char6"/>
    <w:basedOn w:val="1"/>
    <w:autoRedefine/>
    <w:qFormat/>
    <w:uiPriority w:val="0"/>
    <w:rPr>
      <w:rFonts w:ascii="仿宋_GB2312" w:eastAsia="仿宋_GB2312"/>
      <w:b/>
      <w:sz w:val="32"/>
      <w:szCs w:val="32"/>
    </w:rPr>
  </w:style>
  <w:style w:type="paragraph" w:customStyle="1" w:styleId="783">
    <w:name w:val="Char111"/>
    <w:basedOn w:val="1"/>
    <w:autoRedefine/>
    <w:qFormat/>
    <w:uiPriority w:val="0"/>
    <w:rPr>
      <w:rFonts w:ascii="仿宋_GB2312" w:eastAsia="仿宋_GB2312"/>
      <w:b/>
      <w:sz w:val="32"/>
      <w:szCs w:val="32"/>
    </w:rPr>
  </w:style>
  <w:style w:type="paragraph" w:customStyle="1" w:styleId="784">
    <w:name w:val="标题3"/>
    <w:basedOn w:val="6"/>
    <w:next w:val="54"/>
    <w:autoRedefine/>
    <w:qFormat/>
    <w:uiPriority w:val="0"/>
    <w:pPr>
      <w:tabs>
        <w:tab w:val="clear" w:pos="900"/>
      </w:tabs>
      <w:spacing w:after="0" w:line="360" w:lineRule="auto"/>
    </w:pPr>
    <w:rPr>
      <w:rFonts w:ascii="仿宋" w:hAnsi="仿宋" w:eastAsia="仿宋" w:cs="仿宋"/>
    </w:rPr>
  </w:style>
  <w:style w:type="paragraph" w:customStyle="1" w:styleId="785">
    <w:name w:val="xl23"/>
    <w:basedOn w:val="1"/>
    <w:autoRedefine/>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6">
    <w:name w:val="Char Char Char1"/>
    <w:basedOn w:val="1"/>
    <w:autoRedefine/>
    <w:qFormat/>
    <w:uiPriority w:val="6"/>
    <w:pPr>
      <w:widowControl/>
      <w:spacing w:after="160" w:line="240" w:lineRule="exact"/>
      <w:jc w:val="left"/>
    </w:pPr>
    <w:rPr>
      <w:rFonts w:ascii="Verdana" w:hAnsi="Verdana"/>
      <w:kern w:val="0"/>
      <w:sz w:val="20"/>
      <w:szCs w:val="20"/>
      <w:lang w:eastAsia="en-US"/>
    </w:rPr>
  </w:style>
  <w:style w:type="paragraph" w:customStyle="1" w:styleId="787">
    <w:name w:val="Char1 Char Char Char2"/>
    <w:basedOn w:val="1"/>
    <w:autoRedefine/>
    <w:qFormat/>
    <w:uiPriority w:val="0"/>
    <w:pPr>
      <w:adjustRightInd/>
      <w:ind w:firstLine="200" w:firstLineChars="200"/>
    </w:pPr>
    <w:rPr>
      <w:rFonts w:ascii="Tahoma" w:hAnsi="Tahoma"/>
      <w:sz w:val="24"/>
      <w:szCs w:val="20"/>
    </w:rPr>
  </w:style>
  <w:style w:type="paragraph" w:customStyle="1" w:styleId="788">
    <w:name w:val="列出段落1"/>
    <w:basedOn w:val="1"/>
    <w:autoRedefine/>
    <w:qFormat/>
    <w:uiPriority w:val="0"/>
    <w:pPr>
      <w:adjustRightInd/>
      <w:spacing w:line="360" w:lineRule="auto"/>
      <w:ind w:firstLine="420" w:firstLineChars="200"/>
    </w:pPr>
    <w:rPr>
      <w:rFonts w:ascii="Calibri" w:hAnsi="Calibri"/>
      <w:sz w:val="24"/>
      <w:szCs w:val="22"/>
    </w:rPr>
  </w:style>
  <w:style w:type="paragraph" w:customStyle="1" w:styleId="789">
    <w:name w:val="样式 标题 1 + 黑色 段前: 0.5 行 段后: 0.5 行1"/>
    <w:basedOn w:val="4"/>
    <w:autoRedefine/>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0">
    <w:name w:val="Char Char Char Char Char Char Char2"/>
    <w:basedOn w:val="1"/>
    <w:autoRedefine/>
    <w:qFormat/>
    <w:uiPriority w:val="0"/>
    <w:rPr>
      <w:rFonts w:ascii="仿宋_GB2312" w:eastAsia="仿宋_GB2312"/>
      <w:b/>
      <w:sz w:val="32"/>
      <w:szCs w:val="32"/>
    </w:rPr>
  </w:style>
  <w:style w:type="paragraph" w:customStyle="1" w:styleId="791">
    <w:name w:val="五级条标题"/>
    <w:basedOn w:val="792"/>
    <w:next w:val="637"/>
    <w:autoRedefine/>
    <w:qFormat/>
    <w:uiPriority w:val="0"/>
    <w:pPr>
      <w:tabs>
        <w:tab w:val="left" w:pos="1260"/>
        <w:tab w:val="left" w:pos="1680"/>
        <w:tab w:val="left" w:pos="2100"/>
        <w:tab w:val="left" w:pos="2940"/>
        <w:tab w:val="left" w:pos="3360"/>
      </w:tabs>
      <w:ind w:left="3360"/>
      <w:outlineLvl w:val="6"/>
    </w:pPr>
  </w:style>
  <w:style w:type="paragraph" w:customStyle="1" w:styleId="792">
    <w:name w:val="四级条标题"/>
    <w:basedOn w:val="652"/>
    <w:next w:val="637"/>
    <w:autoRedefine/>
    <w:qFormat/>
    <w:uiPriority w:val="0"/>
    <w:pPr>
      <w:tabs>
        <w:tab w:val="left" w:pos="2940"/>
        <w:tab w:val="clear" w:pos="2520"/>
      </w:tabs>
      <w:ind w:left="2940"/>
      <w:outlineLvl w:val="5"/>
    </w:pPr>
  </w:style>
  <w:style w:type="paragraph" w:customStyle="1" w:styleId="793">
    <w:name w:val="目录3"/>
    <w:basedOn w:val="1"/>
    <w:autoRedefine/>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4">
    <w:name w:val="Char23"/>
    <w:basedOn w:val="1"/>
    <w:autoRedefine/>
    <w:qFormat/>
    <w:uiPriority w:val="0"/>
    <w:rPr>
      <w:rFonts w:ascii="仿宋_GB2312" w:eastAsia="仿宋_GB2312"/>
      <w:b/>
      <w:sz w:val="32"/>
      <w:szCs w:val="32"/>
    </w:rPr>
  </w:style>
  <w:style w:type="paragraph" w:customStyle="1" w:styleId="795">
    <w:name w:val="style3"/>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6">
    <w:name w:val="列出段落3"/>
    <w:basedOn w:val="1"/>
    <w:autoRedefine/>
    <w:qFormat/>
    <w:uiPriority w:val="34"/>
    <w:pPr>
      <w:adjustRightInd/>
      <w:spacing w:line="360" w:lineRule="auto"/>
      <w:ind w:firstLine="420" w:firstLineChars="200"/>
    </w:pPr>
    <w:rPr>
      <w:rFonts w:ascii="Calibri" w:hAnsi="Calibri"/>
      <w:sz w:val="24"/>
      <w:szCs w:val="22"/>
    </w:rPr>
  </w:style>
  <w:style w:type="paragraph" w:customStyle="1" w:styleId="797">
    <w:name w:val="首行缩进"/>
    <w:basedOn w:val="1"/>
    <w:autoRedefine/>
    <w:qFormat/>
    <w:uiPriority w:val="0"/>
    <w:pPr>
      <w:spacing w:line="360" w:lineRule="auto"/>
      <w:ind w:firstLine="480" w:firstLineChars="200"/>
    </w:pPr>
    <w:rPr>
      <w:rFonts w:ascii="宋体"/>
      <w:sz w:val="24"/>
      <w:szCs w:val="20"/>
    </w:rPr>
  </w:style>
  <w:style w:type="paragraph" w:customStyle="1" w:styleId="798">
    <w:name w:val="默认段落字体 Para Char Char Char Char Char Char Char Char Char Char Char Char Char Char Char Char Char Char Char"/>
    <w:basedOn w:val="1"/>
    <w:autoRedefine/>
    <w:qFormat/>
    <w:uiPriority w:val="0"/>
    <w:rPr>
      <w:rFonts w:ascii="Tahoma" w:hAnsi="Tahoma"/>
      <w:sz w:val="24"/>
      <w:szCs w:val="20"/>
    </w:rPr>
  </w:style>
  <w:style w:type="paragraph" w:customStyle="1" w:styleId="799">
    <w:name w:val="单元格左对齐"/>
    <w:basedOn w:val="1"/>
    <w:autoRedefine/>
    <w:qFormat/>
    <w:uiPriority w:val="0"/>
    <w:pPr>
      <w:adjustRightInd/>
      <w:spacing w:line="360" w:lineRule="auto"/>
    </w:pPr>
    <w:rPr>
      <w:sz w:val="24"/>
    </w:rPr>
  </w:style>
  <w:style w:type="paragraph" w:customStyle="1" w:styleId="800">
    <w:name w:val="正文主体"/>
    <w:basedOn w:val="621"/>
    <w:autoRedefine/>
    <w:qFormat/>
    <w:uiPriority w:val="0"/>
  </w:style>
  <w:style w:type="paragraph" w:customStyle="1" w:styleId="801">
    <w:name w:val="font6"/>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2">
    <w:name w:val="Char3 Char Char Char Char Char Char1"/>
    <w:basedOn w:val="1"/>
    <w:autoRedefine/>
    <w:qFormat/>
    <w:uiPriority w:val="6"/>
    <w:pPr>
      <w:adjustRightInd/>
      <w:spacing w:line="360" w:lineRule="auto"/>
    </w:pPr>
    <w:rPr>
      <w:rFonts w:ascii="Arial" w:hAnsi="Arial" w:eastAsia="黑体" w:cs="Arial"/>
      <w:snapToGrid w:val="0"/>
      <w:kern w:val="0"/>
      <w:szCs w:val="21"/>
    </w:rPr>
  </w:style>
  <w:style w:type="paragraph" w:customStyle="1" w:styleId="803">
    <w:name w:val="样式 首行缩进:  2 字符"/>
    <w:basedOn w:val="1"/>
    <w:autoRedefine/>
    <w:qFormat/>
    <w:uiPriority w:val="0"/>
    <w:pPr>
      <w:snapToGrid w:val="0"/>
      <w:spacing w:line="360" w:lineRule="auto"/>
    </w:pPr>
    <w:rPr>
      <w:rFonts w:ascii="仿宋_GB2312" w:hAnsi="宋体" w:eastAsia="仿宋_GB2312" w:cs="宋体"/>
      <w:color w:val="000000"/>
      <w:kern w:val="0"/>
      <w:sz w:val="28"/>
      <w:szCs w:val="21"/>
    </w:rPr>
  </w:style>
  <w:style w:type="paragraph" w:customStyle="1" w:styleId="804">
    <w:name w:val="正文（首行缩进2字符）"/>
    <w:basedOn w:val="1"/>
    <w:autoRedefine/>
    <w:qFormat/>
    <w:uiPriority w:val="0"/>
    <w:pPr>
      <w:adjustRightInd/>
      <w:spacing w:line="360" w:lineRule="auto"/>
      <w:ind w:firstLine="480" w:firstLineChars="200"/>
    </w:pPr>
    <w:rPr>
      <w:sz w:val="24"/>
      <w:szCs w:val="20"/>
    </w:rPr>
  </w:style>
  <w:style w:type="paragraph" w:customStyle="1" w:styleId="805">
    <w:name w:val="P1"/>
    <w:basedOn w:val="1"/>
    <w:autoRedefine/>
    <w:qFormat/>
    <w:uiPriority w:val="0"/>
    <w:pPr>
      <w:adjustRightInd/>
      <w:spacing w:line="288" w:lineRule="auto"/>
      <w:ind w:firstLine="425" w:firstLineChars="200"/>
    </w:pPr>
  </w:style>
  <w:style w:type="paragraph" w:customStyle="1" w:styleId="806">
    <w:name w:val="列表内容"/>
    <w:basedOn w:val="1"/>
    <w:next w:val="1"/>
    <w:autoRedefine/>
    <w:qFormat/>
    <w:uiPriority w:val="0"/>
    <w:pPr>
      <w:widowControl/>
      <w:tabs>
        <w:tab w:val="left" w:pos="840"/>
      </w:tabs>
      <w:ind w:left="840" w:hanging="420"/>
      <w:jc w:val="left"/>
    </w:pPr>
    <w:rPr>
      <w:kern w:val="0"/>
      <w:sz w:val="18"/>
    </w:rPr>
  </w:style>
  <w:style w:type="paragraph" w:customStyle="1" w:styleId="807">
    <w:name w:val="Char Char11 Char Char Char1"/>
    <w:basedOn w:val="1"/>
    <w:autoRedefine/>
    <w:qFormat/>
    <w:uiPriority w:val="6"/>
    <w:pPr>
      <w:spacing w:line="360" w:lineRule="auto"/>
    </w:pPr>
    <w:rPr>
      <w:szCs w:val="20"/>
    </w:rPr>
  </w:style>
  <w:style w:type="paragraph" w:customStyle="1" w:styleId="808">
    <w:name w:val="默认段落字体 Para Char Char Char Char Char Char Char Char Char1 Char Char Char Char"/>
    <w:basedOn w:val="1"/>
    <w:autoRedefine/>
    <w:qFormat/>
    <w:uiPriority w:val="0"/>
    <w:pPr>
      <w:adjustRightInd/>
    </w:pPr>
    <w:rPr>
      <w:rFonts w:ascii="Tahoma" w:hAnsi="Tahoma"/>
      <w:sz w:val="24"/>
      <w:szCs w:val="20"/>
    </w:rPr>
  </w:style>
  <w:style w:type="paragraph" w:customStyle="1" w:styleId="809">
    <w:name w:val="Char Char Char Char Char Char11"/>
    <w:basedOn w:val="1"/>
    <w:autoRedefine/>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0">
    <w:name w:val="标题 41"/>
    <w:basedOn w:val="1"/>
    <w:next w:val="1"/>
    <w:autoRedefine/>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1">
    <w:name w:val="Table Contents"/>
    <w:basedOn w:val="1"/>
    <w:autoRedefine/>
    <w:qFormat/>
    <w:uiPriority w:val="0"/>
    <w:pPr>
      <w:suppressAutoHyphens/>
      <w:autoSpaceDE w:val="0"/>
      <w:spacing w:after="120"/>
      <w:jc w:val="left"/>
    </w:pPr>
    <w:rPr>
      <w:rFonts w:ascii="Helvetica" w:hAnsi="Helvetica"/>
      <w:kern w:val="1"/>
      <w:sz w:val="20"/>
      <w:szCs w:val="20"/>
    </w:rPr>
  </w:style>
  <w:style w:type="paragraph" w:customStyle="1" w:styleId="812">
    <w:name w:val="正文文字缩进2字"/>
    <w:basedOn w:val="25"/>
    <w:autoRedefine/>
    <w:qFormat/>
    <w:uiPriority w:val="0"/>
    <w:pPr>
      <w:autoSpaceDE/>
      <w:autoSpaceDN/>
      <w:adjustRightInd/>
      <w:spacing w:before="60" w:after="60"/>
      <w:ind w:firstLine="200" w:firstLineChars="200"/>
    </w:pPr>
    <w:rPr>
      <w:rFonts w:ascii="Times New Roman"/>
      <w:szCs w:val="20"/>
      <w:lang w:val="en-US"/>
    </w:rPr>
  </w:style>
  <w:style w:type="paragraph" w:customStyle="1" w:styleId="813">
    <w:name w:val="默认段落字体 Para Char Char Char Char"/>
    <w:basedOn w:val="1"/>
    <w:autoRedefine/>
    <w:qFormat/>
    <w:uiPriority w:val="0"/>
    <w:pPr>
      <w:spacing w:line="360" w:lineRule="auto"/>
    </w:pPr>
    <w:rPr>
      <w:szCs w:val="20"/>
    </w:rPr>
  </w:style>
  <w:style w:type="paragraph" w:customStyle="1" w:styleId="814">
    <w:name w:val="正文4"/>
    <w:basedOn w:val="1"/>
    <w:autoRedefine/>
    <w:qFormat/>
    <w:uiPriority w:val="0"/>
    <w:pPr>
      <w:tabs>
        <w:tab w:val="left" w:pos="720"/>
      </w:tabs>
      <w:adjustRightInd/>
      <w:spacing w:before="60" w:after="60" w:line="360" w:lineRule="auto"/>
      <w:ind w:left="575" w:leftChars="400" w:hanging="175" w:hangingChars="175"/>
    </w:pPr>
    <w:rPr>
      <w:sz w:val="24"/>
    </w:rPr>
  </w:style>
  <w:style w:type="paragraph" w:customStyle="1" w:styleId="815">
    <w:name w:val="xl83"/>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6">
    <w:name w:val="Char2 Char Char Char2"/>
    <w:basedOn w:val="1"/>
    <w:autoRedefine/>
    <w:qFormat/>
    <w:uiPriority w:val="0"/>
    <w:rPr>
      <w:rFonts w:ascii="仿宋_GB2312" w:eastAsia="仿宋_GB2312"/>
      <w:b/>
      <w:sz w:val="32"/>
      <w:szCs w:val="32"/>
    </w:rPr>
  </w:style>
  <w:style w:type="paragraph" w:customStyle="1" w:styleId="817">
    <w:name w:val="Char1 Char Char Char Char Char Char Char Char Char"/>
    <w:basedOn w:val="1"/>
    <w:autoRedefine/>
    <w:qFormat/>
    <w:uiPriority w:val="0"/>
    <w:pPr>
      <w:adjustRightInd/>
      <w:spacing w:before="240" w:after="120" w:line="288" w:lineRule="auto"/>
      <w:ind w:firstLine="200" w:firstLineChars="200"/>
      <w:jc w:val="left"/>
    </w:pPr>
    <w:rPr>
      <w:rFonts w:ascii="Tahoma" w:hAnsi="Tahoma"/>
      <w:sz w:val="24"/>
    </w:rPr>
  </w:style>
  <w:style w:type="paragraph" w:customStyle="1" w:styleId="818">
    <w:name w:val="Char Char Char Char2"/>
    <w:basedOn w:val="1"/>
    <w:autoRedefine/>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19">
    <w:name w:val="正文 首行缩进:  2 字符 Char"/>
    <w:basedOn w:val="1"/>
    <w:autoRedefine/>
    <w:qFormat/>
    <w:uiPriority w:val="0"/>
    <w:pPr>
      <w:adjustRightInd/>
      <w:spacing w:line="360" w:lineRule="auto"/>
      <w:ind w:firstLine="480"/>
    </w:pPr>
    <w:rPr>
      <w:rFonts w:cs="宋体"/>
      <w:sz w:val="24"/>
      <w:szCs w:val="20"/>
    </w:rPr>
  </w:style>
  <w:style w:type="paragraph" w:customStyle="1" w:styleId="820">
    <w:name w:val="Char Char4 Char Char"/>
    <w:basedOn w:val="1"/>
    <w:autoRedefine/>
    <w:qFormat/>
    <w:uiPriority w:val="0"/>
    <w:pPr>
      <w:widowControl/>
      <w:adjustRightInd/>
      <w:spacing w:after="160" w:line="240" w:lineRule="exact"/>
      <w:jc w:val="left"/>
    </w:pPr>
  </w:style>
  <w:style w:type="paragraph" w:customStyle="1" w:styleId="821">
    <w:name w:val="目录2"/>
    <w:basedOn w:val="1"/>
    <w:autoRedefine/>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2">
    <w:name w:val="Char Char11 Char Char Char2"/>
    <w:basedOn w:val="1"/>
    <w:autoRedefine/>
    <w:qFormat/>
    <w:uiPriority w:val="0"/>
    <w:pPr>
      <w:spacing w:line="360" w:lineRule="auto"/>
    </w:pPr>
    <w:rPr>
      <w:szCs w:val="20"/>
    </w:rPr>
  </w:style>
  <w:style w:type="paragraph" w:customStyle="1" w:styleId="823">
    <w:name w:val="9"/>
    <w:autoRedefine/>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4">
    <w:name w:val="Char3 Char Char2"/>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5">
    <w:name w:val="数字标题4"/>
    <w:basedOn w:val="8"/>
    <w:autoRedefine/>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6">
    <w:name w:val="表格文字（大）"/>
    <w:basedOn w:val="1"/>
    <w:autoRedefine/>
    <w:qFormat/>
    <w:uiPriority w:val="0"/>
    <w:pPr>
      <w:adjustRightInd/>
      <w:spacing w:before="20" w:after="20"/>
      <w:ind w:firstLine="200" w:firstLineChars="200"/>
    </w:pPr>
    <w:rPr>
      <w:rFonts w:ascii="Century Gothic" w:hAnsi="Century Gothic"/>
      <w:sz w:val="24"/>
      <w:szCs w:val="20"/>
    </w:rPr>
  </w:style>
  <w:style w:type="paragraph" w:customStyle="1" w:styleId="827">
    <w:name w:val="插图说明"/>
    <w:basedOn w:val="1"/>
    <w:autoRedefine/>
    <w:qFormat/>
    <w:uiPriority w:val="0"/>
    <w:pPr>
      <w:spacing w:after="240"/>
      <w:ind w:firstLine="200" w:firstLineChars="200"/>
      <w:jc w:val="center"/>
      <w:textAlignment w:val="baseline"/>
    </w:pPr>
    <w:rPr>
      <w:rFonts w:eastAsia="黑体"/>
      <w:sz w:val="24"/>
      <w:szCs w:val="20"/>
    </w:rPr>
  </w:style>
  <w:style w:type="paragraph" w:customStyle="1" w:styleId="828">
    <w:name w:val="chart text"/>
    <w:basedOn w:val="1"/>
    <w:autoRedefine/>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29">
    <w:name w:val="Char311"/>
    <w:basedOn w:val="1"/>
    <w:autoRedefine/>
    <w:qFormat/>
    <w:uiPriority w:val="0"/>
    <w:pPr>
      <w:adjustRightInd/>
      <w:ind w:firstLine="200" w:firstLineChars="200"/>
    </w:pPr>
    <w:rPr>
      <w:rFonts w:ascii="Tahoma" w:hAnsi="Tahoma"/>
      <w:sz w:val="24"/>
      <w:szCs w:val="20"/>
    </w:rPr>
  </w:style>
  <w:style w:type="paragraph" w:customStyle="1" w:styleId="830">
    <w:name w:val="正文文本 23"/>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831">
    <w:name w:val="dash bullet"/>
    <w:autoRedefine/>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2">
    <w:name w:val="正文 内标"/>
    <w:basedOn w:val="747"/>
    <w:autoRedefine/>
    <w:qFormat/>
    <w:uiPriority w:val="0"/>
    <w:pPr>
      <w:tabs>
        <w:tab w:val="left" w:pos="0"/>
      </w:tabs>
      <w:ind w:left="900" w:firstLine="0" w:firstLineChars="0"/>
    </w:pPr>
  </w:style>
  <w:style w:type="paragraph" w:customStyle="1" w:styleId="833">
    <w:name w:val="Bulleted List"/>
    <w:basedOn w:val="1"/>
    <w:autoRedefine/>
    <w:qFormat/>
    <w:uiPriority w:val="0"/>
    <w:pPr>
      <w:tabs>
        <w:tab w:val="left" w:pos="1260"/>
      </w:tabs>
      <w:adjustRightInd/>
      <w:ind w:left="1260" w:hanging="420"/>
    </w:pPr>
  </w:style>
  <w:style w:type="paragraph" w:customStyle="1" w:styleId="834">
    <w:name w:val="样式 正文文本缩进 2 + 仿宋_GB2312 黑色 行距: 1.5 倍行距"/>
    <w:basedOn w:val="38"/>
    <w:autoRedefine/>
    <w:qFormat/>
    <w:uiPriority w:val="0"/>
    <w:pPr>
      <w:adjustRightInd/>
      <w:ind w:firstLine="560" w:firstLineChars="200"/>
      <w:textAlignment w:val="auto"/>
    </w:pPr>
    <w:rPr>
      <w:rFonts w:hAnsi="宋体" w:cs="宋体"/>
      <w:color w:val="000000"/>
      <w:kern w:val="2"/>
      <w:sz w:val="24"/>
    </w:rPr>
  </w:style>
  <w:style w:type="paragraph" w:customStyle="1" w:styleId="835">
    <w:name w:val="样式 左侧:  0.85 厘米"/>
    <w:basedOn w:val="1"/>
    <w:autoRedefine/>
    <w:qFormat/>
    <w:uiPriority w:val="2"/>
    <w:pPr>
      <w:adjustRightInd/>
      <w:spacing w:line="360" w:lineRule="auto"/>
    </w:pPr>
    <w:rPr>
      <w:rFonts w:cs="宋体"/>
      <w:sz w:val="24"/>
      <w:szCs w:val="20"/>
    </w:rPr>
  </w:style>
  <w:style w:type="paragraph" w:customStyle="1" w:styleId="836">
    <w:name w:val="Char Char Char Char Char Char Char Char Char Char Char Char1 Char"/>
    <w:basedOn w:val="1"/>
    <w:autoRedefine/>
    <w:qFormat/>
    <w:uiPriority w:val="0"/>
    <w:rPr>
      <w:rFonts w:ascii="Tahoma" w:hAnsi="Tahoma" w:cs="仿宋_GB2312"/>
      <w:sz w:val="24"/>
      <w:szCs w:val="20"/>
    </w:rPr>
  </w:style>
  <w:style w:type="paragraph" w:customStyle="1" w:styleId="837">
    <w:name w:val="正文1"/>
    <w:basedOn w:val="34"/>
    <w:autoRedefine/>
    <w:qFormat/>
    <w:uiPriority w:val="0"/>
    <w:pPr>
      <w:ind w:left="0" w:leftChars="0" w:firstLine="480" w:firstLineChars="200"/>
    </w:pPr>
    <w:rPr>
      <w:rFonts w:ascii="仿宋_GB2312" w:hAnsi="Courier New" w:eastAsia="仿宋_GB2312"/>
      <w:kern w:val="28"/>
      <w:sz w:val="24"/>
    </w:rPr>
  </w:style>
  <w:style w:type="paragraph" w:customStyle="1" w:styleId="838">
    <w:name w:val="Char Char11 Char Char Char Char Char Char Char Char Char Char Char Char Char2"/>
    <w:basedOn w:val="1"/>
    <w:autoRedefine/>
    <w:qFormat/>
    <w:uiPriority w:val="0"/>
    <w:pPr>
      <w:adjustRightInd/>
      <w:spacing w:line="360" w:lineRule="auto"/>
    </w:pPr>
    <w:rPr>
      <w:rFonts w:ascii="Arial" w:hAnsi="Arial" w:eastAsia="黑体"/>
      <w:snapToGrid w:val="0"/>
      <w:kern w:val="0"/>
      <w:sz w:val="20"/>
      <w:szCs w:val="21"/>
    </w:rPr>
  </w:style>
  <w:style w:type="paragraph" w:customStyle="1" w:styleId="839">
    <w:name w:val="xl8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0">
    <w:name w:val="模板普通正文"/>
    <w:basedOn w:val="27"/>
    <w:autoRedefine/>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1">
    <w:name w:val="Char Char1 Char Char Char Char Char Char"/>
    <w:basedOn w:val="1"/>
    <w:autoRedefine/>
    <w:qFormat/>
    <w:uiPriority w:val="0"/>
    <w:rPr>
      <w:rFonts w:ascii="仿宋_GB2312" w:eastAsia="仿宋_GB2312"/>
      <w:b/>
      <w:sz w:val="32"/>
      <w:szCs w:val="20"/>
    </w:rPr>
  </w:style>
  <w:style w:type="paragraph" w:customStyle="1" w:styleId="842">
    <w:name w:val="font8"/>
    <w:basedOn w:val="1"/>
    <w:autoRedefine/>
    <w:qFormat/>
    <w:uiPriority w:val="0"/>
    <w:pPr>
      <w:widowControl/>
      <w:adjustRightInd/>
      <w:spacing w:before="100" w:beforeAutospacing="1" w:after="100" w:afterAutospacing="1"/>
      <w:jc w:val="left"/>
    </w:pPr>
    <w:rPr>
      <w:color w:val="000000"/>
      <w:kern w:val="0"/>
      <w:sz w:val="20"/>
      <w:szCs w:val="20"/>
    </w:rPr>
  </w:style>
  <w:style w:type="paragraph" w:customStyle="1" w:styleId="843">
    <w:name w:val="Char Char1 Char Char Char Char Char Char2"/>
    <w:basedOn w:val="1"/>
    <w:autoRedefine/>
    <w:qFormat/>
    <w:uiPriority w:val="0"/>
    <w:rPr>
      <w:rFonts w:ascii="仿宋_GB2312" w:eastAsia="仿宋_GB2312"/>
      <w:b/>
      <w:sz w:val="32"/>
      <w:szCs w:val="20"/>
    </w:rPr>
  </w:style>
  <w:style w:type="paragraph" w:customStyle="1" w:styleId="844">
    <w:name w:val="font13"/>
    <w:basedOn w:val="1"/>
    <w:autoRedefine/>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5">
    <w:name w:val="默认段落字体 Para Char Char Char Char Char Char Char Char Char Char"/>
    <w:basedOn w:val="1"/>
    <w:autoRedefine/>
    <w:qFormat/>
    <w:uiPriority w:val="0"/>
    <w:pPr>
      <w:adjustRightInd/>
    </w:pPr>
    <w:rPr>
      <w:rFonts w:ascii="Tahoma" w:hAnsi="Tahoma"/>
      <w:color w:val="000000"/>
      <w:sz w:val="24"/>
      <w:szCs w:val="20"/>
    </w:rPr>
  </w:style>
  <w:style w:type="paragraph" w:customStyle="1" w:styleId="846">
    <w:name w:val="legal"/>
    <w:basedOn w:val="1"/>
    <w:autoRedefine/>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47">
    <w:name w:val="xl85"/>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48">
    <w:name w:val="Char Char Char Char Char Char1 Char2"/>
    <w:basedOn w:val="1"/>
    <w:autoRedefine/>
    <w:qFormat/>
    <w:uiPriority w:val="0"/>
    <w:pPr>
      <w:widowControl/>
      <w:spacing w:after="160" w:line="240" w:lineRule="exact"/>
      <w:jc w:val="left"/>
    </w:pPr>
    <w:rPr>
      <w:rFonts w:ascii="Verdana" w:hAnsi="Verdana"/>
      <w:kern w:val="0"/>
      <w:szCs w:val="20"/>
      <w:lang w:eastAsia="en-US"/>
    </w:rPr>
  </w:style>
  <w:style w:type="paragraph" w:customStyle="1" w:styleId="849">
    <w:name w:val="样式 首行缩进:  2 字符4"/>
    <w:basedOn w:val="1"/>
    <w:autoRedefine/>
    <w:qFormat/>
    <w:uiPriority w:val="0"/>
    <w:pPr>
      <w:adjustRightInd/>
      <w:spacing w:before="120" w:line="360" w:lineRule="auto"/>
      <w:ind w:firstLine="480" w:firstLineChars="200"/>
    </w:pPr>
    <w:rPr>
      <w:rFonts w:eastAsia="仿宋_GB2312" w:cs="宋体"/>
      <w:sz w:val="28"/>
      <w:szCs w:val="20"/>
    </w:rPr>
  </w:style>
  <w:style w:type="paragraph" w:customStyle="1" w:styleId="850">
    <w:name w:val="中等深浅网格 1 - 强调文字颜色 21"/>
    <w:basedOn w:val="1"/>
    <w:autoRedefine/>
    <w:qFormat/>
    <w:uiPriority w:val="0"/>
    <w:pPr>
      <w:spacing w:line="360" w:lineRule="auto"/>
      <w:ind w:firstLine="200" w:firstLineChars="200"/>
    </w:pPr>
    <w:rPr>
      <w:rFonts w:eastAsia="楷体_GB2312" w:cs="Lucida Sans"/>
      <w:sz w:val="24"/>
    </w:rPr>
  </w:style>
  <w:style w:type="paragraph" w:customStyle="1" w:styleId="851">
    <w:name w:val="xl8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2">
    <w:name w:val="Body Copy"/>
    <w:basedOn w:val="1"/>
    <w:autoRedefine/>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3">
    <w:name w:val="Char31"/>
    <w:basedOn w:val="1"/>
    <w:autoRedefine/>
    <w:qFormat/>
    <w:uiPriority w:val="0"/>
    <w:pPr>
      <w:adjustRightInd/>
    </w:pPr>
    <w:rPr>
      <w:rFonts w:ascii="仿宋_GB2312" w:eastAsia="仿宋_GB2312"/>
      <w:b/>
      <w:sz w:val="32"/>
      <w:szCs w:val="32"/>
    </w:rPr>
  </w:style>
  <w:style w:type="paragraph" w:customStyle="1" w:styleId="854">
    <w:name w:val="样式 标题 3h33rd level3Heading 3 - oldH3l3CTheading 3Headin..."/>
    <w:basedOn w:val="6"/>
    <w:autoRedefine/>
    <w:qFormat/>
    <w:uiPriority w:val="0"/>
    <w:pPr>
      <w:snapToGrid w:val="0"/>
      <w:ind w:left="0" w:firstLine="0"/>
      <w:jc w:val="left"/>
    </w:pPr>
    <w:rPr>
      <w:rFonts w:eastAsia="黑体" w:cs="宋体"/>
      <w:sz w:val="28"/>
      <w:szCs w:val="20"/>
    </w:rPr>
  </w:style>
  <w:style w:type="paragraph" w:customStyle="1" w:styleId="855">
    <w:name w:val="Char Char Char Char Char Char1"/>
    <w:basedOn w:val="1"/>
    <w:autoRedefine/>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6">
    <w:name w:val="xl90"/>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57">
    <w:name w:val="Char Char1"/>
    <w:basedOn w:val="1"/>
    <w:autoRedefine/>
    <w:qFormat/>
    <w:uiPriority w:val="0"/>
    <w:pPr>
      <w:widowControl/>
      <w:spacing w:after="160" w:line="240" w:lineRule="exact"/>
      <w:jc w:val="left"/>
    </w:pPr>
    <w:rPr>
      <w:rFonts w:eastAsia="仿宋_GB2312"/>
      <w:sz w:val="28"/>
    </w:rPr>
  </w:style>
  <w:style w:type="paragraph" w:customStyle="1" w:styleId="858">
    <w:name w:val="Char21"/>
    <w:basedOn w:val="1"/>
    <w:autoRedefine/>
    <w:qFormat/>
    <w:uiPriority w:val="0"/>
    <w:pPr>
      <w:adjustRightInd/>
      <w:ind w:firstLine="200" w:firstLineChars="200"/>
    </w:pPr>
    <w:rPr>
      <w:rFonts w:ascii="仿宋_GB2312" w:eastAsia="仿宋_GB2312"/>
      <w:b/>
      <w:sz w:val="32"/>
      <w:szCs w:val="32"/>
    </w:rPr>
  </w:style>
  <w:style w:type="paragraph" w:customStyle="1" w:styleId="859">
    <w:name w:val="列表段落1"/>
    <w:basedOn w:val="1"/>
    <w:autoRedefine/>
    <w:qFormat/>
    <w:uiPriority w:val="34"/>
    <w:pPr>
      <w:adjustRightInd/>
      <w:ind w:right="238" w:firstLine="420"/>
    </w:pPr>
    <w:rPr>
      <w:rFonts w:ascii="Calibri" w:hAnsi="Calibri"/>
      <w:sz w:val="24"/>
    </w:rPr>
  </w:style>
  <w:style w:type="paragraph" w:customStyle="1" w:styleId="860">
    <w:name w:val="Char Char110"/>
    <w:basedOn w:val="1"/>
    <w:autoRedefine/>
    <w:qFormat/>
    <w:uiPriority w:val="6"/>
    <w:pPr>
      <w:spacing w:line="360" w:lineRule="auto"/>
    </w:pPr>
    <w:rPr>
      <w:rFonts w:ascii="Tahoma" w:hAnsi="Tahoma"/>
      <w:sz w:val="24"/>
      <w:szCs w:val="20"/>
    </w:rPr>
  </w:style>
  <w:style w:type="paragraph" w:customStyle="1" w:styleId="861">
    <w:name w:val="xl80"/>
    <w:basedOn w:val="1"/>
    <w:autoRedefine/>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2">
    <w:name w:val="Char Char11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863">
    <w:name w:val="表正文"/>
    <w:autoRedefine/>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4">
    <w:name w:val="浅色底纹 - 强调文字颜色 51"/>
    <w:autoRedefine/>
    <w:qFormat/>
    <w:uiPriority w:val="0"/>
    <w:rPr>
      <w:rFonts w:ascii="Times New Roman" w:hAnsi="Times New Roman" w:eastAsia="宋体" w:cs="Times New Roman"/>
      <w:kern w:val="2"/>
      <w:sz w:val="21"/>
      <w:szCs w:val="24"/>
      <w:lang w:val="en-US" w:eastAsia="zh-CN" w:bidi="ar-SA"/>
    </w:rPr>
  </w:style>
  <w:style w:type="paragraph" w:customStyle="1" w:styleId="865">
    <w:name w:val="Char Char Char Char Char Char Char Char Char Char Char Char1 Char2"/>
    <w:basedOn w:val="1"/>
    <w:autoRedefine/>
    <w:qFormat/>
    <w:uiPriority w:val="0"/>
    <w:rPr>
      <w:rFonts w:ascii="Tahoma" w:hAnsi="Tahoma" w:cs="仿宋_GB2312"/>
      <w:sz w:val="24"/>
      <w:szCs w:val="20"/>
    </w:rPr>
  </w:style>
  <w:style w:type="paragraph" w:customStyle="1" w:styleId="866">
    <w:name w:val="样式9"/>
    <w:basedOn w:val="1"/>
    <w:autoRedefine/>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67">
    <w:name w:val="Char Char281"/>
    <w:basedOn w:val="1"/>
    <w:autoRedefine/>
    <w:qFormat/>
    <w:uiPriority w:val="0"/>
    <w:pPr>
      <w:adjustRightInd/>
      <w:snapToGrid w:val="0"/>
      <w:spacing w:line="360" w:lineRule="auto"/>
    </w:pPr>
    <w:rPr>
      <w:rFonts w:ascii="Arial" w:hAnsi="Arial" w:eastAsia="黑体"/>
      <w:snapToGrid w:val="0"/>
      <w:kern w:val="0"/>
      <w:sz w:val="20"/>
      <w:szCs w:val="21"/>
    </w:rPr>
  </w:style>
  <w:style w:type="paragraph" w:customStyle="1" w:styleId="868">
    <w:name w:val="样式 列表编号 + 段后: 0.5 行"/>
    <w:basedOn w:val="17"/>
    <w:autoRedefine/>
    <w:qFormat/>
    <w:uiPriority w:val="2"/>
    <w:pPr>
      <w:tabs>
        <w:tab w:val="clear" w:pos="390"/>
        <w:tab w:val="clear" w:pos="454"/>
      </w:tabs>
      <w:spacing w:after="0"/>
      <w:ind w:left="840" w:hanging="420"/>
      <w:contextualSpacing/>
    </w:pPr>
    <w:rPr>
      <w:rFonts w:cs="宋体"/>
    </w:rPr>
  </w:style>
  <w:style w:type="paragraph" w:customStyle="1" w:styleId="869">
    <w:name w:val="Char Char Char Char Char Char Char Char Char"/>
    <w:basedOn w:val="1"/>
    <w:autoRedefine/>
    <w:qFormat/>
    <w:uiPriority w:val="0"/>
    <w:pPr>
      <w:adjustRightInd/>
      <w:ind w:firstLine="200" w:firstLineChars="200"/>
    </w:pPr>
    <w:rPr>
      <w:rFonts w:ascii="Tahoma" w:hAnsi="Tahoma"/>
      <w:sz w:val="24"/>
      <w:szCs w:val="20"/>
    </w:rPr>
  </w:style>
  <w:style w:type="paragraph" w:customStyle="1" w:styleId="870">
    <w:name w:val="_Style 12"/>
    <w:basedOn w:val="20"/>
    <w:autoRedefine/>
    <w:qFormat/>
    <w:uiPriority w:val="0"/>
    <w:pPr>
      <w:snapToGrid w:val="0"/>
      <w:spacing w:line="360" w:lineRule="auto"/>
    </w:pPr>
  </w:style>
  <w:style w:type="paragraph" w:customStyle="1" w:styleId="871">
    <w:name w:val="样式 首行缩进:  0 字符"/>
    <w:basedOn w:val="1"/>
    <w:autoRedefine/>
    <w:qFormat/>
    <w:uiPriority w:val="0"/>
    <w:pPr>
      <w:adjustRightInd/>
      <w:spacing w:line="360" w:lineRule="auto"/>
      <w:ind w:firstLine="200" w:firstLineChars="200"/>
    </w:pPr>
    <w:rPr>
      <w:rFonts w:ascii="Arial" w:hAnsi="Arial" w:cs="宋体"/>
      <w:sz w:val="24"/>
      <w:szCs w:val="20"/>
    </w:rPr>
  </w:style>
  <w:style w:type="paragraph" w:customStyle="1" w:styleId="872">
    <w:name w:val="Char1 Char Char Char6"/>
    <w:basedOn w:val="1"/>
    <w:autoRedefine/>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3">
    <w:name w:val="_Style 94"/>
    <w:basedOn w:val="1"/>
    <w:next w:val="256"/>
    <w:autoRedefine/>
    <w:qFormat/>
    <w:uiPriority w:val="34"/>
    <w:pPr>
      <w:adjustRightInd/>
      <w:spacing w:line="360" w:lineRule="auto"/>
      <w:ind w:firstLine="200" w:firstLineChars="200"/>
    </w:pPr>
    <w:rPr>
      <w:rFonts w:ascii="Calibri" w:hAnsi="Calibri"/>
      <w:sz w:val="28"/>
      <w:szCs w:val="20"/>
    </w:rPr>
  </w:style>
  <w:style w:type="paragraph" w:customStyle="1" w:styleId="874">
    <w:name w:val="方案正文"/>
    <w:basedOn w:val="1"/>
    <w:autoRedefine/>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5">
    <w:name w:val="正文 A"/>
    <w:autoRedefine/>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6">
    <w:name w:val="正文 A 主体"/>
    <w:basedOn w:val="1"/>
    <w:autoRedefine/>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77">
    <w:name w:val="3级标题"/>
    <w:basedOn w:val="669"/>
    <w:autoRedefine/>
    <w:qFormat/>
    <w:uiPriority w:val="0"/>
    <w:pPr>
      <w:outlineLvl w:val="2"/>
    </w:pPr>
  </w:style>
  <w:style w:type="paragraph" w:customStyle="1" w:styleId="878">
    <w:name w:val="xl7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79">
    <w:name w:val="Char1 Char Char Char3"/>
    <w:basedOn w:val="1"/>
    <w:autoRedefine/>
    <w:qFormat/>
    <w:uiPriority w:val="0"/>
    <w:pPr>
      <w:adjustRightInd/>
      <w:ind w:firstLine="200" w:firstLineChars="200"/>
    </w:pPr>
    <w:rPr>
      <w:rFonts w:ascii="Tahoma" w:hAnsi="Tahoma"/>
      <w:sz w:val="24"/>
      <w:szCs w:val="20"/>
    </w:rPr>
  </w:style>
  <w:style w:type="paragraph" w:customStyle="1" w:styleId="880">
    <w:name w:val="GP正文(首行缩进)"/>
    <w:basedOn w:val="1"/>
    <w:autoRedefine/>
    <w:qFormat/>
    <w:uiPriority w:val="0"/>
    <w:pPr>
      <w:adjustRightInd/>
      <w:spacing w:line="360" w:lineRule="auto"/>
      <w:ind w:firstLine="200" w:firstLineChars="200"/>
    </w:pPr>
    <w:rPr>
      <w:rFonts w:eastAsia="仿宋_GB2312"/>
      <w:sz w:val="28"/>
      <w:szCs w:val="21"/>
    </w:rPr>
  </w:style>
  <w:style w:type="paragraph" w:customStyle="1" w:styleId="881">
    <w:name w:val="MM Empty"/>
    <w:basedOn w:val="1"/>
    <w:autoRedefine/>
    <w:qFormat/>
    <w:uiPriority w:val="0"/>
    <w:pPr>
      <w:adjustRightInd/>
    </w:pPr>
  </w:style>
  <w:style w:type="paragraph" w:customStyle="1" w:styleId="882">
    <w:name w:val="Char24"/>
    <w:basedOn w:val="1"/>
    <w:autoRedefine/>
    <w:qFormat/>
    <w:uiPriority w:val="0"/>
    <w:rPr>
      <w:rFonts w:ascii="仿宋_GB2312" w:eastAsia="仿宋_GB2312"/>
      <w:b/>
      <w:sz w:val="32"/>
      <w:szCs w:val="32"/>
    </w:rPr>
  </w:style>
  <w:style w:type="paragraph" w:customStyle="1" w:styleId="883">
    <w:name w:val="正文箭头"/>
    <w:basedOn w:val="535"/>
    <w:autoRedefine/>
    <w:qFormat/>
    <w:uiPriority w:val="0"/>
  </w:style>
  <w:style w:type="paragraph" w:customStyle="1" w:styleId="884">
    <w:name w:val="U_编号2"/>
    <w:basedOn w:val="1"/>
    <w:autoRedefine/>
    <w:qFormat/>
    <w:uiPriority w:val="0"/>
    <w:pPr>
      <w:tabs>
        <w:tab w:val="left" w:pos="785"/>
      </w:tabs>
      <w:adjustRightInd/>
      <w:spacing w:beforeLines="10" w:afterLines="10" w:line="300" w:lineRule="auto"/>
    </w:pPr>
    <w:rPr>
      <w:sz w:val="24"/>
    </w:rPr>
  </w:style>
  <w:style w:type="paragraph" w:customStyle="1" w:styleId="885">
    <w:name w:val="xl72"/>
    <w:basedOn w:val="1"/>
    <w:autoRedefine/>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6">
    <w:name w:val="trs_edito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887">
    <w:name w:val="标书标题3"/>
    <w:basedOn w:val="6"/>
    <w:autoRedefine/>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88">
    <w:name w:val="TOC 标题11"/>
    <w:basedOn w:val="4"/>
    <w:next w:val="1"/>
    <w:autoRedefine/>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89">
    <w:name w:val="_Style 1"/>
    <w:basedOn w:val="1"/>
    <w:autoRedefine/>
    <w:qFormat/>
    <w:uiPriority w:val="34"/>
    <w:pPr>
      <w:adjustRightInd/>
      <w:ind w:firstLine="420" w:firstLineChars="200"/>
    </w:pPr>
    <w:rPr>
      <w:rFonts w:eastAsia="仿宋_GB2312"/>
      <w:sz w:val="28"/>
    </w:rPr>
  </w:style>
  <w:style w:type="paragraph" w:customStyle="1" w:styleId="890">
    <w:name w:val="表格 内容"/>
    <w:basedOn w:val="726"/>
    <w:autoRedefine/>
    <w:qFormat/>
    <w:uiPriority w:val="0"/>
    <w:rPr>
      <w:b w:val="0"/>
      <w:sz w:val="20"/>
    </w:rPr>
  </w:style>
  <w:style w:type="paragraph" w:customStyle="1" w:styleId="891">
    <w:name w:val="正文首行缩进1"/>
    <w:basedOn w:val="25"/>
    <w:autoRedefine/>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2">
    <w:name w:val="标准正文"/>
    <w:basedOn w:val="1"/>
    <w:autoRedefine/>
    <w:qFormat/>
    <w:uiPriority w:val="0"/>
    <w:pPr>
      <w:tabs>
        <w:tab w:val="left" w:pos="780"/>
      </w:tabs>
      <w:adjustRightInd/>
      <w:spacing w:line="360" w:lineRule="auto"/>
      <w:ind w:left="200" w:leftChars="200" w:firstLine="200" w:firstLineChars="200"/>
    </w:pPr>
    <w:rPr>
      <w:sz w:val="24"/>
    </w:rPr>
  </w:style>
  <w:style w:type="paragraph" w:customStyle="1" w:styleId="893">
    <w:name w:val="数字标题5"/>
    <w:basedOn w:val="9"/>
    <w:next w:val="1"/>
    <w:autoRedefine/>
    <w:qFormat/>
    <w:uiPriority w:val="0"/>
    <w:pPr>
      <w:tabs>
        <w:tab w:val="left" w:pos="1080"/>
      </w:tabs>
      <w:ind w:left="1080" w:hanging="1080"/>
    </w:pPr>
  </w:style>
  <w:style w:type="paragraph" w:customStyle="1" w:styleId="894">
    <w:name w:val="数字标题1"/>
    <w:basedOn w:val="4"/>
    <w:next w:val="1"/>
    <w:autoRedefine/>
    <w:qFormat/>
    <w:uiPriority w:val="0"/>
    <w:pPr>
      <w:tabs>
        <w:tab w:val="left" w:pos="480"/>
      </w:tabs>
      <w:ind w:left="480" w:hanging="480"/>
    </w:pPr>
  </w:style>
  <w:style w:type="paragraph" w:customStyle="1" w:styleId="895">
    <w:name w:val="Char1 Char Char Char Char Char Char Char Char Char Char Char1 Char Char Char Char Char Char Char Char Char Char Char Char Char Char1 Char Char Char Char2"/>
    <w:basedOn w:val="1"/>
    <w:autoRedefine/>
    <w:qFormat/>
    <w:uiPriority w:val="0"/>
    <w:pPr>
      <w:spacing w:line="360" w:lineRule="auto"/>
    </w:pPr>
    <w:rPr>
      <w:kern w:val="0"/>
      <w:sz w:val="24"/>
      <w:szCs w:val="20"/>
    </w:rPr>
  </w:style>
  <w:style w:type="paragraph" w:customStyle="1" w:styleId="896">
    <w:name w:val="aspnumfaautoadjustrightr"/>
    <w:autoRedefine/>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97">
    <w:name w:val="Body"/>
    <w:basedOn w:val="1"/>
    <w:autoRedefine/>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898">
    <w:name w:val="RFI Heading 3rd Level"/>
    <w:basedOn w:val="1"/>
    <w:autoRedefine/>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899">
    <w:name w:val="标准正文格式"/>
    <w:basedOn w:val="1"/>
    <w:autoRedefine/>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0">
    <w:name w:val="Bullet"/>
    <w:basedOn w:val="1"/>
    <w:autoRedefine/>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1">
    <w:name w:val="0"/>
    <w:basedOn w:val="1"/>
    <w:autoRedefine/>
    <w:qFormat/>
    <w:uiPriority w:val="0"/>
    <w:pPr>
      <w:widowControl/>
    </w:pPr>
    <w:rPr>
      <w:kern w:val="0"/>
      <w:sz w:val="24"/>
      <w:szCs w:val="20"/>
    </w:rPr>
  </w:style>
  <w:style w:type="paragraph" w:customStyle="1" w:styleId="902">
    <w:name w:val="Char Char113"/>
    <w:basedOn w:val="1"/>
    <w:autoRedefine/>
    <w:qFormat/>
    <w:uiPriority w:val="0"/>
    <w:pPr>
      <w:widowControl/>
      <w:spacing w:after="160" w:line="240" w:lineRule="exact"/>
      <w:jc w:val="left"/>
    </w:pPr>
    <w:rPr>
      <w:rFonts w:eastAsia="仿宋_GB2312"/>
      <w:sz w:val="28"/>
    </w:rPr>
  </w:style>
  <w:style w:type="paragraph" w:customStyle="1" w:styleId="903">
    <w:name w:val="样式5"/>
    <w:basedOn w:val="1"/>
    <w:autoRedefine/>
    <w:qFormat/>
    <w:uiPriority w:val="0"/>
    <w:pPr>
      <w:spacing w:line="440" w:lineRule="exact"/>
      <w:ind w:left="2" w:firstLine="480" w:firstLineChars="200"/>
    </w:pPr>
    <w:rPr>
      <w:rFonts w:ascii="仿宋_GB2312" w:hAnsi="仿宋" w:eastAsia="仿宋_GB2312"/>
      <w:sz w:val="24"/>
    </w:rPr>
  </w:style>
  <w:style w:type="paragraph" w:customStyle="1" w:styleId="904">
    <w:name w:val="_Style 8"/>
    <w:basedOn w:val="1"/>
    <w:autoRedefine/>
    <w:qFormat/>
    <w:uiPriority w:val="34"/>
    <w:pPr>
      <w:adjustRightInd/>
      <w:ind w:firstLine="420" w:firstLineChars="200"/>
    </w:pPr>
    <w:rPr>
      <w:rFonts w:eastAsia="仿宋_GB2312"/>
      <w:sz w:val="28"/>
    </w:rPr>
  </w:style>
  <w:style w:type="paragraph" w:customStyle="1" w:styleId="905">
    <w:name w:val="xl93"/>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6">
    <w:name w:val="正文样式 首行缩进:  0.74 厘米"/>
    <w:basedOn w:val="1"/>
    <w:autoRedefine/>
    <w:qFormat/>
    <w:uiPriority w:val="0"/>
    <w:pPr>
      <w:adjustRightInd/>
      <w:spacing w:before="156" w:beforeLines="50" w:line="360" w:lineRule="auto"/>
      <w:ind w:firstLine="420"/>
    </w:pPr>
    <w:rPr>
      <w:rFonts w:cs="宋体"/>
      <w:sz w:val="24"/>
      <w:szCs w:val="20"/>
    </w:rPr>
  </w:style>
  <w:style w:type="paragraph" w:customStyle="1" w:styleId="907">
    <w:name w:val="xl2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08">
    <w:name w:val="列出段落31"/>
    <w:basedOn w:val="1"/>
    <w:autoRedefine/>
    <w:qFormat/>
    <w:uiPriority w:val="0"/>
    <w:pPr>
      <w:adjustRightInd/>
      <w:spacing w:line="360" w:lineRule="auto"/>
      <w:ind w:firstLine="420" w:firstLineChars="200"/>
    </w:pPr>
    <w:rPr>
      <w:rFonts w:ascii="Calibri" w:hAnsi="Calibri"/>
      <w:sz w:val="24"/>
      <w:szCs w:val="22"/>
    </w:rPr>
  </w:style>
  <w:style w:type="paragraph" w:customStyle="1" w:styleId="909">
    <w:name w:val="Char Char1 Char Char Char Char Char Char Char Char Char Char Char Char Char Char Char"/>
    <w:basedOn w:val="1"/>
    <w:autoRedefine/>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0">
    <w:name w:val="Char Char112"/>
    <w:basedOn w:val="1"/>
    <w:autoRedefine/>
    <w:qFormat/>
    <w:uiPriority w:val="6"/>
    <w:pPr>
      <w:widowControl/>
      <w:spacing w:after="160" w:line="240" w:lineRule="exact"/>
      <w:jc w:val="left"/>
    </w:pPr>
    <w:rPr>
      <w:rFonts w:eastAsia="仿宋_GB2312"/>
      <w:sz w:val="28"/>
    </w:rPr>
  </w:style>
  <w:style w:type="paragraph" w:customStyle="1" w:styleId="911">
    <w:name w:val="正文 图"/>
    <w:basedOn w:val="441"/>
    <w:autoRedefine/>
    <w:qFormat/>
    <w:uiPriority w:val="0"/>
    <w:pPr>
      <w:adjustRightInd/>
      <w:spacing w:before="0"/>
      <w:ind w:firstLine="0"/>
      <w:jc w:val="center"/>
    </w:pPr>
    <w:rPr>
      <w:rFonts w:ascii="微软雅黑" w:hAnsi="微软雅黑"/>
    </w:rPr>
  </w:style>
  <w:style w:type="paragraph" w:customStyle="1" w:styleId="912">
    <w:name w:val="xl9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3">
    <w:name w:val="±íÑùÊ½"/>
    <w:basedOn w:val="1"/>
    <w:autoRedefine/>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4">
    <w:name w:val="Thf"/>
    <w:basedOn w:val="559"/>
    <w:autoRedefine/>
    <w:qFormat/>
    <w:uiPriority w:val="0"/>
    <w:pPr>
      <w:ind w:left="0"/>
    </w:pPr>
  </w:style>
  <w:style w:type="paragraph" w:customStyle="1" w:styleId="915">
    <w:name w:val="xl7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6">
    <w:name w:val="subhead 2"/>
    <w:autoRedefine/>
    <w:qFormat/>
    <w:uiPriority w:val="0"/>
    <w:pPr>
      <w:spacing w:after="60" w:line="240" w:lineRule="exact"/>
    </w:pPr>
    <w:rPr>
      <w:rFonts w:ascii="Arial" w:hAnsi="Arial" w:eastAsia="宋体" w:cs="Times New Roman"/>
      <w:b/>
      <w:sz w:val="22"/>
      <w:lang w:val="en-US" w:eastAsia="en-US" w:bidi="ar-SA"/>
    </w:rPr>
  </w:style>
  <w:style w:type="paragraph" w:customStyle="1" w:styleId="917">
    <w:name w:val="注释"/>
    <w:basedOn w:val="1"/>
    <w:autoRedefine/>
    <w:qFormat/>
    <w:uiPriority w:val="0"/>
    <w:pPr>
      <w:adjustRightInd/>
      <w:spacing w:line="360" w:lineRule="auto"/>
      <w:ind w:firstLine="480"/>
    </w:pPr>
    <w:rPr>
      <w:sz w:val="24"/>
    </w:rPr>
  </w:style>
  <w:style w:type="table" w:customStyle="1" w:styleId="918">
    <w:name w:val="网格型2"/>
    <w:basedOn w:val="63"/>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19">
    <w:name w:val="网格型1"/>
    <w:basedOn w:val="63"/>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0">
    <w:name w:val="网格型6"/>
    <w:basedOn w:val="63"/>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1">
    <w:name w:val="网格型3"/>
    <w:basedOn w:val="63"/>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2">
    <w:name w:val="网格型4"/>
    <w:basedOn w:val="63"/>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5"/>
    <w:basedOn w:val="63"/>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4">
    <w:name w:val="列出段落111"/>
    <w:basedOn w:val="1"/>
    <w:autoRedefine/>
    <w:qFormat/>
    <w:uiPriority w:val="34"/>
    <w:pPr>
      <w:ind w:firstLine="420" w:firstLineChars="200"/>
    </w:pPr>
  </w:style>
  <w:style w:type="character" w:customStyle="1" w:styleId="925">
    <w:name w:val="交叉引用"/>
    <w:autoRedefine/>
    <w:qFormat/>
    <w:uiPriority w:val="1"/>
    <w:rPr>
      <w:rFonts w:ascii="Arial" w:hAnsi="Arial" w:eastAsia="黑体"/>
      <w:snapToGrid w:val="0"/>
      <w:color w:val="0000FF"/>
      <w:kern w:val="0"/>
      <w:sz w:val="20"/>
      <w:szCs w:val="21"/>
      <w:u w:val="single"/>
      <w:lang w:val="en-US" w:eastAsia="zh-CN"/>
    </w:rPr>
  </w:style>
  <w:style w:type="character" w:customStyle="1" w:styleId="926">
    <w:name w:val="正文缩进 字符1"/>
    <w:autoRedefine/>
    <w:qFormat/>
    <w:uiPriority w:val="0"/>
    <w:rPr>
      <w:rFonts w:ascii="宋体" w:eastAsia="宋体"/>
      <w:snapToGrid w:val="0"/>
      <w:color w:val="000000"/>
      <w:kern w:val="28"/>
      <w:sz w:val="28"/>
      <w:lang w:val="en-US" w:eastAsia="zh-CN" w:bidi="ar-SA"/>
    </w:rPr>
  </w:style>
  <w:style w:type="character" w:customStyle="1" w:styleId="927">
    <w:name w:val="页脚 字符1"/>
    <w:autoRedefine/>
    <w:qFormat/>
    <w:locked/>
    <w:uiPriority w:val="99"/>
    <w:rPr>
      <w:kern w:val="2"/>
      <w:sz w:val="18"/>
      <w:szCs w:val="18"/>
    </w:rPr>
  </w:style>
  <w:style w:type="character" w:customStyle="1" w:styleId="928">
    <w:name w:val="页眉 字符1"/>
    <w:autoRedefine/>
    <w:qFormat/>
    <w:uiPriority w:val="99"/>
    <w:rPr>
      <w:kern w:val="2"/>
      <w:sz w:val="18"/>
      <w:szCs w:val="18"/>
    </w:rPr>
  </w:style>
  <w:style w:type="character" w:customStyle="1" w:styleId="929">
    <w:name w:val="尾注文本 Char"/>
    <w:link w:val="39"/>
    <w:autoRedefine/>
    <w:qFormat/>
    <w:uiPriority w:val="0"/>
    <w:rPr>
      <w:kern w:val="2"/>
      <w:sz w:val="21"/>
      <w:szCs w:val="24"/>
      <w:lang w:val="zh-CN"/>
    </w:rPr>
  </w:style>
  <w:style w:type="character" w:customStyle="1" w:styleId="930">
    <w:name w:val="无间隔 Char"/>
    <w:link w:val="480"/>
    <w:autoRedefine/>
    <w:qFormat/>
    <w:uiPriority w:val="99"/>
    <w:rPr>
      <w:kern w:val="2"/>
      <w:sz w:val="21"/>
      <w:szCs w:val="22"/>
    </w:rPr>
  </w:style>
  <w:style w:type="character" w:customStyle="1" w:styleId="931">
    <w:name w:val="标准文本 Char Char"/>
    <w:link w:val="932"/>
    <w:autoRedefine/>
    <w:qFormat/>
    <w:uiPriority w:val="0"/>
    <w:rPr>
      <w:rFonts w:cs="宋体"/>
      <w:kern w:val="2"/>
      <w:sz w:val="24"/>
    </w:rPr>
  </w:style>
  <w:style w:type="paragraph" w:customStyle="1" w:styleId="932">
    <w:name w:val="标准文本"/>
    <w:basedOn w:val="1"/>
    <w:link w:val="931"/>
    <w:autoRedefine/>
    <w:qFormat/>
    <w:uiPriority w:val="0"/>
    <w:pPr>
      <w:adjustRightInd/>
      <w:spacing w:line="360" w:lineRule="auto"/>
      <w:ind w:firstLine="480" w:firstLineChars="200"/>
    </w:pPr>
    <w:rPr>
      <w:rFonts w:cs="宋体"/>
      <w:sz w:val="24"/>
      <w:szCs w:val="20"/>
    </w:rPr>
  </w:style>
  <w:style w:type="character" w:customStyle="1" w:styleId="933">
    <w:name w:val="Char Char213"/>
    <w:autoRedefine/>
    <w:qFormat/>
    <w:uiPriority w:val="0"/>
    <w:rPr>
      <w:rFonts w:eastAsia="Century Gothic"/>
      <w:b/>
      <w:bCs/>
      <w:kern w:val="44"/>
      <w:sz w:val="32"/>
      <w:szCs w:val="44"/>
      <w:lang w:val="en-US" w:eastAsia="zh-CN" w:bidi="ar-SA"/>
    </w:rPr>
  </w:style>
  <w:style w:type="character" w:customStyle="1" w:styleId="934">
    <w:name w:val="apple-style-span"/>
    <w:autoRedefine/>
    <w:qFormat/>
    <w:uiPriority w:val="0"/>
    <w:rPr>
      <w:rFonts w:ascii="Arial" w:hAnsi="Arial" w:eastAsia="黑体" w:cs="Arial"/>
      <w:snapToGrid w:val="0"/>
      <w:kern w:val="0"/>
      <w:szCs w:val="21"/>
    </w:rPr>
  </w:style>
  <w:style w:type="character" w:customStyle="1" w:styleId="935">
    <w:name w:val="15"/>
    <w:autoRedefine/>
    <w:qFormat/>
    <w:uiPriority w:val="0"/>
    <w:rPr>
      <w:rFonts w:hint="default" w:ascii="Calibri" w:hAnsi="Calibri"/>
      <w:color w:val="0000FF"/>
      <w:u w:val="single"/>
    </w:rPr>
  </w:style>
  <w:style w:type="character" w:customStyle="1" w:styleId="936">
    <w:name w:val="16"/>
    <w:autoRedefine/>
    <w:qFormat/>
    <w:uiPriority w:val="0"/>
    <w:rPr>
      <w:rFonts w:hint="eastAsia" w:ascii="宋体" w:hAnsi="宋体" w:eastAsia="宋体"/>
      <w:color w:val="000000"/>
      <w:sz w:val="20"/>
      <w:szCs w:val="20"/>
    </w:rPr>
  </w:style>
  <w:style w:type="character" w:customStyle="1" w:styleId="937">
    <w:name w:val="edui-unclickable"/>
    <w:autoRedefine/>
    <w:qFormat/>
    <w:uiPriority w:val="0"/>
    <w:rPr>
      <w:color w:val="808080"/>
    </w:rPr>
  </w:style>
  <w:style w:type="character" w:customStyle="1" w:styleId="938">
    <w:name w:val="tpc_content1"/>
    <w:autoRedefine/>
    <w:qFormat/>
    <w:uiPriority w:val="0"/>
    <w:rPr>
      <w:sz w:val="20"/>
      <w:szCs w:val="20"/>
    </w:rPr>
  </w:style>
  <w:style w:type="character" w:customStyle="1" w:styleId="939">
    <w:name w:val="正文文本缩进 字符"/>
    <w:autoRedefine/>
    <w:qFormat/>
    <w:uiPriority w:val="0"/>
    <w:rPr>
      <w:rFonts w:ascii="Century Gothic" w:hAnsi="Century Gothic" w:eastAsia="Century Gothic"/>
      <w:kern w:val="2"/>
      <w:sz w:val="24"/>
      <w:lang w:val="en-US" w:eastAsia="zh-CN" w:bidi="ar-SA"/>
    </w:rPr>
  </w:style>
  <w:style w:type="character" w:customStyle="1" w:styleId="940">
    <w:name w:val="正文文本 2 字符"/>
    <w:autoRedefine/>
    <w:qFormat/>
    <w:uiPriority w:val="0"/>
    <w:rPr>
      <w:rFonts w:ascii="Arial" w:hAnsi="Arial" w:eastAsia="宋体"/>
      <w:kern w:val="2"/>
      <w:sz w:val="24"/>
      <w:szCs w:val="24"/>
      <w:lang w:val="en-US" w:eastAsia="zh-CN" w:bidi="ar-SA"/>
    </w:rPr>
  </w:style>
  <w:style w:type="character" w:customStyle="1" w:styleId="941">
    <w:name w:val="edui-clickable2"/>
    <w:autoRedefine/>
    <w:qFormat/>
    <w:uiPriority w:val="0"/>
    <w:rPr>
      <w:color w:val="0000FF"/>
      <w:u w:val="single"/>
    </w:rPr>
  </w:style>
  <w:style w:type="character" w:customStyle="1" w:styleId="942">
    <w:name w:val="style1"/>
    <w:autoRedefine/>
    <w:qFormat/>
    <w:uiPriority w:val="0"/>
    <w:rPr>
      <w:rFonts w:ascii="Arial" w:hAnsi="Arial" w:eastAsia="黑体" w:cs="Arial"/>
      <w:snapToGrid w:val="0"/>
      <w:kern w:val="0"/>
      <w:szCs w:val="21"/>
    </w:rPr>
  </w:style>
  <w:style w:type="character" w:customStyle="1" w:styleId="943">
    <w:name w:val="zbggtop11 style5"/>
    <w:autoRedefine/>
    <w:qFormat/>
    <w:uiPriority w:val="0"/>
    <w:rPr>
      <w:rFonts w:ascii="Arial" w:hAnsi="Arial" w:eastAsia="黑体" w:cs="Arial"/>
      <w:snapToGrid w:val="0"/>
      <w:kern w:val="0"/>
      <w:szCs w:val="21"/>
    </w:rPr>
  </w:style>
  <w:style w:type="character" w:customStyle="1" w:styleId="944">
    <w:name w:val="纯文本 Char Char Char Char Char Char Char Char Char Char Char Char Char Char Char"/>
    <w:autoRedefine/>
    <w:qFormat/>
    <w:uiPriority w:val="0"/>
    <w:rPr>
      <w:rFonts w:ascii="宋体" w:hAnsi="Courier New" w:eastAsia="宋体" w:cs="Courier New"/>
      <w:snapToGrid w:val="0"/>
      <w:sz w:val="18"/>
      <w:szCs w:val="21"/>
      <w:lang w:val="en-US" w:eastAsia="zh-CN" w:bidi="ar-SA"/>
    </w:rPr>
  </w:style>
  <w:style w:type="character" w:customStyle="1" w:styleId="945">
    <w:name w:val="bulletintext1"/>
    <w:autoRedefine/>
    <w:qFormat/>
    <w:uiPriority w:val="0"/>
    <w:rPr>
      <w:color w:val="000000"/>
      <w:sz w:val="18"/>
    </w:rPr>
  </w:style>
  <w:style w:type="paragraph" w:customStyle="1" w:styleId="946">
    <w:name w:val="_Style 947"/>
    <w:basedOn w:val="1"/>
    <w:next w:val="256"/>
    <w:autoRedefine/>
    <w:qFormat/>
    <w:uiPriority w:val="34"/>
    <w:pPr>
      <w:adjustRightInd/>
      <w:ind w:firstLine="420" w:firstLineChars="200"/>
    </w:pPr>
  </w:style>
  <w:style w:type="paragraph" w:customStyle="1" w:styleId="947">
    <w:name w:val="正文5"/>
    <w:autoRedefine/>
    <w:qFormat/>
    <w:uiPriority w:val="0"/>
    <w:pPr>
      <w:jc w:val="both"/>
    </w:pPr>
    <w:rPr>
      <w:rFonts w:ascii="Times New Roman" w:hAnsi="Times New Roman" w:eastAsia="宋体" w:cs="宋体"/>
      <w:kern w:val="2"/>
      <w:sz w:val="21"/>
      <w:szCs w:val="21"/>
      <w:lang w:val="en-US" w:eastAsia="zh-CN" w:bidi="ar-SA"/>
    </w:rPr>
  </w:style>
  <w:style w:type="paragraph" w:customStyle="1" w:styleId="948">
    <w:name w:val="纯文本2"/>
    <w:basedOn w:val="1"/>
    <w:autoRedefine/>
    <w:qFormat/>
    <w:uiPriority w:val="0"/>
    <w:pPr>
      <w:adjustRightInd/>
      <w:snapToGrid w:val="0"/>
      <w:jc w:val="left"/>
    </w:pPr>
    <w:rPr>
      <w:rFonts w:ascii="Century Gothic" w:hAnsi="楷体_GB2312" w:eastAsia="Century Gothic"/>
      <w:szCs w:val="20"/>
    </w:rPr>
  </w:style>
  <w:style w:type="paragraph" w:customStyle="1" w:styleId="949">
    <w:name w:val="*Body 1"/>
    <w:autoRedefine/>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0">
    <w:name w:val="font1"/>
    <w:basedOn w:val="1"/>
    <w:autoRedefine/>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1">
    <w:name w:val="节"/>
    <w:basedOn w:val="5"/>
    <w:autoRedefine/>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2">
    <w:name w:val="Blockquote"/>
    <w:basedOn w:val="1"/>
    <w:autoRedefine/>
    <w:qFormat/>
    <w:uiPriority w:val="0"/>
    <w:pPr>
      <w:autoSpaceDE w:val="0"/>
      <w:autoSpaceDN w:val="0"/>
      <w:spacing w:before="100" w:after="100"/>
      <w:ind w:left="360" w:right="360"/>
      <w:jc w:val="left"/>
    </w:pPr>
    <w:rPr>
      <w:kern w:val="0"/>
      <w:sz w:val="24"/>
      <w:szCs w:val="20"/>
    </w:rPr>
  </w:style>
  <w:style w:type="paragraph" w:customStyle="1" w:styleId="953">
    <w:name w:val="p1"/>
    <w:basedOn w:val="1"/>
    <w:autoRedefine/>
    <w:qFormat/>
    <w:uiPriority w:val="0"/>
    <w:pPr>
      <w:widowControl/>
      <w:adjustRightInd/>
      <w:jc w:val="left"/>
    </w:pPr>
    <w:rPr>
      <w:rFonts w:ascii=".PingFang SC" w:eastAsia=".PingFang SC"/>
      <w:color w:val="454545"/>
      <w:kern w:val="0"/>
      <w:sz w:val="18"/>
      <w:szCs w:val="18"/>
    </w:rPr>
  </w:style>
  <w:style w:type="paragraph" w:customStyle="1" w:styleId="954">
    <w:name w:val="Table Paragraph"/>
    <w:basedOn w:val="1"/>
    <w:autoRedefine/>
    <w:qFormat/>
    <w:uiPriority w:val="0"/>
    <w:pPr>
      <w:adjustRightInd/>
      <w:jc w:val="left"/>
    </w:pPr>
    <w:rPr>
      <w:rFonts w:ascii="Calibri" w:hAnsi="Calibri"/>
      <w:kern w:val="0"/>
      <w:sz w:val="22"/>
      <w:szCs w:val="22"/>
      <w:lang w:eastAsia="en-US"/>
    </w:rPr>
  </w:style>
  <w:style w:type="paragraph" w:customStyle="1" w:styleId="955">
    <w:name w:val="Preformatted"/>
    <w:basedOn w:val="1"/>
    <w:autoRedefine/>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6">
    <w:name w:val="xl22"/>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57">
    <w:name w:val="text-tag"/>
    <w:basedOn w:val="1"/>
    <w:autoRedefine/>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58">
    <w:name w:val="ksfind_class_select1"/>
    <w:basedOn w:val="70"/>
    <w:autoRedefine/>
    <w:qFormat/>
    <w:uiPriority w:val="0"/>
    <w:rPr>
      <w:color w:val="000000"/>
      <w:shd w:val="clear" w:color="auto" w:fill="EFD200"/>
    </w:rPr>
  </w:style>
  <w:style w:type="character" w:customStyle="1" w:styleId="959">
    <w:name w:val="font71"/>
    <w:autoRedefine/>
    <w:qFormat/>
    <w:uiPriority w:val="0"/>
    <w:rPr>
      <w:rFonts w:hint="eastAsia" w:ascii="宋体" w:hAnsi="宋体" w:eastAsia="宋体" w:cs="宋体"/>
      <w:color w:val="000000"/>
      <w:sz w:val="22"/>
      <w:szCs w:val="22"/>
      <w:u w:val="none"/>
    </w:rPr>
  </w:style>
  <w:style w:type="character" w:customStyle="1" w:styleId="960">
    <w:name w:val="font91"/>
    <w:autoRedefine/>
    <w:qFormat/>
    <w:uiPriority w:val="0"/>
    <w:rPr>
      <w:rFonts w:hint="eastAsia" w:ascii="仿宋" w:hAnsi="仿宋" w:eastAsia="仿宋" w:cs="仿宋"/>
      <w:color w:val="000000"/>
      <w:sz w:val="22"/>
      <w:szCs w:val="22"/>
      <w:u w:val="none"/>
    </w:rPr>
  </w:style>
  <w:style w:type="paragraph" w:customStyle="1" w:styleId="961">
    <w:name w:val="修订4"/>
    <w:autoRedefine/>
    <w:hidden/>
    <w:semiHidden/>
    <w:qFormat/>
    <w:uiPriority w:val="99"/>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8" Type="http://schemas.openxmlformats.org/officeDocument/2006/relationships/fontTable" Target="fontTable.xml"/><Relationship Id="rId27" Type="http://schemas.openxmlformats.org/officeDocument/2006/relationships/numbering" Target="numbering.xml"/><Relationship Id="rId26" Type="http://schemas.openxmlformats.org/officeDocument/2006/relationships/customXml" Target="../customXml/item1.xml"/><Relationship Id="rId25" Type="http://schemas.openxmlformats.org/officeDocument/2006/relationships/theme" Target="theme/theme1.xml"/><Relationship Id="rId24" Type="http://schemas.openxmlformats.org/officeDocument/2006/relationships/footer" Target="footer12.xml"/><Relationship Id="rId23" Type="http://schemas.openxmlformats.org/officeDocument/2006/relationships/footer" Target="footer11.xml"/><Relationship Id="rId22" Type="http://schemas.openxmlformats.org/officeDocument/2006/relationships/footer" Target="footer10.xml"/><Relationship Id="rId21" Type="http://schemas.openxmlformats.org/officeDocument/2006/relationships/header" Target="header10.xml"/><Relationship Id="rId20" Type="http://schemas.openxmlformats.org/officeDocument/2006/relationships/header" Target="header9.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89</Pages>
  <Words>29580</Words>
  <Characters>31632</Characters>
  <Lines>281</Lines>
  <Paragraphs>79</Paragraphs>
  <TotalTime>42</TotalTime>
  <ScaleCrop>false</ScaleCrop>
  <LinksUpToDate>false</LinksUpToDate>
  <CharactersWithSpaces>32324</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2021-07-30T08:22:00Z</dcterms:created>
  <dc:creator>玥</dc:creator>
  <cp:lastModifiedBy>Jnkun</cp:lastModifiedBy>
  <cp:lastPrinted>2023-04-25T04:20:00Z</cp:lastPrinted>
  <dcterms:modified xsi:type="dcterms:W3CDTF">2025-04-03T07:36:14Z</dcterms:modified>
  <dc:title>杭州市市民卡扩大发卡工程</dc:title>
  <cp:revision>303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D0F21EAE696F4D4EA7FAA83507660AE9_13</vt:lpwstr>
  </property>
  <property fmtid="{D5CDD505-2E9C-101B-9397-08002B2CF9AE}" pid="5" name="KSOTemplateDocerSaveRecord">
    <vt:lpwstr>eyJoZGlkIjoiYjQ0YmM1ZTJhMmZkNjg5YTNjMWY2YzVjMWJkMzkxYzEiLCJ1c2VySWQiOiIxNzg2MzQ1MCJ9</vt:lpwstr>
  </property>
</Properties>
</file>