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844CC88">
      <w:pPr>
        <w:rPr>
          <w:rFonts w:ascii="宋体" w:hAnsi="宋体"/>
          <w:color w:val="auto"/>
          <w:sz w:val="44"/>
          <w:szCs w:val="20"/>
          <w:highlight w:val="none"/>
        </w:rPr>
      </w:pPr>
    </w:p>
    <w:p w14:paraId="16E26204">
      <w:pPr>
        <w:rPr>
          <w:rFonts w:ascii="宋体" w:hAnsi="宋体"/>
          <w:color w:val="auto"/>
          <w:sz w:val="52"/>
          <w:szCs w:val="52"/>
          <w:highlight w:val="none"/>
        </w:rPr>
      </w:pPr>
    </w:p>
    <w:p w14:paraId="1485928A">
      <w:pPr>
        <w:spacing w:line="360" w:lineRule="auto"/>
        <w:jc w:val="center"/>
        <w:rPr>
          <w:rFonts w:hint="default" w:ascii="方正小标宋简体" w:hAnsi="宋体" w:eastAsia="方正小标宋简体"/>
          <w:color w:val="auto"/>
          <w:sz w:val="48"/>
          <w:szCs w:val="48"/>
          <w:highlight w:val="none"/>
          <w:lang w:val="en-US" w:eastAsia="zh-CN"/>
        </w:rPr>
      </w:pPr>
      <w:r>
        <w:rPr>
          <w:rFonts w:hint="eastAsia" w:ascii="方正小标宋简体" w:hAnsi="宋体" w:eastAsia="方正小标宋简体"/>
          <w:bCs/>
          <w:color w:val="auto"/>
          <w:sz w:val="48"/>
          <w:szCs w:val="48"/>
          <w:highlight w:val="none"/>
          <w:lang w:eastAsia="zh-CN"/>
        </w:rPr>
        <w:t>海曙区横街镇校园保安服务</w:t>
      </w:r>
      <w:r>
        <w:rPr>
          <w:rFonts w:hint="eastAsia" w:ascii="方正小标宋简体" w:hAnsi="宋体" w:eastAsia="方正小标宋简体"/>
          <w:bCs/>
          <w:color w:val="auto"/>
          <w:sz w:val="48"/>
          <w:szCs w:val="48"/>
          <w:highlight w:val="none"/>
          <w:lang w:val="en-US" w:eastAsia="zh-CN"/>
        </w:rPr>
        <w:t>项目</w:t>
      </w:r>
    </w:p>
    <w:p w14:paraId="6E020ADC">
      <w:pPr>
        <w:spacing w:line="360" w:lineRule="auto"/>
        <w:jc w:val="left"/>
        <w:rPr>
          <w:rFonts w:ascii="方正小标宋简体" w:hAnsi="宋体" w:eastAsia="方正小标宋简体"/>
          <w:color w:val="auto"/>
          <w:sz w:val="40"/>
          <w:szCs w:val="40"/>
          <w:highlight w:val="none"/>
        </w:rPr>
      </w:pPr>
    </w:p>
    <w:p w14:paraId="003584AB">
      <w:pPr>
        <w:spacing w:before="156" w:beforeLines="50"/>
        <w:jc w:val="center"/>
        <w:rPr>
          <w:rFonts w:ascii="方正小标宋简体" w:hAnsi="宋体" w:eastAsia="方正小标宋简体"/>
          <w:color w:val="auto"/>
          <w:sz w:val="52"/>
          <w:szCs w:val="52"/>
          <w:highlight w:val="none"/>
        </w:rPr>
      </w:pPr>
      <w:r>
        <w:rPr>
          <w:rFonts w:hint="eastAsia" w:ascii="方正小标宋简体" w:hAnsi="宋体" w:eastAsia="方正小标宋简体"/>
          <w:color w:val="auto"/>
          <w:sz w:val="52"/>
          <w:szCs w:val="52"/>
          <w:highlight w:val="none"/>
        </w:rPr>
        <w:t>竞争性磋商采购文件</w:t>
      </w:r>
    </w:p>
    <w:p w14:paraId="4A0BBC6E">
      <w:pPr>
        <w:pStyle w:val="2"/>
        <w:ind w:firstLine="210"/>
        <w:rPr>
          <w:color w:val="auto"/>
          <w:highlight w:val="none"/>
        </w:rPr>
      </w:pPr>
    </w:p>
    <w:p w14:paraId="710ECCDC">
      <w:pPr>
        <w:snapToGrid w:val="0"/>
        <w:spacing w:before="120" w:after="120" w:line="360" w:lineRule="auto"/>
        <w:jc w:val="center"/>
        <w:rPr>
          <w:rFonts w:hint="eastAsia" w:ascii="宋体" w:hAnsi="宋体" w:eastAsia="方正小标宋简体" w:cs="Arial"/>
          <w:bCs/>
          <w:color w:val="auto"/>
          <w:sz w:val="28"/>
          <w:szCs w:val="28"/>
          <w:highlight w:val="none"/>
          <w:lang w:eastAsia="zh-CN"/>
        </w:rPr>
      </w:pPr>
      <w:r>
        <w:rPr>
          <w:rFonts w:hint="eastAsia" w:ascii="方正小标宋简体" w:hAnsi="宋体" w:eastAsia="方正小标宋简体"/>
          <w:bCs/>
          <w:color w:val="auto"/>
          <w:sz w:val="30"/>
          <w:szCs w:val="30"/>
          <w:highlight w:val="none"/>
        </w:rPr>
        <w:t>项目编号：</w:t>
      </w:r>
      <w:r>
        <w:rPr>
          <w:rFonts w:hint="eastAsia" w:ascii="方正小标宋简体" w:hAnsi="宋体" w:eastAsia="方正小标宋简体" w:cs="Arial"/>
          <w:bCs/>
          <w:color w:val="auto"/>
          <w:sz w:val="32"/>
          <w:szCs w:val="32"/>
          <w:highlight w:val="none"/>
          <w:lang w:eastAsia="zh-CN"/>
        </w:rPr>
        <w:t>2025NBHSWCS061</w:t>
      </w:r>
    </w:p>
    <w:p w14:paraId="0E70CAE4">
      <w:pPr>
        <w:spacing w:line="360" w:lineRule="auto"/>
        <w:rPr>
          <w:rFonts w:ascii="宋体" w:hAnsi="宋体" w:cs="Arial"/>
          <w:bCs/>
          <w:color w:val="auto"/>
          <w:sz w:val="28"/>
          <w:szCs w:val="28"/>
          <w:highlight w:val="none"/>
        </w:rPr>
      </w:pPr>
    </w:p>
    <w:p w14:paraId="2A5ADF92">
      <w:pPr>
        <w:spacing w:line="360" w:lineRule="auto"/>
        <w:rPr>
          <w:rFonts w:ascii="宋体" w:hAnsi="宋体"/>
          <w:bCs/>
          <w:color w:val="auto"/>
          <w:sz w:val="28"/>
          <w:szCs w:val="28"/>
          <w:highlight w:val="none"/>
        </w:rPr>
      </w:pPr>
    </w:p>
    <w:p w14:paraId="6E89E830">
      <w:pPr>
        <w:spacing w:line="360" w:lineRule="auto"/>
        <w:rPr>
          <w:rFonts w:ascii="宋体" w:hAnsi="宋体"/>
          <w:bCs/>
          <w:color w:val="auto"/>
          <w:sz w:val="28"/>
          <w:szCs w:val="28"/>
          <w:highlight w:val="none"/>
        </w:rPr>
      </w:pPr>
    </w:p>
    <w:p w14:paraId="4E6EB974">
      <w:pPr>
        <w:spacing w:line="480" w:lineRule="auto"/>
        <w:jc w:val="left"/>
        <w:rPr>
          <w:rFonts w:ascii="方正小标宋简体" w:hAnsi="宋体" w:eastAsia="方正小标宋简体"/>
          <w:bCs/>
          <w:color w:val="auto"/>
          <w:sz w:val="28"/>
          <w:szCs w:val="28"/>
          <w:highlight w:val="none"/>
        </w:rPr>
      </w:pPr>
    </w:p>
    <w:p w14:paraId="2C94E7B0">
      <w:pPr>
        <w:snapToGrid w:val="0"/>
        <w:spacing w:line="480" w:lineRule="auto"/>
        <w:ind w:left="1260" w:leftChars="600"/>
        <w:jc w:val="left"/>
        <w:rPr>
          <w:rFonts w:hint="eastAsia" w:ascii="方正小标宋简体" w:hAnsi="宋体" w:eastAsia="方正小标宋简体"/>
          <w:bCs/>
          <w:color w:val="auto"/>
          <w:sz w:val="30"/>
          <w:szCs w:val="30"/>
          <w:highlight w:val="none"/>
          <w:lang w:eastAsia="zh-CN"/>
        </w:rPr>
      </w:pPr>
      <w:r>
        <w:rPr>
          <w:rFonts w:hint="eastAsia" w:ascii="方正小标宋简体" w:hAnsi="宋体" w:eastAsia="方正小标宋简体"/>
          <w:bCs/>
          <w:color w:val="auto"/>
          <w:sz w:val="30"/>
          <w:szCs w:val="30"/>
          <w:highlight w:val="none"/>
        </w:rPr>
        <w:t>采购单位：</w:t>
      </w:r>
      <w:r>
        <w:rPr>
          <w:rFonts w:hint="eastAsia" w:ascii="方正小标宋简体" w:hAnsi="宋体" w:eastAsia="方正小标宋简体"/>
          <w:bCs/>
          <w:color w:val="auto"/>
          <w:sz w:val="30"/>
          <w:szCs w:val="30"/>
          <w:highlight w:val="none"/>
          <w:lang w:eastAsia="zh-CN"/>
        </w:rPr>
        <w:t>宁波市海曙区横街镇人民政府</w:t>
      </w:r>
    </w:p>
    <w:p w14:paraId="21837363">
      <w:pPr>
        <w:snapToGrid w:val="0"/>
        <w:spacing w:line="480" w:lineRule="auto"/>
        <w:ind w:left="1260" w:leftChars="600"/>
        <w:jc w:val="left"/>
        <w:rPr>
          <w:rFonts w:ascii="方正小标宋简体" w:hAnsi="宋体" w:eastAsia="方正小标宋简体"/>
          <w:bCs/>
          <w:color w:val="auto"/>
          <w:sz w:val="30"/>
          <w:szCs w:val="30"/>
          <w:highlight w:val="none"/>
        </w:rPr>
      </w:pPr>
      <w:r>
        <w:rPr>
          <w:rFonts w:hint="eastAsia" w:ascii="方正小标宋简体" w:hAnsi="宋体" w:eastAsia="方正小标宋简体"/>
          <w:bCs/>
          <w:color w:val="auto"/>
          <w:sz w:val="30"/>
          <w:szCs w:val="30"/>
          <w:highlight w:val="none"/>
        </w:rPr>
        <w:t>代理机构：宁波之新招标咨询有限公司</w:t>
      </w:r>
    </w:p>
    <w:p w14:paraId="240D4AD0">
      <w:pPr>
        <w:snapToGrid w:val="0"/>
        <w:spacing w:line="480" w:lineRule="auto"/>
        <w:ind w:left="1260" w:leftChars="600"/>
        <w:jc w:val="left"/>
        <w:rPr>
          <w:rFonts w:ascii="方正小标宋简体" w:hAnsi="宋体" w:eastAsia="方正小标宋简体"/>
          <w:bCs/>
          <w:color w:val="auto"/>
          <w:w w:val="95"/>
          <w:sz w:val="30"/>
          <w:szCs w:val="30"/>
          <w:highlight w:val="none"/>
        </w:rPr>
      </w:pPr>
      <w:r>
        <w:rPr>
          <w:rFonts w:hint="eastAsia" w:ascii="方正小标宋简体" w:hAnsi="宋体" w:eastAsia="方正小标宋简体"/>
          <w:bCs/>
          <w:color w:val="auto"/>
          <w:sz w:val="30"/>
          <w:szCs w:val="30"/>
          <w:highlight w:val="none"/>
        </w:rPr>
        <w:t>编制日期：</w:t>
      </w:r>
      <w:r>
        <w:rPr>
          <w:rFonts w:hint="eastAsia" w:ascii="方正小标宋简体" w:hAnsi="宋体" w:eastAsia="方正小标宋简体"/>
          <w:bCs/>
          <w:color w:val="auto"/>
          <w:w w:val="95"/>
          <w:sz w:val="30"/>
          <w:szCs w:val="30"/>
          <w:highlight w:val="none"/>
        </w:rPr>
        <w:t>202</w:t>
      </w:r>
      <w:r>
        <w:rPr>
          <w:rFonts w:hint="eastAsia" w:ascii="方正小标宋简体" w:hAnsi="宋体" w:eastAsia="方正小标宋简体"/>
          <w:bCs/>
          <w:color w:val="auto"/>
          <w:w w:val="95"/>
          <w:sz w:val="30"/>
          <w:szCs w:val="30"/>
          <w:highlight w:val="none"/>
          <w:lang w:val="en-US" w:eastAsia="zh-CN"/>
        </w:rPr>
        <w:t>5</w:t>
      </w:r>
      <w:r>
        <w:rPr>
          <w:rFonts w:hint="eastAsia" w:ascii="方正小标宋简体" w:hAnsi="宋体" w:eastAsia="方正小标宋简体"/>
          <w:bCs/>
          <w:color w:val="auto"/>
          <w:w w:val="95"/>
          <w:sz w:val="30"/>
          <w:szCs w:val="30"/>
          <w:highlight w:val="none"/>
        </w:rPr>
        <w:t>年</w:t>
      </w:r>
      <w:r>
        <w:rPr>
          <w:rFonts w:hint="eastAsia" w:ascii="方正小标宋简体" w:hAnsi="宋体" w:eastAsia="方正小标宋简体"/>
          <w:bCs/>
          <w:color w:val="auto"/>
          <w:w w:val="95"/>
          <w:sz w:val="30"/>
          <w:szCs w:val="30"/>
          <w:highlight w:val="none"/>
          <w:lang w:val="en-US" w:eastAsia="zh-CN"/>
        </w:rPr>
        <w:t>3月</w:t>
      </w:r>
    </w:p>
    <w:p w14:paraId="5AEB5843">
      <w:pPr>
        <w:pStyle w:val="2"/>
        <w:ind w:firstLine="210"/>
        <w:rPr>
          <w:color w:val="auto"/>
          <w:highlight w:val="none"/>
        </w:rPr>
      </w:pPr>
    </w:p>
    <w:p w14:paraId="331538D5">
      <w:pPr>
        <w:rPr>
          <w:color w:val="auto"/>
          <w:highlight w:val="none"/>
        </w:rPr>
        <w:sectPr>
          <w:headerReference r:id="rId4" w:type="first"/>
          <w:footerReference r:id="rId6" w:type="first"/>
          <w:headerReference r:id="rId3" w:type="default"/>
          <w:footerReference r:id="rId5" w:type="default"/>
          <w:pgSz w:w="11906" w:h="16838"/>
          <w:pgMar w:top="1440" w:right="1800" w:bottom="1440" w:left="1800" w:header="851" w:footer="992" w:gutter="0"/>
          <w:pgNumType w:fmt="numberInDash" w:start="1"/>
          <w:cols w:space="720" w:num="1"/>
          <w:titlePg/>
          <w:docGrid w:type="lines" w:linePitch="312" w:charSpace="0"/>
        </w:sectPr>
      </w:pPr>
    </w:p>
    <w:p w14:paraId="239059C7">
      <w:pPr>
        <w:rPr>
          <w:color w:val="auto"/>
          <w:highlight w:val="none"/>
        </w:rPr>
      </w:pPr>
    </w:p>
    <w:sdt>
      <w:sdtPr>
        <w:rPr>
          <w:rFonts w:ascii="宋体" w:hAnsi="宋体"/>
          <w:b/>
          <w:bCs/>
          <w:color w:val="auto"/>
          <w:sz w:val="52"/>
          <w:szCs w:val="52"/>
          <w:highlight w:val="none"/>
        </w:rPr>
        <w:id w:val="147471738"/>
        <w15:color w:val="DBDBDB"/>
        <w:docPartObj>
          <w:docPartGallery w:val="Table of Contents"/>
          <w:docPartUnique/>
        </w:docPartObj>
      </w:sdtPr>
      <w:sdtEndPr>
        <w:rPr>
          <w:rFonts w:ascii="Times New Roman" w:hAnsi="Times New Roman"/>
          <w:b/>
          <w:bCs/>
          <w:color w:val="auto"/>
          <w:sz w:val="21"/>
          <w:szCs w:val="24"/>
          <w:highlight w:val="none"/>
        </w:rPr>
      </w:sdtEndPr>
      <w:sdtContent>
        <w:p w14:paraId="39A6676D">
          <w:pPr>
            <w:spacing w:line="360" w:lineRule="auto"/>
            <w:jc w:val="center"/>
            <w:rPr>
              <w:rFonts w:ascii="宋体" w:hAnsi="宋体" w:cs="宋体"/>
              <w:color w:val="auto"/>
              <w:sz w:val="28"/>
              <w:szCs w:val="28"/>
              <w:highlight w:val="none"/>
            </w:rPr>
          </w:pPr>
          <w:r>
            <w:rPr>
              <w:rFonts w:ascii="宋体" w:hAnsi="宋体"/>
              <w:b/>
              <w:bCs/>
              <w:color w:val="auto"/>
              <w:sz w:val="52"/>
              <w:szCs w:val="52"/>
              <w:highlight w:val="none"/>
            </w:rPr>
            <w:t>目</w:t>
          </w:r>
          <w:r>
            <w:rPr>
              <w:rFonts w:hint="eastAsia" w:ascii="宋体" w:hAnsi="宋体"/>
              <w:b/>
              <w:bCs/>
              <w:color w:val="auto"/>
              <w:sz w:val="52"/>
              <w:szCs w:val="52"/>
              <w:highlight w:val="none"/>
            </w:rPr>
            <w:t xml:space="preserve">   </w:t>
          </w:r>
          <w:r>
            <w:rPr>
              <w:rFonts w:ascii="宋体" w:hAnsi="宋体"/>
              <w:b/>
              <w:bCs/>
              <w:color w:val="auto"/>
              <w:sz w:val="52"/>
              <w:szCs w:val="52"/>
              <w:highlight w:val="none"/>
            </w:rPr>
            <w:t>录</w:t>
          </w:r>
        </w:p>
        <w:p w14:paraId="429F33C4">
          <w:pPr>
            <w:pStyle w:val="33"/>
            <w:tabs>
              <w:tab w:val="right" w:leader="dot" w:pos="8504"/>
            </w:tabs>
            <w:rPr>
              <w:color w:val="auto"/>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"1-1" \h \u </w:instrText>
          </w:r>
          <w:r>
            <w:rPr>
              <w:rFonts w:hint="eastAsia" w:ascii="宋体" w:hAnsi="宋体" w:cs="宋体"/>
              <w:color w:val="auto"/>
              <w:sz w:val="28"/>
              <w:szCs w:val="28"/>
              <w:highlight w:val="none"/>
            </w:rPr>
            <w:fldChar w:fldCharType="separate"/>
          </w:r>
          <w:r>
            <w:rPr>
              <w:color w:val="auto"/>
              <w:highlight w:val="none"/>
            </w:rPr>
            <w:fldChar w:fldCharType="begin"/>
          </w:r>
          <w:r>
            <w:rPr>
              <w:color w:val="auto"/>
              <w:highlight w:val="none"/>
            </w:rPr>
            <w:instrText xml:space="preserve"> HYPERLINK \l "_Toc2487" </w:instrText>
          </w:r>
          <w:r>
            <w:rPr>
              <w:color w:val="auto"/>
              <w:highlight w:val="none"/>
            </w:rPr>
            <w:fldChar w:fldCharType="separate"/>
          </w:r>
          <w:r>
            <w:rPr>
              <w:rFonts w:asciiTheme="majorEastAsia" w:hAnsiTheme="majorEastAsia" w:eastAsiaTheme="majorEastAsia"/>
              <w:bCs/>
              <w:color w:val="auto"/>
              <w:szCs w:val="40"/>
              <w:highlight w:val="none"/>
            </w:rPr>
            <w:t>第一章  竞争性磋商采购公告</w:t>
          </w:r>
          <w:r>
            <w:rPr>
              <w:color w:val="auto"/>
              <w:highlight w:val="none"/>
            </w:rPr>
            <w:tab/>
          </w:r>
          <w:r>
            <w:rPr>
              <w:color w:val="auto"/>
              <w:highlight w:val="none"/>
            </w:rPr>
            <w:fldChar w:fldCharType="begin"/>
          </w:r>
          <w:r>
            <w:rPr>
              <w:color w:val="auto"/>
              <w:highlight w:val="none"/>
            </w:rPr>
            <w:instrText xml:space="preserve"> PAGEREF _Toc2487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455E68A2">
          <w:pPr>
            <w:pStyle w:val="33"/>
            <w:tabs>
              <w:tab w:val="right" w:leader="dot" w:pos="8504"/>
            </w:tabs>
            <w:rPr>
              <w:color w:val="auto"/>
              <w:highlight w:val="none"/>
            </w:rPr>
          </w:pPr>
          <w:r>
            <w:rPr>
              <w:color w:val="auto"/>
              <w:highlight w:val="none"/>
            </w:rPr>
            <w:fldChar w:fldCharType="begin"/>
          </w:r>
          <w:r>
            <w:rPr>
              <w:color w:val="auto"/>
              <w:highlight w:val="none"/>
            </w:rPr>
            <w:instrText xml:space="preserve"> HYPERLINK \l "_Toc16919" </w:instrText>
          </w:r>
          <w:r>
            <w:rPr>
              <w:color w:val="auto"/>
              <w:highlight w:val="none"/>
            </w:rPr>
            <w:fldChar w:fldCharType="separate"/>
          </w:r>
          <w:r>
            <w:rPr>
              <w:rFonts w:asciiTheme="majorEastAsia" w:hAnsiTheme="majorEastAsia" w:eastAsiaTheme="majorEastAsia"/>
              <w:bCs/>
              <w:color w:val="auto"/>
              <w:szCs w:val="40"/>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_Toc16919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17F35A1A">
          <w:pPr>
            <w:pStyle w:val="33"/>
            <w:tabs>
              <w:tab w:val="right" w:leader="dot" w:pos="8504"/>
            </w:tabs>
            <w:rPr>
              <w:color w:val="auto"/>
              <w:highlight w:val="none"/>
            </w:rPr>
          </w:pPr>
          <w:r>
            <w:rPr>
              <w:color w:val="auto"/>
              <w:highlight w:val="none"/>
            </w:rPr>
            <w:fldChar w:fldCharType="begin"/>
          </w:r>
          <w:r>
            <w:rPr>
              <w:color w:val="auto"/>
              <w:highlight w:val="none"/>
            </w:rPr>
            <w:instrText xml:space="preserve"> HYPERLINK \l "_Toc27001" </w:instrText>
          </w:r>
          <w:r>
            <w:rPr>
              <w:color w:val="auto"/>
              <w:highlight w:val="none"/>
            </w:rPr>
            <w:fldChar w:fldCharType="separate"/>
          </w:r>
          <w:r>
            <w:rPr>
              <w:rFonts w:asciiTheme="majorEastAsia" w:hAnsiTheme="majorEastAsia" w:eastAsiaTheme="majorEastAsia"/>
              <w:bCs/>
              <w:color w:val="auto"/>
              <w:szCs w:val="40"/>
              <w:highlight w:val="none"/>
            </w:rPr>
            <w:t>第三章  供应商须知</w:t>
          </w:r>
          <w:r>
            <w:rPr>
              <w:color w:val="auto"/>
              <w:highlight w:val="none"/>
            </w:rPr>
            <w:tab/>
          </w:r>
          <w:r>
            <w:rPr>
              <w:color w:val="auto"/>
              <w:highlight w:val="none"/>
            </w:rPr>
            <w:fldChar w:fldCharType="begin"/>
          </w:r>
          <w:r>
            <w:rPr>
              <w:color w:val="auto"/>
              <w:highlight w:val="none"/>
            </w:rPr>
            <w:instrText xml:space="preserve"> PAGEREF _Toc27001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16AC386F">
          <w:pPr>
            <w:pStyle w:val="33"/>
            <w:tabs>
              <w:tab w:val="right" w:leader="dot" w:pos="8504"/>
            </w:tabs>
            <w:rPr>
              <w:color w:val="auto"/>
              <w:highlight w:val="none"/>
            </w:rPr>
          </w:pPr>
          <w:r>
            <w:rPr>
              <w:color w:val="auto"/>
              <w:highlight w:val="none"/>
            </w:rPr>
            <w:fldChar w:fldCharType="begin"/>
          </w:r>
          <w:r>
            <w:rPr>
              <w:color w:val="auto"/>
              <w:highlight w:val="none"/>
            </w:rPr>
            <w:instrText xml:space="preserve"> HYPERLINK \l "_Toc29249" </w:instrText>
          </w:r>
          <w:r>
            <w:rPr>
              <w:color w:val="auto"/>
              <w:highlight w:val="none"/>
            </w:rPr>
            <w:fldChar w:fldCharType="separate"/>
          </w:r>
          <w:r>
            <w:rPr>
              <w:rFonts w:asciiTheme="majorEastAsia" w:hAnsiTheme="majorEastAsia" w:eastAsiaTheme="majorEastAsia"/>
              <w:bCs/>
              <w:color w:val="auto"/>
              <w:szCs w:val="40"/>
              <w:highlight w:val="none"/>
            </w:rPr>
            <w:t>第四章  评审办法及评分标准</w:t>
          </w:r>
          <w:r>
            <w:rPr>
              <w:color w:val="auto"/>
              <w:highlight w:val="none"/>
            </w:rPr>
            <w:tab/>
          </w:r>
          <w:r>
            <w:rPr>
              <w:color w:val="auto"/>
              <w:highlight w:val="none"/>
            </w:rPr>
            <w:fldChar w:fldCharType="begin"/>
          </w:r>
          <w:r>
            <w:rPr>
              <w:color w:val="auto"/>
              <w:highlight w:val="none"/>
            </w:rPr>
            <w:instrText xml:space="preserve"> PAGEREF _Toc29249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1509E2F0">
          <w:pPr>
            <w:pStyle w:val="33"/>
            <w:tabs>
              <w:tab w:val="right" w:leader="dot" w:pos="8504"/>
            </w:tabs>
            <w:rPr>
              <w:color w:val="auto"/>
              <w:highlight w:val="none"/>
            </w:rPr>
          </w:pPr>
          <w:r>
            <w:rPr>
              <w:color w:val="auto"/>
              <w:highlight w:val="none"/>
            </w:rPr>
            <w:fldChar w:fldCharType="begin"/>
          </w:r>
          <w:r>
            <w:rPr>
              <w:color w:val="auto"/>
              <w:highlight w:val="none"/>
            </w:rPr>
            <w:instrText xml:space="preserve"> HYPERLINK \l "_Toc18899" </w:instrText>
          </w:r>
          <w:r>
            <w:rPr>
              <w:color w:val="auto"/>
              <w:highlight w:val="none"/>
            </w:rPr>
            <w:fldChar w:fldCharType="separate"/>
          </w:r>
          <w:r>
            <w:rPr>
              <w:rFonts w:asciiTheme="majorEastAsia" w:hAnsiTheme="majorEastAsia" w:eastAsiaTheme="majorEastAsia"/>
              <w:bCs/>
              <w:color w:val="auto"/>
              <w:szCs w:val="40"/>
              <w:highlight w:val="none"/>
            </w:rPr>
            <w:t xml:space="preserve">第五章  </w:t>
          </w:r>
          <w:r>
            <w:rPr>
              <w:rFonts w:hint="eastAsia" w:asciiTheme="majorEastAsia" w:hAnsiTheme="majorEastAsia" w:eastAsiaTheme="majorEastAsia"/>
              <w:bCs/>
              <w:color w:val="auto"/>
              <w:szCs w:val="40"/>
              <w:highlight w:val="none"/>
            </w:rPr>
            <w:t>合同条款及格式</w:t>
          </w:r>
          <w:r>
            <w:rPr>
              <w:color w:val="auto"/>
              <w:highlight w:val="none"/>
            </w:rPr>
            <w:tab/>
          </w:r>
          <w:r>
            <w:rPr>
              <w:color w:val="auto"/>
              <w:highlight w:val="none"/>
            </w:rPr>
            <w:fldChar w:fldCharType="begin"/>
          </w:r>
          <w:r>
            <w:rPr>
              <w:color w:val="auto"/>
              <w:highlight w:val="none"/>
            </w:rPr>
            <w:instrText xml:space="preserve"> PAGEREF _Toc18899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30B6DB75">
          <w:pPr>
            <w:pStyle w:val="33"/>
            <w:tabs>
              <w:tab w:val="right" w:leader="dot" w:pos="8504"/>
            </w:tabs>
            <w:rPr>
              <w:color w:val="auto"/>
              <w:highlight w:val="none"/>
            </w:rPr>
          </w:pPr>
          <w:r>
            <w:rPr>
              <w:color w:val="auto"/>
              <w:highlight w:val="none"/>
            </w:rPr>
            <w:fldChar w:fldCharType="begin"/>
          </w:r>
          <w:r>
            <w:rPr>
              <w:color w:val="auto"/>
              <w:highlight w:val="none"/>
            </w:rPr>
            <w:instrText xml:space="preserve"> HYPERLINK \l "_Toc24904" </w:instrText>
          </w:r>
          <w:r>
            <w:rPr>
              <w:color w:val="auto"/>
              <w:highlight w:val="none"/>
            </w:rPr>
            <w:fldChar w:fldCharType="separate"/>
          </w:r>
          <w:r>
            <w:rPr>
              <w:rFonts w:asciiTheme="majorEastAsia" w:hAnsiTheme="majorEastAsia" w:eastAsiaTheme="majorEastAsia"/>
              <w:bCs/>
              <w:color w:val="auto"/>
              <w:szCs w:val="40"/>
              <w:highlight w:val="none"/>
            </w:rPr>
            <w:t>第六章  响应文件格式</w:t>
          </w:r>
          <w:r>
            <w:rPr>
              <w:color w:val="auto"/>
              <w:highlight w:val="none"/>
            </w:rPr>
            <w:tab/>
          </w:r>
          <w:r>
            <w:rPr>
              <w:color w:val="auto"/>
              <w:highlight w:val="none"/>
            </w:rPr>
            <w:fldChar w:fldCharType="begin"/>
          </w:r>
          <w:r>
            <w:rPr>
              <w:color w:val="auto"/>
              <w:highlight w:val="none"/>
            </w:rPr>
            <w:instrText xml:space="preserve"> PAGEREF _Toc24904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14:paraId="747E80DF">
          <w:pPr>
            <w:snapToGrid w:val="0"/>
            <w:ind w:left="1260" w:leftChars="600"/>
            <w:jc w:val="left"/>
            <w:rPr>
              <w:color w:val="auto"/>
              <w:highlight w:val="none"/>
            </w:rPr>
          </w:pPr>
          <w:r>
            <w:rPr>
              <w:rFonts w:hint="eastAsia" w:ascii="宋体" w:hAnsi="宋体" w:cs="宋体"/>
              <w:color w:val="auto"/>
              <w:szCs w:val="28"/>
              <w:highlight w:val="none"/>
            </w:rPr>
            <w:fldChar w:fldCharType="end"/>
          </w:r>
        </w:p>
      </w:sdtContent>
    </w:sdt>
    <w:p w14:paraId="3E41A91B">
      <w:pPr>
        <w:snapToGrid w:val="0"/>
        <w:spacing w:line="480" w:lineRule="auto"/>
        <w:jc w:val="center"/>
        <w:rPr>
          <w:rFonts w:asciiTheme="majorEastAsia" w:hAnsiTheme="majorEastAsia" w:eastAsiaTheme="majorEastAsia"/>
          <w:color w:val="auto"/>
          <w:sz w:val="28"/>
          <w:szCs w:val="36"/>
          <w:highlight w:val="none"/>
        </w:rPr>
        <w:sectPr>
          <w:footerReference r:id="rId8" w:type="first"/>
          <w:footerReference r:id="rId7" w:type="default"/>
          <w:pgSz w:w="11906" w:h="16838"/>
          <w:pgMar w:top="1440" w:right="1701" w:bottom="1440" w:left="1701" w:header="851" w:footer="992" w:gutter="0"/>
          <w:pgNumType w:fmt="numberInDash" w:start="1"/>
          <w:cols w:space="720" w:num="1"/>
          <w:docGrid w:type="lines" w:linePitch="312" w:charSpace="0"/>
        </w:sectPr>
      </w:pPr>
      <w:bookmarkStart w:id="0" w:name="_Toc10077"/>
      <w:bookmarkStart w:id="1" w:name="_Toc522013502"/>
    </w:p>
    <w:p w14:paraId="7376E7C1">
      <w:pPr>
        <w:spacing w:after="330" w:line="480" w:lineRule="auto"/>
        <w:jc w:val="center"/>
        <w:outlineLvl w:val="0"/>
        <w:rPr>
          <w:rFonts w:asciiTheme="majorEastAsia" w:hAnsiTheme="majorEastAsia" w:eastAsiaTheme="majorEastAsia"/>
          <w:b/>
          <w:bCs/>
          <w:color w:val="auto"/>
          <w:sz w:val="32"/>
          <w:szCs w:val="32"/>
          <w:highlight w:val="none"/>
        </w:rPr>
      </w:pPr>
      <w:bookmarkStart w:id="2" w:name="_Toc2487"/>
      <w:r>
        <w:rPr>
          <w:rFonts w:asciiTheme="majorEastAsia" w:hAnsiTheme="majorEastAsia" w:eastAsiaTheme="majorEastAsia"/>
          <w:b/>
          <w:bCs/>
          <w:color w:val="auto"/>
          <w:sz w:val="32"/>
          <w:szCs w:val="40"/>
          <w:highlight w:val="none"/>
        </w:rPr>
        <w:t>第一章  竞争性磋商采购公告</w:t>
      </w:r>
      <w:bookmarkEnd w:id="0"/>
      <w:bookmarkEnd w:id="1"/>
      <w:bookmarkEnd w:id="2"/>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5025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B47338D">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ascii="宋体" w:hAnsi="宋体" w:cs="宋体"/>
                <w:color w:val="auto"/>
                <w:kern w:val="0"/>
                <w:szCs w:val="21"/>
                <w:highlight w:val="none"/>
                <w:lang w:bidi="ar"/>
              </w:rPr>
            </w:pPr>
            <w:bookmarkStart w:id="3" w:name="_Toc522013503"/>
            <w:r>
              <w:rPr>
                <w:rFonts w:hint="eastAsia" w:ascii="宋体" w:hAnsi="宋体" w:cs="宋体"/>
                <w:color w:val="auto"/>
                <w:kern w:val="0"/>
                <w:szCs w:val="21"/>
                <w:highlight w:val="none"/>
                <w:lang w:bidi="ar"/>
              </w:rPr>
              <w:t>项目概况</w:t>
            </w:r>
          </w:p>
          <w:p w14:paraId="64E9F5BE">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海曙区横街镇校园保安服务</w:t>
            </w:r>
            <w:r>
              <w:rPr>
                <w:rFonts w:hint="eastAsia" w:ascii="宋体" w:hAnsi="宋体" w:cs="宋体"/>
                <w:color w:val="auto"/>
                <w:kern w:val="0"/>
                <w:szCs w:val="21"/>
                <w:highlight w:val="none"/>
                <w:lang w:bidi="ar"/>
              </w:rPr>
              <w:t>的潜在供应商应在浙江政府采购云平台（http://www.zcygov.cn/）获取（下载）采购文件，并于</w:t>
            </w:r>
            <w:r>
              <w:rPr>
                <w:rFonts w:hint="eastAsia" w:ascii="宋体" w:hAnsi="宋体" w:cs="宋体"/>
                <w:color w:val="auto"/>
                <w:kern w:val="0"/>
                <w:szCs w:val="21"/>
                <w:highlight w:val="none"/>
                <w:lang w:eastAsia="zh-CN" w:bidi="ar"/>
              </w:rPr>
              <w:t>2025年</w:t>
            </w:r>
            <w:r>
              <w:rPr>
                <w:rFonts w:hint="eastAsia" w:ascii="宋体" w:hAnsi="宋体" w:cs="宋体"/>
                <w:color w:val="auto"/>
                <w:kern w:val="0"/>
                <w:szCs w:val="21"/>
                <w:highlight w:val="none"/>
                <w:lang w:val="en-US" w:eastAsia="zh-CN" w:bidi="ar"/>
              </w:rPr>
              <w:t xml:space="preserve"> 3 </w:t>
            </w:r>
            <w:r>
              <w:rPr>
                <w:rFonts w:hint="eastAsia" w:ascii="宋体" w:hAnsi="宋体" w:cs="宋体"/>
                <w:color w:val="auto"/>
                <w:kern w:val="0"/>
                <w:szCs w:val="21"/>
                <w:highlight w:val="none"/>
                <w:lang w:bidi="ar"/>
              </w:rPr>
              <w:t>月</w:t>
            </w:r>
            <w:r>
              <w:rPr>
                <w:rFonts w:hint="eastAsia" w:ascii="宋体" w:hAnsi="宋体" w:cs="宋体"/>
                <w:color w:val="auto"/>
                <w:kern w:val="0"/>
                <w:szCs w:val="21"/>
                <w:highlight w:val="none"/>
                <w:lang w:val="en-US" w:eastAsia="zh-CN" w:bidi="ar"/>
              </w:rPr>
              <w:t xml:space="preserve"> 18 </w:t>
            </w:r>
            <w:r>
              <w:rPr>
                <w:rFonts w:hint="eastAsia" w:ascii="宋体" w:hAnsi="宋体" w:cs="宋体"/>
                <w:color w:val="auto"/>
                <w:kern w:val="0"/>
                <w:szCs w:val="21"/>
                <w:highlight w:val="none"/>
                <w:lang w:bidi="ar"/>
              </w:rPr>
              <w:t>日9:</w:t>
            </w:r>
            <w:r>
              <w:rPr>
                <w:rFonts w:hint="eastAsia" w:ascii="宋体" w:hAnsi="宋体" w:cs="宋体"/>
                <w:color w:val="auto"/>
                <w:kern w:val="0"/>
                <w:szCs w:val="21"/>
                <w:highlight w:val="none"/>
                <w:lang w:val="en-US" w:eastAsia="zh-CN" w:bidi="ar"/>
              </w:rPr>
              <w:t>3</w:t>
            </w:r>
            <w:r>
              <w:rPr>
                <w:rFonts w:hint="eastAsia" w:ascii="宋体" w:hAnsi="宋体" w:cs="宋体"/>
                <w:color w:val="auto"/>
                <w:kern w:val="0"/>
                <w:szCs w:val="21"/>
                <w:highlight w:val="none"/>
                <w:lang w:bidi="ar"/>
              </w:rPr>
              <w:t>0（北京时间）前提交（上传）响应文件。</w:t>
            </w:r>
          </w:p>
        </w:tc>
      </w:tr>
    </w:tbl>
    <w:p w14:paraId="386D6503">
      <w:pPr>
        <w:spacing w:before="240" w:line="360" w:lineRule="auto"/>
        <w:rPr>
          <w:rFonts w:ascii="宋体" w:hAnsi="宋体" w:cs="宋体"/>
          <w:color w:val="auto"/>
          <w:kern w:val="0"/>
          <w:szCs w:val="21"/>
          <w:highlight w:val="none"/>
          <w:lang w:bidi="ar"/>
        </w:rPr>
      </w:pPr>
      <w:r>
        <w:rPr>
          <w:rFonts w:hint="eastAsia" w:ascii="宋体" w:hAnsi="宋体" w:cs="宋体"/>
          <w:b/>
          <w:color w:val="auto"/>
          <w:kern w:val="0"/>
          <w:szCs w:val="21"/>
          <w:highlight w:val="none"/>
          <w:lang w:bidi="ar"/>
        </w:rPr>
        <w:t>一、项目基本情况</w:t>
      </w:r>
    </w:p>
    <w:p w14:paraId="296244A9">
      <w:pPr>
        <w:spacing w:line="360" w:lineRule="auto"/>
        <w:ind w:firstLine="420" w:firstLineChars="200"/>
        <w:jc w:val="left"/>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项目编号：</w:t>
      </w:r>
      <w:r>
        <w:rPr>
          <w:rFonts w:hint="eastAsia" w:ascii="宋体" w:hAnsi="宋体" w:cs="宋体"/>
          <w:color w:val="auto"/>
          <w:kern w:val="0"/>
          <w:szCs w:val="21"/>
          <w:highlight w:val="none"/>
          <w:lang w:eastAsia="zh-CN" w:bidi="ar"/>
        </w:rPr>
        <w:t>2025NBHSWCS061</w:t>
      </w:r>
    </w:p>
    <w:p w14:paraId="772A97BF">
      <w:pPr>
        <w:spacing w:line="360" w:lineRule="auto"/>
        <w:ind w:firstLine="420" w:firstLineChars="200"/>
        <w:jc w:val="left"/>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项目名称：</w:t>
      </w:r>
      <w:r>
        <w:rPr>
          <w:rFonts w:hint="eastAsia" w:ascii="宋体" w:hAnsi="宋体" w:cs="宋体"/>
          <w:color w:val="auto"/>
          <w:kern w:val="0"/>
          <w:szCs w:val="21"/>
          <w:highlight w:val="none"/>
          <w:lang w:eastAsia="zh-CN" w:bidi="ar"/>
        </w:rPr>
        <w:t>海曙区横街镇校园保安服务</w:t>
      </w:r>
    </w:p>
    <w:p w14:paraId="5761E64C">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采购方式：竞争性磋商</w:t>
      </w:r>
    </w:p>
    <w:p w14:paraId="5EE4F3AF">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预算金额：</w:t>
      </w:r>
      <w:r>
        <w:rPr>
          <w:rFonts w:hint="eastAsia" w:ascii="宋体" w:hAnsi="宋体" w:cs="宋体"/>
          <w:color w:val="auto"/>
          <w:kern w:val="0"/>
          <w:szCs w:val="21"/>
          <w:highlight w:val="none"/>
          <w:lang w:eastAsia="zh-CN" w:bidi="ar"/>
        </w:rPr>
        <w:t>880000</w:t>
      </w:r>
      <w:r>
        <w:rPr>
          <w:rFonts w:hint="eastAsia" w:ascii="宋体" w:hAnsi="宋体" w:cs="宋体"/>
          <w:color w:val="auto"/>
          <w:kern w:val="0"/>
          <w:szCs w:val="21"/>
          <w:highlight w:val="none"/>
          <w:lang w:bidi="ar"/>
        </w:rPr>
        <w:t>元</w:t>
      </w:r>
    </w:p>
    <w:p w14:paraId="100D739C">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最高限价：</w:t>
      </w:r>
      <w:r>
        <w:rPr>
          <w:rFonts w:hint="eastAsia" w:ascii="宋体" w:hAnsi="宋体" w:cs="宋体"/>
          <w:color w:val="auto"/>
          <w:kern w:val="0"/>
          <w:szCs w:val="21"/>
          <w:highlight w:val="none"/>
          <w:lang w:eastAsia="zh-CN" w:bidi="ar"/>
        </w:rPr>
        <w:t>880000</w:t>
      </w:r>
      <w:r>
        <w:rPr>
          <w:rFonts w:hint="eastAsia" w:ascii="宋体" w:hAnsi="宋体" w:cs="宋体"/>
          <w:color w:val="auto"/>
          <w:kern w:val="0"/>
          <w:szCs w:val="21"/>
          <w:highlight w:val="none"/>
          <w:lang w:bidi="ar"/>
        </w:rPr>
        <w:t>元</w:t>
      </w:r>
    </w:p>
    <w:p w14:paraId="0482F593">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采购需求：</w:t>
      </w:r>
    </w:p>
    <w:p w14:paraId="4BFDEEBB">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bidi="ar"/>
        </w:rPr>
        <w:t>数量：不限</w:t>
      </w:r>
    </w:p>
    <w:p w14:paraId="0C88825B">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预算金额（元）：</w:t>
      </w:r>
      <w:r>
        <w:rPr>
          <w:rFonts w:hint="eastAsia" w:ascii="宋体" w:hAnsi="宋体" w:cs="宋体"/>
          <w:color w:val="auto"/>
          <w:kern w:val="0"/>
          <w:szCs w:val="21"/>
          <w:highlight w:val="none"/>
          <w:lang w:eastAsia="zh-CN" w:bidi="ar"/>
        </w:rPr>
        <w:t>880000</w:t>
      </w:r>
      <w:r>
        <w:rPr>
          <w:rFonts w:hint="eastAsia" w:ascii="宋体" w:hAnsi="宋体" w:cs="宋体"/>
          <w:color w:val="auto"/>
          <w:kern w:val="0"/>
          <w:szCs w:val="21"/>
          <w:highlight w:val="none"/>
          <w:lang w:bidi="ar"/>
        </w:rPr>
        <w:t>元</w:t>
      </w:r>
    </w:p>
    <w:p w14:paraId="3A464B60">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单位：个</w:t>
      </w:r>
    </w:p>
    <w:p w14:paraId="7A7A34E7">
      <w:pPr>
        <w:spacing w:line="440" w:lineRule="exact"/>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简要规格描述：</w:t>
      </w:r>
      <w:r>
        <w:rPr>
          <w:rFonts w:hint="eastAsia" w:ascii="宋体" w:hAnsi="宋体" w:cs="宋体"/>
          <w:color w:val="auto"/>
          <w:kern w:val="0"/>
          <w:szCs w:val="21"/>
          <w:highlight w:val="none"/>
          <w:lang w:eastAsia="zh-CN" w:bidi="ar"/>
        </w:rPr>
        <w:t>海曙区横街镇校园保安服务</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val="en-US" w:eastAsia="zh-CN" w:bidi="ar"/>
        </w:rPr>
        <w:t>包括横街镇中心初级中学、横街镇中心小学横街校区、横街镇中心小学凤岙校区、横街镇中心幼儿园，共投入</w:t>
      </w:r>
      <w:r>
        <w:rPr>
          <w:rFonts w:hint="eastAsia" w:ascii="宋体" w:hAnsi="宋体" w:cs="宋体"/>
          <w:color w:val="auto"/>
          <w:kern w:val="0"/>
          <w:szCs w:val="21"/>
          <w:highlight w:val="none"/>
          <w:lang w:bidi="ar"/>
        </w:rPr>
        <w:t>。详见竞争性磋商文件第二章。</w:t>
      </w:r>
    </w:p>
    <w:p w14:paraId="098CFB22">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备注：</w:t>
      </w:r>
      <w:r>
        <w:rPr>
          <w:rFonts w:hint="eastAsia" w:ascii="宋体" w:hAnsi="宋体" w:cs="宋体"/>
          <w:color w:val="auto"/>
          <w:kern w:val="0"/>
          <w:szCs w:val="21"/>
          <w:highlight w:val="none"/>
          <w:shd w:val="clear" w:color="auto" w:fill="FFFFFF"/>
          <w:lang w:val="en-US" w:eastAsia="zh-CN" w:bidi="ar"/>
        </w:rPr>
        <w:t>本项目预算为880000元/年</w:t>
      </w:r>
      <w:r>
        <w:rPr>
          <w:rFonts w:hint="eastAsia" w:ascii="宋体" w:hAnsi="宋体" w:cs="宋体"/>
          <w:color w:val="auto"/>
          <w:kern w:val="0"/>
          <w:szCs w:val="21"/>
          <w:highlight w:val="none"/>
          <w:shd w:val="clear" w:color="auto" w:fill="FFFFFF"/>
          <w:lang w:bidi="ar"/>
        </w:rPr>
        <w:t>。</w:t>
      </w:r>
    </w:p>
    <w:p w14:paraId="5059E9F2">
      <w:pPr>
        <w:snapToGrid w:val="0"/>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合同履约期限：</w:t>
      </w:r>
      <w:r>
        <w:rPr>
          <w:rFonts w:hint="eastAsia" w:ascii="宋体" w:hAnsi="宋体" w:cs="宋体"/>
          <w:color w:val="auto"/>
          <w:szCs w:val="21"/>
          <w:highlight w:val="none"/>
        </w:rPr>
        <w:t>本项目服务总期限3年。合同一年一签</w:t>
      </w:r>
      <w:r>
        <w:rPr>
          <w:rFonts w:ascii="宋体" w:hAnsi="宋体" w:cs="宋体"/>
          <w:color w:val="auto"/>
          <w:szCs w:val="21"/>
          <w:highlight w:val="none"/>
        </w:rPr>
        <w:t>，第</w:t>
      </w:r>
      <w:r>
        <w:rPr>
          <w:rFonts w:hint="eastAsia" w:ascii="宋体" w:hAnsi="宋体" w:cs="宋体"/>
          <w:color w:val="auto"/>
          <w:szCs w:val="21"/>
          <w:highlight w:val="none"/>
        </w:rPr>
        <w:t>一</w:t>
      </w:r>
      <w:r>
        <w:rPr>
          <w:rFonts w:ascii="宋体" w:hAnsi="宋体" w:cs="宋体"/>
          <w:color w:val="auto"/>
          <w:szCs w:val="21"/>
          <w:highlight w:val="none"/>
        </w:rPr>
        <w:t>年自合同签订之日起</w:t>
      </w:r>
      <w:r>
        <w:rPr>
          <w:rFonts w:hint="eastAsia" w:ascii="宋体" w:hAnsi="宋体" w:cs="宋体"/>
          <w:color w:val="auto"/>
          <w:szCs w:val="21"/>
          <w:highlight w:val="none"/>
        </w:rPr>
        <w:t>1年</w:t>
      </w:r>
      <w:r>
        <w:rPr>
          <w:rFonts w:ascii="宋体" w:hAnsi="宋体" w:cs="宋体"/>
          <w:color w:val="auto"/>
          <w:szCs w:val="21"/>
          <w:highlight w:val="none"/>
        </w:rPr>
        <w:t>，</w:t>
      </w:r>
      <w:r>
        <w:rPr>
          <w:rFonts w:hint="eastAsia" w:ascii="宋体" w:hAnsi="宋体" w:cs="宋体"/>
          <w:color w:val="auto"/>
          <w:szCs w:val="21"/>
          <w:highlight w:val="none"/>
        </w:rPr>
        <w:t>后续两年合同的签订将</w:t>
      </w:r>
      <w:r>
        <w:rPr>
          <w:rFonts w:ascii="宋体" w:hAnsi="宋体" w:cs="宋体"/>
          <w:color w:val="auto"/>
          <w:szCs w:val="21"/>
          <w:highlight w:val="none"/>
        </w:rPr>
        <w:t>根据</w:t>
      </w:r>
      <w:r>
        <w:rPr>
          <w:rFonts w:hint="eastAsia" w:ascii="宋体" w:hAnsi="宋体" w:cs="宋体"/>
          <w:color w:val="auto"/>
          <w:szCs w:val="21"/>
          <w:highlight w:val="none"/>
          <w:lang w:eastAsia="zh-CN"/>
        </w:rPr>
        <w:t>成交人</w:t>
      </w:r>
      <w:r>
        <w:rPr>
          <w:rFonts w:hint="eastAsia" w:ascii="宋体" w:hAnsi="宋体" w:cs="宋体"/>
          <w:color w:val="auto"/>
          <w:szCs w:val="21"/>
          <w:highlight w:val="none"/>
        </w:rPr>
        <w:t>在</w:t>
      </w:r>
      <w:r>
        <w:rPr>
          <w:rFonts w:ascii="宋体" w:hAnsi="宋体" w:cs="宋体"/>
          <w:color w:val="auto"/>
          <w:szCs w:val="21"/>
          <w:highlight w:val="none"/>
        </w:rPr>
        <w:t>上一年度的合同履约情况、考核情况及财政资金审批情况决定是否续签</w:t>
      </w:r>
      <w:r>
        <w:rPr>
          <w:rFonts w:hint="eastAsia" w:ascii="宋体" w:hAnsi="宋体" w:cs="宋体"/>
          <w:color w:val="auto"/>
          <w:kern w:val="0"/>
          <w:szCs w:val="21"/>
          <w:highlight w:val="none"/>
          <w:lang w:bidi="ar"/>
        </w:rPr>
        <w:t>。</w:t>
      </w:r>
    </w:p>
    <w:p w14:paraId="429AB35D">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本项目（</w:t>
      </w:r>
      <w:r>
        <w:rPr>
          <w:rFonts w:hint="eastAsia" w:ascii="宋体" w:hAnsi="宋体" w:cs="宋体"/>
          <w:color w:val="auto"/>
          <w:kern w:val="0"/>
          <w:szCs w:val="21"/>
          <w:highlight w:val="none"/>
          <w:lang w:val="en-US" w:eastAsia="zh-CN" w:bidi="ar"/>
        </w:rPr>
        <w:t>否</w:t>
      </w:r>
      <w:r>
        <w:rPr>
          <w:rFonts w:hint="eastAsia" w:ascii="宋体" w:hAnsi="宋体" w:cs="宋体"/>
          <w:color w:val="auto"/>
          <w:kern w:val="0"/>
          <w:szCs w:val="21"/>
          <w:highlight w:val="none"/>
          <w:lang w:bidi="ar"/>
        </w:rPr>
        <w:t>）接受联合体投标。</w:t>
      </w:r>
    </w:p>
    <w:p w14:paraId="08B2EDCC">
      <w:pPr>
        <w:spacing w:before="240" w:line="360" w:lineRule="auto"/>
        <w:rPr>
          <w:rFonts w:ascii="宋体" w:hAnsi="宋体" w:cs="宋体"/>
          <w:color w:val="auto"/>
          <w:kern w:val="0"/>
          <w:szCs w:val="21"/>
          <w:highlight w:val="none"/>
          <w:lang w:bidi="ar"/>
        </w:rPr>
      </w:pPr>
      <w:r>
        <w:rPr>
          <w:rFonts w:hint="eastAsia" w:ascii="宋体" w:hAnsi="宋体" w:cs="宋体"/>
          <w:b/>
          <w:color w:val="auto"/>
          <w:kern w:val="0"/>
          <w:szCs w:val="21"/>
          <w:highlight w:val="none"/>
          <w:lang w:bidi="ar"/>
        </w:rPr>
        <w:t>二、申请人的资格要求：</w:t>
      </w:r>
    </w:p>
    <w:p w14:paraId="2C6B8BC1">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符合《中华人民共和国政府采购法》第二十二条规定；未被“信用中国”（www.creditchina.gov.cn)、中国政府采购网（www.ccgp.gov.cn）列入失信被执行人、重大税收违法案件当事人名单、政府采购严重违法失信行为记录名单。</w:t>
      </w:r>
    </w:p>
    <w:p w14:paraId="1A3727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cs="宋体"/>
          <w:color w:val="auto"/>
          <w:kern w:val="0"/>
          <w:szCs w:val="21"/>
          <w:highlight w:val="none"/>
          <w:lang w:bidi="ar"/>
        </w:rPr>
        <w:t>2.落实政府采购政策需满足的资格要求：</w:t>
      </w:r>
      <w:r>
        <w:rPr>
          <w:rFonts w:hint="eastAsia" w:ascii="宋体" w:hAnsi="宋体" w:eastAsia="宋体" w:cs="宋体"/>
          <w:i w:val="0"/>
          <w:iCs w:val="0"/>
          <w:caps w:val="0"/>
          <w:color w:val="auto"/>
          <w:spacing w:val="0"/>
          <w:kern w:val="0"/>
          <w:sz w:val="21"/>
          <w:szCs w:val="21"/>
          <w:highlight w:val="none"/>
          <w:lang w:val="en-US" w:eastAsia="zh-CN" w:bidi="ar"/>
        </w:rPr>
        <w:t>标项一</w:t>
      </w:r>
      <w:r>
        <w:rPr>
          <w:rFonts w:hint="eastAsia" w:ascii="宋体" w:hAnsi="宋体" w:cs="宋体"/>
          <w:i w:val="0"/>
          <w:iCs w:val="0"/>
          <w:caps w:val="0"/>
          <w:color w:val="auto"/>
          <w:spacing w:val="0"/>
          <w:kern w:val="0"/>
          <w:sz w:val="21"/>
          <w:szCs w:val="21"/>
          <w:highlight w:val="none"/>
          <w:lang w:val="en-US" w:eastAsia="zh-CN" w:bidi="ar"/>
        </w:rPr>
        <w:t>：</w:t>
      </w:r>
      <w:r>
        <w:rPr>
          <w:rFonts w:hint="eastAsia" w:ascii="宋体" w:hAnsi="宋体" w:eastAsia="宋体" w:cs="宋体"/>
          <w:i w:val="0"/>
          <w:iCs w:val="0"/>
          <w:caps w:val="0"/>
          <w:color w:val="auto"/>
          <w:spacing w:val="0"/>
          <w:kern w:val="0"/>
          <w:sz w:val="21"/>
          <w:szCs w:val="21"/>
          <w:highlight w:val="none"/>
          <w:lang w:val="en-US" w:eastAsia="zh-CN" w:bidi="ar"/>
        </w:rPr>
        <w:t>本项目属于专门面向中小企业采购的项目，供应商应为符合《政府采购促进中小企业发展管理办法》（财库﹝2020﹞46 号）规定的中小企业（其中，小微企业包括视同为小型、微型企业的监狱企业、残疾人福利性单位）。</w:t>
      </w:r>
    </w:p>
    <w:p w14:paraId="6C3F9083">
      <w:pPr>
        <w:spacing w:line="360" w:lineRule="auto"/>
        <w:ind w:left="420" w:leftChars="200"/>
        <w:jc w:val="left"/>
        <w:rPr>
          <w:rFonts w:hint="eastAsia" w:eastAsia="宋体"/>
          <w:color w:val="auto"/>
          <w:highlight w:val="none"/>
          <w:lang w:eastAsia="zh-CN"/>
        </w:rPr>
      </w:pPr>
      <w:r>
        <w:rPr>
          <w:rFonts w:hint="eastAsia" w:ascii="宋体" w:hAnsi="宋体" w:cs="宋体"/>
          <w:color w:val="auto"/>
          <w:kern w:val="0"/>
          <w:szCs w:val="21"/>
          <w:highlight w:val="none"/>
          <w:lang w:bidi="ar"/>
        </w:rPr>
        <w:t>3.本项目的特定资格要求：标项一：</w:t>
      </w:r>
      <w:r>
        <w:rPr>
          <w:rFonts w:hint="eastAsia" w:ascii="宋体" w:hAnsi="宋体" w:cs="宋体"/>
          <w:color w:val="auto"/>
          <w:kern w:val="0"/>
          <w:szCs w:val="21"/>
          <w:highlight w:val="none"/>
          <w:lang w:eastAsia="zh-CN" w:bidi="ar"/>
        </w:rPr>
        <w:t>投标人具有公安部门核准颁发的保安服务许可证。</w:t>
      </w:r>
    </w:p>
    <w:p w14:paraId="2885C568">
      <w:pPr>
        <w:spacing w:before="240" w:line="360" w:lineRule="auto"/>
        <w:rPr>
          <w:rFonts w:ascii="宋体" w:hAnsi="宋体" w:cs="宋体"/>
          <w:color w:val="auto"/>
          <w:kern w:val="0"/>
          <w:szCs w:val="21"/>
          <w:highlight w:val="none"/>
          <w:lang w:bidi="ar"/>
        </w:rPr>
      </w:pPr>
      <w:r>
        <w:rPr>
          <w:rFonts w:hint="eastAsia" w:ascii="宋体" w:hAnsi="宋体" w:cs="宋体"/>
          <w:b/>
          <w:color w:val="auto"/>
          <w:kern w:val="0"/>
          <w:szCs w:val="21"/>
          <w:highlight w:val="none"/>
          <w:lang w:bidi="ar"/>
        </w:rPr>
        <w:t>三、获取（下载）采购文件</w:t>
      </w:r>
    </w:p>
    <w:p w14:paraId="74C4EACA">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时间：</w:t>
      </w:r>
      <w:r>
        <w:rPr>
          <w:rFonts w:hint="eastAsia" w:ascii="宋体" w:hAnsi="宋体" w:cs="宋体"/>
          <w:color w:val="auto"/>
          <w:kern w:val="0"/>
          <w:szCs w:val="21"/>
          <w:highlight w:val="none"/>
          <w:lang w:eastAsia="zh-CN" w:bidi="ar"/>
        </w:rPr>
        <w:t>2025年</w:t>
      </w:r>
      <w:r>
        <w:rPr>
          <w:rFonts w:hint="eastAsia" w:ascii="宋体" w:hAnsi="宋体" w:cs="宋体"/>
          <w:color w:val="auto"/>
          <w:kern w:val="0"/>
          <w:szCs w:val="21"/>
          <w:highlight w:val="none"/>
          <w:lang w:val="en-US" w:eastAsia="zh-CN" w:bidi="ar"/>
        </w:rPr>
        <w:t xml:space="preserve"> 3 月 5 </w:t>
      </w:r>
      <w:r>
        <w:rPr>
          <w:rFonts w:hint="eastAsia" w:ascii="宋体" w:hAnsi="宋体" w:cs="宋体"/>
          <w:color w:val="auto"/>
          <w:kern w:val="0"/>
          <w:szCs w:val="21"/>
          <w:highlight w:val="none"/>
          <w:lang w:bidi="ar"/>
        </w:rPr>
        <w:t>日至</w:t>
      </w:r>
      <w:r>
        <w:rPr>
          <w:rFonts w:hint="eastAsia" w:ascii="宋体" w:hAnsi="宋体" w:cs="宋体"/>
          <w:color w:val="auto"/>
          <w:kern w:val="0"/>
          <w:szCs w:val="21"/>
          <w:highlight w:val="none"/>
          <w:lang w:eastAsia="zh-CN" w:bidi="ar"/>
        </w:rPr>
        <w:t>2025年</w:t>
      </w:r>
      <w:r>
        <w:rPr>
          <w:rFonts w:hint="eastAsia" w:ascii="宋体" w:hAnsi="宋体" w:cs="宋体"/>
          <w:color w:val="auto"/>
          <w:kern w:val="0"/>
          <w:szCs w:val="21"/>
          <w:highlight w:val="none"/>
          <w:lang w:val="en-US" w:eastAsia="zh-CN" w:bidi="ar"/>
        </w:rPr>
        <w:t xml:space="preserve"> 3 月 12 </w:t>
      </w:r>
      <w:r>
        <w:rPr>
          <w:rFonts w:hint="eastAsia" w:ascii="宋体" w:hAnsi="宋体" w:cs="宋体"/>
          <w:color w:val="auto"/>
          <w:kern w:val="0"/>
          <w:szCs w:val="21"/>
          <w:highlight w:val="none"/>
          <w:lang w:bidi="ar"/>
        </w:rPr>
        <w:t>日，每天上午00:00至12:00，下午12:00至23:59（北京时间，线上获取法定节假日均可，线下获取文件法定节假日除外）</w:t>
      </w:r>
    </w:p>
    <w:p w14:paraId="3CB4C7C4">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地点（网址）：浙江政府采购云平台（http://www.zcygov.cn/）</w:t>
      </w:r>
    </w:p>
    <w:p w14:paraId="271E9B11">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方式：（1）本项目采购文件实行“政府采购云平台”在线获取，不提供采购文件纸质版。供应商获取采购文件前应先完成“政府采购云平台”的账号注册；</w:t>
      </w:r>
    </w:p>
    <w:p w14:paraId="2796BE91">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潜在供应商登陆政采云平台，在线申请获取采购文件（进入“项目采购”应用，在获取采购文件菜单中选择项目，申请获取采购文件；仅需浏览采购文件的供应商可点击“游客，浏览采购文件”直接下载采购文件浏览）；</w:t>
      </w:r>
    </w:p>
    <w:p w14:paraId="6B60F6A9">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采购公告附件内的采购文件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70629AF4">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注：请供应商按上述要求获取采购文件，未依法获取采购文件的供应商不得对本项目提起质疑；如未在“政采云”系统内完成相关流程，引起的响应无效责任自负。</w:t>
      </w:r>
    </w:p>
    <w:p w14:paraId="63BB1C95">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售价（元）：0</w:t>
      </w:r>
    </w:p>
    <w:p w14:paraId="71B53FFC">
      <w:pPr>
        <w:spacing w:before="240" w:line="360" w:lineRule="auto"/>
        <w:rPr>
          <w:rFonts w:ascii="宋体" w:hAnsi="宋体" w:cs="宋体"/>
          <w:color w:val="auto"/>
          <w:kern w:val="0"/>
          <w:szCs w:val="21"/>
          <w:highlight w:val="none"/>
          <w:lang w:bidi="ar"/>
        </w:rPr>
      </w:pPr>
      <w:r>
        <w:rPr>
          <w:rFonts w:hint="eastAsia" w:ascii="宋体" w:hAnsi="宋体" w:cs="宋体"/>
          <w:b/>
          <w:color w:val="auto"/>
          <w:kern w:val="0"/>
          <w:szCs w:val="21"/>
          <w:highlight w:val="none"/>
          <w:lang w:bidi="ar"/>
        </w:rPr>
        <w:t>四、响应文件提交（上传）</w:t>
      </w:r>
    </w:p>
    <w:p w14:paraId="43DEC023">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截止时间：</w:t>
      </w:r>
      <w:r>
        <w:rPr>
          <w:rFonts w:hint="eastAsia" w:ascii="宋体" w:hAnsi="宋体" w:cs="宋体"/>
          <w:color w:val="auto"/>
          <w:kern w:val="0"/>
          <w:szCs w:val="21"/>
          <w:highlight w:val="none"/>
          <w:lang w:eastAsia="zh-CN" w:bidi="ar"/>
        </w:rPr>
        <w:t>2025年</w:t>
      </w:r>
      <w:r>
        <w:rPr>
          <w:rFonts w:hint="eastAsia" w:ascii="宋体" w:hAnsi="宋体" w:cs="宋体"/>
          <w:color w:val="auto"/>
          <w:kern w:val="0"/>
          <w:szCs w:val="21"/>
          <w:highlight w:val="none"/>
          <w:lang w:val="en-US" w:eastAsia="zh-CN" w:bidi="ar"/>
        </w:rPr>
        <w:t xml:space="preserve"> 3 </w:t>
      </w:r>
      <w:r>
        <w:rPr>
          <w:rFonts w:hint="eastAsia" w:ascii="宋体" w:hAnsi="宋体" w:cs="宋体"/>
          <w:color w:val="auto"/>
          <w:kern w:val="0"/>
          <w:szCs w:val="21"/>
          <w:highlight w:val="none"/>
          <w:lang w:eastAsia="zh-CN" w:bidi="ar"/>
        </w:rPr>
        <w:t>月</w:t>
      </w:r>
      <w:r>
        <w:rPr>
          <w:rFonts w:hint="eastAsia" w:ascii="宋体" w:hAnsi="宋体" w:cs="宋体"/>
          <w:color w:val="auto"/>
          <w:kern w:val="0"/>
          <w:szCs w:val="21"/>
          <w:highlight w:val="none"/>
          <w:lang w:val="en-US" w:eastAsia="zh-CN" w:bidi="ar"/>
        </w:rPr>
        <w:t xml:space="preserve"> 18 </w:t>
      </w:r>
      <w:r>
        <w:rPr>
          <w:rFonts w:hint="eastAsia" w:ascii="宋体" w:hAnsi="宋体" w:cs="宋体"/>
          <w:color w:val="auto"/>
          <w:kern w:val="0"/>
          <w:szCs w:val="21"/>
          <w:highlight w:val="none"/>
          <w:lang w:eastAsia="zh-CN" w:bidi="ar"/>
        </w:rPr>
        <w:t>日9:</w:t>
      </w:r>
      <w:r>
        <w:rPr>
          <w:rFonts w:hint="eastAsia" w:ascii="宋体" w:hAnsi="宋体" w:cs="宋体"/>
          <w:color w:val="auto"/>
          <w:kern w:val="0"/>
          <w:szCs w:val="21"/>
          <w:highlight w:val="none"/>
          <w:lang w:val="en-US" w:eastAsia="zh-CN" w:bidi="ar"/>
        </w:rPr>
        <w:t>3</w:t>
      </w:r>
      <w:r>
        <w:rPr>
          <w:rFonts w:hint="eastAsia" w:ascii="宋体" w:hAnsi="宋体" w:cs="宋体"/>
          <w:color w:val="auto"/>
          <w:kern w:val="0"/>
          <w:szCs w:val="21"/>
          <w:highlight w:val="none"/>
          <w:lang w:eastAsia="zh-CN" w:bidi="ar"/>
        </w:rPr>
        <w:t>0</w:t>
      </w:r>
      <w:r>
        <w:rPr>
          <w:rFonts w:hint="eastAsia" w:ascii="宋体" w:hAnsi="宋体" w:cs="宋体"/>
          <w:color w:val="auto"/>
          <w:kern w:val="0"/>
          <w:szCs w:val="21"/>
          <w:highlight w:val="none"/>
          <w:lang w:bidi="ar"/>
        </w:rPr>
        <w:t>（北京时间）</w:t>
      </w:r>
    </w:p>
    <w:p w14:paraId="08BF9736">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地点（网址）：宁波市海曙区公共资源交易中心二楼开标室（</w:t>
      </w:r>
      <w:r>
        <w:rPr>
          <w:rFonts w:hint="eastAsia" w:ascii="宋体" w:hAnsi="宋体" w:cs="宋体"/>
          <w:color w:val="auto"/>
          <w:kern w:val="0"/>
          <w:szCs w:val="21"/>
          <w:highlight w:val="none"/>
          <w:lang w:val="en-US" w:eastAsia="zh-CN" w:bidi="ar"/>
        </w:rPr>
        <w:t xml:space="preserve"> 一 </w:t>
      </w:r>
      <w:r>
        <w:rPr>
          <w:rFonts w:hint="eastAsia" w:ascii="宋体" w:hAnsi="宋体" w:cs="宋体"/>
          <w:color w:val="auto"/>
          <w:kern w:val="0"/>
          <w:szCs w:val="21"/>
          <w:highlight w:val="none"/>
          <w:lang w:bidi="ar"/>
        </w:rPr>
        <w:t>）（南门上，宁波市海曙区气象路58号）：政采云平台（www.zcygov.cn）在线提交）</w:t>
      </w:r>
    </w:p>
    <w:p w14:paraId="686EAF8A">
      <w:pPr>
        <w:spacing w:before="240" w:line="360" w:lineRule="auto"/>
        <w:rPr>
          <w:rFonts w:ascii="宋体" w:hAnsi="宋体" w:cs="宋体"/>
          <w:color w:val="auto"/>
          <w:kern w:val="0"/>
          <w:szCs w:val="21"/>
          <w:highlight w:val="none"/>
          <w:lang w:bidi="ar"/>
        </w:rPr>
      </w:pPr>
      <w:r>
        <w:rPr>
          <w:rFonts w:hint="eastAsia" w:ascii="宋体" w:hAnsi="宋体" w:cs="宋体"/>
          <w:b/>
          <w:color w:val="auto"/>
          <w:kern w:val="0"/>
          <w:szCs w:val="21"/>
          <w:highlight w:val="none"/>
          <w:lang w:bidi="ar"/>
        </w:rPr>
        <w:t>五、响应文件开启</w:t>
      </w:r>
    </w:p>
    <w:p w14:paraId="73D61691">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开启时间：</w:t>
      </w:r>
      <w:r>
        <w:rPr>
          <w:rFonts w:hint="eastAsia" w:ascii="宋体" w:hAnsi="宋体" w:cs="宋体"/>
          <w:color w:val="auto"/>
          <w:kern w:val="0"/>
          <w:szCs w:val="21"/>
          <w:highlight w:val="none"/>
          <w:lang w:eastAsia="zh-CN" w:bidi="ar"/>
        </w:rPr>
        <w:t>2025年</w:t>
      </w:r>
      <w:r>
        <w:rPr>
          <w:rFonts w:hint="eastAsia" w:ascii="宋体" w:hAnsi="宋体" w:cs="宋体"/>
          <w:color w:val="auto"/>
          <w:kern w:val="0"/>
          <w:szCs w:val="21"/>
          <w:highlight w:val="none"/>
          <w:lang w:val="en-US" w:eastAsia="zh-CN" w:bidi="ar"/>
        </w:rPr>
        <w:t xml:space="preserve"> 3 </w:t>
      </w:r>
      <w:r>
        <w:rPr>
          <w:rFonts w:hint="eastAsia" w:ascii="宋体" w:hAnsi="宋体" w:cs="宋体"/>
          <w:color w:val="auto"/>
          <w:kern w:val="0"/>
          <w:szCs w:val="21"/>
          <w:highlight w:val="none"/>
          <w:lang w:eastAsia="zh-CN" w:bidi="ar"/>
        </w:rPr>
        <w:t>月</w:t>
      </w:r>
      <w:r>
        <w:rPr>
          <w:rFonts w:hint="eastAsia" w:ascii="宋体" w:hAnsi="宋体" w:cs="宋体"/>
          <w:color w:val="auto"/>
          <w:kern w:val="0"/>
          <w:szCs w:val="21"/>
          <w:highlight w:val="none"/>
          <w:lang w:val="en-US" w:eastAsia="zh-CN" w:bidi="ar"/>
        </w:rPr>
        <w:t xml:space="preserve"> 18 </w:t>
      </w:r>
      <w:r>
        <w:rPr>
          <w:rFonts w:hint="eastAsia" w:ascii="宋体" w:hAnsi="宋体" w:cs="宋体"/>
          <w:color w:val="auto"/>
          <w:kern w:val="0"/>
          <w:szCs w:val="21"/>
          <w:highlight w:val="none"/>
          <w:lang w:eastAsia="zh-CN" w:bidi="ar"/>
        </w:rPr>
        <w:t>日9:</w:t>
      </w:r>
      <w:r>
        <w:rPr>
          <w:rFonts w:hint="eastAsia" w:ascii="宋体" w:hAnsi="宋体" w:cs="宋体"/>
          <w:color w:val="auto"/>
          <w:kern w:val="0"/>
          <w:szCs w:val="21"/>
          <w:highlight w:val="none"/>
          <w:lang w:val="en-US" w:eastAsia="zh-CN" w:bidi="ar"/>
        </w:rPr>
        <w:t>3</w:t>
      </w:r>
      <w:r>
        <w:rPr>
          <w:rFonts w:hint="eastAsia" w:ascii="宋体" w:hAnsi="宋体" w:cs="宋体"/>
          <w:color w:val="auto"/>
          <w:kern w:val="0"/>
          <w:szCs w:val="21"/>
          <w:highlight w:val="none"/>
          <w:lang w:eastAsia="zh-CN" w:bidi="ar"/>
        </w:rPr>
        <w:t>0</w:t>
      </w:r>
      <w:r>
        <w:rPr>
          <w:rFonts w:hint="eastAsia" w:ascii="宋体" w:hAnsi="宋体" w:cs="宋体"/>
          <w:color w:val="auto"/>
          <w:kern w:val="0"/>
          <w:szCs w:val="21"/>
          <w:highlight w:val="none"/>
          <w:lang w:bidi="ar"/>
        </w:rPr>
        <w:t>（北京时间）</w:t>
      </w:r>
    </w:p>
    <w:p w14:paraId="5F04A86C">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地点（网址）：宁波市海曙区公共资源交易中心二楼开标室（</w:t>
      </w:r>
      <w:r>
        <w:rPr>
          <w:rFonts w:hint="eastAsia" w:ascii="宋体" w:hAnsi="宋体" w:cs="宋体"/>
          <w:color w:val="auto"/>
          <w:kern w:val="0"/>
          <w:szCs w:val="21"/>
          <w:highlight w:val="none"/>
          <w:lang w:val="en-US" w:eastAsia="zh-CN" w:bidi="ar"/>
        </w:rPr>
        <w:t xml:space="preserve"> 一 </w:t>
      </w:r>
      <w:r>
        <w:rPr>
          <w:rFonts w:hint="eastAsia" w:ascii="宋体" w:hAnsi="宋体" w:cs="宋体"/>
          <w:color w:val="auto"/>
          <w:kern w:val="0"/>
          <w:szCs w:val="21"/>
          <w:highlight w:val="none"/>
          <w:lang w:bidi="ar"/>
        </w:rPr>
        <w:t>）（南门上，宁波市海曙区气象路58号）（线上开启：政采云平台（www.zcygov.cn））</w:t>
      </w:r>
    </w:p>
    <w:p w14:paraId="035DD022">
      <w:pPr>
        <w:spacing w:before="240" w:line="360" w:lineRule="auto"/>
        <w:rPr>
          <w:rFonts w:ascii="宋体" w:hAnsi="宋体" w:cs="宋体"/>
          <w:color w:val="auto"/>
          <w:kern w:val="0"/>
          <w:szCs w:val="21"/>
          <w:highlight w:val="none"/>
          <w:lang w:bidi="ar"/>
        </w:rPr>
      </w:pPr>
      <w:r>
        <w:rPr>
          <w:rFonts w:hint="eastAsia" w:ascii="宋体" w:hAnsi="宋体" w:cs="宋体"/>
          <w:b/>
          <w:color w:val="auto"/>
          <w:kern w:val="0"/>
          <w:szCs w:val="21"/>
          <w:highlight w:val="none"/>
          <w:lang w:bidi="ar"/>
        </w:rPr>
        <w:t>六、公告期限</w:t>
      </w:r>
    </w:p>
    <w:p w14:paraId="74163E13">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自本公告发布之日起3个工作日。</w:t>
      </w:r>
    </w:p>
    <w:p w14:paraId="1636280A">
      <w:pPr>
        <w:spacing w:before="240" w:line="360" w:lineRule="auto"/>
        <w:rPr>
          <w:rFonts w:ascii="宋体" w:hAnsi="宋体" w:cs="宋体"/>
          <w:color w:val="auto"/>
          <w:kern w:val="0"/>
          <w:szCs w:val="21"/>
          <w:highlight w:val="none"/>
          <w:lang w:bidi="ar"/>
        </w:rPr>
      </w:pPr>
      <w:r>
        <w:rPr>
          <w:rFonts w:hint="eastAsia" w:ascii="宋体" w:hAnsi="宋体" w:cs="宋体"/>
          <w:b/>
          <w:color w:val="auto"/>
          <w:kern w:val="0"/>
          <w:szCs w:val="21"/>
          <w:highlight w:val="none"/>
          <w:lang w:bidi="ar"/>
        </w:rPr>
        <w:t>七、其他补充事宜</w:t>
      </w:r>
    </w:p>
    <w:p w14:paraId="764A5CE8">
      <w:pPr>
        <w:spacing w:line="360" w:lineRule="auto"/>
        <w:ind w:firstLine="420" w:firstLineChars="200"/>
        <w:jc w:val="left"/>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0719F2C">
      <w:pPr>
        <w:spacing w:line="360" w:lineRule="auto"/>
        <w:ind w:firstLine="420" w:firstLineChars="200"/>
        <w:jc w:val="left"/>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3F37385">
      <w:pPr>
        <w:spacing w:line="360" w:lineRule="auto"/>
        <w:ind w:firstLine="420" w:firstLineChars="200"/>
        <w:jc w:val="left"/>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4C579CF">
      <w:pPr>
        <w:spacing w:line="360" w:lineRule="auto"/>
        <w:ind w:firstLine="420" w:firstLineChars="200"/>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4</w:t>
      </w:r>
      <w:r>
        <w:rPr>
          <w:rFonts w:hint="eastAsia" w:ascii="宋体" w:hAnsi="宋体" w:eastAsia="宋体" w:cs="宋体"/>
          <w:color w:val="auto"/>
          <w:kern w:val="0"/>
          <w:szCs w:val="21"/>
          <w:highlight w:val="none"/>
          <w:lang w:bidi="ar"/>
        </w:rPr>
        <w:t>.其他事项：</w:t>
      </w:r>
    </w:p>
    <w:p w14:paraId="067FD0D9">
      <w:pPr>
        <w:spacing w:line="360" w:lineRule="auto"/>
        <w:ind w:firstLine="420" w:firstLineChars="200"/>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4</w:t>
      </w:r>
      <w:r>
        <w:rPr>
          <w:rFonts w:hint="eastAsia" w:ascii="宋体" w:hAnsi="宋体" w:eastAsia="宋体" w:cs="宋体"/>
          <w:color w:val="auto"/>
          <w:kern w:val="0"/>
          <w:szCs w:val="21"/>
          <w:highlight w:val="none"/>
          <w:lang w:bidi="ar"/>
        </w:rPr>
        <w:t>.1单位负责人为同一人或者存在直接控股、管理关系的不同供应商，不得参加同一标项项下的政府采购活动。除单一来源采购项目外，为采购项目提供整体设计、规范编制或者项目管理、监理、检测等服务的供应商，不得再参加该采购项目的其他采购活动。</w:t>
      </w:r>
    </w:p>
    <w:p w14:paraId="571A41E2">
      <w:pPr>
        <w:spacing w:line="360" w:lineRule="auto"/>
        <w:ind w:firstLine="420" w:firstLineChars="200"/>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4</w:t>
      </w:r>
      <w:r>
        <w:rPr>
          <w:rFonts w:hint="eastAsia" w:ascii="宋体" w:hAnsi="宋体" w:eastAsia="宋体" w:cs="宋体"/>
          <w:color w:val="auto"/>
          <w:kern w:val="0"/>
          <w:szCs w:val="21"/>
          <w:highlight w:val="none"/>
          <w:lang w:bidi="ar"/>
        </w:rPr>
        <w:t>.2供应商须提供政府采购领域商业贿赂行为承诺书（响应文件中须提供《政府采购领域商业贿赂行为承诺书》，详见响应文件格式）。</w:t>
      </w:r>
    </w:p>
    <w:p w14:paraId="63ACFB6F">
      <w:pPr>
        <w:spacing w:line="336" w:lineRule="auto"/>
        <w:ind w:firstLine="420" w:firstLineChars="200"/>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4</w:t>
      </w:r>
      <w:r>
        <w:rPr>
          <w:rFonts w:hint="eastAsia" w:ascii="宋体" w:hAnsi="宋体" w:eastAsia="宋体" w:cs="宋体"/>
          <w:color w:val="auto"/>
          <w:kern w:val="0"/>
          <w:szCs w:val="21"/>
          <w:highlight w:val="none"/>
          <w:lang w:bidi="ar"/>
        </w:rPr>
        <w:t>.3采购项目需要落实的政府采购政策：</w:t>
      </w:r>
    </w:p>
    <w:p w14:paraId="4D3F77F8">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.3.1对小微企业的产品给予价格优惠（监狱企业、残疾人福利性单位视同小微企业；残疾人福利性单位属于小型、微型企业的，不重复享受政策）；</w:t>
      </w:r>
    </w:p>
    <w:p w14:paraId="33D6F162">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.3.2优先采购节能环保产品（注：所采购的货物在政府采购节能产品、环境标志产品实施品目清单范围内，且具有国家确定的认证机构出具的、处于有效期之内的节能产品、环境标志产品认证证书）。</w:t>
      </w:r>
    </w:p>
    <w:p w14:paraId="7ACDDC89">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.4中小企业信用融资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供应商中标后可在“政采云”平台申请政采贷：操作路径：登录政采云平台-金融服务中心-【融资服务】，可在热门申请中选择产品直接申请，也可点击云智贷匹配适合产品进行申请，或者在可申请项目中根据该项目进行申请。</w:t>
      </w:r>
    </w:p>
    <w:p w14:paraId="6003D49E">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.5供应商需按照《浙江省政府采购供应商注册及诚信管理暂行办法》的规定在“浙江政府采购网”政采云平台注册登记的，成为浙江省政府采购注册供应商。如未注册的供应商，请注意注册所需时间。</w:t>
      </w:r>
    </w:p>
    <w:p w14:paraId="6EAEFF3F">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.6响应与开标注意事项</w:t>
      </w:r>
    </w:p>
    <w:p w14:paraId="0BAF5FFB">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.6.1本项目实行网上响应，采用电子响应文件。若供应商参与响应，自行承担响应一切费用。</w:t>
      </w:r>
    </w:p>
    <w:p w14:paraId="6209046A">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.6.2标前准备：各供应商应在开标前确保成为浙江政府采购网正式注册入库供应商，并完成CA数字证书办理。因未注册入库、未办理CA数字证书等原因造成无法响应或响应失败等后果由供应商自行承担。</w:t>
      </w:r>
    </w:p>
    <w:p w14:paraId="548FAD7D">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.6.3响应文件制作：</w:t>
      </w:r>
    </w:p>
    <w:p w14:paraId="570DDE76">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.6.3.1应按照本项目采购文件和政府采购云平台的要求编制、加密并递交响应文件。供应商在使用系统进行响应的过程中遇到涉及平台使用的任何问题，可致电政府采购云平台技术支持热线咨询，联系方式：</w:t>
      </w:r>
      <w:r>
        <w:rPr>
          <w:rFonts w:hint="eastAsia" w:ascii="宋体" w:hAnsi="宋体" w:eastAsia="宋体" w:cs="宋体"/>
          <w:color w:val="auto"/>
          <w:kern w:val="0"/>
          <w:szCs w:val="21"/>
          <w:highlight w:val="none"/>
          <w:shd w:val="clear" w:color="auto" w:fill="FFFFFF"/>
          <w:lang w:bidi="ar"/>
        </w:rPr>
        <w:t>95763</w:t>
      </w:r>
      <w:r>
        <w:rPr>
          <w:rFonts w:hint="eastAsia" w:ascii="宋体" w:hAnsi="宋体" w:eastAsia="宋体" w:cs="宋体"/>
          <w:color w:val="auto"/>
          <w:szCs w:val="21"/>
          <w:highlight w:val="none"/>
        </w:rPr>
        <w:t>。</w:t>
      </w:r>
    </w:p>
    <w:p w14:paraId="78C07138">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.6.3.2供应商通过政府采购云平台电子投标工具制作响应文件，电子投标工具请供应商自行前往浙江政府采购网下载并安装，响应文件制作具体流程详见政府采购云平台。</w:t>
      </w:r>
    </w:p>
    <w:p w14:paraId="70C5B2DB">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.6.3.3供应商可自愿提交以U盘存储的电子备份响应文件1份，按政府采购云平台要求制作的电子备份文件，以用于异常情况处理。</w:t>
      </w:r>
    </w:p>
    <w:p w14:paraId="422EAE62">
      <w:pPr>
        <w:spacing w:line="336" w:lineRule="auto"/>
        <w:ind w:firstLine="420"/>
        <w:rPr>
          <w:rFonts w:ascii="宋体" w:hAnsi="宋体" w:eastAsia="宋体" w:cs="宋体"/>
          <w:bCs/>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.7本招标公告附件中的采购文件仅供阅览使用，供应商应在规定的采购文件获取期限内在政采云平台登录供应商注册的账号后获取采购文件，未按上述方式获取采购文件的，不得对采购文件提起质疑投诉。</w:t>
      </w:r>
    </w:p>
    <w:p w14:paraId="6DB6861E">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.8供应商应于响应截止时间前将电子响应文件上传到政府采购云平台www.zcygov.cn，未上传电子响应文件，视为供应商放弃响应。</w:t>
      </w:r>
    </w:p>
    <w:p w14:paraId="7AC0FE4D">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9供应商如提供备份响应文件的，应于提交响应文件截止时间前，将以U盘存储的电子备份响应文件密封，递交至响应地点，逾期送达或未密封将予以拒收。供应商仅提供备份响应文件（以U盘存储的电子备份响应文件）的，响应无效。</w:t>
      </w:r>
    </w:p>
    <w:p w14:paraId="44A834A9">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10采购代理机构将在采购文件规定的开标时间通过政府采购云平台组织开标、开启响应文件，所有供应商均应准时在线参加。开标时间后30分钟内供应商可以登录政府采购云平台www.zcygov.cn，用“项目采购-开标评标”功能进行解密响应文件。</w:t>
      </w:r>
    </w:p>
    <w:p w14:paraId="73DA506B">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.11供应商可采用邮寄（含快递）方式或现场方式递交备份响应文件。</w:t>
      </w:r>
    </w:p>
    <w:p w14:paraId="22C7AC5B">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.11.1采用邮寄方式递交备份响应文件，需按以下要求递交：</w:t>
      </w:r>
    </w:p>
    <w:p w14:paraId="791CCD37">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拟在</w:t>
      </w:r>
      <w:r>
        <w:rPr>
          <w:rFonts w:hint="eastAsia" w:ascii="宋体" w:hAnsi="宋体" w:eastAsia="宋体" w:cs="宋体"/>
          <w:color w:val="auto"/>
          <w:szCs w:val="21"/>
          <w:highlight w:val="none"/>
          <w:lang w:eastAsia="zh-CN"/>
        </w:rPr>
        <w:t>2025年</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月</w:t>
      </w:r>
      <w:r>
        <w:rPr>
          <w:rFonts w:hint="eastAsia" w:ascii="宋体" w:hAnsi="宋体" w:eastAsia="宋体" w:cs="宋体"/>
          <w:color w:val="auto"/>
          <w:szCs w:val="21"/>
          <w:highlight w:val="none"/>
          <w:lang w:val="en-US" w:eastAsia="zh-CN"/>
        </w:rPr>
        <w:t>17</w:t>
      </w:r>
      <w:r>
        <w:rPr>
          <w:rFonts w:hint="eastAsia" w:ascii="宋体" w:hAnsi="宋体" w:eastAsia="宋体" w:cs="宋体"/>
          <w:color w:val="auto"/>
          <w:szCs w:val="21"/>
          <w:highlight w:val="none"/>
          <w:lang w:eastAsia="zh-CN"/>
        </w:rPr>
        <w:t>日</w:t>
      </w:r>
      <w:r>
        <w:rPr>
          <w:rFonts w:hint="eastAsia" w:ascii="宋体" w:hAnsi="宋体" w:eastAsia="宋体" w:cs="宋体"/>
          <w:color w:val="auto"/>
          <w:szCs w:val="21"/>
          <w:highlight w:val="none"/>
          <w:lang w:val="en-US" w:eastAsia="zh-CN"/>
        </w:rPr>
        <w:t>17</w:t>
      </w:r>
      <w:r>
        <w:rPr>
          <w:rFonts w:hint="eastAsia" w:ascii="宋体" w:hAnsi="宋体" w:eastAsia="宋体" w:cs="宋体"/>
          <w:color w:val="auto"/>
          <w:szCs w:val="21"/>
          <w:highlight w:val="none"/>
          <w:lang w:eastAsia="zh-CN"/>
        </w:rPr>
        <w:t>:00</w:t>
      </w:r>
      <w:r>
        <w:rPr>
          <w:rFonts w:hint="eastAsia" w:ascii="宋体" w:hAnsi="宋体" w:eastAsia="宋体" w:cs="宋体"/>
          <w:color w:val="auto"/>
          <w:szCs w:val="21"/>
          <w:highlight w:val="none"/>
        </w:rPr>
        <w:t>之前到件的邮寄地址为：宁波市海曙区高桥镇秀丰路755号；拟在</w:t>
      </w:r>
      <w:r>
        <w:rPr>
          <w:rFonts w:hint="eastAsia" w:ascii="宋体" w:hAnsi="宋体" w:eastAsia="宋体" w:cs="宋体"/>
          <w:color w:val="auto"/>
          <w:szCs w:val="21"/>
          <w:highlight w:val="none"/>
          <w:lang w:eastAsia="zh-CN"/>
        </w:rPr>
        <w:t>2025年</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月</w:t>
      </w:r>
      <w:r>
        <w:rPr>
          <w:rFonts w:hint="eastAsia" w:ascii="宋体" w:hAnsi="宋体" w:eastAsia="宋体" w:cs="宋体"/>
          <w:color w:val="auto"/>
          <w:szCs w:val="21"/>
          <w:highlight w:val="none"/>
          <w:lang w:val="en-US" w:eastAsia="zh-CN"/>
        </w:rPr>
        <w:t>17</w:t>
      </w:r>
      <w:r>
        <w:rPr>
          <w:rFonts w:hint="eastAsia" w:ascii="宋体" w:hAnsi="宋体" w:eastAsia="宋体" w:cs="宋体"/>
          <w:color w:val="auto"/>
          <w:szCs w:val="21"/>
          <w:highlight w:val="none"/>
          <w:lang w:eastAsia="zh-CN"/>
        </w:rPr>
        <w:t>日</w:t>
      </w:r>
      <w:r>
        <w:rPr>
          <w:rFonts w:hint="eastAsia" w:ascii="宋体" w:hAnsi="宋体" w:eastAsia="宋体" w:cs="宋体"/>
          <w:color w:val="auto"/>
          <w:szCs w:val="21"/>
          <w:highlight w:val="none"/>
          <w:lang w:val="en-US" w:eastAsia="zh-CN"/>
        </w:rPr>
        <w:t>17</w:t>
      </w:r>
      <w:r>
        <w:rPr>
          <w:rFonts w:hint="eastAsia" w:ascii="宋体" w:hAnsi="宋体" w:eastAsia="宋体" w:cs="宋体"/>
          <w:color w:val="auto"/>
          <w:szCs w:val="21"/>
          <w:highlight w:val="none"/>
          <w:lang w:eastAsia="zh-CN"/>
        </w:rPr>
        <w:t>:00</w:t>
      </w:r>
      <w:r>
        <w:rPr>
          <w:rFonts w:hint="eastAsia" w:ascii="宋体" w:hAnsi="宋体" w:eastAsia="宋体" w:cs="宋体"/>
          <w:color w:val="auto"/>
          <w:szCs w:val="21"/>
          <w:highlight w:val="none"/>
        </w:rPr>
        <w:t>之后，</w:t>
      </w:r>
      <w:r>
        <w:rPr>
          <w:rFonts w:hint="eastAsia" w:ascii="宋体" w:hAnsi="宋体" w:eastAsia="宋体" w:cs="宋体"/>
          <w:color w:val="auto"/>
          <w:szCs w:val="21"/>
          <w:highlight w:val="none"/>
          <w:lang w:eastAsia="zh-CN"/>
        </w:rPr>
        <w:t>2025年</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月</w:t>
      </w:r>
      <w:r>
        <w:rPr>
          <w:rFonts w:hint="eastAsia" w:ascii="宋体" w:hAnsi="宋体" w:eastAsia="宋体" w:cs="宋体"/>
          <w:color w:val="auto"/>
          <w:szCs w:val="21"/>
          <w:highlight w:val="none"/>
          <w:lang w:val="en-US" w:eastAsia="zh-CN"/>
        </w:rPr>
        <w:t>18</w:t>
      </w:r>
      <w:r>
        <w:rPr>
          <w:rFonts w:hint="eastAsia" w:ascii="宋体" w:hAnsi="宋体" w:eastAsia="宋体" w:cs="宋体"/>
          <w:color w:val="auto"/>
          <w:szCs w:val="21"/>
          <w:highlight w:val="none"/>
          <w:lang w:eastAsia="zh-CN"/>
        </w:rPr>
        <w:t>日</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0</w:t>
      </w:r>
      <w:r>
        <w:rPr>
          <w:rFonts w:hint="eastAsia" w:ascii="宋体" w:hAnsi="宋体" w:eastAsia="宋体" w:cs="宋体"/>
          <w:color w:val="auto"/>
          <w:szCs w:val="21"/>
          <w:highlight w:val="none"/>
        </w:rPr>
        <w:t>之前到件的邮寄地址为：[海曙区公共资源交易中心开标室（</w:t>
      </w: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）[宁波市海曙区气象路58号（南门上）]；</w:t>
      </w:r>
    </w:p>
    <w:p w14:paraId="62BCF026">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收件人：邓平，联系方式：0574-87208638。由采购代理工作人员进行签收，各供应商自行考虑邮寄在途时间，邮寄过程中无论何种因素导致备份响应文件未按时递交的后果，均由供应商自行负责。备份响应文件递交时间以采购代理实际收到备份响应文件的时间为准。</w:t>
      </w:r>
    </w:p>
    <w:p w14:paraId="488222C0">
      <w:pPr>
        <w:spacing w:line="336"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.11.2采用现场方式送达备份响应文件，需按以下要求递交：供应商可安排相关人员在响应截止时间前将备份响应文件送至响应地点。</w:t>
      </w:r>
    </w:p>
    <w:p w14:paraId="4160E176">
      <w:pPr>
        <w:spacing w:line="336" w:lineRule="auto"/>
        <w:ind w:firstLine="420"/>
        <w:rPr>
          <w:rFonts w:ascii="宋体" w:hAnsi="宋体" w:cs="宋体"/>
          <w:color w:val="auto"/>
          <w:szCs w:val="21"/>
          <w:highlight w:val="none"/>
        </w:rPr>
      </w:pP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12本公告发布媒体：中国政府采购网（www.ccgp.gov.cn）、浙江政府采购网（www.zjzfcg.gov.cn）、宁波政府采购网（www.nbzfcg.cn）、浙江省公共资源交易服务平台（ggzy.zj.gov.cn）、宁波市公共资源交易电子服务系统（甬易阳光）（jyxt.zwb.ningbo.gov.cn:4011/website/home），公布信息视同送达所有潜在供应商。</w:t>
      </w:r>
    </w:p>
    <w:p w14:paraId="546C3444">
      <w:pPr>
        <w:spacing w:before="240" w:line="360" w:lineRule="auto"/>
        <w:rPr>
          <w:rFonts w:ascii="宋体" w:hAnsi="宋体" w:cs="宋体"/>
          <w:color w:val="auto"/>
          <w:kern w:val="0"/>
          <w:szCs w:val="21"/>
          <w:highlight w:val="none"/>
          <w:lang w:bidi="ar"/>
        </w:rPr>
      </w:pPr>
      <w:r>
        <w:rPr>
          <w:rFonts w:hint="eastAsia" w:ascii="宋体" w:hAnsi="宋体" w:cs="宋体"/>
          <w:b/>
          <w:color w:val="auto"/>
          <w:kern w:val="0"/>
          <w:szCs w:val="21"/>
          <w:highlight w:val="none"/>
          <w:lang w:bidi="ar"/>
        </w:rPr>
        <w:t>八、凡对本次招标提出询问、质疑、投诉，请按以下方式联系</w:t>
      </w:r>
    </w:p>
    <w:p w14:paraId="28A664CB">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1.采购人信息</w:t>
      </w:r>
    </w:p>
    <w:p w14:paraId="035E6CC6">
      <w:pPr>
        <w:spacing w:line="360" w:lineRule="auto"/>
        <w:ind w:firstLine="420" w:firstLineChars="200"/>
        <w:jc w:val="left"/>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名称：</w:t>
      </w:r>
      <w:r>
        <w:rPr>
          <w:rFonts w:hint="eastAsia" w:ascii="宋体" w:hAnsi="宋体" w:cs="宋体"/>
          <w:color w:val="auto"/>
          <w:kern w:val="0"/>
          <w:szCs w:val="21"/>
          <w:highlight w:val="none"/>
          <w:lang w:eastAsia="zh-CN" w:bidi="ar"/>
        </w:rPr>
        <w:t>宁波市海曙区横街镇人民政府</w:t>
      </w:r>
    </w:p>
    <w:p w14:paraId="46A52B7B">
      <w:pPr>
        <w:spacing w:line="360" w:lineRule="auto"/>
        <w:ind w:firstLine="420" w:firstLineChars="200"/>
        <w:jc w:val="left"/>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bidi="ar"/>
        </w:rPr>
        <w:t>地址：</w:t>
      </w:r>
      <w:r>
        <w:rPr>
          <w:rFonts w:hint="eastAsia" w:ascii="宋体" w:hAnsi="宋体" w:cs="宋体"/>
          <w:color w:val="auto"/>
          <w:kern w:val="0"/>
          <w:szCs w:val="21"/>
          <w:highlight w:val="none"/>
          <w:lang w:eastAsia="zh-CN" w:bidi="ar"/>
        </w:rPr>
        <w:t>浙江省宁波市海曙区横街镇横街南路38号</w:t>
      </w:r>
    </w:p>
    <w:p w14:paraId="3CB4EE4E">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传真：/</w:t>
      </w:r>
    </w:p>
    <w:p w14:paraId="278B574E">
      <w:pPr>
        <w:spacing w:line="360" w:lineRule="auto"/>
        <w:ind w:firstLine="420" w:firstLineChars="200"/>
        <w:jc w:val="left"/>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bidi="ar"/>
        </w:rPr>
        <w:t>项目联系人（询问）：</w:t>
      </w:r>
      <w:r>
        <w:rPr>
          <w:rFonts w:hint="eastAsia" w:ascii="宋体" w:hAnsi="宋体" w:cs="宋体"/>
          <w:color w:val="auto"/>
          <w:kern w:val="0"/>
          <w:szCs w:val="21"/>
          <w:highlight w:val="none"/>
          <w:lang w:val="en-US" w:eastAsia="zh-CN" w:bidi="ar"/>
        </w:rPr>
        <w:t>吕老师</w:t>
      </w:r>
    </w:p>
    <w:p w14:paraId="49C77034">
      <w:pPr>
        <w:spacing w:line="360" w:lineRule="auto"/>
        <w:ind w:firstLine="420" w:firstLineChars="200"/>
        <w:jc w:val="left"/>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bidi="ar"/>
        </w:rPr>
        <w:t>项目联系方式（询问）：</w:t>
      </w:r>
      <w:r>
        <w:rPr>
          <w:rFonts w:hint="eastAsia" w:ascii="宋体" w:hAnsi="宋体" w:cs="宋体"/>
          <w:color w:val="auto"/>
          <w:kern w:val="0"/>
          <w:szCs w:val="21"/>
          <w:highlight w:val="none"/>
          <w:lang w:val="en-US" w:eastAsia="zh-CN" w:bidi="ar"/>
        </w:rPr>
        <w:t>0574-88082090</w:t>
      </w:r>
    </w:p>
    <w:p w14:paraId="68E3C2F7">
      <w:pPr>
        <w:spacing w:line="360" w:lineRule="auto"/>
        <w:ind w:firstLine="420" w:firstLineChars="200"/>
        <w:jc w:val="left"/>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bidi="ar"/>
        </w:rPr>
        <w:t>质疑联系人：</w:t>
      </w:r>
      <w:r>
        <w:rPr>
          <w:rFonts w:hint="eastAsia" w:ascii="宋体" w:hAnsi="宋体" w:cs="宋体"/>
          <w:color w:val="auto"/>
          <w:kern w:val="0"/>
          <w:szCs w:val="21"/>
          <w:highlight w:val="none"/>
          <w:lang w:eastAsia="zh-CN" w:bidi="ar"/>
        </w:rPr>
        <w:t>陈</w:t>
      </w:r>
      <w:r>
        <w:rPr>
          <w:rFonts w:hint="eastAsia" w:ascii="宋体" w:hAnsi="宋体" w:cs="宋体"/>
          <w:color w:val="auto"/>
          <w:kern w:val="0"/>
          <w:szCs w:val="21"/>
          <w:highlight w:val="none"/>
          <w:lang w:val="en-US" w:eastAsia="zh-CN" w:bidi="ar"/>
        </w:rPr>
        <w:t>老师</w:t>
      </w:r>
    </w:p>
    <w:p w14:paraId="56C399A5">
      <w:pPr>
        <w:spacing w:line="360" w:lineRule="auto"/>
        <w:ind w:firstLine="420" w:firstLineChars="200"/>
        <w:jc w:val="left"/>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bidi="ar"/>
        </w:rPr>
        <w:t>质疑联系方式：</w:t>
      </w:r>
      <w:r>
        <w:rPr>
          <w:rFonts w:hint="eastAsia" w:ascii="宋体" w:hAnsi="宋体" w:cs="宋体"/>
          <w:color w:val="auto"/>
          <w:kern w:val="0"/>
          <w:szCs w:val="21"/>
          <w:highlight w:val="none"/>
          <w:lang w:val="en-US" w:eastAsia="zh-CN" w:bidi="ar"/>
        </w:rPr>
        <w:t>0574-88425477</w:t>
      </w:r>
    </w:p>
    <w:p w14:paraId="54601513">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2.采购代理机构信息</w:t>
      </w:r>
    </w:p>
    <w:p w14:paraId="4ABB8B4D">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名称：宁波之新招标咨询有</w:t>
      </w:r>
      <w:bookmarkStart w:id="44" w:name="_GoBack"/>
      <w:bookmarkEnd w:id="44"/>
      <w:r>
        <w:rPr>
          <w:rFonts w:hint="eastAsia" w:ascii="宋体" w:hAnsi="宋体" w:cs="宋体"/>
          <w:color w:val="auto"/>
          <w:kern w:val="0"/>
          <w:szCs w:val="21"/>
          <w:highlight w:val="none"/>
          <w:lang w:bidi="ar"/>
        </w:rPr>
        <w:t>限公司</w:t>
      </w:r>
    </w:p>
    <w:p w14:paraId="1FC585BB">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地    址：宁波市海曙区高桥镇秀丰路755号3楼</w:t>
      </w:r>
    </w:p>
    <w:p w14:paraId="4F42AFDB">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联 系 人：姜梅、邓平、徐斌</w:t>
      </w:r>
    </w:p>
    <w:p w14:paraId="68E89BB8">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联系电话：0574-87208638</w:t>
      </w:r>
    </w:p>
    <w:p w14:paraId="7505DD91">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质疑联系人：江华波</w:t>
      </w:r>
    </w:p>
    <w:p w14:paraId="5F39D49A">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联系电话：0574-87208639</w:t>
      </w:r>
    </w:p>
    <w:p w14:paraId="24E0F5C2">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3.同级政府采购监督管理部门</w:t>
      </w:r>
    </w:p>
    <w:p w14:paraId="19AB481E">
      <w:pPr>
        <w:adjustRightInd w:val="0"/>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shd w:val="clear" w:color="auto" w:fill="FFFFFF"/>
          <w:lang w:bidi="ar"/>
        </w:rPr>
        <w:t>名称：宁波市海曙区采购管理办公室</w:t>
      </w:r>
    </w:p>
    <w:p w14:paraId="5DCAA9E6">
      <w:pPr>
        <w:adjustRightInd w:val="0"/>
        <w:spacing w:line="360" w:lineRule="auto"/>
        <w:ind w:firstLine="420" w:firstLineChars="200"/>
        <w:jc w:val="left"/>
        <w:rPr>
          <w:rFonts w:ascii="宋体" w:hAnsi="宋体" w:cs="宋体"/>
          <w:color w:val="auto"/>
          <w:kern w:val="0"/>
          <w:szCs w:val="21"/>
          <w:highlight w:val="none"/>
          <w:shd w:val="clear" w:color="auto" w:fill="FFFFFF"/>
          <w:lang w:bidi="ar"/>
        </w:rPr>
      </w:pPr>
      <w:r>
        <w:rPr>
          <w:rFonts w:hint="eastAsia" w:ascii="宋体" w:hAnsi="宋体" w:cs="宋体"/>
          <w:color w:val="auto"/>
          <w:kern w:val="0"/>
          <w:szCs w:val="21"/>
          <w:highlight w:val="none"/>
          <w:shd w:val="clear" w:color="auto" w:fill="FFFFFF"/>
          <w:lang w:bidi="ar"/>
        </w:rPr>
        <w:t>地址：宁波市海曙区大梁街48号</w:t>
      </w:r>
    </w:p>
    <w:p w14:paraId="6BAC0A12">
      <w:pPr>
        <w:adjustRightInd w:val="0"/>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shd w:val="clear" w:color="auto" w:fill="FFFFFF"/>
          <w:lang w:bidi="ar"/>
        </w:rPr>
        <w:t>传真：/</w:t>
      </w:r>
    </w:p>
    <w:p w14:paraId="3D408B15">
      <w:pPr>
        <w:adjustRightInd w:val="0"/>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shd w:val="clear" w:color="auto" w:fill="FFFFFF"/>
          <w:lang w:bidi="ar"/>
        </w:rPr>
        <w:t>联系人：王老师</w:t>
      </w:r>
    </w:p>
    <w:p w14:paraId="1A4BA31B">
      <w:pPr>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rPr>
        <w:t>监督投诉电话：0574-87297540</w:t>
      </w:r>
    </w:p>
    <w:p w14:paraId="32333948">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若对项目采购电子交易系统操作有疑问，可登录政采云（https://www.zcygov.cn/），点击右侧咨询小采，获取采小蜜智能服务管家帮助，或拨打政采云服务热线</w:t>
      </w:r>
      <w:r>
        <w:rPr>
          <w:rFonts w:hint="eastAsia" w:ascii="宋体" w:hAnsi="宋体" w:cs="宋体"/>
          <w:color w:val="auto"/>
          <w:kern w:val="0"/>
          <w:szCs w:val="21"/>
          <w:highlight w:val="none"/>
          <w:shd w:val="clear" w:color="auto" w:fill="FFFFFF"/>
          <w:lang w:bidi="ar"/>
        </w:rPr>
        <w:t>95763</w:t>
      </w:r>
      <w:r>
        <w:rPr>
          <w:rFonts w:hint="eastAsia" w:ascii="宋体" w:hAnsi="宋体" w:cs="宋体"/>
          <w:color w:val="auto"/>
          <w:kern w:val="0"/>
          <w:szCs w:val="21"/>
          <w:highlight w:val="none"/>
          <w:lang w:bidi="ar"/>
        </w:rPr>
        <w:t>获取热线服务帮助。</w:t>
      </w:r>
    </w:p>
    <w:p w14:paraId="5DE50BF1">
      <w:pPr>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CA问题联系电话（人工）：汇信CA400-888-4636；天谷CA400-087-8198。</w:t>
      </w:r>
    </w:p>
    <w:p w14:paraId="598C4636">
      <w:pPr>
        <w:spacing w:after="330" w:line="360" w:lineRule="auto"/>
        <w:jc w:val="center"/>
        <w:outlineLvl w:val="0"/>
        <w:rPr>
          <w:rFonts w:asciiTheme="majorEastAsia" w:hAnsiTheme="majorEastAsia" w:eastAsiaTheme="majorEastAsia"/>
          <w:color w:val="auto"/>
          <w:highlight w:val="none"/>
        </w:rPr>
      </w:pPr>
      <w:r>
        <w:rPr>
          <w:rFonts w:asciiTheme="majorEastAsia" w:hAnsiTheme="majorEastAsia" w:eastAsiaTheme="majorEastAsia"/>
          <w:color w:val="auto"/>
          <w:highlight w:val="none"/>
        </w:rPr>
        <w:br w:type="page"/>
      </w:r>
      <w:bookmarkStart w:id="4" w:name="_Toc16919"/>
      <w:bookmarkStart w:id="5" w:name="_Toc15961"/>
      <w:r>
        <w:rPr>
          <w:rFonts w:asciiTheme="majorEastAsia" w:hAnsiTheme="majorEastAsia" w:eastAsiaTheme="majorEastAsia"/>
          <w:b/>
          <w:bCs/>
          <w:color w:val="auto"/>
          <w:sz w:val="32"/>
          <w:szCs w:val="40"/>
          <w:highlight w:val="none"/>
        </w:rPr>
        <w:t>第二章  采购需求</w:t>
      </w:r>
      <w:bookmarkEnd w:id="3"/>
      <w:bookmarkEnd w:id="4"/>
      <w:bookmarkEnd w:id="5"/>
    </w:p>
    <w:p w14:paraId="5BC13EA8">
      <w:pPr>
        <w:keepNext w:val="0"/>
        <w:keepLines w:val="0"/>
        <w:pageBreakBefore w:val="0"/>
        <w:numPr>
          <w:ilvl w:val="0"/>
          <w:numId w:val="2"/>
        </w:numPr>
        <w:kinsoku/>
        <w:wordWrap/>
        <w:overflowPunct/>
        <w:topLinePunct w:val="0"/>
        <w:bidi w:val="0"/>
        <w:spacing w:line="360" w:lineRule="auto"/>
        <w:textAlignment w:val="auto"/>
        <w:rPr>
          <w:rFonts w:hint="eastAsia" w:ascii="宋体" w:hAnsi="宋体" w:eastAsia="宋体" w:cs="宋体"/>
          <w:b/>
          <w:color w:val="auto"/>
          <w:sz w:val="21"/>
          <w:szCs w:val="21"/>
          <w:highlight w:val="none"/>
        </w:rPr>
      </w:pPr>
      <w:bookmarkStart w:id="6" w:name="_Toc522013504"/>
      <w:r>
        <w:rPr>
          <w:rFonts w:hint="eastAsia" w:ascii="宋体" w:hAnsi="宋体" w:cs="宋体"/>
          <w:b/>
          <w:color w:val="auto"/>
          <w:sz w:val="21"/>
          <w:szCs w:val="21"/>
          <w:highlight w:val="none"/>
          <w:lang w:val="en-US" w:eastAsia="zh-CN"/>
        </w:rPr>
        <w:t>采购需求前附表</w:t>
      </w:r>
    </w:p>
    <w:tbl>
      <w:tblPr>
        <w:tblStyle w:val="45"/>
        <w:tblW w:w="8751"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938"/>
        <w:gridCol w:w="2402"/>
        <w:gridCol w:w="5411"/>
      </w:tblGrid>
      <w:tr w14:paraId="0DDE162C">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tblHeader/>
          <w:jc w:val="center"/>
        </w:trPr>
        <w:tc>
          <w:tcPr>
            <w:tcW w:w="938" w:type="dxa"/>
            <w:shd w:val="clear" w:color="auto" w:fill="auto"/>
            <w:noWrap w:val="0"/>
            <w:vAlign w:val="center"/>
          </w:tcPr>
          <w:p w14:paraId="493C42A7">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402" w:type="dxa"/>
            <w:shd w:val="clear" w:color="auto" w:fill="auto"/>
            <w:noWrap w:val="0"/>
            <w:vAlign w:val="center"/>
          </w:tcPr>
          <w:p w14:paraId="70D80FC9">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5411" w:type="dxa"/>
            <w:shd w:val="clear" w:color="auto" w:fill="auto"/>
            <w:noWrap w:val="0"/>
            <w:vAlign w:val="center"/>
          </w:tcPr>
          <w:p w14:paraId="08A1B537">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采购需求内容</w:t>
            </w:r>
          </w:p>
        </w:tc>
      </w:tr>
      <w:tr w14:paraId="7E621F35">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38" w:type="dxa"/>
            <w:shd w:val="clear" w:color="auto" w:fill="auto"/>
            <w:noWrap w:val="0"/>
            <w:vAlign w:val="center"/>
          </w:tcPr>
          <w:p w14:paraId="36BD315E">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402" w:type="dxa"/>
            <w:shd w:val="clear" w:color="auto" w:fill="auto"/>
            <w:noWrap w:val="0"/>
            <w:vAlign w:val="center"/>
          </w:tcPr>
          <w:p w14:paraId="643CABE7">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采购内容</w:t>
            </w:r>
          </w:p>
        </w:tc>
        <w:tc>
          <w:tcPr>
            <w:tcW w:w="5411" w:type="dxa"/>
            <w:shd w:val="clear" w:color="auto" w:fill="auto"/>
            <w:noWrap w:val="0"/>
            <w:vAlign w:val="center"/>
          </w:tcPr>
          <w:p w14:paraId="4C24D0F6">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海曙区横街镇校园保安服务项目</w:t>
            </w:r>
          </w:p>
        </w:tc>
      </w:tr>
      <w:tr w14:paraId="167B63EF">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38" w:type="dxa"/>
            <w:shd w:val="clear" w:color="auto" w:fill="auto"/>
            <w:noWrap w:val="0"/>
            <w:vAlign w:val="center"/>
          </w:tcPr>
          <w:p w14:paraId="37FA8263">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402" w:type="dxa"/>
            <w:shd w:val="clear" w:color="auto" w:fill="auto"/>
            <w:noWrap w:val="0"/>
            <w:vAlign w:val="center"/>
          </w:tcPr>
          <w:p w14:paraId="3ABBEA3D">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采购标的需实现的功能或者目标</w:t>
            </w:r>
          </w:p>
        </w:tc>
        <w:tc>
          <w:tcPr>
            <w:tcW w:w="5411" w:type="dxa"/>
            <w:shd w:val="clear" w:color="auto" w:fill="auto"/>
            <w:noWrap w:val="0"/>
            <w:vAlign w:val="center"/>
          </w:tcPr>
          <w:p w14:paraId="10C451EE">
            <w:pPr>
              <w:keepNext w:val="0"/>
              <w:keepLines w:val="0"/>
              <w:pageBreakBefore w:val="0"/>
              <w:kinsoku/>
              <w:wordWrap/>
              <w:overflowPunct/>
              <w:topLinePunct w:val="0"/>
              <w:bidi w:val="0"/>
              <w:spacing w:line="240" w:lineRule="auto"/>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满足保安服务</w:t>
            </w:r>
            <w:r>
              <w:rPr>
                <w:rFonts w:hint="eastAsia" w:ascii="宋体" w:hAnsi="宋体" w:eastAsia="宋体" w:cs="宋体"/>
                <w:bCs/>
                <w:color w:val="auto"/>
                <w:sz w:val="21"/>
                <w:szCs w:val="21"/>
                <w:highlight w:val="none"/>
              </w:rPr>
              <w:t>功能需求</w:t>
            </w:r>
            <w:r>
              <w:rPr>
                <w:rFonts w:hint="eastAsia" w:ascii="宋体" w:hAnsi="宋体" w:eastAsia="宋体" w:cs="宋体"/>
                <w:color w:val="auto"/>
                <w:sz w:val="21"/>
                <w:szCs w:val="21"/>
                <w:highlight w:val="none"/>
              </w:rPr>
              <w:t>。</w:t>
            </w:r>
          </w:p>
        </w:tc>
      </w:tr>
      <w:tr w14:paraId="14B349B3">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38" w:type="dxa"/>
            <w:shd w:val="clear" w:color="auto" w:fill="auto"/>
            <w:noWrap w:val="0"/>
            <w:vAlign w:val="center"/>
          </w:tcPr>
          <w:p w14:paraId="3CC295C7">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402" w:type="dxa"/>
            <w:shd w:val="clear" w:color="auto" w:fill="auto"/>
            <w:noWrap w:val="0"/>
            <w:vAlign w:val="center"/>
          </w:tcPr>
          <w:p w14:paraId="28943632">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采购标的为落实政府采购政策需满足的要求</w:t>
            </w:r>
          </w:p>
        </w:tc>
        <w:tc>
          <w:tcPr>
            <w:tcW w:w="5411" w:type="dxa"/>
            <w:shd w:val="clear" w:color="auto" w:fill="auto"/>
            <w:noWrap w:val="0"/>
            <w:vAlign w:val="center"/>
          </w:tcPr>
          <w:p w14:paraId="7972CF4D">
            <w:pPr>
              <w:keepNext w:val="0"/>
              <w:keepLines w:val="0"/>
              <w:pageBreakBefore w:val="0"/>
              <w:kinsoku/>
              <w:wordWrap/>
              <w:overflowPunct/>
              <w:topLinePunct w:val="0"/>
              <w:bidi w:val="0"/>
              <w:snapToGrid w:val="0"/>
              <w:spacing w:line="240" w:lineRule="auto"/>
              <w:textAlignment w:val="auto"/>
              <w:rPr>
                <w:rFonts w:hint="eastAsia" w:ascii="宋体" w:hAnsi="宋体" w:eastAsia="宋体" w:cs="宋体"/>
                <w:bCs/>
                <w:color w:val="auto"/>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本项目属于专门面向中小企业采购的项目，供应商应为符合《政府采购促进中小企业发展管理办法》（财库﹝2020﹞46 号）规定的中小企业（其中，小微企业包括视同为小型、微型企业的监狱企业、残疾人福利性单位）</w:t>
            </w:r>
          </w:p>
        </w:tc>
      </w:tr>
      <w:tr w14:paraId="1A72DD95">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38" w:type="dxa"/>
            <w:shd w:val="clear" w:color="auto" w:fill="auto"/>
            <w:noWrap w:val="0"/>
            <w:vAlign w:val="center"/>
          </w:tcPr>
          <w:p w14:paraId="235D7DD7">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402" w:type="dxa"/>
            <w:shd w:val="clear" w:color="auto" w:fill="auto"/>
            <w:noWrap w:val="0"/>
            <w:vAlign w:val="center"/>
          </w:tcPr>
          <w:p w14:paraId="6B7D1E12">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采购标的需执行的国家相关标准、行业标准、地方标准或者其他标准、规范；</w:t>
            </w:r>
          </w:p>
        </w:tc>
        <w:tc>
          <w:tcPr>
            <w:tcW w:w="5411" w:type="dxa"/>
            <w:shd w:val="clear" w:color="auto" w:fill="auto"/>
            <w:noWrap w:val="0"/>
            <w:vAlign w:val="center"/>
          </w:tcPr>
          <w:p w14:paraId="3FA1CA8A">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w:t>
            </w:r>
            <w:r>
              <w:rPr>
                <w:rFonts w:hint="eastAsia" w:ascii="宋体" w:hAnsi="宋体" w:eastAsia="宋体" w:cs="宋体"/>
                <w:bCs/>
                <w:color w:val="auto"/>
                <w:sz w:val="21"/>
                <w:szCs w:val="21"/>
                <w:highlight w:val="none"/>
              </w:rPr>
              <w:t>详见“本章二、服务要求”内容</w:t>
            </w:r>
          </w:p>
        </w:tc>
      </w:tr>
      <w:tr w14:paraId="0FB9E3F8">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38" w:type="dxa"/>
            <w:shd w:val="clear" w:color="auto" w:fill="auto"/>
            <w:noWrap w:val="0"/>
            <w:vAlign w:val="center"/>
          </w:tcPr>
          <w:p w14:paraId="0FD13C67">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402" w:type="dxa"/>
            <w:shd w:val="clear" w:color="auto" w:fill="auto"/>
            <w:noWrap w:val="0"/>
            <w:vAlign w:val="center"/>
          </w:tcPr>
          <w:p w14:paraId="6110EC25">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采购标的需满足的质量、安全、技术规格、物理特性等要求，包括附件、图纸等。</w:t>
            </w:r>
          </w:p>
        </w:tc>
        <w:tc>
          <w:tcPr>
            <w:tcW w:w="5411" w:type="dxa"/>
            <w:shd w:val="clear" w:color="auto" w:fill="auto"/>
            <w:noWrap w:val="0"/>
            <w:vAlign w:val="center"/>
          </w:tcPr>
          <w:p w14:paraId="0F5B6DE1">
            <w:pPr>
              <w:keepNext w:val="0"/>
              <w:keepLines w:val="0"/>
              <w:pageBreakBefore w:val="0"/>
              <w:kinsoku/>
              <w:wordWrap/>
              <w:overflowPunct/>
              <w:topLinePunct w:val="0"/>
              <w:bidi w:val="0"/>
              <w:spacing w:line="24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详见本章“</w:t>
            </w:r>
            <w:r>
              <w:rPr>
                <w:rFonts w:hint="eastAsia" w:ascii="宋体" w:hAnsi="宋体" w:eastAsia="宋体" w:cs="宋体"/>
                <w:bCs/>
                <w:color w:val="auto"/>
                <w:sz w:val="21"/>
                <w:szCs w:val="21"/>
                <w:highlight w:val="none"/>
              </w:rPr>
              <w:t>四、服务要求</w:t>
            </w:r>
            <w:r>
              <w:rPr>
                <w:rFonts w:hint="eastAsia" w:ascii="宋体" w:hAnsi="宋体" w:eastAsia="宋体" w:cs="宋体"/>
                <w:color w:val="auto"/>
                <w:sz w:val="21"/>
                <w:szCs w:val="21"/>
                <w:highlight w:val="none"/>
              </w:rPr>
              <w:t xml:space="preserve"> ”。</w:t>
            </w:r>
          </w:p>
        </w:tc>
      </w:tr>
      <w:tr w14:paraId="046606AF">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38" w:type="dxa"/>
            <w:shd w:val="clear" w:color="auto" w:fill="auto"/>
            <w:noWrap w:val="0"/>
            <w:vAlign w:val="center"/>
          </w:tcPr>
          <w:p w14:paraId="63F614C3">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402" w:type="dxa"/>
            <w:shd w:val="clear" w:color="auto" w:fill="auto"/>
            <w:noWrap w:val="0"/>
            <w:vAlign w:val="center"/>
          </w:tcPr>
          <w:p w14:paraId="70F53067">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采购标的的数量</w:t>
            </w:r>
          </w:p>
        </w:tc>
        <w:tc>
          <w:tcPr>
            <w:tcW w:w="5411" w:type="dxa"/>
            <w:shd w:val="clear" w:color="auto" w:fill="auto"/>
            <w:noWrap w:val="0"/>
            <w:vAlign w:val="center"/>
          </w:tcPr>
          <w:p w14:paraId="611B70AC">
            <w:pPr>
              <w:keepNext w:val="0"/>
              <w:keepLines w:val="0"/>
              <w:pageBreakBefore w:val="0"/>
              <w:kinsoku/>
              <w:wordWrap/>
              <w:overflowPunct/>
              <w:topLinePunct w:val="0"/>
              <w:bidi w:val="0"/>
              <w:spacing w:line="240" w:lineRule="auto"/>
              <w:jc w:val="left"/>
              <w:textAlignment w:val="auto"/>
              <w:rPr>
                <w:rFonts w:hint="default" w:ascii="宋体" w:hAnsi="宋体" w:eastAsia="宋体" w:cs="宋体"/>
                <w:bCs/>
                <w:color w:val="auto"/>
                <w:sz w:val="21"/>
                <w:szCs w:val="21"/>
                <w:highlight w:val="none"/>
                <w:lang w:val="en-US" w:eastAsia="zh-CN"/>
              </w:rPr>
            </w:pPr>
            <w:r>
              <w:rPr>
                <w:rFonts w:hint="eastAsia" w:ascii="宋体" w:hAnsi="宋体" w:cs="宋体"/>
                <w:color w:val="auto"/>
                <w:sz w:val="21"/>
                <w:szCs w:val="21"/>
                <w:highlight w:val="none"/>
                <w:lang w:val="en-US" w:eastAsia="zh-CN"/>
              </w:rPr>
              <w:t>1批</w:t>
            </w:r>
          </w:p>
        </w:tc>
      </w:tr>
      <w:tr w14:paraId="4161BDFF">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38" w:type="dxa"/>
            <w:shd w:val="clear" w:color="auto" w:fill="auto"/>
            <w:noWrap w:val="0"/>
            <w:vAlign w:val="center"/>
          </w:tcPr>
          <w:p w14:paraId="13C0D093">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402" w:type="dxa"/>
            <w:shd w:val="clear" w:color="auto" w:fill="auto"/>
            <w:noWrap w:val="0"/>
            <w:vAlign w:val="center"/>
          </w:tcPr>
          <w:p w14:paraId="79D1FAB4">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采购项目交付或者实施的时间和地点</w:t>
            </w:r>
          </w:p>
        </w:tc>
        <w:tc>
          <w:tcPr>
            <w:tcW w:w="5411" w:type="dxa"/>
            <w:shd w:val="clear" w:color="auto" w:fill="auto"/>
            <w:noWrap w:val="0"/>
            <w:vAlign w:val="center"/>
          </w:tcPr>
          <w:p w14:paraId="3780386E">
            <w:pPr>
              <w:keepNext w:val="0"/>
              <w:keepLines w:val="0"/>
              <w:pageBreakBefore w:val="0"/>
              <w:kinsoku/>
              <w:wordWrap/>
              <w:overflowPunct/>
              <w:topLinePunct w:val="0"/>
              <w:bidi w:val="0"/>
              <w:spacing w:line="240" w:lineRule="auto"/>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采购项目交付或者实施的时间：</w:t>
            </w:r>
            <w:r>
              <w:rPr>
                <w:rFonts w:hint="eastAsia" w:ascii="宋体" w:hAnsi="宋体" w:cs="宋体"/>
                <w:color w:val="auto"/>
                <w:sz w:val="21"/>
                <w:szCs w:val="21"/>
                <w:highlight w:val="none"/>
                <w:lang w:val="en-US" w:eastAsia="zh-CN"/>
              </w:rPr>
              <w:t>以合同约定时间为准</w:t>
            </w:r>
          </w:p>
          <w:p w14:paraId="721FBBEA">
            <w:pPr>
              <w:keepNext w:val="0"/>
              <w:keepLines w:val="0"/>
              <w:pageBreakBefore w:val="0"/>
              <w:kinsoku/>
              <w:wordWrap/>
              <w:overflowPunct/>
              <w:topLinePunct w:val="0"/>
              <w:bidi w:val="0"/>
              <w:spacing w:line="240" w:lineRule="auto"/>
              <w:jc w:val="left"/>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rPr>
              <w:t>采购项目交付或者实施的地点：</w:t>
            </w:r>
            <w:r>
              <w:rPr>
                <w:rFonts w:hint="eastAsia" w:ascii="宋体" w:hAnsi="宋体" w:cs="宋体"/>
                <w:color w:val="auto"/>
                <w:sz w:val="21"/>
                <w:szCs w:val="21"/>
                <w:highlight w:val="none"/>
                <w:lang w:val="en-US" w:eastAsia="zh-CN"/>
              </w:rPr>
              <w:t>海曙区横街镇</w:t>
            </w:r>
          </w:p>
        </w:tc>
      </w:tr>
      <w:tr w14:paraId="4EBD3D4E">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38" w:type="dxa"/>
            <w:shd w:val="clear" w:color="auto" w:fill="auto"/>
            <w:noWrap w:val="0"/>
            <w:vAlign w:val="center"/>
          </w:tcPr>
          <w:p w14:paraId="15C3F826">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402" w:type="dxa"/>
            <w:shd w:val="clear" w:color="auto" w:fill="auto"/>
            <w:noWrap w:val="0"/>
            <w:vAlign w:val="center"/>
          </w:tcPr>
          <w:p w14:paraId="2B0ADE38">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采购标的需满足的服务标准、期限、效率等要求</w:t>
            </w:r>
          </w:p>
        </w:tc>
        <w:tc>
          <w:tcPr>
            <w:tcW w:w="5411" w:type="dxa"/>
            <w:shd w:val="clear" w:color="auto" w:fill="auto"/>
            <w:noWrap w:val="0"/>
            <w:vAlign w:val="center"/>
          </w:tcPr>
          <w:p w14:paraId="2F54B8C5">
            <w:pPr>
              <w:keepNext w:val="0"/>
              <w:keepLines w:val="0"/>
              <w:pageBreakBefore w:val="0"/>
              <w:kinsoku/>
              <w:wordWrap/>
              <w:overflowPunct/>
              <w:topLinePunct w:val="0"/>
              <w:bidi w:val="0"/>
              <w:spacing w:line="24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详见</w:t>
            </w:r>
            <w:r>
              <w:rPr>
                <w:rFonts w:hint="eastAsia" w:ascii="宋体" w:hAnsi="宋体" w:eastAsia="宋体" w:cs="宋体"/>
                <w:bCs/>
                <w:color w:val="auto"/>
                <w:sz w:val="21"/>
                <w:szCs w:val="21"/>
                <w:highlight w:val="none"/>
              </w:rPr>
              <w:t>“本章四、服务要求”内容</w:t>
            </w:r>
          </w:p>
        </w:tc>
      </w:tr>
      <w:tr w14:paraId="0D4CE998">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38" w:type="dxa"/>
            <w:shd w:val="clear" w:color="auto" w:fill="auto"/>
            <w:noWrap w:val="0"/>
            <w:vAlign w:val="center"/>
          </w:tcPr>
          <w:p w14:paraId="1527BE89">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402" w:type="dxa"/>
            <w:shd w:val="clear" w:color="auto" w:fill="auto"/>
            <w:noWrap w:val="0"/>
            <w:vAlign w:val="center"/>
          </w:tcPr>
          <w:p w14:paraId="3BB136BB">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采购标的的验收标准</w:t>
            </w:r>
          </w:p>
        </w:tc>
        <w:tc>
          <w:tcPr>
            <w:tcW w:w="5411" w:type="dxa"/>
            <w:shd w:val="clear" w:color="auto" w:fill="auto"/>
            <w:noWrap w:val="0"/>
            <w:vAlign w:val="center"/>
          </w:tcPr>
          <w:p w14:paraId="57E2C62A">
            <w:pPr>
              <w:keepNext w:val="0"/>
              <w:keepLines w:val="0"/>
              <w:pageBreakBefore w:val="0"/>
              <w:kinsoku/>
              <w:wordWrap/>
              <w:overflowPunct/>
              <w:topLinePunct w:val="0"/>
              <w:bidi w:val="0"/>
              <w:spacing w:line="24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采购人将按照政府采购合同规定的技术、服务、安全标准组织对供应商履约情况进行验收，并出具验收书。验收书应当包括每一项技术、服务、安全标准的履约情况。政府向社会公众提供的公共服务项目，验收时应当邀请服务对象参与并出具意见，验收结果将向社会公告。采购人根据需要将邀请参加本项目的其他投标人或者第三方机构参与验收。参与验收的投标人或者第三方机构的意见作为验收书的参考资料一并存档。验收书由采购人存档。</w:t>
            </w:r>
          </w:p>
        </w:tc>
      </w:tr>
      <w:tr w14:paraId="4799B662">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38" w:type="dxa"/>
            <w:shd w:val="clear" w:color="auto" w:fill="auto"/>
            <w:noWrap w:val="0"/>
            <w:vAlign w:val="center"/>
          </w:tcPr>
          <w:p w14:paraId="1D9141A4">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402" w:type="dxa"/>
            <w:shd w:val="clear" w:color="auto" w:fill="auto"/>
            <w:noWrap w:val="0"/>
            <w:vAlign w:val="center"/>
          </w:tcPr>
          <w:p w14:paraId="21404252">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采购标的的其他技术、服务等要求</w:t>
            </w:r>
          </w:p>
        </w:tc>
        <w:tc>
          <w:tcPr>
            <w:tcW w:w="5411" w:type="dxa"/>
            <w:shd w:val="clear" w:color="auto" w:fill="auto"/>
            <w:noWrap w:val="0"/>
            <w:vAlign w:val="center"/>
          </w:tcPr>
          <w:p w14:paraId="1AFFF17E">
            <w:pPr>
              <w:keepNext w:val="0"/>
              <w:keepLines w:val="0"/>
              <w:pageBreakBefore w:val="0"/>
              <w:kinsoku/>
              <w:wordWrap/>
              <w:overflowPunct/>
              <w:topLinePunct w:val="0"/>
              <w:bidi w:val="0"/>
              <w:spacing w:line="24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详见本章“二、服务要求 ”。</w:t>
            </w:r>
          </w:p>
        </w:tc>
      </w:tr>
      <w:tr w14:paraId="6E071DE2">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38" w:type="dxa"/>
            <w:shd w:val="clear" w:color="auto" w:fill="auto"/>
            <w:noWrap w:val="0"/>
            <w:vAlign w:val="center"/>
          </w:tcPr>
          <w:p w14:paraId="51B74D72">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402" w:type="dxa"/>
            <w:shd w:val="clear" w:color="auto" w:fill="auto"/>
            <w:noWrap w:val="0"/>
            <w:vAlign w:val="center"/>
          </w:tcPr>
          <w:p w14:paraId="73251461">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本项目的核心产品</w:t>
            </w:r>
          </w:p>
        </w:tc>
        <w:tc>
          <w:tcPr>
            <w:tcW w:w="5411" w:type="dxa"/>
            <w:shd w:val="clear" w:color="auto" w:fill="auto"/>
            <w:noWrap w:val="0"/>
            <w:vAlign w:val="center"/>
          </w:tcPr>
          <w:p w14:paraId="22C1C8B0">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2E7BD9B8">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38" w:type="dxa"/>
            <w:shd w:val="clear" w:color="auto" w:fill="auto"/>
            <w:noWrap w:val="0"/>
            <w:vAlign w:val="center"/>
          </w:tcPr>
          <w:p w14:paraId="1643F04A">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402" w:type="dxa"/>
            <w:shd w:val="clear" w:color="auto" w:fill="auto"/>
            <w:noWrap w:val="0"/>
            <w:vAlign w:val="center"/>
          </w:tcPr>
          <w:p w14:paraId="6687D2D4">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演示时间及地点</w:t>
            </w:r>
          </w:p>
        </w:tc>
        <w:tc>
          <w:tcPr>
            <w:tcW w:w="5411" w:type="dxa"/>
            <w:shd w:val="clear" w:color="auto" w:fill="auto"/>
            <w:noWrap w:val="0"/>
            <w:vAlign w:val="center"/>
          </w:tcPr>
          <w:p w14:paraId="0A9EB7FE">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77D8E2DD">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38" w:type="dxa"/>
            <w:shd w:val="clear" w:color="auto" w:fill="auto"/>
            <w:noWrap w:val="0"/>
            <w:vAlign w:val="center"/>
          </w:tcPr>
          <w:p w14:paraId="5418BD6A">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2402" w:type="dxa"/>
            <w:shd w:val="clear" w:color="auto" w:fill="auto"/>
            <w:noWrap w:val="0"/>
            <w:vAlign w:val="center"/>
          </w:tcPr>
          <w:p w14:paraId="3AF6E029">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样品要求</w:t>
            </w:r>
          </w:p>
        </w:tc>
        <w:tc>
          <w:tcPr>
            <w:tcW w:w="5411" w:type="dxa"/>
            <w:shd w:val="clear" w:color="auto" w:fill="auto"/>
            <w:noWrap w:val="0"/>
            <w:vAlign w:val="center"/>
          </w:tcPr>
          <w:p w14:paraId="25062568">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624B5BCD">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38" w:type="dxa"/>
            <w:shd w:val="clear" w:color="auto" w:fill="auto"/>
            <w:noWrap w:val="0"/>
            <w:vAlign w:val="center"/>
          </w:tcPr>
          <w:p w14:paraId="164E2C9A">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2402" w:type="dxa"/>
            <w:shd w:val="clear" w:color="auto" w:fill="auto"/>
            <w:noWrap w:val="0"/>
            <w:vAlign w:val="center"/>
          </w:tcPr>
          <w:p w14:paraId="4379E071">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组织现场考察或者召开答疑会</w:t>
            </w:r>
          </w:p>
        </w:tc>
        <w:tc>
          <w:tcPr>
            <w:tcW w:w="5411" w:type="dxa"/>
            <w:shd w:val="clear" w:color="auto" w:fill="auto"/>
            <w:noWrap w:val="0"/>
            <w:vAlign w:val="center"/>
          </w:tcPr>
          <w:p w14:paraId="7ECBA746">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不组织，潜在投标人自行考察。</w:t>
            </w:r>
          </w:p>
        </w:tc>
      </w:tr>
      <w:tr w14:paraId="1AE8F97D">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38" w:type="dxa"/>
            <w:shd w:val="clear" w:color="auto" w:fill="auto"/>
            <w:noWrap w:val="0"/>
            <w:vAlign w:val="center"/>
          </w:tcPr>
          <w:p w14:paraId="2296262A">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402" w:type="dxa"/>
            <w:shd w:val="clear" w:color="auto" w:fill="auto"/>
            <w:noWrap w:val="0"/>
            <w:vAlign w:val="center"/>
          </w:tcPr>
          <w:p w14:paraId="14CA6ABD">
            <w:pPr>
              <w:keepNext w:val="0"/>
              <w:keepLines w:val="0"/>
              <w:pageBreakBefore w:val="0"/>
              <w:kinsoku/>
              <w:wordWrap/>
              <w:overflowPunct/>
              <w:topLinePunct w:val="0"/>
              <w:bidi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5411" w:type="dxa"/>
            <w:shd w:val="clear" w:color="auto" w:fill="auto"/>
            <w:noWrap w:val="0"/>
            <w:vAlign w:val="center"/>
          </w:tcPr>
          <w:p w14:paraId="39B1B934">
            <w:pPr>
              <w:keepNext w:val="0"/>
              <w:keepLines w:val="0"/>
              <w:pageBreakBefore w:val="0"/>
              <w:kinsoku/>
              <w:wordWrap/>
              <w:overflowPunct/>
              <w:topLinePunct w:val="0"/>
              <w:bidi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按月支付</w:t>
            </w:r>
            <w:r>
              <w:rPr>
                <w:rFonts w:hint="eastAsia" w:ascii="宋体" w:hAnsi="宋体" w:eastAsia="宋体" w:cs="宋体"/>
                <w:color w:val="auto"/>
                <w:sz w:val="21"/>
                <w:szCs w:val="21"/>
                <w:highlight w:val="none"/>
              </w:rPr>
              <w:t>；</w:t>
            </w:r>
          </w:p>
          <w:p w14:paraId="699B9771">
            <w:pPr>
              <w:keepNext w:val="0"/>
              <w:keepLines w:val="0"/>
              <w:pageBreakBefore w:val="0"/>
              <w:kinsoku/>
              <w:wordWrap/>
              <w:overflowPunct/>
              <w:topLinePunct w:val="0"/>
              <w:bidi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2、当月服务经费与该月度考核结果挂钩，当月服务经费=年度总费用/12-该月度考核扣款。</w:t>
            </w:r>
          </w:p>
          <w:p w14:paraId="280F9A59">
            <w:pPr>
              <w:keepNext w:val="0"/>
              <w:keepLines w:val="0"/>
              <w:pageBreakBefore w:val="0"/>
              <w:kinsoku/>
              <w:wordWrap/>
              <w:overflowPunct/>
              <w:topLinePunct w:val="0"/>
              <w:bidi w:val="0"/>
              <w:snapToGrid w:val="0"/>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3、采购人于次月5日前向</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通知上月度考核结果及相应扣款，</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于5个工作日内，向采购人提交该月服务经费的等额发票，采购人收到发票后，核拨经费</w:t>
            </w:r>
            <w:r>
              <w:rPr>
                <w:rFonts w:hint="eastAsia" w:ascii="宋体" w:hAnsi="宋体" w:cs="宋体"/>
                <w:color w:val="auto"/>
                <w:sz w:val="21"/>
                <w:szCs w:val="21"/>
                <w:highlight w:val="none"/>
                <w:lang w:eastAsia="zh-CN"/>
              </w:rPr>
              <w:t>。</w:t>
            </w:r>
          </w:p>
        </w:tc>
      </w:tr>
    </w:tbl>
    <w:p w14:paraId="686F5C90">
      <w:pPr>
        <w:keepNext w:val="0"/>
        <w:keepLines w:val="0"/>
        <w:pageBreakBefore w:val="0"/>
        <w:kinsoku/>
        <w:wordWrap/>
        <w:overflowPunct/>
        <w:topLinePunct w:val="0"/>
        <w:bidi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二、服务期限</w:t>
      </w:r>
    </w:p>
    <w:p w14:paraId="5805854E">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本项目服务总期限3年。合同一年一签，第一年自合同签订之日起1年，后续两年合同的签订将根据</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在上一年度的合同履约情况、考核情况及财政资金审批情况决定是否续签。</w:t>
      </w:r>
    </w:p>
    <w:p w14:paraId="17F01757">
      <w:pPr>
        <w:keepNext w:val="0"/>
        <w:keepLines w:val="0"/>
        <w:pageBreakBefore w:val="0"/>
        <w:kinsoku/>
        <w:wordWrap/>
        <w:overflowPunct/>
        <w:topLinePunct w:val="0"/>
        <w:bidi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三、服务要求</w:t>
      </w:r>
    </w:p>
    <w:p w14:paraId="70BDBC30">
      <w:pPr>
        <w:keepNext w:val="0"/>
        <w:keepLines w:val="0"/>
        <w:pageBreakBefore w:val="0"/>
        <w:kinsoku/>
        <w:wordWrap/>
        <w:overflowPunct/>
        <w:topLinePunct w:val="0"/>
        <w:bidi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（一）工作要求</w:t>
      </w:r>
    </w:p>
    <w:tbl>
      <w:tblPr>
        <w:tblStyle w:val="45"/>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122"/>
        <w:gridCol w:w="6331"/>
      </w:tblGrid>
      <w:tr w14:paraId="3AFAB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24" w:type="dxa"/>
            <w:noWrap w:val="0"/>
            <w:vAlign w:val="center"/>
          </w:tcPr>
          <w:p w14:paraId="029237E3">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班次</w:t>
            </w:r>
          </w:p>
        </w:tc>
        <w:tc>
          <w:tcPr>
            <w:tcW w:w="2186" w:type="dxa"/>
            <w:noWrap w:val="0"/>
            <w:vAlign w:val="center"/>
          </w:tcPr>
          <w:p w14:paraId="04C4D9EF">
            <w:pPr>
              <w:keepNext w:val="0"/>
              <w:keepLines w:val="0"/>
              <w:pageBreakBefore w:val="0"/>
              <w:kinsoku/>
              <w:wordWrap/>
              <w:overflowPunct/>
              <w:topLinePunct w:val="0"/>
              <w:autoSpaceDE w:val="0"/>
              <w:autoSpaceDN w:val="0"/>
              <w:bidi w:val="0"/>
              <w:adjustRightInd w:val="0"/>
              <w:snapToGrid w:val="0"/>
              <w:spacing w:line="240" w:lineRule="auto"/>
              <w:ind w:firstLine="422" w:firstLineChars="20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工作职责</w:t>
            </w:r>
          </w:p>
        </w:tc>
        <w:tc>
          <w:tcPr>
            <w:tcW w:w="6537" w:type="dxa"/>
            <w:noWrap w:val="0"/>
            <w:vAlign w:val="center"/>
          </w:tcPr>
          <w:p w14:paraId="28AD9134">
            <w:pPr>
              <w:keepNext w:val="0"/>
              <w:keepLines w:val="0"/>
              <w:pageBreakBefore w:val="0"/>
              <w:kinsoku/>
              <w:wordWrap/>
              <w:overflowPunct/>
              <w:topLinePunct w:val="0"/>
              <w:autoSpaceDE w:val="0"/>
              <w:autoSpaceDN w:val="0"/>
              <w:bidi w:val="0"/>
              <w:adjustRightInd w:val="0"/>
              <w:snapToGrid w:val="0"/>
              <w:spacing w:line="240" w:lineRule="auto"/>
              <w:ind w:firstLine="422" w:firstLineChars="20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工作要求</w:t>
            </w:r>
          </w:p>
        </w:tc>
      </w:tr>
      <w:tr w14:paraId="113E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24" w:type="dxa"/>
            <w:vMerge w:val="restart"/>
            <w:noWrap w:val="0"/>
            <w:vAlign w:val="center"/>
          </w:tcPr>
          <w:p w14:paraId="73927118">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白天工作要求</w:t>
            </w:r>
          </w:p>
        </w:tc>
        <w:tc>
          <w:tcPr>
            <w:tcW w:w="2186" w:type="dxa"/>
            <w:noWrap w:val="0"/>
            <w:vAlign w:val="center"/>
          </w:tcPr>
          <w:p w14:paraId="1BB8EC89">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1、在师生到校前开门。</w:t>
            </w:r>
          </w:p>
        </w:tc>
        <w:tc>
          <w:tcPr>
            <w:tcW w:w="6537" w:type="dxa"/>
            <w:noWrap w:val="0"/>
            <w:vAlign w:val="center"/>
          </w:tcPr>
          <w:p w14:paraId="2A1E090C">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应及时做好相应办公楼大门的开锁工作。</w:t>
            </w:r>
          </w:p>
        </w:tc>
      </w:tr>
      <w:tr w14:paraId="0C503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924" w:type="dxa"/>
            <w:vMerge w:val="continue"/>
            <w:noWrap w:val="0"/>
            <w:vAlign w:val="center"/>
          </w:tcPr>
          <w:p w14:paraId="1BDFF7C6">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p>
        </w:tc>
        <w:tc>
          <w:tcPr>
            <w:tcW w:w="2186" w:type="dxa"/>
            <w:noWrap w:val="0"/>
            <w:vAlign w:val="center"/>
          </w:tcPr>
          <w:p w14:paraId="375C2417">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2、做好每天的升国旗工作。</w:t>
            </w:r>
          </w:p>
        </w:tc>
        <w:tc>
          <w:tcPr>
            <w:tcW w:w="6537" w:type="dxa"/>
            <w:noWrap w:val="0"/>
            <w:vAlign w:val="center"/>
          </w:tcPr>
          <w:p w14:paraId="2E8DBD87">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1、早上升国旗，下雨天除外；</w:t>
            </w:r>
          </w:p>
          <w:p w14:paraId="6CC7B977">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2、遇天气变化，及时降国旗；</w:t>
            </w:r>
          </w:p>
          <w:p w14:paraId="60D05F77">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3、保管好国旗，保持国旗的清洁。</w:t>
            </w:r>
          </w:p>
        </w:tc>
      </w:tr>
      <w:tr w14:paraId="10D90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924" w:type="dxa"/>
            <w:vMerge w:val="continue"/>
            <w:noWrap w:val="0"/>
            <w:vAlign w:val="center"/>
          </w:tcPr>
          <w:p w14:paraId="6DC0BD83">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p>
        </w:tc>
        <w:tc>
          <w:tcPr>
            <w:tcW w:w="2186" w:type="dxa"/>
            <w:noWrap w:val="0"/>
            <w:vAlign w:val="center"/>
          </w:tcPr>
          <w:p w14:paraId="57FAEBA4">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3、学生上、放学时段，在学校大门口按学校要求立岗。</w:t>
            </w:r>
          </w:p>
        </w:tc>
        <w:tc>
          <w:tcPr>
            <w:tcW w:w="6537" w:type="dxa"/>
            <w:noWrap w:val="0"/>
            <w:vAlign w:val="center"/>
          </w:tcPr>
          <w:p w14:paraId="19B597D6">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要求服装整齐，穿戴符合规定要求（五件套），维护进出人员秩序，观察、制止可疑人员靠近师生。</w:t>
            </w:r>
          </w:p>
        </w:tc>
      </w:tr>
      <w:tr w14:paraId="523C1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24" w:type="dxa"/>
            <w:vMerge w:val="continue"/>
            <w:noWrap w:val="0"/>
            <w:vAlign w:val="center"/>
          </w:tcPr>
          <w:p w14:paraId="24FD23F5">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p>
        </w:tc>
        <w:tc>
          <w:tcPr>
            <w:tcW w:w="2186" w:type="dxa"/>
            <w:noWrap w:val="0"/>
            <w:vAlign w:val="center"/>
          </w:tcPr>
          <w:p w14:paraId="3D230BF2">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4、严格执行车辆、人员出入规定，发现可疑情况及时报告。</w:t>
            </w:r>
          </w:p>
        </w:tc>
        <w:tc>
          <w:tcPr>
            <w:tcW w:w="6537" w:type="dxa"/>
            <w:noWrap w:val="0"/>
            <w:vAlign w:val="center"/>
          </w:tcPr>
          <w:p w14:paraId="0497563C">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1、对进出车辆进行查问，对外来来访人员车辆，经核实后，做好登记；</w:t>
            </w:r>
          </w:p>
          <w:p w14:paraId="3A48EAFA">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2、值班人员应文明执勤，礼貌待人，不允许与外来人员争吵纠纷，如确实无法处理，应及时报告；</w:t>
            </w:r>
          </w:p>
          <w:p w14:paraId="5782F2A1">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3、值班人员应监督控制，监督经允许进入的人员等其他需要控制的人员；</w:t>
            </w:r>
          </w:p>
          <w:p w14:paraId="747DE3FC">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4、对驶出的厢式车、面包车应开箱检查，有可疑情况及时报告。</w:t>
            </w:r>
          </w:p>
          <w:p w14:paraId="2FA10BB9">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5、特殊时期，按特殊规定操作。</w:t>
            </w:r>
          </w:p>
        </w:tc>
      </w:tr>
      <w:tr w14:paraId="1F192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24" w:type="dxa"/>
            <w:vMerge w:val="continue"/>
            <w:noWrap w:val="0"/>
            <w:vAlign w:val="center"/>
          </w:tcPr>
          <w:p w14:paraId="5A6A411E">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p>
        </w:tc>
        <w:tc>
          <w:tcPr>
            <w:tcW w:w="2186" w:type="dxa"/>
            <w:noWrap w:val="0"/>
            <w:vAlign w:val="center"/>
          </w:tcPr>
          <w:p w14:paraId="549DF458">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5、要求在校园内不间断巡逻。</w:t>
            </w:r>
          </w:p>
        </w:tc>
        <w:tc>
          <w:tcPr>
            <w:tcW w:w="6537" w:type="dxa"/>
            <w:noWrap w:val="0"/>
            <w:vAlign w:val="center"/>
          </w:tcPr>
          <w:p w14:paraId="330933EE">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1、确保校园安全，特别关注池塘、球场、停车场及建筑物周边安全，特别是监控死角，发现安全隐患及时报告；</w:t>
            </w:r>
          </w:p>
          <w:p w14:paraId="3918F61B">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2、做好进出车辆停放的引导和安全管理工作，逢有会议要对车俩停放及时指挥；</w:t>
            </w:r>
          </w:p>
          <w:p w14:paraId="5AE9E974">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3、及时做好巡查记录，每隔一小时在单位内巡查一次。</w:t>
            </w:r>
          </w:p>
        </w:tc>
      </w:tr>
      <w:tr w14:paraId="41FFB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24" w:type="dxa"/>
            <w:vMerge w:val="continue"/>
            <w:noWrap w:val="0"/>
            <w:vAlign w:val="center"/>
          </w:tcPr>
          <w:p w14:paraId="395C7361">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p>
        </w:tc>
        <w:tc>
          <w:tcPr>
            <w:tcW w:w="2186" w:type="dxa"/>
            <w:noWrap w:val="0"/>
            <w:vAlign w:val="center"/>
          </w:tcPr>
          <w:p w14:paraId="18197C26">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6、接收报刊杂志和各类邮件、快递。</w:t>
            </w:r>
          </w:p>
        </w:tc>
        <w:tc>
          <w:tcPr>
            <w:tcW w:w="6537" w:type="dxa"/>
            <w:noWrap w:val="0"/>
            <w:vAlign w:val="center"/>
          </w:tcPr>
          <w:p w14:paraId="1A9D4AF1">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要求及时接受、登记，并按要求保管或送达指定地点。</w:t>
            </w:r>
          </w:p>
        </w:tc>
      </w:tr>
      <w:tr w14:paraId="7352F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24" w:type="dxa"/>
            <w:vMerge w:val="continue"/>
            <w:noWrap w:val="0"/>
            <w:vAlign w:val="center"/>
          </w:tcPr>
          <w:p w14:paraId="3DA83244">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p>
        </w:tc>
        <w:tc>
          <w:tcPr>
            <w:tcW w:w="2186" w:type="dxa"/>
            <w:noWrap w:val="0"/>
            <w:vAlign w:val="center"/>
          </w:tcPr>
          <w:p w14:paraId="402A7BEB">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7、认真做好消控设备和监控设施的检查、检测和监视。</w:t>
            </w:r>
          </w:p>
        </w:tc>
        <w:tc>
          <w:tcPr>
            <w:tcW w:w="6537" w:type="dxa"/>
            <w:noWrap w:val="0"/>
            <w:vAlign w:val="center"/>
          </w:tcPr>
          <w:p w14:paraId="568476B2">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1、发现安全隐患和监控报警及时处置，遇突发性事件需要支援时及时做好报警，第一时间控制事态发展或事故发生。</w:t>
            </w:r>
          </w:p>
          <w:p w14:paraId="40285429">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2、遇消控设备和监控设施损坏或监控时间不准，及时报告维修。</w:t>
            </w:r>
          </w:p>
        </w:tc>
      </w:tr>
      <w:tr w14:paraId="3888A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24" w:type="dxa"/>
            <w:vMerge w:val="continue"/>
            <w:noWrap w:val="0"/>
            <w:vAlign w:val="center"/>
          </w:tcPr>
          <w:p w14:paraId="069DDD85">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p>
        </w:tc>
        <w:tc>
          <w:tcPr>
            <w:tcW w:w="2186" w:type="dxa"/>
            <w:noWrap w:val="0"/>
            <w:vAlign w:val="center"/>
          </w:tcPr>
          <w:p w14:paraId="2C92326B">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8、按规定要求做好台账</w:t>
            </w:r>
          </w:p>
        </w:tc>
        <w:tc>
          <w:tcPr>
            <w:tcW w:w="6537" w:type="dxa"/>
            <w:noWrap w:val="0"/>
            <w:vAlign w:val="center"/>
          </w:tcPr>
          <w:p w14:paraId="736C4CCF">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要求保安人员记录或协助记录的台账，按规定要求记录完整并保存好8本或9本台账资料</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具体以采购人要求为准</w:t>
            </w:r>
            <w:r>
              <w:rPr>
                <w:rFonts w:hint="eastAsia" w:ascii="宋体" w:hAnsi="宋体" w:eastAsia="宋体" w:cs="宋体"/>
                <w:color w:val="auto"/>
                <w:sz w:val="21"/>
                <w:szCs w:val="21"/>
                <w:highlight w:val="none"/>
              </w:rPr>
              <w:t>。</w:t>
            </w:r>
          </w:p>
        </w:tc>
      </w:tr>
      <w:tr w14:paraId="65231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24" w:type="dxa"/>
            <w:vMerge w:val="continue"/>
            <w:noWrap w:val="0"/>
            <w:vAlign w:val="center"/>
          </w:tcPr>
          <w:p w14:paraId="4AD74856">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p>
        </w:tc>
        <w:tc>
          <w:tcPr>
            <w:tcW w:w="2186" w:type="dxa"/>
            <w:noWrap w:val="0"/>
            <w:vAlign w:val="center"/>
          </w:tcPr>
          <w:p w14:paraId="7A80C44E">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9、做好每天的降国旗工作。</w:t>
            </w:r>
          </w:p>
        </w:tc>
        <w:tc>
          <w:tcPr>
            <w:tcW w:w="6537" w:type="dxa"/>
            <w:noWrap w:val="0"/>
            <w:vAlign w:val="center"/>
          </w:tcPr>
          <w:p w14:paraId="21E53D46">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1、下班后降国旗；</w:t>
            </w:r>
          </w:p>
          <w:p w14:paraId="0A61225D">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2、保管好国旗。</w:t>
            </w:r>
          </w:p>
        </w:tc>
      </w:tr>
      <w:tr w14:paraId="5DE4B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24" w:type="dxa"/>
            <w:vMerge w:val="continue"/>
            <w:noWrap w:val="0"/>
            <w:vAlign w:val="center"/>
          </w:tcPr>
          <w:p w14:paraId="5A430371">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p>
        </w:tc>
        <w:tc>
          <w:tcPr>
            <w:tcW w:w="2186" w:type="dxa"/>
            <w:noWrap w:val="0"/>
            <w:vAlign w:val="center"/>
          </w:tcPr>
          <w:p w14:paraId="1B6902C5">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10、在师生离校后锁门。</w:t>
            </w:r>
          </w:p>
        </w:tc>
        <w:tc>
          <w:tcPr>
            <w:tcW w:w="6537" w:type="dxa"/>
            <w:noWrap w:val="0"/>
            <w:vAlign w:val="center"/>
          </w:tcPr>
          <w:p w14:paraId="49FCB05C">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应在检查相应大楼后及时做好大门的上锁工作。</w:t>
            </w:r>
          </w:p>
        </w:tc>
      </w:tr>
      <w:tr w14:paraId="5E277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24" w:type="dxa"/>
            <w:vMerge w:val="continue"/>
            <w:noWrap w:val="0"/>
            <w:vAlign w:val="center"/>
          </w:tcPr>
          <w:p w14:paraId="1C571E75">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p>
        </w:tc>
        <w:tc>
          <w:tcPr>
            <w:tcW w:w="2186" w:type="dxa"/>
            <w:noWrap w:val="0"/>
            <w:vAlign w:val="center"/>
          </w:tcPr>
          <w:p w14:paraId="5843DFD2">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11、做好学生放学后单位内的巡查。</w:t>
            </w:r>
          </w:p>
        </w:tc>
        <w:tc>
          <w:tcPr>
            <w:tcW w:w="6537" w:type="dxa"/>
            <w:noWrap w:val="0"/>
            <w:vAlign w:val="center"/>
          </w:tcPr>
          <w:p w14:paraId="30A0A230">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1、保持高度警惕，确保校园安全，特别关注池塘、球场、停车场及建筑物周边安全；</w:t>
            </w:r>
          </w:p>
          <w:p w14:paraId="2194EFFE">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2、对在单位内停放过夜的车辆进行管理，确保安全；</w:t>
            </w:r>
          </w:p>
          <w:p w14:paraId="020AF815">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3、每隔一小时在单位各记录终端考勤一次，做好记录。</w:t>
            </w:r>
          </w:p>
          <w:p w14:paraId="7A76326B">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4、发现一切可疑情况包括师生情况，及时报告学校主管。</w:t>
            </w:r>
          </w:p>
        </w:tc>
      </w:tr>
      <w:tr w14:paraId="0926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24" w:type="dxa"/>
            <w:vMerge w:val="restart"/>
            <w:noWrap w:val="0"/>
            <w:vAlign w:val="center"/>
          </w:tcPr>
          <w:p w14:paraId="06EA33EF">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夜间工作要求</w:t>
            </w:r>
          </w:p>
        </w:tc>
        <w:tc>
          <w:tcPr>
            <w:tcW w:w="2186" w:type="dxa"/>
            <w:noWrap w:val="0"/>
            <w:vAlign w:val="center"/>
          </w:tcPr>
          <w:p w14:paraId="4CDBAC52">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1、履行好门卫的相关工作职责。</w:t>
            </w:r>
          </w:p>
        </w:tc>
        <w:tc>
          <w:tcPr>
            <w:tcW w:w="6537" w:type="dxa"/>
            <w:noWrap w:val="0"/>
            <w:vAlign w:val="center"/>
          </w:tcPr>
          <w:p w14:paraId="08483BC2">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工作要求参照白班。</w:t>
            </w:r>
          </w:p>
        </w:tc>
      </w:tr>
      <w:tr w14:paraId="532B3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924" w:type="dxa"/>
            <w:vMerge w:val="continue"/>
            <w:noWrap w:val="0"/>
            <w:vAlign w:val="center"/>
          </w:tcPr>
          <w:p w14:paraId="067F6114">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p>
        </w:tc>
        <w:tc>
          <w:tcPr>
            <w:tcW w:w="2186" w:type="dxa"/>
            <w:noWrap w:val="0"/>
            <w:vAlign w:val="center"/>
          </w:tcPr>
          <w:p w14:paraId="0A34D135">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2、做好对校园的夜间巡查工作。</w:t>
            </w:r>
          </w:p>
        </w:tc>
        <w:tc>
          <w:tcPr>
            <w:tcW w:w="6537" w:type="dxa"/>
            <w:noWrap w:val="0"/>
            <w:vAlign w:val="center"/>
          </w:tcPr>
          <w:p w14:paraId="139180E7">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1、保持高度警惕，严禁工作时间睡觉；</w:t>
            </w:r>
          </w:p>
          <w:p w14:paraId="75AF335D">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2、加强对校园的巡查，严禁B岗人员长时间滞留值班室；</w:t>
            </w:r>
          </w:p>
          <w:p w14:paraId="317D829F">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3、对校园内的建筑物、球场、池塘、树林进行巡查，并对在单位内停放过夜的车辆实施管理，确保安全；</w:t>
            </w:r>
          </w:p>
          <w:p w14:paraId="4F1F0187">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4、每隔一小时在单位各记录终端考勤一次。</w:t>
            </w:r>
          </w:p>
        </w:tc>
      </w:tr>
      <w:tr w14:paraId="38F00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924" w:type="dxa"/>
            <w:vMerge w:val="continue"/>
            <w:noWrap w:val="0"/>
            <w:vAlign w:val="center"/>
          </w:tcPr>
          <w:p w14:paraId="71CAA436">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p>
        </w:tc>
        <w:tc>
          <w:tcPr>
            <w:tcW w:w="2186" w:type="dxa"/>
            <w:noWrap w:val="0"/>
            <w:vAlign w:val="center"/>
          </w:tcPr>
          <w:p w14:paraId="79731D11">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3、做好对校园的整体监控。</w:t>
            </w:r>
          </w:p>
        </w:tc>
        <w:tc>
          <w:tcPr>
            <w:tcW w:w="6537" w:type="dxa"/>
            <w:noWrap w:val="0"/>
            <w:vAlign w:val="center"/>
          </w:tcPr>
          <w:p w14:paraId="3DFBD32D">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1、认真做好校园监控设施设备的检查、管控；</w:t>
            </w:r>
          </w:p>
          <w:p w14:paraId="54FFC66D">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2、预防偷盗事件和其他安全事故的发生；</w:t>
            </w:r>
          </w:p>
          <w:p w14:paraId="528B5F68">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3、发现安全隐患和监控报警及时处置，遇突发性事件需要支援时及时报警，并第一时间控制事态发展或事故发生。</w:t>
            </w:r>
          </w:p>
        </w:tc>
      </w:tr>
      <w:tr w14:paraId="7A40D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24" w:type="dxa"/>
            <w:noWrap w:val="0"/>
            <w:vAlign w:val="center"/>
          </w:tcPr>
          <w:p w14:paraId="75DD3AC7">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8723" w:type="dxa"/>
            <w:gridSpan w:val="2"/>
            <w:noWrap w:val="0"/>
            <w:vAlign w:val="center"/>
          </w:tcPr>
          <w:p w14:paraId="3390057C">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1、根据各校园实际情况，校方有权合理安排安保人员上班时间（原则上全年工作总时间不得超过国家法定工作时间总和）；</w:t>
            </w:r>
          </w:p>
          <w:p w14:paraId="37B76389">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2、履行岗位职责，认真做好安全护卫工作；随时观察校门口特殊情况，发现可疑情况及时处理或报告；</w:t>
            </w:r>
          </w:p>
          <w:p w14:paraId="04AFC4C9">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3、安保人员设AB岗，A岗人员主要负责门卫工作及观察监控，B岗人员主要负责校园内的巡逻；</w:t>
            </w:r>
          </w:p>
          <w:p w14:paraId="140605F2">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4、安保人员除学生上、放学外，在岗期间按规定着装；平时应打扫工作区域，随时保持整洁，要求门卫室内物品摆放有序，周边卫生整洁，严禁家禽宠物等进入校园；</w:t>
            </w:r>
          </w:p>
          <w:p w14:paraId="00752466">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5、各个班次应当做好交接班工作，准时接班，按时上岗，不得脱岗。交接班室应当通报各班工作情况，填写交接班登记表、记录好当班的重要事件，并做好相关物品的交接如钥匙、双向对讲机等工作；</w:t>
            </w:r>
          </w:p>
          <w:p w14:paraId="1F940399">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6、上岗前认真检查设备设施，确保接班时设施完好；</w:t>
            </w:r>
          </w:p>
          <w:p w14:paraId="14AB6AB6">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7、如遇各学校有其他工作需要，安保人员应配合协助做好相关工作。</w:t>
            </w:r>
          </w:p>
        </w:tc>
      </w:tr>
    </w:tbl>
    <w:p w14:paraId="14241E48">
      <w:pPr>
        <w:keepNext w:val="0"/>
        <w:keepLines w:val="0"/>
        <w:pageBreakBefore w:val="0"/>
        <w:kinsoku/>
        <w:wordWrap/>
        <w:overflowPunct/>
        <w:topLinePunct w:val="0"/>
        <w:bidi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（二）工作职责</w:t>
      </w:r>
    </w:p>
    <w:p w14:paraId="0D46BACF">
      <w:pPr>
        <w:keepNext w:val="0"/>
        <w:keepLines w:val="0"/>
        <w:pageBreakBefore w:val="0"/>
        <w:kinsoku/>
        <w:wordWrap/>
        <w:overflowPunct/>
        <w:topLinePunct w:val="0"/>
        <w:bidi w:val="0"/>
        <w:spacing w:line="360" w:lineRule="auto"/>
        <w:ind w:left="-2" w:leftChars="-1"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根据各学校要求，派遣安保人员，并与安保人员订立劳动合同，为安保人员办理相关劳动合同和社会保障事宜；</w:t>
      </w:r>
    </w:p>
    <w:p w14:paraId="1B146225">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2、各学校对安保工作人员进行领导、工作管理，</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协助管理；</w:t>
      </w:r>
    </w:p>
    <w:p w14:paraId="6FB4F46D">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向各学校提供以下服务，包括但不限于：</w:t>
      </w:r>
    </w:p>
    <w:p w14:paraId="72A905A8">
      <w:pPr>
        <w:keepNext w:val="0"/>
        <w:keepLines w:val="0"/>
        <w:pageBreakBefore w:val="0"/>
        <w:kinsoku/>
        <w:wordWrap/>
        <w:overflowPunct/>
        <w:topLinePunct w:val="0"/>
        <w:bidi w:val="0"/>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（1）代办安保工作人员的招募、录用备案手续；</w:t>
      </w:r>
    </w:p>
    <w:p w14:paraId="4F13FF7A">
      <w:pPr>
        <w:keepNext w:val="0"/>
        <w:keepLines w:val="0"/>
        <w:pageBreakBefore w:val="0"/>
        <w:kinsoku/>
        <w:wordWrap/>
        <w:overflowPunct/>
        <w:topLinePunct w:val="0"/>
        <w:bidi w:val="0"/>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（2）调、退安保工作人员档案；</w:t>
      </w:r>
    </w:p>
    <w:p w14:paraId="665E90D3">
      <w:pPr>
        <w:keepNext w:val="0"/>
        <w:keepLines w:val="0"/>
        <w:pageBreakBefore w:val="0"/>
        <w:kinsoku/>
        <w:wordWrap/>
        <w:overflowPunct/>
        <w:topLinePunct w:val="0"/>
        <w:bidi w:val="0"/>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（3）代管、代建安保工作人员档案；</w:t>
      </w:r>
    </w:p>
    <w:p w14:paraId="5A8EA006">
      <w:pPr>
        <w:keepNext w:val="0"/>
        <w:keepLines w:val="0"/>
        <w:pageBreakBefore w:val="0"/>
        <w:kinsoku/>
        <w:wordWrap/>
        <w:overflowPunct/>
        <w:topLinePunct w:val="0"/>
        <w:bidi w:val="0"/>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（4）出具与安保工作人员档案有关的相关证明；</w:t>
      </w:r>
    </w:p>
    <w:p w14:paraId="4C88BB16">
      <w:pPr>
        <w:keepNext w:val="0"/>
        <w:keepLines w:val="0"/>
        <w:pageBreakBefore w:val="0"/>
        <w:kinsoku/>
        <w:wordWrap/>
        <w:overflowPunct/>
        <w:topLinePunct w:val="0"/>
        <w:bidi w:val="0"/>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（5）支付安保工作人员的工资、社会福利及缴纳各项社会保险、各种培训费用等；</w:t>
      </w:r>
    </w:p>
    <w:p w14:paraId="3AC5587D">
      <w:pPr>
        <w:keepNext w:val="0"/>
        <w:keepLines w:val="0"/>
        <w:pageBreakBefore w:val="0"/>
        <w:kinsoku/>
        <w:wordWrap/>
        <w:overflowPunct/>
        <w:topLinePunct w:val="0"/>
        <w:bidi w:val="0"/>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（6）负责安保工作人员的岗前培训工作；</w:t>
      </w:r>
    </w:p>
    <w:p w14:paraId="485E4A13">
      <w:pPr>
        <w:keepNext w:val="0"/>
        <w:keepLines w:val="0"/>
        <w:pageBreakBefore w:val="0"/>
        <w:kinsoku/>
        <w:wordWrap/>
        <w:overflowPunct/>
        <w:topLinePunct w:val="0"/>
        <w:bidi w:val="0"/>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（7）处理安保工作人员的工伤纠纷、劳动争议。</w:t>
      </w:r>
    </w:p>
    <w:p w14:paraId="68B8CF17">
      <w:pPr>
        <w:keepNext w:val="0"/>
        <w:keepLines w:val="0"/>
        <w:pageBreakBefore w:val="0"/>
        <w:kinsoku/>
        <w:wordWrap/>
        <w:overflowPunct/>
        <w:topLinePunct w:val="0"/>
        <w:bidi w:val="0"/>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（8）负责督查安保工作人员的日常工作；</w:t>
      </w:r>
    </w:p>
    <w:p w14:paraId="7A4FC7F8">
      <w:pPr>
        <w:keepNext w:val="0"/>
        <w:keepLines w:val="0"/>
        <w:pageBreakBefore w:val="0"/>
        <w:kinsoku/>
        <w:wordWrap/>
        <w:overflowPunct/>
        <w:topLinePunct w:val="0"/>
        <w:bidi w:val="0"/>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（9）其他与本项目有关的内容。</w:t>
      </w:r>
    </w:p>
    <w:p w14:paraId="25F076B0">
      <w:pPr>
        <w:keepNext w:val="0"/>
        <w:keepLines w:val="0"/>
        <w:pageBreakBefore w:val="0"/>
        <w:kinsoku/>
        <w:wordWrap/>
        <w:overflowPunct/>
        <w:topLinePunct w:val="0"/>
        <w:bidi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（三）人员配备要</w:t>
      </w:r>
    </w:p>
    <w:p w14:paraId="292E2A0E">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     </w:t>
      </w:r>
      <w:r>
        <w:rPr>
          <w:rFonts w:hint="eastAsia" w:ascii="宋体" w:hAnsi="宋体" w:eastAsia="宋体" w:cs="宋体"/>
          <w:color w:val="auto"/>
          <w:sz w:val="21"/>
          <w:szCs w:val="21"/>
          <w:highlight w:val="none"/>
        </w:rPr>
        <w:t>1、保安及督查人员数量（根据实际需求配置保安员人数，本次投标报价中，经费按实际到岗保安员人数结算）</w:t>
      </w:r>
    </w:p>
    <w:tbl>
      <w:tblPr>
        <w:tblStyle w:val="45"/>
        <w:tblW w:w="6408" w:type="dxa"/>
        <w:tblInd w:w="7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08"/>
        <w:gridCol w:w="2800"/>
      </w:tblGrid>
      <w:tr w14:paraId="11874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noWrap w:val="0"/>
            <w:vAlign w:val="center"/>
          </w:tcPr>
          <w:p w14:paraId="70876980">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学校</w:t>
            </w:r>
          </w:p>
        </w:tc>
        <w:tc>
          <w:tcPr>
            <w:tcW w:w="2800" w:type="dxa"/>
            <w:noWrap w:val="0"/>
            <w:vAlign w:val="center"/>
          </w:tcPr>
          <w:p w14:paraId="43DA5C71">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岗位人数（名）</w:t>
            </w:r>
          </w:p>
        </w:tc>
      </w:tr>
      <w:tr w14:paraId="400AE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noWrap w:val="0"/>
            <w:vAlign w:val="center"/>
          </w:tcPr>
          <w:p w14:paraId="5C40DD10">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横街镇中心初级中学</w:t>
            </w:r>
          </w:p>
        </w:tc>
        <w:tc>
          <w:tcPr>
            <w:tcW w:w="2800" w:type="dxa"/>
            <w:noWrap w:val="0"/>
            <w:vAlign w:val="center"/>
          </w:tcPr>
          <w:p w14:paraId="0668044E">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r>
      <w:tr w14:paraId="04E23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noWrap w:val="0"/>
            <w:vAlign w:val="center"/>
          </w:tcPr>
          <w:p w14:paraId="22BE6E3E">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横街镇中心小学横街校区</w:t>
            </w:r>
          </w:p>
        </w:tc>
        <w:tc>
          <w:tcPr>
            <w:tcW w:w="2800" w:type="dxa"/>
            <w:noWrap w:val="0"/>
            <w:vAlign w:val="center"/>
          </w:tcPr>
          <w:p w14:paraId="3AEEFF33">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r>
      <w:tr w14:paraId="71C9C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noWrap w:val="0"/>
            <w:vAlign w:val="center"/>
          </w:tcPr>
          <w:p w14:paraId="3305E1FF">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横街镇中心小学凤岙校区</w:t>
            </w:r>
          </w:p>
        </w:tc>
        <w:tc>
          <w:tcPr>
            <w:tcW w:w="2800" w:type="dxa"/>
            <w:noWrap w:val="0"/>
            <w:vAlign w:val="center"/>
          </w:tcPr>
          <w:p w14:paraId="31566E78">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r>
      <w:tr w14:paraId="0C0D1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noWrap w:val="0"/>
            <w:vAlign w:val="center"/>
          </w:tcPr>
          <w:p w14:paraId="515245E2">
            <w:pPr>
              <w:keepNext w:val="0"/>
              <w:keepLines w:val="0"/>
              <w:pageBreakBefore w:val="0"/>
              <w:kinsoku/>
              <w:wordWrap/>
              <w:overflowPunct/>
              <w:topLinePunct w:val="0"/>
              <w:bidi w:val="0"/>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横街镇中心幼儿园</w:t>
            </w:r>
          </w:p>
        </w:tc>
        <w:tc>
          <w:tcPr>
            <w:tcW w:w="2800" w:type="dxa"/>
            <w:noWrap w:val="0"/>
            <w:vAlign w:val="center"/>
          </w:tcPr>
          <w:p w14:paraId="1BC50C4C">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r>
      <w:tr w14:paraId="7F56C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noWrap w:val="0"/>
            <w:vAlign w:val="center"/>
          </w:tcPr>
          <w:p w14:paraId="6EBD2FB7">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共计</w:t>
            </w:r>
          </w:p>
        </w:tc>
        <w:tc>
          <w:tcPr>
            <w:tcW w:w="2800" w:type="dxa"/>
            <w:noWrap w:val="0"/>
            <w:vAlign w:val="center"/>
          </w:tcPr>
          <w:p w14:paraId="214CE90B">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6</w:t>
            </w:r>
          </w:p>
        </w:tc>
      </w:tr>
    </w:tbl>
    <w:p w14:paraId="4003D300">
      <w:pPr>
        <w:pStyle w:val="138"/>
        <w:keepNext w:val="0"/>
        <w:keepLines w:val="0"/>
        <w:pageBreakBefore w:val="0"/>
        <w:kinsoku/>
        <w:wordWrap/>
        <w:overflowPunct/>
        <w:topLinePunct w:val="0"/>
        <w:bidi w:val="0"/>
        <w:spacing w:line="360" w:lineRule="auto"/>
        <w:ind w:left="0" w:leftChars="0" w:firstLine="303"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注：保安人员按全年平均每日8小时工作制（不含法定节假日和双休日）提供服务，</w:t>
      </w:r>
      <w:r>
        <w:rPr>
          <w:rFonts w:hint="eastAsia" w:ascii="宋体" w:hAnsi="宋体" w:eastAsia="宋体" w:cs="宋体"/>
          <w:color w:val="auto"/>
          <w:sz w:val="21"/>
          <w:szCs w:val="21"/>
          <w:highlight w:val="none"/>
        </w:rPr>
        <w:t>各校园根据实际工作需要，校方有权合理安排、适当调整安保人员上班时间（原则上全年工作总时间不得超过国家法定工作时间总和）。</w:t>
      </w:r>
      <w:r>
        <w:rPr>
          <w:rFonts w:hint="eastAsia" w:ascii="宋体" w:hAnsi="宋体" w:eastAsia="宋体" w:cs="宋体"/>
          <w:color w:val="auto"/>
          <w:kern w:val="0"/>
          <w:sz w:val="21"/>
          <w:szCs w:val="21"/>
          <w:highlight w:val="none"/>
        </w:rPr>
        <w:t>保安工作如全年如超时3个工作日内，超时</w:t>
      </w:r>
      <w:r>
        <w:rPr>
          <w:rFonts w:hint="eastAsia" w:ascii="宋体" w:hAnsi="宋体" w:eastAsia="宋体" w:cs="宋体"/>
          <w:color w:val="auto"/>
          <w:sz w:val="21"/>
          <w:szCs w:val="21"/>
          <w:highlight w:val="none"/>
        </w:rPr>
        <w:t>部分</w:t>
      </w:r>
      <w:r>
        <w:rPr>
          <w:rFonts w:hint="eastAsia" w:ascii="宋体" w:hAnsi="宋体" w:eastAsia="宋体" w:cs="宋体"/>
          <w:color w:val="auto"/>
          <w:kern w:val="0"/>
          <w:sz w:val="21"/>
          <w:szCs w:val="21"/>
          <w:highlight w:val="none"/>
        </w:rPr>
        <w:t>加班费由</w:t>
      </w:r>
      <w:r>
        <w:rPr>
          <w:rFonts w:hint="eastAsia" w:hAnsi="宋体" w:cs="宋体"/>
          <w:color w:val="auto"/>
          <w:kern w:val="0"/>
          <w:sz w:val="21"/>
          <w:szCs w:val="21"/>
          <w:highlight w:val="none"/>
          <w:lang w:eastAsia="zh-CN"/>
        </w:rPr>
        <w:t>成交人</w:t>
      </w:r>
      <w:r>
        <w:rPr>
          <w:rFonts w:hint="eastAsia" w:ascii="宋体" w:hAnsi="宋体" w:eastAsia="宋体" w:cs="宋体"/>
          <w:color w:val="auto"/>
          <w:kern w:val="0"/>
          <w:sz w:val="21"/>
          <w:szCs w:val="21"/>
          <w:highlight w:val="none"/>
        </w:rPr>
        <w:t>支付。</w:t>
      </w:r>
      <w:r>
        <w:rPr>
          <w:rFonts w:hint="eastAsia" w:ascii="宋体" w:hAnsi="宋体" w:eastAsia="宋体" w:cs="宋体"/>
          <w:color w:val="auto"/>
          <w:sz w:val="21"/>
          <w:szCs w:val="21"/>
          <w:highlight w:val="none"/>
        </w:rPr>
        <w:t>全年超时3个工作日外，超时部分加班费由各学校自行根据实际加班情况支付（该费用不包含在本次投标报价中）。</w:t>
      </w:r>
    </w:p>
    <w:p w14:paraId="2A7BD19F">
      <w:pPr>
        <w:pStyle w:val="138"/>
        <w:keepNext w:val="0"/>
        <w:keepLines w:val="0"/>
        <w:pageBreakBefore w:val="0"/>
        <w:kinsoku/>
        <w:wordWrap/>
        <w:overflowPunct/>
        <w:topLinePunct w:val="0"/>
        <w:bidi w:val="0"/>
        <w:spacing w:line="360" w:lineRule="auto"/>
        <w:ind w:left="0" w:leftChars="0" w:firstLine="404"/>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2、人员要求</w:t>
      </w:r>
    </w:p>
    <w:p w14:paraId="3B1E8FD4">
      <w:pPr>
        <w:keepNext w:val="0"/>
        <w:keepLines w:val="0"/>
        <w:pageBreakBefore w:val="0"/>
        <w:kinsoku/>
        <w:wordWrap/>
        <w:overflowPunct/>
        <w:topLinePunct w:val="0"/>
        <w:bidi w:val="0"/>
        <w:snapToGrid w:val="0"/>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★（1）投标人根据各学校实际要求的保安人员数量进行配置人员。</w:t>
      </w:r>
    </w:p>
    <w:p w14:paraId="517ABEBA">
      <w:pPr>
        <w:keepNext w:val="0"/>
        <w:keepLines w:val="0"/>
        <w:pageBreakBefore w:val="0"/>
        <w:kinsoku/>
        <w:wordWrap/>
        <w:overflowPunct/>
        <w:topLinePunct w:val="0"/>
        <w:bidi w:val="0"/>
        <w:snapToGrid w:val="0"/>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（2）保安人员要求：男性；身体健康，没有传染病及精神疾病等不能控制自己行为能力的疾病病史；体貌端正；没有违法犯罪记录；报请当地公安或</w:t>
      </w:r>
      <w:r>
        <w:rPr>
          <w:rFonts w:hint="eastAsia" w:ascii="宋体" w:hAnsi="宋体" w:cs="宋体"/>
          <w:color w:val="auto"/>
          <w:sz w:val="21"/>
          <w:szCs w:val="21"/>
          <w:highlight w:val="none"/>
          <w:lang w:val="en-US" w:eastAsia="zh-CN"/>
        </w:rPr>
        <w:t>相关部门</w:t>
      </w:r>
      <w:r>
        <w:rPr>
          <w:rFonts w:hint="eastAsia" w:ascii="宋体" w:hAnsi="宋体" w:eastAsia="宋体" w:cs="宋体"/>
          <w:color w:val="auto"/>
          <w:sz w:val="21"/>
          <w:szCs w:val="21"/>
          <w:highlight w:val="none"/>
        </w:rPr>
        <w:t>核查无误；所有保安人员上岗时必须持有保安员证，并接受过校园安保工作专门岗前培训。</w:t>
      </w:r>
    </w:p>
    <w:p w14:paraId="6E315C83">
      <w:pPr>
        <w:keepNext w:val="0"/>
        <w:keepLines w:val="0"/>
        <w:pageBreakBefore w:val="0"/>
        <w:kinsoku/>
        <w:wordWrap/>
        <w:overflowPunct/>
        <w:topLinePunct w:val="0"/>
        <w:bidi w:val="0"/>
        <w:snapToGrid w:val="0"/>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（3）保安人员需有吃苦耐劳精神，有高度的责任感，熟练掌握各项安保设施的运用，熟知学校各项规定，严格履行岗位职责，善于发现问题，具备一定的类似工作经验和处理突发事件的能力。</w:t>
      </w:r>
    </w:p>
    <w:p w14:paraId="2CFC6C60">
      <w:pPr>
        <w:keepNext w:val="0"/>
        <w:keepLines w:val="0"/>
        <w:pageBreakBefore w:val="0"/>
        <w:kinsoku/>
        <w:wordWrap/>
        <w:overflowPunct/>
        <w:topLinePunct w:val="0"/>
        <w:bidi w:val="0"/>
        <w:snapToGrid w:val="0"/>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需另行配置项目负责人（含督查）1名</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全面负责日常保安队伍的管理及督查，必须每星期到现场查岗；</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须建立健全内部管理体制。投标文件中提供投标人为项目负责人按在“评分标准”内容中涉及到的相关资料（有效证明复印件加盖公章，原件备查）；与投标人签订劳动合同的退休返聘人员不得作为项目负责人。</w:t>
      </w:r>
    </w:p>
    <w:p w14:paraId="56EA6178">
      <w:pPr>
        <w:keepNext w:val="0"/>
        <w:keepLines w:val="0"/>
        <w:pageBreakBefore w:val="0"/>
        <w:kinsoku/>
        <w:wordWrap/>
        <w:overflowPunct/>
        <w:topLinePunct w:val="0"/>
        <w:bidi w:val="0"/>
        <w:snapToGrid w:val="0"/>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须与配备的保安人员签定劳动合同，并按国家规定为保安人员缴纳社保。保安人员的应聘、录用、离职等要求手续齐全，档案管理规范。</w:t>
      </w:r>
    </w:p>
    <w:p w14:paraId="4F986785">
      <w:pPr>
        <w:keepNext w:val="0"/>
        <w:keepLines w:val="0"/>
        <w:pageBreakBefore w:val="0"/>
        <w:kinsoku/>
        <w:wordWrap/>
        <w:overflowPunct/>
        <w:topLinePunct w:val="0"/>
        <w:bidi w:val="0"/>
        <w:snapToGrid w:val="0"/>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需采取切实有效的措施保持保安队伍的稳定，控制人员的流动，如需要更换保安服务人员的，需提前一个月以书面形式通知各学校的分管领导，征得其同意后更换保安服务人员。</w:t>
      </w:r>
    </w:p>
    <w:p w14:paraId="38B9BDAA">
      <w:pPr>
        <w:keepNext w:val="0"/>
        <w:keepLines w:val="0"/>
        <w:pageBreakBefore w:val="0"/>
        <w:kinsoku/>
        <w:wordWrap/>
        <w:overflowPunct/>
        <w:topLinePunct w:val="0"/>
        <w:bidi w:val="0"/>
        <w:snapToGrid w:val="0"/>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（7）出现保安人员不能胜任保安工作或校方不满意要求调换的，应及时更换。</w:t>
      </w:r>
    </w:p>
    <w:p w14:paraId="1BB3BA28">
      <w:pPr>
        <w:keepNext w:val="0"/>
        <w:keepLines w:val="0"/>
        <w:pageBreakBefore w:val="0"/>
        <w:kinsoku/>
        <w:wordWrap/>
        <w:overflowPunct/>
        <w:topLinePunct w:val="0"/>
        <w:bidi w:val="0"/>
        <w:snapToGrid w:val="0"/>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（8）保安人员在岗履行工作职责期间，发生自身的人身伤害、伤亡等各类事故，均由</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负全部责任，横街镇政府、</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及学校不承担任何责任。</w:t>
      </w:r>
    </w:p>
    <w:p w14:paraId="37F30813">
      <w:pPr>
        <w:keepNext w:val="0"/>
        <w:keepLines w:val="0"/>
        <w:pageBreakBefore w:val="0"/>
        <w:kinsoku/>
        <w:wordWrap/>
        <w:overflowPunct/>
        <w:topLinePunct w:val="0"/>
        <w:bidi w:val="0"/>
        <w:snapToGrid w:val="0"/>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在保安服务中，因故意或过失造成他人人身伤亡或任何财产损失事故的，均由</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负责处理并承担全部责任，横街镇政府、</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及学校不承担任何责任。</w:t>
      </w:r>
    </w:p>
    <w:p w14:paraId="71374E67">
      <w:pPr>
        <w:keepNext w:val="0"/>
        <w:keepLines w:val="0"/>
        <w:pageBreakBefore w:val="0"/>
        <w:kinsoku/>
        <w:wordWrap/>
        <w:overflowPunct/>
        <w:topLinePunct w:val="0"/>
        <w:bidi w:val="0"/>
        <w:snapToGrid w:val="0"/>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与聘用人员发生任何劳资纠纷和工伤事故的，均由</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自行处理，横街镇政府、</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及学校不承担任何责任。</w:t>
      </w:r>
    </w:p>
    <w:p w14:paraId="02BCC674">
      <w:pPr>
        <w:keepNext w:val="0"/>
        <w:keepLines w:val="0"/>
        <w:pageBreakBefore w:val="0"/>
        <w:kinsoku/>
        <w:wordWrap/>
        <w:overflowPunct/>
        <w:topLinePunct w:val="0"/>
        <w:bidi w:val="0"/>
        <w:snapToGrid w:val="0"/>
        <w:spacing w:line="360" w:lineRule="auto"/>
        <w:ind w:firstLine="527" w:firstLineChars="25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（四）装备要求</w:t>
      </w:r>
    </w:p>
    <w:p w14:paraId="386184F6">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完成本项目服务所需的保安服装费用，均由</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自行解决，且须符合行业及各学校相关规范要求。</w:t>
      </w:r>
    </w:p>
    <w:p w14:paraId="61A29297">
      <w:pPr>
        <w:keepNext w:val="0"/>
        <w:keepLines w:val="0"/>
        <w:pageBreakBefore w:val="0"/>
        <w:kinsoku/>
        <w:wordWrap/>
        <w:overflowPunct/>
        <w:topLinePunct w:val="0"/>
        <w:bidi w:val="0"/>
        <w:snapToGrid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（五）日常校园保安服务要求</w:t>
      </w:r>
    </w:p>
    <w:p w14:paraId="294A5462">
      <w:pPr>
        <w:keepNext w:val="0"/>
        <w:keepLines w:val="0"/>
        <w:pageBreakBefore w:val="0"/>
        <w:kinsoku/>
        <w:wordWrap/>
        <w:overflowPunct/>
        <w:topLinePunct w:val="0"/>
        <w:bidi w:val="0"/>
        <w:snapToGrid w:val="0"/>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1、校园保安人员肩负着校园安全保卫重任，要有高度的责任感，严格履行保安职业道德，工作时间要求在岗轮流值班，不得擅自离岗。</w:t>
      </w:r>
    </w:p>
    <w:p w14:paraId="5E7403AF">
      <w:pPr>
        <w:keepNext w:val="0"/>
        <w:keepLines w:val="0"/>
        <w:pageBreakBefore w:val="0"/>
        <w:kinsoku/>
        <w:wordWrap/>
        <w:overflowPunct/>
        <w:topLinePunct w:val="0"/>
        <w:bidi w:val="0"/>
        <w:snapToGrid w:val="0"/>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2、做好拉闸门、教室门的开关工作。每天放学后巡逻时，检查校园内、办公室内电灯、电扇、门窗是否关好，发现未关，应及时妥善处理，做好详细记录，要向校园政教处或后勤处领导汇报。</w:t>
      </w:r>
    </w:p>
    <w:p w14:paraId="53F342EB">
      <w:pPr>
        <w:keepNext w:val="0"/>
        <w:keepLines w:val="0"/>
        <w:pageBreakBefore w:val="0"/>
        <w:kinsoku/>
        <w:wordWrap/>
        <w:overflowPunct/>
        <w:topLinePunct w:val="0"/>
        <w:bidi w:val="0"/>
        <w:snapToGrid w:val="0"/>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3、学生在上放学时段内，要及时排除校门外(离校门30米内)的摊点、车辆等秩序，有效控制拥挤情况。按时做好大门的开关工作(早上准时按校方要求上岗开校门，傍晚师生离校后关校门)，做到门开人在校门口。</w:t>
      </w:r>
    </w:p>
    <w:p w14:paraId="17A51BB4">
      <w:pPr>
        <w:keepNext w:val="0"/>
        <w:keepLines w:val="0"/>
        <w:pageBreakBefore w:val="0"/>
        <w:kinsoku/>
        <w:wordWrap/>
        <w:overflowPunct/>
        <w:topLinePunct w:val="0"/>
        <w:bidi w:val="0"/>
        <w:snapToGrid w:val="0"/>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4、态度和蔼、语言谦虚，不急不躁，认真细致、耐心；不得冷淡、刁难、取笑他人，不得与学生打闹。</w:t>
      </w:r>
    </w:p>
    <w:p w14:paraId="195218E0">
      <w:pPr>
        <w:keepNext w:val="0"/>
        <w:keepLines w:val="0"/>
        <w:pageBreakBefore w:val="0"/>
        <w:kinsoku/>
        <w:wordWrap/>
        <w:overflowPunct/>
        <w:topLinePunct w:val="0"/>
        <w:bidi w:val="0"/>
        <w:snapToGrid w:val="0"/>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5、与教师、学生或来访者交谈要使用普通话，说话要清楚，用词准确、言简易懂，不讲与工作无关的话，不讲有损学校形象的话。</w:t>
      </w:r>
    </w:p>
    <w:p w14:paraId="4F4F31BC">
      <w:pPr>
        <w:keepNext w:val="0"/>
        <w:keepLines w:val="0"/>
        <w:pageBreakBefore w:val="0"/>
        <w:kinsoku/>
        <w:wordWrap/>
        <w:overflowPunct/>
        <w:topLinePunct w:val="0"/>
        <w:bidi w:val="0"/>
        <w:snapToGrid w:val="0"/>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6、教职工到来，应主动迎接，认真听取教职工的意见，遇需要帮助的情形，在保证安全的前提下提供力所能及的帮助，因影响安全不能帮助的，应主动解释力求得到谅解。</w:t>
      </w:r>
    </w:p>
    <w:p w14:paraId="01B98D3D">
      <w:pPr>
        <w:keepNext w:val="0"/>
        <w:keepLines w:val="0"/>
        <w:pageBreakBefore w:val="0"/>
        <w:kinsoku/>
        <w:wordWrap/>
        <w:overflowPunct/>
        <w:topLinePunct w:val="0"/>
        <w:bidi w:val="0"/>
        <w:snapToGrid w:val="0"/>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7、各种意见或投诉要认真听取，弄清情况，做好笔录，及时处理，如非本职工作范围，即时通知责任人或向领导汇报。</w:t>
      </w:r>
    </w:p>
    <w:p w14:paraId="4CD77C86">
      <w:pPr>
        <w:keepNext w:val="0"/>
        <w:keepLines w:val="0"/>
        <w:pageBreakBefore w:val="0"/>
        <w:kinsoku/>
        <w:wordWrap/>
        <w:overflowPunct/>
        <w:topLinePunct w:val="0"/>
        <w:bidi w:val="0"/>
        <w:snapToGrid w:val="0"/>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8、业务训练是保安员工作的一个重要组成部分，每位保安员都须参加</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或教育部门指令性组织的年度技能轮训。保安员要主动进行业务练兵，摸熟摸透与安全、消防相关的环境、设施等，掌握接待、应对方式，提高业务知识、技能，提高工作效率。保安员的专业技能培训每学期不少于1次。</w:t>
      </w:r>
    </w:p>
    <w:p w14:paraId="39A8E570">
      <w:pPr>
        <w:keepNext w:val="0"/>
        <w:keepLines w:val="0"/>
        <w:pageBreakBefore w:val="0"/>
        <w:kinsoku/>
        <w:wordWrap/>
        <w:overflowPunct/>
        <w:topLinePunct w:val="0"/>
        <w:bidi w:val="0"/>
        <w:snapToGrid w:val="0"/>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9、妥善保管并熟练使用保安工作的十一件套装备，定期检查安保器械，确保“十一件套”、110紧急报警按钮、报警设备和校内视频处于正常运行状态，发现问题及时上报校园相关负责人，并作好记录。</w:t>
      </w:r>
    </w:p>
    <w:p w14:paraId="6541C97B">
      <w:pPr>
        <w:keepNext w:val="0"/>
        <w:keepLines w:val="0"/>
        <w:pageBreakBefore w:val="0"/>
        <w:kinsoku/>
        <w:wordWrap/>
        <w:overflowPunct/>
        <w:topLinePunct w:val="0"/>
        <w:bidi w:val="0"/>
        <w:snapToGrid w:val="0"/>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10、所有保安员须熟悉学校所有物防技防设备、报警设备，正确并熟练使用学校物防技防等器材。督促、指导学校做好每月一次、幼儿园每季一次的应急演练工作(如消防、防暴、防震、防空等)。</w:t>
      </w:r>
    </w:p>
    <w:p w14:paraId="21127F4E">
      <w:pPr>
        <w:keepNext w:val="0"/>
        <w:keepLines w:val="0"/>
        <w:pageBreakBefore w:val="0"/>
        <w:kinsoku/>
        <w:wordWrap/>
        <w:overflowPunct/>
        <w:topLinePunct w:val="0"/>
        <w:bidi w:val="0"/>
        <w:snapToGrid w:val="0"/>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11、完成校园交办的其它相关工作，既要明确责任分工，又要加强合作。</w:t>
      </w:r>
    </w:p>
    <w:p w14:paraId="04217690">
      <w:pPr>
        <w:keepNext w:val="0"/>
        <w:keepLines w:val="0"/>
        <w:pageBreakBefore w:val="0"/>
        <w:kinsoku/>
        <w:wordWrap/>
        <w:overflowPunct/>
        <w:topLinePunct w:val="0"/>
        <w:bidi w:val="0"/>
        <w:snapToGrid w:val="0"/>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12、配合公安机关，打击各类违法犯罪活动，起到公安辅助作用。</w:t>
      </w:r>
    </w:p>
    <w:p w14:paraId="3A25547A">
      <w:pPr>
        <w:keepNext w:val="0"/>
        <w:keepLines w:val="0"/>
        <w:pageBreakBefore w:val="0"/>
        <w:kinsoku/>
        <w:wordWrap/>
        <w:overflowPunct/>
        <w:topLinePunct w:val="0"/>
        <w:bidi w:val="0"/>
        <w:snapToGrid w:val="0"/>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如因工作失职，造成学校财产损失或人员伤亡，承担全部责任。</w:t>
      </w:r>
    </w:p>
    <w:p w14:paraId="500D6FA5">
      <w:pPr>
        <w:keepNext w:val="0"/>
        <w:keepLines w:val="0"/>
        <w:pageBreakBefore w:val="0"/>
        <w:kinsoku/>
        <w:wordWrap/>
        <w:overflowPunct/>
        <w:topLinePunct w:val="0"/>
        <w:bidi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（六）其他说明</w:t>
      </w:r>
    </w:p>
    <w:p w14:paraId="0F89BD84">
      <w:pPr>
        <w:keepNext w:val="0"/>
        <w:keepLines w:val="0"/>
        <w:pageBreakBefore w:val="0"/>
        <w:kinsoku/>
        <w:wordWrap/>
        <w:overflowPunct/>
        <w:topLinePunct w:val="0"/>
        <w:bidi w:val="0"/>
        <w:snapToGrid w:val="0"/>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1、投标人提供的服务须确保能满足各学校的要求。</w:t>
      </w:r>
    </w:p>
    <w:p w14:paraId="4304951D">
      <w:pPr>
        <w:keepNext w:val="0"/>
        <w:keepLines w:val="0"/>
        <w:pageBreakBefore w:val="0"/>
        <w:kinsoku/>
        <w:wordWrap/>
        <w:overflowPunct/>
        <w:topLinePunct w:val="0"/>
        <w:bidi w:val="0"/>
        <w:snapToGrid w:val="0"/>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2、保安人员的吃、住等生活问题，由</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自行解决。</w:t>
      </w:r>
    </w:p>
    <w:p w14:paraId="60BB52B6">
      <w:pPr>
        <w:keepNext w:val="0"/>
        <w:keepLines w:val="0"/>
        <w:pageBreakBefore w:val="0"/>
        <w:kinsoku/>
        <w:wordWrap/>
        <w:overflowPunct/>
        <w:topLinePunct w:val="0"/>
        <w:bidi w:val="0"/>
        <w:snapToGrid w:val="0"/>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需制订用工计划和加强劳动用工管理，须符合劳动法律法规以及宁波市相关政策规定，根据国家规定应支付的各项费用由</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支付给保安人员，包括工资、津贴、社会保险等；承担体检、培训费用，并负责办理上岗人员的暂住证等有关证件，保证满足工作需要。</w:t>
      </w:r>
    </w:p>
    <w:p w14:paraId="158E3F1D">
      <w:pPr>
        <w:keepNext w:val="0"/>
        <w:keepLines w:val="0"/>
        <w:pageBreakBefore w:val="0"/>
        <w:kinsoku/>
        <w:wordWrap/>
        <w:overflowPunct/>
        <w:topLinePunct w:val="0"/>
        <w:bidi w:val="0"/>
        <w:snapToGrid w:val="0"/>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4、配置保安人员缺岗的扣除缺岗人员的相应费用。缺岗人数累加超过10人次/年的，学校有权单方面终止合同。</w:t>
      </w:r>
    </w:p>
    <w:p w14:paraId="428E1354">
      <w:pPr>
        <w:keepNext w:val="0"/>
        <w:keepLines w:val="0"/>
        <w:pageBreakBefore w:val="0"/>
        <w:kinsoku/>
        <w:wordWrap/>
        <w:overflowPunct/>
        <w:topLinePunct w:val="0"/>
        <w:bidi w:val="0"/>
        <w:snapToGrid w:val="0"/>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5、若遇各类创建活动、特殊天气等特殊时期，</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需无条件服从</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、学校的指挥，如</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或学校要求增配人员或延时作业的，</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须积极配合。</w:t>
      </w:r>
    </w:p>
    <w:p w14:paraId="32C70AC5">
      <w:pPr>
        <w:keepNext w:val="0"/>
        <w:keepLines w:val="0"/>
        <w:pageBreakBefore w:val="0"/>
        <w:kinsoku/>
        <w:wordWrap/>
        <w:overflowPunct/>
        <w:topLinePunct w:val="0"/>
        <w:bidi w:val="0"/>
        <w:snapToGrid w:val="0"/>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6、本项目由海曙区横街镇人民政府统一招标，</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与横街中心小学、横街镇中心初级中学、</w:t>
      </w:r>
      <w:r>
        <w:rPr>
          <w:rFonts w:hint="eastAsia" w:ascii="宋体" w:hAnsi="宋体" w:cs="宋体"/>
          <w:color w:val="auto"/>
          <w:sz w:val="21"/>
          <w:szCs w:val="21"/>
          <w:highlight w:val="none"/>
          <w:lang w:val="en-US" w:eastAsia="zh-CN"/>
        </w:rPr>
        <w:t>横街镇中心幼儿园</w:t>
      </w:r>
      <w:r>
        <w:rPr>
          <w:rFonts w:hint="eastAsia" w:ascii="宋体" w:hAnsi="宋体" w:eastAsia="宋体" w:cs="宋体"/>
          <w:color w:val="auto"/>
          <w:sz w:val="21"/>
          <w:szCs w:val="21"/>
          <w:highlight w:val="none"/>
        </w:rPr>
        <w:t>分别签订三方合同。</w:t>
      </w:r>
    </w:p>
    <w:p w14:paraId="457EAEDF">
      <w:pPr>
        <w:keepNext w:val="0"/>
        <w:keepLines w:val="0"/>
        <w:pageBreakBefore w:val="0"/>
        <w:kinsoku/>
        <w:wordWrap/>
        <w:overflowPunct/>
        <w:topLinePunct w:val="0"/>
        <w:bidi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（七）考核与经费的核拨</w:t>
      </w:r>
    </w:p>
    <w:p w14:paraId="63051F3B">
      <w:pPr>
        <w:keepNext w:val="0"/>
        <w:keepLines w:val="0"/>
        <w:pageBreakBefore w:val="0"/>
        <w:kinsoku/>
        <w:wordWrap/>
        <w:overflowPunct/>
        <w:topLinePunct w:val="0"/>
        <w:bidi w:val="0"/>
        <w:snapToGrid w:val="0"/>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1、学校将对</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的保安服务进行全过程监管，</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工作不到位，不达标或有违约现象，学校将作出相应的违约处理与处罚；</w:t>
      </w:r>
    </w:p>
    <w:p w14:paraId="35AB3E52">
      <w:pPr>
        <w:keepNext w:val="0"/>
        <w:keepLines w:val="0"/>
        <w:pageBreakBefore w:val="0"/>
        <w:kinsoku/>
        <w:wordWrap/>
        <w:overflowPunct/>
        <w:topLinePunct w:val="0"/>
        <w:bidi w:val="0"/>
        <w:snapToGrid w:val="0"/>
        <w:spacing w:line="360" w:lineRule="auto"/>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2、宁波市海曙区横街镇人民政府所辖各公办中小学、幼儿园安保服务考核标准</w:t>
      </w:r>
    </w:p>
    <w:tbl>
      <w:tblPr>
        <w:tblStyle w:val="45"/>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939"/>
        <w:gridCol w:w="5881"/>
        <w:gridCol w:w="1907"/>
      </w:tblGrid>
      <w:tr w14:paraId="0930A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1" w:type="dxa"/>
            <w:noWrap w:val="0"/>
            <w:vAlign w:val="center"/>
          </w:tcPr>
          <w:p w14:paraId="3643C09E">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997" w:type="dxa"/>
            <w:noWrap w:val="0"/>
            <w:vAlign w:val="center"/>
          </w:tcPr>
          <w:p w14:paraId="5D08C4B1">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类别</w:t>
            </w:r>
          </w:p>
        </w:tc>
        <w:tc>
          <w:tcPr>
            <w:tcW w:w="6342" w:type="dxa"/>
            <w:noWrap w:val="0"/>
            <w:vAlign w:val="center"/>
          </w:tcPr>
          <w:p w14:paraId="58A19F66">
            <w:pPr>
              <w:keepNext w:val="0"/>
              <w:keepLines w:val="0"/>
              <w:pageBreakBefore w:val="0"/>
              <w:kinsoku/>
              <w:wordWrap/>
              <w:overflowPunct/>
              <w:topLinePunct w:val="0"/>
              <w:autoSpaceDE w:val="0"/>
              <w:autoSpaceDN w:val="0"/>
              <w:bidi w:val="0"/>
              <w:adjustRightInd w:val="0"/>
              <w:snapToGrid w:val="0"/>
              <w:spacing w:line="240" w:lineRule="auto"/>
              <w:ind w:firstLine="422" w:firstLineChars="20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考核内容</w:t>
            </w:r>
          </w:p>
        </w:tc>
        <w:tc>
          <w:tcPr>
            <w:tcW w:w="2044" w:type="dxa"/>
            <w:noWrap w:val="0"/>
            <w:vAlign w:val="center"/>
          </w:tcPr>
          <w:p w14:paraId="6C6088C4">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扣分标准</w:t>
            </w:r>
          </w:p>
        </w:tc>
      </w:tr>
      <w:tr w14:paraId="1A162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vMerge w:val="restart"/>
            <w:noWrap w:val="0"/>
            <w:vAlign w:val="center"/>
          </w:tcPr>
          <w:p w14:paraId="3F64E163">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97" w:type="dxa"/>
            <w:vMerge w:val="restart"/>
            <w:noWrap w:val="0"/>
            <w:vAlign w:val="center"/>
          </w:tcPr>
          <w:p w14:paraId="4E4F29DD">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文明值勤方面</w:t>
            </w:r>
          </w:p>
        </w:tc>
        <w:tc>
          <w:tcPr>
            <w:tcW w:w="6342" w:type="dxa"/>
            <w:noWrap w:val="0"/>
            <w:vAlign w:val="center"/>
          </w:tcPr>
          <w:p w14:paraId="5090396B">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着装统一，仪容仪表的端庄整洁，规范配戴警械，站姿、坐姿端正大方，如有违反。</w:t>
            </w:r>
          </w:p>
        </w:tc>
        <w:tc>
          <w:tcPr>
            <w:tcW w:w="2044" w:type="dxa"/>
            <w:noWrap w:val="0"/>
            <w:vAlign w:val="center"/>
          </w:tcPr>
          <w:p w14:paraId="3F58FAEE">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发现一次扣1分</w:t>
            </w:r>
          </w:p>
        </w:tc>
      </w:tr>
      <w:tr w14:paraId="260D3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61" w:type="dxa"/>
            <w:vMerge w:val="continue"/>
            <w:noWrap w:val="0"/>
            <w:vAlign w:val="center"/>
          </w:tcPr>
          <w:p w14:paraId="69C9803D">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997" w:type="dxa"/>
            <w:vMerge w:val="continue"/>
            <w:noWrap w:val="0"/>
            <w:vAlign w:val="center"/>
          </w:tcPr>
          <w:p w14:paraId="57352F67">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6342" w:type="dxa"/>
            <w:noWrap w:val="0"/>
            <w:vAlign w:val="center"/>
          </w:tcPr>
          <w:p w14:paraId="022FBEB2">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工作时间不读书、看报，不吸烟、喝酒，不做与工作无关的事情。</w:t>
            </w:r>
          </w:p>
        </w:tc>
        <w:tc>
          <w:tcPr>
            <w:tcW w:w="2044" w:type="dxa"/>
            <w:noWrap w:val="0"/>
            <w:vAlign w:val="center"/>
          </w:tcPr>
          <w:p w14:paraId="69AA6EEB">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发现一次扣1分</w:t>
            </w:r>
          </w:p>
        </w:tc>
      </w:tr>
      <w:tr w14:paraId="5CA94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661" w:type="dxa"/>
            <w:vMerge w:val="continue"/>
            <w:noWrap w:val="0"/>
            <w:vAlign w:val="center"/>
          </w:tcPr>
          <w:p w14:paraId="6191E767">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997" w:type="dxa"/>
            <w:vMerge w:val="continue"/>
            <w:noWrap w:val="0"/>
            <w:vAlign w:val="center"/>
          </w:tcPr>
          <w:p w14:paraId="6875FF61">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6342" w:type="dxa"/>
            <w:noWrap w:val="0"/>
            <w:vAlign w:val="center"/>
          </w:tcPr>
          <w:p w14:paraId="6D6265FD">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作风正派，热情文明对待师生、家长、来宾，上学、放学时间在校门口迎送师生。出现不礼貌行为或上学、放学不按要求站岗。</w:t>
            </w:r>
          </w:p>
        </w:tc>
        <w:tc>
          <w:tcPr>
            <w:tcW w:w="2044" w:type="dxa"/>
            <w:noWrap w:val="0"/>
            <w:vAlign w:val="center"/>
          </w:tcPr>
          <w:p w14:paraId="491D5C87">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发现一次扣1分</w:t>
            </w:r>
          </w:p>
        </w:tc>
      </w:tr>
      <w:tr w14:paraId="59507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61" w:type="dxa"/>
            <w:vMerge w:val="continue"/>
            <w:noWrap w:val="0"/>
            <w:vAlign w:val="center"/>
          </w:tcPr>
          <w:p w14:paraId="1FB95299">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997" w:type="dxa"/>
            <w:vMerge w:val="continue"/>
            <w:noWrap w:val="0"/>
            <w:vAlign w:val="center"/>
          </w:tcPr>
          <w:p w14:paraId="3C8B8EFB">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6342" w:type="dxa"/>
            <w:noWrap w:val="0"/>
            <w:vAlign w:val="center"/>
          </w:tcPr>
          <w:p w14:paraId="3A41E9E1">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无正当理由与人吵架、打架。</w:t>
            </w:r>
          </w:p>
        </w:tc>
        <w:tc>
          <w:tcPr>
            <w:tcW w:w="2044" w:type="dxa"/>
            <w:noWrap w:val="0"/>
            <w:vAlign w:val="center"/>
          </w:tcPr>
          <w:p w14:paraId="64A5DED2">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发现一次扣5分</w:t>
            </w:r>
          </w:p>
        </w:tc>
      </w:tr>
      <w:tr w14:paraId="1EDCB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61" w:type="dxa"/>
            <w:vMerge w:val="continue"/>
            <w:noWrap w:val="0"/>
            <w:vAlign w:val="center"/>
          </w:tcPr>
          <w:p w14:paraId="63C0012F">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997" w:type="dxa"/>
            <w:vMerge w:val="continue"/>
            <w:noWrap w:val="0"/>
            <w:vAlign w:val="center"/>
          </w:tcPr>
          <w:p w14:paraId="1C0C42F2">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6342" w:type="dxa"/>
            <w:noWrap w:val="0"/>
            <w:vAlign w:val="center"/>
          </w:tcPr>
          <w:p w14:paraId="3E689DE8">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保持</w:t>
            </w:r>
            <w:r>
              <w:rPr>
                <w:rFonts w:hint="eastAsia" w:ascii="宋体" w:hAnsi="宋体" w:cs="宋体"/>
                <w:color w:val="auto"/>
                <w:sz w:val="21"/>
                <w:szCs w:val="21"/>
                <w:highlight w:val="none"/>
                <w:lang w:val="en-US" w:eastAsia="zh-CN"/>
              </w:rPr>
              <w:t>保安</w:t>
            </w:r>
            <w:r>
              <w:rPr>
                <w:rFonts w:hint="eastAsia" w:ascii="宋体" w:hAnsi="宋体" w:eastAsia="宋体" w:cs="宋体"/>
                <w:color w:val="auto"/>
                <w:sz w:val="21"/>
                <w:szCs w:val="21"/>
                <w:highlight w:val="none"/>
              </w:rPr>
              <w:t>室和学校门前的卫生区的整洁，不打扫或不洁净</w:t>
            </w:r>
          </w:p>
        </w:tc>
        <w:tc>
          <w:tcPr>
            <w:tcW w:w="2044" w:type="dxa"/>
            <w:noWrap w:val="0"/>
            <w:vAlign w:val="center"/>
          </w:tcPr>
          <w:p w14:paraId="600818B1">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发现一次扣1分</w:t>
            </w:r>
          </w:p>
        </w:tc>
      </w:tr>
      <w:tr w14:paraId="1A36D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1" w:type="dxa"/>
            <w:vMerge w:val="restart"/>
            <w:noWrap w:val="0"/>
            <w:vAlign w:val="center"/>
          </w:tcPr>
          <w:p w14:paraId="733F83CB">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97" w:type="dxa"/>
            <w:vMerge w:val="restart"/>
            <w:noWrap w:val="0"/>
            <w:vAlign w:val="center"/>
          </w:tcPr>
          <w:p w14:paraId="6545A669">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学生出入方面</w:t>
            </w:r>
          </w:p>
        </w:tc>
        <w:tc>
          <w:tcPr>
            <w:tcW w:w="6342" w:type="dxa"/>
            <w:noWrap w:val="0"/>
            <w:vAlign w:val="center"/>
          </w:tcPr>
          <w:p w14:paraId="3AD97731">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学生在校学习期间需外出时，必须持有班主任签字的规范的书面请假条，门卫要认真审查请假条真伪，做好出校登记并保存请假条。</w:t>
            </w:r>
          </w:p>
        </w:tc>
        <w:tc>
          <w:tcPr>
            <w:tcW w:w="2044" w:type="dxa"/>
            <w:noWrap w:val="0"/>
            <w:vAlign w:val="center"/>
          </w:tcPr>
          <w:p w14:paraId="58103F56">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发现一次扣2分</w:t>
            </w:r>
          </w:p>
        </w:tc>
      </w:tr>
      <w:tr w14:paraId="71490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61" w:type="dxa"/>
            <w:vMerge w:val="continue"/>
            <w:noWrap w:val="0"/>
            <w:vAlign w:val="center"/>
          </w:tcPr>
          <w:p w14:paraId="1B7ADA54">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997" w:type="dxa"/>
            <w:vMerge w:val="continue"/>
            <w:noWrap w:val="0"/>
            <w:vAlign w:val="center"/>
          </w:tcPr>
          <w:p w14:paraId="65E6561E">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6342" w:type="dxa"/>
            <w:noWrap w:val="0"/>
            <w:vAlign w:val="center"/>
          </w:tcPr>
          <w:p w14:paraId="02F98936">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节假日学生到校要穿校服，不穿校服或无本校教师带领不允许学生进入校园（学校兴趣小组的学生凭本人《学生出入证》进出校门）。</w:t>
            </w:r>
          </w:p>
        </w:tc>
        <w:tc>
          <w:tcPr>
            <w:tcW w:w="2044" w:type="dxa"/>
            <w:noWrap w:val="0"/>
            <w:vAlign w:val="center"/>
          </w:tcPr>
          <w:p w14:paraId="3C059DE8">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发现一次扣2分</w:t>
            </w:r>
          </w:p>
        </w:tc>
      </w:tr>
      <w:tr w14:paraId="03E9A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vMerge w:val="restart"/>
            <w:noWrap w:val="0"/>
            <w:vAlign w:val="center"/>
          </w:tcPr>
          <w:p w14:paraId="5928E479">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997" w:type="dxa"/>
            <w:vMerge w:val="restart"/>
            <w:noWrap w:val="0"/>
            <w:vAlign w:val="center"/>
          </w:tcPr>
          <w:p w14:paraId="4131FCC1">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车辆出入方面</w:t>
            </w:r>
          </w:p>
        </w:tc>
        <w:tc>
          <w:tcPr>
            <w:tcW w:w="6342" w:type="dxa"/>
            <w:noWrap w:val="0"/>
            <w:vAlign w:val="center"/>
          </w:tcPr>
          <w:p w14:paraId="2C105023">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外来车辆原则上不允许进入校园。确需进入的需校级领导批准，放行时要告知：机动车校内不能鸣笛、减速慢行，非机动车下车推行，同时引导车辆按指定车位停放。</w:t>
            </w:r>
          </w:p>
        </w:tc>
        <w:tc>
          <w:tcPr>
            <w:tcW w:w="2044" w:type="dxa"/>
            <w:noWrap w:val="0"/>
            <w:vAlign w:val="center"/>
          </w:tcPr>
          <w:p w14:paraId="7CAD83D8">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发现一次扣2分</w:t>
            </w:r>
          </w:p>
        </w:tc>
      </w:tr>
      <w:tr w14:paraId="716DF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61" w:type="dxa"/>
            <w:vMerge w:val="continue"/>
            <w:noWrap w:val="0"/>
            <w:vAlign w:val="center"/>
          </w:tcPr>
          <w:p w14:paraId="31F0123E">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997" w:type="dxa"/>
            <w:vMerge w:val="continue"/>
            <w:noWrap w:val="0"/>
            <w:vAlign w:val="center"/>
          </w:tcPr>
          <w:p w14:paraId="21F67D46">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6342" w:type="dxa"/>
            <w:noWrap w:val="0"/>
            <w:vAlign w:val="center"/>
          </w:tcPr>
          <w:p w14:paraId="2F7BF2D0">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严禁各类车辆在校门口内外随意停放，确保校门出入畅通。</w:t>
            </w:r>
          </w:p>
        </w:tc>
        <w:tc>
          <w:tcPr>
            <w:tcW w:w="2044" w:type="dxa"/>
            <w:noWrap w:val="0"/>
            <w:vAlign w:val="center"/>
          </w:tcPr>
          <w:p w14:paraId="4BAFC10A">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出现一次扣1分</w:t>
            </w:r>
          </w:p>
        </w:tc>
      </w:tr>
      <w:tr w14:paraId="7BB51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vMerge w:val="continue"/>
            <w:noWrap w:val="0"/>
            <w:vAlign w:val="center"/>
          </w:tcPr>
          <w:p w14:paraId="671D3652">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997" w:type="dxa"/>
            <w:vMerge w:val="continue"/>
            <w:noWrap w:val="0"/>
            <w:vAlign w:val="center"/>
          </w:tcPr>
          <w:p w14:paraId="66CE53DE">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6342" w:type="dxa"/>
            <w:noWrap w:val="0"/>
            <w:vAlign w:val="center"/>
          </w:tcPr>
          <w:p w14:paraId="75A1C061">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课间、集会、课外活动等室外活动学生密集时，门卫不得允许任何机动车辆进入校门。</w:t>
            </w:r>
          </w:p>
        </w:tc>
        <w:tc>
          <w:tcPr>
            <w:tcW w:w="2044" w:type="dxa"/>
            <w:noWrap w:val="0"/>
            <w:vAlign w:val="center"/>
          </w:tcPr>
          <w:p w14:paraId="3E8D14C9">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发现一次扣2分</w:t>
            </w:r>
          </w:p>
        </w:tc>
      </w:tr>
      <w:tr w14:paraId="4BED8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vMerge w:val="restart"/>
            <w:noWrap w:val="0"/>
            <w:vAlign w:val="center"/>
          </w:tcPr>
          <w:p w14:paraId="5609C026">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997" w:type="dxa"/>
            <w:vMerge w:val="restart"/>
            <w:noWrap w:val="0"/>
            <w:vAlign w:val="center"/>
          </w:tcPr>
          <w:p w14:paraId="679DE7FB">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外来人员出入方面</w:t>
            </w:r>
          </w:p>
        </w:tc>
        <w:tc>
          <w:tcPr>
            <w:tcW w:w="6342" w:type="dxa"/>
            <w:noWrap w:val="0"/>
            <w:vAlign w:val="center"/>
          </w:tcPr>
          <w:p w14:paraId="557E963A">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严格履行来访登记、联系手续（由保安联系被访教师）。未联系上、未经领导或老师同意、没办理登记手续不得让来访者进入学校。</w:t>
            </w:r>
          </w:p>
        </w:tc>
        <w:tc>
          <w:tcPr>
            <w:tcW w:w="2044" w:type="dxa"/>
            <w:noWrap w:val="0"/>
            <w:vAlign w:val="center"/>
          </w:tcPr>
          <w:p w14:paraId="40D3A82B">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发现一次扣2分</w:t>
            </w:r>
          </w:p>
        </w:tc>
      </w:tr>
      <w:tr w14:paraId="4C6D5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vMerge w:val="continue"/>
            <w:noWrap w:val="0"/>
            <w:vAlign w:val="center"/>
          </w:tcPr>
          <w:p w14:paraId="1DC7D71F">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997" w:type="dxa"/>
            <w:vMerge w:val="continue"/>
            <w:noWrap w:val="0"/>
            <w:vAlign w:val="center"/>
          </w:tcPr>
          <w:p w14:paraId="3E8FF9F4">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6342" w:type="dxa"/>
            <w:noWrap w:val="0"/>
            <w:vAlign w:val="center"/>
          </w:tcPr>
          <w:p w14:paraId="570B33AC">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学校的临时施工人员凭学校《临时出入证》进出校门，无证或无引领者不允许进入校园。</w:t>
            </w:r>
          </w:p>
        </w:tc>
        <w:tc>
          <w:tcPr>
            <w:tcW w:w="2044" w:type="dxa"/>
            <w:noWrap w:val="0"/>
            <w:vAlign w:val="center"/>
          </w:tcPr>
          <w:p w14:paraId="64F9FB9E">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发现一次扣2分</w:t>
            </w:r>
          </w:p>
        </w:tc>
      </w:tr>
      <w:tr w14:paraId="3B4CE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vMerge w:val="continue"/>
            <w:noWrap w:val="0"/>
            <w:vAlign w:val="center"/>
          </w:tcPr>
          <w:p w14:paraId="4C308EB4">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997" w:type="dxa"/>
            <w:vMerge w:val="continue"/>
            <w:noWrap w:val="0"/>
            <w:vAlign w:val="center"/>
          </w:tcPr>
          <w:p w14:paraId="6D1A33D2">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6342" w:type="dxa"/>
            <w:noWrap w:val="0"/>
            <w:vAlign w:val="center"/>
          </w:tcPr>
          <w:p w14:paraId="5D566047">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严禁放社会闲杂人员（如业务推销员、醉酒人员、无业人员等）进入校内。</w:t>
            </w:r>
          </w:p>
        </w:tc>
        <w:tc>
          <w:tcPr>
            <w:tcW w:w="2044" w:type="dxa"/>
            <w:noWrap w:val="0"/>
            <w:vAlign w:val="center"/>
          </w:tcPr>
          <w:p w14:paraId="4D48CD9B">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发现一次扣5分</w:t>
            </w:r>
          </w:p>
        </w:tc>
      </w:tr>
      <w:tr w14:paraId="319E0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vMerge w:val="continue"/>
            <w:noWrap w:val="0"/>
            <w:vAlign w:val="center"/>
          </w:tcPr>
          <w:p w14:paraId="78805875">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997" w:type="dxa"/>
            <w:vMerge w:val="continue"/>
            <w:noWrap w:val="0"/>
            <w:vAlign w:val="center"/>
          </w:tcPr>
          <w:p w14:paraId="07670A08">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6342" w:type="dxa"/>
            <w:noWrap w:val="0"/>
            <w:vAlign w:val="center"/>
          </w:tcPr>
          <w:p w14:paraId="22FE1E2A">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对运物品出校门的车辆要进行仔细检查，凡学校公物须持有学校有关证明，并进行登记，方能放行。违反学校公共物品带出校门制度的。</w:t>
            </w:r>
          </w:p>
        </w:tc>
        <w:tc>
          <w:tcPr>
            <w:tcW w:w="2044" w:type="dxa"/>
            <w:noWrap w:val="0"/>
            <w:vAlign w:val="center"/>
          </w:tcPr>
          <w:p w14:paraId="66A85408">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发现一次扣5分</w:t>
            </w:r>
          </w:p>
        </w:tc>
      </w:tr>
      <w:tr w14:paraId="17E5C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vMerge w:val="restart"/>
            <w:noWrap w:val="0"/>
            <w:vAlign w:val="center"/>
          </w:tcPr>
          <w:p w14:paraId="6DB53D35">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997" w:type="dxa"/>
            <w:vMerge w:val="restart"/>
            <w:noWrap w:val="0"/>
            <w:vAlign w:val="center"/>
          </w:tcPr>
          <w:p w14:paraId="211D4B50">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p w14:paraId="393FD3FE">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方面</w:t>
            </w:r>
          </w:p>
        </w:tc>
        <w:tc>
          <w:tcPr>
            <w:tcW w:w="6342" w:type="dxa"/>
            <w:noWrap w:val="0"/>
            <w:vAlign w:val="center"/>
          </w:tcPr>
          <w:p w14:paraId="02D5F7CB">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校门内外公共财物，花草树木，发现破坏没有制止或根本不知道的，视情节严重情况而定。</w:t>
            </w:r>
          </w:p>
        </w:tc>
        <w:tc>
          <w:tcPr>
            <w:tcW w:w="2044" w:type="dxa"/>
            <w:noWrap w:val="0"/>
            <w:vAlign w:val="center"/>
          </w:tcPr>
          <w:p w14:paraId="6BEAA997">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发现一次扣2-5分</w:t>
            </w:r>
          </w:p>
        </w:tc>
      </w:tr>
      <w:tr w14:paraId="44CF6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vMerge w:val="continue"/>
            <w:noWrap w:val="0"/>
            <w:vAlign w:val="center"/>
          </w:tcPr>
          <w:p w14:paraId="524653B7">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997" w:type="dxa"/>
            <w:vMerge w:val="continue"/>
            <w:noWrap w:val="0"/>
            <w:vAlign w:val="center"/>
          </w:tcPr>
          <w:p w14:paraId="0BE7926A">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6342" w:type="dxa"/>
            <w:noWrap w:val="0"/>
            <w:vAlign w:val="center"/>
          </w:tcPr>
          <w:p w14:paraId="614347A1">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接收邮件、报刊、信件出现丢失，除赔偿以外。接收保存快递。</w:t>
            </w:r>
          </w:p>
        </w:tc>
        <w:tc>
          <w:tcPr>
            <w:tcW w:w="2044" w:type="dxa"/>
            <w:noWrap w:val="0"/>
            <w:vAlign w:val="center"/>
          </w:tcPr>
          <w:p w14:paraId="7BCF6A50">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发现一次扣2分</w:t>
            </w:r>
          </w:p>
        </w:tc>
      </w:tr>
      <w:tr w14:paraId="636B2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vMerge w:val="continue"/>
            <w:noWrap w:val="0"/>
            <w:vAlign w:val="center"/>
          </w:tcPr>
          <w:p w14:paraId="6A501E1E">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997" w:type="dxa"/>
            <w:vMerge w:val="continue"/>
            <w:noWrap w:val="0"/>
            <w:vAlign w:val="center"/>
          </w:tcPr>
          <w:p w14:paraId="062AD4EA">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6342" w:type="dxa"/>
            <w:noWrap w:val="0"/>
            <w:vAlign w:val="center"/>
          </w:tcPr>
          <w:p w14:paraId="482941D8">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保安人员严格执行上下班制度，按时交接班，坚守工作岗位。出现脱岗现象。</w:t>
            </w:r>
          </w:p>
        </w:tc>
        <w:tc>
          <w:tcPr>
            <w:tcW w:w="2044" w:type="dxa"/>
            <w:noWrap w:val="0"/>
            <w:vAlign w:val="center"/>
          </w:tcPr>
          <w:p w14:paraId="40B7FE79">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发现一次扣2分</w:t>
            </w:r>
          </w:p>
        </w:tc>
      </w:tr>
      <w:tr w14:paraId="355DA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vMerge w:val="continue"/>
            <w:noWrap w:val="0"/>
            <w:vAlign w:val="center"/>
          </w:tcPr>
          <w:p w14:paraId="48C8C4D1">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997" w:type="dxa"/>
            <w:vMerge w:val="continue"/>
            <w:noWrap w:val="0"/>
            <w:vAlign w:val="center"/>
          </w:tcPr>
          <w:p w14:paraId="5479A186">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6342" w:type="dxa"/>
            <w:noWrap w:val="0"/>
            <w:vAlign w:val="center"/>
          </w:tcPr>
          <w:p w14:paraId="19CFC3AB">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保安人员需服从安排，听从指挥，全面履行安全保卫人员的职责。出现不服从学校安排现象。</w:t>
            </w:r>
          </w:p>
        </w:tc>
        <w:tc>
          <w:tcPr>
            <w:tcW w:w="2044" w:type="dxa"/>
            <w:noWrap w:val="0"/>
            <w:vAlign w:val="center"/>
          </w:tcPr>
          <w:p w14:paraId="532E0CD7">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发现一次扣5分</w:t>
            </w:r>
          </w:p>
        </w:tc>
      </w:tr>
      <w:tr w14:paraId="5B463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661" w:type="dxa"/>
            <w:vMerge w:val="continue"/>
            <w:noWrap w:val="0"/>
            <w:vAlign w:val="center"/>
          </w:tcPr>
          <w:p w14:paraId="4297600B">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997" w:type="dxa"/>
            <w:vMerge w:val="continue"/>
            <w:noWrap w:val="0"/>
            <w:vAlign w:val="center"/>
          </w:tcPr>
          <w:p w14:paraId="25A54264">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6342" w:type="dxa"/>
            <w:noWrap w:val="0"/>
            <w:vAlign w:val="center"/>
          </w:tcPr>
          <w:p w14:paraId="3890D946">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发现火警、匪警等安全事故未及时汇报或报警的。</w:t>
            </w:r>
          </w:p>
        </w:tc>
        <w:tc>
          <w:tcPr>
            <w:tcW w:w="2044" w:type="dxa"/>
            <w:noWrap w:val="0"/>
            <w:vAlign w:val="center"/>
          </w:tcPr>
          <w:p w14:paraId="1CCD1663">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发现一次扣10分</w:t>
            </w:r>
          </w:p>
        </w:tc>
      </w:tr>
      <w:tr w14:paraId="714C8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661" w:type="dxa"/>
            <w:vMerge w:val="continue"/>
            <w:noWrap w:val="0"/>
            <w:vAlign w:val="center"/>
          </w:tcPr>
          <w:p w14:paraId="3E2AC03E">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997" w:type="dxa"/>
            <w:vMerge w:val="continue"/>
            <w:noWrap w:val="0"/>
            <w:vAlign w:val="center"/>
          </w:tcPr>
          <w:p w14:paraId="3CE141C2">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c>
          <w:tcPr>
            <w:tcW w:w="6342" w:type="dxa"/>
            <w:noWrap w:val="0"/>
            <w:vAlign w:val="center"/>
          </w:tcPr>
          <w:p w14:paraId="175373CE">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师生放学离校后，全面巡视，锁好各口大门，发现学校有异常情况，要及时处理或报告学校有关领导。造成损失的视情节严重扣分并追究责任。</w:t>
            </w:r>
          </w:p>
        </w:tc>
        <w:tc>
          <w:tcPr>
            <w:tcW w:w="2044" w:type="dxa"/>
            <w:noWrap w:val="0"/>
            <w:vAlign w:val="center"/>
          </w:tcPr>
          <w:p w14:paraId="78202E16">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视情节严重扣分</w:t>
            </w:r>
          </w:p>
        </w:tc>
      </w:tr>
      <w:tr w14:paraId="497B4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661" w:type="dxa"/>
            <w:noWrap w:val="0"/>
            <w:vAlign w:val="center"/>
          </w:tcPr>
          <w:p w14:paraId="30BB5D72">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997" w:type="dxa"/>
            <w:noWrap w:val="0"/>
            <w:vAlign w:val="center"/>
          </w:tcPr>
          <w:p w14:paraId="0279E7FC">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人身安全方面</w:t>
            </w:r>
          </w:p>
        </w:tc>
        <w:tc>
          <w:tcPr>
            <w:tcW w:w="6342" w:type="dxa"/>
            <w:noWrap w:val="0"/>
            <w:vAlign w:val="center"/>
          </w:tcPr>
          <w:p w14:paraId="71B3BF34">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保安人员因工作失职，造成学校财产损失或人员伤亡，需承担相应责任、扣除当月工资并予以辞退。</w:t>
            </w:r>
          </w:p>
        </w:tc>
        <w:tc>
          <w:tcPr>
            <w:tcW w:w="2044" w:type="dxa"/>
            <w:noWrap w:val="0"/>
            <w:vAlign w:val="center"/>
          </w:tcPr>
          <w:p w14:paraId="6407A671">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p>
        </w:tc>
      </w:tr>
    </w:tbl>
    <w:p w14:paraId="7543207F">
      <w:pPr>
        <w:keepNext w:val="0"/>
        <w:keepLines w:val="0"/>
        <w:pageBreakBefore w:val="0"/>
        <w:kinsoku/>
        <w:wordWrap/>
        <w:overflowPunct/>
        <w:topLinePunct w:val="0"/>
        <w:bidi w:val="0"/>
        <w:snapToGrid w:val="0"/>
        <w:spacing w:line="360" w:lineRule="auto"/>
        <w:ind w:firstLine="422" w:firstLineChars="200"/>
        <w:textAlignment w:val="auto"/>
        <w:rPr>
          <w:rFonts w:hint="eastAsia" w:ascii="宋体" w:hAnsi="宋体" w:eastAsia="宋体" w:cs="宋体"/>
          <w:b/>
          <w:color w:val="auto"/>
          <w:sz w:val="21"/>
          <w:szCs w:val="21"/>
          <w:highlight w:val="none"/>
        </w:rPr>
      </w:pPr>
    </w:p>
    <w:p w14:paraId="2E5D50EE">
      <w:pPr>
        <w:keepNext w:val="0"/>
        <w:keepLines w:val="0"/>
        <w:pageBreakBefore w:val="0"/>
        <w:kinsoku/>
        <w:wordWrap/>
        <w:overflowPunct/>
        <w:topLinePunct w:val="0"/>
        <w:bidi w:val="0"/>
        <w:snapToGrid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3、考评方法：由各学校自行考核。</w:t>
      </w:r>
    </w:p>
    <w:p w14:paraId="6CA23CF2">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横街镇教育研究辅导室委托各学校开展月度考核，并建立考核台帐；月度考核总分为100分。考核结果与当月服务经费与考核学校挂钩。月度考核分值95分（含）以上，全额核拨当月服务经费【注：月度全额服务经费=当月服务安保人员数量×中标金额（固定综合单价）/12个月】；月度考核分为90分（含）至95分的，以95分为基准，得分下降1分，扣减当月管理费和税金之和的1%；月度考核分为80分（含）至90分的，除执行以上扣款外，以90分为基准，得分每少1分，扣减当月管理费和税金之和的2%；月度考核分80分以下的，除保安人员费用（指除去管理费和税金之后的费用）外，不予核拨其他任何费用。</w:t>
      </w:r>
    </w:p>
    <w:p w14:paraId="602DDCDE">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（2）一年度内，全镇有半数或以上学校有过月度考核得分在80分以下情况的，视为</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违约，横街镇教育研究辅导室有权无条件解除合同，由此产生的责任由</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承担。</w:t>
      </w:r>
    </w:p>
    <w:p w14:paraId="508FC0C5">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4、投标报价及费用：</w:t>
      </w:r>
    </w:p>
    <w:p w14:paraId="2F39C4CF">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投标报价为含税人民币报价，包含保安人员基本工资、各类福利和补贴（如高温补贴、不含法定工作时间外的加班补贴、不含法定工作日午餐费）、社保（五险）以及各种保险），人员工作服、人员培训费、人员全年少量超时加班费、人员所使用作业工具等各类耗材费、管理费（含督查人员费用），利润，税金以及其他与本项目有关的一切费用。保安人员基本工资、高温补贴、社保（五险）等不得低于人社部门规定的最低标准。</w:t>
      </w:r>
    </w:p>
    <w:p w14:paraId="2D00FB36">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（2）合同经费（开具的发票符合政府财政入账要求）由采购人统一支付，如各学校保安数量有调整的，根据实际数量结算，即各学校年度合同金额=中标综合单价（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万元/人.年）×实际保安人数。</w:t>
      </w:r>
    </w:p>
    <w:p w14:paraId="12413A02">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（3）不论投标结果如何，投标人均应自行承担所有与投标有关的全部费用。</w:t>
      </w:r>
    </w:p>
    <w:p w14:paraId="06350672">
      <w:pPr>
        <w:keepNext w:val="0"/>
        <w:keepLines w:val="0"/>
        <w:pageBreakBefore w:val="0"/>
        <w:kinsoku/>
        <w:wordWrap/>
        <w:overflowPunct/>
        <w:topLinePunct w:val="0"/>
        <w:bidi w:val="0"/>
        <w:snapToGrid w:val="0"/>
        <w:spacing w:line="360"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项目第一年度的合同金额将不予调整；后续年度金额，在履行合同期间，若遇政府指令性政策调整（例如宁波市职工最低工资标准调整、社会保险最低基数费率调整等），双方有权利和义务相互协商解决中标的年度服务金额的调整事宜。</w:t>
      </w:r>
    </w:p>
    <w:p w14:paraId="03529F4C">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br w:type="page"/>
      </w:r>
    </w:p>
    <w:p w14:paraId="5614EF44">
      <w:pPr>
        <w:spacing w:after="330" w:line="360" w:lineRule="auto"/>
        <w:jc w:val="center"/>
        <w:outlineLvl w:val="0"/>
        <w:rPr>
          <w:rFonts w:asciiTheme="majorEastAsia" w:hAnsiTheme="majorEastAsia" w:eastAsiaTheme="majorEastAsia"/>
          <w:b/>
          <w:bCs/>
          <w:color w:val="auto"/>
          <w:sz w:val="32"/>
          <w:szCs w:val="40"/>
          <w:highlight w:val="none"/>
        </w:rPr>
      </w:pPr>
      <w:bookmarkStart w:id="7" w:name="_Toc27001"/>
      <w:bookmarkStart w:id="8" w:name="_Toc21677"/>
      <w:r>
        <w:rPr>
          <w:rFonts w:asciiTheme="majorEastAsia" w:hAnsiTheme="majorEastAsia" w:eastAsiaTheme="majorEastAsia"/>
          <w:b/>
          <w:bCs/>
          <w:color w:val="auto"/>
          <w:sz w:val="32"/>
          <w:szCs w:val="40"/>
          <w:highlight w:val="none"/>
        </w:rPr>
        <w:t>第三章  供应商须知</w:t>
      </w:r>
      <w:bookmarkEnd w:id="6"/>
      <w:bookmarkEnd w:id="7"/>
      <w:bookmarkEnd w:id="8"/>
    </w:p>
    <w:p w14:paraId="2A72E8A2">
      <w:pPr>
        <w:spacing w:line="360" w:lineRule="auto"/>
        <w:jc w:val="center"/>
        <w:rPr>
          <w:rFonts w:ascii="宋体" w:hAnsi="宋体" w:cs="宋体"/>
          <w:color w:val="auto"/>
          <w:highlight w:val="none"/>
        </w:rPr>
      </w:pPr>
      <w:r>
        <w:rPr>
          <w:rFonts w:hint="eastAsia" w:ascii="宋体" w:hAnsi="宋体" w:cs="宋体"/>
          <w:color w:val="auto"/>
          <w:highlight w:val="none"/>
        </w:rPr>
        <w:t>前附表一</w:t>
      </w:r>
    </w:p>
    <w:tbl>
      <w:tblPr>
        <w:tblStyle w:val="45"/>
        <w:tblW w:w="93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0"/>
        <w:gridCol w:w="8474"/>
      </w:tblGrid>
      <w:tr w14:paraId="053ECA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7171DF40">
            <w:pPr>
              <w:spacing w:line="440" w:lineRule="exact"/>
              <w:jc w:val="center"/>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序号</w:t>
            </w:r>
          </w:p>
        </w:tc>
        <w:tc>
          <w:tcPr>
            <w:tcW w:w="8474" w:type="dxa"/>
            <w:tcBorders>
              <w:top w:val="single" w:color="auto" w:sz="4" w:space="0"/>
              <w:left w:val="single" w:color="auto" w:sz="4" w:space="0"/>
              <w:bottom w:val="single" w:color="auto" w:sz="4" w:space="0"/>
              <w:right w:val="single" w:color="auto" w:sz="4" w:space="0"/>
            </w:tcBorders>
            <w:vAlign w:val="center"/>
          </w:tcPr>
          <w:p w14:paraId="1001D762">
            <w:pPr>
              <w:spacing w:line="440" w:lineRule="exact"/>
              <w:jc w:val="center"/>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内容、要求</w:t>
            </w:r>
          </w:p>
        </w:tc>
      </w:tr>
      <w:tr w14:paraId="0863CD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23831708">
            <w:pPr>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1</w:t>
            </w:r>
          </w:p>
        </w:tc>
        <w:tc>
          <w:tcPr>
            <w:tcW w:w="8474" w:type="dxa"/>
            <w:tcBorders>
              <w:top w:val="single" w:color="auto" w:sz="4" w:space="0"/>
              <w:left w:val="single" w:color="auto" w:sz="4" w:space="0"/>
              <w:bottom w:val="single" w:color="auto" w:sz="4" w:space="0"/>
              <w:right w:val="single" w:color="auto" w:sz="4" w:space="0"/>
            </w:tcBorders>
            <w:vAlign w:val="center"/>
          </w:tcPr>
          <w:p w14:paraId="62CFCA91">
            <w:pPr>
              <w:spacing w:line="440" w:lineRule="exact"/>
              <w:rPr>
                <w:rFonts w:hint="eastAsia" w:asciiTheme="majorEastAsia" w:hAnsiTheme="majorEastAsia" w:eastAsiaTheme="majorEastAsia"/>
                <w:color w:val="auto"/>
                <w:highlight w:val="none"/>
                <w:lang w:eastAsia="zh-CN"/>
              </w:rPr>
            </w:pPr>
            <w:r>
              <w:rPr>
                <w:rFonts w:asciiTheme="majorEastAsia" w:hAnsiTheme="majorEastAsia" w:eastAsiaTheme="majorEastAsia"/>
                <w:color w:val="auto"/>
                <w:highlight w:val="none"/>
              </w:rPr>
              <w:t>项目名称：</w:t>
            </w:r>
            <w:r>
              <w:rPr>
                <w:rFonts w:hint="eastAsia" w:asciiTheme="majorEastAsia" w:hAnsiTheme="majorEastAsia" w:eastAsiaTheme="majorEastAsia"/>
                <w:color w:val="auto"/>
                <w:szCs w:val="21"/>
                <w:highlight w:val="none"/>
                <w:lang w:eastAsia="zh-CN"/>
              </w:rPr>
              <w:t>海曙区横街镇校园保安服务</w:t>
            </w:r>
          </w:p>
        </w:tc>
      </w:tr>
      <w:tr w14:paraId="470227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53"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1502FC16">
            <w:pPr>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b/>
                <w:color w:val="auto"/>
                <w:highlight w:val="none"/>
              </w:rPr>
              <w:t>*</w:t>
            </w:r>
            <w:r>
              <w:rPr>
                <w:rFonts w:asciiTheme="majorEastAsia" w:hAnsiTheme="majorEastAsia" w:eastAsiaTheme="majorEastAsia"/>
                <w:color w:val="auto"/>
                <w:highlight w:val="none"/>
              </w:rPr>
              <w:t>2</w:t>
            </w:r>
          </w:p>
        </w:tc>
        <w:tc>
          <w:tcPr>
            <w:tcW w:w="8474" w:type="dxa"/>
            <w:tcBorders>
              <w:top w:val="single" w:color="auto" w:sz="4" w:space="0"/>
              <w:left w:val="single" w:color="auto" w:sz="4" w:space="0"/>
              <w:bottom w:val="single" w:color="auto" w:sz="4" w:space="0"/>
              <w:right w:val="single" w:color="auto" w:sz="4" w:space="0"/>
            </w:tcBorders>
            <w:vAlign w:val="center"/>
          </w:tcPr>
          <w:p w14:paraId="1C1D10B3">
            <w:pPr>
              <w:numPr>
                <w:ilvl w:val="0"/>
                <w:numId w:val="3"/>
              </w:numPr>
              <w:spacing w:line="440" w:lineRule="exact"/>
              <w:rPr>
                <w:rFonts w:ascii="宋体" w:hAnsi="宋体" w:cs="宋体"/>
                <w:color w:val="auto"/>
                <w:szCs w:val="21"/>
                <w:highlight w:val="none"/>
                <w:lang w:val="zh-CN"/>
              </w:rPr>
            </w:pPr>
            <w:bookmarkStart w:id="9" w:name="_Hlk20081732"/>
            <w:r>
              <w:rPr>
                <w:rFonts w:hint="eastAsia" w:ascii="宋体" w:hAnsi="宋体" w:cs="宋体"/>
                <w:color w:val="auto"/>
                <w:szCs w:val="21"/>
                <w:highlight w:val="none"/>
              </w:rPr>
              <w:t>本项目应以人民币报价。</w:t>
            </w:r>
          </w:p>
          <w:p w14:paraId="4681ECDB">
            <w:pPr>
              <w:numPr>
                <w:ilvl w:val="0"/>
                <w:numId w:val="3"/>
              </w:numPr>
              <w:spacing w:line="440" w:lineRule="exact"/>
              <w:rPr>
                <w:rFonts w:ascii="宋体" w:hAnsi="宋体" w:cs="宋体"/>
                <w:color w:val="auto"/>
                <w:szCs w:val="21"/>
                <w:highlight w:val="none"/>
                <w:lang w:val="zh-CN"/>
              </w:rPr>
            </w:pPr>
            <w:r>
              <w:rPr>
                <w:rFonts w:hint="eastAsia" w:ascii="宋体" w:hAnsi="宋体" w:cs="宋体"/>
                <w:color w:val="auto"/>
                <w:szCs w:val="21"/>
                <w:highlight w:val="none"/>
              </w:rPr>
              <w:t>报价要求：</w:t>
            </w:r>
            <w:r>
              <w:rPr>
                <w:rFonts w:hint="eastAsia" w:ascii="宋体" w:hAnsi="宋体" w:eastAsia="宋体" w:cs="宋体"/>
                <w:color w:val="auto"/>
                <w:sz w:val="21"/>
                <w:szCs w:val="21"/>
                <w:highlight w:val="none"/>
              </w:rPr>
              <w:t>本项目投标报价为含税人民币报价，包含保安人员基本工资、各类福利和补贴（如高温补贴、不含法定工作时间外的加班补贴、不含法定工作日午餐费）、社保（五险）以及各种保险），人员工作服、人员培训费、人员全年少量超时加班费、人员所使用作业工具等各类耗材费、管理费（含督查人员费用），利润，税金以及其他与本项目有关的一切费用。保安人员基本工资、高温补贴、社保（五险）等不得低于人社部门规定的最低标准及下表所示单个保安人员年度最低服务经费标准。</w:t>
            </w:r>
            <w:r>
              <w:rPr>
                <w:rFonts w:hint="eastAsia" w:ascii="宋体" w:hAnsi="宋体" w:cs="宋体"/>
                <w:color w:val="auto"/>
                <w:szCs w:val="21"/>
                <w:highlight w:val="none"/>
              </w:rPr>
              <w:t>。</w:t>
            </w:r>
          </w:p>
          <w:p w14:paraId="114D7F3E">
            <w:pPr>
              <w:numPr>
                <w:ilvl w:val="0"/>
                <w:numId w:val="3"/>
              </w:num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本项目采购预算人民币</w:t>
            </w:r>
            <w:r>
              <w:rPr>
                <w:rFonts w:hint="eastAsia" w:ascii="宋体" w:hAnsi="宋体" w:cs="宋体"/>
                <w:color w:val="auto"/>
                <w:szCs w:val="21"/>
                <w:highlight w:val="none"/>
                <w:lang w:eastAsia="zh-CN"/>
              </w:rPr>
              <w:t>880000</w:t>
            </w:r>
            <w:r>
              <w:rPr>
                <w:rFonts w:hint="eastAsia" w:ascii="宋体" w:hAnsi="宋体" w:cs="宋体"/>
                <w:color w:val="auto"/>
                <w:szCs w:val="21"/>
                <w:highlight w:val="none"/>
                <w:lang w:val="zh-CN"/>
              </w:rPr>
              <w:t>元。报价高于采购预算的作无效标处理。</w:t>
            </w:r>
          </w:p>
          <w:bookmarkEnd w:id="9"/>
          <w:p w14:paraId="0E886EFF">
            <w:pPr>
              <w:numPr>
                <w:ilvl w:val="0"/>
                <w:numId w:val="3"/>
              </w:numPr>
              <w:spacing w:line="440" w:lineRule="exact"/>
              <w:rPr>
                <w:rFonts w:ascii="宋体" w:hAnsi="宋体" w:cs="宋体"/>
                <w:color w:val="auto"/>
                <w:szCs w:val="21"/>
                <w:highlight w:val="none"/>
              </w:rPr>
            </w:pPr>
            <w:r>
              <w:rPr>
                <w:rFonts w:hint="eastAsia" w:ascii="宋体" w:hAnsi="宋体" w:cs="宋体"/>
                <w:color w:val="auto"/>
                <w:szCs w:val="21"/>
                <w:highlight w:val="none"/>
              </w:rPr>
              <w:t>不论成交结果如何，供应商均应自行承担所有与采购有关的全部费用。</w:t>
            </w:r>
          </w:p>
          <w:p w14:paraId="146379D4">
            <w:pPr>
              <w:numPr>
                <w:ilvl w:val="0"/>
                <w:numId w:val="3"/>
              </w:numPr>
              <w:spacing w:line="440" w:lineRule="exact"/>
              <w:rPr>
                <w:rFonts w:ascii="宋体" w:hAnsi="宋体" w:cs="宋体"/>
                <w:color w:val="auto"/>
                <w:szCs w:val="21"/>
                <w:highlight w:val="none"/>
              </w:rPr>
            </w:pPr>
            <w:r>
              <w:rPr>
                <w:rFonts w:hint="eastAsia" w:ascii="宋体" w:hAnsi="宋体" w:cs="宋体"/>
                <w:color w:val="auto"/>
                <w:szCs w:val="21"/>
                <w:highlight w:val="none"/>
              </w:rPr>
              <w:t>成交服务费：招标代理机构根据国家发改委发改办价格[2003]857号通知和国家计委计价格[2002]1980号文件规定的“服务类”招标费率标准</w:t>
            </w:r>
            <w:r>
              <w:rPr>
                <w:rFonts w:hint="eastAsia" w:ascii="宋体" w:hAnsi="宋体" w:cs="宋体"/>
                <w:color w:val="auto"/>
                <w:szCs w:val="21"/>
                <w:highlight w:val="none"/>
                <w:lang w:val="en-US" w:eastAsia="zh-CN"/>
              </w:rPr>
              <w:t>下浮20%</w:t>
            </w:r>
            <w:r>
              <w:rPr>
                <w:rFonts w:hint="eastAsia" w:ascii="宋体" w:hAnsi="宋体" w:cs="宋体"/>
                <w:color w:val="auto"/>
                <w:szCs w:val="21"/>
                <w:highlight w:val="none"/>
              </w:rPr>
              <w:t>，按中标总金额向确定成交人收取招标服务费。</w:t>
            </w:r>
          </w:p>
        </w:tc>
      </w:tr>
      <w:tr w14:paraId="14C591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36"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5A5B911E">
            <w:pPr>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3</w:t>
            </w:r>
          </w:p>
        </w:tc>
        <w:tc>
          <w:tcPr>
            <w:tcW w:w="8474" w:type="dxa"/>
            <w:tcBorders>
              <w:top w:val="single" w:color="auto" w:sz="4" w:space="0"/>
              <w:left w:val="single" w:color="auto" w:sz="4" w:space="0"/>
              <w:bottom w:val="single" w:color="auto" w:sz="4" w:space="0"/>
              <w:right w:val="single" w:color="auto" w:sz="4" w:space="0"/>
            </w:tcBorders>
            <w:vAlign w:val="center"/>
          </w:tcPr>
          <w:p w14:paraId="459D2A03">
            <w:pPr>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答疑与澄清：供应商如认为磋商文件表述不清晰、存在歧视性、排他性或者其他违法内容的，应知其权益受到损害之日起七个工作日内，以书面形式要求</w:t>
            </w:r>
            <w:r>
              <w:rPr>
                <w:rFonts w:hint="eastAsia" w:asciiTheme="majorEastAsia" w:hAnsiTheme="majorEastAsia" w:eastAsiaTheme="majorEastAsia"/>
                <w:color w:val="auto"/>
                <w:highlight w:val="none"/>
              </w:rPr>
              <w:t>采购人</w:t>
            </w:r>
            <w:r>
              <w:rPr>
                <w:rFonts w:asciiTheme="majorEastAsia" w:hAnsiTheme="majorEastAsia" w:eastAsiaTheme="majorEastAsia"/>
                <w:color w:val="auto"/>
                <w:highlight w:val="none"/>
              </w:rPr>
              <w:t>作出书面解释、澄清或者向</w:t>
            </w:r>
            <w:r>
              <w:rPr>
                <w:rFonts w:hint="eastAsia" w:asciiTheme="majorEastAsia" w:hAnsiTheme="majorEastAsia" w:eastAsiaTheme="majorEastAsia"/>
                <w:color w:val="auto"/>
                <w:highlight w:val="none"/>
              </w:rPr>
              <w:t>采购人</w:t>
            </w:r>
            <w:r>
              <w:rPr>
                <w:rFonts w:asciiTheme="majorEastAsia" w:hAnsiTheme="majorEastAsia" w:eastAsiaTheme="majorEastAsia"/>
                <w:color w:val="auto"/>
                <w:highlight w:val="none"/>
              </w:rPr>
              <w:t>提出书面质疑，逾期不予受理；</w:t>
            </w:r>
            <w:r>
              <w:rPr>
                <w:rFonts w:hint="eastAsia" w:asciiTheme="majorEastAsia" w:hAnsiTheme="majorEastAsia" w:eastAsiaTheme="majorEastAsia"/>
                <w:color w:val="auto"/>
                <w:highlight w:val="none"/>
              </w:rPr>
              <w:t>采购人</w:t>
            </w:r>
            <w:r>
              <w:rPr>
                <w:rFonts w:asciiTheme="majorEastAsia" w:hAnsiTheme="majorEastAsia" w:eastAsiaTheme="majorEastAsia"/>
                <w:color w:val="auto"/>
                <w:highlight w:val="none"/>
              </w:rPr>
              <w:t>不专门组织答疑；如有答疑，答疑内容是磋商文件的组成部分，</w:t>
            </w:r>
            <w:r>
              <w:rPr>
                <w:rFonts w:hint="eastAsia" w:asciiTheme="majorEastAsia" w:hAnsiTheme="majorEastAsia" w:eastAsiaTheme="majorEastAsia"/>
                <w:color w:val="auto"/>
                <w:highlight w:val="none"/>
              </w:rPr>
              <w:t>并将以公告形式发布于采购公告发布网站，请供应商自行查看。</w:t>
            </w:r>
          </w:p>
        </w:tc>
      </w:tr>
      <w:tr w14:paraId="44CBED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59"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0902574B">
            <w:pPr>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4</w:t>
            </w:r>
          </w:p>
        </w:tc>
        <w:tc>
          <w:tcPr>
            <w:tcW w:w="8474" w:type="dxa"/>
            <w:tcBorders>
              <w:top w:val="single" w:color="auto" w:sz="4" w:space="0"/>
              <w:left w:val="single" w:color="auto" w:sz="4" w:space="0"/>
              <w:bottom w:val="single" w:color="auto" w:sz="4" w:space="0"/>
              <w:right w:val="single" w:color="auto" w:sz="4" w:space="0"/>
            </w:tcBorders>
            <w:vAlign w:val="center"/>
          </w:tcPr>
          <w:p w14:paraId="665C3660">
            <w:pPr>
              <w:spacing w:line="440" w:lineRule="exac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响应文件组成与份数：</w:t>
            </w:r>
          </w:p>
          <w:p w14:paraId="14E82CE1">
            <w:pPr>
              <w:spacing w:line="440" w:lineRule="exact"/>
              <w:rPr>
                <w:rFonts w:asciiTheme="majorEastAsia" w:hAnsiTheme="majorEastAsia" w:eastAsiaTheme="majorEastAsia"/>
                <w:color w:val="auto"/>
                <w:highlight w:val="none"/>
              </w:rPr>
            </w:pPr>
            <w:r>
              <w:rPr>
                <w:rFonts w:asciiTheme="majorEastAsia" w:hAnsiTheme="majorEastAsia" w:eastAsiaTheme="majorEastAsia"/>
                <w:bCs/>
                <w:color w:val="auto"/>
                <w:highlight w:val="none"/>
              </w:rPr>
              <w:t>*</w:t>
            </w:r>
            <w:r>
              <w:rPr>
                <w:rFonts w:hint="eastAsia" w:asciiTheme="majorEastAsia" w:hAnsiTheme="majorEastAsia" w:eastAsiaTheme="majorEastAsia"/>
                <w:bCs/>
                <w:color w:val="auto"/>
                <w:highlight w:val="none"/>
              </w:rPr>
              <w:t>（1）</w:t>
            </w:r>
            <w:r>
              <w:rPr>
                <w:rFonts w:hint="eastAsia" w:asciiTheme="majorEastAsia" w:hAnsiTheme="majorEastAsia" w:eastAsiaTheme="majorEastAsia"/>
                <w:color w:val="auto"/>
                <w:highlight w:val="none"/>
              </w:rPr>
              <w:t>上传到政府采购云平台的电子响应文件（含资信技术文件、报价文件）1份。</w:t>
            </w:r>
          </w:p>
          <w:p w14:paraId="5A34D8B3">
            <w:pPr>
              <w:spacing w:line="440" w:lineRule="exact"/>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（2）以U盘存储的电子备份响应文件（含资信技术文件、报价文件）1份（自愿提供）。</w:t>
            </w:r>
          </w:p>
        </w:tc>
      </w:tr>
      <w:tr w14:paraId="2D6763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4319DC4A">
            <w:pPr>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b/>
                <w:color w:val="auto"/>
                <w:highlight w:val="none"/>
              </w:rPr>
              <w:t>*</w:t>
            </w:r>
            <w:r>
              <w:rPr>
                <w:rFonts w:asciiTheme="majorEastAsia" w:hAnsiTheme="majorEastAsia" w:eastAsiaTheme="majorEastAsia"/>
                <w:color w:val="auto"/>
                <w:highlight w:val="none"/>
              </w:rPr>
              <w:t>5</w:t>
            </w:r>
          </w:p>
        </w:tc>
        <w:tc>
          <w:tcPr>
            <w:tcW w:w="8474" w:type="dxa"/>
            <w:tcBorders>
              <w:top w:val="single" w:color="auto" w:sz="4" w:space="0"/>
              <w:left w:val="single" w:color="auto" w:sz="4" w:space="0"/>
              <w:bottom w:val="single" w:color="auto" w:sz="4" w:space="0"/>
              <w:right w:val="single" w:color="auto" w:sz="4" w:space="0"/>
            </w:tcBorders>
            <w:vAlign w:val="center"/>
          </w:tcPr>
          <w:p w14:paraId="4D7BA994">
            <w:pPr>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首次提交</w:t>
            </w:r>
            <w:r>
              <w:rPr>
                <w:rFonts w:hint="eastAsia" w:asciiTheme="majorEastAsia" w:hAnsiTheme="majorEastAsia" w:eastAsiaTheme="majorEastAsia"/>
                <w:color w:val="auto"/>
                <w:highlight w:val="none"/>
              </w:rPr>
              <w:t>（上传）</w:t>
            </w:r>
            <w:r>
              <w:rPr>
                <w:rFonts w:asciiTheme="majorEastAsia" w:hAnsiTheme="majorEastAsia" w:eastAsiaTheme="majorEastAsia"/>
                <w:color w:val="auto"/>
                <w:highlight w:val="none"/>
              </w:rPr>
              <w:t>响应文件截止时间和地点：详见第一章</w:t>
            </w:r>
          </w:p>
        </w:tc>
      </w:tr>
      <w:tr w14:paraId="210257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2DAAD0FC">
            <w:pPr>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b/>
                <w:color w:val="auto"/>
                <w:highlight w:val="none"/>
              </w:rPr>
              <w:t>*</w:t>
            </w:r>
            <w:r>
              <w:rPr>
                <w:rFonts w:asciiTheme="majorEastAsia" w:hAnsiTheme="majorEastAsia" w:eastAsiaTheme="majorEastAsia"/>
                <w:color w:val="auto"/>
                <w:highlight w:val="none"/>
              </w:rPr>
              <w:t>6</w:t>
            </w:r>
          </w:p>
        </w:tc>
        <w:tc>
          <w:tcPr>
            <w:tcW w:w="8474" w:type="dxa"/>
            <w:tcBorders>
              <w:top w:val="single" w:color="auto" w:sz="4" w:space="0"/>
              <w:left w:val="single" w:color="auto" w:sz="4" w:space="0"/>
              <w:bottom w:val="single" w:color="auto" w:sz="4" w:space="0"/>
              <w:right w:val="single" w:color="auto" w:sz="4" w:space="0"/>
            </w:tcBorders>
            <w:vAlign w:val="center"/>
          </w:tcPr>
          <w:p w14:paraId="0C2E6E29">
            <w:pPr>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首次提交</w:t>
            </w:r>
            <w:r>
              <w:rPr>
                <w:rFonts w:hint="eastAsia" w:asciiTheme="majorEastAsia" w:hAnsiTheme="majorEastAsia" w:eastAsiaTheme="majorEastAsia"/>
                <w:color w:val="auto"/>
                <w:highlight w:val="none"/>
              </w:rPr>
              <w:t>（上传）响应文件开启</w:t>
            </w:r>
            <w:r>
              <w:rPr>
                <w:rFonts w:asciiTheme="majorEastAsia" w:hAnsiTheme="majorEastAsia" w:eastAsiaTheme="majorEastAsia"/>
                <w:color w:val="auto"/>
                <w:highlight w:val="none"/>
              </w:rPr>
              <w:t>时间及地点：详见第一章</w:t>
            </w:r>
          </w:p>
        </w:tc>
      </w:tr>
      <w:tr w14:paraId="0C20DF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5A6A545B">
            <w:pPr>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7</w:t>
            </w:r>
          </w:p>
        </w:tc>
        <w:tc>
          <w:tcPr>
            <w:tcW w:w="8474" w:type="dxa"/>
            <w:tcBorders>
              <w:top w:val="single" w:color="auto" w:sz="4" w:space="0"/>
              <w:left w:val="single" w:color="auto" w:sz="4" w:space="0"/>
              <w:bottom w:val="single" w:color="auto" w:sz="4" w:space="0"/>
              <w:right w:val="single" w:color="auto" w:sz="4" w:space="0"/>
            </w:tcBorders>
            <w:vAlign w:val="center"/>
          </w:tcPr>
          <w:p w14:paraId="3861E218">
            <w:pPr>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评审办法及评审标准：详见第四章</w:t>
            </w:r>
          </w:p>
        </w:tc>
      </w:tr>
      <w:tr w14:paraId="4AA531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7899C19E">
            <w:pPr>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8</w:t>
            </w:r>
          </w:p>
        </w:tc>
        <w:tc>
          <w:tcPr>
            <w:tcW w:w="8474" w:type="dxa"/>
            <w:tcBorders>
              <w:top w:val="single" w:color="auto" w:sz="4" w:space="0"/>
              <w:left w:val="single" w:color="auto" w:sz="4" w:space="0"/>
              <w:bottom w:val="single" w:color="auto" w:sz="4" w:space="0"/>
              <w:right w:val="single" w:color="auto" w:sz="4" w:space="0"/>
            </w:tcBorders>
            <w:vAlign w:val="center"/>
          </w:tcPr>
          <w:p w14:paraId="5389CE03">
            <w:pPr>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成交结果公示网站：</w:t>
            </w:r>
            <w:r>
              <w:rPr>
                <w:rFonts w:hint="eastAsia" w:asciiTheme="majorEastAsia" w:hAnsiTheme="majorEastAsia" w:eastAsiaTheme="majorEastAsia"/>
                <w:color w:val="auto"/>
                <w:highlight w:val="none"/>
              </w:rPr>
              <w:t>评审结束后，</w:t>
            </w:r>
            <w:r>
              <w:rPr>
                <w:rFonts w:hint="eastAsia" w:cs="宋体" w:asciiTheme="majorEastAsia" w:hAnsiTheme="majorEastAsia" w:eastAsiaTheme="majorEastAsia"/>
                <w:color w:val="auto"/>
                <w:szCs w:val="21"/>
                <w:highlight w:val="none"/>
              </w:rPr>
              <w:t>经采购人确认，成交结果公示于采购</w:t>
            </w:r>
            <w:r>
              <w:rPr>
                <w:rFonts w:hint="eastAsia" w:asciiTheme="majorEastAsia" w:hAnsiTheme="majorEastAsia" w:eastAsiaTheme="majorEastAsia"/>
                <w:color w:val="auto"/>
                <w:highlight w:val="none"/>
              </w:rPr>
              <w:t>公告发布网站</w:t>
            </w:r>
          </w:p>
        </w:tc>
      </w:tr>
      <w:tr w14:paraId="260D98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7731E53F">
            <w:pPr>
              <w:spacing w:line="44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9</w:t>
            </w:r>
          </w:p>
        </w:tc>
        <w:tc>
          <w:tcPr>
            <w:tcW w:w="8474" w:type="dxa"/>
            <w:tcBorders>
              <w:top w:val="single" w:color="auto" w:sz="4" w:space="0"/>
              <w:left w:val="single" w:color="auto" w:sz="4" w:space="0"/>
              <w:bottom w:val="single" w:color="auto" w:sz="4" w:space="0"/>
              <w:right w:val="single" w:color="auto" w:sz="4" w:space="0"/>
            </w:tcBorders>
            <w:vAlign w:val="center"/>
          </w:tcPr>
          <w:p w14:paraId="6B8A9409">
            <w:pPr>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采购资金来源：</w:t>
            </w:r>
            <w:r>
              <w:rPr>
                <w:rFonts w:hint="eastAsia" w:asciiTheme="majorEastAsia" w:hAnsiTheme="majorEastAsia" w:eastAsiaTheme="majorEastAsia"/>
                <w:color w:val="auto"/>
                <w:highlight w:val="none"/>
              </w:rPr>
              <w:t>预算资金</w:t>
            </w:r>
          </w:p>
        </w:tc>
      </w:tr>
      <w:tr w14:paraId="78E417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58A1559D">
            <w:pPr>
              <w:spacing w:line="440" w:lineRule="exact"/>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1</w:t>
            </w:r>
            <w:r>
              <w:rPr>
                <w:rFonts w:hint="eastAsia" w:asciiTheme="majorEastAsia" w:hAnsiTheme="majorEastAsia" w:eastAsiaTheme="majorEastAsia"/>
                <w:color w:val="auto"/>
                <w:highlight w:val="none"/>
              </w:rPr>
              <w:t>0</w:t>
            </w:r>
          </w:p>
        </w:tc>
        <w:tc>
          <w:tcPr>
            <w:tcW w:w="8474" w:type="dxa"/>
            <w:tcBorders>
              <w:top w:val="single" w:color="auto" w:sz="4" w:space="0"/>
              <w:left w:val="single" w:color="auto" w:sz="4" w:space="0"/>
              <w:bottom w:val="single" w:color="auto" w:sz="4" w:space="0"/>
              <w:right w:val="single" w:color="auto" w:sz="4" w:space="0"/>
            </w:tcBorders>
            <w:vAlign w:val="center"/>
          </w:tcPr>
          <w:p w14:paraId="10EB4143">
            <w:pPr>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响应文件有效期：</w:t>
            </w:r>
            <w:r>
              <w:rPr>
                <w:rFonts w:asciiTheme="majorEastAsia" w:hAnsiTheme="majorEastAsia" w:eastAsiaTheme="majorEastAsia"/>
                <w:bCs/>
                <w:color w:val="auto"/>
                <w:szCs w:val="21"/>
                <w:highlight w:val="none"/>
              </w:rPr>
              <w:t>提交首次响应文件截止日起</w:t>
            </w:r>
            <w:r>
              <w:rPr>
                <w:rFonts w:hint="eastAsia" w:asciiTheme="majorEastAsia" w:hAnsiTheme="majorEastAsia" w:eastAsiaTheme="majorEastAsia"/>
                <w:color w:val="auto"/>
                <w:highlight w:val="none"/>
              </w:rPr>
              <w:t>90</w:t>
            </w:r>
            <w:r>
              <w:rPr>
                <w:rFonts w:asciiTheme="majorEastAsia" w:hAnsiTheme="majorEastAsia" w:eastAsiaTheme="majorEastAsia"/>
                <w:color w:val="auto"/>
                <w:highlight w:val="none"/>
              </w:rPr>
              <w:t>天</w:t>
            </w:r>
          </w:p>
        </w:tc>
      </w:tr>
      <w:tr w14:paraId="576BF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14:paraId="1C7DE73E">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8474" w:type="dxa"/>
            <w:vAlign w:val="center"/>
          </w:tcPr>
          <w:p w14:paraId="56529D16">
            <w:pPr>
              <w:adjustRightInd w:val="0"/>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履约保证金：无</w:t>
            </w:r>
          </w:p>
        </w:tc>
      </w:tr>
      <w:tr w14:paraId="44BAC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14:paraId="5DC0D673">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8474" w:type="dxa"/>
            <w:vAlign w:val="center"/>
          </w:tcPr>
          <w:p w14:paraId="490F1441">
            <w:pPr>
              <w:adjustRightInd w:val="0"/>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合同签订时间：成交通知书发出后</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0</w:t>
            </w:r>
            <w:r>
              <w:rPr>
                <w:rFonts w:hint="eastAsia" w:ascii="宋体" w:hAnsi="宋体" w:cs="宋体"/>
                <w:color w:val="auto"/>
                <w:szCs w:val="21"/>
                <w:highlight w:val="none"/>
              </w:rPr>
              <w:t>个工作日内</w:t>
            </w:r>
          </w:p>
        </w:tc>
      </w:tr>
      <w:tr w14:paraId="097DE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14:paraId="407F4406">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13</w:t>
            </w:r>
          </w:p>
        </w:tc>
        <w:tc>
          <w:tcPr>
            <w:tcW w:w="8474" w:type="dxa"/>
            <w:vAlign w:val="center"/>
          </w:tcPr>
          <w:p w14:paraId="01A810BA">
            <w:pPr>
              <w:adjustRightInd w:val="0"/>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合同地点：采购人指定地点</w:t>
            </w:r>
          </w:p>
        </w:tc>
      </w:tr>
      <w:tr w14:paraId="4782E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14:paraId="7CAE4468">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14</w:t>
            </w:r>
          </w:p>
        </w:tc>
        <w:tc>
          <w:tcPr>
            <w:tcW w:w="8474" w:type="dxa"/>
            <w:vAlign w:val="center"/>
          </w:tcPr>
          <w:p w14:paraId="11A5E04C">
            <w:pPr>
              <w:adjustRightInd w:val="0"/>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预付款：详见付款方式</w:t>
            </w:r>
          </w:p>
        </w:tc>
      </w:tr>
      <w:tr w14:paraId="1D17E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880" w:type="dxa"/>
            <w:vAlign w:val="center"/>
          </w:tcPr>
          <w:p w14:paraId="240143D4">
            <w:pPr>
              <w:adjustRightInd w:val="0"/>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15</w:t>
            </w:r>
          </w:p>
        </w:tc>
        <w:tc>
          <w:tcPr>
            <w:tcW w:w="8474" w:type="dxa"/>
            <w:vAlign w:val="center"/>
          </w:tcPr>
          <w:p w14:paraId="44EFE130">
            <w:pPr>
              <w:adjustRightInd w:val="0"/>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p w14:paraId="30186708">
            <w:pPr>
              <w:adjustRightInd w:val="0"/>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按月支付</w:t>
            </w:r>
            <w:r>
              <w:rPr>
                <w:rFonts w:hint="eastAsia" w:ascii="宋体" w:hAnsi="宋体" w:eastAsia="宋体" w:cs="宋体"/>
                <w:color w:val="auto"/>
                <w:szCs w:val="21"/>
                <w:highlight w:val="none"/>
              </w:rPr>
              <w:t>；</w:t>
            </w:r>
          </w:p>
          <w:p w14:paraId="07CDD1EF">
            <w:pPr>
              <w:adjustRightInd w:val="0"/>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2、当月服务经费与该月度考核结果挂钩，当月服务经费=年度总费用/12-该月度考核扣款。</w:t>
            </w:r>
          </w:p>
          <w:p w14:paraId="61C16818">
            <w:pPr>
              <w:adjustRightInd w:val="0"/>
              <w:snapToGrid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3、采购人于次月5日前向</w:t>
            </w:r>
            <w:r>
              <w:rPr>
                <w:rFonts w:hint="eastAsia" w:ascii="宋体" w:hAnsi="宋体" w:eastAsia="宋体" w:cs="宋体"/>
                <w:color w:val="auto"/>
                <w:szCs w:val="21"/>
                <w:highlight w:val="none"/>
                <w:lang w:eastAsia="zh-CN"/>
              </w:rPr>
              <w:t>成交人</w:t>
            </w:r>
            <w:r>
              <w:rPr>
                <w:rFonts w:hint="eastAsia" w:ascii="宋体" w:hAnsi="宋体" w:eastAsia="宋体" w:cs="宋体"/>
                <w:color w:val="auto"/>
                <w:szCs w:val="21"/>
                <w:highlight w:val="none"/>
              </w:rPr>
              <w:t>通知上月度考核结果及相应扣款，</w:t>
            </w:r>
            <w:r>
              <w:rPr>
                <w:rFonts w:hint="eastAsia" w:ascii="宋体" w:hAnsi="宋体" w:eastAsia="宋体" w:cs="宋体"/>
                <w:color w:val="auto"/>
                <w:szCs w:val="21"/>
                <w:highlight w:val="none"/>
                <w:lang w:eastAsia="zh-CN"/>
              </w:rPr>
              <w:t>成交人</w:t>
            </w:r>
            <w:r>
              <w:rPr>
                <w:rFonts w:hint="eastAsia" w:ascii="宋体" w:hAnsi="宋体" w:eastAsia="宋体" w:cs="宋体"/>
                <w:color w:val="auto"/>
                <w:szCs w:val="21"/>
                <w:highlight w:val="none"/>
              </w:rPr>
              <w:t>于5个工作日内，向采购人提交该月服务经费的等额发票，采购人收到发票后，核拨经费</w:t>
            </w:r>
            <w:r>
              <w:rPr>
                <w:rFonts w:hint="eastAsia" w:ascii="宋体" w:hAnsi="宋体" w:eastAsia="宋体" w:cs="宋体"/>
                <w:color w:val="auto"/>
                <w:szCs w:val="21"/>
                <w:highlight w:val="none"/>
                <w:lang w:eastAsia="zh-CN"/>
              </w:rPr>
              <w:t>。</w:t>
            </w:r>
          </w:p>
        </w:tc>
      </w:tr>
      <w:tr w14:paraId="4776B7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8"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3FE0BB12">
            <w:pPr>
              <w:spacing w:line="44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16</w:t>
            </w:r>
          </w:p>
        </w:tc>
        <w:tc>
          <w:tcPr>
            <w:tcW w:w="8474" w:type="dxa"/>
            <w:tcBorders>
              <w:top w:val="single" w:color="auto" w:sz="4" w:space="0"/>
              <w:left w:val="single" w:color="auto" w:sz="4" w:space="0"/>
              <w:bottom w:val="single" w:color="auto" w:sz="4" w:space="0"/>
              <w:right w:val="single" w:color="auto" w:sz="4" w:space="0"/>
            </w:tcBorders>
            <w:vAlign w:val="center"/>
          </w:tcPr>
          <w:p w14:paraId="52B84400">
            <w:pPr>
              <w:spacing w:line="440" w:lineRule="exact"/>
              <w:rPr>
                <w:rFonts w:asciiTheme="majorEastAsia" w:hAnsiTheme="majorEastAsia" w:eastAsiaTheme="majorEastAsia"/>
                <w:color w:val="auto"/>
                <w:highlight w:val="none"/>
              </w:rPr>
            </w:pPr>
            <w:r>
              <w:rPr>
                <w:rFonts w:asciiTheme="majorEastAsia" w:hAnsiTheme="majorEastAsia" w:eastAsiaTheme="majorEastAsia"/>
                <w:color w:val="auto"/>
                <w:highlight w:val="none"/>
              </w:rPr>
              <w:t>解释：本磋商文件的解释权属于</w:t>
            </w:r>
            <w:r>
              <w:rPr>
                <w:rFonts w:hint="eastAsia" w:asciiTheme="majorEastAsia" w:hAnsiTheme="majorEastAsia" w:eastAsiaTheme="majorEastAsia"/>
                <w:color w:val="auto"/>
                <w:highlight w:val="none"/>
              </w:rPr>
              <w:t>采购人和采购代理机构。</w:t>
            </w:r>
            <w:r>
              <w:rPr>
                <w:rFonts w:hint="eastAsia" w:ascii="宋体" w:hAnsi="宋体" w:cs="宋体"/>
                <w:color w:val="auto"/>
                <w:szCs w:val="21"/>
                <w:highlight w:val="none"/>
              </w:rPr>
              <w:t>项目名称、公告标题等不影响对项目性质的认定；构成本采购文件的各个组成文件应互为解释，互为说明；如有不明确或不一致，构成合同文件组成内容的，以合同文件约定内容为准，且以专用合同条款约定的合同文件优先顺序解释；除采购文件中有特别规定外，仅适用于磋商阶段的规定，按采购公告、供应商须知前附表、供应商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招标采购单位负责解释。</w:t>
            </w:r>
          </w:p>
        </w:tc>
      </w:tr>
    </w:tbl>
    <w:p w14:paraId="41D5FDA0">
      <w:pPr>
        <w:rPr>
          <w:rFonts w:asciiTheme="majorEastAsia" w:hAnsiTheme="majorEastAsia" w:eastAsiaTheme="majorEastAsia"/>
          <w:color w:val="auto"/>
          <w:highlight w:val="none"/>
        </w:rPr>
      </w:pPr>
    </w:p>
    <w:p w14:paraId="042D884B">
      <w:pPr>
        <w:rPr>
          <w:rFonts w:asciiTheme="majorEastAsia" w:hAnsiTheme="majorEastAsia" w:eastAsiaTheme="majorEastAsia"/>
          <w:color w:val="auto"/>
          <w:highlight w:val="none"/>
        </w:rPr>
      </w:pPr>
      <w:r>
        <w:rPr>
          <w:rFonts w:asciiTheme="majorEastAsia" w:hAnsiTheme="majorEastAsia" w:eastAsiaTheme="majorEastAsia"/>
          <w:color w:val="auto"/>
          <w:highlight w:val="none"/>
        </w:rPr>
        <w:br w:type="page"/>
      </w:r>
    </w:p>
    <w:p w14:paraId="19DF60E4">
      <w:pPr>
        <w:pStyle w:val="14"/>
        <w:widowControl w:val="0"/>
        <w:tabs>
          <w:tab w:val="clear" w:pos="454"/>
        </w:tabs>
        <w:spacing w:afterLines="0" w:line="360" w:lineRule="auto"/>
        <w:ind w:left="0" w:firstLine="0"/>
        <w:contextualSpacing/>
        <w:rPr>
          <w:rFonts w:asciiTheme="majorEastAsia" w:hAnsiTheme="majorEastAsia" w:eastAsiaTheme="majorEastAsia"/>
          <w:color w:val="auto"/>
          <w:sz w:val="21"/>
          <w:szCs w:val="21"/>
          <w:highlight w:val="none"/>
        </w:rPr>
      </w:pPr>
      <w:r>
        <w:rPr>
          <w:rFonts w:asciiTheme="majorEastAsia" w:hAnsiTheme="majorEastAsia" w:eastAsiaTheme="majorEastAsia"/>
          <w:b/>
          <w:color w:val="auto"/>
          <w:sz w:val="21"/>
          <w:szCs w:val="21"/>
          <w:highlight w:val="none"/>
        </w:rPr>
        <w:t>一</w:t>
      </w:r>
      <w:r>
        <w:rPr>
          <w:rFonts w:hint="eastAsia" w:asciiTheme="majorEastAsia" w:hAnsiTheme="majorEastAsia" w:eastAsiaTheme="majorEastAsia"/>
          <w:b/>
          <w:color w:val="auto"/>
          <w:sz w:val="21"/>
          <w:szCs w:val="21"/>
          <w:highlight w:val="none"/>
        </w:rPr>
        <w:t>、</w:t>
      </w:r>
      <w:r>
        <w:rPr>
          <w:rFonts w:asciiTheme="majorEastAsia" w:hAnsiTheme="majorEastAsia" w:eastAsiaTheme="majorEastAsia"/>
          <w:b/>
          <w:color w:val="auto"/>
          <w:sz w:val="21"/>
          <w:szCs w:val="21"/>
          <w:highlight w:val="none"/>
        </w:rPr>
        <w:t>总则</w:t>
      </w:r>
    </w:p>
    <w:p w14:paraId="5D72C525">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（一） 适用范围</w:t>
      </w:r>
    </w:p>
    <w:p w14:paraId="7346B842">
      <w:pPr>
        <w:pStyle w:val="25"/>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本磋商文件适用于</w:t>
      </w:r>
      <w:r>
        <w:rPr>
          <w:rFonts w:hint="eastAsia" w:asciiTheme="majorEastAsia" w:hAnsiTheme="majorEastAsia" w:eastAsiaTheme="majorEastAsia"/>
          <w:color w:val="auto"/>
          <w:highlight w:val="none"/>
          <w:lang w:eastAsia="zh-CN"/>
        </w:rPr>
        <w:t>海曙区横街镇校园保安服务</w:t>
      </w:r>
      <w:r>
        <w:rPr>
          <w:rFonts w:asciiTheme="majorEastAsia" w:hAnsiTheme="majorEastAsia" w:eastAsiaTheme="majorEastAsia"/>
          <w:color w:val="auto"/>
          <w:highlight w:val="none"/>
        </w:rPr>
        <w:t>的磋商公告、响应、评审、验收、合同履约、付款等行为（法律、法规另有规定的，从其规定）。</w:t>
      </w:r>
    </w:p>
    <w:p w14:paraId="03CCC8A8">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（二）定义</w:t>
      </w:r>
    </w:p>
    <w:p w14:paraId="302142BD">
      <w:pPr>
        <w:pStyle w:val="25"/>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1.“采购</w:t>
      </w:r>
      <w:r>
        <w:rPr>
          <w:rFonts w:hint="eastAsia" w:asciiTheme="majorEastAsia" w:hAnsiTheme="majorEastAsia" w:eastAsiaTheme="majorEastAsia"/>
          <w:color w:val="auto"/>
          <w:highlight w:val="none"/>
        </w:rPr>
        <w:t>人</w:t>
      </w:r>
      <w:r>
        <w:rPr>
          <w:rFonts w:asciiTheme="majorEastAsia" w:hAnsiTheme="majorEastAsia" w:eastAsiaTheme="majorEastAsia"/>
          <w:color w:val="auto"/>
          <w:highlight w:val="none"/>
        </w:rPr>
        <w:t>”系指组织本次磋商的</w:t>
      </w:r>
      <w:r>
        <w:rPr>
          <w:rFonts w:hint="eastAsia" w:asciiTheme="majorEastAsia" w:hAnsiTheme="majorEastAsia" w:eastAsiaTheme="majorEastAsia"/>
          <w:color w:val="auto"/>
          <w:highlight w:val="none"/>
        </w:rPr>
        <w:t>“</w:t>
      </w:r>
      <w:r>
        <w:rPr>
          <w:rFonts w:hint="eastAsia" w:asciiTheme="majorEastAsia" w:hAnsiTheme="majorEastAsia" w:eastAsiaTheme="majorEastAsia"/>
          <w:color w:val="auto"/>
          <w:highlight w:val="none"/>
          <w:lang w:eastAsia="zh-CN"/>
        </w:rPr>
        <w:t>宁波市海曙区横街镇人民政府</w:t>
      </w:r>
      <w:r>
        <w:rPr>
          <w:rFonts w:hint="eastAsia" w:asciiTheme="majorEastAsia" w:hAnsiTheme="majorEastAsia" w:eastAsiaTheme="majorEastAsia"/>
          <w:color w:val="auto"/>
          <w:highlight w:val="none"/>
        </w:rPr>
        <w:t>”</w:t>
      </w:r>
      <w:r>
        <w:rPr>
          <w:rFonts w:asciiTheme="majorEastAsia" w:hAnsiTheme="majorEastAsia" w:eastAsiaTheme="majorEastAsia"/>
          <w:color w:val="auto"/>
          <w:highlight w:val="none"/>
        </w:rPr>
        <w:t>。</w:t>
      </w:r>
    </w:p>
    <w:p w14:paraId="39A3DC3C">
      <w:pPr>
        <w:pStyle w:val="25"/>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2.“供应商”系指向</w:t>
      </w:r>
      <w:r>
        <w:rPr>
          <w:rFonts w:hint="eastAsia" w:asciiTheme="majorEastAsia" w:hAnsiTheme="majorEastAsia" w:eastAsiaTheme="majorEastAsia"/>
          <w:color w:val="auto"/>
          <w:highlight w:val="none"/>
        </w:rPr>
        <w:t>采购人</w:t>
      </w:r>
      <w:r>
        <w:rPr>
          <w:rFonts w:asciiTheme="majorEastAsia" w:hAnsiTheme="majorEastAsia" w:eastAsiaTheme="majorEastAsia"/>
          <w:color w:val="auto"/>
          <w:highlight w:val="none"/>
        </w:rPr>
        <w:t>提交响应文件的单位或个人。</w:t>
      </w:r>
    </w:p>
    <w:p w14:paraId="417689CF">
      <w:pPr>
        <w:spacing w:line="360" w:lineRule="auto"/>
        <w:ind w:firstLine="420" w:firstLineChars="200"/>
        <w:contextualSpacing/>
        <w:jc w:val="lef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3.“服务”系指磋商文件规定供应商须承担的与本项目相关的服务。</w:t>
      </w:r>
    </w:p>
    <w:p w14:paraId="39BD572A">
      <w:pPr>
        <w:pStyle w:val="25"/>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4.“项目”系指</w:t>
      </w:r>
      <w:r>
        <w:rPr>
          <w:rFonts w:hint="eastAsia" w:asciiTheme="majorEastAsia" w:hAnsiTheme="majorEastAsia" w:eastAsiaTheme="majorEastAsia"/>
          <w:color w:val="auto"/>
          <w:highlight w:val="none"/>
          <w:lang w:eastAsia="zh-CN"/>
        </w:rPr>
        <w:t>海曙区横街镇校园保安服务</w:t>
      </w:r>
      <w:r>
        <w:rPr>
          <w:rFonts w:asciiTheme="majorEastAsia" w:hAnsiTheme="majorEastAsia" w:eastAsiaTheme="majorEastAsia"/>
          <w:color w:val="auto"/>
          <w:highlight w:val="none"/>
        </w:rPr>
        <w:t>。</w:t>
      </w:r>
    </w:p>
    <w:p w14:paraId="1D8909AF">
      <w:pPr>
        <w:pStyle w:val="25"/>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5.“书面形式”包括信函、传真、电报等。</w:t>
      </w:r>
    </w:p>
    <w:p w14:paraId="347EBBC0">
      <w:pPr>
        <w:pStyle w:val="25"/>
        <w:spacing w:beforeLines="0" w:afterLines="0" w:line="360" w:lineRule="auto"/>
        <w:ind w:firstLine="422" w:firstLineChars="200"/>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6.“*”系指实质性要求条款，</w:t>
      </w:r>
      <w:r>
        <w:rPr>
          <w:rFonts w:asciiTheme="majorEastAsia" w:hAnsiTheme="majorEastAsia" w:eastAsiaTheme="majorEastAsia"/>
          <w:color w:val="auto"/>
          <w:highlight w:val="none"/>
        </w:rPr>
        <w:t>供应商的响应对任何带“*”号的重要商务和技术条款的</w:t>
      </w:r>
      <w:r>
        <w:rPr>
          <w:rFonts w:hint="eastAsia" w:asciiTheme="majorEastAsia" w:hAnsiTheme="majorEastAsia" w:eastAsiaTheme="majorEastAsia"/>
          <w:color w:val="auto"/>
          <w:highlight w:val="none"/>
        </w:rPr>
        <w:t>负</w:t>
      </w:r>
      <w:r>
        <w:rPr>
          <w:rFonts w:asciiTheme="majorEastAsia" w:hAnsiTheme="majorEastAsia" w:eastAsiaTheme="majorEastAsia"/>
          <w:color w:val="auto"/>
          <w:highlight w:val="none"/>
        </w:rPr>
        <w:t>偏离和未作实质性响应都将直接导致响应文件无效</w:t>
      </w:r>
      <w:r>
        <w:rPr>
          <w:rFonts w:asciiTheme="majorEastAsia" w:hAnsiTheme="majorEastAsia" w:eastAsiaTheme="majorEastAsia"/>
          <w:b/>
          <w:color w:val="auto"/>
          <w:highlight w:val="none"/>
        </w:rPr>
        <w:t>。</w:t>
      </w:r>
    </w:p>
    <w:p w14:paraId="5AFFD3DB">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（三）采购方式</w:t>
      </w:r>
    </w:p>
    <w:p w14:paraId="00ADAB13">
      <w:pPr>
        <w:pStyle w:val="25"/>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本次采购采用竞争性磋商方式进行。</w:t>
      </w:r>
    </w:p>
    <w:p w14:paraId="5CF87858">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（四）磋商委托</w:t>
      </w:r>
    </w:p>
    <w:p w14:paraId="495B626B">
      <w:pPr>
        <w:pStyle w:val="25"/>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供应商代表须携带有效身份证件。如供应商代表不是法定代表人（负责人），须有法定代表人（负责人）出具的授权委托书（响应文件正本用原件，格式见第六章）。</w:t>
      </w:r>
    </w:p>
    <w:p w14:paraId="2812B362">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（五）磋商费用</w:t>
      </w:r>
    </w:p>
    <w:p w14:paraId="0B9360E0">
      <w:pPr>
        <w:pStyle w:val="25"/>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不论采购结果如何，供应商均应自行承担所有与采购有关的全部费用（磋商文件有相关规定除外）。</w:t>
      </w:r>
    </w:p>
    <w:p w14:paraId="4345A535">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（六）联合体</w:t>
      </w:r>
      <w:r>
        <w:rPr>
          <w:rFonts w:hint="eastAsia" w:asciiTheme="majorEastAsia" w:hAnsiTheme="majorEastAsia" w:eastAsiaTheme="majorEastAsia"/>
          <w:b/>
          <w:color w:val="auto"/>
          <w:sz w:val="21"/>
          <w:szCs w:val="21"/>
          <w:highlight w:val="none"/>
        </w:rPr>
        <w:t>磋商</w:t>
      </w:r>
    </w:p>
    <w:p w14:paraId="053F0D72">
      <w:pPr>
        <w:pStyle w:val="25"/>
        <w:spacing w:beforeLines="0" w:afterLines="0" w:line="360" w:lineRule="auto"/>
        <w:ind w:firstLine="420" w:firstLineChars="200"/>
        <w:contextualSpacing/>
        <w:rPr>
          <w:rFonts w:asciiTheme="majorEastAsia" w:hAnsiTheme="majorEastAsia" w:eastAsiaTheme="majorEastAsia"/>
          <w:bCs/>
          <w:color w:val="auto"/>
          <w:highlight w:val="none"/>
        </w:rPr>
      </w:pPr>
      <w:r>
        <w:rPr>
          <w:rFonts w:asciiTheme="majorEastAsia" w:hAnsiTheme="majorEastAsia" w:eastAsiaTheme="majorEastAsia"/>
          <w:bCs/>
          <w:color w:val="auto"/>
          <w:highlight w:val="none"/>
        </w:rPr>
        <w:t>本项目</w:t>
      </w:r>
      <w:r>
        <w:rPr>
          <w:rFonts w:hint="eastAsia" w:asciiTheme="majorEastAsia" w:hAnsiTheme="majorEastAsia" w:eastAsiaTheme="majorEastAsia"/>
          <w:bCs/>
          <w:color w:val="auto"/>
          <w:highlight w:val="none"/>
        </w:rPr>
        <w:t>不</w:t>
      </w:r>
      <w:r>
        <w:rPr>
          <w:rFonts w:asciiTheme="majorEastAsia" w:hAnsiTheme="majorEastAsia" w:eastAsiaTheme="majorEastAsia"/>
          <w:bCs/>
          <w:color w:val="auto"/>
          <w:highlight w:val="none"/>
        </w:rPr>
        <w:t>接受联合体</w:t>
      </w:r>
      <w:r>
        <w:rPr>
          <w:rFonts w:hint="eastAsia" w:asciiTheme="majorEastAsia" w:hAnsiTheme="majorEastAsia" w:eastAsiaTheme="majorEastAsia"/>
          <w:bCs/>
          <w:color w:val="auto"/>
          <w:highlight w:val="none"/>
        </w:rPr>
        <w:t>参加磋商活动</w:t>
      </w:r>
      <w:r>
        <w:rPr>
          <w:rFonts w:asciiTheme="majorEastAsia" w:hAnsiTheme="majorEastAsia" w:eastAsiaTheme="majorEastAsia"/>
          <w:bCs/>
          <w:color w:val="auto"/>
          <w:highlight w:val="none"/>
        </w:rPr>
        <w:t>。</w:t>
      </w:r>
    </w:p>
    <w:p w14:paraId="5416CADD">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bCs/>
          <w:color w:val="auto"/>
          <w:sz w:val="21"/>
          <w:szCs w:val="21"/>
          <w:highlight w:val="none"/>
        </w:rPr>
      </w:pPr>
      <w:r>
        <w:rPr>
          <w:rFonts w:asciiTheme="majorEastAsia" w:hAnsiTheme="majorEastAsia" w:eastAsiaTheme="majorEastAsia"/>
          <w:b/>
          <w:bCs/>
          <w:color w:val="auto"/>
          <w:sz w:val="21"/>
          <w:szCs w:val="21"/>
          <w:highlight w:val="none"/>
        </w:rPr>
        <w:t>（七）转包与分包</w:t>
      </w:r>
    </w:p>
    <w:p w14:paraId="6D317613">
      <w:pPr>
        <w:pStyle w:val="25"/>
        <w:spacing w:beforeLines="0" w:afterLines="0" w:line="360" w:lineRule="auto"/>
        <w:ind w:firstLine="420" w:firstLineChars="200"/>
        <w:contextualSpacing/>
        <w:rPr>
          <w:rFonts w:asciiTheme="majorEastAsia" w:hAnsiTheme="majorEastAsia" w:eastAsiaTheme="majorEastAsia"/>
          <w:bCs/>
          <w:color w:val="auto"/>
          <w:highlight w:val="none"/>
        </w:rPr>
      </w:pPr>
      <w:r>
        <w:rPr>
          <w:rFonts w:asciiTheme="majorEastAsia" w:hAnsiTheme="majorEastAsia" w:eastAsiaTheme="majorEastAsia"/>
          <w:bCs/>
          <w:color w:val="auto"/>
          <w:highlight w:val="none"/>
        </w:rPr>
        <w:t>本项目不允许转包，未经采购人同意，不得分包。</w:t>
      </w:r>
    </w:p>
    <w:p w14:paraId="260DCF15">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（八）特别说明：</w:t>
      </w:r>
    </w:p>
    <w:p w14:paraId="7942FC54">
      <w:pPr>
        <w:pStyle w:val="25"/>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*1.供应商应仔细阅读磋商文件的所有内容，按照磋商文件的要求提交响应文件，并对所提供的全部资料的真实性承担法律责任。</w:t>
      </w:r>
    </w:p>
    <w:p w14:paraId="7EB6DF69">
      <w:pPr>
        <w:pStyle w:val="25"/>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*2.供应商在采购活动中提供任何虚假材料,其响应文件无效，并报监管部门查处；成交后发现的,</w:t>
      </w:r>
      <w:r>
        <w:rPr>
          <w:rFonts w:hint="eastAsia" w:asciiTheme="majorEastAsia" w:hAnsiTheme="majorEastAsia" w:eastAsiaTheme="majorEastAsia"/>
          <w:color w:val="auto"/>
          <w:highlight w:val="none"/>
        </w:rPr>
        <w:t>取消成交资格，对采购人造成的损失由供应商负责</w:t>
      </w:r>
      <w:r>
        <w:rPr>
          <w:rFonts w:asciiTheme="majorEastAsia" w:hAnsiTheme="majorEastAsia" w:eastAsiaTheme="majorEastAsia"/>
          <w:color w:val="auto"/>
          <w:highlight w:val="none"/>
        </w:rPr>
        <w:t>。</w:t>
      </w:r>
    </w:p>
    <w:p w14:paraId="017E4E84">
      <w:pPr>
        <w:pStyle w:val="25"/>
        <w:spacing w:beforeLines="0" w:afterLines="0" w:line="360" w:lineRule="auto"/>
        <w:ind w:firstLine="413" w:firstLineChars="196"/>
        <w:contextualSpacing/>
        <w:rPr>
          <w:rFonts w:asciiTheme="majorEastAsia" w:hAnsiTheme="majorEastAsia" w:eastAsiaTheme="majorEastAsia"/>
          <w:b/>
          <w:bCs/>
          <w:color w:val="auto"/>
          <w:highlight w:val="none"/>
        </w:rPr>
      </w:pPr>
      <w:bookmarkStart w:id="10" w:name="_Toc14318"/>
      <w:bookmarkStart w:id="11" w:name="_Toc13650"/>
      <w:r>
        <w:rPr>
          <w:rFonts w:hint="eastAsia" w:asciiTheme="majorEastAsia" w:hAnsiTheme="majorEastAsia" w:eastAsiaTheme="majorEastAsia"/>
          <w:b/>
          <w:bCs/>
          <w:color w:val="auto"/>
          <w:highlight w:val="none"/>
        </w:rPr>
        <w:t>*</w:t>
      </w:r>
      <w:r>
        <w:rPr>
          <w:rFonts w:asciiTheme="majorEastAsia" w:hAnsiTheme="majorEastAsia" w:eastAsiaTheme="majorEastAsia"/>
          <w:b/>
          <w:bCs/>
          <w:color w:val="auto"/>
          <w:highlight w:val="none"/>
        </w:rPr>
        <w:t>（九）关于分公司参加磋商</w:t>
      </w:r>
    </w:p>
    <w:p w14:paraId="076FA0B7">
      <w:pPr>
        <w:pStyle w:val="25"/>
        <w:spacing w:beforeLines="0" w:afterLines="0" w:line="360" w:lineRule="auto"/>
        <w:ind w:firstLine="411" w:firstLineChars="196"/>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除银行、保险、石油石化、电力、电信、移动、联通等行业外，不允许</w:t>
      </w:r>
      <w:r>
        <w:rPr>
          <w:rFonts w:hint="eastAsia" w:asciiTheme="majorEastAsia" w:hAnsiTheme="majorEastAsia" w:eastAsiaTheme="majorEastAsia"/>
          <w:color w:val="auto"/>
          <w:highlight w:val="none"/>
        </w:rPr>
        <w:t>其他</w:t>
      </w:r>
      <w:r>
        <w:rPr>
          <w:rFonts w:asciiTheme="majorEastAsia" w:hAnsiTheme="majorEastAsia" w:eastAsiaTheme="majorEastAsia"/>
          <w:color w:val="auto"/>
          <w:highlight w:val="none"/>
        </w:rPr>
        <w:t>分公司参加本次采购活动。</w:t>
      </w:r>
      <w:r>
        <w:rPr>
          <w:rFonts w:hint="eastAsia" w:asciiTheme="majorEastAsia" w:hAnsiTheme="majorEastAsia" w:eastAsiaTheme="majorEastAsia"/>
          <w:color w:val="auto"/>
          <w:highlight w:val="none"/>
        </w:rPr>
        <w:t>分公司参加的，需提供总公司营业执照及授权书，如为复印件需加盖公章。</w:t>
      </w:r>
    </w:p>
    <w:p w14:paraId="4EDCAC22">
      <w:pPr>
        <w:pStyle w:val="25"/>
        <w:spacing w:beforeLines="0" w:afterLines="0" w:line="360" w:lineRule="auto"/>
        <w:ind w:firstLine="413" w:firstLineChars="196"/>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（十）关于知识产权</w:t>
      </w:r>
    </w:p>
    <w:p w14:paraId="7FF7D25E">
      <w:pPr>
        <w:spacing w:line="360" w:lineRule="auto"/>
        <w:ind w:firstLine="420" w:firstLineChars="200"/>
        <w:contextualSpacing/>
        <w:jc w:val="left"/>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1、供应商必须保证，采购人在中华人民共和国境内使用磋商货物、资料、技术、服务或其任何一部分时，享有不受限制的无偿使用权，如有第三方向采购人提出侵犯其专利权、商标权或其它知识产权的主张，该责任应由供应商承担。</w:t>
      </w:r>
    </w:p>
    <w:p w14:paraId="70673324">
      <w:pPr>
        <w:spacing w:line="360" w:lineRule="auto"/>
        <w:ind w:firstLine="420" w:firstLineChars="200"/>
        <w:contextualSpacing/>
        <w:jc w:val="left"/>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2、总报价应包含所有应向所有权人支付的专利权、商标权或其它知识产权的一切相关费用。</w:t>
      </w:r>
    </w:p>
    <w:p w14:paraId="3787AF4F">
      <w:pPr>
        <w:pStyle w:val="14"/>
        <w:widowControl w:val="0"/>
        <w:tabs>
          <w:tab w:val="clear" w:pos="454"/>
        </w:tabs>
        <w:spacing w:afterLines="0" w:line="360" w:lineRule="auto"/>
        <w:ind w:left="0" w:firstLine="411" w:firstLineChars="196"/>
        <w:contextualSpacing/>
        <w:rPr>
          <w:rFonts w:asciiTheme="majorEastAsia" w:hAnsiTheme="majorEastAsia" w:eastAsiaTheme="majorEastAsia"/>
          <w:color w:val="auto"/>
          <w:highlight w:val="none"/>
        </w:rPr>
      </w:pPr>
      <w:r>
        <w:rPr>
          <w:rFonts w:asciiTheme="majorEastAsia" w:hAnsiTheme="majorEastAsia" w:eastAsiaTheme="majorEastAsia"/>
          <w:bCs/>
          <w:color w:val="auto"/>
          <w:sz w:val="21"/>
          <w:szCs w:val="21"/>
          <w:highlight w:val="none"/>
        </w:rPr>
        <w:t>3、系统软件、通用软件必须是具有在中国境内的合法使用权或版权的正版软件，涉及到第三方提出侵权或知识产权的起诉及支付版税等费用由供应商承担所有责任及费用。</w:t>
      </w:r>
      <w:bookmarkEnd w:id="10"/>
      <w:bookmarkEnd w:id="11"/>
    </w:p>
    <w:p w14:paraId="54346947">
      <w:pPr>
        <w:pStyle w:val="14"/>
        <w:widowControl w:val="0"/>
        <w:tabs>
          <w:tab w:val="clear" w:pos="454"/>
        </w:tabs>
        <w:spacing w:afterLines="0" w:line="360" w:lineRule="auto"/>
        <w:ind w:left="0" w:firstLine="0"/>
        <w:contextualSpacing/>
        <w:rPr>
          <w:rFonts w:asciiTheme="majorEastAsia" w:hAnsiTheme="majorEastAsia" w:eastAsiaTheme="majorEastAsia"/>
          <w:b/>
          <w:color w:val="auto"/>
          <w:sz w:val="21"/>
          <w:szCs w:val="21"/>
          <w:highlight w:val="none"/>
        </w:rPr>
      </w:pPr>
    </w:p>
    <w:p w14:paraId="1C5DED3F">
      <w:pPr>
        <w:pStyle w:val="14"/>
        <w:widowControl w:val="0"/>
        <w:tabs>
          <w:tab w:val="clear" w:pos="454"/>
        </w:tabs>
        <w:spacing w:afterLines="0" w:line="360" w:lineRule="auto"/>
        <w:ind w:left="0" w:firstLine="0"/>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二</w:t>
      </w:r>
      <w:r>
        <w:rPr>
          <w:rFonts w:hint="eastAsia" w:asciiTheme="majorEastAsia" w:hAnsiTheme="majorEastAsia" w:eastAsiaTheme="majorEastAsia"/>
          <w:b/>
          <w:color w:val="auto"/>
          <w:sz w:val="21"/>
          <w:szCs w:val="21"/>
          <w:highlight w:val="none"/>
        </w:rPr>
        <w:t>、</w:t>
      </w:r>
      <w:r>
        <w:rPr>
          <w:rFonts w:asciiTheme="majorEastAsia" w:hAnsiTheme="majorEastAsia" w:eastAsiaTheme="majorEastAsia"/>
          <w:b/>
          <w:color w:val="auto"/>
          <w:sz w:val="21"/>
          <w:szCs w:val="21"/>
          <w:highlight w:val="none"/>
        </w:rPr>
        <w:t>磋商文件</w:t>
      </w:r>
    </w:p>
    <w:p w14:paraId="77DC038D">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（一）磋商文件的构成。本磋商文件由以下部分组成：</w:t>
      </w:r>
    </w:p>
    <w:p w14:paraId="05A9F779">
      <w:pPr>
        <w:pStyle w:val="25"/>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1.竞争性磋商采购公告</w:t>
      </w:r>
    </w:p>
    <w:p w14:paraId="6AF411E9">
      <w:pPr>
        <w:pStyle w:val="25"/>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2.采购需求</w:t>
      </w:r>
    </w:p>
    <w:p w14:paraId="4A55AA89">
      <w:pPr>
        <w:pStyle w:val="25"/>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3.供应商须知</w:t>
      </w:r>
    </w:p>
    <w:p w14:paraId="65822D44">
      <w:pPr>
        <w:pStyle w:val="25"/>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4.评审办法及标准</w:t>
      </w:r>
    </w:p>
    <w:p w14:paraId="3DA2FF6A">
      <w:pPr>
        <w:pStyle w:val="25"/>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5.合同主要条款</w:t>
      </w:r>
    </w:p>
    <w:p w14:paraId="09A731A9">
      <w:pPr>
        <w:pStyle w:val="25"/>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6.响应文件格式</w:t>
      </w:r>
    </w:p>
    <w:p w14:paraId="5A11F9E5">
      <w:pPr>
        <w:pStyle w:val="25"/>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7.本项目磋商文件的澄清、答复、修改、补充的内容</w:t>
      </w:r>
    </w:p>
    <w:p w14:paraId="7C818295">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（二）供应商的风险</w:t>
      </w:r>
    </w:p>
    <w:p w14:paraId="6C29B42F">
      <w:pPr>
        <w:pStyle w:val="25"/>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供应商没有按照磋商文件要求提供全部资料，或者供应商没有对磋商文件在各方面作出实质性响应是供应商的风险，并可能导致其响应文件被拒绝。</w:t>
      </w:r>
    </w:p>
    <w:p w14:paraId="673FA401">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 xml:space="preserve">（三）磋商文件的澄清与修改 </w:t>
      </w:r>
    </w:p>
    <w:p w14:paraId="64812EC2">
      <w:pPr>
        <w:pStyle w:val="38"/>
        <w:snapToGrid/>
        <w:spacing w:line="360" w:lineRule="auto"/>
        <w:ind w:firstLine="420"/>
        <w:contextualSpacing/>
        <w:rPr>
          <w:rFonts w:asciiTheme="majorEastAsia" w:hAnsiTheme="majorEastAsia" w:eastAsiaTheme="majorEastAsia"/>
          <w:color w:val="auto"/>
          <w:highlight w:val="none"/>
        </w:rPr>
      </w:pPr>
      <w:r>
        <w:rPr>
          <w:rFonts w:asciiTheme="majorEastAsia" w:hAnsiTheme="majorEastAsia" w:eastAsiaTheme="majorEastAsia"/>
          <w:bCs/>
          <w:color w:val="auto"/>
          <w:sz w:val="21"/>
          <w:szCs w:val="21"/>
          <w:highlight w:val="none"/>
        </w:rPr>
        <w:t>1、提交首次响应文件截止之日前，采购人、采购代理机构可以对已发出的磋商文件进行必要的澄清或修改，澄清或修改的内容作为磋商文件的组成部分。澄清或修改的内容可能影响响应文件编制的，采购人、采购代理机构应当在提交首次响应文件截止时间至少5日前，</w:t>
      </w:r>
      <w:r>
        <w:rPr>
          <w:rFonts w:hint="eastAsia" w:asciiTheme="majorEastAsia" w:hAnsiTheme="majorEastAsia" w:eastAsiaTheme="majorEastAsia"/>
          <w:bCs/>
          <w:color w:val="auto"/>
          <w:sz w:val="21"/>
          <w:szCs w:val="21"/>
          <w:highlight w:val="none"/>
        </w:rPr>
        <w:t>以公告形式发布于采购公告发布网站，请供应商自行查看。</w:t>
      </w:r>
      <w:r>
        <w:rPr>
          <w:rFonts w:asciiTheme="majorEastAsia" w:hAnsiTheme="majorEastAsia" w:eastAsiaTheme="majorEastAsia"/>
          <w:bCs/>
          <w:color w:val="auto"/>
          <w:sz w:val="21"/>
          <w:szCs w:val="21"/>
          <w:highlight w:val="none"/>
        </w:rPr>
        <w:t>不足5日的，采购人、采购代理机构应当顺延提交首次响应文件截止时间。</w:t>
      </w:r>
    </w:p>
    <w:p w14:paraId="10F6A723">
      <w:pPr>
        <w:pStyle w:val="25"/>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2、供应商在规定的时间内未对磋商文件提出疑问、质疑或要求澄清的，将视其为无异议。对磋商文件中描述有歧义或前后不一致的地方，磋商小组有权进行评判，但对同一条款的评判应适用于每个供应商。</w:t>
      </w:r>
    </w:p>
    <w:p w14:paraId="4349F23C">
      <w:pPr>
        <w:pStyle w:val="14"/>
        <w:widowControl w:val="0"/>
        <w:tabs>
          <w:tab w:val="clear" w:pos="454"/>
        </w:tabs>
        <w:spacing w:afterLines="0" w:line="360" w:lineRule="auto"/>
        <w:contextualSpacing/>
        <w:rPr>
          <w:rFonts w:asciiTheme="majorEastAsia" w:hAnsiTheme="majorEastAsia" w:eastAsiaTheme="majorEastAsia"/>
          <w:b/>
          <w:color w:val="auto"/>
          <w:sz w:val="21"/>
          <w:szCs w:val="21"/>
          <w:highlight w:val="none"/>
        </w:rPr>
      </w:pPr>
    </w:p>
    <w:p w14:paraId="41FF0F9A">
      <w:pPr>
        <w:pStyle w:val="14"/>
        <w:widowControl w:val="0"/>
        <w:tabs>
          <w:tab w:val="clear" w:pos="454"/>
        </w:tabs>
        <w:spacing w:afterLines="0" w:line="360" w:lineRule="auto"/>
        <w:ind w:left="0" w:firstLine="0"/>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三、响应文件的编制</w:t>
      </w:r>
    </w:p>
    <w:p w14:paraId="23CECEBD">
      <w:pPr>
        <w:spacing w:line="360" w:lineRule="auto"/>
        <w:ind w:left="238" w:firstLine="105" w:firstLineChars="50"/>
        <w:contextualSpacing/>
        <w:rPr>
          <w:rFonts w:asciiTheme="majorEastAsia" w:hAnsiTheme="majorEastAsia" w:eastAsiaTheme="majorEastAsia"/>
          <w:b/>
          <w:color w:val="auto"/>
          <w:szCs w:val="21"/>
          <w:highlight w:val="none"/>
        </w:rPr>
      </w:pPr>
      <w:bookmarkStart w:id="12" w:name="_Toc16622"/>
      <w:r>
        <w:rPr>
          <w:rFonts w:hint="eastAsia" w:cs="宋体" w:asciiTheme="majorEastAsia" w:hAnsiTheme="majorEastAsia" w:eastAsiaTheme="majorEastAsia"/>
          <w:b/>
          <w:color w:val="auto"/>
          <w:szCs w:val="21"/>
          <w:highlight w:val="none"/>
        </w:rPr>
        <w:t>（一）</w:t>
      </w:r>
      <w:r>
        <w:rPr>
          <w:rFonts w:hint="eastAsia" w:asciiTheme="majorEastAsia" w:hAnsiTheme="majorEastAsia" w:eastAsiaTheme="majorEastAsia"/>
          <w:b/>
          <w:color w:val="auto"/>
          <w:szCs w:val="21"/>
          <w:highlight w:val="none"/>
        </w:rPr>
        <w:t>响应文件的形式和效力</w:t>
      </w:r>
    </w:p>
    <w:p w14:paraId="66DAC495">
      <w:pPr>
        <w:spacing w:line="360" w:lineRule="auto"/>
        <w:ind w:firstLine="420" w:firstLineChars="200"/>
        <w:contextualSpacing/>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1、响应文件分为电子响应文件以及备份响应文件（自愿提供），备份响应文件为以介质存储的数据电文形式的备份响应文件。</w:t>
      </w:r>
    </w:p>
    <w:p w14:paraId="129FD68C">
      <w:pPr>
        <w:spacing w:line="360" w:lineRule="auto"/>
        <w:ind w:firstLine="420" w:firstLineChars="200"/>
        <w:contextualSpacing/>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2、电子响应文件，按“政采云供应商项目采购-电子招投标操作指南”及本采购文件要求制作、加密并递交。</w:t>
      </w:r>
    </w:p>
    <w:p w14:paraId="30F64A21">
      <w:pPr>
        <w:spacing w:line="360" w:lineRule="auto"/>
        <w:ind w:firstLine="420" w:firstLineChars="200"/>
        <w:contextualSpacing/>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3、以介质存储的数据电文形式的备份响应文件，即电子响应文件按“政采云供应商项目采购-电子招投标操作指南”制作的备份文件。</w:t>
      </w:r>
    </w:p>
    <w:p w14:paraId="49956428">
      <w:pPr>
        <w:spacing w:line="360" w:lineRule="auto"/>
        <w:ind w:firstLine="420" w:firstLineChars="200"/>
        <w:contextualSpacing/>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4、响应文件的效力</w:t>
      </w:r>
    </w:p>
    <w:p w14:paraId="1BD2D6DD">
      <w:pPr>
        <w:spacing w:line="360" w:lineRule="auto"/>
        <w:ind w:firstLine="420" w:firstLineChars="200"/>
        <w:contextualSpacing/>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响应文件的启用，按先后顺位分别为电子响应文件、以介质存储的数据电文形式的备份文件。在下一顺位的响应文件启用时，前一顺位的响应文件自动失效。</w:t>
      </w:r>
    </w:p>
    <w:p w14:paraId="0F28A4FB">
      <w:pPr>
        <w:spacing w:line="360" w:lineRule="auto"/>
        <w:ind w:firstLine="411" w:firstLineChars="196"/>
        <w:contextualSpacing/>
        <w:jc w:val="left"/>
        <w:rPr>
          <w:rFonts w:cs="宋体" w:asciiTheme="majorEastAsia" w:hAnsiTheme="majorEastAsia" w:eastAsiaTheme="majorEastAsia"/>
          <w:b/>
          <w:color w:val="auto"/>
          <w:szCs w:val="21"/>
          <w:highlight w:val="none"/>
        </w:rPr>
      </w:pPr>
      <w:r>
        <w:rPr>
          <w:rFonts w:hint="eastAsia" w:asciiTheme="majorEastAsia" w:hAnsiTheme="majorEastAsia" w:eastAsiaTheme="majorEastAsia"/>
          <w:color w:val="auto"/>
          <w:highlight w:val="none"/>
        </w:rPr>
        <w:t>响应文件未按时解密，供应商提供了备份响应文件的，以备份响应文件作为依据，否则视为响应文件撤回。响应文件已按时解密的，备份响应文件自动失效。</w:t>
      </w:r>
    </w:p>
    <w:p w14:paraId="1990793D">
      <w:pPr>
        <w:spacing w:line="360" w:lineRule="auto"/>
        <w:ind w:firstLine="413" w:firstLineChars="196"/>
        <w:contextualSpacing/>
        <w:jc w:val="left"/>
        <w:rPr>
          <w:rFonts w:cs="宋体" w:asciiTheme="majorEastAsia" w:hAnsiTheme="majorEastAsia" w:eastAsiaTheme="majorEastAsia"/>
          <w:b/>
          <w:color w:val="auto"/>
          <w:szCs w:val="21"/>
          <w:highlight w:val="none"/>
        </w:rPr>
      </w:pPr>
      <w:r>
        <w:rPr>
          <w:rFonts w:hint="eastAsia" w:cs="宋体" w:asciiTheme="majorEastAsia" w:hAnsiTheme="majorEastAsia" w:eastAsiaTheme="majorEastAsia"/>
          <w:b/>
          <w:color w:val="auto"/>
          <w:szCs w:val="21"/>
          <w:highlight w:val="none"/>
        </w:rPr>
        <w:t>（二）响应文件的组成</w:t>
      </w:r>
      <w:bookmarkEnd w:id="12"/>
    </w:p>
    <w:p w14:paraId="54204D0D">
      <w:pPr>
        <w:spacing w:line="360" w:lineRule="auto"/>
        <w:ind w:firstLine="411" w:firstLineChars="196"/>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响应文件由资信技术文件和报价文件组成（</w:t>
      </w:r>
      <w:r>
        <w:rPr>
          <w:rFonts w:hint="eastAsia" w:asciiTheme="majorEastAsia" w:hAnsiTheme="majorEastAsia" w:eastAsiaTheme="majorEastAsia"/>
          <w:b/>
          <w:bCs/>
          <w:color w:val="auto"/>
          <w:highlight w:val="none"/>
        </w:rPr>
        <w:t>电子响应文件中所须加盖公章部分均采用CA签章</w:t>
      </w:r>
      <w:r>
        <w:rPr>
          <w:rFonts w:hint="eastAsia" w:cs="宋体" w:asciiTheme="majorEastAsia" w:hAnsiTheme="majorEastAsia" w:eastAsiaTheme="majorEastAsia"/>
          <w:color w:val="auto"/>
          <w:szCs w:val="21"/>
          <w:highlight w:val="none"/>
        </w:rPr>
        <w:t>）。</w:t>
      </w:r>
    </w:p>
    <w:p w14:paraId="5CA5EB60">
      <w:pPr>
        <w:spacing w:line="360" w:lineRule="auto"/>
        <w:ind w:firstLine="413" w:firstLineChars="196"/>
        <w:contextualSpacing/>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1.资信技术文件：</w:t>
      </w:r>
    </w:p>
    <w:p w14:paraId="35E9F862">
      <w:pPr>
        <w:spacing w:line="360" w:lineRule="auto"/>
        <w:ind w:left="400"/>
        <w:contextualSpacing/>
        <w:jc w:val="left"/>
        <w:rPr>
          <w:rFonts w:asciiTheme="majorEastAsia" w:hAnsiTheme="majorEastAsia" w:eastAsiaTheme="majorEastAsia"/>
          <w:color w:val="auto"/>
          <w:szCs w:val="21"/>
          <w:highlight w:val="none"/>
        </w:rPr>
      </w:pPr>
      <w:r>
        <w:rPr>
          <w:rFonts w:hint="eastAsia" w:asciiTheme="majorEastAsia" w:hAnsiTheme="majorEastAsia" w:eastAsiaTheme="majorEastAsia"/>
          <w:b/>
          <w:bCs/>
          <w:color w:val="auto"/>
          <w:szCs w:val="21"/>
          <w:highlight w:val="none"/>
        </w:rPr>
        <w:t>1.1资格证明文件：</w:t>
      </w:r>
    </w:p>
    <w:p w14:paraId="439E2940">
      <w:pPr>
        <w:spacing w:line="360" w:lineRule="auto"/>
        <w:ind w:firstLine="420" w:firstLineChars="200"/>
        <w:contextualSpacing/>
        <w:jc w:val="left"/>
        <w:rPr>
          <w:rFonts w:asciiTheme="majorEastAsia" w:hAnsiTheme="majorEastAsia" w:eastAsiaTheme="majorEastAsia"/>
          <w:b/>
          <w:color w:val="auto"/>
          <w:szCs w:val="21"/>
          <w:highlight w:val="none"/>
        </w:rPr>
      </w:pPr>
      <w:r>
        <w:rPr>
          <w:rFonts w:hint="eastAsia" w:asciiTheme="majorEastAsia" w:hAnsiTheme="majorEastAsia" w:eastAsiaTheme="majorEastAsia"/>
          <w:color w:val="auto"/>
          <w:szCs w:val="21"/>
          <w:highlight w:val="none"/>
        </w:rPr>
        <w:t>（1）资格条件自查表</w:t>
      </w:r>
    </w:p>
    <w:p w14:paraId="2C670598">
      <w:pPr>
        <w:spacing w:line="360" w:lineRule="auto"/>
        <w:ind w:left="400"/>
        <w:contextualSpacing/>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（2）供应商资格声明函（格式附后）；</w:t>
      </w:r>
    </w:p>
    <w:p w14:paraId="0AD39D61">
      <w:pPr>
        <w:spacing w:line="360" w:lineRule="auto"/>
        <w:ind w:left="400"/>
        <w:contextualSpacing/>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（3）提供有效的营业执照副本原件扫描件或者电子营业执照加盖供应商公章；响应供应商如果有名称变更的，应提供由行政主管部门出具的变更证明文件；</w:t>
      </w:r>
    </w:p>
    <w:p w14:paraId="2306F440">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lang w:val="en-US" w:eastAsia="zh-CN"/>
        </w:rPr>
        <w:t>4</w:t>
      </w:r>
      <w:r>
        <w:rPr>
          <w:rFonts w:hint="eastAsia" w:asciiTheme="majorEastAsia" w:hAnsiTheme="majorEastAsia" w:eastAsiaTheme="majorEastAsia"/>
          <w:color w:val="auto"/>
          <w:szCs w:val="21"/>
          <w:highlight w:val="none"/>
        </w:rPr>
        <w:t>）本项目专门面向中小企业采购（监狱企业及残疾人福利性单位视同小型、微型企业）</w:t>
      </w:r>
    </w:p>
    <w:p w14:paraId="77338BF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①中小企业声明函（如是，请提供。格式附后）；</w:t>
      </w:r>
    </w:p>
    <w:p w14:paraId="7A0D9D4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②供应商为监狱企业的证明文件：省级以上监狱管理局、戒毒管理局（含新疆生产建设兵团）出具（如是，请提供</w:t>
      </w:r>
      <w:r>
        <w:rPr>
          <w:rFonts w:hint="eastAsia" w:asciiTheme="majorEastAsia" w:hAnsiTheme="majorEastAsia" w:eastAsiaTheme="majorEastAsia"/>
          <w:color w:val="auto"/>
          <w:szCs w:val="21"/>
          <w:highlight w:val="none"/>
          <w:lang w:eastAsia="zh-CN"/>
        </w:rPr>
        <w:t>。</w:t>
      </w:r>
      <w:r>
        <w:rPr>
          <w:rFonts w:hint="eastAsia" w:asciiTheme="majorEastAsia" w:hAnsiTheme="majorEastAsia" w:eastAsiaTheme="majorEastAsia"/>
          <w:color w:val="auto"/>
          <w:szCs w:val="21"/>
          <w:highlight w:val="none"/>
        </w:rPr>
        <w:t>）；</w:t>
      </w:r>
    </w:p>
    <w:p w14:paraId="431E235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00" w:leftChars="0"/>
        <w:contextualSpacing/>
        <w:jc w:val="left"/>
        <w:textAlignment w:val="auto"/>
        <w:outlineLvl w:val="9"/>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 xml:space="preserve">③残疾人福利性单位声明函（如是，请提供。格式附后）。 </w:t>
      </w:r>
    </w:p>
    <w:p w14:paraId="74DCA2F4">
      <w:pPr>
        <w:spacing w:line="360" w:lineRule="auto"/>
        <w:ind w:left="400"/>
        <w:contextualSpacing/>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（5）供应商特定资格条件的证明文件：</w:t>
      </w:r>
      <w:r>
        <w:rPr>
          <w:rFonts w:hint="eastAsia" w:asciiTheme="majorEastAsia" w:hAnsiTheme="majorEastAsia" w:eastAsiaTheme="majorEastAsia"/>
          <w:color w:val="auto"/>
          <w:szCs w:val="21"/>
          <w:highlight w:val="none"/>
          <w:lang w:val="zh-CN"/>
        </w:rPr>
        <w:t>有效的公安部门核准颁发的保安服务许可证</w:t>
      </w:r>
      <w:r>
        <w:rPr>
          <w:rFonts w:hint="eastAsia" w:asciiTheme="majorEastAsia" w:hAnsiTheme="majorEastAsia" w:eastAsiaTheme="majorEastAsia"/>
          <w:color w:val="auto"/>
          <w:szCs w:val="21"/>
          <w:highlight w:val="none"/>
        </w:rPr>
        <w:t>复印件；</w:t>
      </w:r>
    </w:p>
    <w:p w14:paraId="146F7AED">
      <w:pPr>
        <w:spacing w:line="360" w:lineRule="auto"/>
        <w:ind w:firstLine="420" w:firstLineChars="200"/>
        <w:contextualSpacing/>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（6）磋商文件要求的其他资格条件证明材料（如有）</w:t>
      </w:r>
    </w:p>
    <w:p w14:paraId="7EB7E532">
      <w:pPr>
        <w:spacing w:line="360" w:lineRule="auto"/>
        <w:ind w:firstLine="422" w:firstLineChars="200"/>
        <w:contextualSpacing/>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2.2其他资信技术文件：</w:t>
      </w:r>
    </w:p>
    <w:p w14:paraId="44CB845E">
      <w:pPr>
        <w:tabs>
          <w:tab w:val="left" w:pos="720"/>
        </w:tabs>
        <w:spacing w:line="348" w:lineRule="auto"/>
        <w:ind w:firstLine="420" w:firstLineChars="200"/>
        <w:textAlignment w:val="baseline"/>
        <w:rPr>
          <w:rFonts w:ascii="宋体" w:hAnsi="宋体" w:cs="宋体"/>
          <w:bCs/>
          <w:color w:val="auto"/>
          <w:szCs w:val="21"/>
          <w:highlight w:val="none"/>
        </w:rPr>
      </w:pPr>
      <w:r>
        <w:rPr>
          <w:rFonts w:hint="eastAsia" w:ascii="宋体" w:hAnsi="宋体" w:cs="宋体"/>
          <w:bCs/>
          <w:color w:val="auto"/>
          <w:szCs w:val="21"/>
          <w:highlight w:val="none"/>
        </w:rPr>
        <w:t>（1）符合性自查表（格式附后）；</w:t>
      </w:r>
    </w:p>
    <w:p w14:paraId="5D98CFCC">
      <w:pPr>
        <w:tabs>
          <w:tab w:val="left" w:pos="720"/>
        </w:tabs>
        <w:spacing w:line="348" w:lineRule="auto"/>
        <w:ind w:firstLine="420" w:firstLineChars="200"/>
        <w:textAlignment w:val="baseline"/>
        <w:rPr>
          <w:rFonts w:ascii="宋体" w:hAnsi="宋体" w:cs="宋体"/>
          <w:bCs/>
          <w:color w:val="auto"/>
          <w:szCs w:val="21"/>
          <w:highlight w:val="none"/>
        </w:rPr>
      </w:pPr>
      <w:r>
        <w:rPr>
          <w:rFonts w:hint="eastAsia" w:ascii="宋体" w:hAnsi="宋体" w:cs="宋体"/>
          <w:bCs/>
          <w:color w:val="auto"/>
          <w:szCs w:val="21"/>
          <w:highlight w:val="none"/>
        </w:rPr>
        <w:t>（2）响应函（格式附后）；</w:t>
      </w:r>
    </w:p>
    <w:p w14:paraId="49A2DA30">
      <w:pPr>
        <w:tabs>
          <w:tab w:val="left" w:pos="720"/>
        </w:tabs>
        <w:spacing w:line="348" w:lineRule="auto"/>
        <w:ind w:firstLine="420" w:firstLineChars="200"/>
        <w:textAlignment w:val="baseline"/>
        <w:rPr>
          <w:rFonts w:ascii="宋体" w:hAnsi="宋体" w:cs="宋体"/>
          <w:bCs/>
          <w:color w:val="auto"/>
          <w:szCs w:val="21"/>
          <w:highlight w:val="none"/>
        </w:rPr>
      </w:pPr>
      <w:r>
        <w:rPr>
          <w:rFonts w:hint="eastAsia" w:ascii="宋体" w:hAnsi="宋体" w:cs="宋体"/>
          <w:bCs/>
          <w:color w:val="auto"/>
          <w:szCs w:val="21"/>
          <w:highlight w:val="none"/>
        </w:rPr>
        <w:t>（3）法定代表人身份证明及法定代表人授权委托书（如为法定代表人参加磋商，则只需提供法定代表人身份证明，格式附后）；</w:t>
      </w:r>
    </w:p>
    <w:p w14:paraId="1E3EBE48">
      <w:pPr>
        <w:tabs>
          <w:tab w:val="left" w:pos="720"/>
        </w:tabs>
        <w:spacing w:line="348" w:lineRule="auto"/>
        <w:ind w:firstLine="420" w:firstLineChars="200"/>
        <w:textAlignment w:val="baseline"/>
        <w:rPr>
          <w:rFonts w:ascii="宋体" w:hAnsi="宋体" w:cs="宋体"/>
          <w:bCs/>
          <w:color w:val="auto"/>
          <w:szCs w:val="21"/>
          <w:highlight w:val="none"/>
        </w:rPr>
      </w:pPr>
      <w:r>
        <w:rPr>
          <w:rFonts w:hint="eastAsia" w:ascii="宋体" w:hAnsi="宋体" w:cs="宋体"/>
          <w:bCs/>
          <w:color w:val="auto"/>
          <w:szCs w:val="21"/>
          <w:highlight w:val="none"/>
        </w:rPr>
        <w:t>（4）磋商声明书</w:t>
      </w:r>
    </w:p>
    <w:p w14:paraId="18DFCE45">
      <w:pPr>
        <w:tabs>
          <w:tab w:val="left" w:pos="720"/>
        </w:tabs>
        <w:spacing w:line="348" w:lineRule="auto"/>
        <w:ind w:firstLine="420" w:firstLineChars="200"/>
        <w:textAlignment w:val="baseline"/>
        <w:rPr>
          <w:rFonts w:ascii="宋体" w:hAnsi="宋体" w:cs="宋体"/>
          <w:bCs/>
          <w:color w:val="auto"/>
          <w:szCs w:val="21"/>
          <w:highlight w:val="none"/>
        </w:rPr>
      </w:pPr>
      <w:r>
        <w:rPr>
          <w:rFonts w:hint="eastAsia" w:ascii="宋体" w:hAnsi="宋体" w:cs="宋体"/>
          <w:bCs/>
          <w:color w:val="auto"/>
          <w:szCs w:val="21"/>
          <w:highlight w:val="none"/>
        </w:rPr>
        <w:t>（5）采购需求响应（偏离）表；</w:t>
      </w:r>
    </w:p>
    <w:p w14:paraId="6A0AD6A7">
      <w:pPr>
        <w:tabs>
          <w:tab w:val="left" w:pos="720"/>
        </w:tabs>
        <w:spacing w:line="348" w:lineRule="auto"/>
        <w:ind w:firstLine="420" w:firstLineChars="200"/>
        <w:textAlignment w:val="baseline"/>
        <w:rPr>
          <w:rFonts w:ascii="宋体" w:hAnsi="宋体" w:cs="宋体"/>
          <w:bCs/>
          <w:color w:val="auto"/>
          <w:szCs w:val="21"/>
          <w:highlight w:val="none"/>
        </w:rPr>
      </w:pPr>
      <w:r>
        <w:rPr>
          <w:rFonts w:hint="eastAsia" w:ascii="宋体" w:hAnsi="宋体" w:cs="宋体"/>
          <w:bCs/>
          <w:color w:val="auto"/>
          <w:szCs w:val="21"/>
          <w:highlight w:val="none"/>
        </w:rPr>
        <w:t>（6）技术部分：针对本项目项目需求和评审标准中的条款拟定完整方案，格式自拟；</w:t>
      </w:r>
    </w:p>
    <w:p w14:paraId="63C95D9B">
      <w:pPr>
        <w:tabs>
          <w:tab w:val="left" w:pos="720"/>
        </w:tabs>
        <w:spacing w:line="348" w:lineRule="auto"/>
        <w:ind w:firstLine="420" w:firstLineChars="200"/>
        <w:textAlignment w:val="baseline"/>
        <w:rPr>
          <w:rFonts w:ascii="宋体" w:hAnsi="宋体" w:cs="宋体"/>
          <w:bCs/>
          <w:color w:val="auto"/>
          <w:szCs w:val="21"/>
          <w:highlight w:val="none"/>
        </w:rPr>
      </w:pPr>
      <w:r>
        <w:rPr>
          <w:rFonts w:hint="eastAsia" w:ascii="宋体" w:hAnsi="宋体" w:cs="宋体"/>
          <w:bCs/>
          <w:color w:val="auto"/>
          <w:szCs w:val="21"/>
          <w:highlight w:val="none"/>
        </w:rPr>
        <w:t>（7）业绩一览表（格式附后）；</w:t>
      </w:r>
    </w:p>
    <w:p w14:paraId="38E0786F">
      <w:pPr>
        <w:tabs>
          <w:tab w:val="left" w:pos="720"/>
        </w:tabs>
        <w:spacing w:line="348" w:lineRule="auto"/>
        <w:ind w:firstLine="420" w:firstLineChars="200"/>
        <w:textAlignment w:val="baseline"/>
        <w:rPr>
          <w:rFonts w:ascii="宋体" w:hAnsi="宋体" w:cs="宋体"/>
          <w:bCs/>
          <w:color w:val="auto"/>
          <w:szCs w:val="21"/>
          <w:highlight w:val="none"/>
        </w:rPr>
      </w:pPr>
      <w:r>
        <w:rPr>
          <w:rFonts w:hint="eastAsia" w:ascii="宋体" w:hAnsi="宋体" w:cs="宋体"/>
          <w:bCs/>
          <w:color w:val="auto"/>
          <w:szCs w:val="21"/>
          <w:highlight w:val="none"/>
        </w:rPr>
        <w:t>（8）政府采购领域商业贿赂行为承诺书（格式附后）</w:t>
      </w:r>
    </w:p>
    <w:p w14:paraId="3F28992F">
      <w:pPr>
        <w:tabs>
          <w:tab w:val="left" w:pos="720"/>
        </w:tabs>
        <w:spacing w:line="348" w:lineRule="auto"/>
        <w:ind w:firstLine="420" w:firstLineChars="200"/>
        <w:textAlignment w:val="baseline"/>
        <w:rPr>
          <w:rFonts w:ascii="宋体" w:hAnsi="宋体" w:cs="宋体"/>
          <w:bCs/>
          <w:color w:val="auto"/>
          <w:szCs w:val="21"/>
          <w:highlight w:val="none"/>
        </w:rPr>
      </w:pPr>
      <w:r>
        <w:rPr>
          <w:rFonts w:hint="eastAsia" w:ascii="宋体" w:hAnsi="宋体" w:cs="宋体"/>
          <w:bCs/>
          <w:color w:val="auto"/>
          <w:szCs w:val="21"/>
          <w:highlight w:val="none"/>
        </w:rPr>
        <w:t>（9）评审标准要求提供的其他资料；</w:t>
      </w:r>
    </w:p>
    <w:p w14:paraId="26E540F9">
      <w:pPr>
        <w:spacing w:line="360" w:lineRule="auto"/>
        <w:ind w:firstLine="420" w:firstLineChars="200"/>
        <w:contextualSpacing/>
        <w:jc w:val="left"/>
        <w:rPr>
          <w:rFonts w:asciiTheme="majorEastAsia" w:hAnsiTheme="majorEastAsia" w:eastAsiaTheme="majorEastAsia"/>
          <w:color w:val="auto"/>
          <w:szCs w:val="21"/>
          <w:highlight w:val="none"/>
        </w:rPr>
      </w:pPr>
      <w:r>
        <w:rPr>
          <w:rFonts w:hint="eastAsia" w:ascii="宋体" w:hAnsi="宋体" w:cs="宋体"/>
          <w:bCs/>
          <w:color w:val="auto"/>
          <w:szCs w:val="21"/>
          <w:highlight w:val="none"/>
        </w:rPr>
        <w:t>（10）供应商认为有需要提供的其它有关证明资料。</w:t>
      </w:r>
    </w:p>
    <w:p w14:paraId="5B8F2846">
      <w:pPr>
        <w:spacing w:line="360" w:lineRule="auto"/>
        <w:ind w:firstLine="422" w:firstLineChars="200"/>
        <w:contextualSpacing/>
        <w:jc w:val="left"/>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2.报价文件：</w:t>
      </w:r>
    </w:p>
    <w:p w14:paraId="7599773C">
      <w:pPr>
        <w:spacing w:line="360" w:lineRule="auto"/>
        <w:ind w:firstLine="420" w:firstLineChars="200"/>
        <w:contextualSpacing/>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（1）初次报价表</w:t>
      </w:r>
      <w:r>
        <w:rPr>
          <w:rFonts w:asciiTheme="majorEastAsia" w:hAnsiTheme="majorEastAsia" w:eastAsiaTheme="majorEastAsia"/>
          <w:color w:val="auto"/>
          <w:szCs w:val="21"/>
          <w:highlight w:val="none"/>
        </w:rPr>
        <w:t>（格式附后）；</w:t>
      </w:r>
    </w:p>
    <w:p w14:paraId="49F36AFB">
      <w:pPr>
        <w:spacing w:line="360" w:lineRule="auto"/>
        <w:ind w:firstLine="420" w:firstLineChars="200"/>
        <w:contextualSpacing/>
        <w:jc w:val="lef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rPr>
        <w:t>2</w:t>
      </w:r>
      <w:r>
        <w:rPr>
          <w:rFonts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rPr>
        <w:t>报价明细表（格式自拟）；</w:t>
      </w:r>
    </w:p>
    <w:p w14:paraId="0B4D133A">
      <w:pPr>
        <w:spacing w:line="360" w:lineRule="auto"/>
        <w:ind w:firstLine="420" w:firstLineChars="200"/>
        <w:contextualSpacing/>
        <w:jc w:val="lef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（3）中小企业声明函（如是，格式附后）</w:t>
      </w:r>
    </w:p>
    <w:p w14:paraId="58D3B475">
      <w:pPr>
        <w:spacing w:line="360" w:lineRule="auto"/>
        <w:ind w:firstLine="420" w:firstLineChars="200"/>
        <w:contextualSpacing/>
        <w:jc w:val="lef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w:t>
      </w:r>
      <w:r>
        <w:rPr>
          <w:rFonts w:hint="eastAsia" w:asciiTheme="majorEastAsia" w:hAnsiTheme="majorEastAsia" w:eastAsiaTheme="majorEastAsia"/>
          <w:color w:val="auto"/>
          <w:szCs w:val="21"/>
          <w:highlight w:val="none"/>
        </w:rPr>
        <w:t>4</w:t>
      </w:r>
      <w:r>
        <w:rPr>
          <w:rFonts w:asciiTheme="majorEastAsia" w:hAnsiTheme="majorEastAsia" w:eastAsiaTheme="majorEastAsia"/>
          <w:color w:val="auto"/>
          <w:szCs w:val="21"/>
          <w:highlight w:val="none"/>
        </w:rPr>
        <w:t>）供应商针对报价需要说明的其他文件和说明（格式自拟）。</w:t>
      </w:r>
    </w:p>
    <w:p w14:paraId="3B9F46E3">
      <w:pPr>
        <w:spacing w:line="360" w:lineRule="auto"/>
        <w:ind w:firstLine="413" w:firstLineChars="196"/>
        <w:contextualSpacing/>
        <w:jc w:val="left"/>
        <w:rPr>
          <w:rFonts w:asciiTheme="majorEastAsia" w:hAnsiTheme="majorEastAsia" w:eastAsiaTheme="majorEastAsia"/>
          <w:b/>
          <w:color w:val="auto"/>
          <w:szCs w:val="21"/>
          <w:highlight w:val="none"/>
        </w:rPr>
      </w:pPr>
      <w:bookmarkStart w:id="13" w:name="_Toc10734"/>
      <w:r>
        <w:rPr>
          <w:rFonts w:asciiTheme="majorEastAsia" w:hAnsiTheme="majorEastAsia" w:eastAsiaTheme="majorEastAsia"/>
          <w:b/>
          <w:color w:val="auto"/>
          <w:szCs w:val="21"/>
          <w:highlight w:val="none"/>
        </w:rPr>
        <w:t>（</w:t>
      </w:r>
      <w:r>
        <w:rPr>
          <w:rFonts w:hint="eastAsia" w:asciiTheme="majorEastAsia" w:hAnsiTheme="majorEastAsia" w:eastAsiaTheme="majorEastAsia"/>
          <w:b/>
          <w:color w:val="auto"/>
          <w:szCs w:val="21"/>
          <w:highlight w:val="none"/>
        </w:rPr>
        <w:t>三</w:t>
      </w:r>
      <w:r>
        <w:rPr>
          <w:rFonts w:asciiTheme="majorEastAsia" w:hAnsiTheme="majorEastAsia" w:eastAsiaTheme="majorEastAsia"/>
          <w:b/>
          <w:color w:val="auto"/>
          <w:szCs w:val="21"/>
          <w:highlight w:val="none"/>
        </w:rPr>
        <w:t>）响应文件的语言及计量</w:t>
      </w:r>
      <w:bookmarkEnd w:id="13"/>
    </w:p>
    <w:p w14:paraId="6162D0BC">
      <w:pPr>
        <w:spacing w:line="360" w:lineRule="auto"/>
        <w:ind w:firstLine="422" w:firstLineChars="200"/>
        <w:contextualSpacing/>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*1响应文件以及供应商与采购人就有关磋商事宜的所有来往函电，均应以中文汉语书写。除签名、盖章、专用名称等特殊情形外，以中文汉语以外的文字表述的响应文件视同未提供。</w:t>
      </w:r>
    </w:p>
    <w:p w14:paraId="0C6F862C">
      <w:pPr>
        <w:spacing w:line="360" w:lineRule="auto"/>
        <w:ind w:firstLine="422" w:firstLineChars="200"/>
        <w:contextualSpacing/>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*2报价计量单位，磋商文件已有明确规定的，使用磋商文件规定的计量单位；磋商文件没有规定的，应采用中华人民共和国法定计量单位（货币单位：人民币元），否则视同未响应。</w:t>
      </w:r>
    </w:p>
    <w:p w14:paraId="0B7A21B8">
      <w:pPr>
        <w:spacing w:line="360" w:lineRule="auto"/>
        <w:ind w:firstLine="413" w:firstLineChars="196"/>
        <w:contextualSpacing/>
        <w:jc w:val="left"/>
        <w:rPr>
          <w:rFonts w:asciiTheme="majorEastAsia" w:hAnsiTheme="majorEastAsia" w:eastAsiaTheme="majorEastAsia"/>
          <w:b/>
          <w:color w:val="auto"/>
          <w:szCs w:val="21"/>
          <w:highlight w:val="none"/>
        </w:rPr>
      </w:pPr>
      <w:bookmarkStart w:id="14" w:name="_Toc3681"/>
      <w:r>
        <w:rPr>
          <w:rFonts w:asciiTheme="majorEastAsia" w:hAnsiTheme="majorEastAsia" w:eastAsiaTheme="majorEastAsia"/>
          <w:b/>
          <w:color w:val="auto"/>
          <w:szCs w:val="21"/>
          <w:highlight w:val="none"/>
        </w:rPr>
        <w:t>（</w:t>
      </w:r>
      <w:r>
        <w:rPr>
          <w:rFonts w:hint="eastAsia" w:asciiTheme="majorEastAsia" w:hAnsiTheme="majorEastAsia" w:eastAsiaTheme="majorEastAsia"/>
          <w:b/>
          <w:color w:val="auto"/>
          <w:szCs w:val="21"/>
          <w:highlight w:val="none"/>
        </w:rPr>
        <w:t>四</w:t>
      </w:r>
      <w:r>
        <w:rPr>
          <w:rFonts w:asciiTheme="majorEastAsia" w:hAnsiTheme="majorEastAsia" w:eastAsiaTheme="majorEastAsia"/>
          <w:b/>
          <w:color w:val="auto"/>
          <w:szCs w:val="21"/>
          <w:highlight w:val="none"/>
        </w:rPr>
        <w:t>）报价</w:t>
      </w:r>
      <w:bookmarkEnd w:id="14"/>
      <w:r>
        <w:rPr>
          <w:rFonts w:asciiTheme="majorEastAsia" w:hAnsiTheme="majorEastAsia" w:eastAsiaTheme="majorEastAsia"/>
          <w:b/>
          <w:color w:val="auto"/>
          <w:szCs w:val="21"/>
          <w:highlight w:val="none"/>
        </w:rPr>
        <w:t>要求</w:t>
      </w:r>
    </w:p>
    <w:p w14:paraId="2FDB9FA4">
      <w:pPr>
        <w:pStyle w:val="25"/>
        <w:spacing w:beforeLines="0" w:afterLines="0" w:line="360" w:lineRule="auto"/>
        <w:ind w:firstLine="420" w:firstLineChars="200"/>
        <w:contextualSpacing/>
        <w:jc w:val="left"/>
        <w:rPr>
          <w:rFonts w:asciiTheme="majorEastAsia" w:hAnsiTheme="majorEastAsia" w:eastAsiaTheme="majorEastAsia"/>
          <w:color w:val="auto"/>
          <w:highlight w:val="none"/>
        </w:rPr>
      </w:pPr>
      <w:r>
        <w:rPr>
          <w:rFonts w:asciiTheme="majorEastAsia" w:hAnsiTheme="majorEastAsia" w:eastAsiaTheme="majorEastAsia"/>
          <w:color w:val="auto"/>
          <w:highlight w:val="none"/>
        </w:rPr>
        <w:t>1.报价应按磋商文件中相关附表格式填写。</w:t>
      </w:r>
    </w:p>
    <w:p w14:paraId="586F30CB">
      <w:pPr>
        <w:pStyle w:val="25"/>
        <w:spacing w:beforeLines="0" w:afterLines="0" w:line="360" w:lineRule="auto"/>
        <w:ind w:firstLine="420" w:firstLineChars="200"/>
        <w:contextualSpacing/>
        <w:jc w:val="left"/>
        <w:rPr>
          <w:rFonts w:asciiTheme="majorEastAsia" w:hAnsiTheme="majorEastAsia" w:eastAsiaTheme="majorEastAsia"/>
          <w:color w:val="auto"/>
          <w:highlight w:val="none"/>
        </w:rPr>
      </w:pPr>
      <w:r>
        <w:rPr>
          <w:rFonts w:asciiTheme="majorEastAsia" w:hAnsiTheme="majorEastAsia" w:eastAsiaTheme="majorEastAsia"/>
          <w:color w:val="auto"/>
          <w:highlight w:val="none"/>
        </w:rPr>
        <w:t>*2.响应文件只允许有一个报价，有选择的或有条件的报价将不予接受。</w:t>
      </w:r>
    </w:p>
    <w:p w14:paraId="75F8A9D8">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w:t>
      </w:r>
      <w:r>
        <w:rPr>
          <w:rFonts w:hint="eastAsia" w:asciiTheme="majorEastAsia" w:hAnsiTheme="majorEastAsia" w:eastAsiaTheme="majorEastAsia"/>
          <w:b/>
          <w:color w:val="auto"/>
          <w:sz w:val="21"/>
          <w:szCs w:val="21"/>
          <w:highlight w:val="none"/>
        </w:rPr>
        <w:t>五</w:t>
      </w:r>
      <w:r>
        <w:rPr>
          <w:rFonts w:asciiTheme="majorEastAsia" w:hAnsiTheme="majorEastAsia" w:eastAsiaTheme="majorEastAsia"/>
          <w:b/>
          <w:color w:val="auto"/>
          <w:sz w:val="21"/>
          <w:szCs w:val="21"/>
          <w:highlight w:val="none"/>
        </w:rPr>
        <w:t>）响应文件的有效期</w:t>
      </w:r>
    </w:p>
    <w:p w14:paraId="22311673">
      <w:pPr>
        <w:pStyle w:val="14"/>
        <w:widowControl w:val="0"/>
        <w:tabs>
          <w:tab w:val="clear" w:pos="454"/>
        </w:tabs>
        <w:spacing w:afterLines="0" w:line="360" w:lineRule="auto"/>
        <w:ind w:left="0" w:firstLine="422" w:firstLineChars="200"/>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*1.自首次提交响应文件截止日起</w:t>
      </w:r>
      <w:r>
        <w:rPr>
          <w:rFonts w:asciiTheme="majorEastAsia" w:hAnsiTheme="majorEastAsia" w:eastAsiaTheme="majorEastAsia"/>
          <w:b/>
          <w:color w:val="auto"/>
          <w:sz w:val="21"/>
          <w:szCs w:val="21"/>
          <w:highlight w:val="none"/>
          <w:u w:val="single"/>
        </w:rPr>
        <w:t xml:space="preserve">90 </w:t>
      </w:r>
      <w:r>
        <w:rPr>
          <w:rFonts w:asciiTheme="majorEastAsia" w:hAnsiTheme="majorEastAsia" w:eastAsiaTheme="majorEastAsia"/>
          <w:b/>
          <w:color w:val="auto"/>
          <w:sz w:val="21"/>
          <w:szCs w:val="21"/>
          <w:highlight w:val="none"/>
        </w:rPr>
        <w:t>天响应文件应保持有效。有效期不足的响应文件将被拒绝。</w:t>
      </w:r>
    </w:p>
    <w:p w14:paraId="370423C1">
      <w:pPr>
        <w:pStyle w:val="14"/>
        <w:widowControl w:val="0"/>
        <w:tabs>
          <w:tab w:val="clear" w:pos="454"/>
        </w:tabs>
        <w:spacing w:afterLines="0" w:line="360" w:lineRule="auto"/>
        <w:ind w:left="0" w:firstLine="420" w:firstLineChars="200"/>
        <w:contextualSpacing/>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2.在特殊情况下，采购人可与供应商协商延长响应文件的有效期，这种要求和答复均以书面形式进行。</w:t>
      </w:r>
    </w:p>
    <w:p w14:paraId="3F9A08D1">
      <w:pPr>
        <w:spacing w:line="360" w:lineRule="auto"/>
        <w:ind w:firstLine="420" w:firstLineChars="200"/>
        <w:contextualSpacing/>
        <w:jc w:val="left"/>
        <w:rPr>
          <w:rFonts w:asciiTheme="majorEastAsia" w:hAnsiTheme="majorEastAsia" w:eastAsiaTheme="majorEastAsia"/>
          <w:b/>
          <w:color w:val="auto"/>
          <w:szCs w:val="21"/>
          <w:highlight w:val="none"/>
        </w:rPr>
      </w:pPr>
      <w:bookmarkStart w:id="15" w:name="_Toc24481"/>
      <w:r>
        <w:rPr>
          <w:rFonts w:asciiTheme="majorEastAsia" w:hAnsiTheme="majorEastAsia" w:eastAsiaTheme="majorEastAsia"/>
          <w:color w:val="auto"/>
          <w:szCs w:val="21"/>
          <w:highlight w:val="none"/>
        </w:rPr>
        <w:t>3.供应商可拒绝接受延期要求。同意延长有效期的供应商不能修改响应文件。</w:t>
      </w:r>
      <w:bookmarkEnd w:id="15"/>
      <w:r>
        <w:rPr>
          <w:rFonts w:asciiTheme="majorEastAsia" w:hAnsiTheme="majorEastAsia" w:eastAsiaTheme="majorEastAsia"/>
          <w:b/>
          <w:color w:val="auto"/>
          <w:szCs w:val="21"/>
          <w:highlight w:val="none"/>
        </w:rPr>
        <w:t xml:space="preserve"> </w:t>
      </w:r>
    </w:p>
    <w:p w14:paraId="282C158E">
      <w:pPr>
        <w:spacing w:line="360" w:lineRule="auto"/>
        <w:ind w:firstLine="420" w:firstLineChars="200"/>
        <w:contextualSpacing/>
        <w:jc w:val="left"/>
        <w:rPr>
          <w:rFonts w:asciiTheme="majorEastAsia" w:hAnsiTheme="majorEastAsia" w:eastAsiaTheme="majorEastAsia"/>
          <w:b/>
          <w:color w:val="auto"/>
          <w:szCs w:val="21"/>
          <w:highlight w:val="none"/>
        </w:rPr>
      </w:pPr>
      <w:bookmarkStart w:id="16" w:name="_Toc6471"/>
      <w:r>
        <w:rPr>
          <w:rFonts w:asciiTheme="majorEastAsia" w:hAnsiTheme="majorEastAsia" w:eastAsiaTheme="majorEastAsia"/>
          <w:color w:val="auto"/>
          <w:szCs w:val="21"/>
          <w:highlight w:val="none"/>
        </w:rPr>
        <w:t>4.成交供应商的响应文件自首次提交响应文件截止日起至合同履行完毕止均应保持有效。</w:t>
      </w:r>
      <w:bookmarkEnd w:id="16"/>
    </w:p>
    <w:p w14:paraId="2F4A6464">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w:t>
      </w:r>
      <w:r>
        <w:rPr>
          <w:rFonts w:hint="eastAsia" w:asciiTheme="majorEastAsia" w:hAnsiTheme="majorEastAsia" w:eastAsiaTheme="majorEastAsia"/>
          <w:b/>
          <w:color w:val="auto"/>
          <w:sz w:val="21"/>
          <w:szCs w:val="21"/>
          <w:highlight w:val="none"/>
        </w:rPr>
        <w:t>六</w:t>
      </w:r>
      <w:r>
        <w:rPr>
          <w:rFonts w:asciiTheme="majorEastAsia" w:hAnsiTheme="majorEastAsia" w:eastAsiaTheme="majorEastAsia"/>
          <w:b/>
          <w:color w:val="auto"/>
          <w:sz w:val="21"/>
          <w:szCs w:val="21"/>
          <w:highlight w:val="none"/>
        </w:rPr>
        <w:t>）响应文件的签署和份数</w:t>
      </w:r>
    </w:p>
    <w:p w14:paraId="1FADDB56">
      <w:pPr>
        <w:pStyle w:val="20"/>
        <w:spacing w:line="360" w:lineRule="auto"/>
        <w:ind w:firstLine="395" w:firstLineChars="196"/>
        <w:contextualSpacing/>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1.供应商应按本磋商文件规定的格式和顺序编制响应文件并标注页码，响应文件内容不完整、编排混乱导致响应文件被误读、漏读或者查找不到相关内容的，是供应商的责任。</w:t>
      </w:r>
    </w:p>
    <w:p w14:paraId="084C2422">
      <w:pPr>
        <w:snapToGrid w:val="0"/>
        <w:spacing w:before="156" w:beforeLines="50" w:line="360" w:lineRule="auto"/>
        <w:ind w:firstLine="422" w:firstLineChars="200"/>
        <w:jc w:val="left"/>
        <w:rPr>
          <w:rFonts w:ascii="宋体" w:hAnsi="宋体" w:cs="宋体"/>
          <w:b/>
          <w:color w:val="auto"/>
          <w:szCs w:val="21"/>
          <w:highlight w:val="none"/>
        </w:rPr>
      </w:pPr>
      <w:r>
        <w:rPr>
          <w:rFonts w:asciiTheme="majorEastAsia" w:hAnsiTheme="majorEastAsia" w:eastAsiaTheme="majorEastAsia"/>
          <w:b/>
          <w:color w:val="auto"/>
          <w:szCs w:val="21"/>
          <w:highlight w:val="none"/>
        </w:rPr>
        <w:t>*</w:t>
      </w:r>
      <w:r>
        <w:rPr>
          <w:rFonts w:hint="eastAsia" w:ascii="宋体" w:hAnsi="宋体" w:cs="宋体"/>
          <w:color w:val="auto"/>
          <w:szCs w:val="21"/>
          <w:highlight w:val="none"/>
        </w:rPr>
        <w:t>2.供应商须在响应文件递交截止时间前将电子响应文件上传“政采云”平台。</w:t>
      </w:r>
    </w:p>
    <w:p w14:paraId="24F8C90C">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供应商可自愿提交电子文本一份（以介质存储的数据电文形式的备份响应文件）：供应商应根据“政采云供应商项目采购-电子招投标操作指南”及本磋商文件规定的格式和顺序编制电子响应文件并进行关联定位。以U盘形式存储，并单独密封递交。</w:t>
      </w:r>
    </w:p>
    <w:p w14:paraId="13345DDA">
      <w:pPr>
        <w:snapToGrid w:val="0"/>
        <w:spacing w:line="360" w:lineRule="auto"/>
        <w:ind w:firstLine="420"/>
        <w:jc w:val="left"/>
        <w:rPr>
          <w:rFonts w:ascii="宋体" w:hAnsi="宋体" w:cs="宋体"/>
          <w:b/>
          <w:color w:val="auto"/>
          <w:szCs w:val="21"/>
          <w:highlight w:val="none"/>
        </w:rPr>
      </w:pPr>
      <w:r>
        <w:rPr>
          <w:rFonts w:hint="eastAsia" w:ascii="宋体" w:hAnsi="宋体" w:cs="宋体"/>
          <w:b/>
          <w:color w:val="auto"/>
          <w:szCs w:val="21"/>
          <w:highlight w:val="none"/>
        </w:rPr>
        <w:t>4.如供应商自愿递交备份响应文件，供应商应当在磋商文件要求提交响应文件的截止时间前，将备份响应文件密封送达磋商地点。采购人或者采购代理机构收到备份响应文件后，应当如实记载备份响应文件的送达时间和密封情况，签收保存，并向供应商出具签收回执。任何单位和个人不得在开标前开启备份响应文件。</w:t>
      </w:r>
    </w:p>
    <w:p w14:paraId="0AFF2B01">
      <w:pPr>
        <w:snapToGrid w:val="0"/>
        <w:spacing w:line="360" w:lineRule="auto"/>
        <w:ind w:firstLine="420"/>
        <w:jc w:val="left"/>
        <w:rPr>
          <w:rFonts w:asciiTheme="majorEastAsia" w:hAnsiTheme="majorEastAsia" w:eastAsiaTheme="majorEastAsia"/>
          <w:color w:val="auto"/>
          <w:szCs w:val="21"/>
          <w:highlight w:val="none"/>
        </w:rPr>
      </w:pPr>
      <w:r>
        <w:rPr>
          <w:rFonts w:hint="eastAsia" w:ascii="宋体" w:hAnsi="宋体" w:cs="宋体"/>
          <w:b/>
          <w:color w:val="auto"/>
          <w:szCs w:val="21"/>
          <w:highlight w:val="none"/>
        </w:rPr>
        <w:t>5.逾期送达或者未按照采购文件要求密封的响应文件，采购人、采购代理机构应当拒收。</w:t>
      </w:r>
    </w:p>
    <w:p w14:paraId="7D58593A">
      <w:pPr>
        <w:pStyle w:val="20"/>
        <w:spacing w:line="360" w:lineRule="auto"/>
        <w:ind w:firstLine="395" w:firstLineChars="196"/>
        <w:contextualSpacing/>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6</w:t>
      </w:r>
      <w:r>
        <w:rPr>
          <w:rFonts w:asciiTheme="majorEastAsia" w:hAnsiTheme="majorEastAsia" w:eastAsiaTheme="majorEastAsia"/>
          <w:color w:val="auto"/>
          <w:sz w:val="21"/>
          <w:szCs w:val="21"/>
          <w:highlight w:val="none"/>
        </w:rPr>
        <w:t>.响应文件须由供应商在规定位置盖章并由法定代表人（负责人）或法定代表人（负责人）的授权委托人签署，供应商应写全称。</w:t>
      </w:r>
    </w:p>
    <w:p w14:paraId="1A5117EE">
      <w:pPr>
        <w:pStyle w:val="20"/>
        <w:spacing w:line="360" w:lineRule="auto"/>
        <w:ind w:firstLine="395" w:firstLineChars="196"/>
        <w:contextualSpacing/>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7</w:t>
      </w:r>
      <w:r>
        <w:rPr>
          <w:rFonts w:asciiTheme="majorEastAsia" w:hAnsiTheme="majorEastAsia" w:eastAsiaTheme="majorEastAsia"/>
          <w:color w:val="auto"/>
          <w:sz w:val="21"/>
          <w:szCs w:val="21"/>
          <w:highlight w:val="none"/>
        </w:rPr>
        <w:t>.响应文件不得涂改，若有修改错漏处，须加盖单位公章或者法定代表人（负责人）或授权委托人签字或盖章。响应文件因字迹潦草或表达不清所引起的后果由供应商负责。</w:t>
      </w:r>
    </w:p>
    <w:p w14:paraId="30E54C50">
      <w:pPr>
        <w:pStyle w:val="20"/>
        <w:spacing w:line="360" w:lineRule="auto"/>
        <w:ind w:firstLine="395" w:firstLineChars="196"/>
        <w:contextualSpacing/>
        <w:rPr>
          <w:rFonts w:asciiTheme="majorEastAsia" w:hAnsiTheme="majorEastAsia" w:eastAsiaTheme="majorEastAsia"/>
          <w:b/>
          <w:bCs/>
          <w:color w:val="auto"/>
          <w:spacing w:val="0"/>
          <w:sz w:val="21"/>
          <w:highlight w:val="none"/>
        </w:rPr>
      </w:pPr>
      <w:r>
        <w:rPr>
          <w:rFonts w:hint="eastAsia" w:asciiTheme="majorEastAsia" w:hAnsiTheme="majorEastAsia" w:eastAsiaTheme="majorEastAsia"/>
          <w:color w:val="auto"/>
          <w:sz w:val="21"/>
          <w:szCs w:val="21"/>
          <w:highlight w:val="none"/>
        </w:rPr>
        <w:t>8.供应商递交的企业宣传册、产品宣传册不属于响应文件有效组成资料的不作为评审依据。</w:t>
      </w:r>
    </w:p>
    <w:p w14:paraId="4CAE87F9">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w:t>
      </w:r>
      <w:r>
        <w:rPr>
          <w:rFonts w:hint="eastAsia" w:asciiTheme="majorEastAsia" w:hAnsiTheme="majorEastAsia" w:eastAsiaTheme="majorEastAsia"/>
          <w:b/>
          <w:color w:val="auto"/>
          <w:sz w:val="21"/>
          <w:szCs w:val="21"/>
          <w:highlight w:val="none"/>
        </w:rPr>
        <w:t>七</w:t>
      </w:r>
      <w:r>
        <w:rPr>
          <w:rFonts w:asciiTheme="majorEastAsia" w:hAnsiTheme="majorEastAsia" w:eastAsiaTheme="majorEastAsia"/>
          <w:b/>
          <w:color w:val="auto"/>
          <w:sz w:val="21"/>
          <w:szCs w:val="21"/>
          <w:highlight w:val="none"/>
        </w:rPr>
        <w:t>）响应文件的递交、修改和撤回</w:t>
      </w:r>
    </w:p>
    <w:p w14:paraId="5034E721">
      <w:pPr>
        <w:pStyle w:val="20"/>
        <w:spacing w:line="360" w:lineRule="auto"/>
        <w:ind w:firstLine="398" w:firstLineChars="196"/>
        <w:contextualSpacing/>
        <w:rPr>
          <w:rFonts w:asciiTheme="majorEastAsia" w:hAnsiTheme="majorEastAsia" w:eastAsiaTheme="majorEastAsia"/>
          <w:color w:val="auto"/>
          <w:sz w:val="21"/>
          <w:szCs w:val="21"/>
          <w:highlight w:val="none"/>
        </w:rPr>
      </w:pPr>
      <w:r>
        <w:rPr>
          <w:rFonts w:asciiTheme="majorEastAsia" w:hAnsiTheme="majorEastAsia" w:eastAsiaTheme="majorEastAsia"/>
          <w:b/>
          <w:color w:val="auto"/>
          <w:sz w:val="21"/>
          <w:szCs w:val="21"/>
          <w:highlight w:val="none"/>
        </w:rPr>
        <w:t>1.</w:t>
      </w:r>
      <w:r>
        <w:rPr>
          <w:rFonts w:hint="eastAsia" w:asciiTheme="majorEastAsia" w:hAnsiTheme="majorEastAsia" w:eastAsiaTheme="majorEastAsia"/>
          <w:color w:val="auto"/>
          <w:sz w:val="21"/>
          <w:szCs w:val="21"/>
          <w:highlight w:val="none"/>
        </w:rPr>
        <w:t>响应文件的封面上均应分别注明投标项目名称、项目编号、供应商名称、供应商地址等内容，并加盖供应商公章。</w:t>
      </w:r>
    </w:p>
    <w:p w14:paraId="0F8A162B">
      <w:pPr>
        <w:pStyle w:val="20"/>
        <w:spacing w:line="360" w:lineRule="auto"/>
        <w:ind w:firstLine="398" w:firstLineChars="196"/>
        <w:contextualSpacing/>
        <w:rPr>
          <w:rFonts w:asciiTheme="majorEastAsia" w:hAnsiTheme="majorEastAsia" w:eastAsiaTheme="majorEastAsia"/>
          <w:color w:val="auto"/>
          <w:sz w:val="21"/>
          <w:szCs w:val="21"/>
          <w:highlight w:val="none"/>
        </w:rPr>
      </w:pPr>
      <w:r>
        <w:rPr>
          <w:rFonts w:hint="eastAsia" w:asciiTheme="majorEastAsia" w:hAnsiTheme="majorEastAsia" w:eastAsiaTheme="majorEastAsia"/>
          <w:b/>
          <w:bCs/>
          <w:color w:val="auto"/>
          <w:sz w:val="21"/>
          <w:szCs w:val="21"/>
          <w:highlight w:val="none"/>
        </w:rPr>
        <w:t>如供应商自愿递交备份响应文件，备份响应文件须单独包封，外包装封面上应注明供应商名称、供应商地址、项目名称、项目编号、响应文件名称（电子响应文件的备份文件），并加盖供应商公章。</w:t>
      </w:r>
    </w:p>
    <w:p w14:paraId="7AC23172">
      <w:pPr>
        <w:pStyle w:val="20"/>
        <w:spacing w:line="360" w:lineRule="auto"/>
        <w:ind w:firstLine="395" w:firstLineChars="196"/>
        <w:contextualSpacing/>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2.未按规定密封或标记的响应文件将被拒绝，由此造成响应文件被误投或提前拆封的风险由供应商承担。</w:t>
      </w:r>
    </w:p>
    <w:p w14:paraId="273B0B45">
      <w:pPr>
        <w:pStyle w:val="20"/>
        <w:spacing w:line="360" w:lineRule="auto"/>
        <w:ind w:firstLine="395" w:firstLineChars="196"/>
        <w:contextualSpacing/>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3.供应商在提交首次响应文件截止时间之前，可以对已提交的响应文件进行修改或撤回，并书面通知采购人；首次响应文件截止时间后，供应商不得撤回、修改响应文件。修改后重新递交的响应文件应当按本磋商文件的要求签署、盖章和密封。</w:t>
      </w:r>
    </w:p>
    <w:p w14:paraId="4097959D">
      <w:pPr>
        <w:pStyle w:val="14"/>
        <w:widowControl w:val="0"/>
        <w:tabs>
          <w:tab w:val="clear" w:pos="454"/>
        </w:tabs>
        <w:spacing w:afterLines="0" w:line="360" w:lineRule="auto"/>
        <w:ind w:left="0" w:firstLine="413" w:firstLineChars="196"/>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w:t>
      </w:r>
      <w:r>
        <w:rPr>
          <w:rFonts w:hint="eastAsia" w:asciiTheme="majorEastAsia" w:hAnsiTheme="majorEastAsia" w:eastAsiaTheme="majorEastAsia"/>
          <w:b/>
          <w:color w:val="auto"/>
          <w:sz w:val="21"/>
          <w:szCs w:val="21"/>
          <w:highlight w:val="none"/>
        </w:rPr>
        <w:t>八</w:t>
      </w:r>
      <w:r>
        <w:rPr>
          <w:rFonts w:asciiTheme="majorEastAsia" w:hAnsiTheme="majorEastAsia" w:eastAsiaTheme="majorEastAsia"/>
          <w:b/>
          <w:color w:val="auto"/>
          <w:sz w:val="21"/>
          <w:szCs w:val="21"/>
          <w:highlight w:val="none"/>
        </w:rPr>
        <w:t>）响应无效的情形</w:t>
      </w:r>
    </w:p>
    <w:p w14:paraId="532C927E">
      <w:pPr>
        <w:pStyle w:val="20"/>
        <w:spacing w:line="360" w:lineRule="auto"/>
        <w:ind w:firstLine="395" w:firstLineChars="196"/>
        <w:contextualSpacing/>
        <w:rPr>
          <w:rFonts w:asciiTheme="majorEastAsia" w:hAnsiTheme="majorEastAsia" w:eastAsiaTheme="majorEastAsia"/>
          <w:color w:val="auto"/>
          <w:sz w:val="21"/>
          <w:szCs w:val="21"/>
          <w:highlight w:val="none"/>
        </w:rPr>
      </w:pPr>
      <w:r>
        <w:rPr>
          <w:rFonts w:hint="eastAsia" w:asciiTheme="majorEastAsia" w:hAnsiTheme="majorEastAsia" w:eastAsiaTheme="majorEastAsia"/>
          <w:color w:val="auto"/>
          <w:sz w:val="21"/>
          <w:szCs w:val="21"/>
          <w:highlight w:val="none"/>
        </w:rPr>
        <w:t>1.</w:t>
      </w:r>
      <w:r>
        <w:rPr>
          <w:rFonts w:asciiTheme="majorEastAsia" w:hAnsiTheme="majorEastAsia" w:eastAsiaTheme="majorEastAsia"/>
          <w:color w:val="auto"/>
          <w:sz w:val="21"/>
          <w:szCs w:val="21"/>
          <w:highlight w:val="none"/>
        </w:rPr>
        <w:t>实质上没有响应磋商文件要求的响应文件将被视为无效响应。供应商不得通过修正或撤消不合要求的偏离或保留从而使其成为实质上响应的文件。</w:t>
      </w:r>
    </w:p>
    <w:p w14:paraId="7D22C4CB">
      <w:pPr>
        <w:spacing w:line="360" w:lineRule="auto"/>
        <w:ind w:firstLine="413" w:firstLineChars="196"/>
        <w:contextualSpacing/>
        <w:jc w:val="left"/>
        <w:rPr>
          <w:rFonts w:asciiTheme="majorEastAsia" w:hAnsiTheme="majorEastAsia" w:eastAsiaTheme="majorEastAsia"/>
          <w:b/>
          <w:bCs/>
          <w:color w:val="auto"/>
          <w:szCs w:val="21"/>
          <w:highlight w:val="none"/>
          <w:shd w:val="clear" w:color="auto" w:fill="FFFFFF"/>
        </w:rPr>
      </w:pPr>
      <w:r>
        <w:rPr>
          <w:rFonts w:hint="eastAsia" w:asciiTheme="majorEastAsia" w:hAnsiTheme="majorEastAsia" w:eastAsiaTheme="majorEastAsia"/>
          <w:b/>
          <w:color w:val="auto"/>
          <w:highlight w:val="none"/>
          <w:shd w:val="clear" w:color="auto" w:fill="FFFFFF"/>
        </w:rPr>
        <w:t>2</w:t>
      </w:r>
      <w:r>
        <w:rPr>
          <w:rFonts w:asciiTheme="majorEastAsia" w:hAnsiTheme="majorEastAsia" w:eastAsiaTheme="majorEastAsia"/>
          <w:b/>
          <w:color w:val="auto"/>
          <w:highlight w:val="none"/>
          <w:shd w:val="clear" w:color="auto" w:fill="FFFFFF"/>
        </w:rPr>
        <w:t>.在资格审查时，不具备磋商文件中规定的资格要求的，或者资格证明文件不全的，响应文件将被视为无效；</w:t>
      </w:r>
    </w:p>
    <w:p w14:paraId="21BBFC0D">
      <w:pPr>
        <w:pStyle w:val="20"/>
        <w:spacing w:line="360" w:lineRule="auto"/>
        <w:ind w:firstLine="398" w:firstLineChars="196"/>
        <w:contextualSpacing/>
        <w:rPr>
          <w:rFonts w:asciiTheme="majorEastAsia" w:hAnsiTheme="majorEastAsia" w:eastAsiaTheme="majorEastAsia"/>
          <w:b/>
          <w:bCs/>
          <w:color w:val="auto"/>
          <w:sz w:val="21"/>
          <w:szCs w:val="21"/>
          <w:highlight w:val="none"/>
        </w:rPr>
      </w:pPr>
      <w:r>
        <w:rPr>
          <w:rFonts w:hint="eastAsia" w:asciiTheme="majorEastAsia" w:hAnsiTheme="majorEastAsia" w:eastAsiaTheme="majorEastAsia"/>
          <w:b/>
          <w:bCs/>
          <w:color w:val="auto"/>
          <w:sz w:val="21"/>
          <w:szCs w:val="21"/>
          <w:highlight w:val="none"/>
        </w:rPr>
        <w:t>3</w:t>
      </w:r>
      <w:r>
        <w:rPr>
          <w:rFonts w:asciiTheme="majorEastAsia" w:hAnsiTheme="majorEastAsia" w:eastAsiaTheme="majorEastAsia"/>
          <w:b/>
          <w:bCs/>
          <w:color w:val="auto"/>
          <w:sz w:val="21"/>
          <w:szCs w:val="21"/>
          <w:highlight w:val="none"/>
        </w:rPr>
        <w:t>.在符合性审查和资信评审时，如发现下列情形之一的，响应文件将被视为无效：</w:t>
      </w:r>
    </w:p>
    <w:p w14:paraId="13425142">
      <w:pPr>
        <w:pStyle w:val="2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（1）响应文件无法定代表人（负责人）签字，或未提供法定代表人（负责人）授权委托书、</w:t>
      </w:r>
      <w:r>
        <w:rPr>
          <w:rFonts w:hint="eastAsia" w:asciiTheme="majorEastAsia" w:hAnsiTheme="majorEastAsia" w:eastAsiaTheme="majorEastAsia"/>
          <w:bCs/>
          <w:color w:val="auto"/>
          <w:sz w:val="21"/>
          <w:szCs w:val="21"/>
          <w:highlight w:val="none"/>
        </w:rPr>
        <w:t>磋商</w:t>
      </w:r>
      <w:r>
        <w:rPr>
          <w:rFonts w:asciiTheme="majorEastAsia" w:hAnsiTheme="majorEastAsia" w:eastAsiaTheme="majorEastAsia"/>
          <w:bCs/>
          <w:color w:val="auto"/>
          <w:sz w:val="21"/>
          <w:szCs w:val="21"/>
          <w:highlight w:val="none"/>
        </w:rPr>
        <w:t>声明书或者填写项目不齐全的；</w:t>
      </w:r>
    </w:p>
    <w:p w14:paraId="29F2DE84">
      <w:pPr>
        <w:pStyle w:val="2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（2）响应文件格式不规范、项目不齐全或者内容虚假的；</w:t>
      </w:r>
    </w:p>
    <w:p w14:paraId="79C691D1">
      <w:pPr>
        <w:pStyle w:val="2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（3）响应文件的实质性内容未使用中文表述、意思表述不明确、前后矛盾或者使用计量单位不符合磋商文件要求的（经磋商小组认定并允许其当场更正的笔误除外）；</w:t>
      </w:r>
    </w:p>
    <w:p w14:paraId="4590C64A">
      <w:pPr>
        <w:pStyle w:val="20"/>
        <w:spacing w:line="360" w:lineRule="auto"/>
        <w:ind w:firstLine="395" w:firstLineChars="196"/>
        <w:contextualSpacing/>
        <w:rPr>
          <w:rFonts w:asciiTheme="majorEastAsia" w:hAnsiTheme="majorEastAsia" w:eastAsiaTheme="majorEastAsia"/>
          <w:bCs/>
          <w:snapToGrid w:val="0"/>
          <w:color w:val="auto"/>
          <w:sz w:val="21"/>
          <w:szCs w:val="21"/>
          <w:highlight w:val="none"/>
        </w:rPr>
      </w:pPr>
      <w:r>
        <w:rPr>
          <w:rFonts w:asciiTheme="majorEastAsia" w:hAnsiTheme="majorEastAsia" w:eastAsiaTheme="majorEastAsia"/>
          <w:bCs/>
          <w:color w:val="auto"/>
          <w:sz w:val="21"/>
          <w:szCs w:val="21"/>
          <w:highlight w:val="none"/>
        </w:rPr>
        <w:t>（</w:t>
      </w:r>
      <w:r>
        <w:rPr>
          <w:rFonts w:asciiTheme="majorEastAsia" w:hAnsiTheme="majorEastAsia" w:eastAsiaTheme="majorEastAsia"/>
          <w:bCs/>
          <w:snapToGrid w:val="0"/>
          <w:color w:val="auto"/>
          <w:sz w:val="21"/>
          <w:szCs w:val="21"/>
          <w:highlight w:val="none"/>
        </w:rPr>
        <w:t>4）响应文件有效期不能满足磋商文件要求的；</w:t>
      </w:r>
    </w:p>
    <w:p w14:paraId="7D77808F">
      <w:pPr>
        <w:pStyle w:val="2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（5）未实质性响应磋商文件要求，</w:t>
      </w:r>
      <w:r>
        <w:rPr>
          <w:rFonts w:asciiTheme="majorEastAsia" w:hAnsiTheme="majorEastAsia" w:eastAsiaTheme="majorEastAsia"/>
          <w:bCs/>
          <w:snapToGrid w:val="0"/>
          <w:color w:val="auto"/>
          <w:sz w:val="21"/>
          <w:szCs w:val="21"/>
          <w:highlight w:val="none"/>
        </w:rPr>
        <w:t>或者与</w:t>
      </w:r>
      <w:r>
        <w:rPr>
          <w:rFonts w:asciiTheme="majorEastAsia" w:hAnsiTheme="majorEastAsia" w:eastAsiaTheme="majorEastAsia"/>
          <w:bCs/>
          <w:color w:val="auto"/>
          <w:sz w:val="21"/>
          <w:szCs w:val="21"/>
          <w:highlight w:val="none"/>
        </w:rPr>
        <w:t>磋商文件</w:t>
      </w:r>
      <w:r>
        <w:rPr>
          <w:rFonts w:hint="eastAsia" w:asciiTheme="majorEastAsia" w:hAnsiTheme="majorEastAsia" w:eastAsiaTheme="majorEastAsia"/>
          <w:bCs/>
          <w:color w:val="auto"/>
          <w:sz w:val="21"/>
          <w:szCs w:val="21"/>
          <w:highlight w:val="none"/>
        </w:rPr>
        <w:t>确定成交</w:t>
      </w:r>
      <w:r>
        <w:rPr>
          <w:rFonts w:asciiTheme="majorEastAsia" w:hAnsiTheme="majorEastAsia" w:eastAsiaTheme="majorEastAsia"/>
          <w:bCs/>
          <w:color w:val="auto"/>
          <w:sz w:val="21"/>
          <w:szCs w:val="21"/>
          <w:highlight w:val="none"/>
        </w:rPr>
        <w:t>“*”的商务条款发生实质性偏离的，或者响应文件有采购人不能接受的附加条件的；</w:t>
      </w:r>
    </w:p>
    <w:p w14:paraId="424C7E8D">
      <w:pPr>
        <w:pStyle w:val="2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（6）超过</w:t>
      </w:r>
      <w:r>
        <w:rPr>
          <w:rFonts w:asciiTheme="majorEastAsia" w:hAnsiTheme="majorEastAsia" w:eastAsiaTheme="majorEastAsia"/>
          <w:color w:val="auto"/>
          <w:sz w:val="21"/>
          <w:szCs w:val="21"/>
          <w:highlight w:val="none"/>
        </w:rPr>
        <w:t>首次响应文件截止时间</w:t>
      </w:r>
      <w:r>
        <w:rPr>
          <w:rFonts w:hint="eastAsia" w:asciiTheme="majorEastAsia" w:hAnsiTheme="majorEastAsia" w:eastAsiaTheme="majorEastAsia"/>
          <w:bCs/>
          <w:color w:val="auto"/>
          <w:sz w:val="21"/>
          <w:szCs w:val="21"/>
          <w:highlight w:val="none"/>
        </w:rPr>
        <w:t>上传（递交）</w:t>
      </w:r>
      <w:r>
        <w:rPr>
          <w:rFonts w:asciiTheme="majorEastAsia" w:hAnsiTheme="majorEastAsia" w:eastAsiaTheme="majorEastAsia"/>
          <w:bCs/>
          <w:color w:val="auto"/>
          <w:sz w:val="21"/>
          <w:szCs w:val="21"/>
          <w:highlight w:val="none"/>
        </w:rPr>
        <w:t>的；</w:t>
      </w:r>
    </w:p>
    <w:p w14:paraId="5FD2C857">
      <w:pPr>
        <w:pStyle w:val="2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（7）未按规定密封、签章的；</w:t>
      </w:r>
    </w:p>
    <w:p w14:paraId="17CBA523">
      <w:pPr>
        <w:pStyle w:val="2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 xml:space="preserve">（8）响应文件的关键内容字迹模糊、无法辨认的,或者响应文件中经修正的内容字迹模糊难以辩认或者修改处未按规定签名盖章的； </w:t>
      </w:r>
    </w:p>
    <w:p w14:paraId="2BBD751B">
      <w:pPr>
        <w:pStyle w:val="20"/>
        <w:spacing w:line="360" w:lineRule="auto"/>
        <w:ind w:firstLine="398" w:firstLineChars="196"/>
        <w:contextualSpacing/>
        <w:rPr>
          <w:rFonts w:asciiTheme="majorEastAsia" w:hAnsiTheme="majorEastAsia" w:eastAsiaTheme="majorEastAsia"/>
          <w:b/>
          <w:bCs/>
          <w:color w:val="auto"/>
          <w:sz w:val="21"/>
          <w:szCs w:val="21"/>
          <w:highlight w:val="none"/>
        </w:rPr>
      </w:pPr>
      <w:r>
        <w:rPr>
          <w:rFonts w:hint="eastAsia" w:asciiTheme="majorEastAsia" w:hAnsiTheme="majorEastAsia" w:eastAsiaTheme="majorEastAsia"/>
          <w:b/>
          <w:bCs/>
          <w:color w:val="auto"/>
          <w:sz w:val="21"/>
          <w:szCs w:val="21"/>
          <w:highlight w:val="none"/>
        </w:rPr>
        <w:t>4</w:t>
      </w:r>
      <w:r>
        <w:rPr>
          <w:rFonts w:asciiTheme="majorEastAsia" w:hAnsiTheme="majorEastAsia" w:eastAsiaTheme="majorEastAsia"/>
          <w:b/>
          <w:bCs/>
          <w:color w:val="auto"/>
          <w:sz w:val="21"/>
          <w:szCs w:val="21"/>
          <w:highlight w:val="none"/>
        </w:rPr>
        <w:t>.在技术评审时，如发现下列情形之一的，响应文件将被视为无效：</w:t>
      </w:r>
    </w:p>
    <w:p w14:paraId="5E7CD6C6">
      <w:pPr>
        <w:pStyle w:val="2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（1）响应文件标明的响应或偏离与事实不符或虚假响应的；</w:t>
      </w:r>
    </w:p>
    <w:p w14:paraId="0650C47B">
      <w:pPr>
        <w:pStyle w:val="2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（2）</w:t>
      </w:r>
      <w:r>
        <w:rPr>
          <w:rFonts w:asciiTheme="majorEastAsia" w:hAnsiTheme="majorEastAsia" w:eastAsiaTheme="majorEastAsia"/>
          <w:bCs/>
          <w:snapToGrid w:val="0"/>
          <w:color w:val="auto"/>
          <w:sz w:val="21"/>
          <w:szCs w:val="21"/>
          <w:highlight w:val="none"/>
        </w:rPr>
        <w:t>明显不符合磋商文件要求的，或者与</w:t>
      </w:r>
      <w:r>
        <w:rPr>
          <w:rFonts w:asciiTheme="majorEastAsia" w:hAnsiTheme="majorEastAsia" w:eastAsiaTheme="majorEastAsia"/>
          <w:bCs/>
          <w:color w:val="auto"/>
          <w:sz w:val="21"/>
          <w:szCs w:val="21"/>
          <w:highlight w:val="none"/>
        </w:rPr>
        <w:t>磋商文件</w:t>
      </w:r>
      <w:r>
        <w:rPr>
          <w:rFonts w:hint="eastAsia" w:asciiTheme="majorEastAsia" w:hAnsiTheme="majorEastAsia" w:eastAsiaTheme="majorEastAsia"/>
          <w:bCs/>
          <w:color w:val="auto"/>
          <w:sz w:val="21"/>
          <w:szCs w:val="21"/>
          <w:highlight w:val="none"/>
        </w:rPr>
        <w:t>确定成交</w:t>
      </w:r>
      <w:r>
        <w:rPr>
          <w:rFonts w:asciiTheme="majorEastAsia" w:hAnsiTheme="majorEastAsia" w:eastAsiaTheme="majorEastAsia"/>
          <w:bCs/>
          <w:color w:val="auto"/>
          <w:sz w:val="21"/>
          <w:szCs w:val="21"/>
          <w:highlight w:val="none"/>
        </w:rPr>
        <w:t>“*”的技术条款发生实质性偏离的；</w:t>
      </w:r>
    </w:p>
    <w:p w14:paraId="303385DA">
      <w:pPr>
        <w:pStyle w:val="2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（3）技术方案不明确，存在一个或一个以上备选（替代）方案的；</w:t>
      </w:r>
    </w:p>
    <w:p w14:paraId="05DD343F">
      <w:pPr>
        <w:pStyle w:val="20"/>
        <w:spacing w:line="360" w:lineRule="auto"/>
        <w:ind w:firstLine="398" w:firstLineChars="196"/>
        <w:contextualSpacing/>
        <w:rPr>
          <w:rFonts w:asciiTheme="majorEastAsia" w:hAnsiTheme="majorEastAsia" w:eastAsiaTheme="majorEastAsia"/>
          <w:b/>
          <w:bCs/>
          <w:color w:val="auto"/>
          <w:sz w:val="21"/>
          <w:szCs w:val="21"/>
          <w:highlight w:val="none"/>
        </w:rPr>
      </w:pPr>
      <w:r>
        <w:rPr>
          <w:rFonts w:hint="eastAsia" w:asciiTheme="majorEastAsia" w:hAnsiTheme="majorEastAsia" w:eastAsiaTheme="majorEastAsia"/>
          <w:b/>
          <w:bCs/>
          <w:color w:val="auto"/>
          <w:sz w:val="21"/>
          <w:szCs w:val="21"/>
          <w:highlight w:val="none"/>
        </w:rPr>
        <w:t>5</w:t>
      </w:r>
      <w:r>
        <w:rPr>
          <w:rFonts w:asciiTheme="majorEastAsia" w:hAnsiTheme="majorEastAsia" w:eastAsiaTheme="majorEastAsia"/>
          <w:b/>
          <w:bCs/>
          <w:color w:val="auto"/>
          <w:sz w:val="21"/>
          <w:szCs w:val="21"/>
          <w:highlight w:val="none"/>
        </w:rPr>
        <w:t>.在报价评审时，如发现下列情形之一的，响应文件将被视为无效：</w:t>
      </w:r>
    </w:p>
    <w:p w14:paraId="54A3A912">
      <w:pPr>
        <w:pStyle w:val="2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（1）未采用响应文件要求的报价形式报价的，或报价超过采购预算/最高限价的；</w:t>
      </w:r>
    </w:p>
    <w:p w14:paraId="02FB3414">
      <w:pPr>
        <w:pStyle w:val="20"/>
        <w:spacing w:line="360" w:lineRule="auto"/>
        <w:ind w:firstLine="395" w:firstLineChars="196"/>
        <w:contextualSpacing/>
        <w:rPr>
          <w:rFonts w:asciiTheme="majorEastAsia" w:hAnsiTheme="majorEastAsia" w:eastAsiaTheme="majorEastAsia"/>
          <w:bCs/>
          <w:color w:val="auto"/>
          <w:sz w:val="21"/>
          <w:szCs w:val="21"/>
          <w:highlight w:val="none"/>
        </w:rPr>
      </w:pPr>
      <w:r>
        <w:rPr>
          <w:rFonts w:asciiTheme="majorEastAsia" w:hAnsiTheme="majorEastAsia" w:eastAsiaTheme="majorEastAsia"/>
          <w:bCs/>
          <w:color w:val="auto"/>
          <w:sz w:val="21"/>
          <w:szCs w:val="21"/>
          <w:highlight w:val="none"/>
        </w:rPr>
        <w:t>（2）报价具有选择性；</w:t>
      </w:r>
    </w:p>
    <w:p w14:paraId="6BC29172">
      <w:pPr>
        <w:pStyle w:val="20"/>
        <w:spacing w:line="360" w:lineRule="auto"/>
        <w:ind w:firstLine="395" w:firstLineChars="196"/>
        <w:contextualSpacing/>
        <w:rPr>
          <w:rFonts w:asciiTheme="majorEastAsia" w:hAnsiTheme="majorEastAsia" w:eastAsiaTheme="majorEastAsia"/>
          <w:b/>
          <w:bCs/>
          <w:color w:val="auto"/>
          <w:sz w:val="21"/>
          <w:szCs w:val="21"/>
          <w:highlight w:val="none"/>
        </w:rPr>
      </w:pPr>
      <w:r>
        <w:rPr>
          <w:rFonts w:asciiTheme="majorEastAsia" w:hAnsiTheme="majorEastAsia" w:eastAsiaTheme="majorEastAsia"/>
          <w:bCs/>
          <w:color w:val="auto"/>
          <w:sz w:val="21"/>
          <w:szCs w:val="21"/>
          <w:highlight w:val="none"/>
        </w:rPr>
        <w:t>（3）</w:t>
      </w:r>
      <w:r>
        <w:rPr>
          <w:rFonts w:asciiTheme="majorEastAsia" w:hAnsiTheme="majorEastAsia" w:eastAsiaTheme="majorEastAsia"/>
          <w:color w:val="auto"/>
          <w:sz w:val="21"/>
          <w:szCs w:val="21"/>
          <w:highlight w:val="none"/>
        </w:rPr>
        <w:t>磋商小组认为供应商的报价明显低于其他通过符合性审查供应商的报价，有可能影响产品质量或者不能诚信履约的，</w:t>
      </w:r>
      <w:r>
        <w:rPr>
          <w:rFonts w:hint="eastAsia" w:asciiTheme="majorEastAsia" w:hAnsiTheme="majorEastAsia" w:eastAsiaTheme="majorEastAsia"/>
          <w:bCs/>
          <w:color w:val="auto"/>
          <w:sz w:val="21"/>
          <w:szCs w:val="21"/>
          <w:highlight w:val="none"/>
        </w:rPr>
        <w:t>可要求其在评审现场合理的时间内提供书面说明，必要时提交相关证明材料；供应商不能证明其报价合理性的，磋商小组应当将其作为无效响应处理</w:t>
      </w:r>
      <w:r>
        <w:rPr>
          <w:rFonts w:asciiTheme="majorEastAsia" w:hAnsiTheme="majorEastAsia" w:eastAsiaTheme="majorEastAsia"/>
          <w:color w:val="auto"/>
          <w:sz w:val="21"/>
          <w:szCs w:val="21"/>
          <w:highlight w:val="none"/>
        </w:rPr>
        <w:t>。</w:t>
      </w:r>
    </w:p>
    <w:p w14:paraId="7E80FA57">
      <w:pPr>
        <w:pStyle w:val="20"/>
        <w:spacing w:line="360" w:lineRule="auto"/>
        <w:ind w:firstLine="398" w:firstLineChars="196"/>
        <w:contextualSpacing/>
        <w:rPr>
          <w:rFonts w:asciiTheme="majorEastAsia" w:hAnsiTheme="majorEastAsia" w:eastAsiaTheme="majorEastAsia"/>
          <w:b/>
          <w:bCs/>
          <w:color w:val="auto"/>
          <w:sz w:val="21"/>
          <w:szCs w:val="21"/>
          <w:highlight w:val="none"/>
        </w:rPr>
      </w:pPr>
      <w:r>
        <w:rPr>
          <w:rFonts w:hint="eastAsia" w:asciiTheme="majorEastAsia" w:hAnsiTheme="majorEastAsia" w:eastAsiaTheme="majorEastAsia"/>
          <w:b/>
          <w:bCs/>
          <w:color w:val="auto"/>
          <w:sz w:val="21"/>
          <w:szCs w:val="21"/>
          <w:highlight w:val="none"/>
        </w:rPr>
        <w:t>6</w:t>
      </w:r>
      <w:r>
        <w:rPr>
          <w:rFonts w:asciiTheme="majorEastAsia" w:hAnsiTheme="majorEastAsia" w:eastAsiaTheme="majorEastAsia"/>
          <w:b/>
          <w:bCs/>
          <w:color w:val="auto"/>
          <w:sz w:val="21"/>
          <w:szCs w:val="21"/>
          <w:highlight w:val="none"/>
        </w:rPr>
        <w:t>.被拒绝的响应文件为无效。</w:t>
      </w:r>
    </w:p>
    <w:p w14:paraId="4768896C">
      <w:pPr>
        <w:pStyle w:val="14"/>
        <w:widowControl w:val="0"/>
        <w:tabs>
          <w:tab w:val="clear" w:pos="454"/>
        </w:tabs>
        <w:spacing w:afterLines="0" w:line="360" w:lineRule="auto"/>
        <w:ind w:left="0" w:firstLine="0"/>
        <w:contextualSpacing/>
        <w:rPr>
          <w:rFonts w:asciiTheme="majorEastAsia" w:hAnsiTheme="majorEastAsia" w:eastAsiaTheme="majorEastAsia"/>
          <w:b/>
          <w:color w:val="auto"/>
          <w:sz w:val="21"/>
          <w:szCs w:val="21"/>
          <w:highlight w:val="none"/>
        </w:rPr>
      </w:pPr>
    </w:p>
    <w:p w14:paraId="4DCBDCF6">
      <w:pPr>
        <w:pStyle w:val="14"/>
        <w:widowControl w:val="0"/>
        <w:tabs>
          <w:tab w:val="clear" w:pos="454"/>
        </w:tabs>
        <w:spacing w:afterLines="0" w:line="360" w:lineRule="auto"/>
        <w:ind w:left="0" w:firstLine="0"/>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四、磋商程序</w:t>
      </w:r>
    </w:p>
    <w:p w14:paraId="20F578E0">
      <w:pPr>
        <w:pStyle w:val="25"/>
        <w:spacing w:beforeLines="0" w:afterLines="0" w:line="360" w:lineRule="auto"/>
        <w:ind w:firstLine="413" w:firstLineChars="196"/>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（一）磋商准备</w:t>
      </w:r>
    </w:p>
    <w:p w14:paraId="05C9260B">
      <w:pPr>
        <w:pStyle w:val="25"/>
        <w:spacing w:beforeLines="0" w:afterLines="0" w:line="360" w:lineRule="auto"/>
        <w:ind w:firstLine="420" w:firstLineChars="200"/>
        <w:contextualSpacing/>
        <w:rPr>
          <w:rFonts w:asciiTheme="majorEastAsia" w:hAnsiTheme="majorEastAsia" w:eastAsiaTheme="majorEastAsia"/>
          <w:bCs/>
          <w:color w:val="auto"/>
          <w:highlight w:val="none"/>
        </w:rPr>
      </w:pPr>
      <w:r>
        <w:rPr>
          <w:rFonts w:asciiTheme="majorEastAsia" w:hAnsiTheme="majorEastAsia" w:eastAsiaTheme="majorEastAsia"/>
          <w:bCs/>
          <w:color w:val="auto"/>
          <w:highlight w:val="none"/>
        </w:rPr>
        <w:t>采购代理机构将在规定的时间和地点进行磋商，供应商的法定代表人（负责人）或其授权代表应参加磋商并签到。供应商的法定代表人（负责人）或其授权代表未按时签到的，视同放弃磋商权利、认可磋商结果。</w:t>
      </w:r>
    </w:p>
    <w:p w14:paraId="465473F2">
      <w:pPr>
        <w:pStyle w:val="25"/>
        <w:spacing w:beforeLines="0" w:afterLines="0" w:line="360" w:lineRule="auto"/>
        <w:ind w:firstLine="413" w:firstLineChars="196"/>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（二）磋商程序：</w:t>
      </w:r>
    </w:p>
    <w:p w14:paraId="4B8247BD">
      <w:pPr>
        <w:spacing w:line="360" w:lineRule="auto"/>
        <w:ind w:firstLine="420" w:firstLineChars="200"/>
        <w:contextualSpacing/>
        <w:jc w:val="left"/>
        <w:rPr>
          <w:rFonts w:cs="宋体" w:asciiTheme="majorEastAsia" w:hAnsiTheme="majorEastAsia" w:eastAsiaTheme="majorEastAsia"/>
          <w:bCs/>
          <w:color w:val="auto"/>
          <w:szCs w:val="21"/>
          <w:highlight w:val="none"/>
        </w:rPr>
      </w:pPr>
      <w:r>
        <w:rPr>
          <w:rFonts w:hint="eastAsia" w:cs="宋体" w:asciiTheme="majorEastAsia" w:hAnsiTheme="majorEastAsia" w:eastAsiaTheme="majorEastAsia"/>
          <w:bCs/>
          <w:color w:val="auto"/>
          <w:szCs w:val="21"/>
          <w:highlight w:val="none"/>
        </w:rPr>
        <w:t>1、电子招投标开标程序：</w:t>
      </w:r>
    </w:p>
    <w:p w14:paraId="11127296">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响应文件在线解密：</w:t>
      </w:r>
    </w:p>
    <w:p w14:paraId="007806D9">
      <w:pPr>
        <w:numPr>
          <w:ilvl w:val="0"/>
          <w:numId w:val="4"/>
        </w:numPr>
        <w:adjustRightInd w:val="0"/>
        <w:spacing w:line="360" w:lineRule="auto"/>
        <w:ind w:firstLine="420"/>
        <w:contextualSpacing/>
        <w:jc w:val="left"/>
        <w:textAlignment w:val="baseline"/>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首次递交响应文件截止时间后，供应商登录政府采购云平台，用“项目采购-开标评标”功能对电子响应文件进行在线解密，在线解密电子响应文件时间为首次提交响应文件截止后30分钟内。</w:t>
      </w:r>
    </w:p>
    <w:p w14:paraId="5B31D884">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响应文件评审：</w:t>
      </w:r>
    </w:p>
    <w:p w14:paraId="5C2D7D72">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bCs/>
          <w:color w:val="auto"/>
          <w:kern w:val="0"/>
          <w:szCs w:val="21"/>
          <w:highlight w:val="none"/>
        </w:rPr>
        <w:t>（</w:t>
      </w:r>
      <w:r>
        <w:rPr>
          <w:rFonts w:hint="eastAsia" w:cs="宋体" w:asciiTheme="majorEastAsia" w:hAnsiTheme="majorEastAsia" w:eastAsiaTheme="majorEastAsia"/>
          <w:color w:val="auto"/>
          <w:szCs w:val="21"/>
          <w:highlight w:val="none"/>
        </w:rPr>
        <w:t>1）磋商小组查阅响应文件，不符合资格审查的供应商将被拒绝。</w:t>
      </w:r>
    </w:p>
    <w:p w14:paraId="7246F3B4">
      <w:pPr>
        <w:numPr>
          <w:ilvl w:val="0"/>
          <w:numId w:val="4"/>
        </w:numPr>
        <w:adjustRightInd w:val="0"/>
        <w:spacing w:line="360" w:lineRule="auto"/>
        <w:ind w:firstLine="420"/>
        <w:contextualSpacing/>
        <w:jc w:val="left"/>
        <w:textAlignment w:val="baseline"/>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如磋商小组对响应文件有疑义，将向响应供应商在线发送询标函，供应商应在规定的时间内对在线询标函做出询标澄清。逾期澄清或未澄清的供应商视同认可磋商结果。</w:t>
      </w:r>
    </w:p>
    <w:p w14:paraId="3F2FB39F">
      <w:pPr>
        <w:numPr>
          <w:ilvl w:val="0"/>
          <w:numId w:val="4"/>
        </w:numPr>
        <w:adjustRightInd w:val="0"/>
        <w:spacing w:line="360" w:lineRule="auto"/>
        <w:ind w:firstLine="422"/>
        <w:contextualSpacing/>
        <w:jc w:val="left"/>
        <w:textAlignment w:val="baseline"/>
        <w:rPr>
          <w:rFonts w:cs="宋体" w:asciiTheme="majorEastAsia" w:hAnsiTheme="majorEastAsia" w:eastAsiaTheme="majorEastAsia"/>
          <w:b/>
          <w:bCs/>
          <w:color w:val="auto"/>
          <w:szCs w:val="21"/>
          <w:highlight w:val="none"/>
        </w:rPr>
      </w:pPr>
      <w:r>
        <w:rPr>
          <w:rFonts w:hint="eastAsia" w:cs="宋体" w:asciiTheme="majorEastAsia" w:hAnsiTheme="majorEastAsia" w:eastAsiaTheme="majorEastAsia"/>
          <w:b/>
          <w:bCs/>
          <w:color w:val="auto"/>
          <w:szCs w:val="21"/>
          <w:highlight w:val="none"/>
        </w:rPr>
        <w:t>在磋商过程中，磋商小组可以根据磋商文件和磋商情况实质性变动采购需求中的技术、服务要求以及合同草案条款；对磋商文件作出的实质性变动是磋商文件的有效组成部分，磋商小组以在线询标的形式同时通知所有参加磋商的供应商。供应商按照磋商文件的变动情况和磋商小组的要求在规定时间内提交响应文件（或补充文件），并由其法定代表人（负责人）或授权代表签字或加盖公章。递交的响应文件（或补充文件）具有相应的法律效力；磋商结束后，磋商小组要求所有实质性响应的供应商在规定时间内在线提交最终报价。最终报价是供应商响应文件的有效组成部分。</w:t>
      </w:r>
    </w:p>
    <w:p w14:paraId="158E5D4A">
      <w:pPr>
        <w:numPr>
          <w:ilvl w:val="0"/>
          <w:numId w:val="4"/>
        </w:numPr>
        <w:adjustRightInd w:val="0"/>
        <w:spacing w:line="360" w:lineRule="auto"/>
        <w:ind w:firstLine="420"/>
        <w:contextualSpacing/>
        <w:jc w:val="left"/>
        <w:textAlignment w:val="baseline"/>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经磋商确定最终采购需求和提交最终报价的供应商后，由磋商小组采用综合评分法对提交最终报价的供应商的响应文件和最终报价进行综合评分。</w:t>
      </w:r>
    </w:p>
    <w:p w14:paraId="5D2841AD">
      <w:pPr>
        <w:numPr>
          <w:ilvl w:val="0"/>
          <w:numId w:val="4"/>
        </w:numPr>
        <w:adjustRightInd w:val="0"/>
        <w:spacing w:line="360" w:lineRule="auto"/>
        <w:ind w:firstLine="420"/>
        <w:contextualSpacing/>
        <w:jc w:val="left"/>
        <w:textAlignment w:val="baseline"/>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磋商小组根据综合评分情况，按照评审得分由高到低顺序推荐3名及以上成交候选供应商，并编写评审报告。若评审得分相同，则报价低者排名在前；评审得分且最终报价相同的则由抽签决定成交候选人，先抽中者排名在前。</w:t>
      </w:r>
    </w:p>
    <w:p w14:paraId="5C0734F1">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（6）在</w:t>
      </w:r>
      <w:r>
        <w:rPr>
          <w:rFonts w:hint="eastAsia" w:cs="宋体" w:asciiTheme="majorEastAsia" w:hAnsiTheme="majorEastAsia" w:eastAsiaTheme="majorEastAsia"/>
          <w:color w:val="auto"/>
          <w:kern w:val="0"/>
          <w:szCs w:val="21"/>
          <w:highlight w:val="none"/>
        </w:rPr>
        <w:t>政府采购云平台</w:t>
      </w:r>
      <w:r>
        <w:rPr>
          <w:rFonts w:hint="eastAsia" w:cs="宋体" w:asciiTheme="majorEastAsia" w:hAnsiTheme="majorEastAsia" w:eastAsiaTheme="majorEastAsia"/>
          <w:color w:val="auto"/>
          <w:szCs w:val="21"/>
          <w:highlight w:val="none"/>
        </w:rPr>
        <w:t>公布评审结果。</w:t>
      </w:r>
    </w:p>
    <w:p w14:paraId="790AF2E5">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（7）磋商会议结束。</w:t>
      </w:r>
    </w:p>
    <w:p w14:paraId="267AD7CF">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（8）采购人从评审报告提出的成交候选供应商中，按照得分排序由高到低的原则确定排名第一的成交候选供应商为成交供应商。采购代理机构在采购公告发布网站上公布成交结果。</w:t>
      </w:r>
    </w:p>
    <w:p w14:paraId="21ADFF26">
      <w:pPr>
        <w:numPr>
          <w:ilvl w:val="0"/>
          <w:numId w:val="5"/>
        </w:numPr>
        <w:adjustRightInd w:val="0"/>
        <w:spacing w:line="360" w:lineRule="auto"/>
        <w:ind w:firstLine="420" w:firstLineChars="200"/>
        <w:contextualSpacing/>
        <w:jc w:val="left"/>
        <w:textAlignment w:val="baseline"/>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线下开标程序：</w:t>
      </w:r>
    </w:p>
    <w:p w14:paraId="09CB483B">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响应文件开启：</w:t>
      </w:r>
    </w:p>
    <w:p w14:paraId="04D457DC">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（1）磋商会议由采购代理机构主持，主持人宣布磋商会议开始；</w:t>
      </w:r>
    </w:p>
    <w:p w14:paraId="117C8FD3">
      <w:pPr>
        <w:spacing w:line="360" w:lineRule="auto"/>
        <w:ind w:firstLine="420" w:firstLineChars="200"/>
        <w:contextualSpacing/>
        <w:jc w:val="left"/>
        <w:rPr>
          <w:rFonts w:cs="宋体" w:asciiTheme="majorEastAsia" w:hAnsiTheme="majorEastAsia" w:eastAsiaTheme="majorEastAsia"/>
          <w:color w:val="auto"/>
          <w:szCs w:val="21"/>
          <w:highlight w:val="none"/>
        </w:rPr>
      </w:pPr>
      <w:bookmarkStart w:id="17" w:name="_Toc396115156"/>
      <w:r>
        <w:rPr>
          <w:rFonts w:hint="eastAsia" w:cs="宋体" w:asciiTheme="majorEastAsia" w:hAnsiTheme="majorEastAsia" w:eastAsiaTheme="majorEastAsia"/>
          <w:color w:val="auto"/>
          <w:szCs w:val="21"/>
          <w:highlight w:val="none"/>
        </w:rPr>
        <w:t>（2）主持人宣布评标期间的有关事项，告知应当回避的情形,提请有关人员回避；</w:t>
      </w:r>
      <w:bookmarkEnd w:id="17"/>
    </w:p>
    <w:p w14:paraId="2EA3B025">
      <w:pPr>
        <w:spacing w:line="360" w:lineRule="auto"/>
        <w:ind w:firstLine="420" w:firstLineChars="200"/>
        <w:contextualSpacing/>
        <w:jc w:val="left"/>
        <w:rPr>
          <w:rFonts w:cs="宋体" w:asciiTheme="majorEastAsia" w:hAnsiTheme="majorEastAsia" w:eastAsiaTheme="majorEastAsia"/>
          <w:color w:val="auto"/>
          <w:szCs w:val="21"/>
          <w:highlight w:val="none"/>
        </w:rPr>
      </w:pPr>
      <w:bookmarkStart w:id="18" w:name="_Toc396115157"/>
      <w:r>
        <w:rPr>
          <w:rFonts w:hint="eastAsia" w:cs="宋体" w:asciiTheme="majorEastAsia" w:hAnsiTheme="majorEastAsia" w:eastAsiaTheme="majorEastAsia"/>
          <w:color w:val="auto"/>
          <w:szCs w:val="21"/>
          <w:highlight w:val="none"/>
        </w:rPr>
        <w:t>（4）</w:t>
      </w:r>
      <w:bookmarkEnd w:id="18"/>
      <w:bookmarkStart w:id="19" w:name="_Toc396115158"/>
      <w:r>
        <w:rPr>
          <w:rFonts w:hint="eastAsia" w:cs="宋体" w:asciiTheme="majorEastAsia" w:hAnsiTheme="majorEastAsia" w:eastAsiaTheme="majorEastAsia"/>
          <w:color w:val="auto"/>
          <w:szCs w:val="21"/>
          <w:highlight w:val="none"/>
        </w:rPr>
        <w:t>由供应商或其当场推荐的代表检查磋商文件密封的完整性；</w:t>
      </w:r>
    </w:p>
    <w:bookmarkEnd w:id="19"/>
    <w:p w14:paraId="0B010F1E">
      <w:pPr>
        <w:spacing w:line="360" w:lineRule="auto"/>
        <w:ind w:firstLine="420" w:firstLineChars="200"/>
        <w:contextualSpacing/>
        <w:jc w:val="left"/>
        <w:rPr>
          <w:rFonts w:cs="宋体" w:asciiTheme="majorEastAsia" w:hAnsiTheme="majorEastAsia" w:eastAsiaTheme="majorEastAsia"/>
          <w:color w:val="auto"/>
          <w:szCs w:val="21"/>
          <w:highlight w:val="none"/>
        </w:rPr>
      </w:pPr>
      <w:bookmarkStart w:id="20" w:name="_Toc396115159"/>
      <w:r>
        <w:rPr>
          <w:rFonts w:hint="eastAsia" w:cs="宋体" w:asciiTheme="majorEastAsia" w:hAnsiTheme="majorEastAsia" w:eastAsiaTheme="majorEastAsia"/>
          <w:color w:val="auto"/>
          <w:szCs w:val="21"/>
          <w:highlight w:val="none"/>
        </w:rPr>
        <w:t>响应文件评审：</w:t>
      </w:r>
    </w:p>
    <w:bookmarkEnd w:id="20"/>
    <w:p w14:paraId="5A01709D">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（1）磋商小组查阅响应文件，不符合资格审查的供应商将被拒绝。</w:t>
      </w:r>
    </w:p>
    <w:p w14:paraId="2510372C">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（2）磋商小组依照顺序与进入磋商的单一供应商分别进行磋商。</w:t>
      </w:r>
    </w:p>
    <w:p w14:paraId="26C3C724">
      <w:pPr>
        <w:spacing w:line="360" w:lineRule="auto"/>
        <w:ind w:firstLine="422" w:firstLineChars="200"/>
        <w:contextualSpacing/>
        <w:jc w:val="left"/>
        <w:rPr>
          <w:rFonts w:cs="宋体" w:asciiTheme="majorEastAsia" w:hAnsiTheme="majorEastAsia" w:eastAsiaTheme="majorEastAsia"/>
          <w:b/>
          <w:bCs/>
          <w:color w:val="auto"/>
          <w:szCs w:val="21"/>
          <w:highlight w:val="none"/>
        </w:rPr>
      </w:pPr>
      <w:r>
        <w:rPr>
          <w:rFonts w:hint="eastAsia" w:cs="宋体" w:asciiTheme="majorEastAsia" w:hAnsiTheme="majorEastAsia" w:eastAsiaTheme="majorEastAsia"/>
          <w:b/>
          <w:bCs/>
          <w:color w:val="auto"/>
          <w:szCs w:val="21"/>
          <w:highlight w:val="none"/>
        </w:rPr>
        <w:t>（3）在磋商过程中，磋商小组可以根据磋商文件和磋商情况实质性变动采购需求中的技术、服务要求以及合同草案条款；对磋商文件作出的实质性变动是磋商文件的有效组成部分，磋商小组将通过书面形式同时通知所有参加磋商的供应商。供应商按照磋商文件的变动情况和磋商小组的要求在规定时间内重新提交响应文件（或补充文件），并由其法定代表人（负责人）或授权代表签字或加盖公章。重新递交的响应文件（或补充文件）具有相应的法律效力；磋商结束后，磋商小组要求所有实质性响应的供应商在规定时间内提交最终报价。最终报价是供应商响应文件的有效组成部分。</w:t>
      </w:r>
    </w:p>
    <w:p w14:paraId="377326AE">
      <w:pPr>
        <w:spacing w:line="360" w:lineRule="auto"/>
        <w:ind w:firstLine="422" w:firstLineChars="200"/>
        <w:contextualSpacing/>
        <w:jc w:val="left"/>
        <w:rPr>
          <w:rFonts w:cs="宋体" w:asciiTheme="majorEastAsia" w:hAnsiTheme="majorEastAsia" w:eastAsiaTheme="majorEastAsia"/>
          <w:b/>
          <w:bCs/>
          <w:color w:val="auto"/>
          <w:szCs w:val="21"/>
          <w:highlight w:val="none"/>
        </w:rPr>
      </w:pPr>
      <w:r>
        <w:rPr>
          <w:rFonts w:hint="eastAsia" w:cs="宋体" w:asciiTheme="majorEastAsia" w:hAnsiTheme="majorEastAsia" w:eastAsiaTheme="majorEastAsia"/>
          <w:b/>
          <w:bCs/>
          <w:color w:val="auto"/>
          <w:szCs w:val="21"/>
          <w:highlight w:val="none"/>
        </w:rPr>
        <w:t>注：如供应商未到现场，则磋商小组将通过邮件形式进行通知。如供应商未按照磋商文件的变动情况和磋商小组的要求在规定时间内重新提交响应文件（或补充文件）且未在规定时间内提交最终报价的；视同认可磋商文件的变动情况且响应文件中的报价作为最终报价。请未到场的供应商务必保持联络畅通。</w:t>
      </w:r>
    </w:p>
    <w:p w14:paraId="05A77F80">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（4）经磋商确定最终采购需求和提交最终报价的供应商后，由磋商小组采用综合评分法对提交最终报价的供应商的响应文件和最终报价进行综合评分；</w:t>
      </w:r>
    </w:p>
    <w:p w14:paraId="4A8BC4AF">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5）磋商小组根据综合评分情况，按照评审得分由高到低顺序推荐3名及以上成交候选供应商，并编写评审报告。若评审得分相同，则报价低者为成交候选人；评审得分且最终报价相同的则由抽签决定成交候选人。</w:t>
      </w:r>
    </w:p>
    <w:p w14:paraId="0DECF8A1">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（6）在</w:t>
      </w:r>
      <w:r>
        <w:rPr>
          <w:rFonts w:hint="eastAsia" w:cs="宋体" w:asciiTheme="majorEastAsia" w:hAnsiTheme="majorEastAsia" w:eastAsiaTheme="majorEastAsia"/>
          <w:color w:val="auto"/>
          <w:kern w:val="0"/>
          <w:szCs w:val="21"/>
          <w:highlight w:val="none"/>
        </w:rPr>
        <w:t>开标室</w:t>
      </w:r>
      <w:r>
        <w:rPr>
          <w:rFonts w:hint="eastAsia" w:cs="宋体" w:asciiTheme="majorEastAsia" w:hAnsiTheme="majorEastAsia" w:eastAsiaTheme="majorEastAsia"/>
          <w:color w:val="auto"/>
          <w:szCs w:val="21"/>
          <w:highlight w:val="none"/>
        </w:rPr>
        <w:t>公布评审结果。</w:t>
      </w:r>
    </w:p>
    <w:p w14:paraId="5E229C17">
      <w:pPr>
        <w:spacing w:line="360" w:lineRule="auto"/>
        <w:ind w:firstLine="420" w:firstLineChars="200"/>
        <w:contextualSpacing/>
        <w:jc w:val="left"/>
        <w:rPr>
          <w:rFonts w:cs="宋体" w:asciiTheme="majorEastAsia" w:hAnsiTheme="majorEastAsia" w:eastAsiaTheme="majorEastAsia"/>
          <w:b/>
          <w:bCs/>
          <w:color w:val="auto"/>
          <w:szCs w:val="21"/>
          <w:highlight w:val="none"/>
        </w:rPr>
      </w:pPr>
      <w:r>
        <w:rPr>
          <w:rFonts w:hint="eastAsia" w:cs="宋体" w:asciiTheme="majorEastAsia" w:hAnsiTheme="majorEastAsia" w:eastAsiaTheme="majorEastAsia"/>
          <w:color w:val="auto"/>
          <w:szCs w:val="21"/>
          <w:highlight w:val="none"/>
        </w:rPr>
        <w:t>（7）磋商会议结束。</w:t>
      </w:r>
    </w:p>
    <w:p w14:paraId="74A3A73B">
      <w:pPr>
        <w:spacing w:line="360" w:lineRule="auto"/>
        <w:ind w:firstLine="422" w:firstLineChars="200"/>
        <w:contextualSpacing/>
        <w:jc w:val="left"/>
        <w:rPr>
          <w:rFonts w:cs="宋体" w:asciiTheme="majorEastAsia" w:hAnsiTheme="majorEastAsia" w:eastAsiaTheme="majorEastAsia"/>
          <w:b/>
          <w:bCs/>
          <w:color w:val="auto"/>
          <w:szCs w:val="21"/>
          <w:highlight w:val="none"/>
        </w:rPr>
      </w:pPr>
      <w:r>
        <w:rPr>
          <w:rFonts w:hint="eastAsia" w:cs="宋体" w:asciiTheme="majorEastAsia" w:hAnsiTheme="majorEastAsia" w:eastAsiaTheme="majorEastAsia"/>
          <w:b/>
          <w:bCs/>
          <w:color w:val="auto"/>
          <w:szCs w:val="21"/>
          <w:highlight w:val="none"/>
        </w:rPr>
        <w:t>（8）采购人从评审报告提出的成交候选供应商中，按照得分排序由高到低的原则确定排名第一的成交候选供应商为成交供应商。采购代理机构在采购公告发布网站公布成交结果。</w:t>
      </w:r>
    </w:p>
    <w:p w14:paraId="3F67B012">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3、特别说明：</w:t>
      </w:r>
      <w:r>
        <w:rPr>
          <w:rFonts w:hint="eastAsia" w:cs="宋体" w:asciiTheme="majorEastAsia" w:hAnsiTheme="majorEastAsia" w:eastAsiaTheme="majorEastAsia"/>
          <w:color w:val="auto"/>
          <w:kern w:val="0"/>
          <w:szCs w:val="21"/>
          <w:highlight w:val="none"/>
        </w:rPr>
        <w:t>政府采购云平台</w:t>
      </w:r>
      <w:r>
        <w:rPr>
          <w:rFonts w:hint="eastAsia" w:cs="宋体" w:asciiTheme="majorEastAsia" w:hAnsiTheme="majorEastAsia" w:eastAsiaTheme="majorEastAsia"/>
          <w:color w:val="auto"/>
          <w:szCs w:val="21"/>
          <w:highlight w:val="none"/>
        </w:rPr>
        <w:t>如对电子化开标及评审程序有调整的，按调整后的程序操作。</w:t>
      </w:r>
    </w:p>
    <w:p w14:paraId="46A7BEF6">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本项目原则上采用政采云</w:t>
      </w:r>
      <w:r>
        <w:rPr>
          <w:rFonts w:hint="eastAsia" w:cs="宋体" w:asciiTheme="majorEastAsia" w:hAnsiTheme="majorEastAsia" w:eastAsiaTheme="majorEastAsia"/>
          <w:bCs/>
          <w:color w:val="auto"/>
          <w:szCs w:val="21"/>
          <w:highlight w:val="none"/>
        </w:rPr>
        <w:t>电子招投标开标程序</w:t>
      </w:r>
      <w:r>
        <w:rPr>
          <w:rFonts w:hint="eastAsia" w:cs="宋体" w:asciiTheme="majorEastAsia" w:hAnsiTheme="majorEastAsia" w:eastAsiaTheme="majorEastAsia"/>
          <w:color w:val="auto"/>
          <w:szCs w:val="21"/>
          <w:highlight w:val="none"/>
        </w:rPr>
        <w:t>，但有下情形之一的，按以下情况处理：</w:t>
      </w:r>
    </w:p>
    <w:p w14:paraId="00726980">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（1）若供应商在规定时间内无法解密或解密失败，代理机构将开启解密失败供应商递交的</w:t>
      </w:r>
      <w:r>
        <w:rPr>
          <w:rFonts w:hint="eastAsia" w:cs="宋体" w:asciiTheme="majorEastAsia" w:hAnsiTheme="majorEastAsia" w:eastAsiaTheme="majorEastAsia"/>
          <w:color w:val="auto"/>
          <w:kern w:val="0"/>
          <w:szCs w:val="21"/>
          <w:highlight w:val="none"/>
        </w:rPr>
        <w:t>以U盘存储的电子备份响应文件</w:t>
      </w:r>
      <w:r>
        <w:rPr>
          <w:rFonts w:hint="eastAsia" w:cs="宋体" w:asciiTheme="majorEastAsia" w:hAnsiTheme="majorEastAsia" w:eastAsiaTheme="majorEastAsia"/>
          <w:color w:val="auto"/>
          <w:szCs w:val="21"/>
          <w:highlight w:val="none"/>
        </w:rPr>
        <w:t>，上传至政采云平台项目采购模块，电子响应文件自动失效。</w:t>
      </w:r>
    </w:p>
    <w:p w14:paraId="53C3A06C">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（2）若因</w:t>
      </w:r>
      <w:r>
        <w:rPr>
          <w:rFonts w:hint="eastAsia" w:cs="宋体" w:asciiTheme="majorEastAsia" w:hAnsiTheme="majorEastAsia" w:eastAsiaTheme="majorEastAsia"/>
          <w:color w:val="auto"/>
          <w:kern w:val="0"/>
          <w:szCs w:val="21"/>
          <w:highlight w:val="none"/>
        </w:rPr>
        <w:t>政府采购云平台</w:t>
      </w:r>
      <w:r>
        <w:rPr>
          <w:rFonts w:hint="eastAsia" w:cs="宋体" w:asciiTheme="majorEastAsia" w:hAnsiTheme="majorEastAsia" w:eastAsiaTheme="majorEastAsia"/>
          <w:color w:val="auto"/>
          <w:szCs w:val="21"/>
          <w:highlight w:val="none"/>
        </w:rPr>
        <w:t>原因无法读取或电子开评标无法正常进行，代理机构将开启所有供应商递交的备份响应文件，以完成开标。</w:t>
      </w:r>
    </w:p>
    <w:p w14:paraId="391C5C0B">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（3）采购过程中出现以下情形，导致电子交易平台无法正常运行，或者无法保证电子交易的公平、公正和安全时，采购人（或代理机构）可中止电子交易活动：</w:t>
      </w:r>
    </w:p>
    <w:p w14:paraId="0423C84E">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 xml:space="preserve">3.1电子交易平台发生故障而无法登录访问的； </w:t>
      </w:r>
    </w:p>
    <w:p w14:paraId="7B82F3FB">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3.2电子交易平台应用或数据库出现错误，不能进行正常操作的；</w:t>
      </w:r>
    </w:p>
    <w:p w14:paraId="54DC7806">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3.3电子交易平台发现严重安全漏洞，有潜在泄密危险的；</w:t>
      </w:r>
    </w:p>
    <w:p w14:paraId="0F7C2B0C">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 xml:space="preserve">3.4病毒发作导致不能进行正常操作的； </w:t>
      </w:r>
    </w:p>
    <w:p w14:paraId="6ACAF5AB">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3.5其他无法保证电子交易的公平、公正和安全的情况。</w:t>
      </w:r>
    </w:p>
    <w:p w14:paraId="278D4B82">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出现前款规定情形，不影响采购公平、公正性的，采购人（或代理机构）可以待上述情形消除后继续组织电子交易活动，也可以决定某些环节以纸质形式进行。</w:t>
      </w:r>
    </w:p>
    <w:p w14:paraId="0D1723A4">
      <w:pPr>
        <w:spacing w:line="360" w:lineRule="auto"/>
        <w:ind w:firstLine="420" w:firstLineChars="200"/>
        <w:contextualSpacing/>
        <w:jc w:val="left"/>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（4）未开启的备份响应文件现场予以退还。</w:t>
      </w:r>
    </w:p>
    <w:p w14:paraId="74B5CEED">
      <w:pPr>
        <w:pStyle w:val="14"/>
        <w:widowControl w:val="0"/>
        <w:tabs>
          <w:tab w:val="clear" w:pos="454"/>
        </w:tabs>
        <w:spacing w:afterLines="0" w:line="360" w:lineRule="auto"/>
        <w:ind w:left="0" w:firstLine="0"/>
        <w:contextualSpacing/>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五、评审</w:t>
      </w:r>
    </w:p>
    <w:p w14:paraId="104AFEE3">
      <w:pPr>
        <w:pStyle w:val="25"/>
        <w:spacing w:beforeLines="0" w:afterLines="0" w:line="360" w:lineRule="auto"/>
        <w:ind w:left="690" w:leftChars="228" w:hanging="211" w:hangingChars="100"/>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（一）组建磋商小组</w:t>
      </w:r>
    </w:p>
    <w:p w14:paraId="3E0ADE7A">
      <w:pPr>
        <w:spacing w:line="360" w:lineRule="auto"/>
        <w:ind w:firstLine="420" w:firstLineChars="200"/>
        <w:contextualSpacing/>
        <w:jc w:val="lef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本项目磋商小组依法组建。</w:t>
      </w:r>
    </w:p>
    <w:p w14:paraId="564493EE">
      <w:pPr>
        <w:spacing w:line="360" w:lineRule="auto"/>
        <w:ind w:firstLine="420" w:firstLineChars="200"/>
        <w:contextualSpacing/>
        <w:jc w:val="lef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评审中因磋商小组成员缺席、回避或健康等特殊原因导致磋商小组组成不符合规定的，采购人或者采购代理机构应当依法补足后继续评审。被更换的磋商小组成员所作出的评审意见无效。</w:t>
      </w:r>
    </w:p>
    <w:p w14:paraId="50316335">
      <w:pPr>
        <w:pStyle w:val="25"/>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无法及时补足磋商小组成员的，采购人或者采购代理机构停止评审活动，封存所有响应文件和开标、评审资料，依法重新组建磋商小组进行评审。原磋商小组作出的评审意见无效。</w:t>
      </w:r>
    </w:p>
    <w:p w14:paraId="6D7DAC02">
      <w:pPr>
        <w:pStyle w:val="25"/>
        <w:spacing w:beforeLines="0" w:afterLines="0" w:line="360" w:lineRule="auto"/>
        <w:ind w:left="690" w:leftChars="228" w:hanging="211" w:hangingChars="100"/>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（二）评审的方式</w:t>
      </w:r>
    </w:p>
    <w:p w14:paraId="14DA8D72">
      <w:pPr>
        <w:pStyle w:val="25"/>
        <w:spacing w:beforeLines="0" w:afterLines="0" w:line="360" w:lineRule="auto"/>
        <w:ind w:left="689" w:leftChars="228" w:hanging="210" w:hangingChars="1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本项目采用不公开方式评审，评审的依据为磋商文件和响应文件。</w:t>
      </w:r>
    </w:p>
    <w:p w14:paraId="3BEF13CE">
      <w:pPr>
        <w:pStyle w:val="25"/>
        <w:spacing w:beforeLines="0" w:afterLines="0" w:line="360" w:lineRule="auto"/>
        <w:ind w:left="690" w:leftChars="228" w:hanging="211" w:hangingChars="100"/>
        <w:contextualSpacing/>
        <w:rPr>
          <w:rFonts w:asciiTheme="majorEastAsia" w:hAnsiTheme="majorEastAsia" w:eastAsiaTheme="majorEastAsia"/>
          <w:b/>
          <w:bCs/>
          <w:color w:val="auto"/>
          <w:highlight w:val="none"/>
        </w:rPr>
      </w:pPr>
      <w:r>
        <w:rPr>
          <w:rFonts w:asciiTheme="majorEastAsia" w:hAnsiTheme="majorEastAsia" w:eastAsiaTheme="majorEastAsia"/>
          <w:b/>
          <w:color w:val="auto"/>
          <w:highlight w:val="none"/>
        </w:rPr>
        <w:t>（三）</w:t>
      </w:r>
      <w:r>
        <w:rPr>
          <w:rFonts w:asciiTheme="majorEastAsia" w:hAnsiTheme="majorEastAsia" w:eastAsiaTheme="majorEastAsia"/>
          <w:b/>
          <w:bCs/>
          <w:color w:val="auto"/>
          <w:highlight w:val="none"/>
        </w:rPr>
        <w:t>评审程序</w:t>
      </w:r>
    </w:p>
    <w:p w14:paraId="30D6AEC9">
      <w:pPr>
        <w:pStyle w:val="28"/>
        <w:snapToGrid/>
        <w:spacing w:line="360" w:lineRule="auto"/>
        <w:ind w:firstLine="420" w:firstLineChars="200"/>
        <w:contextualSpacing/>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1.资格审查</w:t>
      </w:r>
    </w:p>
    <w:p w14:paraId="1F286012">
      <w:pPr>
        <w:pStyle w:val="28"/>
        <w:snapToGrid/>
        <w:spacing w:line="360" w:lineRule="auto"/>
        <w:ind w:firstLine="420" w:firstLineChars="200"/>
        <w:contextualSpacing/>
        <w:rPr>
          <w:rFonts w:asciiTheme="majorEastAsia" w:hAnsiTheme="majorEastAsia" w:eastAsiaTheme="majorEastAsia"/>
          <w:b w:val="0"/>
          <w:bCs w:val="0"/>
          <w:color w:val="auto"/>
          <w:sz w:val="21"/>
          <w:szCs w:val="21"/>
          <w:highlight w:val="none"/>
        </w:rPr>
      </w:pPr>
      <w:r>
        <w:rPr>
          <w:rFonts w:hint="eastAsia" w:asciiTheme="majorEastAsia" w:hAnsiTheme="majorEastAsia" w:eastAsiaTheme="majorEastAsia"/>
          <w:b w:val="0"/>
          <w:bCs w:val="0"/>
          <w:color w:val="auto"/>
          <w:sz w:val="21"/>
          <w:szCs w:val="21"/>
          <w:highlight w:val="none"/>
        </w:rPr>
        <w:t>磋商小组</w:t>
      </w:r>
      <w:r>
        <w:rPr>
          <w:rFonts w:asciiTheme="majorEastAsia" w:hAnsiTheme="majorEastAsia" w:eastAsiaTheme="majorEastAsia"/>
          <w:b w:val="0"/>
          <w:bCs w:val="0"/>
          <w:color w:val="auto"/>
          <w:sz w:val="21"/>
          <w:szCs w:val="21"/>
          <w:highlight w:val="none"/>
        </w:rPr>
        <w:t>对供应商的资格进行审查。依据法律法规和磋商文件的规定，对响应文件中的资格证明进行审查，以确定供应商是否具备磋商资格。</w:t>
      </w:r>
    </w:p>
    <w:p w14:paraId="6A70AF26">
      <w:pPr>
        <w:pStyle w:val="28"/>
        <w:snapToGrid/>
        <w:spacing w:line="360" w:lineRule="auto"/>
        <w:ind w:firstLine="420" w:firstLineChars="200"/>
        <w:contextualSpacing/>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2.符合性审查</w:t>
      </w:r>
    </w:p>
    <w:p w14:paraId="7015E922">
      <w:pPr>
        <w:spacing w:line="360" w:lineRule="auto"/>
        <w:ind w:firstLine="420" w:firstLineChars="200"/>
        <w:contextualSpacing/>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磋商小组</w:t>
      </w:r>
      <w:r>
        <w:rPr>
          <w:rFonts w:asciiTheme="majorEastAsia" w:hAnsiTheme="majorEastAsia" w:eastAsiaTheme="majorEastAsia"/>
          <w:color w:val="auto"/>
          <w:szCs w:val="21"/>
          <w:highlight w:val="none"/>
        </w:rPr>
        <w:t>依据磋商文件的规定，从供应商响应文件的有效性、完整性和对磋商文件的响应程度进行审查，以确定是否对磋商文件的实质性要求作出响应。</w:t>
      </w:r>
    </w:p>
    <w:p w14:paraId="7F616F16">
      <w:pPr>
        <w:pStyle w:val="28"/>
        <w:numPr>
          <w:ilvl w:val="0"/>
          <w:numId w:val="6"/>
        </w:numPr>
        <w:snapToGrid/>
        <w:spacing w:line="360" w:lineRule="auto"/>
        <w:ind w:firstLine="473"/>
        <w:contextualSpacing/>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澄清问题</w:t>
      </w:r>
    </w:p>
    <w:p w14:paraId="19167470">
      <w:pPr>
        <w:pStyle w:val="28"/>
        <w:snapToGrid/>
        <w:spacing w:line="360" w:lineRule="auto"/>
        <w:ind w:firstLine="420" w:firstLineChars="0"/>
        <w:contextualSpacing/>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对于响应文件中含义不明确、同类问题表述不一致或者有明显文字和计算错误的内容，磋商小组可要求供应商以书面形式作出必要的澄清、说明或者补正。</w:t>
      </w:r>
    </w:p>
    <w:p w14:paraId="10A5E5E6">
      <w:pPr>
        <w:pStyle w:val="28"/>
        <w:snapToGrid/>
        <w:spacing w:line="360" w:lineRule="auto"/>
        <w:ind w:firstLine="420" w:firstLineChars="200"/>
        <w:contextualSpacing/>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供应商的澄清、说明或者补正应当采用书面形式，并加盖公章，或者由法定代表人（负责人）或其授权代表签字确认，供应商的澄清、说明或者补正不得超出响应文件的范围或者改变响应文件的实质性内容。</w:t>
      </w:r>
    </w:p>
    <w:p w14:paraId="1BBF91A0">
      <w:pPr>
        <w:pStyle w:val="28"/>
        <w:snapToGrid/>
        <w:spacing w:line="360" w:lineRule="auto"/>
        <w:ind w:firstLine="473"/>
        <w:contextualSpacing/>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4.详细评审</w:t>
      </w:r>
    </w:p>
    <w:p w14:paraId="400AC3DD">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磋商小组对初步评审合格的响应文件，依照本办法对响应文件作进一步评审、比较。磋商小组成员经过阅标、审标、询标和磋商，</w:t>
      </w:r>
      <w:r>
        <w:rPr>
          <w:rFonts w:asciiTheme="majorEastAsia" w:hAnsiTheme="majorEastAsia" w:eastAsiaTheme="majorEastAsia"/>
          <w:bCs/>
          <w:color w:val="auto"/>
          <w:szCs w:val="21"/>
          <w:highlight w:val="none"/>
        </w:rPr>
        <w:t>经磋商确定最终采购需求和提交最后报价的供应商后，由磋商小组采用综合评分法对提交最后报价的供应商的响应文件和最后报价进行综合评分</w:t>
      </w:r>
      <w:r>
        <w:rPr>
          <w:rFonts w:asciiTheme="majorEastAsia" w:hAnsiTheme="majorEastAsia" w:eastAsiaTheme="majorEastAsia"/>
          <w:color w:val="auto"/>
          <w:szCs w:val="21"/>
          <w:highlight w:val="none"/>
        </w:rPr>
        <w:t>。</w:t>
      </w:r>
    </w:p>
    <w:p w14:paraId="78D35BCF">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评委打分参照本章 五、评分标准。资信技术分由各磋商小组成员打分，根据供应商的响应文件及相关澄清文件，进行独立打分。价格分由磋商小组统一核算。评委打分采用记名方式，取所有评委汇总得分的算术平均分（小数点后保留二位小数）。</w:t>
      </w:r>
    </w:p>
    <w:p w14:paraId="064D1880">
      <w:p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注：1）磋商小组对拟认定为响应文件无效的，应组织相关供应商代表进行陈述、澄清或申辩；</w:t>
      </w:r>
    </w:p>
    <w:p w14:paraId="13037F48">
      <w:p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2）代理机构可协助磋商小组主任评委对打分结果进行校对、核对并汇总统计；对明显畸高、畸低的评分（其总评分偏离平均分30%以上的），磋商小组组长应提醒相关磋商小组成员进行复核或书面说明理由，磋商小组成员拒绝说明的，由现场监督员据实记录；磋商小组成员的评审、修改记录应保留原件，随项目其他资料一并存档；</w:t>
      </w:r>
    </w:p>
    <w:p w14:paraId="48AB002F">
      <w:p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3）在报价文件的评审过程中，磋商小组认为供应商的最终报价明显低于其他通过符合性审查供应商的最终报价，有可能影响产品质量或者不能诚信履约的，应当要求其在评审现场合理的时间内提供书面说明，必要时提交相关证明材料；供应商不能证明其报价合理性的，磋商小组应当将其作为无效响应处理。</w:t>
      </w:r>
    </w:p>
    <w:p w14:paraId="3B13FD9C">
      <w:pPr>
        <w:spacing w:line="360" w:lineRule="auto"/>
        <w:ind w:firstLine="422" w:firstLineChars="200"/>
        <w:contextualSpacing/>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（四）澄清问题的形式</w:t>
      </w:r>
    </w:p>
    <w:p w14:paraId="053C3A3B">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对响应文件中含义不明确、同类问题表述不一致或者有明显文字和计算错误的内容，磋商小组可要求供应商作出必要的澄清、说明或者纠正。供应商的澄清、说明或者补正应当采用书面形式，由其授权代表签字或盖章确认，并不得超出响应文件的范围或者改变响应文件的实质性内容。</w:t>
      </w:r>
    </w:p>
    <w:p w14:paraId="3F0E487C">
      <w:pPr>
        <w:spacing w:line="360" w:lineRule="auto"/>
        <w:ind w:left="237" w:leftChars="113" w:firstLine="103" w:firstLineChars="49"/>
        <w:contextualSpacing/>
        <w:rPr>
          <w:rFonts w:asciiTheme="majorEastAsia" w:hAnsiTheme="majorEastAsia" w:eastAsiaTheme="majorEastAsia"/>
          <w:b/>
          <w:color w:val="auto"/>
          <w:szCs w:val="28"/>
          <w:highlight w:val="none"/>
        </w:rPr>
      </w:pPr>
      <w:bookmarkStart w:id="21" w:name="_Toc523820791"/>
      <w:bookmarkStart w:id="22" w:name="_Toc5857"/>
      <w:bookmarkStart w:id="23" w:name="_Toc354495806"/>
      <w:bookmarkStart w:id="24" w:name="_Toc354490630"/>
      <w:bookmarkStart w:id="25" w:name="_Toc523820682"/>
      <w:bookmarkStart w:id="26" w:name="_Toc523820930"/>
      <w:bookmarkStart w:id="27" w:name="_Toc317685588"/>
      <w:r>
        <w:rPr>
          <w:rFonts w:asciiTheme="majorEastAsia" w:hAnsiTheme="majorEastAsia" w:eastAsiaTheme="majorEastAsia"/>
          <w:b/>
          <w:color w:val="auto"/>
          <w:szCs w:val="28"/>
          <w:highlight w:val="none"/>
        </w:rPr>
        <w:t>（五）错误修正</w:t>
      </w:r>
      <w:bookmarkEnd w:id="21"/>
      <w:bookmarkEnd w:id="22"/>
      <w:bookmarkEnd w:id="23"/>
      <w:bookmarkEnd w:id="24"/>
      <w:bookmarkEnd w:id="25"/>
      <w:bookmarkEnd w:id="26"/>
      <w:bookmarkEnd w:id="27"/>
    </w:p>
    <w:p w14:paraId="468D7E55">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响应文件如果出现计算或表达上的错误，修正错误的原则如下：</w:t>
      </w:r>
    </w:p>
    <w:p w14:paraId="61110A5B">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1、响应文件中报价一览表内容与响应文件中相应内容不一致的，以报价一览表为准；</w:t>
      </w:r>
    </w:p>
    <w:p w14:paraId="1C10DE38">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2、大写金额和小写金额不一致的，以大写金额为准；</w:t>
      </w:r>
    </w:p>
    <w:p w14:paraId="0D237463">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3、单价金额小数点或者百分比有明显错位的，以开标一览表的总价为准，并修改单价；</w:t>
      </w:r>
    </w:p>
    <w:p w14:paraId="751F200C">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4、总价金额与按单价汇总金额不一致的，以单价金额计算结果为准。</w:t>
      </w:r>
    </w:p>
    <w:p w14:paraId="4D7F945E">
      <w:pPr>
        <w:pStyle w:val="25"/>
        <w:spacing w:beforeLines="0" w:afterLines="0" w:line="360" w:lineRule="auto"/>
        <w:ind w:firstLine="420" w:firstLineChars="200"/>
        <w:contextualSpacing/>
        <w:rPr>
          <w:rFonts w:asciiTheme="majorEastAsia" w:hAnsiTheme="majorEastAsia" w:eastAsiaTheme="majorEastAsia"/>
          <w:b/>
          <w:bCs/>
          <w:color w:val="auto"/>
          <w:highlight w:val="none"/>
        </w:rPr>
      </w:pPr>
      <w:r>
        <w:rPr>
          <w:rFonts w:asciiTheme="majorEastAsia" w:hAnsiTheme="majorEastAsia" w:eastAsiaTheme="majorEastAsia"/>
          <w:color w:val="auto"/>
          <w:highlight w:val="none"/>
        </w:rPr>
        <w:t>同时出现两种以上不一致的，按照前款规定的顺序修正。</w:t>
      </w:r>
      <w:r>
        <w:rPr>
          <w:rFonts w:asciiTheme="majorEastAsia" w:hAnsiTheme="majorEastAsia" w:eastAsiaTheme="majorEastAsia"/>
          <w:b/>
          <w:color w:val="auto"/>
          <w:highlight w:val="none"/>
        </w:rPr>
        <w:t>按上述修正错误的原</w:t>
      </w:r>
      <w:r>
        <w:rPr>
          <w:rFonts w:asciiTheme="majorEastAsia" w:hAnsiTheme="majorEastAsia" w:eastAsiaTheme="majorEastAsia"/>
          <w:b/>
          <w:bCs/>
          <w:color w:val="auto"/>
          <w:highlight w:val="none"/>
        </w:rPr>
        <w:t>则及方法调整或修正响应文件的报价，供应商同意并签字确认后，调整后的报价对供应商具有约束作用。如果供应商不接受修正后的报价，则其报价将作为无效报价处理。</w:t>
      </w:r>
    </w:p>
    <w:p w14:paraId="669AFF59">
      <w:pPr>
        <w:pStyle w:val="25"/>
        <w:tabs>
          <w:tab w:val="left" w:pos="630"/>
        </w:tabs>
        <w:spacing w:beforeLines="0" w:afterLines="0" w:line="360" w:lineRule="auto"/>
        <w:ind w:firstLine="413" w:firstLineChars="196"/>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（六）评审原则和评审办法</w:t>
      </w:r>
    </w:p>
    <w:p w14:paraId="4F6CBA03">
      <w:pPr>
        <w:pStyle w:val="25"/>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1.评审原则。磋商小组必须公平、公正、客观，不带任何倾向性和启发性；不得向外界透露任何与评审有关的内容；任何单位和个人不得干扰、影响评审的正常进行；磋商小组及有关工作人员不得私下与供应商接触。</w:t>
      </w:r>
    </w:p>
    <w:p w14:paraId="241DA1CA">
      <w:pPr>
        <w:pStyle w:val="25"/>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2.评审办法。本项目评审办法是</w:t>
      </w:r>
      <w:r>
        <w:rPr>
          <w:rFonts w:asciiTheme="majorEastAsia" w:hAnsiTheme="majorEastAsia" w:eastAsiaTheme="majorEastAsia"/>
          <w:b/>
          <w:color w:val="auto"/>
          <w:highlight w:val="none"/>
          <w:u w:val="single"/>
        </w:rPr>
        <w:t xml:space="preserve"> 综合评分法</w:t>
      </w:r>
      <w:r>
        <w:rPr>
          <w:rFonts w:asciiTheme="majorEastAsia" w:hAnsiTheme="majorEastAsia" w:eastAsiaTheme="majorEastAsia"/>
          <w:color w:val="auto"/>
          <w:highlight w:val="none"/>
          <w:u w:val="single"/>
        </w:rPr>
        <w:t xml:space="preserve"> </w:t>
      </w:r>
      <w:r>
        <w:rPr>
          <w:rFonts w:asciiTheme="majorEastAsia" w:hAnsiTheme="majorEastAsia" w:eastAsiaTheme="majorEastAsia"/>
          <w:color w:val="auto"/>
          <w:highlight w:val="none"/>
        </w:rPr>
        <w:t>，具体评审内容及评分标准等详见《第四章：评审办法及评分标准》。</w:t>
      </w:r>
    </w:p>
    <w:p w14:paraId="049E74BF">
      <w:pPr>
        <w:pStyle w:val="25"/>
        <w:spacing w:beforeLines="0" w:afterLines="0" w:line="360" w:lineRule="auto"/>
        <w:contextualSpacing/>
        <w:rPr>
          <w:rFonts w:asciiTheme="majorEastAsia" w:hAnsiTheme="majorEastAsia" w:eastAsiaTheme="majorEastAsia"/>
          <w:b/>
          <w:color w:val="auto"/>
          <w:highlight w:val="none"/>
        </w:rPr>
      </w:pPr>
    </w:p>
    <w:p w14:paraId="24E1F19B">
      <w:pPr>
        <w:pStyle w:val="25"/>
        <w:spacing w:beforeLines="0" w:afterLines="0" w:line="360" w:lineRule="auto"/>
        <w:contextualSpacing/>
        <w:rPr>
          <w:rFonts w:asciiTheme="majorEastAsia" w:hAnsiTheme="majorEastAsia" w:eastAsiaTheme="majorEastAsia"/>
          <w:b/>
          <w:color w:val="auto"/>
          <w:highlight w:val="none"/>
        </w:rPr>
      </w:pPr>
      <w:r>
        <w:rPr>
          <w:rFonts w:hint="eastAsia" w:asciiTheme="majorEastAsia" w:hAnsiTheme="majorEastAsia" w:eastAsiaTheme="majorEastAsia"/>
          <w:b/>
          <w:color w:val="auto"/>
          <w:highlight w:val="none"/>
        </w:rPr>
        <w:t>六</w:t>
      </w:r>
      <w:r>
        <w:rPr>
          <w:rFonts w:asciiTheme="majorEastAsia" w:hAnsiTheme="majorEastAsia" w:eastAsiaTheme="majorEastAsia"/>
          <w:b/>
          <w:color w:val="auto"/>
          <w:highlight w:val="none"/>
        </w:rPr>
        <w:t>、确定成交</w:t>
      </w:r>
    </w:p>
    <w:p w14:paraId="79B55794">
      <w:p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1.</w:t>
      </w:r>
      <w:r>
        <w:rPr>
          <w:rFonts w:hint="eastAsia" w:asciiTheme="majorEastAsia" w:hAnsiTheme="majorEastAsia" w:eastAsiaTheme="majorEastAsia"/>
          <w:bCs/>
          <w:color w:val="auto"/>
          <w:szCs w:val="21"/>
          <w:highlight w:val="none"/>
        </w:rPr>
        <w:t>本项目</w:t>
      </w:r>
      <w:r>
        <w:rPr>
          <w:rFonts w:asciiTheme="majorEastAsia" w:hAnsiTheme="majorEastAsia" w:eastAsiaTheme="majorEastAsia"/>
          <w:bCs/>
          <w:color w:val="auto"/>
          <w:szCs w:val="21"/>
          <w:highlight w:val="none"/>
        </w:rPr>
        <w:t>确定</w:t>
      </w:r>
      <w:r>
        <w:rPr>
          <w:rFonts w:hint="eastAsia" w:asciiTheme="majorEastAsia" w:hAnsiTheme="majorEastAsia" w:eastAsiaTheme="majorEastAsia"/>
          <w:bCs/>
          <w:color w:val="auto"/>
          <w:szCs w:val="21"/>
          <w:highlight w:val="none"/>
        </w:rPr>
        <w:t>1名</w:t>
      </w:r>
      <w:r>
        <w:rPr>
          <w:rFonts w:asciiTheme="majorEastAsia" w:hAnsiTheme="majorEastAsia" w:eastAsiaTheme="majorEastAsia"/>
          <w:bCs/>
          <w:color w:val="auto"/>
          <w:szCs w:val="21"/>
          <w:highlight w:val="none"/>
        </w:rPr>
        <w:t>成交供应商。本项目由磋商小组推荐成交候选人，采购人不得在磋商小组推荐的成交候选人以外确定成交候选人。</w:t>
      </w:r>
    </w:p>
    <w:p w14:paraId="03721C76">
      <w:p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2.代理机构在评审结束后2个工作日内将评审报告交采购人确认，采购人在收到评审报告之日起5个工作日内在评审报告确定的成交候选人中按顺序确定成交供应商，采购人在收到评审报告之日起5个工作日内未按评审报告推荐的成交候选人排序确定成交供应商，又不能说明合法理由的，视同按评审报告推荐的顺序确定排名第一的成交候选人为成交供应商。</w:t>
      </w:r>
    </w:p>
    <w:p w14:paraId="79804718">
      <w:p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3.代理机构自成交供应商确定之日起2个工作日内，在发布招标公告的网站上对成交结果进行公示，成交结果公告期限为1个工作日。</w:t>
      </w:r>
    </w:p>
    <w:p w14:paraId="14B31987">
      <w:p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4.凡发现成交供应商有下列行为之一的，将移交政府采购监督管理部门依法处理：</w:t>
      </w:r>
    </w:p>
    <w:p w14:paraId="488685FC">
      <w:pPr>
        <w:numPr>
          <w:ilvl w:val="0"/>
          <w:numId w:val="7"/>
        </w:num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提供虚假材料谋取成交的；</w:t>
      </w:r>
    </w:p>
    <w:p w14:paraId="48D1BCAE">
      <w:pPr>
        <w:numPr>
          <w:ilvl w:val="0"/>
          <w:numId w:val="7"/>
        </w:num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采取不正当手段诋毁、排挤其他供应商的；</w:t>
      </w:r>
    </w:p>
    <w:p w14:paraId="3D6B4EAC">
      <w:pPr>
        <w:numPr>
          <w:ilvl w:val="0"/>
          <w:numId w:val="7"/>
        </w:num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与采购人、其他供应商或者代理机构工作人员恶意串通的；</w:t>
      </w:r>
    </w:p>
    <w:p w14:paraId="09A52E02">
      <w:pPr>
        <w:numPr>
          <w:ilvl w:val="0"/>
          <w:numId w:val="7"/>
        </w:num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向采购人或代理机构人员行贿或者提供其他不正当利益的；</w:t>
      </w:r>
    </w:p>
    <w:p w14:paraId="257C9402">
      <w:pPr>
        <w:numPr>
          <w:ilvl w:val="0"/>
          <w:numId w:val="7"/>
        </w:num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拒绝有关部门监督检查或者提供虚假情况的；</w:t>
      </w:r>
    </w:p>
    <w:p w14:paraId="1786A4A6">
      <w:pPr>
        <w:numPr>
          <w:ilvl w:val="0"/>
          <w:numId w:val="7"/>
        </w:numPr>
        <w:spacing w:line="360" w:lineRule="auto"/>
        <w:ind w:firstLine="420" w:firstLineChars="200"/>
        <w:contextualSpacing/>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有法律、法规规定的其他损害采购人利益和社会公共利益情形的。</w:t>
      </w:r>
    </w:p>
    <w:p w14:paraId="36857721">
      <w:pPr>
        <w:spacing w:line="360" w:lineRule="auto"/>
        <w:contextualSpacing/>
        <w:rPr>
          <w:rFonts w:asciiTheme="majorEastAsia" w:hAnsiTheme="majorEastAsia" w:eastAsiaTheme="majorEastAsia"/>
          <w:b/>
          <w:color w:val="auto"/>
          <w:szCs w:val="21"/>
          <w:highlight w:val="none"/>
        </w:rPr>
      </w:pPr>
    </w:p>
    <w:p w14:paraId="1A066D4A">
      <w:pPr>
        <w:spacing w:line="360" w:lineRule="auto"/>
        <w:contextualSpacing/>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七、评审过程的监控与保密</w:t>
      </w:r>
    </w:p>
    <w:p w14:paraId="6BBB8672">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1.本项目评审过程实行全程录音、录像监控，供应商在评审过程中所进行的试图影响评审结果的不公正活动，可能导致其响应文件被拒绝。</w:t>
      </w:r>
    </w:p>
    <w:p w14:paraId="760496FE">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2.磋商活动开始后到成交通知书发出之前，所有涉及磋商小组名单以及对响应文件的澄清、评价、比较等情况，磋商小组成员、采购人和代理机构的有关人员均不得向供应商或其他无关人员透露。</w:t>
      </w:r>
    </w:p>
    <w:p w14:paraId="13274718">
      <w:pPr>
        <w:pStyle w:val="25"/>
        <w:spacing w:beforeLines="0" w:afterLines="0" w:line="360" w:lineRule="auto"/>
        <w:contextualSpacing/>
        <w:rPr>
          <w:rFonts w:asciiTheme="majorEastAsia" w:hAnsiTheme="majorEastAsia" w:eastAsiaTheme="majorEastAsia"/>
          <w:b/>
          <w:color w:val="auto"/>
          <w:highlight w:val="none"/>
        </w:rPr>
      </w:pPr>
    </w:p>
    <w:p w14:paraId="3211B701">
      <w:pPr>
        <w:pStyle w:val="25"/>
        <w:spacing w:beforeLines="0" w:afterLines="0" w:line="360" w:lineRule="auto"/>
        <w:contextualSpacing/>
        <w:rPr>
          <w:rFonts w:asciiTheme="majorEastAsia" w:hAnsiTheme="majorEastAsia" w:eastAsiaTheme="majorEastAsia"/>
          <w:b/>
          <w:color w:val="auto"/>
          <w:highlight w:val="none"/>
        </w:rPr>
      </w:pPr>
      <w:r>
        <w:rPr>
          <w:rFonts w:asciiTheme="majorEastAsia" w:hAnsiTheme="majorEastAsia" w:eastAsiaTheme="majorEastAsia"/>
          <w:b/>
          <w:color w:val="auto"/>
          <w:highlight w:val="none"/>
        </w:rPr>
        <w:t>八、合同授予</w:t>
      </w:r>
    </w:p>
    <w:p w14:paraId="11981E35">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1.采购人与成交供应商应当在《成交通知书》发出之日起</w:t>
      </w:r>
      <w:r>
        <w:rPr>
          <w:rFonts w:hint="eastAsia" w:asciiTheme="majorEastAsia" w:hAnsiTheme="majorEastAsia" w:eastAsiaTheme="majorEastAsia"/>
          <w:b/>
          <w:color w:val="auto"/>
          <w:szCs w:val="21"/>
          <w:highlight w:val="none"/>
          <w:u w:val="single"/>
        </w:rPr>
        <w:t>2</w:t>
      </w:r>
      <w:r>
        <w:rPr>
          <w:rFonts w:asciiTheme="majorEastAsia" w:hAnsiTheme="majorEastAsia" w:eastAsiaTheme="majorEastAsia"/>
          <w:b/>
          <w:color w:val="auto"/>
          <w:szCs w:val="21"/>
          <w:highlight w:val="none"/>
          <w:u w:val="single"/>
        </w:rPr>
        <w:t>0</w:t>
      </w:r>
      <w:r>
        <w:rPr>
          <w:rFonts w:asciiTheme="majorEastAsia" w:hAnsiTheme="majorEastAsia" w:eastAsiaTheme="majorEastAsia"/>
          <w:color w:val="auto"/>
          <w:szCs w:val="21"/>
          <w:highlight w:val="none"/>
        </w:rPr>
        <w:t>日内签订政府采购合同。同时，代理机构对合同内容进行审查，如发现与采购结果和磋商承诺内容不一致的，应予以纠正。</w:t>
      </w:r>
    </w:p>
    <w:p w14:paraId="10964AAB">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2.成交供应商拖延、拒签合同的,将被取消成交资格。</w:t>
      </w:r>
    </w:p>
    <w:p w14:paraId="39D72BDF">
      <w:pPr>
        <w:spacing w:line="360" w:lineRule="auto"/>
        <w:ind w:firstLine="420" w:firstLineChars="200"/>
        <w:contextualSpacing/>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3.成交供应商拒绝与采购人签订合同或其他违规情形的，采购人可以重新采购。</w:t>
      </w:r>
    </w:p>
    <w:p w14:paraId="145F6A9A">
      <w:pPr>
        <w:spacing w:line="360" w:lineRule="auto"/>
        <w:contextualSpacing/>
        <w:jc w:val="left"/>
        <w:rPr>
          <w:rFonts w:asciiTheme="majorEastAsia" w:hAnsiTheme="majorEastAsia" w:eastAsiaTheme="majorEastAsia"/>
          <w:b/>
          <w:color w:val="auto"/>
          <w:szCs w:val="21"/>
          <w:highlight w:val="none"/>
        </w:rPr>
      </w:pPr>
    </w:p>
    <w:p w14:paraId="64B53B93">
      <w:pPr>
        <w:spacing w:line="360" w:lineRule="auto"/>
        <w:contextualSpacing/>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九、履约验收</w:t>
      </w:r>
    </w:p>
    <w:p w14:paraId="0B63F712">
      <w:pPr>
        <w:pStyle w:val="25"/>
        <w:spacing w:beforeLines="0" w:afterLines="0" w:line="360" w:lineRule="auto"/>
        <w:ind w:firstLine="420" w:firstLineChars="200"/>
        <w:contextualSpacing/>
        <w:rPr>
          <w:rFonts w:asciiTheme="majorEastAsia" w:hAnsiTheme="majorEastAsia" w:eastAsiaTheme="majorEastAsia"/>
          <w:color w:val="auto"/>
          <w:highlight w:val="none"/>
        </w:rPr>
      </w:pPr>
      <w:r>
        <w:rPr>
          <w:rFonts w:asciiTheme="majorEastAsia" w:hAnsiTheme="majorEastAsia" w:eastAsiaTheme="majorEastAsia"/>
          <w:color w:val="auto"/>
          <w:highlight w:val="none"/>
        </w:rPr>
        <w:t>采购人负责对成交供应商的履约行为进行验收，验收标准为本项目的磋商文件以及成交供应商的响应文件。政府向社会公众提供的公共服务项目，验收时应当邀请服务对象参与并出具意见，验收结果应当向社会公告。</w:t>
      </w:r>
    </w:p>
    <w:p w14:paraId="1AEA6906">
      <w:pPr>
        <w:spacing w:line="360" w:lineRule="auto"/>
        <w:contextualSpacing/>
        <w:rPr>
          <w:rFonts w:asciiTheme="majorEastAsia" w:hAnsiTheme="majorEastAsia" w:eastAsiaTheme="majorEastAsia"/>
          <w:b/>
          <w:bCs/>
          <w:color w:val="auto"/>
          <w:szCs w:val="21"/>
          <w:highlight w:val="none"/>
        </w:rPr>
      </w:pPr>
    </w:p>
    <w:p w14:paraId="5CFEEC27">
      <w:pPr>
        <w:spacing w:line="360" w:lineRule="auto"/>
        <w:contextualSpacing/>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十、政府采购政策</w:t>
      </w:r>
    </w:p>
    <w:p w14:paraId="61FE6BF9">
      <w:pPr>
        <w:snapToGrid w:val="0"/>
        <w:spacing w:line="360" w:lineRule="auto"/>
        <w:ind w:firstLine="422" w:firstLineChars="200"/>
        <w:rPr>
          <w:rFonts w:ascii="宋体" w:hAnsi="宋体" w:cs="宋体"/>
          <w:b/>
          <w:bCs/>
          <w:color w:val="auto"/>
          <w:kern w:val="0"/>
          <w:szCs w:val="21"/>
          <w:highlight w:val="none"/>
          <w:shd w:val="clear" w:color="auto" w:fill="FFFFFF"/>
        </w:rPr>
      </w:pPr>
      <w:r>
        <w:rPr>
          <w:rFonts w:hint="eastAsia" w:ascii="宋体" w:hAnsi="宋体" w:cs="宋体"/>
          <w:b/>
          <w:bCs/>
          <w:color w:val="auto"/>
          <w:kern w:val="0"/>
          <w:szCs w:val="21"/>
          <w:highlight w:val="none"/>
          <w:shd w:val="clear" w:color="auto" w:fill="FFFFFF"/>
        </w:rPr>
        <w:t>1、政府采购活动中有关中小企业的相关规定</w:t>
      </w:r>
    </w:p>
    <w:p w14:paraId="30EAB868">
      <w:pPr>
        <w:snapToGrid w:val="0"/>
        <w:spacing w:line="360" w:lineRule="auto"/>
        <w:ind w:firstLine="422" w:firstLineChars="200"/>
        <w:rPr>
          <w:rFonts w:ascii="宋体" w:hAnsi="宋体" w:cs="宋体"/>
          <w:b/>
          <w:bCs/>
          <w:color w:val="auto"/>
          <w:kern w:val="0"/>
          <w:szCs w:val="21"/>
          <w:highlight w:val="none"/>
          <w:shd w:val="clear" w:color="auto" w:fill="FFFFFF"/>
        </w:rPr>
      </w:pPr>
      <w:r>
        <w:rPr>
          <w:rFonts w:hint="eastAsia" w:ascii="宋体" w:hAnsi="宋体" w:cs="宋体"/>
          <w:b/>
          <w:bCs/>
          <w:color w:val="auto"/>
          <w:kern w:val="0"/>
          <w:szCs w:val="21"/>
          <w:highlight w:val="none"/>
          <w:shd w:val="clear" w:color="auto" w:fill="FFFFFF"/>
        </w:rPr>
        <w:t>1.1本项目</w:t>
      </w:r>
      <w:r>
        <w:rPr>
          <w:rFonts w:hint="eastAsia" w:ascii="宋体" w:hAnsi="宋体" w:cs="宋体"/>
          <w:b/>
          <w:bCs/>
          <w:color w:val="auto"/>
          <w:kern w:val="0"/>
          <w:szCs w:val="21"/>
          <w:highlight w:val="none"/>
          <w:u w:val="single"/>
          <w:shd w:val="clear" w:color="auto" w:fill="FFFFFF"/>
        </w:rPr>
        <w:t xml:space="preserve"> </w:t>
      </w:r>
      <w:r>
        <w:rPr>
          <w:rFonts w:hint="eastAsia" w:ascii="宋体" w:hAnsi="宋体" w:cs="宋体"/>
          <w:b/>
          <w:bCs/>
          <w:color w:val="auto"/>
          <w:kern w:val="0"/>
          <w:szCs w:val="21"/>
          <w:highlight w:val="none"/>
          <w:u w:val="single"/>
          <w:shd w:val="clear" w:color="auto" w:fill="FFFFFF"/>
          <w:lang w:eastAsia="zh-CN"/>
        </w:rPr>
        <w:t>是</w:t>
      </w:r>
      <w:r>
        <w:rPr>
          <w:rFonts w:hint="eastAsia" w:ascii="宋体" w:hAnsi="宋体" w:cs="宋体"/>
          <w:b/>
          <w:bCs/>
          <w:color w:val="auto"/>
          <w:kern w:val="0"/>
          <w:szCs w:val="21"/>
          <w:highlight w:val="none"/>
          <w:u w:val="single"/>
          <w:shd w:val="clear" w:color="auto" w:fill="FFFFFF"/>
        </w:rPr>
        <w:t xml:space="preserve"> </w:t>
      </w:r>
      <w:r>
        <w:rPr>
          <w:rFonts w:hint="eastAsia" w:ascii="宋体" w:hAnsi="宋体" w:cs="宋体"/>
          <w:b/>
          <w:bCs/>
          <w:color w:val="auto"/>
          <w:kern w:val="0"/>
          <w:szCs w:val="21"/>
          <w:highlight w:val="none"/>
          <w:shd w:val="clear" w:color="auto" w:fill="FFFFFF"/>
        </w:rPr>
        <w:t>专门面向中小企业采购。</w:t>
      </w:r>
    </w:p>
    <w:p w14:paraId="3A6992CB">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rPr>
        <w:t>1.2本项目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9ECE2C2">
      <w:pPr>
        <w:snapToGrid w:val="0"/>
        <w:spacing w:line="360" w:lineRule="auto"/>
        <w:ind w:firstLine="420" w:firstLineChars="200"/>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符合中小企业划分标准的个体工商户，在政府采购活动中视同中小企业。</w:t>
      </w:r>
    </w:p>
    <w:p w14:paraId="5A456DB0">
      <w:pPr>
        <w:snapToGrid w:val="0"/>
        <w:spacing w:line="360" w:lineRule="auto"/>
        <w:ind w:firstLine="422" w:firstLineChars="200"/>
        <w:rPr>
          <w:rFonts w:ascii="宋体" w:hAnsi="宋体" w:cs="宋体"/>
          <w:b/>
          <w:bCs/>
          <w:color w:val="auto"/>
          <w:kern w:val="0"/>
          <w:szCs w:val="21"/>
          <w:highlight w:val="none"/>
          <w:shd w:val="clear" w:color="auto" w:fill="FFFFFF"/>
        </w:rPr>
      </w:pPr>
      <w:r>
        <w:rPr>
          <w:rFonts w:hint="eastAsia" w:ascii="宋体" w:hAnsi="宋体" w:cs="宋体"/>
          <w:b/>
          <w:bCs/>
          <w:color w:val="auto"/>
          <w:kern w:val="0"/>
          <w:szCs w:val="21"/>
          <w:highlight w:val="none"/>
          <w:shd w:val="clear" w:color="auto" w:fill="FFFFFF"/>
        </w:rPr>
        <w:t>中小企业划分标准详见工信部联企业[2011]300号。</w:t>
      </w:r>
    </w:p>
    <w:p w14:paraId="17F4BAE8">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rPr>
        <w:t>1.3在政府采购活动中，供应商提供的货物、工程或者服务符合下列情形的，享受《政府采购促进中小企业发展管理办法》（财库[2020]46号）、《财政部关于进一步加大政府采购支持中小企业力度的通知》（财库[2022]19号）、《浙江省财政厅关于进一步加大政府采购支持中小企业力度 助力扎实稳住经济的通知》（浙财采监[2022]8号）等规定的中小企业扶持政策：</w:t>
      </w:r>
    </w:p>
    <w:p w14:paraId="29435F87">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rPr>
        <w:t>（一）在货物采购项目中，货物由中小企业制造，即货物由中小企业生产且使用该中小企业商号或者注册商标；</w:t>
      </w:r>
    </w:p>
    <w:p w14:paraId="59C59DBA">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rPr>
        <w:t>（二）在工程采购项目中，工程由中小企业承建，即工程施工单位为中小企业；</w:t>
      </w:r>
    </w:p>
    <w:p w14:paraId="35674A82">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rPr>
        <w:t>（三）在服务采购项目中，服务由中小企业承接，即提供服务的人员为中小企业依照《中华人民共和国劳动</w:t>
      </w:r>
      <w:r>
        <w:rPr>
          <w:rFonts w:hint="eastAsia" w:ascii="宋体" w:hAnsi="宋体" w:cs="宋体"/>
          <w:color w:val="auto"/>
          <w:kern w:val="0"/>
          <w:szCs w:val="21"/>
          <w:highlight w:val="none"/>
          <w:shd w:val="clear" w:color="auto" w:fill="FFFFFF"/>
          <w:lang w:eastAsia="zh-CN"/>
        </w:rPr>
        <w:t>中华人民共和国民法典</w:t>
      </w:r>
      <w:r>
        <w:rPr>
          <w:rFonts w:hint="eastAsia" w:ascii="宋体" w:hAnsi="宋体" w:cs="宋体"/>
          <w:color w:val="auto"/>
          <w:kern w:val="0"/>
          <w:szCs w:val="21"/>
          <w:highlight w:val="none"/>
          <w:shd w:val="clear" w:color="auto" w:fill="FFFFFF"/>
        </w:rPr>
        <w:t>》订立劳动合同的从业人员。</w:t>
      </w:r>
    </w:p>
    <w:p w14:paraId="6A804FB1">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rPr>
        <w:t>在货物采购项目中，供应商提供的货物既有中小企业制造货物，也有大型企业制造货物的，不享受本办法规定的中小企业扶持政策。</w:t>
      </w:r>
    </w:p>
    <w:p w14:paraId="04F2925B">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shd w:val="clear" w:color="auto" w:fill="FFFFFF"/>
        </w:rPr>
        <w:t>以联合体形式参加政府采购活动，联合体各方均为中小企业的，联合体视同中小企业。其中，联合体各方均为小微企业的，联合体视同小微企业。</w:t>
      </w:r>
    </w:p>
    <w:p w14:paraId="1B1007DF">
      <w:pPr>
        <w:snapToGrid w:val="0"/>
        <w:spacing w:line="360" w:lineRule="auto"/>
        <w:ind w:firstLine="420" w:firstLineChars="200"/>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1.4对于经主管预算单位统筹后未预留份额专门面向中小企业采购的采购项目，以及预留份额项目中的非预留部分采购包，采购人、采购代理机构应当对符合《政府采购促进中小企业发展管理办法》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5872FA7">
      <w:pPr>
        <w:snapToGrid w:val="0"/>
        <w:spacing w:line="360" w:lineRule="auto"/>
        <w:ind w:firstLine="420" w:firstLineChars="200"/>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27E6B3DD">
      <w:pPr>
        <w:snapToGrid w:val="0"/>
        <w:spacing w:line="360" w:lineRule="auto"/>
        <w:ind w:firstLine="420" w:firstLineChars="200"/>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价格扣除比例或者价格分加分比例对小型企业和微型企业同等对待，不作区分。</w:t>
      </w:r>
    </w:p>
    <w:p w14:paraId="4400D41D">
      <w:pPr>
        <w:snapToGrid w:val="0"/>
        <w:spacing w:line="360" w:lineRule="auto"/>
        <w:ind w:firstLine="420" w:firstLineChars="200"/>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本项目具体扣除比例见本采购文件 第四章 评标办法及评分标准。</w:t>
      </w:r>
    </w:p>
    <w:p w14:paraId="78D4433D">
      <w:pPr>
        <w:snapToGrid w:val="0"/>
        <w:spacing w:line="360" w:lineRule="auto"/>
        <w:ind w:firstLine="420" w:firstLineChars="200"/>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1.5中小企业参加政府采购活动，应当出具《政府采购促进中小企业发展管理办法》（财库[2020]46号）规定的《中小企业声明函》（详见响应文件格式部分），否则不得享受相关中小企业扶持政策。任何单位和个人不得要求供应商提供《中小企业声明函》之外的中小企业身份证明文件。</w:t>
      </w:r>
    </w:p>
    <w:p w14:paraId="3B16356C">
      <w:pPr>
        <w:snapToGrid w:val="0"/>
        <w:spacing w:line="360" w:lineRule="auto"/>
        <w:ind w:firstLine="420" w:firstLineChars="20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1.6政府采购监督检查、投诉处理及政府采购行政处罚中对中小企业的认定，由货物制造商或者工程、服务供应商注册登记所在地的县级以上人民政府中小企业主管部门负责。中小企业主管部门应当在收到财政部门或者有关招标投标行政监督部门关于协助开展中小企业认定函后10个工作日内做出书面答复。</w:t>
      </w:r>
    </w:p>
    <w:p w14:paraId="73FD00E9">
      <w:pPr>
        <w:snapToGrid w:val="0"/>
        <w:spacing w:line="360" w:lineRule="auto"/>
        <w:ind w:firstLine="420" w:firstLineChars="200"/>
        <w:jc w:val="left"/>
        <w:rPr>
          <w:rFonts w:ascii="宋体" w:hAnsi="宋体"/>
          <w:color w:val="auto"/>
          <w:szCs w:val="21"/>
          <w:highlight w:val="none"/>
          <w:lang w:bidi="ar"/>
        </w:rPr>
      </w:pPr>
      <w:r>
        <w:rPr>
          <w:rFonts w:hint="eastAsia" w:ascii="宋体" w:hAnsi="宋体"/>
          <w:color w:val="auto"/>
          <w:szCs w:val="21"/>
          <w:highlight w:val="none"/>
          <w:lang w:bidi="ar"/>
        </w:rPr>
        <w:t>1.7</w:t>
      </w:r>
      <w:r>
        <w:rPr>
          <w:rFonts w:ascii="宋体" w:hAnsi="宋体"/>
          <w:color w:val="auto"/>
          <w:szCs w:val="21"/>
          <w:highlight w:val="none"/>
          <w:lang w:bidi="ar"/>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r>
        <w:rPr>
          <w:rFonts w:hint="eastAsia" w:ascii="宋体" w:hAnsi="宋体"/>
          <w:color w:val="auto"/>
          <w:szCs w:val="21"/>
          <w:highlight w:val="none"/>
          <w:lang w:bidi="ar"/>
        </w:rPr>
        <w:t>。</w:t>
      </w:r>
    </w:p>
    <w:p w14:paraId="1C8BAA11">
      <w:pPr>
        <w:snapToGrid w:val="0"/>
        <w:spacing w:line="360" w:lineRule="auto"/>
        <w:ind w:firstLine="420" w:firstLineChars="200"/>
        <w:jc w:val="left"/>
        <w:rPr>
          <w:rFonts w:ascii="宋体" w:hAnsi="宋体"/>
          <w:color w:val="auto"/>
          <w:szCs w:val="21"/>
          <w:highlight w:val="none"/>
          <w:lang w:bidi="ar"/>
        </w:rPr>
      </w:pPr>
      <w:r>
        <w:rPr>
          <w:rFonts w:hint="eastAsia" w:ascii="宋体" w:hAnsi="宋体"/>
          <w:color w:val="auto"/>
          <w:szCs w:val="21"/>
          <w:highlight w:val="none"/>
          <w:lang w:bidi="ar"/>
        </w:rPr>
        <w:t>1.8</w:t>
      </w:r>
      <w:r>
        <w:rPr>
          <w:rFonts w:ascii="宋体" w:hAnsi="宋体"/>
          <w:color w:val="auto"/>
          <w:szCs w:val="21"/>
          <w:highlight w:val="none"/>
          <w:lang w:bidi="ar"/>
        </w:rPr>
        <w:t>根据《关于促进残疾人就业政府采购政策的通知》（财库[2017]141号）规定，在政府采购活动中，残疾人福利性单位视同小型、微型企业。残疾人福利性单位参加政府采购活动时，提供《残疾人福利性单位声明函》。</w:t>
      </w:r>
    </w:p>
    <w:p w14:paraId="5313B44C">
      <w:pPr>
        <w:spacing w:line="360" w:lineRule="auto"/>
        <w:ind w:firstLine="420" w:firstLineChars="200"/>
        <w:contextualSpacing/>
        <w:jc w:val="left"/>
        <w:rPr>
          <w:rFonts w:ascii="宋体" w:hAnsi="宋体"/>
          <w:color w:val="auto"/>
          <w:szCs w:val="21"/>
          <w:highlight w:val="none"/>
          <w:lang w:bidi="ar"/>
        </w:rPr>
      </w:pPr>
      <w:r>
        <w:rPr>
          <w:rFonts w:hint="eastAsia" w:ascii="宋体" w:hAnsi="宋体"/>
          <w:color w:val="auto"/>
          <w:szCs w:val="21"/>
          <w:highlight w:val="none"/>
          <w:lang w:bidi="ar"/>
        </w:rPr>
        <w:t>2、本项目为政府采购</w:t>
      </w:r>
      <w:r>
        <w:rPr>
          <w:rFonts w:hint="eastAsia" w:ascii="宋体" w:hAnsi="宋体"/>
          <w:b/>
          <w:bCs/>
          <w:color w:val="auto"/>
          <w:szCs w:val="21"/>
          <w:highlight w:val="none"/>
          <w:u w:val="single"/>
          <w:lang w:bidi="ar"/>
        </w:rPr>
        <w:t xml:space="preserve"> 服务 </w:t>
      </w:r>
      <w:r>
        <w:rPr>
          <w:rFonts w:hint="eastAsia" w:ascii="宋体" w:hAnsi="宋体"/>
          <w:color w:val="auto"/>
          <w:szCs w:val="21"/>
          <w:highlight w:val="none"/>
          <w:lang w:bidi="ar"/>
        </w:rPr>
        <w:t>项目，属于</w:t>
      </w:r>
      <w:r>
        <w:rPr>
          <w:rFonts w:hint="eastAsia" w:ascii="宋体" w:hAnsi="宋体" w:cs="宋体"/>
          <w:color w:val="auto"/>
          <w:szCs w:val="21"/>
          <w:highlight w:val="none"/>
          <w:shd w:val="clear" w:color="auto" w:fill="FFFFFF"/>
        </w:rPr>
        <w:t>工信部联企业[2011]300号规定</w:t>
      </w:r>
      <w:r>
        <w:rPr>
          <w:rFonts w:hint="eastAsia" w:ascii="宋体" w:hAnsi="宋体"/>
          <w:color w:val="auto"/>
          <w:szCs w:val="21"/>
          <w:highlight w:val="none"/>
          <w:u w:val="single"/>
          <w:lang w:bidi="ar"/>
        </w:rPr>
        <w:t xml:space="preserve"> </w:t>
      </w:r>
      <w:r>
        <w:rPr>
          <w:rFonts w:hint="eastAsia" w:ascii="宋体" w:hAnsi="宋体"/>
          <w:b/>
          <w:bCs/>
          <w:color w:val="auto"/>
          <w:szCs w:val="21"/>
          <w:highlight w:val="none"/>
          <w:u w:val="single"/>
          <w:lang w:val="en-US" w:eastAsia="zh-CN" w:bidi="ar"/>
        </w:rPr>
        <w:t>租赁和商务服务业</w:t>
      </w:r>
      <w:r>
        <w:rPr>
          <w:rFonts w:hint="eastAsia" w:ascii="宋体" w:hAnsi="宋体"/>
          <w:color w:val="auto"/>
          <w:szCs w:val="21"/>
          <w:highlight w:val="none"/>
          <w:u w:val="single"/>
          <w:lang w:bidi="ar"/>
        </w:rPr>
        <w:t xml:space="preserve"> </w:t>
      </w:r>
      <w:r>
        <w:rPr>
          <w:rFonts w:hint="eastAsia" w:ascii="宋体" w:hAnsi="宋体"/>
          <w:color w:val="auto"/>
          <w:szCs w:val="21"/>
          <w:highlight w:val="none"/>
          <w:lang w:bidi="ar"/>
        </w:rPr>
        <w:t>。</w:t>
      </w:r>
    </w:p>
    <w:p w14:paraId="1B5155EA">
      <w:pPr>
        <w:rPr>
          <w:rFonts w:cs="Arial" w:asciiTheme="minorEastAsia" w:hAnsiTheme="minorEastAsia" w:eastAsiaTheme="minorEastAsia"/>
          <w:color w:val="auto"/>
          <w:szCs w:val="21"/>
          <w:highlight w:val="none"/>
        </w:rPr>
      </w:pPr>
      <w:r>
        <w:rPr>
          <w:rFonts w:hint="eastAsia" w:ascii="宋体" w:hAnsi="宋体"/>
          <w:b/>
          <w:bCs/>
          <w:color w:val="auto"/>
          <w:szCs w:val="21"/>
          <w:highlight w:val="none"/>
          <w:lang w:bidi="ar"/>
        </w:rPr>
        <w:t>3、供应商按照《政府采购促进中小企业发展管理办法》（财库[2020]46号）规定提供声明函内容不实的，属于提供虚假材料谋取中标、成交，依照《中华人民共和国政府采购法》等国家有关规定追究相应责任。</w:t>
      </w:r>
    </w:p>
    <w:p w14:paraId="68EBD8E0">
      <w:pPr>
        <w:rPr>
          <w:color w:val="auto"/>
          <w:highlight w:val="none"/>
        </w:rPr>
        <w:sectPr>
          <w:footerReference r:id="rId10" w:type="first"/>
          <w:footerReference r:id="rId9" w:type="default"/>
          <w:pgSz w:w="11906" w:h="16838"/>
          <w:pgMar w:top="1440" w:right="1800" w:bottom="1440" w:left="1800" w:header="851" w:footer="992" w:gutter="0"/>
          <w:pgNumType w:start="1"/>
          <w:cols w:space="720" w:num="1"/>
          <w:titlePg/>
          <w:docGrid w:type="lines" w:linePitch="312" w:charSpace="0"/>
        </w:sectPr>
      </w:pPr>
    </w:p>
    <w:p w14:paraId="14A2AFDC">
      <w:pPr>
        <w:spacing w:after="330" w:line="360" w:lineRule="auto"/>
        <w:jc w:val="center"/>
        <w:outlineLvl w:val="0"/>
        <w:rPr>
          <w:rFonts w:asciiTheme="majorEastAsia" w:hAnsiTheme="majorEastAsia" w:eastAsiaTheme="majorEastAsia"/>
          <w:b/>
          <w:bCs/>
          <w:color w:val="auto"/>
          <w:sz w:val="32"/>
          <w:szCs w:val="40"/>
          <w:highlight w:val="none"/>
        </w:rPr>
      </w:pPr>
      <w:bookmarkStart w:id="28" w:name="_Toc12813"/>
      <w:bookmarkStart w:id="29" w:name="_Toc29249"/>
      <w:bookmarkStart w:id="30" w:name="_Toc522013505"/>
      <w:r>
        <w:rPr>
          <w:rFonts w:asciiTheme="majorEastAsia" w:hAnsiTheme="majorEastAsia" w:eastAsiaTheme="majorEastAsia"/>
          <w:b/>
          <w:bCs/>
          <w:color w:val="auto"/>
          <w:sz w:val="32"/>
          <w:szCs w:val="40"/>
          <w:highlight w:val="none"/>
        </w:rPr>
        <w:t>第四章  评审办法及评分标准</w:t>
      </w:r>
      <w:bookmarkEnd w:id="28"/>
      <w:bookmarkEnd w:id="29"/>
      <w:bookmarkEnd w:id="30"/>
    </w:p>
    <w:p w14:paraId="5F0D370C">
      <w:pPr>
        <w:spacing w:before="240" w:line="360" w:lineRule="auto"/>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一.总则</w:t>
      </w:r>
    </w:p>
    <w:p w14:paraId="473EB403">
      <w:pPr>
        <w:spacing w:line="360" w:lineRule="auto"/>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本次磋商遵循公平、公正、科学、择优的原则依法进行，磋商活动及当事人接受依法实施的监督。本次磋商采用综合评分法。</w:t>
      </w:r>
    </w:p>
    <w:p w14:paraId="2A52A4AC">
      <w:pPr>
        <w:spacing w:before="240" w:line="360" w:lineRule="auto"/>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二.评审组织</w:t>
      </w:r>
    </w:p>
    <w:p w14:paraId="76CEA6BC">
      <w:pPr>
        <w:spacing w:line="360" w:lineRule="auto"/>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磋商小组：采购人和采购机构根据采购项目的内容特点按照法律法规规定组建磋商小组。</w:t>
      </w:r>
    </w:p>
    <w:p w14:paraId="6BD0E6D0">
      <w:pPr>
        <w:spacing w:before="240" w:line="360" w:lineRule="auto"/>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三．磋商程序</w:t>
      </w:r>
    </w:p>
    <w:p w14:paraId="71BC4091">
      <w:pPr>
        <w:pStyle w:val="14"/>
        <w:widowControl w:val="0"/>
        <w:tabs>
          <w:tab w:val="clear" w:pos="454"/>
        </w:tabs>
        <w:snapToGrid w:val="0"/>
        <w:spacing w:afterLines="0" w:line="360" w:lineRule="auto"/>
        <w:ind w:left="0" w:firstLine="411" w:firstLineChars="196"/>
        <w:rPr>
          <w:rFonts w:asciiTheme="majorEastAsia" w:hAnsiTheme="majorEastAsia" w:eastAsiaTheme="majorEastAsia"/>
          <w:color w:val="auto"/>
          <w:kern w:val="2"/>
          <w:sz w:val="21"/>
          <w:szCs w:val="21"/>
          <w:highlight w:val="none"/>
        </w:rPr>
      </w:pPr>
      <w:r>
        <w:rPr>
          <w:rFonts w:asciiTheme="majorEastAsia" w:hAnsiTheme="majorEastAsia" w:eastAsiaTheme="majorEastAsia"/>
          <w:color w:val="auto"/>
          <w:kern w:val="2"/>
          <w:sz w:val="21"/>
          <w:szCs w:val="21"/>
          <w:highlight w:val="none"/>
        </w:rPr>
        <w:t>详见第三章供应商须知 四、磋商程序</w:t>
      </w:r>
      <w:r>
        <w:rPr>
          <w:rFonts w:hint="eastAsia" w:asciiTheme="majorEastAsia" w:hAnsiTheme="majorEastAsia" w:eastAsiaTheme="majorEastAsia"/>
          <w:color w:val="auto"/>
          <w:kern w:val="2"/>
          <w:sz w:val="21"/>
          <w:szCs w:val="21"/>
          <w:highlight w:val="none"/>
        </w:rPr>
        <w:t>。</w:t>
      </w:r>
    </w:p>
    <w:p w14:paraId="77B14E8A">
      <w:pPr>
        <w:spacing w:before="240" w:line="360" w:lineRule="auto"/>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四.评审程序</w:t>
      </w:r>
    </w:p>
    <w:p w14:paraId="505A3511">
      <w:pPr>
        <w:pStyle w:val="28"/>
        <w:spacing w:line="360" w:lineRule="auto"/>
        <w:ind w:firstLine="473"/>
        <w:rPr>
          <w:rFonts w:asciiTheme="majorEastAsia" w:hAnsiTheme="majorEastAsia" w:eastAsiaTheme="majorEastAsia"/>
          <w:b w:val="0"/>
          <w:bCs w:val="0"/>
          <w:color w:val="auto"/>
          <w:sz w:val="21"/>
          <w:szCs w:val="21"/>
          <w:highlight w:val="none"/>
        </w:rPr>
      </w:pPr>
      <w:r>
        <w:rPr>
          <w:rFonts w:asciiTheme="majorEastAsia" w:hAnsiTheme="majorEastAsia" w:eastAsiaTheme="majorEastAsia"/>
          <w:b w:val="0"/>
          <w:bCs w:val="0"/>
          <w:color w:val="auto"/>
          <w:sz w:val="21"/>
          <w:szCs w:val="21"/>
          <w:highlight w:val="none"/>
        </w:rPr>
        <w:t>详见第三章供应商须知 五、评审</w:t>
      </w:r>
      <w:r>
        <w:rPr>
          <w:rFonts w:hint="eastAsia" w:asciiTheme="majorEastAsia" w:hAnsiTheme="majorEastAsia" w:eastAsiaTheme="majorEastAsia"/>
          <w:b w:val="0"/>
          <w:bCs w:val="0"/>
          <w:color w:val="auto"/>
          <w:sz w:val="21"/>
          <w:szCs w:val="21"/>
          <w:highlight w:val="none"/>
        </w:rPr>
        <w:t>。</w:t>
      </w:r>
    </w:p>
    <w:p w14:paraId="520EF00B">
      <w:pPr>
        <w:numPr>
          <w:ilvl w:val="0"/>
          <w:numId w:val="8"/>
        </w:numPr>
        <w:spacing w:before="240" w:line="360" w:lineRule="auto"/>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评分标准</w:t>
      </w:r>
    </w:p>
    <w:tbl>
      <w:tblPr>
        <w:tblStyle w:val="45"/>
        <w:tblW w:w="10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598"/>
        <w:gridCol w:w="6271"/>
        <w:gridCol w:w="674"/>
        <w:gridCol w:w="735"/>
      </w:tblGrid>
      <w:tr w14:paraId="0554F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8703" w:type="dxa"/>
            <w:gridSpan w:val="3"/>
            <w:tcBorders>
              <w:top w:val="single" w:color="auto" w:sz="4" w:space="0"/>
              <w:left w:val="single" w:color="auto" w:sz="4" w:space="0"/>
              <w:bottom w:val="single" w:color="auto" w:sz="4" w:space="0"/>
              <w:right w:val="single" w:color="auto" w:sz="2" w:space="0"/>
            </w:tcBorders>
            <w:noWrap w:val="0"/>
            <w:vAlign w:val="center"/>
          </w:tcPr>
          <w:p w14:paraId="510675EC">
            <w:pPr>
              <w:keepNext w:val="0"/>
              <w:keepLines w:val="0"/>
              <w:pageBreakBefore w:val="0"/>
              <w:kinsoku/>
              <w:wordWrap/>
              <w:overflowPunct/>
              <w:topLinePunct w:val="0"/>
              <w:autoSpaceDN/>
              <w:bidi w:val="0"/>
              <w:adjustRightInd w:val="0"/>
              <w:spacing w:line="288" w:lineRule="auto"/>
              <w:jc w:val="center"/>
              <w:rPr>
                <w:rFonts w:hint="eastAsia" w:ascii="宋体" w:hAnsi="宋体" w:cs="宋体"/>
                <w:b/>
                <w:bCs/>
                <w:snapToGrid w:val="0"/>
                <w:color w:val="auto"/>
                <w:spacing w:val="-4"/>
                <w:szCs w:val="21"/>
                <w:highlight w:val="none"/>
              </w:rPr>
            </w:pPr>
            <w:r>
              <w:rPr>
                <w:rFonts w:hint="eastAsia" w:ascii="宋体" w:hAnsi="宋体" w:cs="宋体"/>
                <w:b/>
                <w:bCs/>
                <w:snapToGrid w:val="0"/>
                <w:color w:val="auto"/>
                <w:spacing w:val="-4"/>
                <w:szCs w:val="21"/>
                <w:highlight w:val="none"/>
              </w:rPr>
              <w:t>评分项及分值</w:t>
            </w:r>
          </w:p>
        </w:tc>
        <w:tc>
          <w:tcPr>
            <w:tcW w:w="674" w:type="dxa"/>
            <w:tcBorders>
              <w:top w:val="single" w:color="auto" w:sz="4" w:space="0"/>
              <w:left w:val="single" w:color="auto" w:sz="4" w:space="0"/>
              <w:bottom w:val="single" w:color="auto" w:sz="4" w:space="0"/>
              <w:right w:val="single" w:color="auto" w:sz="2" w:space="0"/>
            </w:tcBorders>
            <w:noWrap w:val="0"/>
            <w:vAlign w:val="center"/>
          </w:tcPr>
          <w:p w14:paraId="4A77CCA7">
            <w:pPr>
              <w:keepNext w:val="0"/>
              <w:keepLines w:val="0"/>
              <w:pageBreakBefore w:val="0"/>
              <w:kinsoku/>
              <w:wordWrap/>
              <w:overflowPunct/>
              <w:topLinePunct w:val="0"/>
              <w:autoSpaceDN/>
              <w:bidi w:val="0"/>
              <w:adjustRightInd w:val="0"/>
              <w:spacing w:line="288" w:lineRule="auto"/>
              <w:jc w:val="center"/>
              <w:rPr>
                <w:rFonts w:hint="eastAsia" w:ascii="宋体" w:hAnsi="宋体" w:cs="宋体"/>
                <w:b/>
                <w:bCs/>
                <w:snapToGrid w:val="0"/>
                <w:color w:val="auto"/>
                <w:spacing w:val="-4"/>
                <w:szCs w:val="21"/>
                <w:highlight w:val="none"/>
              </w:rPr>
            </w:pPr>
            <w:r>
              <w:rPr>
                <w:rFonts w:hint="eastAsia" w:ascii="宋体" w:hAnsi="宋体" w:cs="宋体"/>
                <w:b/>
                <w:bCs/>
                <w:snapToGrid w:val="0"/>
                <w:color w:val="auto"/>
                <w:spacing w:val="-4"/>
                <w:szCs w:val="21"/>
                <w:highlight w:val="none"/>
              </w:rPr>
              <w:t>分值</w:t>
            </w:r>
          </w:p>
        </w:tc>
        <w:tc>
          <w:tcPr>
            <w:tcW w:w="735" w:type="dxa"/>
            <w:tcBorders>
              <w:top w:val="single" w:color="auto" w:sz="4" w:space="0"/>
              <w:left w:val="single" w:color="auto" w:sz="4" w:space="0"/>
              <w:bottom w:val="single" w:color="auto" w:sz="4" w:space="0"/>
              <w:right w:val="single" w:color="auto" w:sz="2" w:space="0"/>
            </w:tcBorders>
            <w:noWrap w:val="0"/>
            <w:vAlign w:val="center"/>
          </w:tcPr>
          <w:p w14:paraId="13B07551">
            <w:pPr>
              <w:keepNext w:val="0"/>
              <w:keepLines w:val="0"/>
              <w:pageBreakBefore w:val="0"/>
              <w:kinsoku/>
              <w:wordWrap/>
              <w:overflowPunct/>
              <w:topLinePunct w:val="0"/>
              <w:autoSpaceDN/>
              <w:bidi w:val="0"/>
              <w:adjustRightInd w:val="0"/>
              <w:spacing w:line="288" w:lineRule="auto"/>
              <w:jc w:val="center"/>
              <w:rPr>
                <w:rFonts w:hint="eastAsia" w:ascii="宋体" w:hAnsi="宋体" w:cs="宋体"/>
                <w:b/>
                <w:bCs/>
                <w:snapToGrid w:val="0"/>
                <w:color w:val="auto"/>
                <w:spacing w:val="-4"/>
                <w:szCs w:val="21"/>
                <w:highlight w:val="none"/>
              </w:rPr>
            </w:pPr>
            <w:r>
              <w:rPr>
                <w:rFonts w:hint="eastAsia" w:ascii="宋体" w:hAnsi="宋体" w:cs="宋体"/>
                <w:b/>
                <w:bCs/>
                <w:snapToGrid w:val="0"/>
                <w:color w:val="auto"/>
                <w:spacing w:val="-4"/>
                <w:szCs w:val="21"/>
                <w:highlight w:val="none"/>
              </w:rPr>
              <w:t>分值类型</w:t>
            </w:r>
          </w:p>
        </w:tc>
      </w:tr>
      <w:tr w14:paraId="4CA2A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834" w:type="dxa"/>
            <w:vMerge w:val="restart"/>
            <w:tcBorders>
              <w:left w:val="single" w:color="auto" w:sz="4" w:space="0"/>
              <w:right w:val="single" w:color="auto" w:sz="2" w:space="0"/>
            </w:tcBorders>
            <w:noWrap w:val="0"/>
            <w:vAlign w:val="center"/>
          </w:tcPr>
          <w:p w14:paraId="093B4850">
            <w:pPr>
              <w:keepNext w:val="0"/>
              <w:keepLines w:val="0"/>
              <w:pageBreakBefore w:val="0"/>
              <w:widowControl/>
              <w:kinsoku/>
              <w:wordWrap/>
              <w:overflowPunct/>
              <w:topLinePunct w:val="0"/>
              <w:autoSpaceDN/>
              <w:bidi w:val="0"/>
              <w:adjustRightInd w:val="0"/>
              <w:spacing w:line="288" w:lineRule="auto"/>
              <w:jc w:val="left"/>
              <w:rPr>
                <w:rFonts w:hint="eastAsia" w:ascii="宋体" w:hAnsi="宋体" w:cs="宋体"/>
                <w:snapToGrid w:val="0"/>
                <w:color w:val="auto"/>
                <w:spacing w:val="-4"/>
                <w:szCs w:val="21"/>
                <w:highlight w:val="none"/>
              </w:rPr>
            </w:pPr>
            <w:r>
              <w:rPr>
                <w:rFonts w:hint="eastAsia" w:ascii="宋体" w:hAnsi="宋体" w:cs="宋体"/>
                <w:snapToGrid w:val="0"/>
                <w:color w:val="auto"/>
                <w:spacing w:val="-4"/>
                <w:szCs w:val="21"/>
                <w:highlight w:val="none"/>
              </w:rPr>
              <w:t>商务技术分（85分）</w:t>
            </w:r>
          </w:p>
        </w:tc>
        <w:tc>
          <w:tcPr>
            <w:tcW w:w="1598" w:type="dxa"/>
            <w:tcBorders>
              <w:top w:val="single" w:color="auto" w:sz="4" w:space="0"/>
              <w:left w:val="single" w:color="auto" w:sz="4" w:space="0"/>
              <w:right w:val="single" w:color="auto" w:sz="2" w:space="0"/>
            </w:tcBorders>
            <w:noWrap w:val="0"/>
            <w:vAlign w:val="center"/>
          </w:tcPr>
          <w:p w14:paraId="03EE6EAC">
            <w:pPr>
              <w:keepNext w:val="0"/>
              <w:keepLines w:val="0"/>
              <w:pageBreakBefore w:val="0"/>
              <w:widowControl/>
              <w:kinsoku/>
              <w:wordWrap/>
              <w:overflowPunct/>
              <w:topLinePunct w:val="0"/>
              <w:autoSpaceDN/>
              <w:bidi w:val="0"/>
              <w:adjustRightInd w:val="0"/>
              <w:spacing w:line="288" w:lineRule="auto"/>
              <w:jc w:val="center"/>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管理机构设置</w:t>
            </w:r>
          </w:p>
          <w:p w14:paraId="037AC5EA">
            <w:pPr>
              <w:keepNext w:val="0"/>
              <w:keepLines w:val="0"/>
              <w:pageBreakBefore w:val="0"/>
              <w:widowControl/>
              <w:kinsoku/>
              <w:wordWrap/>
              <w:overflowPunct/>
              <w:topLinePunct w:val="0"/>
              <w:autoSpaceDN/>
              <w:bidi w:val="0"/>
              <w:adjustRightInd w:val="0"/>
              <w:spacing w:line="288" w:lineRule="auto"/>
              <w:jc w:val="center"/>
              <w:rPr>
                <w:rFonts w:hint="default"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（3分）</w:t>
            </w:r>
          </w:p>
        </w:tc>
        <w:tc>
          <w:tcPr>
            <w:tcW w:w="6271" w:type="dxa"/>
            <w:tcBorders>
              <w:top w:val="single" w:color="auto" w:sz="4" w:space="0"/>
              <w:left w:val="single" w:color="auto" w:sz="4" w:space="0"/>
              <w:right w:val="single" w:color="auto" w:sz="2" w:space="0"/>
            </w:tcBorders>
            <w:noWrap w:val="0"/>
            <w:vAlign w:val="center"/>
          </w:tcPr>
          <w:p w14:paraId="21535D0E">
            <w:pPr>
              <w:keepNext w:val="0"/>
              <w:keepLines w:val="0"/>
              <w:pageBreakBefore w:val="0"/>
              <w:kinsoku/>
              <w:wordWrap/>
              <w:overflowPunct/>
              <w:topLinePunct w:val="0"/>
              <w:autoSpaceDN/>
              <w:bidi w:val="0"/>
              <w:adjustRightInd w:val="0"/>
              <w:spacing w:line="288" w:lineRule="auto"/>
              <w:rPr>
                <w:rFonts w:hint="eastAsia" w:ascii="宋体" w:hAnsi="宋体" w:eastAsia="宋体" w:cs="宋体"/>
                <w:color w:val="auto"/>
                <w:szCs w:val="21"/>
                <w:highlight w:val="none"/>
                <w:lang w:bidi="ar"/>
              </w:rPr>
            </w:pPr>
            <w:r>
              <w:rPr>
                <w:rFonts w:hint="eastAsia" w:ascii="宋体" w:hAnsi="宋体" w:cs="宋体"/>
                <w:color w:val="auto"/>
                <w:szCs w:val="21"/>
                <w:highlight w:val="none"/>
                <w:lang w:val="en-US" w:eastAsia="zh-CN" w:bidi="ar"/>
              </w:rPr>
              <w:t>管理机构设置：</w:t>
            </w:r>
            <w:r>
              <w:rPr>
                <w:rFonts w:hint="eastAsia" w:ascii="宋体" w:hAnsi="宋体" w:cs="宋体"/>
                <w:color w:val="auto"/>
                <w:szCs w:val="21"/>
                <w:highlight w:val="none"/>
                <w:lang w:bidi="ar"/>
              </w:rPr>
              <w:t>根据</w:t>
            </w:r>
            <w:r>
              <w:rPr>
                <w:rFonts w:hint="eastAsia" w:ascii="宋体" w:hAnsi="宋体" w:cs="宋体"/>
                <w:color w:val="auto"/>
                <w:szCs w:val="21"/>
                <w:highlight w:val="none"/>
                <w:lang w:eastAsia="zh-CN" w:bidi="ar"/>
              </w:rPr>
              <w:t>供应商</w:t>
            </w:r>
            <w:r>
              <w:rPr>
                <w:rFonts w:hint="eastAsia" w:ascii="宋体" w:hAnsi="宋体" w:cs="宋体"/>
                <w:color w:val="auto"/>
                <w:szCs w:val="21"/>
                <w:highlight w:val="none"/>
                <w:lang w:bidi="ar"/>
              </w:rPr>
              <w:t>针对本项目的管理机构设置情况</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包括岗位</w:t>
            </w:r>
            <w:r>
              <w:rPr>
                <w:rFonts w:hint="eastAsia" w:ascii="宋体" w:hAnsi="宋体" w:eastAsia="宋体" w:cs="宋体"/>
                <w:color w:val="auto"/>
                <w:szCs w:val="21"/>
                <w:highlight w:val="none"/>
                <w:lang w:bidi="ar"/>
              </w:rPr>
              <w:t>设置、管理方案</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进行评审</w:t>
            </w:r>
            <w:r>
              <w:rPr>
                <w:rFonts w:hint="eastAsia" w:ascii="宋体" w:hAnsi="宋体" w:eastAsia="宋体" w:cs="宋体"/>
                <w:color w:val="auto"/>
                <w:szCs w:val="21"/>
                <w:highlight w:val="none"/>
                <w:lang w:val="en-US" w:eastAsia="zh-CN" w:bidi="ar"/>
              </w:rPr>
              <w:t>：</w:t>
            </w:r>
          </w:p>
          <w:p w14:paraId="49075547">
            <w:pPr>
              <w:keepNext w:val="0"/>
              <w:keepLines w:val="0"/>
              <w:pageBreakBefore w:val="0"/>
              <w:kinsoku/>
              <w:wordWrap/>
              <w:overflowPunct/>
              <w:topLinePunct w:val="0"/>
              <w:autoSpaceDN/>
              <w:bidi w:val="0"/>
              <w:adjustRightInd w:val="0"/>
              <w:spacing w:line="288" w:lineRule="auto"/>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bidi="ar"/>
              </w:rPr>
              <w:t>管理机构设置情况完善</w:t>
            </w:r>
            <w:r>
              <w:rPr>
                <w:rFonts w:hint="eastAsia" w:ascii="宋体" w:hAnsi="宋体" w:eastAsia="宋体" w:cs="宋体"/>
                <w:color w:val="auto"/>
                <w:szCs w:val="21"/>
                <w:highlight w:val="none"/>
                <w:lang w:eastAsia="zh-CN" w:bidi="ar"/>
              </w:rPr>
              <w:t>、</w:t>
            </w:r>
            <w:r>
              <w:rPr>
                <w:rFonts w:hint="eastAsia" w:ascii="宋体" w:hAnsi="宋体" w:cs="宋体"/>
                <w:color w:val="auto"/>
                <w:szCs w:val="21"/>
                <w:highlight w:val="none"/>
                <w:lang w:val="en-US" w:eastAsia="zh-CN" w:bidi="ar"/>
              </w:rPr>
              <w:t>全面、</w:t>
            </w:r>
            <w:r>
              <w:rPr>
                <w:rFonts w:hint="eastAsia" w:ascii="宋体" w:hAnsi="宋体" w:eastAsia="宋体" w:cs="宋体"/>
                <w:color w:val="auto"/>
                <w:szCs w:val="21"/>
                <w:highlight w:val="none"/>
                <w:lang w:val="en-US" w:eastAsia="zh-CN" w:bidi="ar"/>
              </w:rPr>
              <w:t>可行</w:t>
            </w:r>
            <w:r>
              <w:rPr>
                <w:rFonts w:hint="eastAsia" w:ascii="宋体" w:hAnsi="宋体" w:eastAsia="宋体" w:cs="宋体"/>
                <w:color w:val="auto"/>
                <w:szCs w:val="21"/>
                <w:highlight w:val="none"/>
                <w:lang w:bidi="ar"/>
              </w:rPr>
              <w:t>的得</w:t>
            </w:r>
            <w:r>
              <w:rPr>
                <w:rFonts w:hint="eastAsia" w:ascii="宋体" w:hAnsi="宋体" w:cs="宋体"/>
                <w:color w:val="auto"/>
                <w:szCs w:val="21"/>
                <w:highlight w:val="none"/>
                <w:lang w:val="en-US" w:eastAsia="zh-CN" w:bidi="ar"/>
              </w:rPr>
              <w:t>3</w:t>
            </w:r>
            <w:r>
              <w:rPr>
                <w:rFonts w:hint="eastAsia" w:ascii="宋体" w:hAnsi="宋体" w:eastAsia="宋体" w:cs="宋体"/>
                <w:color w:val="auto"/>
                <w:szCs w:val="21"/>
                <w:highlight w:val="none"/>
                <w:lang w:bidi="ar"/>
              </w:rPr>
              <w:t>分</w:t>
            </w:r>
            <w:r>
              <w:rPr>
                <w:rFonts w:hint="eastAsia" w:ascii="宋体" w:hAnsi="宋体" w:eastAsia="宋体" w:cs="宋体"/>
                <w:color w:val="auto"/>
                <w:szCs w:val="21"/>
                <w:highlight w:val="none"/>
                <w:lang w:val="en-US" w:eastAsia="zh-CN" w:bidi="ar"/>
              </w:rPr>
              <w:t>；</w:t>
            </w:r>
          </w:p>
          <w:p w14:paraId="140C1AC9">
            <w:pPr>
              <w:keepNext w:val="0"/>
              <w:keepLines w:val="0"/>
              <w:pageBreakBefore w:val="0"/>
              <w:kinsoku/>
              <w:wordWrap/>
              <w:overflowPunct/>
              <w:topLinePunct w:val="0"/>
              <w:autoSpaceDN/>
              <w:bidi w:val="0"/>
              <w:adjustRightInd w:val="0"/>
              <w:spacing w:line="288" w:lineRule="auto"/>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bidi="ar"/>
              </w:rPr>
              <w:t>管理机构设置情况</w:t>
            </w:r>
            <w:r>
              <w:rPr>
                <w:rFonts w:hint="eastAsia" w:ascii="宋体" w:hAnsi="宋体" w:cs="宋体"/>
                <w:color w:val="auto"/>
                <w:szCs w:val="21"/>
                <w:highlight w:val="none"/>
                <w:lang w:val="en-US" w:eastAsia="zh-CN" w:bidi="ar"/>
              </w:rPr>
              <w:t>较</w:t>
            </w:r>
            <w:r>
              <w:rPr>
                <w:rFonts w:hint="eastAsia" w:ascii="宋体" w:hAnsi="宋体" w:eastAsia="宋体" w:cs="宋体"/>
                <w:color w:val="auto"/>
                <w:szCs w:val="21"/>
                <w:highlight w:val="none"/>
                <w:lang w:bidi="ar"/>
              </w:rPr>
              <w:t>完善</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较</w:t>
            </w:r>
            <w:r>
              <w:rPr>
                <w:rFonts w:hint="eastAsia" w:ascii="宋体" w:hAnsi="宋体" w:cs="宋体"/>
                <w:color w:val="auto"/>
                <w:szCs w:val="21"/>
                <w:highlight w:val="none"/>
                <w:lang w:val="en-US" w:eastAsia="zh-CN" w:bidi="ar"/>
              </w:rPr>
              <w:t>全面、较</w:t>
            </w:r>
            <w:r>
              <w:rPr>
                <w:rFonts w:hint="eastAsia" w:ascii="宋体" w:hAnsi="宋体" w:eastAsia="宋体" w:cs="宋体"/>
                <w:color w:val="auto"/>
                <w:szCs w:val="21"/>
                <w:highlight w:val="none"/>
                <w:lang w:val="en-US" w:eastAsia="zh-CN" w:bidi="ar"/>
              </w:rPr>
              <w:t>可行</w:t>
            </w:r>
            <w:r>
              <w:rPr>
                <w:rFonts w:hint="eastAsia" w:ascii="宋体" w:hAnsi="宋体" w:eastAsia="宋体" w:cs="宋体"/>
                <w:color w:val="auto"/>
                <w:szCs w:val="21"/>
                <w:highlight w:val="none"/>
                <w:lang w:bidi="ar"/>
              </w:rPr>
              <w:t>的得</w:t>
            </w:r>
            <w:r>
              <w:rPr>
                <w:rFonts w:hint="eastAsia" w:ascii="宋体" w:hAnsi="宋体" w:cs="宋体"/>
                <w:color w:val="auto"/>
                <w:szCs w:val="21"/>
                <w:highlight w:val="none"/>
                <w:lang w:val="en-US" w:eastAsia="zh-CN" w:bidi="ar"/>
              </w:rPr>
              <w:t>2</w:t>
            </w:r>
            <w:r>
              <w:rPr>
                <w:rFonts w:hint="eastAsia" w:ascii="宋体" w:hAnsi="宋体" w:eastAsia="宋体" w:cs="宋体"/>
                <w:color w:val="auto"/>
                <w:szCs w:val="21"/>
                <w:highlight w:val="none"/>
                <w:lang w:bidi="ar"/>
              </w:rPr>
              <w:t>分</w:t>
            </w:r>
            <w:r>
              <w:rPr>
                <w:rFonts w:hint="eastAsia" w:ascii="宋体" w:hAnsi="宋体" w:eastAsia="宋体" w:cs="宋体"/>
                <w:color w:val="auto"/>
                <w:szCs w:val="21"/>
                <w:highlight w:val="none"/>
                <w:lang w:val="en-US" w:eastAsia="zh-CN" w:bidi="ar"/>
              </w:rPr>
              <w:t>；</w:t>
            </w:r>
          </w:p>
          <w:p w14:paraId="758C959B">
            <w:pPr>
              <w:keepNext w:val="0"/>
              <w:keepLines w:val="0"/>
              <w:pageBreakBefore w:val="0"/>
              <w:kinsoku/>
              <w:wordWrap/>
              <w:overflowPunct/>
              <w:topLinePunct w:val="0"/>
              <w:autoSpaceDN/>
              <w:bidi w:val="0"/>
              <w:adjustRightInd w:val="0"/>
              <w:spacing w:line="288" w:lineRule="auto"/>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bidi="ar"/>
              </w:rPr>
              <w:t>管理机构设置情况</w:t>
            </w:r>
            <w:r>
              <w:rPr>
                <w:rFonts w:hint="eastAsia" w:ascii="宋体" w:hAnsi="宋体" w:cs="宋体"/>
                <w:color w:val="auto"/>
                <w:szCs w:val="21"/>
                <w:highlight w:val="none"/>
                <w:lang w:val="en-US" w:eastAsia="zh-CN" w:bidi="ar"/>
              </w:rPr>
              <w:t>不</w:t>
            </w:r>
            <w:r>
              <w:rPr>
                <w:rFonts w:hint="eastAsia" w:ascii="宋体" w:hAnsi="宋体" w:eastAsia="宋体" w:cs="宋体"/>
                <w:color w:val="auto"/>
                <w:szCs w:val="21"/>
                <w:highlight w:val="none"/>
                <w:lang w:bidi="ar"/>
              </w:rPr>
              <w:t>完善</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不</w:t>
            </w:r>
            <w:r>
              <w:rPr>
                <w:rFonts w:hint="eastAsia" w:ascii="宋体" w:hAnsi="宋体" w:cs="宋体"/>
                <w:color w:val="auto"/>
                <w:szCs w:val="21"/>
                <w:highlight w:val="none"/>
                <w:lang w:val="en-US" w:eastAsia="zh-CN" w:bidi="ar"/>
              </w:rPr>
              <w:t>全面、不</w:t>
            </w:r>
            <w:r>
              <w:rPr>
                <w:rFonts w:hint="eastAsia" w:ascii="宋体" w:hAnsi="宋体" w:eastAsia="宋体" w:cs="宋体"/>
                <w:color w:val="auto"/>
                <w:szCs w:val="21"/>
                <w:highlight w:val="none"/>
                <w:lang w:val="en-US" w:eastAsia="zh-CN" w:bidi="ar"/>
              </w:rPr>
              <w:t>可行</w:t>
            </w:r>
            <w:r>
              <w:rPr>
                <w:rFonts w:hint="eastAsia" w:ascii="宋体" w:hAnsi="宋体" w:eastAsia="宋体" w:cs="宋体"/>
                <w:color w:val="auto"/>
                <w:szCs w:val="21"/>
                <w:highlight w:val="none"/>
                <w:lang w:bidi="ar"/>
              </w:rPr>
              <w:t>的得</w:t>
            </w:r>
            <w:r>
              <w:rPr>
                <w:rFonts w:hint="eastAsia" w:ascii="宋体" w:hAnsi="宋体" w:eastAsia="宋体" w:cs="宋体"/>
                <w:color w:val="auto"/>
                <w:szCs w:val="21"/>
                <w:highlight w:val="none"/>
                <w:lang w:val="en-US" w:eastAsia="zh-CN" w:bidi="ar"/>
              </w:rPr>
              <w:t>1</w:t>
            </w:r>
            <w:r>
              <w:rPr>
                <w:rFonts w:hint="eastAsia" w:ascii="宋体" w:hAnsi="宋体" w:eastAsia="宋体" w:cs="宋体"/>
                <w:color w:val="auto"/>
                <w:szCs w:val="21"/>
                <w:highlight w:val="none"/>
                <w:lang w:bidi="ar"/>
              </w:rPr>
              <w:t>分</w:t>
            </w:r>
            <w:r>
              <w:rPr>
                <w:rFonts w:hint="eastAsia" w:ascii="宋体" w:hAnsi="宋体" w:eastAsia="宋体" w:cs="宋体"/>
                <w:color w:val="auto"/>
                <w:szCs w:val="21"/>
                <w:highlight w:val="none"/>
                <w:lang w:val="en-US" w:eastAsia="zh-CN" w:bidi="ar"/>
              </w:rPr>
              <w:t>；</w:t>
            </w:r>
          </w:p>
          <w:p w14:paraId="5AC34C57">
            <w:pPr>
              <w:keepNext w:val="0"/>
              <w:keepLines w:val="0"/>
              <w:pageBreakBefore w:val="0"/>
              <w:kinsoku/>
              <w:wordWrap/>
              <w:overflowPunct/>
              <w:topLinePunct w:val="0"/>
              <w:autoSpaceDN/>
              <w:bidi w:val="0"/>
              <w:adjustRightInd w:val="0"/>
              <w:spacing w:line="288" w:lineRule="auto"/>
              <w:rPr>
                <w:rFonts w:hint="default" w:eastAsia="宋体"/>
                <w:color w:val="auto"/>
                <w:highlight w:val="none"/>
                <w:lang w:val="en-US" w:eastAsia="zh-CN"/>
              </w:rPr>
            </w:pPr>
            <w:r>
              <w:rPr>
                <w:rFonts w:hint="eastAsia" w:ascii="宋体" w:hAnsi="宋体" w:eastAsia="宋体" w:cs="宋体"/>
                <w:color w:val="auto"/>
                <w:szCs w:val="21"/>
                <w:highlight w:val="none"/>
                <w:lang w:val="en-US" w:eastAsia="zh-CN" w:bidi="ar"/>
              </w:rPr>
              <w:t>无</w:t>
            </w:r>
            <w:r>
              <w:rPr>
                <w:rFonts w:hint="eastAsia" w:ascii="宋体" w:hAnsi="宋体" w:eastAsia="宋体" w:cs="宋体"/>
                <w:color w:val="auto"/>
                <w:szCs w:val="21"/>
                <w:highlight w:val="none"/>
                <w:lang w:bidi="ar"/>
              </w:rPr>
              <w:t>管理机构设置情况</w:t>
            </w:r>
            <w:r>
              <w:rPr>
                <w:rFonts w:hint="eastAsia" w:ascii="宋体" w:hAnsi="宋体" w:eastAsia="宋体" w:cs="宋体"/>
                <w:color w:val="auto"/>
                <w:szCs w:val="21"/>
                <w:highlight w:val="none"/>
                <w:lang w:val="en-US" w:eastAsia="zh-CN" w:bidi="ar"/>
              </w:rPr>
              <w:t>的不得分。</w:t>
            </w:r>
          </w:p>
        </w:tc>
        <w:tc>
          <w:tcPr>
            <w:tcW w:w="674" w:type="dxa"/>
            <w:tcBorders>
              <w:top w:val="single" w:color="auto" w:sz="4" w:space="0"/>
              <w:left w:val="single" w:color="auto" w:sz="4" w:space="0"/>
              <w:bottom w:val="single" w:color="auto" w:sz="4" w:space="0"/>
              <w:right w:val="single" w:color="auto" w:sz="2" w:space="0"/>
            </w:tcBorders>
            <w:noWrap w:val="0"/>
            <w:vAlign w:val="center"/>
          </w:tcPr>
          <w:p w14:paraId="7E75A5EB">
            <w:pPr>
              <w:keepNext w:val="0"/>
              <w:keepLines w:val="0"/>
              <w:pageBreakBefore w:val="0"/>
              <w:kinsoku/>
              <w:wordWrap/>
              <w:overflowPunct/>
              <w:topLinePunct w:val="0"/>
              <w:autoSpaceDN/>
              <w:bidi w:val="0"/>
              <w:adjustRightInd w:val="0"/>
              <w:spacing w:line="288"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735" w:type="dxa"/>
            <w:tcBorders>
              <w:top w:val="single" w:color="auto" w:sz="4" w:space="0"/>
              <w:left w:val="single" w:color="auto" w:sz="4" w:space="0"/>
              <w:bottom w:val="single" w:color="auto" w:sz="4" w:space="0"/>
              <w:right w:val="single" w:color="auto" w:sz="2" w:space="0"/>
            </w:tcBorders>
            <w:noWrap w:val="0"/>
            <w:vAlign w:val="center"/>
          </w:tcPr>
          <w:p w14:paraId="23C820EF">
            <w:pPr>
              <w:keepNext w:val="0"/>
              <w:keepLines w:val="0"/>
              <w:pageBreakBefore w:val="0"/>
              <w:kinsoku/>
              <w:wordWrap/>
              <w:overflowPunct/>
              <w:topLinePunct w:val="0"/>
              <w:autoSpaceDN/>
              <w:bidi w:val="0"/>
              <w:adjustRightInd w:val="0"/>
              <w:spacing w:line="288" w:lineRule="auto"/>
              <w:jc w:val="center"/>
              <w:rPr>
                <w:rFonts w:hint="eastAsia" w:ascii="宋体" w:hAnsi="宋体" w:cs="宋体"/>
                <w:snapToGrid w:val="0"/>
                <w:color w:val="auto"/>
                <w:spacing w:val="-4"/>
                <w:szCs w:val="21"/>
                <w:highlight w:val="none"/>
              </w:rPr>
            </w:pPr>
            <w:r>
              <w:rPr>
                <w:rFonts w:hint="eastAsia" w:ascii="宋体" w:hAnsi="宋体" w:cs="宋体"/>
                <w:snapToGrid w:val="0"/>
                <w:color w:val="auto"/>
                <w:spacing w:val="-4"/>
                <w:szCs w:val="21"/>
                <w:highlight w:val="none"/>
              </w:rPr>
              <w:t>主观评审</w:t>
            </w:r>
          </w:p>
        </w:tc>
      </w:tr>
      <w:tr w14:paraId="22CE9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834" w:type="dxa"/>
            <w:vMerge w:val="continue"/>
            <w:tcBorders>
              <w:left w:val="single" w:color="auto" w:sz="4" w:space="0"/>
              <w:right w:val="single" w:color="auto" w:sz="2" w:space="0"/>
            </w:tcBorders>
            <w:noWrap w:val="0"/>
            <w:vAlign w:val="center"/>
          </w:tcPr>
          <w:p w14:paraId="0A7203BE">
            <w:pPr>
              <w:keepNext w:val="0"/>
              <w:keepLines w:val="0"/>
              <w:pageBreakBefore w:val="0"/>
              <w:widowControl/>
              <w:kinsoku/>
              <w:wordWrap/>
              <w:overflowPunct/>
              <w:topLinePunct w:val="0"/>
              <w:autoSpaceDN/>
              <w:bidi w:val="0"/>
              <w:adjustRightInd w:val="0"/>
              <w:spacing w:line="288" w:lineRule="auto"/>
              <w:jc w:val="left"/>
              <w:rPr>
                <w:rFonts w:hint="eastAsia" w:ascii="宋体" w:hAnsi="宋体" w:cs="宋体"/>
                <w:snapToGrid w:val="0"/>
                <w:color w:val="auto"/>
                <w:spacing w:val="-4"/>
                <w:szCs w:val="21"/>
                <w:highlight w:val="none"/>
              </w:rPr>
            </w:pPr>
          </w:p>
        </w:tc>
        <w:tc>
          <w:tcPr>
            <w:tcW w:w="1598" w:type="dxa"/>
            <w:tcBorders>
              <w:top w:val="single" w:color="auto" w:sz="4" w:space="0"/>
              <w:left w:val="single" w:color="auto" w:sz="4" w:space="0"/>
              <w:right w:val="single" w:color="auto" w:sz="2" w:space="0"/>
            </w:tcBorders>
            <w:noWrap w:val="0"/>
            <w:vAlign w:val="center"/>
          </w:tcPr>
          <w:p w14:paraId="11ED8E57">
            <w:pPr>
              <w:keepNext w:val="0"/>
              <w:keepLines w:val="0"/>
              <w:pageBreakBefore w:val="0"/>
              <w:widowControl/>
              <w:kinsoku/>
              <w:wordWrap/>
              <w:overflowPunct/>
              <w:topLinePunct w:val="0"/>
              <w:autoSpaceDN/>
              <w:bidi w:val="0"/>
              <w:adjustRightInd w:val="0"/>
              <w:spacing w:line="288" w:lineRule="auto"/>
              <w:jc w:val="center"/>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内部管理制度</w:t>
            </w:r>
          </w:p>
          <w:p w14:paraId="78CECB9C">
            <w:pPr>
              <w:keepNext w:val="0"/>
              <w:keepLines w:val="0"/>
              <w:pageBreakBefore w:val="0"/>
              <w:widowControl/>
              <w:kinsoku/>
              <w:wordWrap/>
              <w:overflowPunct/>
              <w:topLinePunct w:val="0"/>
              <w:autoSpaceDN/>
              <w:bidi w:val="0"/>
              <w:adjustRightInd w:val="0"/>
              <w:spacing w:line="288" w:lineRule="auto"/>
              <w:jc w:val="center"/>
              <w:rPr>
                <w:rFonts w:hint="default"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（5分）</w:t>
            </w:r>
          </w:p>
        </w:tc>
        <w:tc>
          <w:tcPr>
            <w:tcW w:w="6271" w:type="dxa"/>
            <w:tcBorders>
              <w:top w:val="single" w:color="auto" w:sz="4" w:space="0"/>
              <w:left w:val="single" w:color="auto" w:sz="4" w:space="0"/>
              <w:right w:val="single" w:color="auto" w:sz="2" w:space="0"/>
            </w:tcBorders>
            <w:noWrap w:val="0"/>
            <w:vAlign w:val="center"/>
          </w:tcPr>
          <w:p w14:paraId="76894FCA">
            <w:pPr>
              <w:keepNext w:val="0"/>
              <w:keepLines w:val="0"/>
              <w:pageBreakBefore w:val="0"/>
              <w:kinsoku/>
              <w:wordWrap/>
              <w:overflowPunct/>
              <w:topLinePunct w:val="0"/>
              <w:autoSpaceDN/>
              <w:bidi w:val="0"/>
              <w:adjustRightInd w:val="0"/>
              <w:spacing w:line="288" w:lineRule="auto"/>
              <w:rPr>
                <w:rFonts w:hint="eastAsia" w:ascii="宋体" w:hAnsi="宋体" w:eastAsia="宋体" w:cs="宋体"/>
                <w:color w:val="auto"/>
                <w:szCs w:val="21"/>
                <w:highlight w:val="none"/>
                <w:lang w:bidi="ar"/>
              </w:rPr>
            </w:pPr>
            <w:r>
              <w:rPr>
                <w:rFonts w:hint="eastAsia" w:ascii="宋体" w:hAnsi="宋体" w:cs="宋体"/>
                <w:color w:val="auto"/>
                <w:szCs w:val="21"/>
                <w:highlight w:val="none"/>
                <w:lang w:val="en-US" w:eastAsia="zh-CN" w:bidi="ar"/>
              </w:rPr>
              <w:t>内部管理制度：</w:t>
            </w:r>
            <w:r>
              <w:rPr>
                <w:rFonts w:hint="eastAsia" w:ascii="宋体" w:hAnsi="宋体" w:cs="宋体"/>
                <w:color w:val="auto"/>
                <w:szCs w:val="21"/>
                <w:highlight w:val="none"/>
                <w:lang w:bidi="ar"/>
              </w:rPr>
              <w:t>根据</w:t>
            </w:r>
            <w:r>
              <w:rPr>
                <w:rFonts w:hint="eastAsia" w:ascii="宋体" w:hAnsi="宋体" w:cs="宋体"/>
                <w:color w:val="auto"/>
                <w:szCs w:val="21"/>
                <w:highlight w:val="none"/>
                <w:lang w:eastAsia="zh-CN" w:bidi="ar"/>
              </w:rPr>
              <w:t>供应商</w:t>
            </w:r>
            <w:r>
              <w:rPr>
                <w:rFonts w:hint="eastAsia" w:ascii="宋体" w:hAnsi="宋体" w:cs="宋体"/>
                <w:color w:val="auto"/>
                <w:szCs w:val="21"/>
                <w:highlight w:val="none"/>
                <w:lang w:bidi="ar"/>
              </w:rPr>
              <w:t>针对本项目的</w:t>
            </w:r>
            <w:r>
              <w:rPr>
                <w:rFonts w:hint="eastAsia" w:ascii="宋体" w:hAnsi="宋体" w:cs="宋体"/>
                <w:color w:val="auto"/>
                <w:szCs w:val="21"/>
                <w:highlight w:val="none"/>
                <w:lang w:val="en-US" w:eastAsia="zh-CN" w:bidi="ar"/>
              </w:rPr>
              <w:t>内部管理制度（包括</w:t>
            </w:r>
            <w:r>
              <w:rPr>
                <w:rFonts w:hint="eastAsia" w:ascii="宋体" w:hAnsi="宋体" w:cs="宋体"/>
                <w:color w:val="auto"/>
                <w:szCs w:val="21"/>
                <w:highlight w:val="none"/>
              </w:rPr>
              <w:t>日常行为准则、</w:t>
            </w:r>
            <w:r>
              <w:rPr>
                <w:rFonts w:hint="eastAsia" w:ascii="宋体" w:hAnsi="宋体" w:cs="宋体"/>
                <w:color w:val="auto"/>
                <w:szCs w:val="21"/>
                <w:highlight w:val="none"/>
                <w:lang w:val="en-US" w:eastAsia="zh-CN"/>
              </w:rPr>
              <w:t>服务标准、</w:t>
            </w:r>
            <w:r>
              <w:rPr>
                <w:rFonts w:hint="eastAsia" w:ascii="宋体" w:hAnsi="宋体" w:cs="宋体"/>
                <w:color w:val="auto"/>
                <w:szCs w:val="21"/>
                <w:highlight w:val="none"/>
              </w:rPr>
              <w:t>仪容仪表管理制度、</w:t>
            </w:r>
            <w:r>
              <w:rPr>
                <w:rFonts w:hint="eastAsia" w:ascii="宋体" w:hAnsi="宋体" w:cs="宋体"/>
                <w:color w:val="auto"/>
                <w:szCs w:val="21"/>
                <w:highlight w:val="none"/>
                <w:lang w:eastAsia="zh-CN" w:bidi="ar"/>
              </w:rPr>
              <w:t>考勤</w:t>
            </w:r>
            <w:r>
              <w:rPr>
                <w:rFonts w:hint="eastAsia" w:ascii="宋体" w:hAnsi="宋体" w:cs="宋体"/>
                <w:color w:val="auto"/>
                <w:szCs w:val="21"/>
                <w:highlight w:val="none"/>
                <w:lang w:val="en-US" w:eastAsia="zh-CN" w:bidi="ar"/>
              </w:rPr>
              <w:t>管理制度、</w:t>
            </w:r>
            <w:r>
              <w:rPr>
                <w:rFonts w:hint="eastAsia" w:ascii="宋体" w:hAnsi="宋体" w:cs="宋体"/>
                <w:color w:val="auto"/>
                <w:szCs w:val="21"/>
                <w:highlight w:val="none"/>
                <w:lang w:bidi="ar"/>
              </w:rPr>
              <w:t>监督制度、考核制度</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奖惩制度</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val="en-US" w:eastAsia="zh-CN" w:bidi="ar"/>
              </w:rPr>
              <w:t>档案管理制度</w:t>
            </w:r>
            <w:r>
              <w:rPr>
                <w:rFonts w:hint="eastAsia" w:ascii="宋体" w:hAnsi="宋体" w:cs="宋体"/>
                <w:color w:val="auto"/>
                <w:szCs w:val="21"/>
                <w:highlight w:val="none"/>
                <w:lang w:eastAsia="zh-CN" w:bidi="ar"/>
              </w:rPr>
              <w:t>）</w:t>
            </w:r>
            <w:r>
              <w:rPr>
                <w:rFonts w:hint="eastAsia" w:ascii="宋体" w:hAnsi="宋体" w:eastAsia="宋体" w:cs="宋体"/>
                <w:color w:val="auto"/>
                <w:szCs w:val="21"/>
                <w:highlight w:val="none"/>
                <w:lang w:bidi="ar"/>
              </w:rPr>
              <w:t>进行评审</w:t>
            </w:r>
            <w:r>
              <w:rPr>
                <w:rFonts w:hint="eastAsia" w:ascii="宋体" w:hAnsi="宋体" w:eastAsia="宋体" w:cs="宋体"/>
                <w:color w:val="auto"/>
                <w:szCs w:val="21"/>
                <w:highlight w:val="none"/>
                <w:lang w:val="en-US" w:eastAsia="zh-CN" w:bidi="ar"/>
              </w:rPr>
              <w:t>：</w:t>
            </w:r>
          </w:p>
          <w:p w14:paraId="554B8408">
            <w:pPr>
              <w:keepNext w:val="0"/>
              <w:keepLines w:val="0"/>
              <w:pageBreakBefore w:val="0"/>
              <w:kinsoku/>
              <w:wordWrap/>
              <w:overflowPunct/>
              <w:topLinePunct w:val="0"/>
              <w:autoSpaceDN/>
              <w:bidi w:val="0"/>
              <w:adjustRightInd w:val="0"/>
              <w:spacing w:line="288" w:lineRule="auto"/>
              <w:rPr>
                <w:rFonts w:hint="eastAsia" w:ascii="宋体" w:hAnsi="宋体" w:eastAsia="宋体" w:cs="宋体"/>
                <w:color w:val="auto"/>
                <w:szCs w:val="21"/>
                <w:highlight w:val="none"/>
                <w:lang w:val="en-US" w:eastAsia="zh-CN" w:bidi="ar"/>
              </w:rPr>
            </w:pPr>
            <w:r>
              <w:rPr>
                <w:rFonts w:hint="eastAsia" w:ascii="宋体" w:hAnsi="宋体" w:cs="宋体"/>
                <w:color w:val="auto"/>
                <w:szCs w:val="21"/>
                <w:highlight w:val="none"/>
                <w:lang w:val="en-US" w:eastAsia="zh-CN" w:bidi="ar"/>
              </w:rPr>
              <w:t>内部管理制度</w:t>
            </w:r>
            <w:r>
              <w:rPr>
                <w:rFonts w:hint="eastAsia" w:ascii="宋体" w:hAnsi="宋体" w:eastAsia="宋体" w:cs="宋体"/>
                <w:color w:val="auto"/>
                <w:szCs w:val="21"/>
                <w:highlight w:val="none"/>
                <w:lang w:bidi="ar"/>
              </w:rPr>
              <w:t>完善</w:t>
            </w:r>
            <w:r>
              <w:rPr>
                <w:rFonts w:hint="eastAsia" w:ascii="宋体" w:hAnsi="宋体" w:eastAsia="宋体" w:cs="宋体"/>
                <w:color w:val="auto"/>
                <w:szCs w:val="21"/>
                <w:highlight w:val="none"/>
                <w:lang w:eastAsia="zh-CN" w:bidi="ar"/>
              </w:rPr>
              <w:t>、</w:t>
            </w:r>
            <w:r>
              <w:rPr>
                <w:rFonts w:hint="eastAsia" w:ascii="宋体" w:hAnsi="宋体" w:cs="宋体"/>
                <w:color w:val="auto"/>
                <w:szCs w:val="21"/>
                <w:highlight w:val="none"/>
                <w:lang w:val="en-US" w:eastAsia="zh-CN" w:bidi="ar"/>
              </w:rPr>
              <w:t>全面、</w:t>
            </w:r>
            <w:r>
              <w:rPr>
                <w:rFonts w:hint="eastAsia" w:ascii="宋体" w:hAnsi="宋体" w:eastAsia="宋体" w:cs="宋体"/>
                <w:color w:val="auto"/>
                <w:szCs w:val="21"/>
                <w:highlight w:val="none"/>
                <w:lang w:val="en-US" w:eastAsia="zh-CN" w:bidi="ar"/>
              </w:rPr>
              <w:t>可行</w:t>
            </w:r>
            <w:r>
              <w:rPr>
                <w:rFonts w:hint="eastAsia" w:ascii="宋体" w:hAnsi="宋体" w:eastAsia="宋体" w:cs="宋体"/>
                <w:color w:val="auto"/>
                <w:szCs w:val="21"/>
                <w:highlight w:val="none"/>
                <w:lang w:bidi="ar"/>
              </w:rPr>
              <w:t>的得</w:t>
            </w:r>
            <w:r>
              <w:rPr>
                <w:rFonts w:hint="eastAsia" w:ascii="宋体" w:hAnsi="宋体" w:eastAsia="宋体" w:cs="宋体"/>
                <w:color w:val="auto"/>
                <w:szCs w:val="21"/>
                <w:highlight w:val="none"/>
                <w:lang w:val="en-US" w:eastAsia="zh-CN" w:bidi="ar"/>
              </w:rPr>
              <w:t>5</w:t>
            </w:r>
            <w:r>
              <w:rPr>
                <w:rFonts w:hint="eastAsia" w:ascii="宋体" w:hAnsi="宋体" w:eastAsia="宋体" w:cs="宋体"/>
                <w:color w:val="auto"/>
                <w:szCs w:val="21"/>
                <w:highlight w:val="none"/>
                <w:lang w:bidi="ar"/>
              </w:rPr>
              <w:t>分</w:t>
            </w:r>
            <w:r>
              <w:rPr>
                <w:rFonts w:hint="eastAsia" w:ascii="宋体" w:hAnsi="宋体" w:eastAsia="宋体" w:cs="宋体"/>
                <w:color w:val="auto"/>
                <w:szCs w:val="21"/>
                <w:highlight w:val="none"/>
                <w:lang w:val="en-US" w:eastAsia="zh-CN" w:bidi="ar"/>
              </w:rPr>
              <w:t>；</w:t>
            </w:r>
          </w:p>
          <w:p w14:paraId="4A4F150C">
            <w:pPr>
              <w:keepNext w:val="0"/>
              <w:keepLines w:val="0"/>
              <w:pageBreakBefore w:val="0"/>
              <w:kinsoku/>
              <w:wordWrap/>
              <w:overflowPunct/>
              <w:topLinePunct w:val="0"/>
              <w:autoSpaceDN/>
              <w:bidi w:val="0"/>
              <w:adjustRightInd w:val="0"/>
              <w:spacing w:line="288" w:lineRule="auto"/>
              <w:rPr>
                <w:rFonts w:hint="eastAsia" w:ascii="宋体" w:hAnsi="宋体" w:eastAsia="宋体" w:cs="宋体"/>
                <w:color w:val="auto"/>
                <w:szCs w:val="21"/>
                <w:highlight w:val="none"/>
                <w:lang w:val="en-US" w:eastAsia="zh-CN" w:bidi="ar"/>
              </w:rPr>
            </w:pPr>
            <w:r>
              <w:rPr>
                <w:rFonts w:hint="eastAsia" w:ascii="宋体" w:hAnsi="宋体" w:cs="宋体"/>
                <w:color w:val="auto"/>
                <w:szCs w:val="21"/>
                <w:highlight w:val="none"/>
                <w:lang w:val="en-US" w:eastAsia="zh-CN" w:bidi="ar"/>
              </w:rPr>
              <w:t>内部管理制度较</w:t>
            </w:r>
            <w:r>
              <w:rPr>
                <w:rFonts w:hint="eastAsia" w:ascii="宋体" w:hAnsi="宋体" w:eastAsia="宋体" w:cs="宋体"/>
                <w:color w:val="auto"/>
                <w:szCs w:val="21"/>
                <w:highlight w:val="none"/>
                <w:lang w:bidi="ar"/>
              </w:rPr>
              <w:t>完善</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较</w:t>
            </w:r>
            <w:r>
              <w:rPr>
                <w:rFonts w:hint="eastAsia" w:ascii="宋体" w:hAnsi="宋体" w:cs="宋体"/>
                <w:color w:val="auto"/>
                <w:szCs w:val="21"/>
                <w:highlight w:val="none"/>
                <w:lang w:val="en-US" w:eastAsia="zh-CN" w:bidi="ar"/>
              </w:rPr>
              <w:t>全面、较</w:t>
            </w:r>
            <w:r>
              <w:rPr>
                <w:rFonts w:hint="eastAsia" w:ascii="宋体" w:hAnsi="宋体" w:eastAsia="宋体" w:cs="宋体"/>
                <w:color w:val="auto"/>
                <w:szCs w:val="21"/>
                <w:highlight w:val="none"/>
                <w:lang w:val="en-US" w:eastAsia="zh-CN" w:bidi="ar"/>
              </w:rPr>
              <w:t>可行</w:t>
            </w:r>
            <w:r>
              <w:rPr>
                <w:rFonts w:hint="eastAsia" w:ascii="宋体" w:hAnsi="宋体" w:eastAsia="宋体" w:cs="宋体"/>
                <w:color w:val="auto"/>
                <w:szCs w:val="21"/>
                <w:highlight w:val="none"/>
                <w:lang w:bidi="ar"/>
              </w:rPr>
              <w:t>的得</w:t>
            </w:r>
            <w:r>
              <w:rPr>
                <w:rFonts w:hint="eastAsia" w:ascii="宋体" w:hAnsi="宋体" w:eastAsia="宋体" w:cs="宋体"/>
                <w:color w:val="auto"/>
                <w:szCs w:val="21"/>
                <w:highlight w:val="none"/>
                <w:lang w:val="en-US" w:eastAsia="zh-CN" w:bidi="ar"/>
              </w:rPr>
              <w:t>3</w:t>
            </w:r>
            <w:r>
              <w:rPr>
                <w:rFonts w:hint="eastAsia" w:ascii="宋体" w:hAnsi="宋体" w:eastAsia="宋体" w:cs="宋体"/>
                <w:color w:val="auto"/>
                <w:szCs w:val="21"/>
                <w:highlight w:val="none"/>
                <w:lang w:bidi="ar"/>
              </w:rPr>
              <w:t>分</w:t>
            </w:r>
            <w:r>
              <w:rPr>
                <w:rFonts w:hint="eastAsia" w:ascii="宋体" w:hAnsi="宋体" w:eastAsia="宋体" w:cs="宋体"/>
                <w:color w:val="auto"/>
                <w:szCs w:val="21"/>
                <w:highlight w:val="none"/>
                <w:lang w:val="en-US" w:eastAsia="zh-CN" w:bidi="ar"/>
              </w:rPr>
              <w:t>；</w:t>
            </w:r>
          </w:p>
          <w:p w14:paraId="79CDBCE0">
            <w:pPr>
              <w:keepNext w:val="0"/>
              <w:keepLines w:val="0"/>
              <w:pageBreakBefore w:val="0"/>
              <w:kinsoku/>
              <w:wordWrap/>
              <w:overflowPunct/>
              <w:topLinePunct w:val="0"/>
              <w:autoSpaceDN/>
              <w:bidi w:val="0"/>
              <w:adjustRightInd w:val="0"/>
              <w:spacing w:line="288" w:lineRule="auto"/>
              <w:rPr>
                <w:rFonts w:hint="eastAsia" w:ascii="宋体" w:hAnsi="宋体" w:eastAsia="宋体" w:cs="宋体"/>
                <w:color w:val="auto"/>
                <w:szCs w:val="21"/>
                <w:highlight w:val="none"/>
                <w:lang w:val="en-US" w:eastAsia="zh-CN" w:bidi="ar"/>
              </w:rPr>
            </w:pPr>
            <w:r>
              <w:rPr>
                <w:rFonts w:hint="eastAsia" w:ascii="宋体" w:hAnsi="宋体" w:cs="宋体"/>
                <w:color w:val="auto"/>
                <w:szCs w:val="21"/>
                <w:highlight w:val="none"/>
                <w:lang w:val="en-US" w:eastAsia="zh-CN" w:bidi="ar"/>
              </w:rPr>
              <w:t>内部管理制度不</w:t>
            </w:r>
            <w:r>
              <w:rPr>
                <w:rFonts w:hint="eastAsia" w:ascii="宋体" w:hAnsi="宋体" w:eastAsia="宋体" w:cs="宋体"/>
                <w:color w:val="auto"/>
                <w:szCs w:val="21"/>
                <w:highlight w:val="none"/>
                <w:lang w:bidi="ar"/>
              </w:rPr>
              <w:t>完善</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不</w:t>
            </w:r>
            <w:r>
              <w:rPr>
                <w:rFonts w:hint="eastAsia" w:ascii="宋体" w:hAnsi="宋体" w:cs="宋体"/>
                <w:color w:val="auto"/>
                <w:szCs w:val="21"/>
                <w:highlight w:val="none"/>
                <w:lang w:val="en-US" w:eastAsia="zh-CN" w:bidi="ar"/>
              </w:rPr>
              <w:t>全面、不</w:t>
            </w:r>
            <w:r>
              <w:rPr>
                <w:rFonts w:hint="eastAsia" w:ascii="宋体" w:hAnsi="宋体" w:eastAsia="宋体" w:cs="宋体"/>
                <w:color w:val="auto"/>
                <w:szCs w:val="21"/>
                <w:highlight w:val="none"/>
                <w:lang w:val="en-US" w:eastAsia="zh-CN" w:bidi="ar"/>
              </w:rPr>
              <w:t>可行</w:t>
            </w:r>
            <w:r>
              <w:rPr>
                <w:rFonts w:hint="eastAsia" w:ascii="宋体" w:hAnsi="宋体" w:eastAsia="宋体" w:cs="宋体"/>
                <w:color w:val="auto"/>
                <w:szCs w:val="21"/>
                <w:highlight w:val="none"/>
                <w:lang w:bidi="ar"/>
              </w:rPr>
              <w:t>的得</w:t>
            </w:r>
            <w:r>
              <w:rPr>
                <w:rFonts w:hint="eastAsia" w:ascii="宋体" w:hAnsi="宋体" w:eastAsia="宋体" w:cs="宋体"/>
                <w:color w:val="auto"/>
                <w:szCs w:val="21"/>
                <w:highlight w:val="none"/>
                <w:lang w:val="en-US" w:eastAsia="zh-CN" w:bidi="ar"/>
              </w:rPr>
              <w:t>1</w:t>
            </w:r>
            <w:r>
              <w:rPr>
                <w:rFonts w:hint="eastAsia" w:ascii="宋体" w:hAnsi="宋体" w:eastAsia="宋体" w:cs="宋体"/>
                <w:color w:val="auto"/>
                <w:szCs w:val="21"/>
                <w:highlight w:val="none"/>
                <w:lang w:bidi="ar"/>
              </w:rPr>
              <w:t>分</w:t>
            </w:r>
            <w:r>
              <w:rPr>
                <w:rFonts w:hint="eastAsia" w:ascii="宋体" w:hAnsi="宋体" w:eastAsia="宋体" w:cs="宋体"/>
                <w:color w:val="auto"/>
                <w:szCs w:val="21"/>
                <w:highlight w:val="none"/>
                <w:lang w:val="en-US" w:eastAsia="zh-CN" w:bidi="ar"/>
              </w:rPr>
              <w:t>；</w:t>
            </w:r>
          </w:p>
          <w:p w14:paraId="5F4B0051">
            <w:pPr>
              <w:keepNext w:val="0"/>
              <w:keepLines w:val="0"/>
              <w:pageBreakBefore w:val="0"/>
              <w:kinsoku/>
              <w:wordWrap/>
              <w:overflowPunct/>
              <w:topLinePunct w:val="0"/>
              <w:autoSpaceDN/>
              <w:bidi w:val="0"/>
              <w:adjustRightInd w:val="0"/>
              <w:spacing w:line="288" w:lineRule="auto"/>
              <w:rPr>
                <w:rFonts w:hint="eastAsia" w:ascii="宋体" w:hAnsi="宋体" w:eastAsia="宋体" w:cs="宋体"/>
                <w:color w:val="auto"/>
                <w:szCs w:val="21"/>
                <w:highlight w:val="none"/>
                <w:lang w:val="en-US" w:eastAsia="zh-CN" w:bidi="ar"/>
              </w:rPr>
            </w:pPr>
            <w:r>
              <w:rPr>
                <w:rFonts w:hint="eastAsia" w:ascii="宋体" w:hAnsi="宋体" w:cs="宋体"/>
                <w:color w:val="auto"/>
                <w:szCs w:val="21"/>
                <w:highlight w:val="none"/>
                <w:lang w:val="en-US" w:eastAsia="zh-CN" w:bidi="ar"/>
              </w:rPr>
              <w:t>无内部管理制度</w:t>
            </w:r>
            <w:r>
              <w:rPr>
                <w:rFonts w:hint="eastAsia" w:ascii="宋体" w:hAnsi="宋体" w:eastAsia="宋体" w:cs="宋体"/>
                <w:color w:val="auto"/>
                <w:szCs w:val="21"/>
                <w:highlight w:val="none"/>
                <w:lang w:val="en-US" w:eastAsia="zh-CN" w:bidi="ar"/>
              </w:rPr>
              <w:t>的不得分。</w:t>
            </w:r>
          </w:p>
        </w:tc>
        <w:tc>
          <w:tcPr>
            <w:tcW w:w="674" w:type="dxa"/>
            <w:tcBorders>
              <w:top w:val="single" w:color="auto" w:sz="4" w:space="0"/>
              <w:left w:val="single" w:color="auto" w:sz="4" w:space="0"/>
              <w:bottom w:val="single" w:color="auto" w:sz="4" w:space="0"/>
              <w:right w:val="single" w:color="auto" w:sz="2" w:space="0"/>
            </w:tcBorders>
            <w:noWrap w:val="0"/>
            <w:vAlign w:val="center"/>
          </w:tcPr>
          <w:p w14:paraId="69228DE8">
            <w:pPr>
              <w:keepNext w:val="0"/>
              <w:keepLines w:val="0"/>
              <w:pageBreakBefore w:val="0"/>
              <w:kinsoku/>
              <w:wordWrap/>
              <w:overflowPunct/>
              <w:topLinePunct w:val="0"/>
              <w:autoSpaceDN/>
              <w:bidi w:val="0"/>
              <w:adjustRightInd w:val="0"/>
              <w:spacing w:line="288"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5</w:t>
            </w:r>
          </w:p>
        </w:tc>
        <w:tc>
          <w:tcPr>
            <w:tcW w:w="735" w:type="dxa"/>
            <w:tcBorders>
              <w:top w:val="single" w:color="auto" w:sz="4" w:space="0"/>
              <w:left w:val="single" w:color="auto" w:sz="4" w:space="0"/>
              <w:bottom w:val="single" w:color="auto" w:sz="4" w:space="0"/>
              <w:right w:val="single" w:color="auto" w:sz="2" w:space="0"/>
            </w:tcBorders>
            <w:noWrap w:val="0"/>
            <w:vAlign w:val="center"/>
          </w:tcPr>
          <w:p w14:paraId="306BFD89">
            <w:pPr>
              <w:keepNext w:val="0"/>
              <w:keepLines w:val="0"/>
              <w:pageBreakBefore w:val="0"/>
              <w:kinsoku/>
              <w:wordWrap/>
              <w:overflowPunct/>
              <w:topLinePunct w:val="0"/>
              <w:autoSpaceDN/>
              <w:bidi w:val="0"/>
              <w:adjustRightInd w:val="0"/>
              <w:spacing w:line="288" w:lineRule="auto"/>
              <w:jc w:val="center"/>
              <w:rPr>
                <w:rFonts w:hint="eastAsia" w:ascii="宋体" w:hAnsi="宋体" w:eastAsia="宋体" w:cs="宋体"/>
                <w:snapToGrid w:val="0"/>
                <w:color w:val="auto"/>
                <w:spacing w:val="-4"/>
                <w:kern w:val="2"/>
                <w:sz w:val="21"/>
                <w:szCs w:val="21"/>
                <w:highlight w:val="none"/>
                <w:lang w:val="en-US" w:eastAsia="zh-CN" w:bidi="ar-SA"/>
              </w:rPr>
            </w:pPr>
            <w:r>
              <w:rPr>
                <w:rFonts w:hint="eastAsia" w:ascii="宋体" w:hAnsi="宋体" w:cs="宋体"/>
                <w:snapToGrid w:val="0"/>
                <w:color w:val="auto"/>
                <w:spacing w:val="-4"/>
                <w:szCs w:val="21"/>
                <w:highlight w:val="none"/>
              </w:rPr>
              <w:t>主观评审</w:t>
            </w:r>
          </w:p>
        </w:tc>
      </w:tr>
      <w:tr w14:paraId="738E4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4" w:hRule="atLeast"/>
          <w:jc w:val="center"/>
        </w:trPr>
        <w:tc>
          <w:tcPr>
            <w:tcW w:w="834" w:type="dxa"/>
            <w:vMerge w:val="continue"/>
            <w:tcBorders>
              <w:left w:val="single" w:color="auto" w:sz="4" w:space="0"/>
              <w:right w:val="single" w:color="auto" w:sz="2" w:space="0"/>
            </w:tcBorders>
            <w:noWrap w:val="0"/>
            <w:vAlign w:val="center"/>
          </w:tcPr>
          <w:p w14:paraId="468B87AB">
            <w:pPr>
              <w:keepNext w:val="0"/>
              <w:keepLines w:val="0"/>
              <w:pageBreakBefore w:val="0"/>
              <w:widowControl/>
              <w:kinsoku/>
              <w:wordWrap/>
              <w:overflowPunct/>
              <w:topLinePunct w:val="0"/>
              <w:autoSpaceDN/>
              <w:bidi w:val="0"/>
              <w:adjustRightInd w:val="0"/>
              <w:spacing w:line="288" w:lineRule="auto"/>
              <w:jc w:val="left"/>
              <w:rPr>
                <w:rFonts w:hint="eastAsia" w:ascii="宋体" w:hAnsi="宋体" w:cs="宋体"/>
                <w:snapToGrid w:val="0"/>
                <w:color w:val="auto"/>
                <w:spacing w:val="-4"/>
                <w:szCs w:val="21"/>
                <w:highlight w:val="none"/>
              </w:rPr>
            </w:pPr>
          </w:p>
        </w:tc>
        <w:tc>
          <w:tcPr>
            <w:tcW w:w="1598" w:type="dxa"/>
            <w:tcBorders>
              <w:top w:val="single" w:color="auto" w:sz="4" w:space="0"/>
              <w:left w:val="single" w:color="auto" w:sz="4" w:space="0"/>
              <w:right w:val="single" w:color="auto" w:sz="2" w:space="0"/>
            </w:tcBorders>
            <w:noWrap w:val="0"/>
            <w:vAlign w:val="center"/>
          </w:tcPr>
          <w:p w14:paraId="4723F3E3">
            <w:pPr>
              <w:keepNext w:val="0"/>
              <w:keepLines w:val="0"/>
              <w:pageBreakBefore w:val="0"/>
              <w:widowControl/>
              <w:kinsoku/>
              <w:wordWrap/>
              <w:overflowPunct/>
              <w:topLinePunct w:val="0"/>
              <w:autoSpaceDN/>
              <w:bidi w:val="0"/>
              <w:adjustRightInd w:val="0"/>
              <w:spacing w:line="288" w:lineRule="auto"/>
              <w:jc w:val="center"/>
              <w:rPr>
                <w:rFonts w:hint="eastAsia" w:ascii="宋体" w:hAnsi="宋体" w:eastAsia="宋体" w:cs="宋体"/>
                <w:color w:val="auto"/>
                <w:szCs w:val="21"/>
                <w:highlight w:val="none"/>
                <w:lang w:val="en-US" w:eastAsia="zh-CN" w:bidi="ar"/>
              </w:rPr>
            </w:pPr>
            <w:r>
              <w:rPr>
                <w:rFonts w:hint="eastAsia" w:ascii="宋体" w:hAnsi="宋体" w:cs="宋体"/>
                <w:color w:val="auto"/>
                <w:szCs w:val="21"/>
                <w:highlight w:val="none"/>
                <w:lang w:val="en-US" w:eastAsia="zh-CN" w:bidi="ar"/>
              </w:rPr>
              <w:t>整体</w:t>
            </w:r>
            <w:r>
              <w:rPr>
                <w:rFonts w:hint="eastAsia" w:ascii="宋体" w:hAnsi="宋体" w:eastAsia="宋体" w:cs="宋体"/>
                <w:color w:val="auto"/>
                <w:szCs w:val="21"/>
                <w:highlight w:val="none"/>
                <w:lang w:val="en-US" w:eastAsia="zh-CN" w:bidi="ar"/>
              </w:rPr>
              <w:t>服务方案</w:t>
            </w:r>
          </w:p>
          <w:p w14:paraId="73D3B87A">
            <w:pPr>
              <w:keepNext w:val="0"/>
              <w:keepLines w:val="0"/>
              <w:pageBreakBefore w:val="0"/>
              <w:widowControl/>
              <w:kinsoku/>
              <w:wordWrap/>
              <w:overflowPunct/>
              <w:topLinePunct w:val="0"/>
              <w:autoSpaceDN/>
              <w:bidi w:val="0"/>
              <w:adjustRightInd w:val="0"/>
              <w:spacing w:line="288" w:lineRule="auto"/>
              <w:jc w:val="center"/>
              <w:rPr>
                <w:rFonts w:hint="eastAsia" w:ascii="宋体" w:hAnsi="宋体" w:eastAsia="宋体" w:cs="宋体"/>
                <w:color w:val="auto"/>
                <w:szCs w:val="21"/>
                <w:highlight w:val="none"/>
                <w:lang w:val="en-US" w:eastAsia="zh-CN" w:bidi="ar"/>
              </w:rPr>
            </w:pPr>
            <w:r>
              <w:rPr>
                <w:rFonts w:hint="eastAsia" w:ascii="宋体" w:hAnsi="宋体" w:cs="宋体"/>
                <w:color w:val="auto"/>
                <w:szCs w:val="21"/>
                <w:highlight w:val="none"/>
                <w:lang w:val="en-US" w:eastAsia="zh-CN" w:bidi="ar"/>
              </w:rPr>
              <w:t>（5分）</w:t>
            </w:r>
          </w:p>
        </w:tc>
        <w:tc>
          <w:tcPr>
            <w:tcW w:w="6271" w:type="dxa"/>
            <w:tcBorders>
              <w:top w:val="single" w:color="auto" w:sz="4" w:space="0"/>
              <w:left w:val="single" w:color="auto" w:sz="4" w:space="0"/>
              <w:right w:val="single" w:color="auto" w:sz="2" w:space="0"/>
            </w:tcBorders>
            <w:noWrap w:val="0"/>
            <w:vAlign w:val="center"/>
          </w:tcPr>
          <w:p w14:paraId="5E89568D">
            <w:pPr>
              <w:keepNext w:val="0"/>
              <w:keepLines w:val="0"/>
              <w:pageBreakBefore w:val="0"/>
              <w:kinsoku/>
              <w:wordWrap/>
              <w:overflowPunct/>
              <w:topLinePunct w:val="0"/>
              <w:autoSpaceDN/>
              <w:bidi w:val="0"/>
              <w:adjustRightInd w:val="0"/>
              <w:spacing w:line="288" w:lineRule="auto"/>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根据供应商针对本项目的</w:t>
            </w:r>
            <w:r>
              <w:rPr>
                <w:rFonts w:hint="eastAsia" w:ascii="宋体" w:hAnsi="宋体" w:cs="宋体"/>
                <w:color w:val="auto"/>
                <w:szCs w:val="21"/>
                <w:highlight w:val="none"/>
                <w:lang w:val="en-US" w:eastAsia="zh-CN" w:bidi="ar"/>
              </w:rPr>
              <w:t>整体</w:t>
            </w:r>
            <w:r>
              <w:rPr>
                <w:rFonts w:hint="eastAsia" w:ascii="宋体" w:hAnsi="宋体" w:eastAsia="宋体" w:cs="宋体"/>
                <w:color w:val="auto"/>
                <w:szCs w:val="21"/>
                <w:highlight w:val="none"/>
                <w:lang w:val="en-US" w:eastAsia="zh-CN" w:bidi="ar"/>
              </w:rPr>
              <w:t>服务方案（包括工作职责、工作要求、工作时长）进行评审：</w:t>
            </w:r>
          </w:p>
          <w:p w14:paraId="2A07D7C5">
            <w:pPr>
              <w:keepNext w:val="0"/>
              <w:keepLines w:val="0"/>
              <w:pageBreakBefore w:val="0"/>
              <w:kinsoku/>
              <w:wordWrap/>
              <w:overflowPunct/>
              <w:topLinePunct w:val="0"/>
              <w:autoSpaceDN/>
              <w:bidi w:val="0"/>
              <w:adjustRightInd w:val="0"/>
              <w:spacing w:line="288" w:lineRule="auto"/>
              <w:rPr>
                <w:rFonts w:hint="eastAsia" w:ascii="宋体" w:hAnsi="宋体" w:eastAsia="宋体" w:cs="宋体"/>
                <w:color w:val="auto"/>
                <w:szCs w:val="21"/>
                <w:highlight w:val="none"/>
                <w:lang w:val="en-US" w:eastAsia="zh-CN" w:bidi="ar"/>
              </w:rPr>
            </w:pPr>
            <w:r>
              <w:rPr>
                <w:rFonts w:hint="eastAsia" w:ascii="宋体" w:hAnsi="宋体" w:cs="宋体"/>
                <w:color w:val="auto"/>
                <w:szCs w:val="21"/>
                <w:highlight w:val="none"/>
                <w:lang w:val="en-US" w:eastAsia="zh-CN" w:bidi="ar"/>
              </w:rPr>
              <w:t>整体</w:t>
            </w:r>
            <w:r>
              <w:rPr>
                <w:rFonts w:hint="eastAsia" w:ascii="宋体" w:hAnsi="宋体" w:eastAsia="宋体" w:cs="宋体"/>
                <w:color w:val="auto"/>
                <w:szCs w:val="21"/>
                <w:highlight w:val="none"/>
                <w:lang w:val="en-US" w:eastAsia="zh-CN" w:bidi="ar"/>
              </w:rPr>
              <w:t>服务方案针对性</w:t>
            </w:r>
            <w:r>
              <w:rPr>
                <w:rFonts w:hint="eastAsia" w:ascii="宋体" w:hAnsi="宋体" w:cs="宋体"/>
                <w:color w:val="auto"/>
                <w:szCs w:val="21"/>
                <w:highlight w:val="none"/>
                <w:lang w:val="en-US" w:eastAsia="zh-CN" w:bidi="ar"/>
              </w:rPr>
              <w:t>强</w:t>
            </w:r>
            <w:r>
              <w:rPr>
                <w:rFonts w:hint="eastAsia" w:ascii="宋体" w:hAnsi="宋体" w:eastAsia="宋体" w:cs="宋体"/>
                <w:color w:val="auto"/>
                <w:szCs w:val="21"/>
                <w:highlight w:val="none"/>
                <w:lang w:val="en-US" w:eastAsia="zh-CN" w:bidi="ar"/>
              </w:rPr>
              <w:t>，完全满足采购需求的得5分；</w:t>
            </w:r>
          </w:p>
          <w:p w14:paraId="120CBC1A">
            <w:pPr>
              <w:keepNext w:val="0"/>
              <w:keepLines w:val="0"/>
              <w:pageBreakBefore w:val="0"/>
              <w:kinsoku/>
              <w:wordWrap/>
              <w:overflowPunct/>
              <w:topLinePunct w:val="0"/>
              <w:autoSpaceDN/>
              <w:bidi w:val="0"/>
              <w:adjustRightInd w:val="0"/>
              <w:spacing w:line="288" w:lineRule="auto"/>
              <w:rPr>
                <w:rFonts w:hint="eastAsia" w:ascii="宋体" w:hAnsi="宋体" w:eastAsia="宋体" w:cs="宋体"/>
                <w:color w:val="auto"/>
                <w:szCs w:val="21"/>
                <w:highlight w:val="none"/>
                <w:lang w:val="en-US" w:eastAsia="zh-CN" w:bidi="ar"/>
              </w:rPr>
            </w:pPr>
            <w:r>
              <w:rPr>
                <w:rFonts w:hint="eastAsia" w:ascii="宋体" w:hAnsi="宋体" w:cs="宋体"/>
                <w:color w:val="auto"/>
                <w:szCs w:val="21"/>
                <w:highlight w:val="none"/>
                <w:lang w:val="en-US" w:eastAsia="zh-CN" w:bidi="ar"/>
              </w:rPr>
              <w:t>整体</w:t>
            </w:r>
            <w:r>
              <w:rPr>
                <w:rFonts w:hint="eastAsia" w:ascii="宋体" w:hAnsi="宋体" w:eastAsia="宋体" w:cs="宋体"/>
                <w:color w:val="auto"/>
                <w:szCs w:val="21"/>
                <w:highlight w:val="none"/>
                <w:lang w:val="en-US" w:eastAsia="zh-CN" w:bidi="ar"/>
              </w:rPr>
              <w:t>服务方案较有针对性，基本符合采购需求的得3分；</w:t>
            </w:r>
          </w:p>
          <w:p w14:paraId="09C1F94E">
            <w:pPr>
              <w:keepNext w:val="0"/>
              <w:keepLines w:val="0"/>
              <w:pageBreakBefore w:val="0"/>
              <w:kinsoku/>
              <w:wordWrap/>
              <w:overflowPunct/>
              <w:topLinePunct w:val="0"/>
              <w:autoSpaceDN/>
              <w:bidi w:val="0"/>
              <w:adjustRightInd w:val="0"/>
              <w:spacing w:line="288" w:lineRule="auto"/>
              <w:rPr>
                <w:rFonts w:hint="eastAsia" w:ascii="宋体" w:hAnsi="宋体" w:eastAsia="宋体" w:cs="宋体"/>
                <w:color w:val="auto"/>
                <w:szCs w:val="21"/>
                <w:highlight w:val="none"/>
                <w:lang w:val="en-US" w:eastAsia="zh-CN" w:bidi="ar"/>
              </w:rPr>
            </w:pPr>
            <w:r>
              <w:rPr>
                <w:rFonts w:hint="eastAsia" w:ascii="宋体" w:hAnsi="宋体" w:cs="宋体"/>
                <w:color w:val="auto"/>
                <w:szCs w:val="21"/>
                <w:highlight w:val="none"/>
                <w:lang w:val="en-US" w:eastAsia="zh-CN" w:bidi="ar"/>
              </w:rPr>
              <w:t>整体</w:t>
            </w:r>
            <w:r>
              <w:rPr>
                <w:rFonts w:hint="eastAsia" w:ascii="宋体" w:hAnsi="宋体" w:eastAsia="宋体" w:cs="宋体"/>
                <w:color w:val="auto"/>
                <w:szCs w:val="21"/>
                <w:highlight w:val="none"/>
                <w:lang w:val="en-US" w:eastAsia="zh-CN" w:bidi="ar"/>
              </w:rPr>
              <w:t>服务方案针对性差 ，无法满足采购需求的得1分；</w:t>
            </w:r>
          </w:p>
          <w:p w14:paraId="6371370F">
            <w:pPr>
              <w:keepNext w:val="0"/>
              <w:keepLines w:val="0"/>
              <w:pageBreakBefore w:val="0"/>
              <w:kinsoku/>
              <w:wordWrap/>
              <w:overflowPunct/>
              <w:topLinePunct w:val="0"/>
              <w:autoSpaceDN/>
              <w:bidi w:val="0"/>
              <w:adjustRightInd w:val="0"/>
              <w:spacing w:line="288" w:lineRule="auto"/>
              <w:rPr>
                <w:rFonts w:hint="default"/>
                <w:color w:val="auto"/>
                <w:highlight w:val="none"/>
                <w:lang w:val="en-US" w:eastAsia="zh-CN"/>
              </w:rPr>
            </w:pPr>
            <w:r>
              <w:rPr>
                <w:rFonts w:hint="eastAsia" w:ascii="宋体" w:hAnsi="宋体" w:eastAsia="宋体" w:cs="宋体"/>
                <w:color w:val="auto"/>
                <w:szCs w:val="21"/>
                <w:highlight w:val="none"/>
                <w:lang w:val="en-US" w:eastAsia="zh-CN" w:bidi="ar"/>
              </w:rPr>
              <w:t>无</w:t>
            </w:r>
            <w:r>
              <w:rPr>
                <w:rFonts w:hint="eastAsia" w:ascii="宋体" w:hAnsi="宋体" w:cs="宋体"/>
                <w:color w:val="auto"/>
                <w:szCs w:val="21"/>
                <w:highlight w:val="none"/>
                <w:lang w:val="en-US" w:eastAsia="zh-CN" w:bidi="ar"/>
              </w:rPr>
              <w:t>整体</w:t>
            </w:r>
            <w:r>
              <w:rPr>
                <w:rFonts w:hint="eastAsia" w:ascii="宋体" w:hAnsi="宋体" w:eastAsia="宋体" w:cs="宋体"/>
                <w:color w:val="auto"/>
                <w:szCs w:val="21"/>
                <w:highlight w:val="none"/>
                <w:lang w:val="en-US" w:eastAsia="zh-CN" w:bidi="ar"/>
              </w:rPr>
              <w:t>服务方案的不得分。</w:t>
            </w:r>
          </w:p>
        </w:tc>
        <w:tc>
          <w:tcPr>
            <w:tcW w:w="674" w:type="dxa"/>
            <w:tcBorders>
              <w:top w:val="single" w:color="auto" w:sz="4" w:space="0"/>
              <w:left w:val="single" w:color="auto" w:sz="4" w:space="0"/>
              <w:bottom w:val="single" w:color="auto" w:sz="4" w:space="0"/>
              <w:right w:val="single" w:color="auto" w:sz="2" w:space="0"/>
            </w:tcBorders>
            <w:noWrap w:val="0"/>
            <w:vAlign w:val="center"/>
          </w:tcPr>
          <w:p w14:paraId="42741DD7">
            <w:pPr>
              <w:keepNext w:val="0"/>
              <w:keepLines w:val="0"/>
              <w:pageBreakBefore w:val="0"/>
              <w:kinsoku/>
              <w:wordWrap/>
              <w:overflowPunct/>
              <w:topLinePunct w:val="0"/>
              <w:autoSpaceDN/>
              <w:bidi w:val="0"/>
              <w:adjustRightInd w:val="0"/>
              <w:spacing w:line="288"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5</w:t>
            </w:r>
          </w:p>
        </w:tc>
        <w:tc>
          <w:tcPr>
            <w:tcW w:w="735" w:type="dxa"/>
            <w:tcBorders>
              <w:top w:val="single" w:color="auto" w:sz="4" w:space="0"/>
              <w:left w:val="single" w:color="auto" w:sz="4" w:space="0"/>
              <w:bottom w:val="single" w:color="auto" w:sz="4" w:space="0"/>
              <w:right w:val="single" w:color="auto" w:sz="2" w:space="0"/>
            </w:tcBorders>
            <w:noWrap w:val="0"/>
            <w:vAlign w:val="center"/>
          </w:tcPr>
          <w:p w14:paraId="08E5CCC0">
            <w:pPr>
              <w:keepNext w:val="0"/>
              <w:keepLines w:val="0"/>
              <w:pageBreakBefore w:val="0"/>
              <w:kinsoku/>
              <w:wordWrap/>
              <w:overflowPunct/>
              <w:topLinePunct w:val="0"/>
              <w:autoSpaceDN/>
              <w:bidi w:val="0"/>
              <w:adjustRightInd w:val="0"/>
              <w:spacing w:line="288" w:lineRule="auto"/>
              <w:jc w:val="center"/>
              <w:rPr>
                <w:rFonts w:hint="eastAsia" w:ascii="宋体" w:hAnsi="宋体" w:eastAsia="宋体" w:cs="宋体"/>
                <w:snapToGrid w:val="0"/>
                <w:color w:val="auto"/>
                <w:spacing w:val="-4"/>
                <w:kern w:val="2"/>
                <w:sz w:val="21"/>
                <w:szCs w:val="21"/>
                <w:highlight w:val="none"/>
                <w:lang w:val="en-US" w:eastAsia="zh-CN" w:bidi="ar-SA"/>
              </w:rPr>
            </w:pPr>
            <w:r>
              <w:rPr>
                <w:rFonts w:hint="eastAsia" w:ascii="宋体" w:hAnsi="宋体" w:cs="宋体"/>
                <w:snapToGrid w:val="0"/>
                <w:color w:val="auto"/>
                <w:spacing w:val="-4"/>
                <w:szCs w:val="21"/>
                <w:highlight w:val="none"/>
              </w:rPr>
              <w:t>主观评审</w:t>
            </w:r>
          </w:p>
        </w:tc>
      </w:tr>
      <w:tr w14:paraId="02101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4" w:hRule="atLeast"/>
          <w:jc w:val="center"/>
        </w:trPr>
        <w:tc>
          <w:tcPr>
            <w:tcW w:w="834" w:type="dxa"/>
            <w:vMerge w:val="continue"/>
            <w:tcBorders>
              <w:left w:val="single" w:color="auto" w:sz="4" w:space="0"/>
              <w:right w:val="single" w:color="auto" w:sz="2" w:space="0"/>
            </w:tcBorders>
            <w:noWrap w:val="0"/>
            <w:vAlign w:val="center"/>
          </w:tcPr>
          <w:p w14:paraId="18875DA1">
            <w:pPr>
              <w:keepNext w:val="0"/>
              <w:keepLines w:val="0"/>
              <w:pageBreakBefore w:val="0"/>
              <w:widowControl/>
              <w:kinsoku/>
              <w:wordWrap/>
              <w:overflowPunct/>
              <w:topLinePunct w:val="0"/>
              <w:autoSpaceDN/>
              <w:bidi w:val="0"/>
              <w:adjustRightInd w:val="0"/>
              <w:spacing w:line="288" w:lineRule="auto"/>
              <w:jc w:val="left"/>
              <w:rPr>
                <w:rFonts w:hint="eastAsia" w:ascii="宋体" w:hAnsi="宋体" w:cs="宋体"/>
                <w:snapToGrid w:val="0"/>
                <w:color w:val="auto"/>
                <w:spacing w:val="-4"/>
                <w:szCs w:val="21"/>
                <w:highlight w:val="none"/>
              </w:rPr>
            </w:pPr>
          </w:p>
        </w:tc>
        <w:tc>
          <w:tcPr>
            <w:tcW w:w="1598" w:type="dxa"/>
            <w:tcBorders>
              <w:top w:val="single" w:color="auto" w:sz="4" w:space="0"/>
              <w:left w:val="single" w:color="auto" w:sz="4" w:space="0"/>
              <w:right w:val="single" w:color="auto" w:sz="2" w:space="0"/>
            </w:tcBorders>
            <w:noWrap w:val="0"/>
            <w:vAlign w:val="center"/>
          </w:tcPr>
          <w:p w14:paraId="3828332B">
            <w:pPr>
              <w:keepNext w:val="0"/>
              <w:keepLines w:val="0"/>
              <w:pageBreakBefore w:val="0"/>
              <w:widowControl/>
              <w:kinsoku/>
              <w:wordWrap/>
              <w:overflowPunct/>
              <w:topLinePunct w:val="0"/>
              <w:autoSpaceDN/>
              <w:bidi w:val="0"/>
              <w:adjustRightInd w:val="0"/>
              <w:spacing w:line="288" w:lineRule="auto"/>
              <w:jc w:val="center"/>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日常校园保安服务方案</w:t>
            </w:r>
          </w:p>
          <w:p w14:paraId="38BC492D">
            <w:pPr>
              <w:keepNext w:val="0"/>
              <w:keepLines w:val="0"/>
              <w:pageBreakBefore w:val="0"/>
              <w:widowControl/>
              <w:kinsoku/>
              <w:wordWrap/>
              <w:overflowPunct/>
              <w:topLinePunct w:val="0"/>
              <w:autoSpaceDN/>
              <w:bidi w:val="0"/>
              <w:adjustRightInd w:val="0"/>
              <w:spacing w:line="288" w:lineRule="auto"/>
              <w:jc w:val="center"/>
              <w:rPr>
                <w:rFonts w:hint="eastAsia" w:ascii="宋体" w:hAnsi="宋体" w:eastAsia="宋体" w:cs="宋体"/>
                <w:color w:val="auto"/>
                <w:szCs w:val="21"/>
                <w:highlight w:val="none"/>
                <w:lang w:val="en-US" w:eastAsia="zh-CN" w:bidi="ar"/>
              </w:rPr>
            </w:pPr>
            <w:r>
              <w:rPr>
                <w:rFonts w:hint="eastAsia" w:ascii="宋体" w:hAnsi="宋体" w:cs="宋体"/>
                <w:color w:val="auto"/>
                <w:szCs w:val="21"/>
                <w:highlight w:val="none"/>
                <w:lang w:val="en-US" w:eastAsia="zh-CN" w:bidi="ar"/>
              </w:rPr>
              <w:t>（5分）</w:t>
            </w:r>
          </w:p>
        </w:tc>
        <w:tc>
          <w:tcPr>
            <w:tcW w:w="6271" w:type="dxa"/>
            <w:tcBorders>
              <w:top w:val="single" w:color="auto" w:sz="4" w:space="0"/>
              <w:left w:val="single" w:color="auto" w:sz="4" w:space="0"/>
              <w:right w:val="single" w:color="auto" w:sz="2" w:space="0"/>
            </w:tcBorders>
            <w:noWrap w:val="0"/>
            <w:vAlign w:val="center"/>
          </w:tcPr>
          <w:p w14:paraId="02016A45">
            <w:pPr>
              <w:keepNext w:val="0"/>
              <w:keepLines w:val="0"/>
              <w:pageBreakBefore w:val="0"/>
              <w:kinsoku/>
              <w:wordWrap/>
              <w:overflowPunct/>
              <w:topLinePunct w:val="0"/>
              <w:autoSpaceDN/>
              <w:bidi w:val="0"/>
              <w:adjustRightInd w:val="0"/>
              <w:spacing w:line="288"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根据供应商针对本项目的日常校园保安服务方案（包括巡逻、登记、交通秩序维护、监控、卫生）进行评审：</w:t>
            </w:r>
          </w:p>
          <w:p w14:paraId="5DA77570">
            <w:pPr>
              <w:keepNext w:val="0"/>
              <w:keepLines w:val="0"/>
              <w:pageBreakBefore w:val="0"/>
              <w:kinsoku/>
              <w:wordWrap/>
              <w:overflowPunct/>
              <w:topLinePunct w:val="0"/>
              <w:autoSpaceDN/>
              <w:bidi w:val="0"/>
              <w:adjustRightInd w:val="0"/>
              <w:spacing w:line="288"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日常校园保安服务方案全面、完善、专业的得5分；</w:t>
            </w:r>
          </w:p>
          <w:p w14:paraId="5E4E408E">
            <w:pPr>
              <w:keepNext w:val="0"/>
              <w:keepLines w:val="0"/>
              <w:pageBreakBefore w:val="0"/>
              <w:kinsoku/>
              <w:wordWrap/>
              <w:overflowPunct/>
              <w:topLinePunct w:val="0"/>
              <w:autoSpaceDN/>
              <w:bidi w:val="0"/>
              <w:adjustRightInd w:val="0"/>
              <w:spacing w:line="288"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日常校园保安服务方案较全面、较完善、较专业的得3分；</w:t>
            </w:r>
          </w:p>
          <w:p w14:paraId="4C48455E">
            <w:pPr>
              <w:keepNext w:val="0"/>
              <w:keepLines w:val="0"/>
              <w:pageBreakBefore w:val="0"/>
              <w:kinsoku/>
              <w:wordWrap/>
              <w:overflowPunct/>
              <w:topLinePunct w:val="0"/>
              <w:autoSpaceDN/>
              <w:bidi w:val="0"/>
              <w:adjustRightInd w:val="0"/>
              <w:spacing w:line="288"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日常校园保安服务方案不全面、不完善、不专业的得1分；</w:t>
            </w:r>
          </w:p>
          <w:p w14:paraId="7753B91E">
            <w:pPr>
              <w:keepNext w:val="0"/>
              <w:keepLines w:val="0"/>
              <w:pageBreakBefore w:val="0"/>
              <w:kinsoku/>
              <w:wordWrap/>
              <w:overflowPunct/>
              <w:topLinePunct w:val="0"/>
              <w:autoSpaceDN/>
              <w:bidi w:val="0"/>
              <w:adjustRightInd w:val="0"/>
              <w:spacing w:line="288" w:lineRule="auto"/>
              <w:rPr>
                <w:rFonts w:hint="default"/>
                <w:color w:val="auto"/>
                <w:highlight w:val="none"/>
                <w:lang w:val="en-US" w:eastAsia="zh-CN"/>
              </w:rPr>
            </w:pPr>
            <w:r>
              <w:rPr>
                <w:rFonts w:hint="eastAsia" w:ascii="宋体" w:hAnsi="宋体" w:cs="宋体"/>
                <w:color w:val="auto"/>
                <w:sz w:val="21"/>
                <w:szCs w:val="21"/>
                <w:highlight w:val="none"/>
                <w:lang w:val="en-US" w:eastAsia="zh-CN"/>
              </w:rPr>
              <w:t>无日常校园保安服务方案的不得分。</w:t>
            </w:r>
          </w:p>
        </w:tc>
        <w:tc>
          <w:tcPr>
            <w:tcW w:w="674" w:type="dxa"/>
            <w:tcBorders>
              <w:top w:val="single" w:color="auto" w:sz="4" w:space="0"/>
              <w:left w:val="single" w:color="auto" w:sz="4" w:space="0"/>
              <w:bottom w:val="single" w:color="auto" w:sz="4" w:space="0"/>
              <w:right w:val="single" w:color="auto" w:sz="2" w:space="0"/>
            </w:tcBorders>
            <w:noWrap w:val="0"/>
            <w:vAlign w:val="center"/>
          </w:tcPr>
          <w:p w14:paraId="6130BEEF">
            <w:pPr>
              <w:keepNext w:val="0"/>
              <w:keepLines w:val="0"/>
              <w:pageBreakBefore w:val="0"/>
              <w:kinsoku/>
              <w:wordWrap/>
              <w:overflowPunct/>
              <w:topLinePunct w:val="0"/>
              <w:autoSpaceDN/>
              <w:bidi w:val="0"/>
              <w:adjustRightInd w:val="0"/>
              <w:spacing w:line="288"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5</w:t>
            </w:r>
          </w:p>
        </w:tc>
        <w:tc>
          <w:tcPr>
            <w:tcW w:w="735" w:type="dxa"/>
            <w:tcBorders>
              <w:top w:val="single" w:color="auto" w:sz="4" w:space="0"/>
              <w:left w:val="single" w:color="auto" w:sz="4" w:space="0"/>
              <w:bottom w:val="single" w:color="auto" w:sz="4" w:space="0"/>
              <w:right w:val="single" w:color="auto" w:sz="2" w:space="0"/>
            </w:tcBorders>
            <w:noWrap w:val="0"/>
            <w:vAlign w:val="center"/>
          </w:tcPr>
          <w:p w14:paraId="2C310899">
            <w:pPr>
              <w:keepNext w:val="0"/>
              <w:keepLines w:val="0"/>
              <w:pageBreakBefore w:val="0"/>
              <w:kinsoku/>
              <w:wordWrap/>
              <w:overflowPunct/>
              <w:topLinePunct w:val="0"/>
              <w:autoSpaceDN/>
              <w:bidi w:val="0"/>
              <w:adjustRightInd w:val="0"/>
              <w:spacing w:line="288" w:lineRule="auto"/>
              <w:jc w:val="center"/>
              <w:rPr>
                <w:rFonts w:hint="eastAsia" w:ascii="宋体" w:hAnsi="宋体" w:eastAsia="宋体" w:cs="宋体"/>
                <w:snapToGrid w:val="0"/>
                <w:color w:val="auto"/>
                <w:spacing w:val="-4"/>
                <w:kern w:val="2"/>
                <w:sz w:val="21"/>
                <w:szCs w:val="21"/>
                <w:highlight w:val="none"/>
                <w:lang w:val="en-US" w:eastAsia="zh-CN" w:bidi="ar-SA"/>
              </w:rPr>
            </w:pPr>
            <w:r>
              <w:rPr>
                <w:rFonts w:hint="eastAsia" w:ascii="宋体" w:hAnsi="宋体" w:cs="宋体"/>
                <w:snapToGrid w:val="0"/>
                <w:color w:val="auto"/>
                <w:spacing w:val="-4"/>
                <w:szCs w:val="21"/>
                <w:highlight w:val="none"/>
              </w:rPr>
              <w:t>主观评审</w:t>
            </w:r>
          </w:p>
        </w:tc>
      </w:tr>
      <w:tr w14:paraId="64ED2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4" w:hRule="atLeast"/>
          <w:jc w:val="center"/>
        </w:trPr>
        <w:tc>
          <w:tcPr>
            <w:tcW w:w="834" w:type="dxa"/>
            <w:vMerge w:val="continue"/>
            <w:tcBorders>
              <w:left w:val="single" w:color="auto" w:sz="4" w:space="0"/>
              <w:right w:val="single" w:color="auto" w:sz="2" w:space="0"/>
            </w:tcBorders>
            <w:noWrap w:val="0"/>
            <w:vAlign w:val="center"/>
          </w:tcPr>
          <w:p w14:paraId="74459507">
            <w:pPr>
              <w:keepNext w:val="0"/>
              <w:keepLines w:val="0"/>
              <w:pageBreakBefore w:val="0"/>
              <w:widowControl/>
              <w:kinsoku/>
              <w:wordWrap/>
              <w:overflowPunct/>
              <w:topLinePunct w:val="0"/>
              <w:autoSpaceDN/>
              <w:bidi w:val="0"/>
              <w:adjustRightInd w:val="0"/>
              <w:spacing w:line="288" w:lineRule="auto"/>
              <w:jc w:val="left"/>
              <w:rPr>
                <w:rFonts w:hint="eastAsia" w:ascii="宋体" w:hAnsi="宋体" w:cs="宋体"/>
                <w:snapToGrid w:val="0"/>
                <w:color w:val="auto"/>
                <w:spacing w:val="-4"/>
                <w:szCs w:val="21"/>
                <w:highlight w:val="none"/>
              </w:rPr>
            </w:pPr>
          </w:p>
        </w:tc>
        <w:tc>
          <w:tcPr>
            <w:tcW w:w="1598" w:type="dxa"/>
            <w:tcBorders>
              <w:top w:val="single" w:color="auto" w:sz="4" w:space="0"/>
              <w:left w:val="single" w:color="auto" w:sz="4" w:space="0"/>
              <w:right w:val="single" w:color="auto" w:sz="2" w:space="0"/>
            </w:tcBorders>
            <w:noWrap w:val="0"/>
            <w:vAlign w:val="center"/>
          </w:tcPr>
          <w:p w14:paraId="40D5E201">
            <w:pPr>
              <w:keepNext w:val="0"/>
              <w:keepLines w:val="0"/>
              <w:pageBreakBefore w:val="0"/>
              <w:widowControl/>
              <w:kinsoku/>
              <w:wordWrap/>
              <w:overflowPunct/>
              <w:topLinePunct w:val="0"/>
              <w:autoSpaceDN/>
              <w:bidi w:val="0"/>
              <w:adjustRightInd w:val="0"/>
              <w:spacing w:line="288" w:lineRule="auto"/>
              <w:jc w:val="center"/>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接管方案</w:t>
            </w:r>
          </w:p>
          <w:p w14:paraId="7E4EA6FC">
            <w:pPr>
              <w:keepNext w:val="0"/>
              <w:keepLines w:val="0"/>
              <w:pageBreakBefore w:val="0"/>
              <w:widowControl/>
              <w:kinsoku/>
              <w:wordWrap/>
              <w:overflowPunct/>
              <w:topLinePunct w:val="0"/>
              <w:autoSpaceDN/>
              <w:bidi w:val="0"/>
              <w:adjustRightInd w:val="0"/>
              <w:spacing w:line="288" w:lineRule="auto"/>
              <w:jc w:val="center"/>
              <w:rPr>
                <w:rFonts w:hint="default"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（5分）</w:t>
            </w:r>
          </w:p>
        </w:tc>
        <w:tc>
          <w:tcPr>
            <w:tcW w:w="6271" w:type="dxa"/>
            <w:tcBorders>
              <w:top w:val="single" w:color="auto" w:sz="4" w:space="0"/>
              <w:left w:val="single" w:color="auto" w:sz="4" w:space="0"/>
              <w:right w:val="single" w:color="auto" w:sz="2" w:space="0"/>
            </w:tcBorders>
            <w:noWrap w:val="0"/>
            <w:vAlign w:val="center"/>
          </w:tcPr>
          <w:p w14:paraId="098AD997">
            <w:pPr>
              <w:keepNext w:val="0"/>
              <w:keepLines w:val="0"/>
              <w:pageBreakBefore w:val="0"/>
              <w:kinsoku/>
              <w:wordWrap/>
              <w:overflowPunct/>
              <w:topLinePunct w:val="0"/>
              <w:autoSpaceDE w:val="0"/>
              <w:autoSpaceDN/>
              <w:bidi w:val="0"/>
              <w:adjustRightInd w:val="0"/>
              <w:spacing w:line="288" w:lineRule="auto"/>
              <w:textAlignment w:val="baseline"/>
              <w:rPr>
                <w:rFonts w:hint="eastAsia" w:ascii="宋体" w:hAnsi="宋体" w:cs="宋体"/>
                <w:color w:val="auto"/>
                <w:szCs w:val="21"/>
                <w:highlight w:val="none"/>
                <w:lang w:bidi="ar"/>
              </w:rPr>
            </w:pPr>
            <w:r>
              <w:rPr>
                <w:rFonts w:hint="eastAsia" w:ascii="宋体" w:hAnsi="宋体" w:cs="宋体"/>
                <w:color w:val="auto"/>
                <w:szCs w:val="21"/>
                <w:highlight w:val="none"/>
                <w:lang w:bidi="ar"/>
              </w:rPr>
              <w:t>根据</w:t>
            </w:r>
            <w:r>
              <w:rPr>
                <w:rFonts w:hint="eastAsia" w:ascii="宋体" w:hAnsi="宋体" w:cs="宋体"/>
                <w:color w:val="auto"/>
                <w:szCs w:val="21"/>
                <w:highlight w:val="none"/>
                <w:lang w:eastAsia="zh-CN" w:bidi="ar"/>
              </w:rPr>
              <w:t>供应商</w:t>
            </w:r>
            <w:r>
              <w:rPr>
                <w:rFonts w:hint="eastAsia" w:ascii="宋体" w:hAnsi="宋体" w:cs="宋体"/>
                <w:color w:val="auto"/>
                <w:szCs w:val="21"/>
                <w:highlight w:val="none"/>
                <w:lang w:bidi="ar"/>
              </w:rPr>
              <w:t>针对本项目的</w:t>
            </w:r>
            <w:r>
              <w:rPr>
                <w:rFonts w:hint="eastAsia" w:ascii="宋体" w:hAnsi="宋体" w:cs="宋体"/>
                <w:color w:val="auto"/>
                <w:szCs w:val="21"/>
                <w:highlight w:val="none"/>
                <w:lang w:val="en-US" w:eastAsia="zh-CN" w:bidi="ar"/>
              </w:rPr>
              <w:t>接管</w:t>
            </w:r>
            <w:r>
              <w:rPr>
                <w:rFonts w:hint="eastAsia" w:ascii="宋体" w:hAnsi="宋体" w:cs="宋体"/>
                <w:color w:val="auto"/>
                <w:szCs w:val="21"/>
                <w:highlight w:val="none"/>
                <w:lang w:bidi="ar"/>
              </w:rPr>
              <w:t>方案进行评审：</w:t>
            </w:r>
          </w:p>
          <w:p w14:paraId="66F690FF">
            <w:pPr>
              <w:keepNext w:val="0"/>
              <w:keepLines w:val="0"/>
              <w:pageBreakBefore w:val="0"/>
              <w:kinsoku/>
              <w:wordWrap/>
              <w:overflowPunct/>
              <w:topLinePunct w:val="0"/>
              <w:autoSpaceDE w:val="0"/>
              <w:autoSpaceDN/>
              <w:bidi w:val="0"/>
              <w:adjustRightInd w:val="0"/>
              <w:spacing w:line="288" w:lineRule="auto"/>
              <w:textAlignment w:val="baseline"/>
              <w:rPr>
                <w:rFonts w:hint="default" w:ascii="宋体" w:hAnsi="宋体" w:eastAsia="宋体" w:cs="宋体"/>
                <w:color w:val="auto"/>
                <w:szCs w:val="21"/>
                <w:highlight w:val="none"/>
                <w:lang w:val="en-US" w:eastAsia="zh-CN" w:bidi="ar"/>
              </w:rPr>
            </w:pPr>
            <w:r>
              <w:rPr>
                <w:rFonts w:hint="eastAsia" w:ascii="宋体" w:hAnsi="宋体" w:cs="宋体"/>
                <w:color w:val="auto"/>
                <w:szCs w:val="21"/>
                <w:highlight w:val="none"/>
                <w:lang w:val="en-US" w:eastAsia="zh-CN" w:bidi="ar"/>
              </w:rPr>
              <w:t>接管</w:t>
            </w:r>
            <w:r>
              <w:rPr>
                <w:rFonts w:hint="eastAsia" w:ascii="宋体" w:hAnsi="宋体" w:cs="宋体"/>
                <w:color w:val="auto"/>
                <w:szCs w:val="21"/>
                <w:highlight w:val="none"/>
                <w:lang w:bidi="ar"/>
              </w:rPr>
              <w:t>方案</w:t>
            </w:r>
            <w:r>
              <w:rPr>
                <w:rFonts w:hint="eastAsia" w:ascii="宋体" w:hAnsi="宋体" w:cs="宋体"/>
                <w:color w:val="auto"/>
                <w:szCs w:val="21"/>
                <w:highlight w:val="none"/>
                <w:lang w:val="en-US" w:eastAsia="zh-CN" w:bidi="ar"/>
              </w:rPr>
              <w:t>全面、完善、可行，安全平稳过渡的得5分；</w:t>
            </w:r>
          </w:p>
          <w:p w14:paraId="0528BB5E">
            <w:pPr>
              <w:keepNext w:val="0"/>
              <w:keepLines w:val="0"/>
              <w:pageBreakBefore w:val="0"/>
              <w:kinsoku/>
              <w:wordWrap/>
              <w:overflowPunct/>
              <w:topLinePunct w:val="0"/>
              <w:autoSpaceDE w:val="0"/>
              <w:autoSpaceDN/>
              <w:bidi w:val="0"/>
              <w:adjustRightInd w:val="0"/>
              <w:spacing w:line="288" w:lineRule="auto"/>
              <w:textAlignment w:val="baseline"/>
              <w:rPr>
                <w:rFonts w:hint="default" w:ascii="宋体" w:hAnsi="宋体" w:eastAsia="宋体" w:cs="宋体"/>
                <w:color w:val="auto"/>
                <w:szCs w:val="21"/>
                <w:highlight w:val="none"/>
                <w:lang w:val="en-US" w:eastAsia="zh-CN" w:bidi="ar"/>
              </w:rPr>
            </w:pPr>
            <w:r>
              <w:rPr>
                <w:rFonts w:hint="eastAsia" w:ascii="宋体" w:hAnsi="宋体" w:cs="宋体"/>
                <w:color w:val="auto"/>
                <w:szCs w:val="21"/>
                <w:highlight w:val="none"/>
                <w:lang w:val="en-US" w:eastAsia="zh-CN" w:bidi="ar"/>
              </w:rPr>
              <w:t>接管</w:t>
            </w:r>
            <w:r>
              <w:rPr>
                <w:rFonts w:hint="eastAsia" w:ascii="宋体" w:hAnsi="宋体" w:cs="宋体"/>
                <w:color w:val="auto"/>
                <w:szCs w:val="21"/>
                <w:highlight w:val="none"/>
                <w:lang w:bidi="ar"/>
              </w:rPr>
              <w:t>方案</w:t>
            </w:r>
            <w:r>
              <w:rPr>
                <w:rFonts w:hint="eastAsia" w:ascii="宋体" w:hAnsi="宋体" w:cs="宋体"/>
                <w:color w:val="auto"/>
                <w:szCs w:val="21"/>
                <w:highlight w:val="none"/>
                <w:lang w:val="en-US" w:eastAsia="zh-CN" w:bidi="ar"/>
              </w:rPr>
              <w:t>较全面、较完善、较可行，基本可安全平稳过渡的得3分；</w:t>
            </w:r>
          </w:p>
          <w:p w14:paraId="71E0035C">
            <w:pPr>
              <w:keepNext w:val="0"/>
              <w:keepLines w:val="0"/>
              <w:pageBreakBefore w:val="0"/>
              <w:kinsoku/>
              <w:wordWrap/>
              <w:overflowPunct/>
              <w:topLinePunct w:val="0"/>
              <w:autoSpaceDE w:val="0"/>
              <w:autoSpaceDN/>
              <w:bidi w:val="0"/>
              <w:adjustRightInd w:val="0"/>
              <w:spacing w:line="288" w:lineRule="auto"/>
              <w:textAlignment w:val="baseline"/>
              <w:rPr>
                <w:rFonts w:hint="default" w:ascii="宋体" w:hAnsi="宋体" w:eastAsia="宋体" w:cs="宋体"/>
                <w:color w:val="auto"/>
                <w:szCs w:val="21"/>
                <w:highlight w:val="none"/>
                <w:lang w:val="en-US" w:eastAsia="zh-CN" w:bidi="ar"/>
              </w:rPr>
            </w:pPr>
            <w:r>
              <w:rPr>
                <w:rFonts w:hint="eastAsia" w:ascii="宋体" w:hAnsi="宋体" w:cs="宋体"/>
                <w:color w:val="auto"/>
                <w:szCs w:val="21"/>
                <w:highlight w:val="none"/>
                <w:lang w:val="en-US" w:eastAsia="zh-CN" w:bidi="ar"/>
              </w:rPr>
              <w:t>接管</w:t>
            </w:r>
            <w:r>
              <w:rPr>
                <w:rFonts w:hint="eastAsia" w:ascii="宋体" w:hAnsi="宋体" w:cs="宋体"/>
                <w:color w:val="auto"/>
                <w:szCs w:val="21"/>
                <w:highlight w:val="none"/>
                <w:lang w:bidi="ar"/>
              </w:rPr>
              <w:t>方案</w:t>
            </w:r>
            <w:r>
              <w:rPr>
                <w:rFonts w:hint="eastAsia" w:ascii="宋体" w:hAnsi="宋体" w:cs="宋体"/>
                <w:color w:val="auto"/>
                <w:szCs w:val="21"/>
                <w:highlight w:val="none"/>
                <w:lang w:val="en-US" w:eastAsia="zh-CN" w:bidi="ar"/>
              </w:rPr>
              <w:t>不全面、不完善、不可行，不能保障安全平稳过渡的得1分；</w:t>
            </w:r>
          </w:p>
          <w:p w14:paraId="1772B928">
            <w:pPr>
              <w:keepNext w:val="0"/>
              <w:keepLines w:val="0"/>
              <w:pageBreakBefore w:val="0"/>
              <w:kinsoku/>
              <w:wordWrap/>
              <w:overflowPunct/>
              <w:topLinePunct w:val="0"/>
              <w:autoSpaceDE w:val="0"/>
              <w:autoSpaceDN/>
              <w:bidi w:val="0"/>
              <w:adjustRightInd w:val="0"/>
              <w:spacing w:line="288" w:lineRule="auto"/>
              <w:textAlignment w:val="baseline"/>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szCs w:val="21"/>
                <w:highlight w:val="none"/>
                <w:lang w:val="en-US" w:eastAsia="zh-CN" w:bidi="ar"/>
              </w:rPr>
              <w:t>无接管</w:t>
            </w:r>
            <w:r>
              <w:rPr>
                <w:rFonts w:hint="eastAsia" w:ascii="宋体" w:hAnsi="宋体" w:cs="宋体"/>
                <w:color w:val="auto"/>
                <w:szCs w:val="21"/>
                <w:highlight w:val="none"/>
                <w:lang w:bidi="ar"/>
              </w:rPr>
              <w:t>方案</w:t>
            </w:r>
            <w:r>
              <w:rPr>
                <w:rFonts w:hint="eastAsia" w:ascii="宋体" w:hAnsi="宋体" w:cs="宋体"/>
                <w:color w:val="auto"/>
                <w:szCs w:val="21"/>
                <w:highlight w:val="none"/>
                <w:lang w:val="en-US" w:eastAsia="zh-CN" w:bidi="ar"/>
              </w:rPr>
              <w:t>的不得分。</w:t>
            </w:r>
          </w:p>
        </w:tc>
        <w:tc>
          <w:tcPr>
            <w:tcW w:w="674" w:type="dxa"/>
            <w:tcBorders>
              <w:top w:val="single" w:color="auto" w:sz="4" w:space="0"/>
              <w:left w:val="single" w:color="auto" w:sz="4" w:space="0"/>
              <w:bottom w:val="single" w:color="auto" w:sz="4" w:space="0"/>
              <w:right w:val="single" w:color="auto" w:sz="2" w:space="0"/>
            </w:tcBorders>
            <w:noWrap w:val="0"/>
            <w:vAlign w:val="center"/>
          </w:tcPr>
          <w:p w14:paraId="524970A0">
            <w:pPr>
              <w:keepNext w:val="0"/>
              <w:keepLines w:val="0"/>
              <w:pageBreakBefore w:val="0"/>
              <w:kinsoku/>
              <w:wordWrap/>
              <w:overflowPunct/>
              <w:topLinePunct w:val="0"/>
              <w:autoSpaceDN/>
              <w:bidi w:val="0"/>
              <w:adjustRightInd w:val="0"/>
              <w:spacing w:line="288"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5</w:t>
            </w:r>
          </w:p>
        </w:tc>
        <w:tc>
          <w:tcPr>
            <w:tcW w:w="735" w:type="dxa"/>
            <w:tcBorders>
              <w:top w:val="single" w:color="auto" w:sz="4" w:space="0"/>
              <w:left w:val="single" w:color="auto" w:sz="4" w:space="0"/>
              <w:bottom w:val="single" w:color="auto" w:sz="4" w:space="0"/>
              <w:right w:val="single" w:color="auto" w:sz="2" w:space="0"/>
            </w:tcBorders>
            <w:noWrap w:val="0"/>
            <w:vAlign w:val="center"/>
          </w:tcPr>
          <w:p w14:paraId="5DCB0B52">
            <w:pPr>
              <w:keepNext w:val="0"/>
              <w:keepLines w:val="0"/>
              <w:pageBreakBefore w:val="0"/>
              <w:kinsoku/>
              <w:wordWrap/>
              <w:overflowPunct/>
              <w:topLinePunct w:val="0"/>
              <w:autoSpaceDN/>
              <w:bidi w:val="0"/>
              <w:adjustRightInd w:val="0"/>
              <w:spacing w:line="288" w:lineRule="auto"/>
              <w:jc w:val="center"/>
              <w:rPr>
                <w:rFonts w:hint="eastAsia" w:ascii="宋体" w:hAnsi="宋体" w:eastAsia="宋体" w:cs="宋体"/>
                <w:snapToGrid w:val="0"/>
                <w:color w:val="auto"/>
                <w:spacing w:val="-4"/>
                <w:kern w:val="2"/>
                <w:sz w:val="21"/>
                <w:szCs w:val="21"/>
                <w:highlight w:val="none"/>
                <w:lang w:val="en-US" w:eastAsia="zh-CN" w:bidi="ar-SA"/>
              </w:rPr>
            </w:pPr>
            <w:r>
              <w:rPr>
                <w:rFonts w:hint="eastAsia" w:ascii="宋体" w:hAnsi="宋体" w:cs="宋体"/>
                <w:snapToGrid w:val="0"/>
                <w:color w:val="auto"/>
                <w:spacing w:val="-4"/>
                <w:szCs w:val="21"/>
                <w:highlight w:val="none"/>
              </w:rPr>
              <w:t>主观评审</w:t>
            </w:r>
          </w:p>
        </w:tc>
      </w:tr>
      <w:tr w14:paraId="0B1C7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834" w:type="dxa"/>
            <w:vMerge w:val="continue"/>
            <w:tcBorders>
              <w:left w:val="single" w:color="auto" w:sz="4" w:space="0"/>
              <w:right w:val="single" w:color="auto" w:sz="2" w:space="0"/>
            </w:tcBorders>
            <w:noWrap w:val="0"/>
            <w:vAlign w:val="center"/>
          </w:tcPr>
          <w:p w14:paraId="255354A8">
            <w:pPr>
              <w:keepNext w:val="0"/>
              <w:keepLines w:val="0"/>
              <w:pageBreakBefore w:val="0"/>
              <w:widowControl/>
              <w:kinsoku/>
              <w:wordWrap/>
              <w:overflowPunct/>
              <w:topLinePunct w:val="0"/>
              <w:autoSpaceDN/>
              <w:bidi w:val="0"/>
              <w:adjustRightInd w:val="0"/>
              <w:spacing w:line="288" w:lineRule="auto"/>
              <w:jc w:val="left"/>
              <w:rPr>
                <w:rFonts w:hint="eastAsia" w:ascii="宋体" w:hAnsi="宋体" w:cs="宋体"/>
                <w:snapToGrid w:val="0"/>
                <w:color w:val="auto"/>
                <w:spacing w:val="-4"/>
                <w:szCs w:val="21"/>
                <w:highlight w:val="none"/>
              </w:rPr>
            </w:pPr>
          </w:p>
        </w:tc>
        <w:tc>
          <w:tcPr>
            <w:tcW w:w="1598" w:type="dxa"/>
            <w:tcBorders>
              <w:left w:val="single" w:color="auto" w:sz="4" w:space="0"/>
              <w:right w:val="single" w:color="auto" w:sz="2" w:space="0"/>
            </w:tcBorders>
            <w:noWrap w:val="0"/>
            <w:vAlign w:val="center"/>
          </w:tcPr>
          <w:p w14:paraId="569C0640">
            <w:pPr>
              <w:keepNext w:val="0"/>
              <w:keepLines w:val="0"/>
              <w:pageBreakBefore w:val="0"/>
              <w:widowControl/>
              <w:kinsoku/>
              <w:wordWrap/>
              <w:overflowPunct/>
              <w:topLinePunct w:val="0"/>
              <w:autoSpaceDN/>
              <w:bidi w:val="0"/>
              <w:adjustRightInd w:val="0"/>
              <w:spacing w:line="288" w:lineRule="auto"/>
              <w:jc w:val="center"/>
              <w:rPr>
                <w:rFonts w:hint="eastAsia" w:ascii="宋体" w:hAnsi="宋体" w:cs="宋体"/>
                <w:snapToGrid w:val="0"/>
                <w:color w:val="auto"/>
                <w:spacing w:val="-4"/>
                <w:szCs w:val="21"/>
                <w:highlight w:val="none"/>
              </w:rPr>
            </w:pPr>
            <w:r>
              <w:rPr>
                <w:rFonts w:hint="eastAsia" w:ascii="宋体" w:hAnsi="宋体" w:cs="宋体"/>
                <w:color w:val="auto"/>
                <w:szCs w:val="21"/>
                <w:highlight w:val="none"/>
                <w:lang w:bidi="ar"/>
              </w:rPr>
              <w:t>交接班管理方案</w:t>
            </w:r>
            <w:r>
              <w:rPr>
                <w:rFonts w:hint="eastAsia" w:ascii="宋体" w:hAnsi="宋体" w:cs="宋体"/>
                <w:color w:val="auto"/>
                <w:szCs w:val="21"/>
                <w:highlight w:val="none"/>
                <w:lang w:val="en-US" w:eastAsia="zh-CN" w:bidi="ar"/>
              </w:rPr>
              <w:t>（5分）</w:t>
            </w:r>
          </w:p>
        </w:tc>
        <w:tc>
          <w:tcPr>
            <w:tcW w:w="6271" w:type="dxa"/>
            <w:tcBorders>
              <w:top w:val="single" w:color="auto" w:sz="4" w:space="0"/>
              <w:left w:val="single" w:color="auto" w:sz="4" w:space="0"/>
              <w:right w:val="single" w:color="auto" w:sz="2" w:space="0"/>
            </w:tcBorders>
            <w:noWrap w:val="0"/>
            <w:vAlign w:val="center"/>
          </w:tcPr>
          <w:p w14:paraId="7ADA0A95">
            <w:pPr>
              <w:keepNext w:val="0"/>
              <w:keepLines w:val="0"/>
              <w:pageBreakBefore w:val="0"/>
              <w:kinsoku/>
              <w:wordWrap/>
              <w:overflowPunct/>
              <w:topLinePunct w:val="0"/>
              <w:autoSpaceDE w:val="0"/>
              <w:autoSpaceDN/>
              <w:bidi w:val="0"/>
              <w:adjustRightInd w:val="0"/>
              <w:spacing w:line="288" w:lineRule="auto"/>
              <w:jc w:val="left"/>
              <w:textAlignment w:val="baseline"/>
              <w:rPr>
                <w:rFonts w:hint="eastAsia" w:ascii="宋体" w:hAnsi="宋体" w:cs="宋体"/>
                <w:color w:val="auto"/>
                <w:szCs w:val="21"/>
                <w:highlight w:val="none"/>
                <w:lang w:bidi="ar"/>
              </w:rPr>
            </w:pPr>
            <w:r>
              <w:rPr>
                <w:rFonts w:hint="eastAsia" w:ascii="宋体" w:hAnsi="宋体" w:cs="宋体"/>
                <w:color w:val="auto"/>
                <w:szCs w:val="21"/>
                <w:highlight w:val="none"/>
                <w:lang w:bidi="ar"/>
              </w:rPr>
              <w:t>根据</w:t>
            </w:r>
            <w:r>
              <w:rPr>
                <w:rFonts w:hint="eastAsia" w:ascii="宋体" w:hAnsi="宋体" w:cs="宋体"/>
                <w:color w:val="auto"/>
                <w:szCs w:val="21"/>
                <w:highlight w:val="none"/>
                <w:lang w:eastAsia="zh-CN" w:bidi="ar"/>
              </w:rPr>
              <w:t>供应商</w:t>
            </w:r>
            <w:r>
              <w:rPr>
                <w:rFonts w:hint="eastAsia" w:ascii="宋体" w:hAnsi="宋体" w:cs="宋体"/>
                <w:color w:val="auto"/>
                <w:szCs w:val="21"/>
                <w:highlight w:val="none"/>
                <w:lang w:bidi="ar"/>
              </w:rPr>
              <w:t>针对本项目的交接班管理方案进行评审：</w:t>
            </w:r>
          </w:p>
          <w:p w14:paraId="6A2E40CB">
            <w:pPr>
              <w:keepNext w:val="0"/>
              <w:keepLines w:val="0"/>
              <w:pageBreakBefore w:val="0"/>
              <w:kinsoku/>
              <w:wordWrap/>
              <w:overflowPunct/>
              <w:topLinePunct w:val="0"/>
              <w:autoSpaceDE w:val="0"/>
              <w:autoSpaceDN/>
              <w:bidi w:val="0"/>
              <w:adjustRightInd w:val="0"/>
              <w:spacing w:line="288" w:lineRule="auto"/>
              <w:jc w:val="left"/>
              <w:textAlignment w:val="baseline"/>
              <w:rPr>
                <w:rFonts w:hint="eastAsia" w:ascii="宋体" w:hAnsi="宋体" w:cs="宋体"/>
                <w:color w:val="auto"/>
                <w:szCs w:val="21"/>
                <w:highlight w:val="none"/>
                <w:lang w:eastAsia="zh-CN" w:bidi="ar"/>
              </w:rPr>
            </w:pPr>
            <w:r>
              <w:rPr>
                <w:rFonts w:hint="eastAsia" w:ascii="宋体" w:hAnsi="宋体" w:cs="宋体"/>
                <w:color w:val="auto"/>
                <w:szCs w:val="21"/>
                <w:highlight w:val="none"/>
                <w:lang w:bidi="ar"/>
              </w:rPr>
              <w:t>交接班管理方案科学</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val="en-US" w:eastAsia="zh-CN" w:bidi="ar"/>
              </w:rPr>
              <w:t>可行的</w:t>
            </w:r>
            <w:r>
              <w:rPr>
                <w:rFonts w:hint="eastAsia" w:ascii="宋体" w:hAnsi="宋体" w:cs="宋体"/>
                <w:color w:val="auto"/>
                <w:szCs w:val="21"/>
                <w:highlight w:val="none"/>
                <w:lang w:bidi="ar"/>
              </w:rPr>
              <w:t>得</w:t>
            </w:r>
            <w:r>
              <w:rPr>
                <w:rFonts w:hint="eastAsia" w:ascii="宋体" w:hAnsi="宋体" w:cs="宋体"/>
                <w:color w:val="auto"/>
                <w:szCs w:val="21"/>
                <w:highlight w:val="none"/>
                <w:lang w:val="en-US" w:eastAsia="zh-CN" w:bidi="ar"/>
              </w:rPr>
              <w:t>5</w:t>
            </w:r>
            <w:r>
              <w:rPr>
                <w:rFonts w:hint="eastAsia" w:ascii="宋体" w:hAnsi="宋体" w:cs="宋体"/>
                <w:color w:val="auto"/>
                <w:szCs w:val="21"/>
                <w:highlight w:val="none"/>
                <w:lang w:bidi="ar"/>
              </w:rPr>
              <w:t>分</w:t>
            </w:r>
            <w:r>
              <w:rPr>
                <w:rFonts w:hint="eastAsia" w:ascii="宋体" w:hAnsi="宋体" w:cs="宋体"/>
                <w:color w:val="auto"/>
                <w:szCs w:val="21"/>
                <w:highlight w:val="none"/>
                <w:lang w:eastAsia="zh-CN" w:bidi="ar"/>
              </w:rPr>
              <w:t>；</w:t>
            </w:r>
          </w:p>
          <w:p w14:paraId="6FD4E936">
            <w:pPr>
              <w:keepNext w:val="0"/>
              <w:keepLines w:val="0"/>
              <w:pageBreakBefore w:val="0"/>
              <w:kinsoku/>
              <w:wordWrap/>
              <w:overflowPunct/>
              <w:topLinePunct w:val="0"/>
              <w:autoSpaceDE w:val="0"/>
              <w:autoSpaceDN/>
              <w:bidi w:val="0"/>
              <w:adjustRightInd w:val="0"/>
              <w:spacing w:line="288" w:lineRule="auto"/>
              <w:jc w:val="left"/>
              <w:textAlignment w:val="baseline"/>
              <w:rPr>
                <w:rFonts w:hint="eastAsia" w:ascii="宋体" w:hAnsi="宋体" w:cs="宋体"/>
                <w:color w:val="auto"/>
                <w:szCs w:val="21"/>
                <w:highlight w:val="none"/>
                <w:lang w:eastAsia="zh-CN" w:bidi="ar"/>
              </w:rPr>
            </w:pPr>
            <w:r>
              <w:rPr>
                <w:rFonts w:hint="eastAsia" w:ascii="宋体" w:hAnsi="宋体" w:cs="宋体"/>
                <w:color w:val="auto"/>
                <w:szCs w:val="21"/>
                <w:highlight w:val="none"/>
                <w:lang w:bidi="ar"/>
              </w:rPr>
              <w:t>交接班管理方案</w:t>
            </w:r>
            <w:r>
              <w:rPr>
                <w:rFonts w:hint="eastAsia" w:ascii="宋体" w:hAnsi="宋体" w:cs="宋体"/>
                <w:color w:val="auto"/>
                <w:szCs w:val="21"/>
                <w:highlight w:val="none"/>
                <w:lang w:val="en-US" w:eastAsia="zh-CN" w:bidi="ar"/>
              </w:rPr>
              <w:t>较</w:t>
            </w:r>
            <w:r>
              <w:rPr>
                <w:rFonts w:hint="eastAsia" w:ascii="宋体" w:hAnsi="宋体" w:cs="宋体"/>
                <w:color w:val="auto"/>
                <w:szCs w:val="21"/>
                <w:highlight w:val="none"/>
                <w:lang w:bidi="ar"/>
              </w:rPr>
              <w:t>科学</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val="en-US" w:eastAsia="zh-CN" w:bidi="ar"/>
              </w:rPr>
              <w:t>较可行的</w:t>
            </w:r>
            <w:r>
              <w:rPr>
                <w:rFonts w:hint="eastAsia" w:ascii="宋体" w:hAnsi="宋体" w:cs="宋体"/>
                <w:color w:val="auto"/>
                <w:szCs w:val="21"/>
                <w:highlight w:val="none"/>
                <w:lang w:bidi="ar"/>
              </w:rPr>
              <w:t>得</w:t>
            </w:r>
            <w:r>
              <w:rPr>
                <w:rFonts w:hint="eastAsia" w:ascii="宋体" w:hAnsi="宋体" w:cs="宋体"/>
                <w:color w:val="auto"/>
                <w:szCs w:val="21"/>
                <w:highlight w:val="none"/>
                <w:lang w:val="en-US" w:eastAsia="zh-CN" w:bidi="ar"/>
              </w:rPr>
              <w:t>3</w:t>
            </w:r>
            <w:r>
              <w:rPr>
                <w:rFonts w:hint="eastAsia" w:ascii="宋体" w:hAnsi="宋体" w:cs="宋体"/>
                <w:color w:val="auto"/>
                <w:szCs w:val="21"/>
                <w:highlight w:val="none"/>
                <w:lang w:bidi="ar"/>
              </w:rPr>
              <w:t>分</w:t>
            </w:r>
            <w:r>
              <w:rPr>
                <w:rFonts w:hint="eastAsia" w:ascii="宋体" w:hAnsi="宋体" w:cs="宋体"/>
                <w:color w:val="auto"/>
                <w:szCs w:val="21"/>
                <w:highlight w:val="none"/>
                <w:lang w:eastAsia="zh-CN" w:bidi="ar"/>
              </w:rPr>
              <w:t>；</w:t>
            </w:r>
          </w:p>
          <w:p w14:paraId="24055743">
            <w:pPr>
              <w:keepNext w:val="0"/>
              <w:keepLines w:val="0"/>
              <w:pageBreakBefore w:val="0"/>
              <w:kinsoku/>
              <w:wordWrap/>
              <w:overflowPunct/>
              <w:topLinePunct w:val="0"/>
              <w:autoSpaceDE w:val="0"/>
              <w:autoSpaceDN/>
              <w:bidi w:val="0"/>
              <w:adjustRightInd w:val="0"/>
              <w:spacing w:line="288" w:lineRule="auto"/>
              <w:jc w:val="left"/>
              <w:textAlignment w:val="baseline"/>
              <w:rPr>
                <w:rFonts w:hint="eastAsia" w:ascii="宋体" w:hAnsi="宋体" w:cs="宋体"/>
                <w:color w:val="auto"/>
                <w:szCs w:val="21"/>
                <w:highlight w:val="none"/>
                <w:lang w:eastAsia="zh-CN" w:bidi="ar"/>
              </w:rPr>
            </w:pPr>
            <w:r>
              <w:rPr>
                <w:rFonts w:hint="eastAsia" w:ascii="宋体" w:hAnsi="宋体" w:cs="宋体"/>
                <w:color w:val="auto"/>
                <w:szCs w:val="21"/>
                <w:highlight w:val="none"/>
                <w:lang w:bidi="ar"/>
              </w:rPr>
              <w:t>交接班管理方案</w:t>
            </w:r>
            <w:r>
              <w:rPr>
                <w:rFonts w:hint="eastAsia" w:ascii="宋体" w:hAnsi="宋体" w:cs="宋体"/>
                <w:color w:val="auto"/>
                <w:szCs w:val="21"/>
                <w:highlight w:val="none"/>
                <w:lang w:val="en-US" w:eastAsia="zh-CN" w:bidi="ar"/>
              </w:rPr>
              <w:t>不</w:t>
            </w:r>
            <w:r>
              <w:rPr>
                <w:rFonts w:hint="eastAsia" w:ascii="宋体" w:hAnsi="宋体" w:cs="宋体"/>
                <w:color w:val="auto"/>
                <w:szCs w:val="21"/>
                <w:highlight w:val="none"/>
                <w:lang w:bidi="ar"/>
              </w:rPr>
              <w:t>科学</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val="en-US" w:eastAsia="zh-CN" w:bidi="ar"/>
              </w:rPr>
              <w:t>不可行的</w:t>
            </w:r>
            <w:r>
              <w:rPr>
                <w:rFonts w:hint="eastAsia" w:ascii="宋体" w:hAnsi="宋体" w:cs="宋体"/>
                <w:color w:val="auto"/>
                <w:szCs w:val="21"/>
                <w:highlight w:val="none"/>
                <w:lang w:bidi="ar"/>
              </w:rPr>
              <w:t>得</w:t>
            </w:r>
            <w:r>
              <w:rPr>
                <w:rFonts w:hint="eastAsia" w:ascii="宋体" w:hAnsi="宋体" w:cs="宋体"/>
                <w:color w:val="auto"/>
                <w:szCs w:val="21"/>
                <w:highlight w:val="none"/>
                <w:lang w:val="en-US" w:eastAsia="zh-CN" w:bidi="ar"/>
              </w:rPr>
              <w:t>1</w:t>
            </w:r>
            <w:r>
              <w:rPr>
                <w:rFonts w:hint="eastAsia" w:ascii="宋体" w:hAnsi="宋体" w:cs="宋体"/>
                <w:color w:val="auto"/>
                <w:szCs w:val="21"/>
                <w:highlight w:val="none"/>
                <w:lang w:bidi="ar"/>
              </w:rPr>
              <w:t>分</w:t>
            </w:r>
            <w:r>
              <w:rPr>
                <w:rFonts w:hint="eastAsia" w:ascii="宋体" w:hAnsi="宋体" w:cs="宋体"/>
                <w:color w:val="auto"/>
                <w:szCs w:val="21"/>
                <w:highlight w:val="none"/>
                <w:lang w:eastAsia="zh-CN" w:bidi="ar"/>
              </w:rPr>
              <w:t>；</w:t>
            </w:r>
          </w:p>
          <w:p w14:paraId="73955736">
            <w:pPr>
              <w:keepNext w:val="0"/>
              <w:keepLines w:val="0"/>
              <w:pageBreakBefore w:val="0"/>
              <w:kinsoku/>
              <w:wordWrap/>
              <w:overflowPunct/>
              <w:topLinePunct w:val="0"/>
              <w:autoSpaceDE w:val="0"/>
              <w:autoSpaceDN/>
              <w:bidi w:val="0"/>
              <w:adjustRightInd w:val="0"/>
              <w:spacing w:line="288" w:lineRule="auto"/>
              <w:jc w:val="left"/>
              <w:textAlignment w:val="baseline"/>
              <w:rPr>
                <w:rFonts w:hint="default" w:eastAsia="宋体"/>
                <w:color w:val="auto"/>
                <w:highlight w:val="none"/>
                <w:lang w:val="en-US" w:eastAsia="zh-CN"/>
              </w:rPr>
            </w:pPr>
            <w:r>
              <w:rPr>
                <w:rFonts w:hint="eastAsia" w:ascii="宋体" w:hAnsi="宋体" w:cs="宋体"/>
                <w:color w:val="auto"/>
                <w:szCs w:val="21"/>
                <w:highlight w:val="none"/>
                <w:lang w:val="en-US" w:eastAsia="zh-CN" w:bidi="ar"/>
              </w:rPr>
              <w:t>无</w:t>
            </w:r>
            <w:r>
              <w:rPr>
                <w:rFonts w:hint="eastAsia" w:ascii="宋体" w:hAnsi="宋体" w:cs="宋体"/>
                <w:color w:val="auto"/>
                <w:szCs w:val="21"/>
                <w:highlight w:val="none"/>
                <w:lang w:bidi="ar"/>
              </w:rPr>
              <w:t>交接班管理方案</w:t>
            </w:r>
            <w:r>
              <w:rPr>
                <w:rFonts w:hint="eastAsia" w:ascii="宋体" w:hAnsi="宋体" w:cs="宋体"/>
                <w:color w:val="auto"/>
                <w:szCs w:val="21"/>
                <w:highlight w:val="none"/>
                <w:lang w:val="en-US" w:eastAsia="zh-CN" w:bidi="ar"/>
              </w:rPr>
              <w:t>的不得分。</w:t>
            </w:r>
          </w:p>
        </w:tc>
        <w:tc>
          <w:tcPr>
            <w:tcW w:w="674" w:type="dxa"/>
            <w:tcBorders>
              <w:top w:val="single" w:color="auto" w:sz="4" w:space="0"/>
              <w:left w:val="single" w:color="auto" w:sz="4" w:space="0"/>
              <w:bottom w:val="single" w:color="auto" w:sz="4" w:space="0"/>
              <w:right w:val="single" w:color="auto" w:sz="2" w:space="0"/>
            </w:tcBorders>
            <w:noWrap w:val="0"/>
            <w:vAlign w:val="center"/>
          </w:tcPr>
          <w:p w14:paraId="36224B03">
            <w:pPr>
              <w:keepNext w:val="0"/>
              <w:keepLines w:val="0"/>
              <w:pageBreakBefore w:val="0"/>
              <w:kinsoku/>
              <w:wordWrap/>
              <w:overflowPunct/>
              <w:topLinePunct w:val="0"/>
              <w:autoSpaceDN/>
              <w:bidi w:val="0"/>
              <w:adjustRightInd w:val="0"/>
              <w:spacing w:line="288"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735" w:type="dxa"/>
            <w:tcBorders>
              <w:top w:val="single" w:color="auto" w:sz="4" w:space="0"/>
              <w:left w:val="single" w:color="auto" w:sz="4" w:space="0"/>
              <w:bottom w:val="single" w:color="auto" w:sz="4" w:space="0"/>
              <w:right w:val="single" w:color="auto" w:sz="2" w:space="0"/>
            </w:tcBorders>
            <w:noWrap w:val="0"/>
            <w:vAlign w:val="center"/>
          </w:tcPr>
          <w:p w14:paraId="2F0147C0">
            <w:pPr>
              <w:keepNext w:val="0"/>
              <w:keepLines w:val="0"/>
              <w:pageBreakBefore w:val="0"/>
              <w:kinsoku/>
              <w:wordWrap/>
              <w:overflowPunct/>
              <w:topLinePunct w:val="0"/>
              <w:autoSpaceDN/>
              <w:bidi w:val="0"/>
              <w:adjustRightInd w:val="0"/>
              <w:spacing w:line="288" w:lineRule="auto"/>
              <w:jc w:val="center"/>
              <w:rPr>
                <w:rFonts w:hint="eastAsia" w:ascii="宋体" w:hAnsi="宋体" w:cs="宋体"/>
                <w:snapToGrid w:val="0"/>
                <w:color w:val="auto"/>
                <w:spacing w:val="-4"/>
                <w:szCs w:val="21"/>
                <w:highlight w:val="none"/>
              </w:rPr>
            </w:pPr>
            <w:r>
              <w:rPr>
                <w:rFonts w:hint="eastAsia" w:ascii="宋体" w:hAnsi="宋体" w:cs="宋体"/>
                <w:snapToGrid w:val="0"/>
                <w:color w:val="auto"/>
                <w:spacing w:val="-4"/>
                <w:szCs w:val="21"/>
                <w:highlight w:val="none"/>
              </w:rPr>
              <w:t>主观评审</w:t>
            </w:r>
          </w:p>
        </w:tc>
      </w:tr>
      <w:tr w14:paraId="0A3BC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834" w:type="dxa"/>
            <w:vMerge w:val="continue"/>
            <w:tcBorders>
              <w:left w:val="single" w:color="auto" w:sz="4" w:space="0"/>
              <w:right w:val="single" w:color="auto" w:sz="2" w:space="0"/>
            </w:tcBorders>
            <w:noWrap w:val="0"/>
            <w:vAlign w:val="center"/>
          </w:tcPr>
          <w:p w14:paraId="1B00CFCA">
            <w:pPr>
              <w:keepNext w:val="0"/>
              <w:keepLines w:val="0"/>
              <w:pageBreakBefore w:val="0"/>
              <w:widowControl/>
              <w:kinsoku/>
              <w:wordWrap/>
              <w:overflowPunct/>
              <w:topLinePunct w:val="0"/>
              <w:autoSpaceDN/>
              <w:bidi w:val="0"/>
              <w:adjustRightInd w:val="0"/>
              <w:spacing w:line="288" w:lineRule="auto"/>
              <w:jc w:val="left"/>
              <w:rPr>
                <w:rFonts w:hint="eastAsia" w:ascii="宋体" w:hAnsi="宋体" w:cs="宋体"/>
                <w:snapToGrid w:val="0"/>
                <w:color w:val="auto"/>
                <w:spacing w:val="-4"/>
                <w:szCs w:val="21"/>
                <w:highlight w:val="none"/>
              </w:rPr>
            </w:pPr>
          </w:p>
        </w:tc>
        <w:tc>
          <w:tcPr>
            <w:tcW w:w="1598" w:type="dxa"/>
            <w:tcBorders>
              <w:left w:val="single" w:color="auto" w:sz="4" w:space="0"/>
              <w:right w:val="single" w:color="auto" w:sz="2" w:space="0"/>
            </w:tcBorders>
            <w:noWrap w:val="0"/>
            <w:vAlign w:val="center"/>
          </w:tcPr>
          <w:p w14:paraId="0F0D0848">
            <w:pPr>
              <w:keepNext w:val="0"/>
              <w:keepLines w:val="0"/>
              <w:pageBreakBefore w:val="0"/>
              <w:widowControl/>
              <w:kinsoku/>
              <w:wordWrap/>
              <w:overflowPunct/>
              <w:topLinePunct w:val="0"/>
              <w:autoSpaceDN/>
              <w:bidi w:val="0"/>
              <w:adjustRightInd w:val="0"/>
              <w:spacing w:line="288" w:lineRule="auto"/>
              <w:jc w:val="center"/>
              <w:rPr>
                <w:rFonts w:hint="eastAsia" w:ascii="宋体" w:hAnsi="宋体" w:cs="宋体"/>
                <w:snapToGrid w:val="0"/>
                <w:color w:val="auto"/>
                <w:spacing w:val="-4"/>
                <w:szCs w:val="21"/>
                <w:highlight w:val="none"/>
              </w:rPr>
            </w:pPr>
            <w:r>
              <w:rPr>
                <w:rFonts w:hint="eastAsia" w:ascii="宋体" w:hAnsi="宋体" w:cs="Times New Roman"/>
                <w:color w:val="auto"/>
                <w:kern w:val="2"/>
                <w:sz w:val="21"/>
                <w:szCs w:val="21"/>
                <w:highlight w:val="none"/>
                <w:lang w:val="en-US" w:eastAsia="zh-CN" w:bidi="ar-SA"/>
              </w:rPr>
              <w:t>服务</w:t>
            </w:r>
            <w:r>
              <w:rPr>
                <w:rFonts w:hint="eastAsia" w:ascii="宋体" w:hAnsi="宋体" w:eastAsia="宋体" w:cs="Times New Roman"/>
                <w:color w:val="auto"/>
                <w:kern w:val="2"/>
                <w:sz w:val="21"/>
                <w:szCs w:val="21"/>
                <w:highlight w:val="none"/>
                <w:lang w:val="en-US" w:eastAsia="zh-CN" w:bidi="ar-SA"/>
              </w:rPr>
              <w:t>质量</w:t>
            </w:r>
            <w:r>
              <w:rPr>
                <w:rFonts w:hint="eastAsia" w:ascii="宋体" w:hAnsi="宋体" w:cs="Times New Roman"/>
                <w:color w:val="auto"/>
                <w:kern w:val="2"/>
                <w:sz w:val="21"/>
                <w:szCs w:val="21"/>
                <w:highlight w:val="none"/>
                <w:lang w:val="en-US" w:eastAsia="zh-CN" w:bidi="ar-SA"/>
              </w:rPr>
              <w:t>控制方案及</w:t>
            </w:r>
            <w:r>
              <w:rPr>
                <w:rFonts w:hint="eastAsia" w:ascii="宋体" w:hAnsi="宋体" w:eastAsia="宋体" w:cs="Times New Roman"/>
                <w:color w:val="auto"/>
                <w:kern w:val="2"/>
                <w:sz w:val="21"/>
                <w:szCs w:val="21"/>
                <w:highlight w:val="none"/>
                <w:lang w:val="en-US" w:eastAsia="zh-CN" w:bidi="ar-SA"/>
              </w:rPr>
              <w:t>保证措施</w:t>
            </w:r>
            <w:r>
              <w:rPr>
                <w:rFonts w:hint="eastAsia" w:ascii="宋体" w:hAnsi="宋体" w:cs="宋体"/>
                <w:color w:val="auto"/>
                <w:szCs w:val="21"/>
                <w:highlight w:val="none"/>
                <w:lang w:val="en-US" w:eastAsia="zh-CN" w:bidi="ar"/>
              </w:rPr>
              <w:t>（5分）</w:t>
            </w:r>
          </w:p>
        </w:tc>
        <w:tc>
          <w:tcPr>
            <w:tcW w:w="6271" w:type="dxa"/>
            <w:tcBorders>
              <w:top w:val="single" w:color="auto" w:sz="4" w:space="0"/>
              <w:left w:val="single" w:color="auto" w:sz="4" w:space="0"/>
              <w:right w:val="single" w:color="auto" w:sz="2" w:space="0"/>
            </w:tcBorders>
            <w:noWrap w:val="0"/>
            <w:vAlign w:val="center"/>
          </w:tcPr>
          <w:p w14:paraId="7C7A2DB3">
            <w:pPr>
              <w:keepNext w:val="0"/>
              <w:keepLines w:val="0"/>
              <w:pageBreakBefore w:val="0"/>
              <w:kinsoku/>
              <w:wordWrap/>
              <w:overflowPunct/>
              <w:topLinePunct w:val="0"/>
              <w:autoSpaceDE w:val="0"/>
              <w:autoSpaceDN/>
              <w:bidi w:val="0"/>
              <w:adjustRightInd w:val="0"/>
              <w:spacing w:line="288" w:lineRule="auto"/>
              <w:jc w:val="left"/>
              <w:textAlignment w:val="baseline"/>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szCs w:val="21"/>
                <w:highlight w:val="none"/>
                <w:lang w:bidi="ar"/>
              </w:rPr>
              <w:t>根据</w:t>
            </w:r>
            <w:r>
              <w:rPr>
                <w:rFonts w:hint="eastAsia" w:ascii="宋体" w:hAnsi="宋体" w:cs="宋体"/>
                <w:color w:val="auto"/>
                <w:szCs w:val="21"/>
                <w:highlight w:val="none"/>
                <w:lang w:eastAsia="zh-CN" w:bidi="ar"/>
              </w:rPr>
              <w:t>供应商</w:t>
            </w:r>
            <w:r>
              <w:rPr>
                <w:rFonts w:hint="eastAsia" w:ascii="宋体" w:hAnsi="宋体" w:cs="宋体"/>
                <w:color w:val="auto"/>
                <w:szCs w:val="21"/>
                <w:highlight w:val="none"/>
                <w:lang w:bidi="ar"/>
              </w:rPr>
              <w:t>针对本项目的</w:t>
            </w:r>
            <w:r>
              <w:rPr>
                <w:rFonts w:hint="eastAsia" w:ascii="宋体" w:hAnsi="宋体" w:cs="Times New Roman"/>
                <w:color w:val="auto"/>
                <w:kern w:val="2"/>
                <w:sz w:val="21"/>
                <w:szCs w:val="21"/>
                <w:highlight w:val="none"/>
                <w:lang w:val="en-US" w:eastAsia="zh-CN" w:bidi="ar-SA"/>
              </w:rPr>
              <w:t>服务</w:t>
            </w:r>
            <w:r>
              <w:rPr>
                <w:rFonts w:hint="eastAsia" w:ascii="宋体" w:hAnsi="宋体" w:eastAsia="宋体" w:cs="Times New Roman"/>
                <w:color w:val="auto"/>
                <w:kern w:val="2"/>
                <w:sz w:val="21"/>
                <w:szCs w:val="21"/>
                <w:highlight w:val="none"/>
                <w:lang w:val="en-US" w:eastAsia="zh-CN" w:bidi="ar-SA"/>
              </w:rPr>
              <w:t>质量</w:t>
            </w:r>
            <w:r>
              <w:rPr>
                <w:rFonts w:hint="eastAsia" w:ascii="宋体" w:hAnsi="宋体" w:cs="Times New Roman"/>
                <w:color w:val="auto"/>
                <w:kern w:val="2"/>
                <w:sz w:val="21"/>
                <w:szCs w:val="21"/>
                <w:highlight w:val="none"/>
                <w:lang w:val="en-US" w:eastAsia="zh-CN" w:bidi="ar-SA"/>
              </w:rPr>
              <w:t>控制方案及</w:t>
            </w:r>
            <w:r>
              <w:rPr>
                <w:rFonts w:hint="eastAsia" w:ascii="宋体" w:hAnsi="宋体" w:eastAsia="宋体" w:cs="Times New Roman"/>
                <w:color w:val="auto"/>
                <w:kern w:val="2"/>
                <w:sz w:val="21"/>
                <w:szCs w:val="21"/>
                <w:highlight w:val="none"/>
                <w:lang w:val="en-US" w:eastAsia="zh-CN" w:bidi="ar-SA"/>
              </w:rPr>
              <w:t>保证措施进行评</w:t>
            </w:r>
            <w:r>
              <w:rPr>
                <w:rFonts w:hint="eastAsia" w:ascii="宋体" w:hAnsi="宋体" w:cs="Times New Roman"/>
                <w:color w:val="auto"/>
                <w:kern w:val="2"/>
                <w:sz w:val="21"/>
                <w:szCs w:val="21"/>
                <w:highlight w:val="none"/>
                <w:lang w:val="en-US" w:eastAsia="zh-CN" w:bidi="ar-SA"/>
              </w:rPr>
              <w:t>审</w:t>
            </w:r>
            <w:r>
              <w:rPr>
                <w:rFonts w:hint="eastAsia" w:ascii="宋体" w:hAnsi="宋体" w:eastAsia="宋体" w:cs="Times New Roman"/>
                <w:color w:val="auto"/>
                <w:kern w:val="2"/>
                <w:sz w:val="21"/>
                <w:szCs w:val="21"/>
                <w:highlight w:val="none"/>
                <w:lang w:val="en-US" w:eastAsia="zh-CN" w:bidi="ar-SA"/>
              </w:rPr>
              <w:t>：</w:t>
            </w:r>
          </w:p>
          <w:p w14:paraId="3E60F7BD">
            <w:pPr>
              <w:pStyle w:val="3"/>
              <w:keepNext w:val="0"/>
              <w:keepLines w:val="0"/>
              <w:pageBreakBefore w:val="0"/>
              <w:kinsoku/>
              <w:wordWrap/>
              <w:overflowPunct/>
              <w:topLinePunct w:val="0"/>
              <w:autoSpaceDN/>
              <w:bidi w:val="0"/>
              <w:adjustRightInd w:val="0"/>
              <w:spacing w:after="0" w:line="288" w:lineRule="auto"/>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服务</w:t>
            </w:r>
            <w:r>
              <w:rPr>
                <w:rFonts w:hint="eastAsia" w:ascii="宋体" w:hAnsi="宋体" w:eastAsia="宋体" w:cs="Times New Roman"/>
                <w:color w:val="auto"/>
                <w:kern w:val="2"/>
                <w:sz w:val="21"/>
                <w:szCs w:val="21"/>
                <w:highlight w:val="none"/>
                <w:lang w:val="en-US" w:eastAsia="zh-CN" w:bidi="ar-SA"/>
              </w:rPr>
              <w:t>质量</w:t>
            </w:r>
            <w:r>
              <w:rPr>
                <w:rFonts w:hint="eastAsia" w:hAnsi="宋体" w:cs="Times New Roman"/>
                <w:color w:val="auto"/>
                <w:kern w:val="2"/>
                <w:sz w:val="21"/>
                <w:szCs w:val="21"/>
                <w:highlight w:val="none"/>
                <w:lang w:val="en-US" w:eastAsia="zh-CN" w:bidi="ar-SA"/>
              </w:rPr>
              <w:t>控制方案完善、全面，</w:t>
            </w:r>
            <w:r>
              <w:rPr>
                <w:rFonts w:hint="eastAsia" w:ascii="宋体" w:hAnsi="宋体" w:eastAsia="宋体" w:cs="Times New Roman"/>
                <w:color w:val="auto"/>
                <w:kern w:val="2"/>
                <w:sz w:val="21"/>
                <w:szCs w:val="21"/>
                <w:highlight w:val="none"/>
                <w:lang w:val="en-US" w:eastAsia="zh-CN" w:bidi="ar-SA"/>
              </w:rPr>
              <w:t>保证措施</w:t>
            </w:r>
            <w:r>
              <w:rPr>
                <w:rFonts w:hint="eastAsia" w:hAnsi="宋体" w:cs="Times New Roman"/>
                <w:color w:val="auto"/>
                <w:kern w:val="2"/>
                <w:sz w:val="21"/>
                <w:szCs w:val="21"/>
                <w:highlight w:val="none"/>
                <w:lang w:val="en-US" w:eastAsia="zh-CN" w:bidi="ar-SA"/>
              </w:rPr>
              <w:t>有效</w:t>
            </w:r>
            <w:r>
              <w:rPr>
                <w:rFonts w:hint="eastAsia" w:ascii="宋体" w:hAnsi="宋体" w:eastAsia="宋体" w:cs="Times New Roman"/>
                <w:color w:val="auto"/>
                <w:kern w:val="2"/>
                <w:sz w:val="21"/>
                <w:szCs w:val="21"/>
                <w:highlight w:val="none"/>
                <w:lang w:val="en-US" w:eastAsia="zh-CN" w:bidi="ar-SA"/>
              </w:rPr>
              <w:t>、可行的得5分；</w:t>
            </w:r>
          </w:p>
          <w:p w14:paraId="0AD98F65">
            <w:pPr>
              <w:pStyle w:val="3"/>
              <w:keepNext w:val="0"/>
              <w:keepLines w:val="0"/>
              <w:pageBreakBefore w:val="0"/>
              <w:kinsoku/>
              <w:wordWrap/>
              <w:overflowPunct/>
              <w:topLinePunct w:val="0"/>
              <w:autoSpaceDN/>
              <w:bidi w:val="0"/>
              <w:adjustRightInd w:val="0"/>
              <w:spacing w:after="0" w:line="288" w:lineRule="auto"/>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服务</w:t>
            </w:r>
            <w:r>
              <w:rPr>
                <w:rFonts w:hint="eastAsia" w:ascii="宋体" w:hAnsi="宋体" w:eastAsia="宋体" w:cs="Times New Roman"/>
                <w:color w:val="auto"/>
                <w:kern w:val="2"/>
                <w:sz w:val="21"/>
                <w:szCs w:val="21"/>
                <w:highlight w:val="none"/>
                <w:lang w:val="en-US" w:eastAsia="zh-CN" w:bidi="ar-SA"/>
              </w:rPr>
              <w:t>质量</w:t>
            </w:r>
            <w:r>
              <w:rPr>
                <w:rFonts w:hint="eastAsia" w:hAnsi="宋体" w:cs="Times New Roman"/>
                <w:color w:val="auto"/>
                <w:kern w:val="2"/>
                <w:sz w:val="21"/>
                <w:szCs w:val="21"/>
                <w:highlight w:val="none"/>
                <w:lang w:val="en-US" w:eastAsia="zh-CN" w:bidi="ar-SA"/>
              </w:rPr>
              <w:t>控制方案较完善、较全面，</w:t>
            </w:r>
            <w:r>
              <w:rPr>
                <w:rFonts w:hint="eastAsia" w:ascii="宋体" w:hAnsi="宋体" w:eastAsia="宋体" w:cs="Times New Roman"/>
                <w:color w:val="auto"/>
                <w:kern w:val="2"/>
                <w:sz w:val="21"/>
                <w:szCs w:val="21"/>
                <w:highlight w:val="none"/>
                <w:lang w:val="en-US" w:eastAsia="zh-CN" w:bidi="ar-SA"/>
              </w:rPr>
              <w:t>保证措施</w:t>
            </w:r>
            <w:r>
              <w:rPr>
                <w:rFonts w:hint="eastAsia" w:hAnsi="宋体" w:cs="Times New Roman"/>
                <w:color w:val="auto"/>
                <w:kern w:val="2"/>
                <w:sz w:val="21"/>
                <w:szCs w:val="21"/>
                <w:highlight w:val="none"/>
                <w:lang w:val="en-US" w:eastAsia="zh-CN" w:bidi="ar-SA"/>
              </w:rPr>
              <w:t>较有效</w:t>
            </w:r>
            <w:r>
              <w:rPr>
                <w:rFonts w:hint="eastAsia" w:ascii="宋体" w:hAnsi="宋体" w:eastAsia="宋体" w:cs="Times New Roman"/>
                <w:color w:val="auto"/>
                <w:kern w:val="2"/>
                <w:sz w:val="21"/>
                <w:szCs w:val="21"/>
                <w:highlight w:val="none"/>
                <w:lang w:val="en-US" w:eastAsia="zh-CN" w:bidi="ar-SA"/>
              </w:rPr>
              <w:t>、</w:t>
            </w:r>
            <w:r>
              <w:rPr>
                <w:rFonts w:hint="eastAsia" w:hAnsi="宋体" w:cs="Times New Roman"/>
                <w:color w:val="auto"/>
                <w:kern w:val="2"/>
                <w:sz w:val="21"/>
                <w:szCs w:val="21"/>
                <w:highlight w:val="none"/>
                <w:lang w:val="en-US" w:eastAsia="zh-CN" w:bidi="ar-SA"/>
              </w:rPr>
              <w:t>较</w:t>
            </w:r>
            <w:r>
              <w:rPr>
                <w:rFonts w:hint="eastAsia" w:ascii="宋体" w:hAnsi="宋体" w:eastAsia="宋体" w:cs="Times New Roman"/>
                <w:color w:val="auto"/>
                <w:kern w:val="2"/>
                <w:sz w:val="21"/>
                <w:szCs w:val="21"/>
                <w:highlight w:val="none"/>
                <w:lang w:val="en-US" w:eastAsia="zh-CN" w:bidi="ar-SA"/>
              </w:rPr>
              <w:t>可行的得</w:t>
            </w:r>
            <w:r>
              <w:rPr>
                <w:rFonts w:hint="eastAsia" w:hAnsi="宋体" w:cs="Times New Roman"/>
                <w:color w:val="auto"/>
                <w:kern w:val="2"/>
                <w:sz w:val="21"/>
                <w:szCs w:val="21"/>
                <w:highlight w:val="none"/>
                <w:lang w:val="en-US" w:eastAsia="zh-CN" w:bidi="ar-SA"/>
              </w:rPr>
              <w:t>3</w:t>
            </w:r>
            <w:r>
              <w:rPr>
                <w:rFonts w:hint="eastAsia" w:ascii="宋体" w:hAnsi="宋体" w:eastAsia="宋体" w:cs="Times New Roman"/>
                <w:color w:val="auto"/>
                <w:kern w:val="2"/>
                <w:sz w:val="21"/>
                <w:szCs w:val="21"/>
                <w:highlight w:val="none"/>
                <w:lang w:val="en-US" w:eastAsia="zh-CN" w:bidi="ar-SA"/>
              </w:rPr>
              <w:t>分；</w:t>
            </w:r>
          </w:p>
          <w:p w14:paraId="312AB126">
            <w:pPr>
              <w:pStyle w:val="3"/>
              <w:keepNext w:val="0"/>
              <w:keepLines w:val="0"/>
              <w:pageBreakBefore w:val="0"/>
              <w:kinsoku/>
              <w:wordWrap/>
              <w:overflowPunct/>
              <w:topLinePunct w:val="0"/>
              <w:autoSpaceDN/>
              <w:bidi w:val="0"/>
              <w:adjustRightInd w:val="0"/>
              <w:spacing w:after="0" w:line="288" w:lineRule="auto"/>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服务</w:t>
            </w:r>
            <w:r>
              <w:rPr>
                <w:rFonts w:hint="eastAsia" w:ascii="宋体" w:hAnsi="宋体" w:eastAsia="宋体" w:cs="Times New Roman"/>
                <w:color w:val="auto"/>
                <w:kern w:val="2"/>
                <w:sz w:val="21"/>
                <w:szCs w:val="21"/>
                <w:highlight w:val="none"/>
                <w:lang w:val="en-US" w:eastAsia="zh-CN" w:bidi="ar-SA"/>
              </w:rPr>
              <w:t>质量</w:t>
            </w:r>
            <w:r>
              <w:rPr>
                <w:rFonts w:hint="eastAsia" w:hAnsi="宋体" w:cs="Times New Roman"/>
                <w:color w:val="auto"/>
                <w:kern w:val="2"/>
                <w:sz w:val="21"/>
                <w:szCs w:val="21"/>
                <w:highlight w:val="none"/>
                <w:lang w:val="en-US" w:eastAsia="zh-CN" w:bidi="ar-SA"/>
              </w:rPr>
              <w:t>控制方案不完善、不全面，</w:t>
            </w:r>
            <w:r>
              <w:rPr>
                <w:rFonts w:hint="eastAsia" w:ascii="宋体" w:hAnsi="宋体" w:eastAsia="宋体" w:cs="Times New Roman"/>
                <w:color w:val="auto"/>
                <w:kern w:val="2"/>
                <w:sz w:val="21"/>
                <w:szCs w:val="21"/>
                <w:highlight w:val="none"/>
                <w:lang w:val="en-US" w:eastAsia="zh-CN" w:bidi="ar-SA"/>
              </w:rPr>
              <w:t>保证措施</w:t>
            </w:r>
            <w:r>
              <w:rPr>
                <w:rFonts w:hint="eastAsia" w:hAnsi="宋体" w:cs="Times New Roman"/>
                <w:color w:val="auto"/>
                <w:kern w:val="2"/>
                <w:sz w:val="21"/>
                <w:szCs w:val="21"/>
                <w:highlight w:val="none"/>
                <w:lang w:val="en-US" w:eastAsia="zh-CN" w:bidi="ar-SA"/>
              </w:rPr>
              <w:t>无效</w:t>
            </w:r>
            <w:r>
              <w:rPr>
                <w:rFonts w:hint="eastAsia" w:ascii="宋体" w:hAnsi="宋体" w:eastAsia="宋体" w:cs="Times New Roman"/>
                <w:color w:val="auto"/>
                <w:kern w:val="2"/>
                <w:sz w:val="21"/>
                <w:szCs w:val="21"/>
                <w:highlight w:val="none"/>
                <w:lang w:val="en-US" w:eastAsia="zh-CN" w:bidi="ar-SA"/>
              </w:rPr>
              <w:t>、</w:t>
            </w:r>
            <w:r>
              <w:rPr>
                <w:rFonts w:hint="eastAsia" w:hAnsi="宋体" w:cs="Times New Roman"/>
                <w:color w:val="auto"/>
                <w:kern w:val="2"/>
                <w:sz w:val="21"/>
                <w:szCs w:val="21"/>
                <w:highlight w:val="none"/>
                <w:lang w:val="en-US" w:eastAsia="zh-CN" w:bidi="ar-SA"/>
              </w:rPr>
              <w:t>不</w:t>
            </w:r>
            <w:r>
              <w:rPr>
                <w:rFonts w:hint="eastAsia" w:ascii="宋体" w:hAnsi="宋体" w:eastAsia="宋体" w:cs="Times New Roman"/>
                <w:color w:val="auto"/>
                <w:kern w:val="2"/>
                <w:sz w:val="21"/>
                <w:szCs w:val="21"/>
                <w:highlight w:val="none"/>
                <w:lang w:val="en-US" w:eastAsia="zh-CN" w:bidi="ar-SA"/>
              </w:rPr>
              <w:t>可行的得</w:t>
            </w:r>
            <w:r>
              <w:rPr>
                <w:rFonts w:hint="eastAsia" w:hAnsi="宋体" w:cs="Times New Roman"/>
                <w:color w:val="auto"/>
                <w:kern w:val="2"/>
                <w:sz w:val="21"/>
                <w:szCs w:val="21"/>
                <w:highlight w:val="none"/>
                <w:lang w:val="en-US" w:eastAsia="zh-CN" w:bidi="ar-SA"/>
              </w:rPr>
              <w:t>1</w:t>
            </w:r>
            <w:r>
              <w:rPr>
                <w:rFonts w:hint="eastAsia" w:ascii="宋体" w:hAnsi="宋体" w:eastAsia="宋体" w:cs="Times New Roman"/>
                <w:color w:val="auto"/>
                <w:kern w:val="2"/>
                <w:sz w:val="21"/>
                <w:szCs w:val="21"/>
                <w:highlight w:val="none"/>
                <w:lang w:val="en-US" w:eastAsia="zh-CN" w:bidi="ar-SA"/>
              </w:rPr>
              <w:t>分；</w:t>
            </w:r>
          </w:p>
          <w:p w14:paraId="6F50E1C4">
            <w:pPr>
              <w:pStyle w:val="3"/>
              <w:keepNext w:val="0"/>
              <w:keepLines w:val="0"/>
              <w:pageBreakBefore w:val="0"/>
              <w:kinsoku/>
              <w:wordWrap/>
              <w:overflowPunct/>
              <w:topLinePunct w:val="0"/>
              <w:autoSpaceDN/>
              <w:bidi w:val="0"/>
              <w:adjustRightInd w:val="0"/>
              <w:spacing w:after="0" w:line="288" w:lineRule="auto"/>
              <w:jc w:val="left"/>
              <w:rPr>
                <w:rFonts w:hint="default"/>
                <w:color w:val="auto"/>
                <w:highlight w:val="none"/>
                <w:lang w:val="en-US"/>
              </w:rPr>
            </w:pPr>
            <w:r>
              <w:rPr>
                <w:rFonts w:hint="eastAsia" w:hAnsi="宋体" w:cs="Times New Roman"/>
                <w:color w:val="auto"/>
                <w:kern w:val="2"/>
                <w:sz w:val="21"/>
                <w:szCs w:val="21"/>
                <w:highlight w:val="none"/>
                <w:lang w:val="en-US" w:eastAsia="zh-CN" w:bidi="ar-SA"/>
              </w:rPr>
              <w:t>无</w:t>
            </w:r>
            <w:r>
              <w:rPr>
                <w:rFonts w:hint="eastAsia" w:ascii="宋体" w:hAnsi="宋体" w:cs="Times New Roman"/>
                <w:color w:val="auto"/>
                <w:kern w:val="2"/>
                <w:sz w:val="21"/>
                <w:szCs w:val="21"/>
                <w:highlight w:val="none"/>
                <w:lang w:val="en-US" w:eastAsia="zh-CN" w:bidi="ar-SA"/>
              </w:rPr>
              <w:t>服务</w:t>
            </w:r>
            <w:r>
              <w:rPr>
                <w:rFonts w:hint="eastAsia" w:ascii="宋体" w:hAnsi="宋体" w:eastAsia="宋体" w:cs="Times New Roman"/>
                <w:color w:val="auto"/>
                <w:kern w:val="2"/>
                <w:sz w:val="21"/>
                <w:szCs w:val="21"/>
                <w:highlight w:val="none"/>
                <w:lang w:val="en-US" w:eastAsia="zh-CN" w:bidi="ar-SA"/>
              </w:rPr>
              <w:t>质量</w:t>
            </w:r>
            <w:r>
              <w:rPr>
                <w:rFonts w:hint="eastAsia" w:hAnsi="宋体" w:cs="Times New Roman"/>
                <w:color w:val="auto"/>
                <w:kern w:val="2"/>
                <w:sz w:val="21"/>
                <w:szCs w:val="21"/>
                <w:highlight w:val="none"/>
                <w:lang w:val="en-US" w:eastAsia="zh-CN" w:bidi="ar-SA"/>
              </w:rPr>
              <w:t>控制方案</w:t>
            </w:r>
            <w:r>
              <w:rPr>
                <w:rFonts w:hint="eastAsia" w:ascii="宋体" w:hAnsi="宋体" w:cs="Times New Roman"/>
                <w:color w:val="auto"/>
                <w:kern w:val="2"/>
                <w:sz w:val="21"/>
                <w:szCs w:val="21"/>
                <w:highlight w:val="none"/>
                <w:lang w:val="en-US" w:eastAsia="zh-CN" w:bidi="ar-SA"/>
              </w:rPr>
              <w:t>及</w:t>
            </w:r>
            <w:r>
              <w:rPr>
                <w:rFonts w:hint="eastAsia" w:ascii="宋体" w:hAnsi="宋体" w:eastAsia="宋体" w:cs="Times New Roman"/>
                <w:color w:val="auto"/>
                <w:kern w:val="2"/>
                <w:sz w:val="21"/>
                <w:szCs w:val="21"/>
                <w:highlight w:val="none"/>
                <w:lang w:val="en-US" w:eastAsia="zh-CN" w:bidi="ar-SA"/>
              </w:rPr>
              <w:t>保证措施</w:t>
            </w:r>
            <w:r>
              <w:rPr>
                <w:rFonts w:hint="eastAsia" w:hAnsi="宋体" w:cs="Times New Roman"/>
                <w:color w:val="auto"/>
                <w:kern w:val="2"/>
                <w:sz w:val="21"/>
                <w:szCs w:val="21"/>
                <w:highlight w:val="none"/>
                <w:lang w:val="en-US" w:eastAsia="zh-CN" w:bidi="ar-SA"/>
              </w:rPr>
              <w:t>的不得分</w:t>
            </w:r>
          </w:p>
        </w:tc>
        <w:tc>
          <w:tcPr>
            <w:tcW w:w="674" w:type="dxa"/>
            <w:tcBorders>
              <w:top w:val="single" w:color="auto" w:sz="4" w:space="0"/>
              <w:left w:val="single" w:color="auto" w:sz="4" w:space="0"/>
              <w:bottom w:val="single" w:color="auto" w:sz="4" w:space="0"/>
              <w:right w:val="single" w:color="auto" w:sz="2" w:space="0"/>
            </w:tcBorders>
            <w:noWrap w:val="0"/>
            <w:vAlign w:val="center"/>
          </w:tcPr>
          <w:p w14:paraId="7186C803">
            <w:pPr>
              <w:keepNext w:val="0"/>
              <w:keepLines w:val="0"/>
              <w:pageBreakBefore w:val="0"/>
              <w:kinsoku/>
              <w:wordWrap/>
              <w:overflowPunct/>
              <w:topLinePunct w:val="0"/>
              <w:autoSpaceDN/>
              <w:bidi w:val="0"/>
              <w:adjustRightInd w:val="0"/>
              <w:spacing w:line="288"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735" w:type="dxa"/>
            <w:tcBorders>
              <w:top w:val="single" w:color="auto" w:sz="4" w:space="0"/>
              <w:left w:val="single" w:color="auto" w:sz="4" w:space="0"/>
              <w:bottom w:val="single" w:color="auto" w:sz="4" w:space="0"/>
              <w:right w:val="single" w:color="auto" w:sz="2" w:space="0"/>
            </w:tcBorders>
            <w:noWrap w:val="0"/>
            <w:vAlign w:val="center"/>
          </w:tcPr>
          <w:p w14:paraId="5429E345">
            <w:pPr>
              <w:keepNext w:val="0"/>
              <w:keepLines w:val="0"/>
              <w:pageBreakBefore w:val="0"/>
              <w:kinsoku/>
              <w:wordWrap/>
              <w:overflowPunct/>
              <w:topLinePunct w:val="0"/>
              <w:autoSpaceDN/>
              <w:bidi w:val="0"/>
              <w:adjustRightInd w:val="0"/>
              <w:spacing w:line="288" w:lineRule="auto"/>
              <w:jc w:val="center"/>
              <w:rPr>
                <w:rFonts w:hint="eastAsia" w:ascii="宋体" w:hAnsi="宋体" w:cs="宋体"/>
                <w:snapToGrid w:val="0"/>
                <w:color w:val="auto"/>
                <w:spacing w:val="-4"/>
                <w:szCs w:val="21"/>
                <w:highlight w:val="none"/>
              </w:rPr>
            </w:pPr>
            <w:r>
              <w:rPr>
                <w:rFonts w:hint="eastAsia" w:ascii="宋体" w:hAnsi="宋体" w:cs="宋体"/>
                <w:snapToGrid w:val="0"/>
                <w:color w:val="auto"/>
                <w:spacing w:val="-4"/>
                <w:szCs w:val="21"/>
                <w:highlight w:val="none"/>
              </w:rPr>
              <w:t>主观评审</w:t>
            </w:r>
          </w:p>
        </w:tc>
      </w:tr>
      <w:tr w14:paraId="4DD5B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834" w:type="dxa"/>
            <w:vMerge w:val="continue"/>
            <w:tcBorders>
              <w:left w:val="single" w:color="auto" w:sz="4" w:space="0"/>
              <w:right w:val="single" w:color="auto" w:sz="2" w:space="0"/>
            </w:tcBorders>
            <w:noWrap w:val="0"/>
            <w:vAlign w:val="center"/>
          </w:tcPr>
          <w:p w14:paraId="2DF923DC">
            <w:pPr>
              <w:keepNext w:val="0"/>
              <w:keepLines w:val="0"/>
              <w:pageBreakBefore w:val="0"/>
              <w:widowControl/>
              <w:kinsoku/>
              <w:wordWrap/>
              <w:overflowPunct/>
              <w:topLinePunct w:val="0"/>
              <w:autoSpaceDN/>
              <w:bidi w:val="0"/>
              <w:adjustRightInd w:val="0"/>
              <w:spacing w:line="288" w:lineRule="auto"/>
              <w:jc w:val="left"/>
              <w:rPr>
                <w:rFonts w:hint="eastAsia" w:ascii="宋体" w:hAnsi="宋体" w:cs="宋体"/>
                <w:snapToGrid w:val="0"/>
                <w:color w:val="auto"/>
                <w:spacing w:val="-4"/>
                <w:szCs w:val="21"/>
                <w:highlight w:val="none"/>
              </w:rPr>
            </w:pPr>
          </w:p>
        </w:tc>
        <w:tc>
          <w:tcPr>
            <w:tcW w:w="1598" w:type="dxa"/>
            <w:tcBorders>
              <w:left w:val="single" w:color="auto" w:sz="4" w:space="0"/>
              <w:right w:val="single" w:color="auto" w:sz="2" w:space="0"/>
            </w:tcBorders>
            <w:noWrap w:val="0"/>
            <w:vAlign w:val="center"/>
          </w:tcPr>
          <w:p w14:paraId="1F8D7E3B">
            <w:pPr>
              <w:keepNext w:val="0"/>
              <w:keepLines w:val="0"/>
              <w:pageBreakBefore w:val="0"/>
              <w:widowControl/>
              <w:kinsoku/>
              <w:wordWrap/>
              <w:overflowPunct/>
              <w:topLinePunct w:val="0"/>
              <w:autoSpaceDN/>
              <w:bidi w:val="0"/>
              <w:adjustRightInd w:val="0"/>
              <w:spacing w:line="288" w:lineRule="auto"/>
              <w:jc w:val="center"/>
              <w:rPr>
                <w:rFonts w:hint="eastAsia" w:hAnsi="宋体" w:cs="Times New Roman"/>
                <w:color w:val="auto"/>
                <w:kern w:val="2"/>
                <w:sz w:val="21"/>
                <w:szCs w:val="21"/>
                <w:highlight w:val="none"/>
                <w:lang w:val="en-US" w:eastAsia="zh-CN" w:bidi="ar-SA"/>
              </w:rPr>
            </w:pPr>
            <w:r>
              <w:rPr>
                <w:rFonts w:hint="eastAsia" w:hAnsi="宋体" w:cs="Times New Roman"/>
                <w:color w:val="auto"/>
                <w:kern w:val="2"/>
                <w:sz w:val="21"/>
                <w:szCs w:val="21"/>
                <w:highlight w:val="none"/>
                <w:lang w:val="en-US" w:eastAsia="zh-CN" w:bidi="ar-SA"/>
              </w:rPr>
              <w:t>装备方案</w:t>
            </w:r>
          </w:p>
          <w:p w14:paraId="1F13559A">
            <w:pPr>
              <w:keepNext w:val="0"/>
              <w:keepLines w:val="0"/>
              <w:pageBreakBefore w:val="0"/>
              <w:widowControl/>
              <w:kinsoku/>
              <w:wordWrap/>
              <w:overflowPunct/>
              <w:topLinePunct w:val="0"/>
              <w:autoSpaceDN/>
              <w:bidi w:val="0"/>
              <w:adjustRightInd w:val="0"/>
              <w:spacing w:line="288" w:lineRule="auto"/>
              <w:jc w:val="center"/>
              <w:rPr>
                <w:rFonts w:hint="eastAsia" w:ascii="宋体" w:hAnsi="宋体" w:cs="宋体"/>
                <w:snapToGrid w:val="0"/>
                <w:color w:val="auto"/>
                <w:spacing w:val="-4"/>
                <w:szCs w:val="21"/>
                <w:highlight w:val="none"/>
              </w:rPr>
            </w:pPr>
            <w:r>
              <w:rPr>
                <w:rFonts w:hint="eastAsia" w:ascii="宋体" w:hAnsi="宋体" w:cs="宋体"/>
                <w:color w:val="auto"/>
                <w:szCs w:val="21"/>
                <w:highlight w:val="none"/>
                <w:lang w:val="en-US" w:eastAsia="zh-CN" w:bidi="ar"/>
              </w:rPr>
              <w:t>（5分）</w:t>
            </w:r>
          </w:p>
        </w:tc>
        <w:tc>
          <w:tcPr>
            <w:tcW w:w="6271" w:type="dxa"/>
            <w:tcBorders>
              <w:top w:val="single" w:color="auto" w:sz="4" w:space="0"/>
              <w:left w:val="single" w:color="auto" w:sz="4" w:space="0"/>
              <w:right w:val="single" w:color="auto" w:sz="2" w:space="0"/>
            </w:tcBorders>
            <w:noWrap w:val="0"/>
            <w:vAlign w:val="center"/>
          </w:tcPr>
          <w:p w14:paraId="3B5B458F">
            <w:pPr>
              <w:pStyle w:val="3"/>
              <w:keepNext w:val="0"/>
              <w:keepLines w:val="0"/>
              <w:pageBreakBefore w:val="0"/>
              <w:kinsoku/>
              <w:wordWrap/>
              <w:overflowPunct/>
              <w:topLinePunct w:val="0"/>
              <w:autoSpaceDN/>
              <w:bidi w:val="0"/>
              <w:adjustRightInd w:val="0"/>
              <w:spacing w:after="0" w:line="288" w:lineRule="auto"/>
              <w:jc w:val="left"/>
              <w:rPr>
                <w:rFonts w:hint="eastAsia" w:hAnsi="宋体" w:cs="Times New Roman"/>
                <w:color w:val="auto"/>
                <w:kern w:val="2"/>
                <w:sz w:val="21"/>
                <w:szCs w:val="21"/>
                <w:highlight w:val="none"/>
                <w:lang w:val="en-US" w:eastAsia="zh-CN" w:bidi="ar-SA"/>
              </w:rPr>
            </w:pPr>
            <w:r>
              <w:rPr>
                <w:rFonts w:hint="eastAsia" w:hAnsi="宋体" w:cs="Times New Roman"/>
                <w:color w:val="auto"/>
                <w:kern w:val="2"/>
                <w:sz w:val="21"/>
                <w:szCs w:val="21"/>
                <w:highlight w:val="none"/>
                <w:lang w:val="en-US" w:eastAsia="zh-CN" w:bidi="ar-SA"/>
              </w:rPr>
              <w:t>根据供应商针对本项目提供的装备方案（服装、作业工具、易耗品）进行评审：</w:t>
            </w:r>
          </w:p>
          <w:p w14:paraId="5AB21AD4">
            <w:pPr>
              <w:pStyle w:val="3"/>
              <w:keepNext w:val="0"/>
              <w:keepLines w:val="0"/>
              <w:pageBreakBefore w:val="0"/>
              <w:kinsoku/>
              <w:wordWrap/>
              <w:overflowPunct/>
              <w:topLinePunct w:val="0"/>
              <w:autoSpaceDN/>
              <w:bidi w:val="0"/>
              <w:adjustRightInd w:val="0"/>
              <w:spacing w:after="0" w:line="288" w:lineRule="auto"/>
              <w:jc w:val="left"/>
              <w:rPr>
                <w:rFonts w:hint="eastAsia" w:hAnsi="宋体" w:cs="Times New Roman"/>
                <w:color w:val="auto"/>
                <w:kern w:val="2"/>
                <w:sz w:val="21"/>
                <w:szCs w:val="21"/>
                <w:highlight w:val="none"/>
                <w:lang w:val="en-US" w:eastAsia="zh-CN" w:bidi="ar-SA"/>
              </w:rPr>
            </w:pPr>
            <w:r>
              <w:rPr>
                <w:rFonts w:hint="eastAsia" w:hAnsi="宋体" w:cs="Times New Roman"/>
                <w:color w:val="auto"/>
                <w:kern w:val="2"/>
                <w:sz w:val="21"/>
                <w:szCs w:val="21"/>
                <w:highlight w:val="none"/>
                <w:lang w:val="en-US" w:eastAsia="zh-CN" w:bidi="ar-SA"/>
              </w:rPr>
              <w:t>装备方案合理、可行、种类齐全的得5分；</w:t>
            </w:r>
          </w:p>
          <w:p w14:paraId="253DC4F9">
            <w:pPr>
              <w:pStyle w:val="3"/>
              <w:keepNext w:val="0"/>
              <w:keepLines w:val="0"/>
              <w:pageBreakBefore w:val="0"/>
              <w:kinsoku/>
              <w:wordWrap/>
              <w:overflowPunct/>
              <w:topLinePunct w:val="0"/>
              <w:autoSpaceDN/>
              <w:bidi w:val="0"/>
              <w:adjustRightInd w:val="0"/>
              <w:spacing w:after="0" w:line="288" w:lineRule="auto"/>
              <w:jc w:val="left"/>
              <w:rPr>
                <w:rFonts w:hint="eastAsia" w:hAnsi="宋体" w:cs="Times New Roman"/>
                <w:color w:val="auto"/>
                <w:kern w:val="2"/>
                <w:sz w:val="21"/>
                <w:szCs w:val="21"/>
                <w:highlight w:val="none"/>
                <w:lang w:val="en-US" w:eastAsia="zh-CN" w:bidi="ar-SA"/>
              </w:rPr>
            </w:pPr>
            <w:r>
              <w:rPr>
                <w:rFonts w:hint="eastAsia" w:hAnsi="宋体" w:cs="Times New Roman"/>
                <w:color w:val="auto"/>
                <w:kern w:val="2"/>
                <w:sz w:val="21"/>
                <w:szCs w:val="21"/>
                <w:highlight w:val="none"/>
                <w:lang w:val="en-US" w:eastAsia="zh-CN" w:bidi="ar-SA"/>
              </w:rPr>
              <w:t>装备方案较合理、较可行、种类较齐全的得3分；</w:t>
            </w:r>
          </w:p>
          <w:p w14:paraId="34CF2E47">
            <w:pPr>
              <w:pStyle w:val="3"/>
              <w:keepNext w:val="0"/>
              <w:keepLines w:val="0"/>
              <w:pageBreakBefore w:val="0"/>
              <w:kinsoku/>
              <w:wordWrap/>
              <w:overflowPunct/>
              <w:topLinePunct w:val="0"/>
              <w:autoSpaceDN/>
              <w:bidi w:val="0"/>
              <w:adjustRightInd w:val="0"/>
              <w:spacing w:after="0" w:line="288" w:lineRule="auto"/>
              <w:jc w:val="left"/>
              <w:rPr>
                <w:rFonts w:hint="eastAsia" w:hAnsi="宋体" w:cs="Times New Roman"/>
                <w:color w:val="auto"/>
                <w:kern w:val="2"/>
                <w:sz w:val="21"/>
                <w:szCs w:val="21"/>
                <w:highlight w:val="none"/>
                <w:lang w:val="en-US" w:eastAsia="zh-CN" w:bidi="ar-SA"/>
              </w:rPr>
            </w:pPr>
            <w:r>
              <w:rPr>
                <w:rFonts w:hint="eastAsia" w:hAnsi="宋体" w:cs="Times New Roman"/>
                <w:color w:val="auto"/>
                <w:kern w:val="2"/>
                <w:sz w:val="21"/>
                <w:szCs w:val="21"/>
                <w:highlight w:val="none"/>
                <w:lang w:val="en-US" w:eastAsia="zh-CN" w:bidi="ar-SA"/>
              </w:rPr>
              <w:t>装备方案不合理、不可行、种类不齐全的得1分；</w:t>
            </w:r>
          </w:p>
          <w:p w14:paraId="218050AE">
            <w:pPr>
              <w:pStyle w:val="3"/>
              <w:keepNext w:val="0"/>
              <w:keepLines w:val="0"/>
              <w:pageBreakBefore w:val="0"/>
              <w:kinsoku/>
              <w:wordWrap/>
              <w:overflowPunct/>
              <w:topLinePunct w:val="0"/>
              <w:autoSpaceDN/>
              <w:bidi w:val="0"/>
              <w:adjustRightInd w:val="0"/>
              <w:spacing w:after="0" w:line="288" w:lineRule="auto"/>
              <w:jc w:val="left"/>
              <w:rPr>
                <w:rFonts w:hint="default" w:hAnsi="宋体" w:eastAsia="宋体" w:cs="Times New Roman"/>
                <w:color w:val="auto"/>
                <w:kern w:val="2"/>
                <w:sz w:val="21"/>
                <w:szCs w:val="21"/>
                <w:highlight w:val="none"/>
                <w:lang w:val="en-US" w:eastAsia="zh-CN" w:bidi="ar-SA"/>
              </w:rPr>
            </w:pPr>
            <w:r>
              <w:rPr>
                <w:rFonts w:hint="eastAsia" w:hAnsi="宋体" w:cs="Times New Roman"/>
                <w:color w:val="auto"/>
                <w:kern w:val="2"/>
                <w:sz w:val="21"/>
                <w:szCs w:val="21"/>
                <w:highlight w:val="none"/>
                <w:lang w:val="en-US" w:eastAsia="zh-CN" w:bidi="ar-SA"/>
              </w:rPr>
              <w:t>无装备方案的不得分。</w:t>
            </w:r>
          </w:p>
        </w:tc>
        <w:tc>
          <w:tcPr>
            <w:tcW w:w="674" w:type="dxa"/>
            <w:tcBorders>
              <w:top w:val="single" w:color="auto" w:sz="4" w:space="0"/>
              <w:left w:val="single" w:color="auto" w:sz="4" w:space="0"/>
              <w:bottom w:val="single" w:color="auto" w:sz="4" w:space="0"/>
              <w:right w:val="single" w:color="auto" w:sz="2" w:space="0"/>
            </w:tcBorders>
            <w:noWrap w:val="0"/>
            <w:vAlign w:val="center"/>
          </w:tcPr>
          <w:p w14:paraId="1099D10D">
            <w:pPr>
              <w:keepNext w:val="0"/>
              <w:keepLines w:val="0"/>
              <w:pageBreakBefore w:val="0"/>
              <w:kinsoku/>
              <w:wordWrap/>
              <w:overflowPunct/>
              <w:topLinePunct w:val="0"/>
              <w:autoSpaceDN/>
              <w:bidi w:val="0"/>
              <w:adjustRightInd w:val="0"/>
              <w:spacing w:line="288"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5</w:t>
            </w:r>
          </w:p>
        </w:tc>
        <w:tc>
          <w:tcPr>
            <w:tcW w:w="735" w:type="dxa"/>
            <w:tcBorders>
              <w:top w:val="single" w:color="auto" w:sz="4" w:space="0"/>
              <w:left w:val="single" w:color="auto" w:sz="4" w:space="0"/>
              <w:bottom w:val="single" w:color="auto" w:sz="4" w:space="0"/>
              <w:right w:val="single" w:color="auto" w:sz="2" w:space="0"/>
            </w:tcBorders>
            <w:noWrap w:val="0"/>
            <w:vAlign w:val="center"/>
          </w:tcPr>
          <w:p w14:paraId="645C639D">
            <w:pPr>
              <w:keepNext w:val="0"/>
              <w:keepLines w:val="0"/>
              <w:pageBreakBefore w:val="0"/>
              <w:kinsoku/>
              <w:wordWrap/>
              <w:overflowPunct/>
              <w:topLinePunct w:val="0"/>
              <w:autoSpaceDN/>
              <w:bidi w:val="0"/>
              <w:adjustRightInd w:val="0"/>
              <w:spacing w:line="288" w:lineRule="auto"/>
              <w:jc w:val="center"/>
              <w:rPr>
                <w:rFonts w:hint="eastAsia" w:ascii="宋体" w:hAnsi="宋体" w:eastAsia="宋体" w:cs="宋体"/>
                <w:snapToGrid w:val="0"/>
                <w:color w:val="auto"/>
                <w:spacing w:val="-4"/>
                <w:kern w:val="2"/>
                <w:sz w:val="21"/>
                <w:szCs w:val="21"/>
                <w:highlight w:val="none"/>
                <w:lang w:val="en-US" w:eastAsia="zh-CN" w:bidi="ar-SA"/>
              </w:rPr>
            </w:pPr>
            <w:r>
              <w:rPr>
                <w:rFonts w:hint="eastAsia" w:ascii="宋体" w:hAnsi="宋体" w:cs="宋体"/>
                <w:snapToGrid w:val="0"/>
                <w:color w:val="auto"/>
                <w:spacing w:val="-4"/>
                <w:szCs w:val="21"/>
                <w:highlight w:val="none"/>
              </w:rPr>
              <w:t>主观评审</w:t>
            </w:r>
          </w:p>
        </w:tc>
      </w:tr>
      <w:tr w14:paraId="5877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834" w:type="dxa"/>
            <w:vMerge w:val="continue"/>
            <w:tcBorders>
              <w:left w:val="single" w:color="auto" w:sz="4" w:space="0"/>
              <w:right w:val="single" w:color="auto" w:sz="2" w:space="0"/>
            </w:tcBorders>
            <w:noWrap w:val="0"/>
            <w:vAlign w:val="center"/>
          </w:tcPr>
          <w:p w14:paraId="2574B309">
            <w:pPr>
              <w:keepNext w:val="0"/>
              <w:keepLines w:val="0"/>
              <w:pageBreakBefore w:val="0"/>
              <w:widowControl/>
              <w:kinsoku/>
              <w:wordWrap/>
              <w:overflowPunct/>
              <w:topLinePunct w:val="0"/>
              <w:autoSpaceDN/>
              <w:bidi w:val="0"/>
              <w:adjustRightInd w:val="0"/>
              <w:spacing w:line="288" w:lineRule="auto"/>
              <w:jc w:val="left"/>
              <w:rPr>
                <w:rFonts w:hint="eastAsia" w:ascii="宋体" w:hAnsi="宋体" w:cs="宋体"/>
                <w:snapToGrid w:val="0"/>
                <w:color w:val="auto"/>
                <w:spacing w:val="-4"/>
                <w:szCs w:val="21"/>
                <w:highlight w:val="none"/>
              </w:rPr>
            </w:pPr>
          </w:p>
        </w:tc>
        <w:tc>
          <w:tcPr>
            <w:tcW w:w="1598" w:type="dxa"/>
            <w:tcBorders>
              <w:left w:val="single" w:color="auto" w:sz="4" w:space="0"/>
              <w:right w:val="single" w:color="auto" w:sz="2" w:space="0"/>
            </w:tcBorders>
            <w:noWrap w:val="0"/>
            <w:vAlign w:val="center"/>
          </w:tcPr>
          <w:p w14:paraId="16DA1FC5">
            <w:pPr>
              <w:keepNext w:val="0"/>
              <w:keepLines w:val="0"/>
              <w:pageBreakBefore w:val="0"/>
              <w:widowControl/>
              <w:kinsoku/>
              <w:wordWrap/>
              <w:overflowPunct/>
              <w:topLinePunct w:val="0"/>
              <w:autoSpaceDN/>
              <w:bidi w:val="0"/>
              <w:adjustRightInd w:val="0"/>
              <w:spacing w:line="288" w:lineRule="auto"/>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投诉处理原则及流程</w:t>
            </w:r>
          </w:p>
          <w:p w14:paraId="2971F89A">
            <w:pPr>
              <w:keepNext w:val="0"/>
              <w:keepLines w:val="0"/>
              <w:pageBreakBefore w:val="0"/>
              <w:widowControl/>
              <w:kinsoku/>
              <w:wordWrap/>
              <w:overflowPunct/>
              <w:topLinePunct w:val="0"/>
              <w:autoSpaceDN/>
              <w:bidi w:val="0"/>
              <w:adjustRightInd w:val="0"/>
              <w:spacing w:line="288" w:lineRule="auto"/>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szCs w:val="21"/>
                <w:highlight w:val="none"/>
                <w:lang w:val="en-US" w:eastAsia="zh-CN" w:bidi="ar"/>
              </w:rPr>
              <w:t>（5分）</w:t>
            </w:r>
          </w:p>
        </w:tc>
        <w:tc>
          <w:tcPr>
            <w:tcW w:w="6271" w:type="dxa"/>
            <w:tcBorders>
              <w:top w:val="single" w:color="auto" w:sz="4" w:space="0"/>
              <w:left w:val="single" w:color="auto" w:sz="4" w:space="0"/>
              <w:right w:val="single" w:color="auto" w:sz="2" w:space="0"/>
            </w:tcBorders>
            <w:noWrap w:val="0"/>
            <w:vAlign w:val="center"/>
          </w:tcPr>
          <w:p w14:paraId="1F971B53">
            <w:pPr>
              <w:keepNext w:val="0"/>
              <w:keepLines w:val="0"/>
              <w:pageBreakBefore w:val="0"/>
              <w:kinsoku/>
              <w:wordWrap/>
              <w:overflowPunct/>
              <w:topLinePunct w:val="0"/>
              <w:autoSpaceDE w:val="0"/>
              <w:autoSpaceDN/>
              <w:bidi w:val="0"/>
              <w:adjustRightInd w:val="0"/>
              <w:spacing w:line="288" w:lineRule="auto"/>
              <w:jc w:val="left"/>
              <w:textAlignment w:val="baseline"/>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szCs w:val="21"/>
                <w:highlight w:val="none"/>
                <w:lang w:bidi="ar"/>
              </w:rPr>
              <w:t>根据</w:t>
            </w:r>
            <w:r>
              <w:rPr>
                <w:rFonts w:hint="eastAsia" w:ascii="宋体" w:hAnsi="宋体" w:cs="宋体"/>
                <w:color w:val="auto"/>
                <w:szCs w:val="21"/>
                <w:highlight w:val="none"/>
                <w:lang w:eastAsia="zh-CN" w:bidi="ar"/>
              </w:rPr>
              <w:t>供应商</w:t>
            </w:r>
            <w:r>
              <w:rPr>
                <w:rFonts w:hint="eastAsia" w:ascii="宋体" w:hAnsi="宋体" w:cs="宋体"/>
                <w:color w:val="auto"/>
                <w:szCs w:val="21"/>
                <w:highlight w:val="none"/>
                <w:lang w:bidi="ar"/>
              </w:rPr>
              <w:t>针对本项目的</w:t>
            </w:r>
            <w:r>
              <w:rPr>
                <w:rFonts w:hint="eastAsia" w:ascii="宋体" w:hAnsi="宋体" w:eastAsia="宋体" w:cs="Times New Roman"/>
                <w:color w:val="auto"/>
                <w:kern w:val="2"/>
                <w:sz w:val="21"/>
                <w:szCs w:val="21"/>
                <w:highlight w:val="none"/>
                <w:lang w:val="en-US" w:eastAsia="zh-CN" w:bidi="ar-SA"/>
              </w:rPr>
              <w:t>投诉处理原则及流程进行评议：</w:t>
            </w:r>
          </w:p>
          <w:p w14:paraId="78F828C0">
            <w:pPr>
              <w:pStyle w:val="3"/>
              <w:keepNext w:val="0"/>
              <w:keepLines w:val="0"/>
              <w:pageBreakBefore w:val="0"/>
              <w:kinsoku/>
              <w:wordWrap/>
              <w:overflowPunct/>
              <w:topLinePunct w:val="0"/>
              <w:autoSpaceDN/>
              <w:bidi w:val="0"/>
              <w:adjustRightInd w:val="0"/>
              <w:spacing w:after="0" w:line="288" w:lineRule="auto"/>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投诉处理原则全面、可行、流程简便的得5分；</w:t>
            </w:r>
          </w:p>
          <w:p w14:paraId="78B4C980">
            <w:pPr>
              <w:pStyle w:val="2"/>
              <w:keepNext w:val="0"/>
              <w:keepLines w:val="0"/>
              <w:pageBreakBefore w:val="0"/>
              <w:kinsoku/>
              <w:wordWrap/>
              <w:overflowPunct/>
              <w:topLinePunct w:val="0"/>
              <w:autoSpaceDN/>
              <w:bidi w:val="0"/>
              <w:adjustRightInd w:val="0"/>
              <w:spacing w:after="0" w:line="288" w:lineRule="auto"/>
              <w:ind w:left="0" w:leftChars="0" w:firstLine="0" w:firstLineChars="0"/>
              <w:jc w:val="left"/>
              <w:rPr>
                <w:rFonts w:hint="default"/>
                <w:color w:val="auto"/>
                <w:highlight w:val="none"/>
                <w:lang w:val="en-US" w:eastAsia="zh-CN"/>
              </w:rPr>
            </w:pPr>
            <w:r>
              <w:rPr>
                <w:rFonts w:hint="eastAsia" w:ascii="宋体" w:hAnsi="宋体" w:eastAsia="宋体" w:cs="Times New Roman"/>
                <w:color w:val="auto"/>
                <w:kern w:val="2"/>
                <w:sz w:val="21"/>
                <w:szCs w:val="21"/>
                <w:highlight w:val="none"/>
                <w:lang w:val="en-US" w:eastAsia="zh-CN" w:bidi="ar-SA"/>
              </w:rPr>
              <w:t>投诉处理原则较全面、较可行、流程较简便的得3分；</w:t>
            </w:r>
          </w:p>
          <w:p w14:paraId="237785E5">
            <w:pPr>
              <w:pStyle w:val="2"/>
              <w:keepNext w:val="0"/>
              <w:keepLines w:val="0"/>
              <w:pageBreakBefore w:val="0"/>
              <w:kinsoku/>
              <w:wordWrap/>
              <w:overflowPunct/>
              <w:topLinePunct w:val="0"/>
              <w:autoSpaceDN/>
              <w:bidi w:val="0"/>
              <w:adjustRightInd w:val="0"/>
              <w:spacing w:after="0" w:line="288" w:lineRule="auto"/>
              <w:ind w:left="0" w:leftChars="0" w:firstLine="0" w:firstLineChars="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投诉处理原则不全面、不可行、流程不简便的得1分；</w:t>
            </w:r>
          </w:p>
          <w:p w14:paraId="46D8EC0A">
            <w:pPr>
              <w:pStyle w:val="3"/>
              <w:keepNext w:val="0"/>
              <w:keepLines w:val="0"/>
              <w:pageBreakBefore w:val="0"/>
              <w:kinsoku/>
              <w:wordWrap/>
              <w:overflowPunct/>
              <w:topLinePunct w:val="0"/>
              <w:autoSpaceDN/>
              <w:bidi w:val="0"/>
              <w:adjustRightInd w:val="0"/>
              <w:spacing w:after="0" w:line="288" w:lineRule="auto"/>
              <w:jc w:val="left"/>
              <w:rPr>
                <w:rFonts w:hint="eastAsia" w:ascii="宋体" w:hAnsi="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无</w:t>
            </w:r>
            <w:r>
              <w:rPr>
                <w:rFonts w:hint="eastAsia" w:ascii="宋体" w:hAnsi="宋体" w:eastAsia="宋体" w:cs="Times New Roman"/>
                <w:color w:val="auto"/>
                <w:kern w:val="2"/>
                <w:sz w:val="21"/>
                <w:szCs w:val="21"/>
                <w:highlight w:val="none"/>
                <w:lang w:val="en-US" w:eastAsia="zh-CN" w:bidi="ar-SA"/>
              </w:rPr>
              <w:t>投诉处理原则及流程的不得分。</w:t>
            </w:r>
          </w:p>
        </w:tc>
        <w:tc>
          <w:tcPr>
            <w:tcW w:w="674" w:type="dxa"/>
            <w:tcBorders>
              <w:top w:val="single" w:color="auto" w:sz="4" w:space="0"/>
              <w:left w:val="single" w:color="auto" w:sz="4" w:space="0"/>
              <w:bottom w:val="single" w:color="auto" w:sz="4" w:space="0"/>
              <w:right w:val="single" w:color="auto" w:sz="2" w:space="0"/>
            </w:tcBorders>
            <w:noWrap w:val="0"/>
            <w:vAlign w:val="center"/>
          </w:tcPr>
          <w:p w14:paraId="37E52C9C">
            <w:pPr>
              <w:keepNext w:val="0"/>
              <w:keepLines w:val="0"/>
              <w:pageBreakBefore w:val="0"/>
              <w:kinsoku/>
              <w:wordWrap/>
              <w:overflowPunct/>
              <w:topLinePunct w:val="0"/>
              <w:autoSpaceDN/>
              <w:bidi w:val="0"/>
              <w:adjustRightInd w:val="0"/>
              <w:spacing w:line="288"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5</w:t>
            </w:r>
          </w:p>
        </w:tc>
        <w:tc>
          <w:tcPr>
            <w:tcW w:w="735" w:type="dxa"/>
            <w:tcBorders>
              <w:top w:val="single" w:color="auto" w:sz="4" w:space="0"/>
              <w:left w:val="single" w:color="auto" w:sz="4" w:space="0"/>
              <w:bottom w:val="single" w:color="auto" w:sz="4" w:space="0"/>
              <w:right w:val="single" w:color="auto" w:sz="2" w:space="0"/>
            </w:tcBorders>
            <w:noWrap w:val="0"/>
            <w:vAlign w:val="center"/>
          </w:tcPr>
          <w:p w14:paraId="739CC472">
            <w:pPr>
              <w:keepNext w:val="0"/>
              <w:keepLines w:val="0"/>
              <w:pageBreakBefore w:val="0"/>
              <w:kinsoku/>
              <w:wordWrap/>
              <w:overflowPunct/>
              <w:topLinePunct w:val="0"/>
              <w:autoSpaceDN/>
              <w:bidi w:val="0"/>
              <w:adjustRightInd w:val="0"/>
              <w:spacing w:line="288" w:lineRule="auto"/>
              <w:jc w:val="center"/>
              <w:rPr>
                <w:rFonts w:hint="eastAsia" w:ascii="宋体" w:hAnsi="宋体" w:eastAsia="宋体" w:cs="宋体"/>
                <w:snapToGrid w:val="0"/>
                <w:color w:val="auto"/>
                <w:spacing w:val="-4"/>
                <w:kern w:val="2"/>
                <w:sz w:val="21"/>
                <w:szCs w:val="21"/>
                <w:highlight w:val="none"/>
                <w:lang w:val="en-US" w:eastAsia="zh-CN" w:bidi="ar-SA"/>
              </w:rPr>
            </w:pPr>
            <w:r>
              <w:rPr>
                <w:rFonts w:hint="eastAsia" w:ascii="宋体" w:hAnsi="宋体" w:cs="宋体"/>
                <w:snapToGrid w:val="0"/>
                <w:color w:val="auto"/>
                <w:spacing w:val="-4"/>
                <w:szCs w:val="21"/>
                <w:highlight w:val="none"/>
              </w:rPr>
              <w:t>主观评审</w:t>
            </w:r>
          </w:p>
        </w:tc>
      </w:tr>
      <w:tr w14:paraId="457C1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834" w:type="dxa"/>
            <w:vMerge w:val="continue"/>
            <w:tcBorders>
              <w:left w:val="single" w:color="auto" w:sz="4" w:space="0"/>
              <w:right w:val="single" w:color="auto" w:sz="2" w:space="0"/>
            </w:tcBorders>
            <w:noWrap w:val="0"/>
            <w:vAlign w:val="center"/>
          </w:tcPr>
          <w:p w14:paraId="37193E27">
            <w:pPr>
              <w:keepNext w:val="0"/>
              <w:keepLines w:val="0"/>
              <w:pageBreakBefore w:val="0"/>
              <w:widowControl/>
              <w:kinsoku/>
              <w:wordWrap/>
              <w:overflowPunct/>
              <w:topLinePunct w:val="0"/>
              <w:autoSpaceDN/>
              <w:bidi w:val="0"/>
              <w:adjustRightInd w:val="0"/>
              <w:spacing w:line="288" w:lineRule="auto"/>
              <w:jc w:val="left"/>
              <w:rPr>
                <w:rFonts w:hint="eastAsia" w:ascii="宋体" w:hAnsi="宋体" w:cs="宋体"/>
                <w:snapToGrid w:val="0"/>
                <w:color w:val="auto"/>
                <w:spacing w:val="-4"/>
                <w:szCs w:val="21"/>
                <w:highlight w:val="none"/>
              </w:rPr>
            </w:pPr>
          </w:p>
        </w:tc>
        <w:tc>
          <w:tcPr>
            <w:tcW w:w="1598" w:type="dxa"/>
            <w:tcBorders>
              <w:left w:val="single" w:color="auto" w:sz="4" w:space="0"/>
              <w:right w:val="single" w:color="auto" w:sz="2" w:space="0"/>
            </w:tcBorders>
            <w:noWrap w:val="0"/>
            <w:vAlign w:val="center"/>
          </w:tcPr>
          <w:p w14:paraId="44E2E395">
            <w:pPr>
              <w:keepNext w:val="0"/>
              <w:keepLines w:val="0"/>
              <w:pageBreakBefore w:val="0"/>
              <w:widowControl/>
              <w:kinsoku/>
              <w:wordWrap/>
              <w:overflowPunct/>
              <w:topLinePunct w:val="0"/>
              <w:autoSpaceDN/>
              <w:bidi w:val="0"/>
              <w:adjustRightInd w:val="0"/>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应急预案</w:t>
            </w:r>
          </w:p>
          <w:p w14:paraId="1A2E6C70">
            <w:pPr>
              <w:keepNext w:val="0"/>
              <w:keepLines w:val="0"/>
              <w:pageBreakBefore w:val="0"/>
              <w:widowControl/>
              <w:kinsoku/>
              <w:wordWrap/>
              <w:overflowPunct/>
              <w:topLinePunct w:val="0"/>
              <w:autoSpaceDN/>
              <w:bidi w:val="0"/>
              <w:adjustRightInd w:val="0"/>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bidi="ar"/>
              </w:rPr>
              <w:t>（5分）</w:t>
            </w:r>
          </w:p>
        </w:tc>
        <w:tc>
          <w:tcPr>
            <w:tcW w:w="6271" w:type="dxa"/>
            <w:tcBorders>
              <w:top w:val="single" w:color="auto" w:sz="4" w:space="0"/>
              <w:left w:val="single" w:color="auto" w:sz="4" w:space="0"/>
              <w:right w:val="single" w:color="auto" w:sz="2" w:space="0"/>
            </w:tcBorders>
            <w:noWrap w:val="0"/>
            <w:vAlign w:val="center"/>
          </w:tcPr>
          <w:p w14:paraId="08483B9E">
            <w:pPr>
              <w:keepNext w:val="0"/>
              <w:keepLines w:val="0"/>
              <w:pageBreakBefore w:val="0"/>
              <w:kinsoku/>
              <w:wordWrap/>
              <w:overflowPunct/>
              <w:topLinePunct w:val="0"/>
              <w:autoSpaceDN/>
              <w:bidi w:val="0"/>
              <w:adjustRightInd w:val="0"/>
              <w:snapToGrid w:val="0"/>
              <w:spacing w:line="288" w:lineRule="auto"/>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针对本项目的</w:t>
            </w:r>
            <w:r>
              <w:rPr>
                <w:rFonts w:hint="eastAsia" w:ascii="宋体" w:hAnsi="宋体" w:eastAsia="宋体" w:cs="宋体"/>
                <w:color w:val="auto"/>
                <w:szCs w:val="21"/>
                <w:highlight w:val="none"/>
                <w:lang w:val="en-US" w:eastAsia="zh-CN"/>
              </w:rPr>
              <w:t>应急预案（包括</w:t>
            </w:r>
            <w:r>
              <w:rPr>
                <w:rFonts w:hint="eastAsia" w:ascii="宋体" w:hAnsi="宋体" w:eastAsia="宋体" w:cs="宋体"/>
                <w:color w:val="auto"/>
                <w:szCs w:val="21"/>
                <w:highlight w:val="none"/>
              </w:rPr>
              <w:t>突击检查、各类创建活动等特殊情况</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恶劣天气</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其他突发事件、</w:t>
            </w:r>
            <w:r>
              <w:rPr>
                <w:rFonts w:hint="eastAsia" w:ascii="宋体" w:hAnsi="宋体" w:eastAsia="宋体" w:cs="宋体"/>
                <w:color w:val="auto"/>
                <w:szCs w:val="21"/>
                <w:highlight w:val="none"/>
              </w:rPr>
              <w:t>应急保障措施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进行评审：</w:t>
            </w:r>
          </w:p>
          <w:p w14:paraId="1035816C">
            <w:pPr>
              <w:keepNext w:val="0"/>
              <w:keepLines w:val="0"/>
              <w:pageBreakBefore w:val="0"/>
              <w:kinsoku/>
              <w:wordWrap/>
              <w:overflowPunct/>
              <w:topLinePunct w:val="0"/>
              <w:autoSpaceDN/>
              <w:bidi w:val="0"/>
              <w:adjustRightInd w:val="0"/>
              <w:snapToGrid w:val="0"/>
              <w:spacing w:line="288" w:lineRule="auto"/>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应急预案</w:t>
            </w:r>
            <w:r>
              <w:rPr>
                <w:rFonts w:hint="eastAsia" w:ascii="宋体" w:hAnsi="宋体" w:eastAsia="宋体" w:cs="宋体"/>
                <w:color w:val="auto"/>
                <w:szCs w:val="21"/>
                <w:highlight w:val="none"/>
                <w:lang w:val="en-US" w:eastAsia="zh-CN"/>
              </w:rPr>
              <w:t>合理、全面，响应及时迅速、处理办法专业、应对措施合理、完全符合采购人实际需求的得5分；</w:t>
            </w:r>
          </w:p>
          <w:p w14:paraId="0F532219">
            <w:pPr>
              <w:keepNext w:val="0"/>
              <w:keepLines w:val="0"/>
              <w:pageBreakBefore w:val="0"/>
              <w:kinsoku/>
              <w:wordWrap/>
              <w:overflowPunct/>
              <w:topLinePunct w:val="0"/>
              <w:autoSpaceDN/>
              <w:bidi w:val="0"/>
              <w:adjustRightInd w:val="0"/>
              <w:snapToGrid w:val="0"/>
              <w:spacing w:line="288"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应</w:t>
            </w:r>
            <w:r>
              <w:rPr>
                <w:rFonts w:hint="eastAsia" w:ascii="宋体" w:hAnsi="宋体" w:eastAsia="宋体" w:cs="宋体"/>
                <w:color w:val="auto"/>
                <w:szCs w:val="21"/>
                <w:highlight w:val="none"/>
                <w:lang w:val="en-US" w:eastAsia="zh-CN"/>
              </w:rPr>
              <w:t>急预案较合理、较全面，响应速度基本满足采购人要求，但处理措施有效性略有不足，无明显优势的得3分；</w:t>
            </w:r>
          </w:p>
          <w:p w14:paraId="49E78B32">
            <w:pPr>
              <w:keepNext w:val="0"/>
              <w:keepLines w:val="0"/>
              <w:pageBreakBefore w:val="0"/>
              <w:kinsoku/>
              <w:wordWrap/>
              <w:overflowPunct/>
              <w:topLinePunct w:val="0"/>
              <w:autoSpaceDN/>
              <w:bidi w:val="0"/>
              <w:adjustRightInd w:val="0"/>
              <w:snapToGrid w:val="0"/>
              <w:spacing w:line="288"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应急预案不合理、不全面，</w:t>
            </w:r>
            <w:r>
              <w:rPr>
                <w:rFonts w:hint="eastAsia" w:ascii="宋体" w:hAnsi="宋体" w:eastAsia="宋体" w:cs="宋体"/>
                <w:b w:val="0"/>
                <w:bCs w:val="0"/>
                <w:color w:val="auto"/>
                <w:kern w:val="2"/>
                <w:sz w:val="21"/>
                <w:szCs w:val="21"/>
                <w:highlight w:val="none"/>
                <w:lang w:val="en-US" w:eastAsia="zh-CN" w:bidi="ar-SA"/>
              </w:rPr>
              <w:t>响应及时性不足以满足采购人要求或承诺及措施存在缺陷或不能满足采购需求的得1分。</w:t>
            </w:r>
          </w:p>
          <w:p w14:paraId="393CCC65">
            <w:pPr>
              <w:keepNext w:val="0"/>
              <w:keepLines w:val="0"/>
              <w:pageBreakBefore w:val="0"/>
              <w:kinsoku/>
              <w:wordWrap/>
              <w:overflowPunct/>
              <w:topLinePunct w:val="0"/>
              <w:autoSpaceDN/>
              <w:bidi w:val="0"/>
              <w:adjustRightInd w:val="0"/>
              <w:snapToGrid w:val="0"/>
              <w:spacing w:line="288" w:lineRule="auto"/>
              <w:jc w:val="left"/>
              <w:rPr>
                <w:rFonts w:hint="eastAsia"/>
                <w:color w:val="auto"/>
                <w:highlight w:val="none"/>
              </w:rPr>
            </w:pPr>
            <w:r>
              <w:rPr>
                <w:rFonts w:hint="eastAsia" w:ascii="宋体" w:hAnsi="宋体" w:eastAsia="宋体" w:cs="宋体"/>
                <w:color w:val="auto"/>
                <w:szCs w:val="21"/>
                <w:highlight w:val="none"/>
                <w:lang w:val="en-US" w:eastAsia="zh-CN"/>
              </w:rPr>
              <w:t>无应急预案的不得分。</w:t>
            </w:r>
          </w:p>
        </w:tc>
        <w:tc>
          <w:tcPr>
            <w:tcW w:w="674" w:type="dxa"/>
            <w:tcBorders>
              <w:top w:val="single" w:color="auto" w:sz="4" w:space="0"/>
              <w:left w:val="single" w:color="auto" w:sz="4" w:space="0"/>
              <w:bottom w:val="single" w:color="auto" w:sz="4" w:space="0"/>
              <w:right w:val="single" w:color="auto" w:sz="2" w:space="0"/>
            </w:tcBorders>
            <w:noWrap w:val="0"/>
            <w:vAlign w:val="center"/>
          </w:tcPr>
          <w:p w14:paraId="1D9F29E5">
            <w:pPr>
              <w:keepNext w:val="0"/>
              <w:keepLines w:val="0"/>
              <w:pageBreakBefore w:val="0"/>
              <w:kinsoku/>
              <w:wordWrap/>
              <w:overflowPunct/>
              <w:topLinePunct w:val="0"/>
              <w:autoSpaceDN/>
              <w:bidi w:val="0"/>
              <w:adjustRightInd w:val="0"/>
              <w:spacing w:line="288"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5</w:t>
            </w:r>
          </w:p>
        </w:tc>
        <w:tc>
          <w:tcPr>
            <w:tcW w:w="735" w:type="dxa"/>
            <w:tcBorders>
              <w:top w:val="single" w:color="auto" w:sz="4" w:space="0"/>
              <w:left w:val="single" w:color="auto" w:sz="4" w:space="0"/>
              <w:bottom w:val="single" w:color="auto" w:sz="4" w:space="0"/>
              <w:right w:val="single" w:color="auto" w:sz="2" w:space="0"/>
            </w:tcBorders>
            <w:noWrap w:val="0"/>
            <w:vAlign w:val="center"/>
          </w:tcPr>
          <w:p w14:paraId="30F17335">
            <w:pPr>
              <w:keepNext w:val="0"/>
              <w:keepLines w:val="0"/>
              <w:pageBreakBefore w:val="0"/>
              <w:kinsoku/>
              <w:wordWrap/>
              <w:overflowPunct/>
              <w:topLinePunct w:val="0"/>
              <w:autoSpaceDN/>
              <w:bidi w:val="0"/>
              <w:adjustRightInd w:val="0"/>
              <w:spacing w:line="288" w:lineRule="auto"/>
              <w:jc w:val="center"/>
              <w:rPr>
                <w:rFonts w:hint="eastAsia" w:ascii="宋体" w:hAnsi="宋体" w:eastAsia="宋体" w:cs="宋体"/>
                <w:snapToGrid w:val="0"/>
                <w:color w:val="auto"/>
                <w:spacing w:val="-4"/>
                <w:kern w:val="2"/>
                <w:sz w:val="21"/>
                <w:szCs w:val="21"/>
                <w:highlight w:val="none"/>
                <w:lang w:val="en-US" w:eastAsia="zh-CN" w:bidi="ar-SA"/>
              </w:rPr>
            </w:pPr>
            <w:r>
              <w:rPr>
                <w:rFonts w:hint="eastAsia" w:ascii="宋体" w:hAnsi="宋体" w:cs="宋体"/>
                <w:snapToGrid w:val="0"/>
                <w:color w:val="auto"/>
                <w:spacing w:val="-4"/>
                <w:szCs w:val="21"/>
                <w:highlight w:val="none"/>
              </w:rPr>
              <w:t>主观评审</w:t>
            </w:r>
          </w:p>
        </w:tc>
      </w:tr>
      <w:tr w14:paraId="18FA2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34" w:type="dxa"/>
            <w:vMerge w:val="continue"/>
            <w:tcBorders>
              <w:left w:val="single" w:color="auto" w:sz="4" w:space="0"/>
              <w:right w:val="single" w:color="auto" w:sz="2" w:space="0"/>
            </w:tcBorders>
            <w:noWrap w:val="0"/>
            <w:vAlign w:val="center"/>
          </w:tcPr>
          <w:p w14:paraId="0F60A096">
            <w:pPr>
              <w:keepNext w:val="0"/>
              <w:keepLines w:val="0"/>
              <w:pageBreakBefore w:val="0"/>
              <w:widowControl/>
              <w:kinsoku/>
              <w:wordWrap/>
              <w:overflowPunct/>
              <w:topLinePunct w:val="0"/>
              <w:autoSpaceDN/>
              <w:bidi w:val="0"/>
              <w:adjustRightInd w:val="0"/>
              <w:spacing w:line="288" w:lineRule="auto"/>
              <w:jc w:val="left"/>
              <w:rPr>
                <w:rFonts w:hint="eastAsia" w:ascii="宋体" w:hAnsi="宋体" w:cs="宋体"/>
                <w:snapToGrid w:val="0"/>
                <w:color w:val="auto"/>
                <w:spacing w:val="-4"/>
                <w:szCs w:val="21"/>
                <w:highlight w:val="none"/>
              </w:rPr>
            </w:pPr>
          </w:p>
        </w:tc>
        <w:tc>
          <w:tcPr>
            <w:tcW w:w="1598" w:type="dxa"/>
            <w:tcBorders>
              <w:left w:val="single" w:color="auto" w:sz="4" w:space="0"/>
              <w:right w:val="single" w:color="auto" w:sz="2" w:space="0"/>
            </w:tcBorders>
            <w:noWrap w:val="0"/>
            <w:vAlign w:val="center"/>
          </w:tcPr>
          <w:p w14:paraId="0173D037">
            <w:pPr>
              <w:keepNext w:val="0"/>
              <w:keepLines w:val="0"/>
              <w:pageBreakBefore w:val="0"/>
              <w:widowControl/>
              <w:kinsoku/>
              <w:wordWrap/>
              <w:overflowPunct/>
              <w:topLinePunct w:val="0"/>
              <w:autoSpaceDN/>
              <w:bidi w:val="0"/>
              <w:adjustRightInd w:val="0"/>
              <w:spacing w:line="288" w:lineRule="auto"/>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培训方案</w:t>
            </w:r>
          </w:p>
          <w:p w14:paraId="094E49A7">
            <w:pPr>
              <w:keepNext w:val="0"/>
              <w:keepLines w:val="0"/>
              <w:pageBreakBefore w:val="0"/>
              <w:widowControl/>
              <w:kinsoku/>
              <w:wordWrap/>
              <w:overflowPunct/>
              <w:topLinePunct w:val="0"/>
              <w:autoSpaceDN/>
              <w:bidi w:val="0"/>
              <w:adjustRightInd w:val="0"/>
              <w:spacing w:line="288" w:lineRule="auto"/>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bidi="ar"/>
              </w:rPr>
              <w:t>（5分）</w:t>
            </w:r>
          </w:p>
        </w:tc>
        <w:tc>
          <w:tcPr>
            <w:tcW w:w="6271" w:type="dxa"/>
            <w:tcBorders>
              <w:top w:val="single" w:color="auto" w:sz="4" w:space="0"/>
              <w:left w:val="single" w:color="auto" w:sz="4" w:space="0"/>
              <w:right w:val="single" w:color="auto" w:sz="2" w:space="0"/>
            </w:tcBorders>
            <w:noWrap w:val="0"/>
            <w:vAlign w:val="center"/>
          </w:tcPr>
          <w:p w14:paraId="53C5F38B">
            <w:pPr>
              <w:keepNext w:val="0"/>
              <w:keepLines w:val="0"/>
              <w:pageBreakBefore w:val="0"/>
              <w:kinsoku/>
              <w:wordWrap/>
              <w:overflowPunct/>
              <w:topLinePunct w:val="0"/>
              <w:autoSpaceDE w:val="0"/>
              <w:autoSpaceDN/>
              <w:bidi w:val="0"/>
              <w:adjustRightInd w:val="0"/>
              <w:spacing w:line="288" w:lineRule="auto"/>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根据</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针对本项目的人员的培训</w:t>
            </w:r>
            <w:r>
              <w:rPr>
                <w:rFonts w:hint="eastAsia" w:ascii="宋体" w:hAnsi="宋体" w:cs="宋体"/>
                <w:color w:val="auto"/>
                <w:szCs w:val="21"/>
                <w:highlight w:val="none"/>
                <w:lang w:val="en-US" w:eastAsia="zh-CN"/>
              </w:rPr>
              <w:t>方案</w:t>
            </w:r>
            <w:r>
              <w:rPr>
                <w:rFonts w:hint="eastAsia" w:ascii="宋体" w:hAnsi="宋体" w:cs="宋体"/>
                <w:color w:val="auto"/>
                <w:szCs w:val="21"/>
                <w:highlight w:val="none"/>
              </w:rPr>
              <w:t>（包括培训时间安排合理、培训内容全面、培训方式多样、培训体系完善）进行评审：</w:t>
            </w:r>
          </w:p>
          <w:p w14:paraId="58C3AC7D">
            <w:pPr>
              <w:keepNext w:val="0"/>
              <w:keepLines w:val="0"/>
              <w:pageBreakBefore w:val="0"/>
              <w:kinsoku/>
              <w:wordWrap/>
              <w:overflowPunct/>
              <w:topLinePunct w:val="0"/>
              <w:autoSpaceDE w:val="0"/>
              <w:autoSpaceDN/>
              <w:bidi w:val="0"/>
              <w:adjustRightInd w:val="0"/>
              <w:spacing w:line="288" w:lineRule="auto"/>
              <w:jc w:val="left"/>
              <w:textAlignment w:val="baseline"/>
              <w:rPr>
                <w:rFonts w:hint="eastAsia" w:ascii="宋体" w:hAnsi="宋体" w:cs="宋体"/>
                <w:color w:val="auto"/>
                <w:szCs w:val="21"/>
                <w:highlight w:val="none"/>
                <w:lang w:val="en-US" w:eastAsia="zh-CN"/>
              </w:rPr>
            </w:pPr>
            <w:r>
              <w:rPr>
                <w:rFonts w:hint="eastAsia" w:ascii="宋体" w:hAnsi="宋体" w:cs="宋体"/>
                <w:color w:val="auto"/>
                <w:szCs w:val="21"/>
                <w:highlight w:val="none"/>
              </w:rPr>
              <w:t>培训</w:t>
            </w:r>
            <w:r>
              <w:rPr>
                <w:rFonts w:hint="eastAsia" w:ascii="宋体" w:hAnsi="宋体" w:cs="宋体"/>
                <w:color w:val="auto"/>
                <w:szCs w:val="21"/>
                <w:highlight w:val="none"/>
                <w:lang w:val="en-US" w:eastAsia="zh-CN"/>
              </w:rPr>
              <w:t>方案合理、全面、</w:t>
            </w:r>
            <w:r>
              <w:rPr>
                <w:rFonts w:hint="eastAsia" w:ascii="宋体" w:hAnsi="宋体" w:eastAsia="宋体" w:cs="宋体"/>
                <w:color w:val="auto"/>
                <w:sz w:val="21"/>
                <w:szCs w:val="21"/>
                <w:highlight w:val="none"/>
                <w:lang w:val="en-US"/>
              </w:rPr>
              <w:t>培训内容</w:t>
            </w:r>
            <w:r>
              <w:rPr>
                <w:rFonts w:hint="eastAsia" w:ascii="宋体" w:hAnsi="宋体" w:eastAsia="宋体" w:cs="宋体"/>
                <w:color w:val="auto"/>
                <w:sz w:val="21"/>
                <w:szCs w:val="21"/>
                <w:highlight w:val="none"/>
                <w:lang w:val="en-US" w:eastAsia="zh-CN"/>
              </w:rPr>
              <w:t>完全</w:t>
            </w:r>
            <w:r>
              <w:rPr>
                <w:rFonts w:hint="eastAsia" w:ascii="宋体" w:hAnsi="宋体" w:eastAsia="宋体" w:cs="宋体"/>
                <w:color w:val="auto"/>
                <w:sz w:val="21"/>
                <w:szCs w:val="21"/>
                <w:highlight w:val="none"/>
                <w:lang w:val="en-US"/>
              </w:rPr>
              <w:t>与本项目契合</w:t>
            </w:r>
            <w:r>
              <w:rPr>
                <w:rFonts w:hint="eastAsia" w:ascii="宋体" w:hAnsi="宋体" w:eastAsia="宋体" w:cs="宋体"/>
                <w:color w:val="auto"/>
                <w:sz w:val="21"/>
                <w:szCs w:val="21"/>
                <w:highlight w:val="none"/>
                <w:lang w:val="en-US" w:eastAsia="zh-CN"/>
              </w:rPr>
              <w:t>，</w:t>
            </w:r>
            <w:r>
              <w:rPr>
                <w:rFonts w:hint="eastAsia" w:ascii="宋体" w:hAnsi="宋体" w:cs="宋体"/>
                <w:color w:val="auto"/>
                <w:szCs w:val="21"/>
                <w:highlight w:val="none"/>
                <w:lang w:val="en-US" w:eastAsia="zh-CN"/>
              </w:rPr>
              <w:t>方式多样、体系完善的得5分；</w:t>
            </w:r>
          </w:p>
          <w:p w14:paraId="3CE6F45F">
            <w:pPr>
              <w:keepNext w:val="0"/>
              <w:keepLines w:val="0"/>
              <w:pageBreakBefore w:val="0"/>
              <w:kinsoku/>
              <w:wordWrap/>
              <w:overflowPunct/>
              <w:topLinePunct w:val="0"/>
              <w:autoSpaceDE w:val="0"/>
              <w:autoSpaceDN/>
              <w:bidi w:val="0"/>
              <w:adjustRightInd w:val="0"/>
              <w:spacing w:line="288" w:lineRule="auto"/>
              <w:jc w:val="left"/>
              <w:textAlignment w:val="baseline"/>
              <w:rPr>
                <w:rFonts w:hint="eastAsia" w:ascii="宋体" w:hAnsi="宋体" w:cs="宋体"/>
                <w:color w:val="auto"/>
                <w:szCs w:val="21"/>
                <w:highlight w:val="none"/>
                <w:lang w:val="en-US" w:eastAsia="zh-CN"/>
              </w:rPr>
            </w:pPr>
            <w:r>
              <w:rPr>
                <w:rFonts w:hint="eastAsia" w:ascii="宋体" w:hAnsi="宋体" w:cs="宋体"/>
                <w:color w:val="auto"/>
                <w:szCs w:val="21"/>
                <w:highlight w:val="none"/>
              </w:rPr>
              <w:t>培训</w:t>
            </w:r>
            <w:r>
              <w:rPr>
                <w:rFonts w:hint="eastAsia" w:ascii="宋体" w:hAnsi="宋体" w:cs="宋体"/>
                <w:color w:val="auto"/>
                <w:szCs w:val="21"/>
                <w:highlight w:val="none"/>
                <w:lang w:val="en-US" w:eastAsia="zh-CN"/>
              </w:rPr>
              <w:t>方案较合理、较全面、</w:t>
            </w:r>
            <w:r>
              <w:rPr>
                <w:rFonts w:hint="eastAsia" w:ascii="宋体" w:hAnsi="宋体" w:eastAsia="宋体" w:cs="宋体"/>
                <w:color w:val="auto"/>
                <w:sz w:val="21"/>
                <w:szCs w:val="21"/>
                <w:highlight w:val="none"/>
                <w:lang w:val="en-US"/>
              </w:rPr>
              <w:t>培训内容与本项目相关</w:t>
            </w:r>
            <w:r>
              <w:rPr>
                <w:rFonts w:hint="eastAsia" w:ascii="宋体" w:hAnsi="宋体" w:eastAsia="宋体" w:cs="宋体"/>
                <w:color w:val="auto"/>
                <w:sz w:val="21"/>
                <w:szCs w:val="21"/>
                <w:highlight w:val="none"/>
                <w:lang w:val="en-US" w:eastAsia="zh-CN"/>
              </w:rPr>
              <w:t>，</w:t>
            </w:r>
            <w:r>
              <w:rPr>
                <w:rFonts w:hint="eastAsia" w:ascii="宋体" w:hAnsi="宋体" w:cs="宋体"/>
                <w:color w:val="auto"/>
                <w:szCs w:val="21"/>
                <w:highlight w:val="none"/>
                <w:lang w:val="en-US" w:eastAsia="zh-CN"/>
              </w:rPr>
              <w:t>方式较多样、体系较完善的得3分；</w:t>
            </w:r>
          </w:p>
          <w:p w14:paraId="536DB8AD">
            <w:pPr>
              <w:keepNext w:val="0"/>
              <w:keepLines w:val="0"/>
              <w:pageBreakBefore w:val="0"/>
              <w:kinsoku/>
              <w:wordWrap/>
              <w:overflowPunct/>
              <w:topLinePunct w:val="0"/>
              <w:autoSpaceDE w:val="0"/>
              <w:autoSpaceDN/>
              <w:bidi w:val="0"/>
              <w:adjustRightInd w:val="0"/>
              <w:spacing w:line="288" w:lineRule="auto"/>
              <w:jc w:val="left"/>
              <w:textAlignment w:val="baseline"/>
              <w:rPr>
                <w:rFonts w:hint="eastAsia" w:ascii="宋体" w:hAnsi="宋体" w:cs="宋体"/>
                <w:color w:val="auto"/>
                <w:szCs w:val="21"/>
                <w:highlight w:val="none"/>
                <w:lang w:val="en-US" w:eastAsia="zh-CN"/>
              </w:rPr>
            </w:pPr>
            <w:r>
              <w:rPr>
                <w:rFonts w:hint="eastAsia" w:ascii="宋体" w:hAnsi="宋体" w:cs="宋体"/>
                <w:color w:val="auto"/>
                <w:szCs w:val="21"/>
                <w:highlight w:val="none"/>
              </w:rPr>
              <w:t>培训</w:t>
            </w:r>
            <w:r>
              <w:rPr>
                <w:rFonts w:hint="eastAsia" w:ascii="宋体" w:hAnsi="宋体" w:cs="宋体"/>
                <w:color w:val="auto"/>
                <w:szCs w:val="21"/>
                <w:highlight w:val="none"/>
                <w:lang w:val="en-US" w:eastAsia="zh-CN"/>
              </w:rPr>
              <w:t>方案不合理、不全面、</w:t>
            </w:r>
            <w:r>
              <w:rPr>
                <w:rFonts w:hint="eastAsia" w:ascii="宋体" w:hAnsi="宋体" w:eastAsia="宋体" w:cs="宋体"/>
                <w:color w:val="auto"/>
                <w:sz w:val="21"/>
                <w:szCs w:val="21"/>
                <w:highlight w:val="none"/>
                <w:lang w:val="en-US"/>
              </w:rPr>
              <w:t>培训内容与本项目</w:t>
            </w:r>
            <w:r>
              <w:rPr>
                <w:rFonts w:hint="eastAsia" w:ascii="宋体" w:hAnsi="宋体" w:eastAsia="宋体" w:cs="宋体"/>
                <w:color w:val="auto"/>
                <w:sz w:val="21"/>
                <w:szCs w:val="21"/>
                <w:highlight w:val="none"/>
                <w:lang w:val="en-US" w:eastAsia="zh-CN"/>
              </w:rPr>
              <w:t>相</w:t>
            </w:r>
            <w:r>
              <w:rPr>
                <w:rFonts w:hint="eastAsia" w:ascii="宋体" w:hAnsi="宋体" w:eastAsia="宋体" w:cs="宋体"/>
                <w:color w:val="auto"/>
                <w:sz w:val="21"/>
                <w:szCs w:val="21"/>
                <w:highlight w:val="none"/>
                <w:lang w:val="en-US"/>
              </w:rPr>
              <w:t>关</w:t>
            </w:r>
            <w:r>
              <w:rPr>
                <w:rFonts w:hint="eastAsia" w:ascii="宋体" w:hAnsi="宋体" w:eastAsia="宋体" w:cs="宋体"/>
                <w:color w:val="auto"/>
                <w:sz w:val="21"/>
                <w:szCs w:val="21"/>
                <w:highlight w:val="none"/>
                <w:lang w:val="en-US" w:eastAsia="zh-CN"/>
              </w:rPr>
              <w:t>性弱，</w:t>
            </w:r>
            <w:r>
              <w:rPr>
                <w:rFonts w:hint="eastAsia" w:ascii="宋体" w:hAnsi="宋体" w:cs="宋体"/>
                <w:color w:val="auto"/>
                <w:szCs w:val="21"/>
                <w:highlight w:val="none"/>
                <w:lang w:val="en-US" w:eastAsia="zh-CN"/>
              </w:rPr>
              <w:t>方式单一、体系不完善的得1分；</w:t>
            </w:r>
          </w:p>
          <w:p w14:paraId="6C932A41">
            <w:pPr>
              <w:keepNext w:val="0"/>
              <w:keepLines w:val="0"/>
              <w:pageBreakBefore w:val="0"/>
              <w:kinsoku/>
              <w:wordWrap/>
              <w:overflowPunct/>
              <w:topLinePunct w:val="0"/>
              <w:autoSpaceDE w:val="0"/>
              <w:autoSpaceDN/>
              <w:bidi w:val="0"/>
              <w:adjustRightInd w:val="0"/>
              <w:spacing w:line="288" w:lineRule="auto"/>
              <w:jc w:val="left"/>
              <w:textAlignment w:val="baseline"/>
              <w:rPr>
                <w:rFonts w:hint="default" w:ascii="宋体" w:hAnsi="宋体" w:eastAsia="宋体" w:cs="宋体"/>
                <w:color w:val="auto"/>
                <w:szCs w:val="21"/>
                <w:highlight w:val="none"/>
                <w:lang w:val="en-US" w:eastAsia="zh-CN" w:bidi="ar"/>
              </w:rPr>
            </w:pPr>
            <w:r>
              <w:rPr>
                <w:rFonts w:hint="eastAsia" w:ascii="宋体" w:hAnsi="宋体" w:cs="宋体"/>
                <w:color w:val="auto"/>
                <w:szCs w:val="21"/>
                <w:highlight w:val="none"/>
                <w:lang w:val="en-US" w:eastAsia="zh-CN"/>
              </w:rPr>
              <w:t>无培训方案的不得分。</w:t>
            </w:r>
          </w:p>
        </w:tc>
        <w:tc>
          <w:tcPr>
            <w:tcW w:w="674" w:type="dxa"/>
            <w:tcBorders>
              <w:top w:val="single" w:color="auto" w:sz="4" w:space="0"/>
              <w:left w:val="single" w:color="auto" w:sz="4" w:space="0"/>
              <w:bottom w:val="single" w:color="auto" w:sz="4" w:space="0"/>
              <w:right w:val="single" w:color="auto" w:sz="2" w:space="0"/>
            </w:tcBorders>
            <w:noWrap w:val="0"/>
            <w:vAlign w:val="center"/>
          </w:tcPr>
          <w:p w14:paraId="439B3F8F">
            <w:pPr>
              <w:keepNext w:val="0"/>
              <w:keepLines w:val="0"/>
              <w:pageBreakBefore w:val="0"/>
              <w:kinsoku/>
              <w:wordWrap/>
              <w:overflowPunct/>
              <w:topLinePunct w:val="0"/>
              <w:autoSpaceDN/>
              <w:bidi w:val="0"/>
              <w:adjustRightInd w:val="0"/>
              <w:spacing w:line="288"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735" w:type="dxa"/>
            <w:tcBorders>
              <w:top w:val="single" w:color="auto" w:sz="4" w:space="0"/>
              <w:left w:val="single" w:color="auto" w:sz="4" w:space="0"/>
              <w:bottom w:val="single" w:color="auto" w:sz="4" w:space="0"/>
              <w:right w:val="single" w:color="auto" w:sz="2" w:space="0"/>
            </w:tcBorders>
            <w:noWrap w:val="0"/>
            <w:vAlign w:val="center"/>
          </w:tcPr>
          <w:p w14:paraId="57F3BB45">
            <w:pPr>
              <w:keepNext w:val="0"/>
              <w:keepLines w:val="0"/>
              <w:pageBreakBefore w:val="0"/>
              <w:kinsoku/>
              <w:wordWrap/>
              <w:overflowPunct/>
              <w:topLinePunct w:val="0"/>
              <w:autoSpaceDN/>
              <w:bidi w:val="0"/>
              <w:adjustRightInd w:val="0"/>
              <w:spacing w:line="288" w:lineRule="auto"/>
              <w:jc w:val="center"/>
              <w:rPr>
                <w:rFonts w:hint="eastAsia" w:ascii="宋体" w:hAnsi="宋体" w:cs="宋体"/>
                <w:snapToGrid w:val="0"/>
                <w:color w:val="auto"/>
                <w:spacing w:val="-4"/>
                <w:szCs w:val="21"/>
                <w:highlight w:val="none"/>
              </w:rPr>
            </w:pPr>
            <w:r>
              <w:rPr>
                <w:rFonts w:hint="eastAsia" w:ascii="宋体" w:hAnsi="宋体" w:cs="宋体"/>
                <w:snapToGrid w:val="0"/>
                <w:color w:val="auto"/>
                <w:spacing w:val="-4"/>
                <w:szCs w:val="21"/>
                <w:highlight w:val="none"/>
              </w:rPr>
              <w:t>主观评审</w:t>
            </w:r>
          </w:p>
        </w:tc>
      </w:tr>
      <w:tr w14:paraId="6BF93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834" w:type="dxa"/>
            <w:vMerge w:val="continue"/>
            <w:tcBorders>
              <w:left w:val="single" w:color="auto" w:sz="4" w:space="0"/>
              <w:right w:val="single" w:color="auto" w:sz="2" w:space="0"/>
            </w:tcBorders>
            <w:noWrap w:val="0"/>
            <w:vAlign w:val="center"/>
          </w:tcPr>
          <w:p w14:paraId="7246D855">
            <w:pPr>
              <w:keepNext w:val="0"/>
              <w:keepLines w:val="0"/>
              <w:pageBreakBefore w:val="0"/>
              <w:widowControl/>
              <w:kinsoku/>
              <w:wordWrap/>
              <w:overflowPunct/>
              <w:topLinePunct w:val="0"/>
              <w:autoSpaceDN/>
              <w:bidi w:val="0"/>
              <w:adjustRightInd w:val="0"/>
              <w:spacing w:line="288" w:lineRule="auto"/>
              <w:jc w:val="left"/>
              <w:rPr>
                <w:rFonts w:hint="eastAsia" w:ascii="宋体" w:hAnsi="宋体" w:cs="宋体"/>
                <w:snapToGrid w:val="0"/>
                <w:color w:val="auto"/>
                <w:spacing w:val="-4"/>
                <w:szCs w:val="21"/>
                <w:highlight w:val="none"/>
              </w:rPr>
            </w:pPr>
          </w:p>
        </w:tc>
        <w:tc>
          <w:tcPr>
            <w:tcW w:w="1598" w:type="dxa"/>
            <w:tcBorders>
              <w:left w:val="single" w:color="auto" w:sz="4" w:space="0"/>
              <w:right w:val="single" w:color="auto" w:sz="2" w:space="0"/>
            </w:tcBorders>
            <w:noWrap w:val="0"/>
            <w:vAlign w:val="center"/>
          </w:tcPr>
          <w:p w14:paraId="06116F7D">
            <w:pPr>
              <w:keepNext w:val="0"/>
              <w:keepLines w:val="0"/>
              <w:pageBreakBefore w:val="0"/>
              <w:widowControl/>
              <w:kinsoku/>
              <w:wordWrap/>
              <w:overflowPunct/>
              <w:topLinePunct w:val="0"/>
              <w:autoSpaceDN/>
              <w:bidi w:val="0"/>
              <w:adjustRightInd w:val="0"/>
              <w:spacing w:line="288" w:lineRule="auto"/>
              <w:jc w:val="center"/>
              <w:rPr>
                <w:rFonts w:hint="eastAsia" w:ascii="宋体" w:hAnsi="宋体" w:cs="宋体"/>
                <w:snapToGrid w:val="0"/>
                <w:color w:val="auto"/>
                <w:spacing w:val="-4"/>
                <w:szCs w:val="21"/>
                <w:highlight w:val="none"/>
              </w:rPr>
            </w:pPr>
            <w:r>
              <w:rPr>
                <w:rFonts w:hint="eastAsia" w:ascii="宋体" w:hAnsi="宋体" w:cs="宋体"/>
                <w:snapToGrid w:val="0"/>
                <w:color w:val="auto"/>
                <w:spacing w:val="-4"/>
                <w:szCs w:val="21"/>
                <w:highlight w:val="none"/>
              </w:rPr>
              <w:t>重难点分析及解决方案</w:t>
            </w:r>
          </w:p>
          <w:p w14:paraId="67B2BB10">
            <w:pPr>
              <w:keepNext w:val="0"/>
              <w:keepLines w:val="0"/>
              <w:pageBreakBefore w:val="0"/>
              <w:widowControl/>
              <w:kinsoku/>
              <w:wordWrap/>
              <w:overflowPunct/>
              <w:topLinePunct w:val="0"/>
              <w:autoSpaceDN/>
              <w:bidi w:val="0"/>
              <w:adjustRightInd w:val="0"/>
              <w:spacing w:line="288" w:lineRule="auto"/>
              <w:jc w:val="center"/>
              <w:rPr>
                <w:rFonts w:hint="eastAsia" w:ascii="宋体" w:hAnsi="宋体" w:cs="宋体"/>
                <w:snapToGrid w:val="0"/>
                <w:color w:val="auto"/>
                <w:spacing w:val="-4"/>
                <w:szCs w:val="21"/>
                <w:highlight w:val="none"/>
              </w:rPr>
            </w:pPr>
            <w:r>
              <w:rPr>
                <w:rFonts w:hint="eastAsia" w:ascii="宋体" w:hAnsi="宋体" w:cs="宋体"/>
                <w:color w:val="auto"/>
                <w:szCs w:val="21"/>
                <w:highlight w:val="none"/>
                <w:lang w:val="en-US" w:eastAsia="zh-CN" w:bidi="ar"/>
              </w:rPr>
              <w:t>（5分）</w:t>
            </w:r>
          </w:p>
        </w:tc>
        <w:tc>
          <w:tcPr>
            <w:tcW w:w="6271" w:type="dxa"/>
            <w:tcBorders>
              <w:top w:val="single" w:color="auto" w:sz="4" w:space="0"/>
              <w:left w:val="single" w:color="auto" w:sz="4" w:space="0"/>
              <w:right w:val="single" w:color="auto" w:sz="2" w:space="0"/>
            </w:tcBorders>
            <w:noWrap w:val="0"/>
            <w:vAlign w:val="center"/>
          </w:tcPr>
          <w:p w14:paraId="112B22D2">
            <w:pPr>
              <w:keepNext w:val="0"/>
              <w:keepLines w:val="0"/>
              <w:pageBreakBefore w:val="0"/>
              <w:widowControl/>
              <w:kinsoku/>
              <w:wordWrap/>
              <w:overflowPunct/>
              <w:topLinePunct w:val="0"/>
              <w:autoSpaceDN/>
              <w:bidi w:val="0"/>
              <w:adjustRightInd w:val="0"/>
              <w:spacing w:line="288" w:lineRule="auto"/>
              <w:jc w:val="both"/>
              <w:rPr>
                <w:rFonts w:hint="eastAsia" w:ascii="宋体" w:hAnsi="宋体" w:eastAsia="宋体" w:cs="宋体"/>
                <w:snapToGrid w:val="0"/>
                <w:color w:val="auto"/>
                <w:spacing w:val="-4"/>
                <w:szCs w:val="21"/>
                <w:highlight w:val="none"/>
                <w:lang w:val="en-US" w:eastAsia="zh-CN"/>
              </w:rPr>
            </w:pPr>
            <w:r>
              <w:rPr>
                <w:rFonts w:hint="eastAsia" w:ascii="宋体" w:hAnsi="宋体" w:eastAsia="宋体" w:cs="宋体"/>
                <w:b w:val="0"/>
                <w:bCs/>
                <w:color w:val="auto"/>
                <w:sz w:val="21"/>
                <w:szCs w:val="21"/>
                <w:highlight w:val="none"/>
              </w:rPr>
              <w:t>根据</w:t>
            </w:r>
            <w:r>
              <w:rPr>
                <w:rFonts w:hint="eastAsia" w:ascii="宋体" w:hAnsi="宋体" w:eastAsia="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针对本项目</w:t>
            </w:r>
            <w:r>
              <w:rPr>
                <w:rFonts w:hint="eastAsia" w:ascii="宋体" w:hAnsi="宋体" w:eastAsia="宋体" w:cs="宋体"/>
                <w:b w:val="0"/>
                <w:bCs/>
                <w:color w:val="auto"/>
                <w:sz w:val="21"/>
                <w:szCs w:val="21"/>
                <w:highlight w:val="none"/>
                <w:lang w:val="en-US" w:eastAsia="zh-CN"/>
              </w:rPr>
              <w:t>的</w:t>
            </w:r>
            <w:r>
              <w:rPr>
                <w:rFonts w:hint="eastAsia" w:ascii="宋体" w:hAnsi="宋体" w:cs="宋体"/>
                <w:snapToGrid w:val="0"/>
                <w:color w:val="auto"/>
                <w:spacing w:val="-4"/>
                <w:szCs w:val="21"/>
                <w:highlight w:val="none"/>
              </w:rPr>
              <w:t>重难点分析及解决方案</w:t>
            </w:r>
            <w:r>
              <w:rPr>
                <w:rFonts w:hint="eastAsia" w:ascii="宋体" w:hAnsi="宋体" w:cs="宋体"/>
                <w:snapToGrid w:val="0"/>
                <w:color w:val="auto"/>
                <w:spacing w:val="-4"/>
                <w:szCs w:val="21"/>
                <w:highlight w:val="none"/>
                <w:lang w:val="en-US" w:eastAsia="zh-CN"/>
              </w:rPr>
              <w:t>进</w:t>
            </w:r>
            <w:r>
              <w:rPr>
                <w:rFonts w:hint="eastAsia" w:ascii="宋体" w:hAnsi="宋体" w:eastAsia="宋体" w:cs="宋体"/>
                <w:snapToGrid w:val="0"/>
                <w:color w:val="auto"/>
                <w:spacing w:val="-4"/>
                <w:szCs w:val="21"/>
                <w:highlight w:val="none"/>
                <w:lang w:val="en-US" w:eastAsia="zh-CN"/>
              </w:rPr>
              <w:t>行评审</w:t>
            </w:r>
            <w:r>
              <w:rPr>
                <w:rFonts w:hint="eastAsia" w:ascii="宋体" w:hAnsi="宋体" w:cs="宋体"/>
                <w:snapToGrid w:val="0"/>
                <w:color w:val="auto"/>
                <w:spacing w:val="-4"/>
                <w:szCs w:val="21"/>
                <w:highlight w:val="none"/>
                <w:lang w:val="en-US" w:eastAsia="zh-CN"/>
              </w:rPr>
              <w:t>：</w:t>
            </w:r>
          </w:p>
          <w:p w14:paraId="615E09EF">
            <w:pPr>
              <w:keepNext w:val="0"/>
              <w:keepLines w:val="0"/>
              <w:pageBreakBefore w:val="0"/>
              <w:widowControl/>
              <w:kinsoku/>
              <w:wordWrap/>
              <w:overflowPunct/>
              <w:topLinePunct w:val="0"/>
              <w:autoSpaceDN/>
              <w:bidi w:val="0"/>
              <w:adjustRightInd w:val="0"/>
              <w:spacing w:line="288" w:lineRule="auto"/>
              <w:jc w:val="both"/>
              <w:rPr>
                <w:rFonts w:hint="eastAsia" w:ascii="宋体" w:hAnsi="宋体" w:eastAsia="宋体" w:cs="宋体"/>
                <w:snapToGrid w:val="0"/>
                <w:color w:val="auto"/>
                <w:spacing w:val="-4"/>
                <w:szCs w:val="21"/>
                <w:highlight w:val="none"/>
                <w:lang w:val="en-US" w:eastAsia="zh-CN"/>
              </w:rPr>
            </w:pPr>
            <w:r>
              <w:rPr>
                <w:rFonts w:hint="eastAsia" w:ascii="宋体" w:hAnsi="宋体" w:eastAsia="宋体" w:cs="宋体"/>
                <w:snapToGrid w:val="0"/>
                <w:color w:val="auto"/>
                <w:spacing w:val="-4"/>
                <w:szCs w:val="21"/>
                <w:highlight w:val="none"/>
                <w:lang w:val="en-US" w:eastAsia="zh-CN"/>
              </w:rPr>
              <w:t>重难点分析到位，有明确解决方案的得5分；</w:t>
            </w:r>
          </w:p>
          <w:p w14:paraId="64F5E10C">
            <w:pPr>
              <w:keepNext w:val="0"/>
              <w:keepLines w:val="0"/>
              <w:pageBreakBefore w:val="0"/>
              <w:widowControl/>
              <w:kinsoku/>
              <w:wordWrap/>
              <w:overflowPunct/>
              <w:topLinePunct w:val="0"/>
              <w:autoSpaceDN/>
              <w:bidi w:val="0"/>
              <w:adjustRightInd w:val="0"/>
              <w:spacing w:line="288" w:lineRule="auto"/>
              <w:jc w:val="both"/>
              <w:rPr>
                <w:rFonts w:hint="eastAsia" w:ascii="宋体" w:hAnsi="宋体" w:eastAsia="宋体" w:cs="宋体"/>
                <w:snapToGrid w:val="0"/>
                <w:color w:val="auto"/>
                <w:spacing w:val="-4"/>
                <w:szCs w:val="21"/>
                <w:highlight w:val="none"/>
                <w:lang w:val="en-US" w:eastAsia="zh-CN"/>
              </w:rPr>
            </w:pPr>
            <w:r>
              <w:rPr>
                <w:rFonts w:hint="eastAsia" w:ascii="宋体" w:hAnsi="宋体" w:eastAsia="宋体" w:cs="宋体"/>
                <w:snapToGrid w:val="0"/>
                <w:color w:val="auto"/>
                <w:spacing w:val="-4"/>
                <w:szCs w:val="21"/>
                <w:highlight w:val="none"/>
                <w:lang w:val="en-US" w:eastAsia="zh-CN"/>
              </w:rPr>
              <w:t>重难点分析欠到位，解决方案稍有欠缺的得3分；</w:t>
            </w:r>
          </w:p>
          <w:p w14:paraId="5F78656E">
            <w:pPr>
              <w:keepNext w:val="0"/>
              <w:keepLines w:val="0"/>
              <w:pageBreakBefore w:val="0"/>
              <w:widowControl/>
              <w:kinsoku/>
              <w:wordWrap/>
              <w:overflowPunct/>
              <w:topLinePunct w:val="0"/>
              <w:autoSpaceDN/>
              <w:bidi w:val="0"/>
              <w:adjustRightInd w:val="0"/>
              <w:spacing w:line="288" w:lineRule="auto"/>
              <w:jc w:val="both"/>
              <w:rPr>
                <w:rFonts w:hint="eastAsia" w:ascii="宋体" w:hAnsi="宋体" w:eastAsia="宋体" w:cs="宋体"/>
                <w:snapToGrid w:val="0"/>
                <w:color w:val="auto"/>
                <w:spacing w:val="-4"/>
                <w:szCs w:val="21"/>
                <w:highlight w:val="none"/>
                <w:lang w:val="en-US" w:eastAsia="zh-CN"/>
              </w:rPr>
            </w:pPr>
            <w:r>
              <w:rPr>
                <w:rFonts w:hint="eastAsia" w:ascii="宋体" w:hAnsi="宋体" w:eastAsia="宋体" w:cs="宋体"/>
                <w:snapToGrid w:val="0"/>
                <w:color w:val="auto"/>
                <w:spacing w:val="-4"/>
                <w:szCs w:val="21"/>
                <w:highlight w:val="none"/>
                <w:lang w:val="en-US" w:eastAsia="zh-CN"/>
              </w:rPr>
              <w:t>重难点分析不到位，解决方案欠缺的得1分；</w:t>
            </w:r>
          </w:p>
          <w:p w14:paraId="21CCF26D">
            <w:pPr>
              <w:keepNext w:val="0"/>
              <w:keepLines w:val="0"/>
              <w:pageBreakBefore w:val="0"/>
              <w:widowControl/>
              <w:kinsoku/>
              <w:wordWrap/>
              <w:overflowPunct/>
              <w:topLinePunct w:val="0"/>
              <w:autoSpaceDN/>
              <w:bidi w:val="0"/>
              <w:adjustRightInd w:val="0"/>
              <w:spacing w:line="288" w:lineRule="auto"/>
              <w:jc w:val="both"/>
              <w:rPr>
                <w:rFonts w:hint="default"/>
                <w:color w:val="auto"/>
                <w:highlight w:val="none"/>
                <w:lang w:val="en-US" w:eastAsia="zh-CN"/>
              </w:rPr>
            </w:pPr>
            <w:r>
              <w:rPr>
                <w:rFonts w:hint="eastAsia" w:ascii="宋体" w:hAnsi="宋体" w:eastAsia="宋体" w:cs="宋体"/>
                <w:snapToGrid w:val="0"/>
                <w:color w:val="auto"/>
                <w:spacing w:val="-4"/>
                <w:szCs w:val="21"/>
                <w:highlight w:val="none"/>
                <w:lang w:val="en-US" w:eastAsia="zh-CN"/>
              </w:rPr>
              <w:t>无重难点分析和解决方案的不得分。</w:t>
            </w:r>
          </w:p>
        </w:tc>
        <w:tc>
          <w:tcPr>
            <w:tcW w:w="674" w:type="dxa"/>
            <w:tcBorders>
              <w:top w:val="single" w:color="auto" w:sz="4" w:space="0"/>
              <w:left w:val="single" w:color="auto" w:sz="4" w:space="0"/>
              <w:bottom w:val="single" w:color="auto" w:sz="4" w:space="0"/>
              <w:right w:val="single" w:color="auto" w:sz="2" w:space="0"/>
            </w:tcBorders>
            <w:noWrap w:val="0"/>
            <w:vAlign w:val="center"/>
          </w:tcPr>
          <w:p w14:paraId="2E1B3B26">
            <w:pPr>
              <w:keepNext w:val="0"/>
              <w:keepLines w:val="0"/>
              <w:pageBreakBefore w:val="0"/>
              <w:kinsoku/>
              <w:wordWrap/>
              <w:overflowPunct/>
              <w:topLinePunct w:val="0"/>
              <w:autoSpaceDN/>
              <w:bidi w:val="0"/>
              <w:adjustRightInd w:val="0"/>
              <w:spacing w:line="288"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735" w:type="dxa"/>
            <w:tcBorders>
              <w:top w:val="single" w:color="auto" w:sz="4" w:space="0"/>
              <w:left w:val="single" w:color="auto" w:sz="4" w:space="0"/>
              <w:bottom w:val="single" w:color="auto" w:sz="4" w:space="0"/>
              <w:right w:val="single" w:color="auto" w:sz="2" w:space="0"/>
            </w:tcBorders>
            <w:noWrap w:val="0"/>
            <w:vAlign w:val="center"/>
          </w:tcPr>
          <w:p w14:paraId="24A8870F">
            <w:pPr>
              <w:keepNext w:val="0"/>
              <w:keepLines w:val="0"/>
              <w:pageBreakBefore w:val="0"/>
              <w:kinsoku/>
              <w:wordWrap/>
              <w:overflowPunct/>
              <w:topLinePunct w:val="0"/>
              <w:autoSpaceDN/>
              <w:bidi w:val="0"/>
              <w:adjustRightInd w:val="0"/>
              <w:spacing w:line="288" w:lineRule="auto"/>
              <w:jc w:val="center"/>
              <w:rPr>
                <w:rFonts w:hint="eastAsia" w:ascii="宋体" w:hAnsi="宋体" w:cs="宋体"/>
                <w:snapToGrid w:val="0"/>
                <w:color w:val="auto"/>
                <w:spacing w:val="-4"/>
                <w:szCs w:val="21"/>
                <w:highlight w:val="none"/>
              </w:rPr>
            </w:pPr>
            <w:r>
              <w:rPr>
                <w:rFonts w:hint="eastAsia" w:ascii="宋体" w:hAnsi="宋体" w:cs="宋体"/>
                <w:snapToGrid w:val="0"/>
                <w:color w:val="auto"/>
                <w:spacing w:val="-4"/>
                <w:szCs w:val="21"/>
                <w:highlight w:val="none"/>
              </w:rPr>
              <w:t>主观评审</w:t>
            </w:r>
          </w:p>
        </w:tc>
      </w:tr>
      <w:tr w14:paraId="36D6F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834" w:type="dxa"/>
            <w:vMerge w:val="continue"/>
            <w:tcBorders>
              <w:left w:val="single" w:color="auto" w:sz="4" w:space="0"/>
              <w:right w:val="single" w:color="auto" w:sz="2" w:space="0"/>
            </w:tcBorders>
            <w:noWrap w:val="0"/>
            <w:vAlign w:val="center"/>
          </w:tcPr>
          <w:p w14:paraId="52C529B6">
            <w:pPr>
              <w:keepNext w:val="0"/>
              <w:keepLines w:val="0"/>
              <w:pageBreakBefore w:val="0"/>
              <w:widowControl/>
              <w:kinsoku/>
              <w:wordWrap/>
              <w:overflowPunct/>
              <w:topLinePunct w:val="0"/>
              <w:autoSpaceDN/>
              <w:bidi w:val="0"/>
              <w:adjustRightInd w:val="0"/>
              <w:spacing w:line="288" w:lineRule="auto"/>
              <w:jc w:val="left"/>
              <w:rPr>
                <w:rFonts w:hint="eastAsia" w:ascii="宋体" w:hAnsi="宋体" w:cs="宋体"/>
                <w:snapToGrid w:val="0"/>
                <w:color w:val="auto"/>
                <w:spacing w:val="-4"/>
                <w:szCs w:val="21"/>
                <w:highlight w:val="none"/>
              </w:rPr>
            </w:pPr>
          </w:p>
        </w:tc>
        <w:tc>
          <w:tcPr>
            <w:tcW w:w="1598" w:type="dxa"/>
            <w:tcBorders>
              <w:left w:val="single" w:color="auto" w:sz="4" w:space="0"/>
              <w:right w:val="single" w:color="auto" w:sz="2" w:space="0"/>
            </w:tcBorders>
            <w:noWrap w:val="0"/>
            <w:vAlign w:val="center"/>
          </w:tcPr>
          <w:p w14:paraId="3892B9F4">
            <w:pPr>
              <w:keepNext w:val="0"/>
              <w:keepLines w:val="0"/>
              <w:pageBreakBefore w:val="0"/>
              <w:widowControl/>
              <w:kinsoku/>
              <w:wordWrap/>
              <w:overflowPunct/>
              <w:topLinePunct w:val="0"/>
              <w:autoSpaceDN/>
              <w:bidi w:val="0"/>
              <w:adjustRightInd w:val="0"/>
              <w:spacing w:line="288" w:lineRule="auto"/>
              <w:jc w:val="center"/>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服务便捷性</w:t>
            </w:r>
          </w:p>
          <w:p w14:paraId="704C11ED">
            <w:pPr>
              <w:keepNext w:val="0"/>
              <w:keepLines w:val="0"/>
              <w:pageBreakBefore w:val="0"/>
              <w:widowControl/>
              <w:kinsoku/>
              <w:wordWrap/>
              <w:overflowPunct/>
              <w:topLinePunct w:val="0"/>
              <w:autoSpaceDN/>
              <w:bidi w:val="0"/>
              <w:adjustRightInd w:val="0"/>
              <w:spacing w:line="288" w:lineRule="auto"/>
              <w:jc w:val="center"/>
              <w:rPr>
                <w:rFonts w:hint="eastAsia" w:ascii="宋体" w:hAnsi="宋体" w:eastAsia="宋体" w:cs="宋体"/>
                <w:color w:val="auto"/>
                <w:szCs w:val="21"/>
                <w:highlight w:val="none"/>
                <w:shd w:val="clear" w:color="auto" w:fill="auto"/>
                <w:lang w:val="en-US" w:eastAsia="zh-CN"/>
              </w:rPr>
            </w:pPr>
            <w:r>
              <w:rPr>
                <w:rFonts w:hint="eastAsia" w:ascii="宋体" w:hAnsi="宋体" w:cs="宋体"/>
                <w:color w:val="auto"/>
                <w:szCs w:val="21"/>
                <w:highlight w:val="none"/>
                <w:lang w:val="en-US" w:eastAsia="zh-CN" w:bidi="ar"/>
              </w:rPr>
              <w:t>（5分）</w:t>
            </w:r>
          </w:p>
        </w:tc>
        <w:tc>
          <w:tcPr>
            <w:tcW w:w="6271" w:type="dxa"/>
            <w:tcBorders>
              <w:top w:val="single" w:color="auto" w:sz="4" w:space="0"/>
              <w:left w:val="single" w:color="auto" w:sz="4" w:space="0"/>
              <w:right w:val="single" w:color="auto" w:sz="2" w:space="0"/>
            </w:tcBorders>
            <w:noWrap w:val="0"/>
            <w:vAlign w:val="center"/>
          </w:tcPr>
          <w:p w14:paraId="5586B5B2">
            <w:pPr>
              <w:keepNext w:val="0"/>
              <w:keepLines w:val="0"/>
              <w:pageBreakBefore w:val="0"/>
              <w:kinsoku/>
              <w:wordWrap/>
              <w:overflowPunct/>
              <w:topLinePunct w:val="0"/>
              <w:autoSpaceDE w:val="0"/>
              <w:autoSpaceDN/>
              <w:bidi w:val="0"/>
              <w:adjustRightInd w:val="0"/>
              <w:spacing w:line="288" w:lineRule="auto"/>
              <w:jc w:val="left"/>
              <w:textAlignment w:val="baseline"/>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根据供应商提供的服务便捷性说明、响应时间、应急情况响应方案</w:t>
            </w:r>
            <w:r>
              <w:rPr>
                <w:rFonts w:hint="eastAsia" w:ascii="宋体" w:hAnsi="宋体" w:cs="宋体"/>
                <w:color w:val="auto"/>
                <w:szCs w:val="21"/>
                <w:highlight w:val="none"/>
                <w:shd w:val="clear" w:color="auto" w:fill="auto"/>
                <w:lang w:val="en-US" w:eastAsia="zh-CN"/>
              </w:rPr>
              <w:t>、人员调配方案</w:t>
            </w:r>
            <w:r>
              <w:rPr>
                <w:rFonts w:hint="eastAsia" w:ascii="宋体" w:hAnsi="宋体" w:eastAsia="宋体" w:cs="宋体"/>
                <w:color w:val="auto"/>
                <w:szCs w:val="21"/>
                <w:highlight w:val="none"/>
                <w:shd w:val="clear" w:color="auto" w:fill="auto"/>
                <w:lang w:val="en-US" w:eastAsia="zh-CN"/>
              </w:rPr>
              <w:t>进行评</w:t>
            </w:r>
            <w:r>
              <w:rPr>
                <w:rFonts w:hint="eastAsia" w:ascii="宋体" w:hAnsi="宋体" w:cs="宋体"/>
                <w:color w:val="auto"/>
                <w:szCs w:val="21"/>
                <w:highlight w:val="none"/>
                <w:shd w:val="clear" w:color="auto" w:fill="auto"/>
                <w:lang w:val="en-US" w:eastAsia="zh-CN"/>
              </w:rPr>
              <w:t>审</w:t>
            </w:r>
            <w:r>
              <w:rPr>
                <w:rFonts w:hint="eastAsia" w:ascii="宋体" w:hAnsi="宋体" w:eastAsia="宋体" w:cs="宋体"/>
                <w:color w:val="auto"/>
                <w:szCs w:val="21"/>
                <w:highlight w:val="none"/>
                <w:shd w:val="clear" w:color="auto" w:fill="auto"/>
                <w:lang w:val="en-US" w:eastAsia="zh-CN"/>
              </w:rPr>
              <w:t>：</w:t>
            </w:r>
          </w:p>
          <w:p w14:paraId="016CB331">
            <w:pPr>
              <w:keepNext w:val="0"/>
              <w:keepLines w:val="0"/>
              <w:pageBreakBefore w:val="0"/>
              <w:kinsoku/>
              <w:wordWrap/>
              <w:overflowPunct/>
              <w:topLinePunct w:val="0"/>
              <w:autoSpaceDE w:val="0"/>
              <w:autoSpaceDN/>
              <w:bidi w:val="0"/>
              <w:adjustRightInd w:val="0"/>
              <w:spacing w:line="288" w:lineRule="auto"/>
              <w:jc w:val="left"/>
              <w:textAlignment w:val="baseline"/>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服务便捷、响应快速</w:t>
            </w:r>
            <w:r>
              <w:rPr>
                <w:rFonts w:hint="eastAsia" w:ascii="宋体" w:hAnsi="宋体" w:cs="宋体"/>
                <w:color w:val="auto"/>
                <w:szCs w:val="21"/>
                <w:highlight w:val="none"/>
                <w:shd w:val="clear" w:color="auto" w:fill="auto"/>
                <w:lang w:val="en-US" w:eastAsia="zh-CN"/>
              </w:rPr>
              <w:t>、人员调配快速可行</w:t>
            </w:r>
            <w:r>
              <w:rPr>
                <w:rFonts w:hint="eastAsia" w:ascii="宋体" w:hAnsi="宋体" w:eastAsia="宋体" w:cs="宋体"/>
                <w:color w:val="auto"/>
                <w:szCs w:val="21"/>
                <w:highlight w:val="none"/>
                <w:shd w:val="clear" w:color="auto" w:fill="auto"/>
                <w:lang w:val="en-US" w:eastAsia="zh-CN"/>
              </w:rPr>
              <w:t>的得5分；</w:t>
            </w:r>
          </w:p>
          <w:p w14:paraId="613DED81">
            <w:pPr>
              <w:keepNext w:val="0"/>
              <w:keepLines w:val="0"/>
              <w:pageBreakBefore w:val="0"/>
              <w:kinsoku/>
              <w:wordWrap/>
              <w:overflowPunct/>
              <w:topLinePunct w:val="0"/>
              <w:autoSpaceDE w:val="0"/>
              <w:autoSpaceDN/>
              <w:bidi w:val="0"/>
              <w:adjustRightInd w:val="0"/>
              <w:spacing w:line="288" w:lineRule="auto"/>
              <w:jc w:val="left"/>
              <w:textAlignment w:val="baseline"/>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服务较便捷、响应较快速</w:t>
            </w:r>
            <w:r>
              <w:rPr>
                <w:rFonts w:hint="eastAsia" w:ascii="宋体" w:hAnsi="宋体" w:cs="宋体"/>
                <w:color w:val="auto"/>
                <w:szCs w:val="21"/>
                <w:highlight w:val="none"/>
                <w:shd w:val="clear" w:color="auto" w:fill="auto"/>
                <w:lang w:val="en-US" w:eastAsia="zh-CN"/>
              </w:rPr>
              <w:t>、人员调配较快速可行</w:t>
            </w:r>
            <w:r>
              <w:rPr>
                <w:rFonts w:hint="eastAsia" w:ascii="宋体" w:hAnsi="宋体" w:eastAsia="宋体" w:cs="宋体"/>
                <w:color w:val="auto"/>
                <w:szCs w:val="21"/>
                <w:highlight w:val="none"/>
                <w:shd w:val="clear" w:color="auto" w:fill="auto"/>
                <w:lang w:val="en-US" w:eastAsia="zh-CN"/>
              </w:rPr>
              <w:t xml:space="preserve">的得3分； </w:t>
            </w:r>
          </w:p>
          <w:p w14:paraId="389AF8AD">
            <w:pPr>
              <w:keepNext w:val="0"/>
              <w:keepLines w:val="0"/>
              <w:pageBreakBefore w:val="0"/>
              <w:kinsoku/>
              <w:wordWrap/>
              <w:overflowPunct/>
              <w:topLinePunct w:val="0"/>
              <w:autoSpaceDE w:val="0"/>
              <w:autoSpaceDN/>
              <w:bidi w:val="0"/>
              <w:adjustRightInd w:val="0"/>
              <w:spacing w:line="288" w:lineRule="auto"/>
              <w:jc w:val="left"/>
              <w:textAlignment w:val="baseline"/>
              <w:rPr>
                <w:rFonts w:hint="default"/>
                <w:color w:val="auto"/>
                <w:highlight w:val="none"/>
                <w:lang w:val="en-US"/>
              </w:rPr>
            </w:pPr>
            <w:r>
              <w:rPr>
                <w:rFonts w:hint="eastAsia" w:ascii="宋体" w:hAnsi="宋体" w:eastAsia="宋体" w:cs="宋体"/>
                <w:color w:val="auto"/>
                <w:szCs w:val="21"/>
                <w:highlight w:val="none"/>
                <w:shd w:val="clear" w:color="auto" w:fill="auto"/>
                <w:lang w:val="en-US" w:eastAsia="zh-CN"/>
              </w:rPr>
              <w:t>服务不便捷、响应不快速</w:t>
            </w:r>
            <w:r>
              <w:rPr>
                <w:rFonts w:hint="eastAsia" w:ascii="宋体" w:hAnsi="宋体" w:cs="宋体"/>
                <w:color w:val="auto"/>
                <w:szCs w:val="21"/>
                <w:highlight w:val="none"/>
                <w:shd w:val="clear" w:color="auto" w:fill="auto"/>
                <w:lang w:val="en-US" w:eastAsia="zh-CN"/>
              </w:rPr>
              <w:t>、人员调配缓慢</w:t>
            </w:r>
            <w:r>
              <w:rPr>
                <w:rFonts w:hint="eastAsia" w:ascii="宋体" w:hAnsi="宋体" w:eastAsia="宋体" w:cs="宋体"/>
                <w:color w:val="auto"/>
                <w:szCs w:val="21"/>
                <w:highlight w:val="none"/>
                <w:shd w:val="clear" w:color="auto" w:fill="auto"/>
                <w:lang w:val="en-US" w:eastAsia="zh-CN"/>
              </w:rPr>
              <w:t>的得1分</w:t>
            </w:r>
            <w:r>
              <w:rPr>
                <w:rFonts w:hint="eastAsia" w:ascii="宋体" w:hAnsi="宋体" w:cs="宋体"/>
                <w:color w:val="auto"/>
                <w:szCs w:val="21"/>
                <w:highlight w:val="none"/>
                <w:shd w:val="clear" w:color="auto" w:fill="auto"/>
                <w:lang w:val="en-US" w:eastAsia="zh-CN"/>
              </w:rPr>
              <w:t>。</w:t>
            </w:r>
          </w:p>
        </w:tc>
        <w:tc>
          <w:tcPr>
            <w:tcW w:w="674" w:type="dxa"/>
            <w:tcBorders>
              <w:top w:val="single" w:color="auto" w:sz="4" w:space="0"/>
              <w:left w:val="single" w:color="auto" w:sz="4" w:space="0"/>
              <w:bottom w:val="single" w:color="auto" w:sz="4" w:space="0"/>
              <w:right w:val="single" w:color="auto" w:sz="2" w:space="0"/>
            </w:tcBorders>
            <w:noWrap w:val="0"/>
            <w:vAlign w:val="center"/>
          </w:tcPr>
          <w:p w14:paraId="195DAE76">
            <w:pPr>
              <w:keepNext w:val="0"/>
              <w:keepLines w:val="0"/>
              <w:pageBreakBefore w:val="0"/>
              <w:kinsoku/>
              <w:wordWrap/>
              <w:overflowPunct/>
              <w:topLinePunct w:val="0"/>
              <w:autoSpaceDN/>
              <w:bidi w:val="0"/>
              <w:adjustRightInd w:val="0"/>
              <w:spacing w:line="288"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5</w:t>
            </w:r>
          </w:p>
        </w:tc>
        <w:tc>
          <w:tcPr>
            <w:tcW w:w="735" w:type="dxa"/>
            <w:tcBorders>
              <w:top w:val="single" w:color="auto" w:sz="4" w:space="0"/>
              <w:left w:val="single" w:color="auto" w:sz="4" w:space="0"/>
              <w:bottom w:val="single" w:color="auto" w:sz="4" w:space="0"/>
              <w:right w:val="single" w:color="auto" w:sz="2" w:space="0"/>
            </w:tcBorders>
            <w:noWrap w:val="0"/>
            <w:vAlign w:val="center"/>
          </w:tcPr>
          <w:p w14:paraId="15A60E7B">
            <w:pPr>
              <w:keepNext w:val="0"/>
              <w:keepLines w:val="0"/>
              <w:pageBreakBefore w:val="0"/>
              <w:kinsoku/>
              <w:wordWrap/>
              <w:overflowPunct/>
              <w:topLinePunct w:val="0"/>
              <w:autoSpaceDN/>
              <w:bidi w:val="0"/>
              <w:adjustRightInd w:val="0"/>
              <w:spacing w:line="288" w:lineRule="auto"/>
              <w:jc w:val="center"/>
              <w:rPr>
                <w:rFonts w:hint="eastAsia" w:ascii="宋体" w:hAnsi="宋体" w:eastAsia="宋体" w:cs="宋体"/>
                <w:snapToGrid w:val="0"/>
                <w:color w:val="auto"/>
                <w:spacing w:val="-4"/>
                <w:kern w:val="2"/>
                <w:sz w:val="21"/>
                <w:szCs w:val="21"/>
                <w:highlight w:val="none"/>
                <w:lang w:val="en-US" w:eastAsia="zh-CN" w:bidi="ar-SA"/>
              </w:rPr>
            </w:pPr>
            <w:r>
              <w:rPr>
                <w:rFonts w:hint="eastAsia" w:ascii="宋体" w:hAnsi="宋体" w:cs="宋体"/>
                <w:snapToGrid w:val="0"/>
                <w:color w:val="auto"/>
                <w:spacing w:val="-4"/>
                <w:szCs w:val="21"/>
                <w:highlight w:val="none"/>
              </w:rPr>
              <w:t>主观评审</w:t>
            </w:r>
          </w:p>
        </w:tc>
      </w:tr>
      <w:tr w14:paraId="6C6C1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834" w:type="dxa"/>
            <w:vMerge w:val="continue"/>
            <w:tcBorders>
              <w:left w:val="single" w:color="auto" w:sz="4" w:space="0"/>
              <w:right w:val="single" w:color="auto" w:sz="2" w:space="0"/>
            </w:tcBorders>
            <w:noWrap w:val="0"/>
            <w:vAlign w:val="center"/>
          </w:tcPr>
          <w:p w14:paraId="5FE336C8">
            <w:pPr>
              <w:keepNext w:val="0"/>
              <w:keepLines w:val="0"/>
              <w:pageBreakBefore w:val="0"/>
              <w:widowControl/>
              <w:kinsoku/>
              <w:wordWrap/>
              <w:overflowPunct/>
              <w:topLinePunct w:val="0"/>
              <w:autoSpaceDN/>
              <w:bidi w:val="0"/>
              <w:adjustRightInd w:val="0"/>
              <w:spacing w:line="288" w:lineRule="auto"/>
              <w:jc w:val="left"/>
              <w:rPr>
                <w:rFonts w:hint="eastAsia" w:ascii="宋体" w:hAnsi="宋体" w:cs="宋体"/>
                <w:snapToGrid w:val="0"/>
                <w:color w:val="auto"/>
                <w:spacing w:val="-4"/>
                <w:szCs w:val="21"/>
                <w:highlight w:val="none"/>
              </w:rPr>
            </w:pPr>
          </w:p>
        </w:tc>
        <w:tc>
          <w:tcPr>
            <w:tcW w:w="1598" w:type="dxa"/>
            <w:tcBorders>
              <w:top w:val="single" w:color="auto" w:sz="4" w:space="0"/>
              <w:left w:val="single" w:color="auto" w:sz="4" w:space="0"/>
              <w:right w:val="single" w:color="auto" w:sz="2" w:space="0"/>
            </w:tcBorders>
            <w:noWrap w:val="0"/>
            <w:vAlign w:val="center"/>
          </w:tcPr>
          <w:p w14:paraId="09952010">
            <w:pPr>
              <w:keepNext w:val="0"/>
              <w:keepLines w:val="0"/>
              <w:pageBreakBefore w:val="0"/>
              <w:widowControl/>
              <w:kinsoku/>
              <w:wordWrap/>
              <w:overflowPunct/>
              <w:topLinePunct w:val="0"/>
              <w:autoSpaceDN/>
              <w:bidi w:val="0"/>
              <w:adjustRightInd w:val="0"/>
              <w:spacing w:line="288" w:lineRule="auto"/>
              <w:jc w:val="center"/>
              <w:rPr>
                <w:rFonts w:hint="eastAsia" w:ascii="宋体" w:hAnsi="宋体" w:cs="宋体"/>
                <w:snapToGrid w:val="0"/>
                <w:color w:val="auto"/>
                <w:spacing w:val="-4"/>
                <w:szCs w:val="21"/>
                <w:highlight w:val="none"/>
              </w:rPr>
            </w:pPr>
            <w:r>
              <w:rPr>
                <w:rFonts w:hint="eastAsia" w:ascii="宋体" w:hAnsi="宋体" w:cs="宋体"/>
                <w:snapToGrid w:val="0"/>
                <w:color w:val="auto"/>
                <w:spacing w:val="-4"/>
                <w:szCs w:val="21"/>
                <w:highlight w:val="none"/>
              </w:rPr>
              <w:t>人员招聘和人力资源保障方案</w:t>
            </w:r>
            <w:r>
              <w:rPr>
                <w:rFonts w:hint="eastAsia" w:ascii="宋体" w:hAnsi="宋体" w:cs="宋体"/>
                <w:color w:val="auto"/>
                <w:szCs w:val="21"/>
                <w:highlight w:val="none"/>
                <w:lang w:val="en-US" w:eastAsia="zh-CN" w:bidi="ar"/>
              </w:rPr>
              <w:t>（3分）</w:t>
            </w:r>
          </w:p>
        </w:tc>
        <w:tc>
          <w:tcPr>
            <w:tcW w:w="6271" w:type="dxa"/>
            <w:tcBorders>
              <w:top w:val="single" w:color="auto" w:sz="4" w:space="0"/>
              <w:left w:val="single" w:color="auto" w:sz="4" w:space="0"/>
              <w:right w:val="single" w:color="auto" w:sz="2" w:space="0"/>
            </w:tcBorders>
            <w:noWrap w:val="0"/>
            <w:vAlign w:val="center"/>
          </w:tcPr>
          <w:p w14:paraId="031F5798">
            <w:pPr>
              <w:keepNext w:val="0"/>
              <w:keepLines w:val="0"/>
              <w:pageBreakBefore w:val="0"/>
              <w:widowControl/>
              <w:kinsoku/>
              <w:wordWrap/>
              <w:overflowPunct/>
              <w:topLinePunct w:val="0"/>
              <w:autoSpaceDN/>
              <w:bidi w:val="0"/>
              <w:adjustRightInd w:val="0"/>
              <w:spacing w:line="288" w:lineRule="auto"/>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根据</w:t>
            </w:r>
            <w:r>
              <w:rPr>
                <w:rFonts w:hint="eastAsia" w:ascii="宋体" w:hAnsi="宋体" w:cs="宋体"/>
                <w:snapToGrid w:val="0"/>
                <w:color w:val="auto"/>
                <w:spacing w:val="-4"/>
                <w:szCs w:val="21"/>
                <w:highlight w:val="none"/>
                <w:lang w:eastAsia="zh-CN"/>
              </w:rPr>
              <w:t>供应商</w:t>
            </w:r>
            <w:r>
              <w:rPr>
                <w:rFonts w:hint="eastAsia" w:ascii="宋体" w:hAnsi="宋体" w:cs="宋体"/>
                <w:snapToGrid w:val="0"/>
                <w:color w:val="auto"/>
                <w:spacing w:val="-4"/>
                <w:szCs w:val="21"/>
                <w:highlight w:val="none"/>
              </w:rPr>
              <w:t>针对本项目</w:t>
            </w:r>
            <w:r>
              <w:rPr>
                <w:rFonts w:hint="eastAsia" w:ascii="宋体" w:hAnsi="宋体" w:cs="宋体"/>
                <w:color w:val="auto"/>
                <w:szCs w:val="21"/>
                <w:highlight w:val="none"/>
              </w:rPr>
              <w:t>人员招聘方案（包括人员招聘计划详细、招聘范围合理、招聘原则规范、招聘需求与分析可行）</w:t>
            </w:r>
            <w:r>
              <w:rPr>
                <w:rFonts w:hint="eastAsia" w:ascii="宋体" w:hAnsi="宋体" w:cs="宋体"/>
                <w:color w:val="auto"/>
                <w:szCs w:val="21"/>
                <w:highlight w:val="none"/>
                <w:lang w:val="en-US" w:eastAsia="zh-CN"/>
              </w:rPr>
              <w:t>和</w:t>
            </w:r>
            <w:r>
              <w:rPr>
                <w:rFonts w:hint="eastAsia" w:ascii="宋体" w:hAnsi="宋体" w:cs="宋体"/>
                <w:color w:val="auto"/>
                <w:szCs w:val="21"/>
                <w:highlight w:val="none"/>
              </w:rPr>
              <w:t>人力资源保障方案（包括人员配置渠道合理、人力资源支撑可持续）进行评审</w:t>
            </w:r>
            <w:r>
              <w:rPr>
                <w:rFonts w:hint="eastAsia" w:ascii="宋体" w:hAnsi="宋体" w:cs="宋体"/>
                <w:color w:val="auto"/>
                <w:szCs w:val="21"/>
                <w:highlight w:val="none"/>
                <w:lang w:eastAsia="zh-CN"/>
              </w:rPr>
              <w:t>：</w:t>
            </w:r>
          </w:p>
          <w:p w14:paraId="1A12324D">
            <w:pPr>
              <w:keepNext w:val="0"/>
              <w:keepLines w:val="0"/>
              <w:pageBreakBefore w:val="0"/>
              <w:widowControl/>
              <w:kinsoku/>
              <w:wordWrap/>
              <w:overflowPunct/>
              <w:topLinePunct w:val="0"/>
              <w:autoSpaceDN/>
              <w:bidi w:val="0"/>
              <w:adjustRightInd w:val="0"/>
              <w:spacing w:line="288" w:lineRule="auto"/>
              <w:jc w:val="left"/>
              <w:rPr>
                <w:rFonts w:hint="eastAsia" w:ascii="宋体" w:hAnsi="宋体" w:cs="宋体"/>
                <w:snapToGrid w:val="0"/>
                <w:color w:val="auto"/>
                <w:spacing w:val="-4"/>
                <w:szCs w:val="21"/>
                <w:highlight w:val="none"/>
              </w:rPr>
            </w:pPr>
            <w:r>
              <w:rPr>
                <w:rFonts w:hint="eastAsia" w:ascii="宋体" w:hAnsi="宋体" w:cs="宋体"/>
                <w:color w:val="auto"/>
                <w:szCs w:val="21"/>
                <w:highlight w:val="none"/>
              </w:rPr>
              <w:t>进行评审</w:t>
            </w:r>
            <w:r>
              <w:rPr>
                <w:rFonts w:hint="eastAsia" w:ascii="宋体" w:hAnsi="宋体" w:cs="宋体"/>
                <w:snapToGrid w:val="0"/>
                <w:color w:val="auto"/>
                <w:spacing w:val="-4"/>
                <w:szCs w:val="21"/>
                <w:highlight w:val="none"/>
              </w:rPr>
              <w:t>：</w:t>
            </w:r>
          </w:p>
          <w:p w14:paraId="0D1CE920">
            <w:pPr>
              <w:keepNext w:val="0"/>
              <w:keepLines w:val="0"/>
              <w:pageBreakBefore w:val="0"/>
              <w:widowControl/>
              <w:kinsoku/>
              <w:wordWrap/>
              <w:overflowPunct/>
              <w:topLinePunct w:val="0"/>
              <w:autoSpaceDN/>
              <w:bidi w:val="0"/>
              <w:adjustRightInd w:val="0"/>
              <w:spacing w:line="288" w:lineRule="auto"/>
              <w:jc w:val="left"/>
              <w:rPr>
                <w:rFonts w:hint="eastAsia" w:ascii="宋体" w:hAnsi="宋体" w:cs="宋体"/>
                <w:color w:val="auto"/>
                <w:szCs w:val="21"/>
                <w:highlight w:val="none"/>
              </w:rPr>
            </w:pPr>
            <w:r>
              <w:rPr>
                <w:rFonts w:hint="eastAsia" w:ascii="宋体" w:hAnsi="宋体" w:cs="宋体"/>
                <w:color w:val="auto"/>
                <w:szCs w:val="21"/>
                <w:highlight w:val="none"/>
              </w:rPr>
              <w:t>人员招聘方案</w:t>
            </w:r>
            <w:r>
              <w:rPr>
                <w:rFonts w:hint="eastAsia" w:ascii="宋体" w:hAnsi="宋体" w:cs="宋体"/>
                <w:color w:val="auto"/>
                <w:szCs w:val="21"/>
                <w:highlight w:val="none"/>
                <w:lang w:val="en-US" w:eastAsia="zh-CN"/>
              </w:rPr>
              <w:t>和</w:t>
            </w:r>
            <w:r>
              <w:rPr>
                <w:rFonts w:hint="eastAsia" w:ascii="宋体" w:hAnsi="宋体" w:cs="宋体"/>
                <w:color w:val="auto"/>
                <w:szCs w:val="21"/>
                <w:highlight w:val="none"/>
              </w:rPr>
              <w:t>人力资源保障方案详细、合理、规范、可行</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可持续的得3分</w:t>
            </w:r>
            <w:r>
              <w:rPr>
                <w:rFonts w:hint="eastAsia" w:ascii="宋体" w:hAnsi="宋体" w:cs="宋体"/>
                <w:color w:val="auto"/>
                <w:szCs w:val="21"/>
                <w:highlight w:val="none"/>
              </w:rPr>
              <w:t>；</w:t>
            </w:r>
          </w:p>
          <w:p w14:paraId="68CA03C5">
            <w:pPr>
              <w:keepNext w:val="0"/>
              <w:keepLines w:val="0"/>
              <w:pageBreakBefore w:val="0"/>
              <w:widowControl/>
              <w:kinsoku/>
              <w:wordWrap/>
              <w:overflowPunct/>
              <w:topLinePunct w:val="0"/>
              <w:autoSpaceDN/>
              <w:bidi w:val="0"/>
              <w:adjustRightInd w:val="0"/>
              <w:spacing w:line="288" w:lineRule="auto"/>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人员招聘方案</w:t>
            </w:r>
            <w:r>
              <w:rPr>
                <w:rFonts w:hint="eastAsia" w:ascii="宋体" w:hAnsi="宋体" w:cs="宋体"/>
                <w:color w:val="auto"/>
                <w:szCs w:val="21"/>
                <w:highlight w:val="none"/>
                <w:lang w:val="en-US" w:eastAsia="zh-CN"/>
              </w:rPr>
              <w:t>和</w:t>
            </w:r>
            <w:r>
              <w:rPr>
                <w:rFonts w:hint="eastAsia" w:ascii="宋体" w:hAnsi="宋体" w:cs="宋体"/>
                <w:color w:val="auto"/>
                <w:szCs w:val="21"/>
                <w:highlight w:val="none"/>
              </w:rPr>
              <w:t>人力资源保障方案</w:t>
            </w:r>
            <w:r>
              <w:rPr>
                <w:rFonts w:hint="eastAsia" w:ascii="宋体" w:hAnsi="宋体" w:cs="宋体"/>
                <w:color w:val="auto"/>
                <w:szCs w:val="21"/>
                <w:highlight w:val="none"/>
                <w:lang w:val="en-US" w:eastAsia="zh-CN"/>
              </w:rPr>
              <w:t>较</w:t>
            </w:r>
            <w:r>
              <w:rPr>
                <w:rFonts w:hint="eastAsia" w:ascii="宋体" w:hAnsi="宋体" w:cs="宋体"/>
                <w:color w:val="auto"/>
                <w:szCs w:val="21"/>
                <w:highlight w:val="none"/>
              </w:rPr>
              <w:t>详细、</w:t>
            </w:r>
            <w:r>
              <w:rPr>
                <w:rFonts w:hint="eastAsia" w:ascii="宋体" w:hAnsi="宋体" w:cs="宋体"/>
                <w:color w:val="auto"/>
                <w:szCs w:val="21"/>
                <w:highlight w:val="none"/>
                <w:lang w:val="en-US" w:eastAsia="zh-CN"/>
              </w:rPr>
              <w:t>较</w:t>
            </w:r>
            <w:r>
              <w:rPr>
                <w:rFonts w:hint="eastAsia" w:ascii="宋体" w:hAnsi="宋体" w:cs="宋体"/>
                <w:color w:val="auto"/>
                <w:szCs w:val="21"/>
                <w:highlight w:val="none"/>
              </w:rPr>
              <w:t>合理、</w:t>
            </w:r>
            <w:r>
              <w:rPr>
                <w:rFonts w:hint="eastAsia" w:ascii="宋体" w:hAnsi="宋体" w:cs="宋体"/>
                <w:color w:val="auto"/>
                <w:szCs w:val="21"/>
                <w:highlight w:val="none"/>
                <w:lang w:val="en-US" w:eastAsia="zh-CN"/>
              </w:rPr>
              <w:t>较</w:t>
            </w:r>
            <w:r>
              <w:rPr>
                <w:rFonts w:hint="eastAsia" w:ascii="宋体" w:hAnsi="宋体" w:cs="宋体"/>
                <w:color w:val="auto"/>
                <w:szCs w:val="21"/>
                <w:highlight w:val="none"/>
              </w:rPr>
              <w:t>规范、</w:t>
            </w:r>
            <w:r>
              <w:rPr>
                <w:rFonts w:hint="eastAsia" w:ascii="宋体" w:hAnsi="宋体" w:cs="宋体"/>
                <w:color w:val="auto"/>
                <w:szCs w:val="21"/>
                <w:highlight w:val="none"/>
                <w:lang w:val="en-US" w:eastAsia="zh-CN"/>
              </w:rPr>
              <w:t>较</w:t>
            </w:r>
            <w:r>
              <w:rPr>
                <w:rFonts w:hint="eastAsia" w:ascii="宋体" w:hAnsi="宋体" w:cs="宋体"/>
                <w:color w:val="auto"/>
                <w:szCs w:val="21"/>
                <w:highlight w:val="none"/>
              </w:rPr>
              <w:t>可行</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en-US" w:eastAsia="zh-CN"/>
              </w:rPr>
              <w:t>较持续的得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分；</w:t>
            </w:r>
          </w:p>
          <w:p w14:paraId="3ABBB5ED">
            <w:pPr>
              <w:keepNext w:val="0"/>
              <w:keepLines w:val="0"/>
              <w:pageBreakBefore w:val="0"/>
              <w:widowControl/>
              <w:kinsoku/>
              <w:wordWrap/>
              <w:overflowPunct/>
              <w:topLinePunct w:val="0"/>
              <w:autoSpaceDN/>
              <w:bidi w:val="0"/>
              <w:adjustRightInd w:val="0"/>
              <w:spacing w:line="288"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人员招聘方案和人力资源保障方案不详细、不合理、不规范、不可行，不持续的得1分；</w:t>
            </w:r>
          </w:p>
          <w:p w14:paraId="4E35D413">
            <w:pPr>
              <w:keepNext w:val="0"/>
              <w:keepLines w:val="0"/>
              <w:pageBreakBefore w:val="0"/>
              <w:widowControl/>
              <w:kinsoku/>
              <w:wordWrap/>
              <w:overflowPunct/>
              <w:topLinePunct w:val="0"/>
              <w:autoSpaceDN/>
              <w:bidi w:val="0"/>
              <w:adjustRightInd w:val="0"/>
              <w:spacing w:line="288" w:lineRule="auto"/>
              <w:jc w:val="left"/>
              <w:rPr>
                <w:rFonts w:hint="default" w:eastAsia="宋体"/>
                <w:color w:val="auto"/>
                <w:highlight w:val="none"/>
                <w:lang w:val="en-US" w:eastAsia="zh-CN"/>
              </w:rPr>
            </w:pPr>
            <w:r>
              <w:rPr>
                <w:rFonts w:hint="eastAsia" w:ascii="宋体" w:hAnsi="宋体" w:cs="宋体"/>
                <w:color w:val="auto"/>
                <w:szCs w:val="21"/>
                <w:highlight w:val="none"/>
                <w:lang w:val="en-US" w:eastAsia="zh-CN"/>
              </w:rPr>
              <w:t>无</w:t>
            </w:r>
            <w:r>
              <w:rPr>
                <w:rFonts w:hint="eastAsia" w:ascii="宋体" w:hAnsi="宋体" w:eastAsia="宋体" w:cs="宋体"/>
                <w:color w:val="auto"/>
                <w:szCs w:val="21"/>
                <w:highlight w:val="none"/>
                <w:lang w:val="en-US" w:eastAsia="zh-CN"/>
              </w:rPr>
              <w:t>人员招聘方案和人力资源保障方案的不得分。</w:t>
            </w:r>
          </w:p>
        </w:tc>
        <w:tc>
          <w:tcPr>
            <w:tcW w:w="674" w:type="dxa"/>
            <w:tcBorders>
              <w:top w:val="single" w:color="auto" w:sz="4" w:space="0"/>
              <w:left w:val="single" w:color="auto" w:sz="4" w:space="0"/>
              <w:bottom w:val="single" w:color="auto" w:sz="4" w:space="0"/>
              <w:right w:val="single" w:color="auto" w:sz="2" w:space="0"/>
            </w:tcBorders>
            <w:noWrap w:val="0"/>
            <w:vAlign w:val="center"/>
          </w:tcPr>
          <w:p w14:paraId="4CE2927A">
            <w:pPr>
              <w:keepNext w:val="0"/>
              <w:keepLines w:val="0"/>
              <w:pageBreakBefore w:val="0"/>
              <w:kinsoku/>
              <w:wordWrap/>
              <w:overflowPunct/>
              <w:topLinePunct w:val="0"/>
              <w:autoSpaceDN/>
              <w:bidi w:val="0"/>
              <w:adjustRightInd w:val="0"/>
              <w:spacing w:line="288"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735" w:type="dxa"/>
            <w:tcBorders>
              <w:top w:val="single" w:color="auto" w:sz="4" w:space="0"/>
              <w:left w:val="single" w:color="auto" w:sz="4" w:space="0"/>
              <w:bottom w:val="single" w:color="auto" w:sz="4" w:space="0"/>
              <w:right w:val="single" w:color="auto" w:sz="2" w:space="0"/>
            </w:tcBorders>
            <w:noWrap w:val="0"/>
            <w:vAlign w:val="center"/>
          </w:tcPr>
          <w:p w14:paraId="25AFB544">
            <w:pPr>
              <w:keepNext w:val="0"/>
              <w:keepLines w:val="0"/>
              <w:pageBreakBefore w:val="0"/>
              <w:kinsoku/>
              <w:wordWrap/>
              <w:overflowPunct/>
              <w:topLinePunct w:val="0"/>
              <w:autoSpaceDN/>
              <w:bidi w:val="0"/>
              <w:adjustRightInd w:val="0"/>
              <w:spacing w:line="288" w:lineRule="auto"/>
              <w:jc w:val="center"/>
              <w:rPr>
                <w:rFonts w:hint="eastAsia" w:ascii="宋体" w:hAnsi="宋体" w:cs="宋体"/>
                <w:snapToGrid w:val="0"/>
                <w:color w:val="auto"/>
                <w:spacing w:val="-4"/>
                <w:szCs w:val="21"/>
                <w:highlight w:val="none"/>
              </w:rPr>
            </w:pPr>
            <w:r>
              <w:rPr>
                <w:rFonts w:hint="eastAsia" w:ascii="宋体" w:hAnsi="宋体" w:cs="宋体"/>
                <w:snapToGrid w:val="0"/>
                <w:color w:val="auto"/>
                <w:spacing w:val="-4"/>
                <w:szCs w:val="21"/>
                <w:highlight w:val="none"/>
              </w:rPr>
              <w:t>主观评审</w:t>
            </w:r>
          </w:p>
        </w:tc>
      </w:tr>
      <w:tr w14:paraId="5457C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34" w:type="dxa"/>
            <w:vMerge w:val="continue"/>
            <w:tcBorders>
              <w:left w:val="single" w:color="auto" w:sz="4" w:space="0"/>
              <w:right w:val="single" w:color="auto" w:sz="2" w:space="0"/>
            </w:tcBorders>
            <w:noWrap w:val="0"/>
            <w:vAlign w:val="center"/>
          </w:tcPr>
          <w:p w14:paraId="040C6388">
            <w:pPr>
              <w:keepNext w:val="0"/>
              <w:keepLines w:val="0"/>
              <w:pageBreakBefore w:val="0"/>
              <w:widowControl/>
              <w:kinsoku/>
              <w:wordWrap/>
              <w:overflowPunct/>
              <w:topLinePunct w:val="0"/>
              <w:autoSpaceDN/>
              <w:bidi w:val="0"/>
              <w:adjustRightInd w:val="0"/>
              <w:spacing w:line="288" w:lineRule="auto"/>
              <w:jc w:val="left"/>
              <w:rPr>
                <w:rFonts w:hint="eastAsia" w:ascii="宋体" w:hAnsi="宋体" w:cs="宋体"/>
                <w:snapToGrid w:val="0"/>
                <w:color w:val="auto"/>
                <w:spacing w:val="-4"/>
                <w:szCs w:val="21"/>
                <w:highlight w:val="none"/>
              </w:rPr>
            </w:pPr>
          </w:p>
        </w:tc>
        <w:tc>
          <w:tcPr>
            <w:tcW w:w="1598" w:type="dxa"/>
            <w:vMerge w:val="restart"/>
            <w:tcBorders>
              <w:left w:val="single" w:color="auto" w:sz="4" w:space="0"/>
              <w:right w:val="single" w:color="auto" w:sz="2" w:space="0"/>
            </w:tcBorders>
            <w:noWrap w:val="0"/>
            <w:vAlign w:val="center"/>
          </w:tcPr>
          <w:p w14:paraId="0AB74ACC">
            <w:pPr>
              <w:keepNext w:val="0"/>
              <w:keepLines w:val="0"/>
              <w:pageBreakBefore w:val="0"/>
              <w:widowControl/>
              <w:kinsoku/>
              <w:wordWrap/>
              <w:overflowPunct/>
              <w:topLinePunct w:val="0"/>
              <w:autoSpaceDN/>
              <w:bidi w:val="0"/>
              <w:adjustRightInd w:val="0"/>
              <w:spacing w:line="288" w:lineRule="auto"/>
              <w:jc w:val="center"/>
              <w:rPr>
                <w:rFonts w:hint="eastAsia" w:ascii="宋体" w:hAnsi="宋体" w:cs="宋体"/>
                <w:snapToGrid w:val="0"/>
                <w:color w:val="auto"/>
                <w:spacing w:val="-4"/>
                <w:szCs w:val="21"/>
                <w:highlight w:val="none"/>
                <w:lang w:val="en-US" w:eastAsia="zh-CN"/>
              </w:rPr>
            </w:pPr>
            <w:r>
              <w:rPr>
                <w:rFonts w:hint="eastAsia" w:ascii="宋体" w:hAnsi="宋体" w:cs="宋体"/>
                <w:snapToGrid w:val="0"/>
                <w:color w:val="auto"/>
                <w:spacing w:val="-4"/>
                <w:szCs w:val="21"/>
                <w:highlight w:val="none"/>
                <w:lang w:val="en-US" w:eastAsia="zh-CN"/>
              </w:rPr>
              <w:t>人员配备</w:t>
            </w:r>
          </w:p>
          <w:p w14:paraId="148013DE">
            <w:pPr>
              <w:keepNext w:val="0"/>
              <w:keepLines w:val="0"/>
              <w:pageBreakBefore w:val="0"/>
              <w:widowControl/>
              <w:kinsoku/>
              <w:wordWrap/>
              <w:overflowPunct/>
              <w:topLinePunct w:val="0"/>
              <w:autoSpaceDN/>
              <w:bidi w:val="0"/>
              <w:adjustRightInd w:val="0"/>
              <w:spacing w:line="288" w:lineRule="auto"/>
              <w:jc w:val="center"/>
              <w:rPr>
                <w:rFonts w:hint="default" w:ascii="宋体" w:hAnsi="宋体" w:cs="宋体"/>
                <w:snapToGrid w:val="0"/>
                <w:color w:val="auto"/>
                <w:spacing w:val="-4"/>
                <w:szCs w:val="21"/>
                <w:highlight w:val="none"/>
                <w:lang w:val="en-US" w:eastAsia="zh-CN"/>
              </w:rPr>
            </w:pPr>
            <w:r>
              <w:rPr>
                <w:rFonts w:hint="eastAsia" w:ascii="宋体" w:hAnsi="宋体" w:cs="宋体"/>
                <w:color w:val="auto"/>
                <w:szCs w:val="21"/>
                <w:highlight w:val="none"/>
                <w:lang w:val="en-US" w:eastAsia="zh-CN" w:bidi="ar"/>
              </w:rPr>
              <w:t>（13分）</w:t>
            </w:r>
          </w:p>
        </w:tc>
        <w:tc>
          <w:tcPr>
            <w:tcW w:w="6271" w:type="dxa"/>
            <w:tcBorders>
              <w:top w:val="single" w:color="auto" w:sz="4" w:space="0"/>
              <w:left w:val="single" w:color="auto" w:sz="4" w:space="0"/>
              <w:right w:val="single" w:color="auto" w:sz="2" w:space="0"/>
            </w:tcBorders>
            <w:noWrap w:val="0"/>
            <w:vAlign w:val="center"/>
          </w:tcPr>
          <w:p w14:paraId="74E8129B">
            <w:pPr>
              <w:keepNext w:val="0"/>
              <w:keepLines w:val="0"/>
              <w:pageBreakBefore w:val="0"/>
              <w:widowControl/>
              <w:kinsoku/>
              <w:wordWrap/>
              <w:overflowPunct/>
              <w:topLinePunct w:val="0"/>
              <w:autoSpaceDN/>
              <w:bidi w:val="0"/>
              <w:adjustRightInd w:val="0"/>
              <w:spacing w:line="288"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项目经理：</w:t>
            </w:r>
          </w:p>
          <w:p w14:paraId="22277F19">
            <w:pPr>
              <w:keepNext w:val="0"/>
              <w:keepLines w:val="0"/>
              <w:pageBreakBefore w:val="0"/>
              <w:widowControl/>
              <w:kinsoku/>
              <w:wordWrap/>
              <w:overflowPunct/>
              <w:topLinePunct w:val="0"/>
              <w:autoSpaceDN/>
              <w:bidi w:val="0"/>
              <w:adjustRightInd w:val="0"/>
              <w:spacing w:line="288"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拟投入本项目的项目经理年龄</w:t>
            </w:r>
            <w:r>
              <w:rPr>
                <w:rFonts w:hint="eastAsia" w:ascii="宋体" w:hAnsi="宋体" w:eastAsia="宋体" w:cs="宋体"/>
                <w:color w:val="auto"/>
                <w:sz w:val="21"/>
                <w:szCs w:val="21"/>
                <w:highlight w:val="none"/>
              </w:rPr>
              <w:t>45周岁及以下</w:t>
            </w:r>
            <w:r>
              <w:rPr>
                <w:rFonts w:hint="eastAsia" w:ascii="宋体" w:hAnsi="宋体" w:eastAsia="宋体" w:cs="宋体"/>
                <w:color w:val="auto"/>
                <w:sz w:val="21"/>
                <w:szCs w:val="21"/>
                <w:highlight w:val="none"/>
                <w:lang w:eastAsia="zh-CN"/>
              </w:rPr>
              <w:t>且</w:t>
            </w:r>
            <w:r>
              <w:rPr>
                <w:rFonts w:hint="eastAsia" w:ascii="宋体" w:hAnsi="宋体" w:eastAsia="宋体" w:cs="宋体"/>
                <w:color w:val="auto"/>
                <w:sz w:val="21"/>
                <w:szCs w:val="21"/>
                <w:highlight w:val="none"/>
              </w:rPr>
              <w:t>具有大专及以上学历的得1分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具有二级保安员（技师）</w:t>
            </w:r>
            <w:r>
              <w:rPr>
                <w:rFonts w:hint="eastAsia" w:ascii="宋体" w:hAnsi="宋体" w:eastAsia="宋体" w:cs="宋体"/>
                <w:color w:val="auto"/>
                <w:sz w:val="21"/>
                <w:szCs w:val="21"/>
                <w:highlight w:val="none"/>
                <w:lang w:val="en-US" w:eastAsia="zh-CN"/>
              </w:rPr>
              <w:t>及以上</w:t>
            </w:r>
            <w:r>
              <w:rPr>
                <w:rFonts w:hint="eastAsia" w:ascii="宋体" w:hAnsi="宋体" w:eastAsia="宋体" w:cs="宋体"/>
                <w:color w:val="auto"/>
                <w:sz w:val="21"/>
                <w:szCs w:val="21"/>
                <w:highlight w:val="none"/>
              </w:rPr>
              <w:t>职业资格证书的得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具有消防设操作员中级（四级）得</w:t>
            </w:r>
            <w:r>
              <w:rPr>
                <w:rFonts w:hint="eastAsia" w:ascii="宋体" w:hAnsi="宋体" w:eastAsia="宋体" w:cs="宋体"/>
                <w:color w:val="auto"/>
                <w:sz w:val="21"/>
                <w:szCs w:val="21"/>
                <w:highlight w:val="none"/>
                <w:lang w:val="en-US" w:eastAsia="zh-CN"/>
              </w:rPr>
              <w:t>2分。</w:t>
            </w:r>
          </w:p>
          <w:p w14:paraId="10A1C6B1">
            <w:pPr>
              <w:keepNext w:val="0"/>
              <w:keepLines w:val="0"/>
              <w:pageBreakBefore w:val="0"/>
              <w:widowControl/>
              <w:kinsoku/>
              <w:wordWrap/>
              <w:overflowPunct/>
              <w:topLinePunct w:val="0"/>
              <w:autoSpaceDN/>
              <w:bidi w:val="0"/>
              <w:adjustRightInd w:val="0"/>
              <w:spacing w:line="288" w:lineRule="auto"/>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注：投标文件中须提供身份证、学历证书、资格证书等证明材料复印件</w:t>
            </w:r>
            <w:r>
              <w:rPr>
                <w:rFonts w:hint="eastAsia" w:ascii="宋体" w:hAnsi="宋体" w:cs="宋体"/>
                <w:color w:val="auto"/>
                <w:sz w:val="21"/>
                <w:szCs w:val="21"/>
                <w:highlight w:val="none"/>
                <w:lang w:val="en-US" w:eastAsia="zh-CN"/>
              </w:rPr>
              <w:t>，并提供开标日前六个月内投标人为其缴纳的任意一个月的社保证明复印件，未提供社保证明的以上均不得分。</w:t>
            </w:r>
          </w:p>
        </w:tc>
        <w:tc>
          <w:tcPr>
            <w:tcW w:w="674" w:type="dxa"/>
            <w:tcBorders>
              <w:top w:val="single" w:color="auto" w:sz="4" w:space="0"/>
              <w:left w:val="single" w:color="auto" w:sz="4" w:space="0"/>
              <w:bottom w:val="single" w:color="auto" w:sz="4" w:space="0"/>
              <w:right w:val="single" w:color="auto" w:sz="2" w:space="0"/>
            </w:tcBorders>
            <w:noWrap w:val="0"/>
            <w:vAlign w:val="center"/>
          </w:tcPr>
          <w:p w14:paraId="17C3A4F9">
            <w:pPr>
              <w:keepNext w:val="0"/>
              <w:keepLines w:val="0"/>
              <w:pageBreakBefore w:val="0"/>
              <w:kinsoku/>
              <w:wordWrap/>
              <w:overflowPunct/>
              <w:topLinePunct w:val="0"/>
              <w:autoSpaceDN/>
              <w:bidi w:val="0"/>
              <w:adjustRightInd w:val="0"/>
              <w:spacing w:line="288"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735" w:type="dxa"/>
            <w:tcBorders>
              <w:top w:val="single" w:color="auto" w:sz="4" w:space="0"/>
              <w:left w:val="single" w:color="auto" w:sz="4" w:space="0"/>
              <w:bottom w:val="single" w:color="auto" w:sz="4" w:space="0"/>
              <w:right w:val="single" w:color="auto" w:sz="2" w:space="0"/>
            </w:tcBorders>
            <w:noWrap w:val="0"/>
            <w:vAlign w:val="center"/>
          </w:tcPr>
          <w:p w14:paraId="3B9B0AD0">
            <w:pPr>
              <w:keepNext w:val="0"/>
              <w:keepLines w:val="0"/>
              <w:pageBreakBefore w:val="0"/>
              <w:kinsoku/>
              <w:wordWrap/>
              <w:overflowPunct/>
              <w:topLinePunct w:val="0"/>
              <w:autoSpaceDN/>
              <w:bidi w:val="0"/>
              <w:adjustRightInd w:val="0"/>
              <w:spacing w:line="288" w:lineRule="auto"/>
              <w:jc w:val="center"/>
              <w:rPr>
                <w:rFonts w:hint="default" w:ascii="宋体" w:hAnsi="宋体" w:eastAsia="宋体" w:cs="宋体"/>
                <w:snapToGrid w:val="0"/>
                <w:color w:val="auto"/>
                <w:spacing w:val="-4"/>
                <w:szCs w:val="21"/>
                <w:highlight w:val="none"/>
                <w:lang w:val="en-US" w:eastAsia="zh-CN"/>
              </w:rPr>
            </w:pPr>
            <w:r>
              <w:rPr>
                <w:rFonts w:hint="eastAsia" w:ascii="宋体" w:hAnsi="宋体" w:cs="宋体"/>
                <w:snapToGrid w:val="0"/>
                <w:color w:val="auto"/>
                <w:spacing w:val="-4"/>
                <w:szCs w:val="21"/>
                <w:highlight w:val="none"/>
                <w:lang w:val="en-US" w:eastAsia="zh-CN"/>
              </w:rPr>
              <w:t>客观评审</w:t>
            </w:r>
          </w:p>
        </w:tc>
      </w:tr>
      <w:tr w14:paraId="576F6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34" w:type="dxa"/>
            <w:vMerge w:val="continue"/>
            <w:tcBorders>
              <w:left w:val="single" w:color="auto" w:sz="4" w:space="0"/>
              <w:right w:val="single" w:color="auto" w:sz="2" w:space="0"/>
            </w:tcBorders>
            <w:noWrap w:val="0"/>
            <w:vAlign w:val="center"/>
          </w:tcPr>
          <w:p w14:paraId="10F97350">
            <w:pPr>
              <w:keepNext w:val="0"/>
              <w:keepLines w:val="0"/>
              <w:pageBreakBefore w:val="0"/>
              <w:widowControl/>
              <w:kinsoku/>
              <w:wordWrap/>
              <w:overflowPunct/>
              <w:topLinePunct w:val="0"/>
              <w:autoSpaceDN/>
              <w:bidi w:val="0"/>
              <w:adjustRightInd w:val="0"/>
              <w:spacing w:line="288" w:lineRule="auto"/>
              <w:jc w:val="left"/>
              <w:rPr>
                <w:rFonts w:hint="eastAsia" w:ascii="宋体" w:hAnsi="宋体" w:cs="宋体"/>
                <w:snapToGrid w:val="0"/>
                <w:color w:val="auto"/>
                <w:spacing w:val="-4"/>
                <w:szCs w:val="21"/>
                <w:highlight w:val="none"/>
              </w:rPr>
            </w:pPr>
          </w:p>
        </w:tc>
        <w:tc>
          <w:tcPr>
            <w:tcW w:w="1598" w:type="dxa"/>
            <w:vMerge w:val="continue"/>
            <w:tcBorders>
              <w:left w:val="single" w:color="auto" w:sz="4" w:space="0"/>
              <w:right w:val="single" w:color="auto" w:sz="2" w:space="0"/>
            </w:tcBorders>
            <w:noWrap w:val="0"/>
            <w:vAlign w:val="center"/>
          </w:tcPr>
          <w:p w14:paraId="394EA882">
            <w:pPr>
              <w:keepNext w:val="0"/>
              <w:keepLines w:val="0"/>
              <w:pageBreakBefore w:val="0"/>
              <w:widowControl/>
              <w:kinsoku/>
              <w:wordWrap/>
              <w:overflowPunct/>
              <w:topLinePunct w:val="0"/>
              <w:autoSpaceDN/>
              <w:bidi w:val="0"/>
              <w:adjustRightInd w:val="0"/>
              <w:spacing w:line="288" w:lineRule="auto"/>
              <w:jc w:val="center"/>
              <w:rPr>
                <w:rFonts w:hint="eastAsia" w:ascii="宋体" w:hAnsi="宋体" w:cs="宋体"/>
                <w:color w:val="auto"/>
                <w:szCs w:val="21"/>
                <w:highlight w:val="none"/>
                <w:lang w:val="en-US" w:eastAsia="zh-CN" w:bidi="ar"/>
              </w:rPr>
            </w:pPr>
          </w:p>
        </w:tc>
        <w:tc>
          <w:tcPr>
            <w:tcW w:w="6271" w:type="dxa"/>
            <w:tcBorders>
              <w:top w:val="single" w:color="auto" w:sz="4" w:space="0"/>
              <w:left w:val="single" w:color="auto" w:sz="4" w:space="0"/>
              <w:right w:val="single" w:color="auto" w:sz="2" w:space="0"/>
            </w:tcBorders>
            <w:noWrap w:val="0"/>
            <w:vAlign w:val="center"/>
          </w:tcPr>
          <w:p w14:paraId="19B7EB78">
            <w:pPr>
              <w:keepNext w:val="0"/>
              <w:keepLines w:val="0"/>
              <w:pageBreakBefore w:val="0"/>
              <w:widowControl/>
              <w:kinsoku/>
              <w:wordWrap/>
              <w:overflowPunct/>
              <w:topLinePunct w:val="0"/>
              <w:autoSpaceDN/>
              <w:bidi w:val="0"/>
              <w:adjustRightInd w:val="0"/>
              <w:spacing w:line="288" w:lineRule="auto"/>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保安队长：</w:t>
            </w:r>
          </w:p>
          <w:p w14:paraId="05354035">
            <w:pPr>
              <w:keepNext w:val="0"/>
              <w:keepLines w:val="0"/>
              <w:pageBreakBefore w:val="0"/>
              <w:widowControl/>
              <w:kinsoku/>
              <w:wordWrap/>
              <w:overflowPunct/>
              <w:topLinePunct w:val="0"/>
              <w:autoSpaceDN/>
              <w:bidi w:val="0"/>
              <w:adjustRightInd w:val="0"/>
              <w:spacing w:line="288" w:lineRule="auto"/>
              <w:jc w:val="left"/>
              <w:rPr>
                <w:rFonts w:hint="eastAsia" w:ascii="宋体" w:hAnsi="宋体" w:cs="宋体"/>
                <w:color w:val="auto"/>
                <w:sz w:val="21"/>
                <w:szCs w:val="21"/>
                <w:highlight w:val="none"/>
                <w:lang w:val="en-US" w:eastAsia="zh-CN"/>
              </w:rPr>
            </w:pPr>
            <w:r>
              <w:rPr>
                <w:rFonts w:hint="eastAsia" w:ascii="宋体" w:hAnsi="宋体" w:eastAsia="宋体" w:cs="宋体"/>
                <w:b w:val="0"/>
                <w:color w:val="auto"/>
                <w:kern w:val="2"/>
                <w:sz w:val="21"/>
                <w:szCs w:val="21"/>
                <w:highlight w:val="none"/>
                <w:lang w:val="en-US" w:eastAsia="zh-CN" w:bidi="ar-SA"/>
              </w:rPr>
              <w:t>拟投入本项目的</w:t>
            </w:r>
            <w:r>
              <w:rPr>
                <w:rFonts w:hint="eastAsia" w:ascii="宋体" w:hAnsi="宋体" w:cs="宋体"/>
                <w:b w:val="0"/>
                <w:color w:val="auto"/>
                <w:kern w:val="2"/>
                <w:sz w:val="21"/>
                <w:szCs w:val="21"/>
                <w:highlight w:val="none"/>
                <w:lang w:val="en-US" w:eastAsia="zh-CN" w:bidi="ar-SA"/>
              </w:rPr>
              <w:t>保安队长退伍军人的得1分；</w:t>
            </w:r>
            <w:r>
              <w:rPr>
                <w:rFonts w:hint="eastAsia" w:ascii="宋体" w:hAnsi="宋体" w:eastAsia="宋体" w:cs="宋体"/>
                <w:b w:val="0"/>
                <w:color w:val="auto"/>
                <w:kern w:val="2"/>
                <w:sz w:val="21"/>
                <w:szCs w:val="21"/>
                <w:highlight w:val="none"/>
                <w:lang w:val="en-US" w:eastAsia="zh-CN" w:bidi="ar-SA"/>
              </w:rPr>
              <w:t>年龄</w:t>
            </w:r>
            <w:r>
              <w:rPr>
                <w:rFonts w:hint="eastAsia" w:ascii="宋体" w:hAnsi="宋体" w:cs="宋体"/>
                <w:b w:val="0"/>
                <w:color w:val="auto"/>
                <w:kern w:val="2"/>
                <w:sz w:val="21"/>
                <w:szCs w:val="21"/>
                <w:highlight w:val="none"/>
                <w:lang w:val="en-US" w:eastAsia="zh-CN" w:bidi="ar-SA"/>
              </w:rPr>
              <w:t>50</w:t>
            </w:r>
            <w:r>
              <w:rPr>
                <w:rFonts w:hint="eastAsia" w:ascii="宋体" w:hAnsi="宋体" w:eastAsia="宋体" w:cs="宋体"/>
                <w:b w:val="0"/>
                <w:color w:val="auto"/>
                <w:kern w:val="2"/>
                <w:sz w:val="21"/>
                <w:szCs w:val="21"/>
                <w:highlight w:val="none"/>
                <w:lang w:val="en-US" w:eastAsia="zh-CN" w:bidi="ar-SA"/>
              </w:rPr>
              <w:t>周岁及以下且具有大专及以上学历的得1分；</w:t>
            </w:r>
            <w:r>
              <w:rPr>
                <w:rFonts w:hint="eastAsia" w:ascii="宋体" w:hAnsi="宋体" w:cs="宋体"/>
                <w:color w:val="auto"/>
                <w:sz w:val="21"/>
                <w:szCs w:val="21"/>
                <w:highlight w:val="none"/>
                <w:lang w:val="en-US" w:eastAsia="zh-CN"/>
              </w:rPr>
              <w:t>具有消防设操作员中级（四级）得1</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p w14:paraId="235FA3AE">
            <w:pPr>
              <w:keepNext w:val="0"/>
              <w:keepLines w:val="0"/>
              <w:pageBreakBefore w:val="0"/>
              <w:widowControl/>
              <w:kinsoku/>
              <w:wordWrap/>
              <w:overflowPunct/>
              <w:topLinePunct w:val="0"/>
              <w:autoSpaceDN/>
              <w:bidi w:val="0"/>
              <w:adjustRightInd w:val="0"/>
              <w:spacing w:line="288" w:lineRule="auto"/>
              <w:jc w:val="left"/>
              <w:rPr>
                <w:rFonts w:hint="default"/>
                <w:color w:val="auto"/>
                <w:highlight w:val="none"/>
                <w:lang w:val="en-US" w:eastAsia="zh-CN"/>
              </w:rPr>
            </w:pPr>
            <w:r>
              <w:rPr>
                <w:rFonts w:hint="eastAsia" w:ascii="宋体" w:hAnsi="宋体" w:eastAsia="宋体" w:cs="宋体"/>
                <w:color w:val="auto"/>
                <w:sz w:val="21"/>
                <w:szCs w:val="21"/>
                <w:highlight w:val="none"/>
                <w:lang w:val="en-US" w:eastAsia="zh-CN"/>
              </w:rPr>
              <w:t>注：投标文件中须提供身份证、学历证书、资格证书等证明材料复印件</w:t>
            </w:r>
            <w:r>
              <w:rPr>
                <w:rFonts w:hint="eastAsia" w:ascii="宋体" w:hAnsi="宋体" w:cs="宋体"/>
                <w:color w:val="auto"/>
                <w:sz w:val="21"/>
                <w:szCs w:val="21"/>
                <w:highlight w:val="none"/>
                <w:lang w:val="en-US" w:eastAsia="zh-CN"/>
              </w:rPr>
              <w:t>，并提供开标日前六个月内投标人为其缴纳的任意一个月的社保证明复印件，未提供社保证明的以上均不得分。</w:t>
            </w:r>
          </w:p>
        </w:tc>
        <w:tc>
          <w:tcPr>
            <w:tcW w:w="674" w:type="dxa"/>
            <w:tcBorders>
              <w:top w:val="single" w:color="auto" w:sz="4" w:space="0"/>
              <w:left w:val="single" w:color="auto" w:sz="4" w:space="0"/>
              <w:bottom w:val="single" w:color="auto" w:sz="4" w:space="0"/>
              <w:right w:val="single" w:color="auto" w:sz="2" w:space="0"/>
            </w:tcBorders>
            <w:shd w:val="clear" w:color="auto" w:fill="auto"/>
            <w:noWrap w:val="0"/>
            <w:vAlign w:val="center"/>
          </w:tcPr>
          <w:p w14:paraId="1A7D1BFF">
            <w:pPr>
              <w:keepNext w:val="0"/>
              <w:keepLines w:val="0"/>
              <w:pageBreakBefore w:val="0"/>
              <w:kinsoku/>
              <w:wordWrap/>
              <w:overflowPunct/>
              <w:topLinePunct w:val="0"/>
              <w:autoSpaceDN/>
              <w:bidi w:val="0"/>
              <w:adjustRightInd w:val="0"/>
              <w:spacing w:line="288"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3</w:t>
            </w:r>
          </w:p>
        </w:tc>
        <w:tc>
          <w:tcPr>
            <w:tcW w:w="735" w:type="dxa"/>
            <w:tcBorders>
              <w:top w:val="single" w:color="auto" w:sz="4" w:space="0"/>
              <w:left w:val="single" w:color="auto" w:sz="4" w:space="0"/>
              <w:bottom w:val="single" w:color="auto" w:sz="4" w:space="0"/>
              <w:right w:val="single" w:color="auto" w:sz="2" w:space="0"/>
            </w:tcBorders>
            <w:shd w:val="clear" w:color="auto" w:fill="auto"/>
            <w:noWrap w:val="0"/>
            <w:vAlign w:val="center"/>
          </w:tcPr>
          <w:p w14:paraId="78502619">
            <w:pPr>
              <w:keepNext w:val="0"/>
              <w:keepLines w:val="0"/>
              <w:pageBreakBefore w:val="0"/>
              <w:kinsoku/>
              <w:wordWrap/>
              <w:overflowPunct/>
              <w:topLinePunct w:val="0"/>
              <w:autoSpaceDN/>
              <w:bidi w:val="0"/>
              <w:adjustRightInd w:val="0"/>
              <w:spacing w:line="288" w:lineRule="auto"/>
              <w:jc w:val="center"/>
              <w:rPr>
                <w:rFonts w:hint="eastAsia" w:ascii="宋体" w:hAnsi="宋体" w:eastAsia="宋体" w:cs="宋体"/>
                <w:snapToGrid w:val="0"/>
                <w:color w:val="auto"/>
                <w:spacing w:val="-4"/>
                <w:kern w:val="2"/>
                <w:sz w:val="21"/>
                <w:szCs w:val="21"/>
                <w:highlight w:val="none"/>
                <w:lang w:val="en-US" w:eastAsia="zh-CN" w:bidi="ar-SA"/>
              </w:rPr>
            </w:pPr>
            <w:r>
              <w:rPr>
                <w:rFonts w:hint="eastAsia" w:ascii="宋体" w:hAnsi="宋体" w:cs="宋体"/>
                <w:snapToGrid w:val="0"/>
                <w:color w:val="auto"/>
                <w:spacing w:val="-4"/>
                <w:szCs w:val="21"/>
                <w:highlight w:val="none"/>
              </w:rPr>
              <w:t>客观评审</w:t>
            </w:r>
          </w:p>
        </w:tc>
      </w:tr>
      <w:tr w14:paraId="0FF88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34" w:type="dxa"/>
            <w:vMerge w:val="continue"/>
            <w:tcBorders>
              <w:left w:val="single" w:color="auto" w:sz="4" w:space="0"/>
              <w:right w:val="single" w:color="auto" w:sz="2" w:space="0"/>
            </w:tcBorders>
            <w:noWrap w:val="0"/>
            <w:vAlign w:val="center"/>
          </w:tcPr>
          <w:p w14:paraId="03BBAF9E">
            <w:pPr>
              <w:keepNext w:val="0"/>
              <w:keepLines w:val="0"/>
              <w:pageBreakBefore w:val="0"/>
              <w:widowControl/>
              <w:kinsoku/>
              <w:wordWrap/>
              <w:overflowPunct/>
              <w:topLinePunct w:val="0"/>
              <w:autoSpaceDN/>
              <w:bidi w:val="0"/>
              <w:adjustRightInd w:val="0"/>
              <w:spacing w:line="288" w:lineRule="auto"/>
              <w:jc w:val="left"/>
              <w:rPr>
                <w:rFonts w:hint="eastAsia" w:ascii="宋体" w:hAnsi="宋体" w:cs="宋体"/>
                <w:snapToGrid w:val="0"/>
                <w:color w:val="auto"/>
                <w:spacing w:val="-4"/>
                <w:szCs w:val="21"/>
                <w:highlight w:val="none"/>
              </w:rPr>
            </w:pPr>
          </w:p>
        </w:tc>
        <w:tc>
          <w:tcPr>
            <w:tcW w:w="1598" w:type="dxa"/>
            <w:vMerge w:val="continue"/>
            <w:tcBorders>
              <w:left w:val="single" w:color="auto" w:sz="4" w:space="0"/>
              <w:right w:val="single" w:color="auto" w:sz="2" w:space="0"/>
            </w:tcBorders>
            <w:noWrap w:val="0"/>
            <w:vAlign w:val="center"/>
          </w:tcPr>
          <w:p w14:paraId="3F2C9C91">
            <w:pPr>
              <w:keepNext w:val="0"/>
              <w:keepLines w:val="0"/>
              <w:pageBreakBefore w:val="0"/>
              <w:widowControl/>
              <w:kinsoku/>
              <w:wordWrap/>
              <w:overflowPunct/>
              <w:topLinePunct w:val="0"/>
              <w:autoSpaceDN/>
              <w:bidi w:val="0"/>
              <w:adjustRightInd w:val="0"/>
              <w:spacing w:line="288" w:lineRule="auto"/>
              <w:jc w:val="center"/>
              <w:rPr>
                <w:rFonts w:hint="eastAsia" w:ascii="宋体" w:hAnsi="宋体" w:cs="宋体"/>
                <w:snapToGrid w:val="0"/>
                <w:color w:val="auto"/>
                <w:spacing w:val="-4"/>
                <w:szCs w:val="21"/>
                <w:highlight w:val="none"/>
                <w:lang w:val="en-US" w:eastAsia="zh-CN"/>
              </w:rPr>
            </w:pPr>
          </w:p>
        </w:tc>
        <w:tc>
          <w:tcPr>
            <w:tcW w:w="6271" w:type="dxa"/>
            <w:tcBorders>
              <w:top w:val="single" w:color="auto" w:sz="4" w:space="0"/>
              <w:left w:val="single" w:color="auto" w:sz="4" w:space="0"/>
              <w:right w:val="single" w:color="auto" w:sz="2" w:space="0"/>
            </w:tcBorders>
            <w:noWrap w:val="0"/>
            <w:vAlign w:val="center"/>
          </w:tcPr>
          <w:p w14:paraId="58F03430">
            <w:pPr>
              <w:keepNext w:val="0"/>
              <w:keepLines w:val="0"/>
              <w:pageBreakBefore w:val="0"/>
              <w:widowControl/>
              <w:kinsoku/>
              <w:wordWrap/>
              <w:overflowPunct/>
              <w:topLinePunct w:val="0"/>
              <w:autoSpaceDN/>
              <w:bidi w:val="0"/>
              <w:adjustRightInd w:val="0"/>
              <w:spacing w:line="288"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拟派服务团队成员（除项目经理外）：</w:t>
            </w:r>
          </w:p>
          <w:p w14:paraId="7BF1B2E2">
            <w:pPr>
              <w:keepNext w:val="0"/>
              <w:keepLines w:val="0"/>
              <w:pageBreakBefore w:val="0"/>
              <w:widowControl/>
              <w:kinsoku/>
              <w:wordWrap/>
              <w:overflowPunct/>
              <w:topLinePunct w:val="0"/>
              <w:autoSpaceDN/>
              <w:bidi w:val="0"/>
              <w:adjustRightInd w:val="0"/>
              <w:spacing w:line="288"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拟投入本项目的服务团队成员的年龄、经验情况进行评审：</w:t>
            </w:r>
          </w:p>
          <w:p w14:paraId="08559F74">
            <w:pPr>
              <w:keepNext w:val="0"/>
              <w:keepLines w:val="0"/>
              <w:pageBreakBefore w:val="0"/>
              <w:widowControl/>
              <w:kinsoku/>
              <w:wordWrap/>
              <w:overflowPunct/>
              <w:topLinePunct w:val="0"/>
              <w:autoSpaceDN/>
              <w:bidi w:val="0"/>
              <w:adjustRightInd w:val="0"/>
              <w:spacing w:line="288"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服务团队成员配备齐全，科学、合理、年轻化、经验丰富，完全符合采购需求的得5分；</w:t>
            </w:r>
          </w:p>
          <w:p w14:paraId="51447F56">
            <w:pPr>
              <w:keepNext w:val="0"/>
              <w:keepLines w:val="0"/>
              <w:pageBreakBefore w:val="0"/>
              <w:widowControl/>
              <w:kinsoku/>
              <w:wordWrap/>
              <w:overflowPunct/>
              <w:topLinePunct w:val="0"/>
              <w:autoSpaceDN/>
              <w:bidi w:val="0"/>
              <w:adjustRightInd w:val="0"/>
              <w:spacing w:line="288"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服务团队成员配备齐全，较年轻化、经验较丰富，基本符合采购需求的得3分；</w:t>
            </w:r>
          </w:p>
          <w:p w14:paraId="0A859793">
            <w:pPr>
              <w:keepNext w:val="0"/>
              <w:keepLines w:val="0"/>
              <w:pageBreakBefore w:val="0"/>
              <w:widowControl/>
              <w:kinsoku/>
              <w:wordWrap/>
              <w:overflowPunct/>
              <w:topLinePunct w:val="0"/>
              <w:autoSpaceDN/>
              <w:bidi w:val="0"/>
              <w:adjustRightInd w:val="0"/>
              <w:spacing w:line="288" w:lineRule="auto"/>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服务团队成员配备齐全，年龄大、经验不丰富，无法满足采购需求的得1分。</w:t>
            </w:r>
          </w:p>
          <w:p w14:paraId="538CC80E">
            <w:pPr>
              <w:keepNext w:val="0"/>
              <w:keepLines w:val="0"/>
              <w:pageBreakBefore w:val="0"/>
              <w:widowControl/>
              <w:kinsoku/>
              <w:wordWrap/>
              <w:overflowPunct/>
              <w:topLinePunct w:val="0"/>
              <w:autoSpaceDN/>
              <w:bidi w:val="0"/>
              <w:adjustRightInd w:val="0"/>
              <w:spacing w:line="288" w:lineRule="auto"/>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注：人员配置数量未达到采购人要求的，投标文件作无效标处理。</w:t>
            </w:r>
          </w:p>
        </w:tc>
        <w:tc>
          <w:tcPr>
            <w:tcW w:w="674" w:type="dxa"/>
            <w:tcBorders>
              <w:top w:val="single" w:color="auto" w:sz="4" w:space="0"/>
              <w:left w:val="single" w:color="auto" w:sz="4" w:space="0"/>
              <w:bottom w:val="single" w:color="auto" w:sz="4" w:space="0"/>
              <w:right w:val="single" w:color="auto" w:sz="2" w:space="0"/>
            </w:tcBorders>
            <w:noWrap w:val="0"/>
            <w:vAlign w:val="center"/>
          </w:tcPr>
          <w:p w14:paraId="05C0DC5F">
            <w:pPr>
              <w:keepNext w:val="0"/>
              <w:keepLines w:val="0"/>
              <w:pageBreakBefore w:val="0"/>
              <w:kinsoku/>
              <w:wordWrap/>
              <w:overflowPunct/>
              <w:topLinePunct w:val="0"/>
              <w:autoSpaceDN/>
              <w:bidi w:val="0"/>
              <w:adjustRightInd w:val="0"/>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p>
        </w:tc>
        <w:tc>
          <w:tcPr>
            <w:tcW w:w="735" w:type="dxa"/>
            <w:tcBorders>
              <w:top w:val="single" w:color="auto" w:sz="4" w:space="0"/>
              <w:left w:val="single" w:color="auto" w:sz="4" w:space="0"/>
              <w:bottom w:val="single" w:color="auto" w:sz="4" w:space="0"/>
              <w:right w:val="single" w:color="auto" w:sz="2" w:space="0"/>
            </w:tcBorders>
            <w:noWrap w:val="0"/>
            <w:vAlign w:val="center"/>
          </w:tcPr>
          <w:p w14:paraId="616CF2B0">
            <w:pPr>
              <w:keepNext w:val="0"/>
              <w:keepLines w:val="0"/>
              <w:pageBreakBefore w:val="0"/>
              <w:kinsoku/>
              <w:wordWrap/>
              <w:overflowPunct/>
              <w:topLinePunct w:val="0"/>
              <w:autoSpaceDN/>
              <w:bidi w:val="0"/>
              <w:adjustRightInd w:val="0"/>
              <w:spacing w:line="288" w:lineRule="auto"/>
              <w:jc w:val="center"/>
              <w:rPr>
                <w:rFonts w:hint="eastAsia" w:ascii="宋体" w:hAnsi="宋体" w:cs="宋体"/>
                <w:snapToGrid w:val="0"/>
                <w:color w:val="auto"/>
                <w:spacing w:val="-4"/>
                <w:szCs w:val="21"/>
                <w:highlight w:val="none"/>
              </w:rPr>
            </w:pPr>
            <w:r>
              <w:rPr>
                <w:rFonts w:hint="eastAsia" w:ascii="宋体" w:hAnsi="宋体" w:cs="宋体"/>
                <w:snapToGrid w:val="0"/>
                <w:color w:val="auto"/>
                <w:spacing w:val="-4"/>
                <w:szCs w:val="21"/>
                <w:highlight w:val="none"/>
              </w:rPr>
              <w:t>主观评审</w:t>
            </w:r>
          </w:p>
        </w:tc>
      </w:tr>
      <w:tr w14:paraId="04A71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34" w:type="dxa"/>
            <w:vMerge w:val="continue"/>
            <w:tcBorders>
              <w:left w:val="single" w:color="auto" w:sz="4" w:space="0"/>
              <w:right w:val="single" w:color="auto" w:sz="2" w:space="0"/>
            </w:tcBorders>
            <w:noWrap w:val="0"/>
            <w:vAlign w:val="center"/>
          </w:tcPr>
          <w:p w14:paraId="4DD13918">
            <w:pPr>
              <w:keepNext w:val="0"/>
              <w:keepLines w:val="0"/>
              <w:pageBreakBefore w:val="0"/>
              <w:widowControl/>
              <w:kinsoku/>
              <w:wordWrap/>
              <w:overflowPunct/>
              <w:topLinePunct w:val="0"/>
              <w:autoSpaceDN/>
              <w:bidi w:val="0"/>
              <w:adjustRightInd w:val="0"/>
              <w:spacing w:line="288" w:lineRule="auto"/>
              <w:jc w:val="left"/>
              <w:rPr>
                <w:rFonts w:hint="eastAsia" w:ascii="宋体" w:hAnsi="宋体" w:cs="宋体"/>
                <w:snapToGrid w:val="0"/>
                <w:color w:val="auto"/>
                <w:spacing w:val="-4"/>
                <w:szCs w:val="21"/>
                <w:highlight w:val="none"/>
              </w:rPr>
            </w:pPr>
          </w:p>
        </w:tc>
        <w:tc>
          <w:tcPr>
            <w:tcW w:w="1598" w:type="dxa"/>
            <w:tcBorders>
              <w:left w:val="single" w:color="auto" w:sz="4" w:space="0"/>
              <w:right w:val="single" w:color="auto" w:sz="2" w:space="0"/>
            </w:tcBorders>
            <w:noWrap w:val="0"/>
            <w:vAlign w:val="center"/>
          </w:tcPr>
          <w:p w14:paraId="7569412C">
            <w:pPr>
              <w:keepNext w:val="0"/>
              <w:keepLines w:val="0"/>
              <w:pageBreakBefore w:val="0"/>
              <w:widowControl/>
              <w:kinsoku/>
              <w:wordWrap/>
              <w:overflowPunct/>
              <w:topLinePunct w:val="0"/>
              <w:autoSpaceDN/>
              <w:bidi w:val="0"/>
              <w:adjustRightInd w:val="0"/>
              <w:spacing w:line="288" w:lineRule="auto"/>
              <w:jc w:val="center"/>
              <w:rPr>
                <w:rFonts w:hint="default" w:ascii="宋体" w:hAnsi="宋体" w:eastAsia="宋体" w:cs="宋体"/>
                <w:snapToGrid w:val="0"/>
                <w:color w:val="auto"/>
                <w:spacing w:val="-4"/>
                <w:kern w:val="2"/>
                <w:sz w:val="21"/>
                <w:szCs w:val="21"/>
                <w:highlight w:val="none"/>
                <w:lang w:val="en-US" w:eastAsia="zh-CN" w:bidi="ar-SA"/>
              </w:rPr>
            </w:pPr>
            <w:r>
              <w:rPr>
                <w:rFonts w:hint="eastAsia" w:ascii="宋体" w:hAnsi="宋体" w:cs="宋体"/>
                <w:snapToGrid w:val="0"/>
                <w:color w:val="auto"/>
                <w:spacing w:val="-4"/>
                <w:szCs w:val="21"/>
                <w:highlight w:val="none"/>
                <w:lang w:val="en-US" w:eastAsia="zh-CN"/>
              </w:rPr>
              <w:t>体系认证证书（3分）</w:t>
            </w:r>
          </w:p>
        </w:tc>
        <w:tc>
          <w:tcPr>
            <w:tcW w:w="6271" w:type="dxa"/>
            <w:tcBorders>
              <w:top w:val="single" w:color="auto" w:sz="4" w:space="0"/>
              <w:left w:val="single" w:color="auto" w:sz="4" w:space="0"/>
              <w:right w:val="single" w:color="auto" w:sz="2" w:space="0"/>
            </w:tcBorders>
            <w:noWrap w:val="0"/>
            <w:vAlign w:val="center"/>
          </w:tcPr>
          <w:p w14:paraId="136D09DF">
            <w:pPr>
              <w:keepNext w:val="0"/>
              <w:keepLines w:val="0"/>
              <w:pageBreakBefore w:val="0"/>
              <w:kinsoku/>
              <w:wordWrap/>
              <w:overflowPunct/>
              <w:topLinePunct w:val="0"/>
              <w:autoSpaceDN/>
              <w:bidi w:val="0"/>
              <w:adjustRightInd w:val="0"/>
              <w:spacing w:line="288" w:lineRule="auto"/>
              <w:rPr>
                <w:rFonts w:hint="eastAsia" w:ascii="宋体" w:hAnsi="宋体" w:eastAsia="宋体"/>
                <w:color w:val="auto"/>
                <w:kern w:val="2"/>
                <w:szCs w:val="21"/>
                <w:highlight w:val="none"/>
                <w:lang w:eastAsia="zh-CN"/>
              </w:rPr>
            </w:pPr>
            <w:r>
              <w:rPr>
                <w:rFonts w:hint="eastAsia" w:ascii="宋体" w:hAnsi="宋体"/>
                <w:color w:val="auto"/>
                <w:kern w:val="2"/>
                <w:szCs w:val="21"/>
                <w:highlight w:val="none"/>
                <w:lang w:val="en-US" w:eastAsia="zh-CN"/>
              </w:rPr>
              <w:t>供应商</w:t>
            </w:r>
            <w:r>
              <w:rPr>
                <w:rFonts w:hint="eastAsia" w:ascii="宋体" w:hAnsi="宋体"/>
                <w:color w:val="auto"/>
                <w:kern w:val="2"/>
                <w:szCs w:val="21"/>
                <w:highlight w:val="none"/>
              </w:rPr>
              <w:t>具有质量管理体系认证证书的得</w:t>
            </w:r>
            <w:r>
              <w:rPr>
                <w:rFonts w:hint="eastAsia" w:ascii="宋体" w:hAnsi="宋体"/>
                <w:color w:val="auto"/>
                <w:kern w:val="2"/>
                <w:szCs w:val="21"/>
                <w:highlight w:val="none"/>
                <w:lang w:val="en-US" w:eastAsia="zh-CN"/>
              </w:rPr>
              <w:t>1</w:t>
            </w:r>
            <w:r>
              <w:rPr>
                <w:rFonts w:hint="eastAsia" w:ascii="宋体" w:hAnsi="宋体"/>
                <w:color w:val="auto"/>
                <w:kern w:val="2"/>
                <w:szCs w:val="21"/>
                <w:highlight w:val="none"/>
              </w:rPr>
              <w:t>分，具有环境管理体系认证证书的得</w:t>
            </w:r>
            <w:r>
              <w:rPr>
                <w:rFonts w:hint="eastAsia" w:ascii="宋体" w:hAnsi="宋体"/>
                <w:color w:val="auto"/>
                <w:kern w:val="2"/>
                <w:szCs w:val="21"/>
                <w:highlight w:val="none"/>
                <w:lang w:val="en-US" w:eastAsia="zh-CN"/>
              </w:rPr>
              <w:t>1</w:t>
            </w:r>
            <w:r>
              <w:rPr>
                <w:rFonts w:hint="eastAsia" w:ascii="宋体" w:hAnsi="宋体"/>
                <w:color w:val="auto"/>
                <w:kern w:val="2"/>
                <w:szCs w:val="21"/>
                <w:highlight w:val="none"/>
              </w:rPr>
              <w:t>分，具有职业健康安全管理体系认证证书的得</w:t>
            </w:r>
            <w:r>
              <w:rPr>
                <w:rFonts w:hint="eastAsia" w:ascii="宋体" w:hAnsi="宋体"/>
                <w:color w:val="auto"/>
                <w:kern w:val="2"/>
                <w:szCs w:val="21"/>
                <w:highlight w:val="none"/>
                <w:lang w:val="en-US" w:eastAsia="zh-CN"/>
              </w:rPr>
              <w:t>1</w:t>
            </w:r>
            <w:r>
              <w:rPr>
                <w:rFonts w:hint="eastAsia" w:ascii="宋体" w:hAnsi="宋体"/>
                <w:color w:val="auto"/>
                <w:kern w:val="2"/>
                <w:szCs w:val="21"/>
                <w:highlight w:val="none"/>
              </w:rPr>
              <w:t>分</w:t>
            </w:r>
            <w:r>
              <w:rPr>
                <w:rFonts w:hint="eastAsia" w:ascii="宋体" w:hAnsi="宋体"/>
                <w:color w:val="auto"/>
                <w:kern w:val="2"/>
                <w:szCs w:val="21"/>
                <w:highlight w:val="none"/>
                <w:lang w:eastAsia="zh-CN"/>
              </w:rPr>
              <w:t>。</w:t>
            </w:r>
          </w:p>
          <w:p w14:paraId="4D83242F">
            <w:pPr>
              <w:keepNext w:val="0"/>
              <w:keepLines w:val="0"/>
              <w:pageBreakBefore w:val="0"/>
              <w:kinsoku/>
              <w:wordWrap/>
              <w:overflowPunct/>
              <w:topLinePunct w:val="0"/>
              <w:autoSpaceDN/>
              <w:bidi w:val="0"/>
              <w:adjustRightInd w:val="0"/>
              <w:spacing w:line="288" w:lineRule="auto"/>
              <w:rPr>
                <w:rFonts w:hint="eastAsia" w:ascii="宋体" w:hAnsi="宋体" w:eastAsia="宋体" w:cs="宋体"/>
                <w:color w:val="auto"/>
                <w:kern w:val="2"/>
                <w:sz w:val="21"/>
                <w:szCs w:val="21"/>
                <w:highlight w:val="none"/>
                <w:lang w:val="en-US" w:eastAsia="zh-CN" w:bidi="ar-SA"/>
              </w:rPr>
            </w:pPr>
            <w:r>
              <w:rPr>
                <w:rFonts w:hint="eastAsia" w:ascii="宋体" w:hAnsi="宋体"/>
                <w:color w:val="auto"/>
                <w:kern w:val="2"/>
                <w:szCs w:val="21"/>
                <w:highlight w:val="none"/>
                <w:lang w:val="en-US" w:eastAsia="zh-CN"/>
              </w:rPr>
              <w:t>注：投标文件中须</w:t>
            </w:r>
            <w:r>
              <w:rPr>
                <w:rFonts w:hint="eastAsia" w:ascii="宋体" w:hAnsi="宋体"/>
                <w:color w:val="auto"/>
                <w:kern w:val="2"/>
                <w:szCs w:val="21"/>
                <w:highlight w:val="none"/>
              </w:rPr>
              <w:t>提供</w:t>
            </w:r>
            <w:r>
              <w:rPr>
                <w:rFonts w:hint="eastAsia" w:ascii="宋体" w:hAnsi="宋体"/>
                <w:color w:val="auto"/>
                <w:kern w:val="2"/>
                <w:szCs w:val="21"/>
                <w:highlight w:val="none"/>
                <w:lang w:val="en-US" w:eastAsia="zh-CN"/>
              </w:rPr>
              <w:t>有效认证</w:t>
            </w:r>
            <w:r>
              <w:rPr>
                <w:rFonts w:hint="eastAsia" w:ascii="宋体" w:hAnsi="宋体"/>
                <w:color w:val="auto"/>
                <w:kern w:val="2"/>
                <w:szCs w:val="21"/>
                <w:highlight w:val="none"/>
              </w:rPr>
              <w:t>证书复印件并加盖公章</w:t>
            </w:r>
            <w:r>
              <w:rPr>
                <w:rFonts w:hint="eastAsia" w:ascii="宋体" w:hAnsi="宋体"/>
                <w:color w:val="auto"/>
                <w:kern w:val="2"/>
                <w:szCs w:val="21"/>
                <w:highlight w:val="none"/>
                <w:lang w:eastAsia="zh-CN"/>
              </w:rPr>
              <w:t>。</w:t>
            </w:r>
          </w:p>
        </w:tc>
        <w:tc>
          <w:tcPr>
            <w:tcW w:w="674" w:type="dxa"/>
            <w:tcBorders>
              <w:top w:val="single" w:color="auto" w:sz="4" w:space="0"/>
              <w:left w:val="single" w:color="auto" w:sz="4" w:space="0"/>
              <w:bottom w:val="single" w:color="auto" w:sz="4" w:space="0"/>
              <w:right w:val="single" w:color="auto" w:sz="2" w:space="0"/>
            </w:tcBorders>
            <w:noWrap w:val="0"/>
            <w:vAlign w:val="center"/>
          </w:tcPr>
          <w:p w14:paraId="6CB695C7">
            <w:pPr>
              <w:keepNext w:val="0"/>
              <w:keepLines w:val="0"/>
              <w:pageBreakBefore w:val="0"/>
              <w:kinsoku/>
              <w:wordWrap/>
              <w:overflowPunct/>
              <w:topLinePunct w:val="0"/>
              <w:autoSpaceDN/>
              <w:bidi w:val="0"/>
              <w:adjustRightInd w:val="0"/>
              <w:spacing w:line="288"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3</w:t>
            </w:r>
          </w:p>
        </w:tc>
        <w:tc>
          <w:tcPr>
            <w:tcW w:w="735" w:type="dxa"/>
            <w:tcBorders>
              <w:top w:val="single" w:color="auto" w:sz="4" w:space="0"/>
              <w:left w:val="single" w:color="auto" w:sz="4" w:space="0"/>
              <w:bottom w:val="single" w:color="auto" w:sz="4" w:space="0"/>
              <w:right w:val="single" w:color="auto" w:sz="2" w:space="0"/>
            </w:tcBorders>
            <w:noWrap w:val="0"/>
            <w:vAlign w:val="center"/>
          </w:tcPr>
          <w:p w14:paraId="76F4E689">
            <w:pPr>
              <w:keepNext w:val="0"/>
              <w:keepLines w:val="0"/>
              <w:pageBreakBefore w:val="0"/>
              <w:kinsoku/>
              <w:wordWrap/>
              <w:overflowPunct/>
              <w:topLinePunct w:val="0"/>
              <w:autoSpaceDN/>
              <w:bidi w:val="0"/>
              <w:adjustRightInd w:val="0"/>
              <w:spacing w:line="288" w:lineRule="auto"/>
              <w:jc w:val="center"/>
              <w:rPr>
                <w:rFonts w:hint="eastAsia" w:ascii="宋体" w:hAnsi="宋体" w:eastAsia="宋体" w:cs="宋体"/>
                <w:snapToGrid w:val="0"/>
                <w:color w:val="auto"/>
                <w:spacing w:val="-4"/>
                <w:kern w:val="2"/>
                <w:sz w:val="21"/>
                <w:szCs w:val="21"/>
                <w:highlight w:val="none"/>
                <w:lang w:val="en-US" w:eastAsia="zh-CN" w:bidi="ar-SA"/>
              </w:rPr>
            </w:pPr>
            <w:r>
              <w:rPr>
                <w:rFonts w:hint="eastAsia" w:ascii="宋体" w:hAnsi="宋体" w:cs="宋体"/>
                <w:snapToGrid w:val="0"/>
                <w:color w:val="auto"/>
                <w:spacing w:val="-4"/>
                <w:szCs w:val="21"/>
                <w:highlight w:val="none"/>
              </w:rPr>
              <w:t>客观评审</w:t>
            </w:r>
          </w:p>
        </w:tc>
      </w:tr>
      <w:tr w14:paraId="70EBA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34" w:type="dxa"/>
            <w:vMerge w:val="continue"/>
            <w:tcBorders>
              <w:left w:val="single" w:color="auto" w:sz="4" w:space="0"/>
              <w:right w:val="single" w:color="auto" w:sz="2" w:space="0"/>
            </w:tcBorders>
            <w:noWrap w:val="0"/>
            <w:vAlign w:val="center"/>
          </w:tcPr>
          <w:p w14:paraId="0ED1C849">
            <w:pPr>
              <w:keepNext w:val="0"/>
              <w:keepLines w:val="0"/>
              <w:pageBreakBefore w:val="0"/>
              <w:widowControl/>
              <w:kinsoku/>
              <w:wordWrap/>
              <w:overflowPunct/>
              <w:topLinePunct w:val="0"/>
              <w:autoSpaceDN/>
              <w:bidi w:val="0"/>
              <w:adjustRightInd w:val="0"/>
              <w:spacing w:line="288" w:lineRule="auto"/>
              <w:jc w:val="left"/>
              <w:rPr>
                <w:rFonts w:hint="eastAsia" w:ascii="宋体" w:hAnsi="宋体" w:cs="宋体"/>
                <w:snapToGrid w:val="0"/>
                <w:color w:val="auto"/>
                <w:spacing w:val="-4"/>
                <w:szCs w:val="21"/>
                <w:highlight w:val="none"/>
              </w:rPr>
            </w:pPr>
          </w:p>
        </w:tc>
        <w:tc>
          <w:tcPr>
            <w:tcW w:w="1598" w:type="dxa"/>
            <w:tcBorders>
              <w:left w:val="single" w:color="auto" w:sz="4" w:space="0"/>
              <w:right w:val="single" w:color="auto" w:sz="2" w:space="0"/>
            </w:tcBorders>
            <w:noWrap w:val="0"/>
            <w:vAlign w:val="center"/>
          </w:tcPr>
          <w:p w14:paraId="7F411DE2">
            <w:pPr>
              <w:keepNext w:val="0"/>
              <w:keepLines w:val="0"/>
              <w:pageBreakBefore w:val="0"/>
              <w:widowControl/>
              <w:kinsoku/>
              <w:wordWrap/>
              <w:overflowPunct/>
              <w:topLinePunct w:val="0"/>
              <w:autoSpaceDN/>
              <w:bidi w:val="0"/>
              <w:adjustRightInd w:val="0"/>
              <w:spacing w:line="288" w:lineRule="auto"/>
              <w:jc w:val="center"/>
              <w:rPr>
                <w:rFonts w:hint="eastAsia" w:ascii="宋体" w:hAnsi="宋体" w:cs="宋体"/>
                <w:snapToGrid w:val="0"/>
                <w:color w:val="auto"/>
                <w:spacing w:val="-4"/>
                <w:szCs w:val="21"/>
                <w:highlight w:val="none"/>
                <w:lang w:val="en-US" w:eastAsia="zh-CN"/>
              </w:rPr>
            </w:pPr>
            <w:r>
              <w:rPr>
                <w:rFonts w:hint="eastAsia" w:ascii="宋体" w:hAnsi="宋体" w:cs="宋体"/>
                <w:snapToGrid w:val="0"/>
                <w:color w:val="auto"/>
                <w:spacing w:val="-4"/>
                <w:szCs w:val="21"/>
                <w:highlight w:val="none"/>
                <w:lang w:val="en-US" w:eastAsia="zh-CN"/>
              </w:rPr>
              <w:t>荣誉</w:t>
            </w:r>
          </w:p>
          <w:p w14:paraId="6FA449FF">
            <w:pPr>
              <w:keepNext w:val="0"/>
              <w:keepLines w:val="0"/>
              <w:pageBreakBefore w:val="0"/>
              <w:widowControl/>
              <w:kinsoku/>
              <w:wordWrap/>
              <w:overflowPunct/>
              <w:topLinePunct w:val="0"/>
              <w:autoSpaceDN/>
              <w:bidi w:val="0"/>
              <w:adjustRightInd w:val="0"/>
              <w:spacing w:line="288" w:lineRule="auto"/>
              <w:jc w:val="center"/>
              <w:rPr>
                <w:rFonts w:hint="default" w:ascii="宋体" w:hAnsi="宋体" w:cs="宋体"/>
                <w:snapToGrid w:val="0"/>
                <w:color w:val="auto"/>
                <w:spacing w:val="-4"/>
                <w:szCs w:val="21"/>
                <w:highlight w:val="none"/>
                <w:lang w:val="en-US" w:eastAsia="zh-CN"/>
              </w:rPr>
            </w:pPr>
            <w:r>
              <w:rPr>
                <w:rFonts w:hint="eastAsia" w:ascii="宋体" w:hAnsi="宋体" w:cs="宋体"/>
                <w:snapToGrid w:val="0"/>
                <w:color w:val="auto"/>
                <w:spacing w:val="-4"/>
                <w:szCs w:val="21"/>
                <w:highlight w:val="none"/>
                <w:lang w:val="en-US" w:eastAsia="zh-CN"/>
              </w:rPr>
              <w:t>（2分）</w:t>
            </w:r>
          </w:p>
        </w:tc>
        <w:tc>
          <w:tcPr>
            <w:tcW w:w="6271" w:type="dxa"/>
            <w:tcBorders>
              <w:top w:val="single" w:color="auto" w:sz="4" w:space="0"/>
              <w:left w:val="single" w:color="auto" w:sz="4" w:space="0"/>
              <w:right w:val="single" w:color="auto" w:sz="2" w:space="0"/>
            </w:tcBorders>
            <w:noWrap w:val="0"/>
            <w:vAlign w:val="center"/>
          </w:tcPr>
          <w:p w14:paraId="02C70C95">
            <w:pPr>
              <w:keepNext w:val="0"/>
              <w:keepLines w:val="0"/>
              <w:pageBreakBefore w:val="0"/>
              <w:kinsoku/>
              <w:wordWrap/>
              <w:overflowPunct/>
              <w:topLinePunct w:val="0"/>
              <w:autoSpaceDN/>
              <w:bidi w:val="0"/>
              <w:adjustRightInd/>
              <w:snapToGrid/>
              <w:spacing w:line="288" w:lineRule="auto"/>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供应商自</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年1月1日至今</w:t>
            </w:r>
            <w:r>
              <w:rPr>
                <w:rFonts w:hint="eastAsia" w:ascii="宋体" w:hAnsi="宋体" w:eastAsia="宋体" w:cs="宋体"/>
                <w:color w:val="auto"/>
                <w:sz w:val="21"/>
                <w:szCs w:val="21"/>
                <w:highlight w:val="none"/>
                <w:lang w:eastAsia="zh-CN"/>
              </w:rPr>
              <w:t>曾获市级及以上</w:t>
            </w:r>
            <w:r>
              <w:rPr>
                <w:rFonts w:hint="eastAsia" w:ascii="宋体" w:hAnsi="宋体" w:cs="宋体"/>
                <w:color w:val="auto"/>
                <w:sz w:val="21"/>
                <w:szCs w:val="21"/>
                <w:highlight w:val="none"/>
                <w:lang w:val="en-US" w:eastAsia="zh-CN"/>
              </w:rPr>
              <w:t>行政</w:t>
            </w:r>
            <w:r>
              <w:rPr>
                <w:rFonts w:hint="eastAsia" w:ascii="宋体" w:hAnsi="宋体" w:eastAsia="宋体" w:cs="宋体"/>
                <w:color w:val="auto"/>
                <w:sz w:val="21"/>
                <w:szCs w:val="21"/>
                <w:highlight w:val="none"/>
                <w:lang w:eastAsia="zh-CN"/>
              </w:rPr>
              <w:t>部门荣誉的得</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区级及以上</w:t>
            </w:r>
            <w:r>
              <w:rPr>
                <w:rFonts w:hint="eastAsia" w:ascii="宋体" w:hAnsi="宋体" w:cs="宋体"/>
                <w:color w:val="auto"/>
                <w:sz w:val="21"/>
                <w:szCs w:val="21"/>
                <w:highlight w:val="none"/>
                <w:lang w:val="en-US" w:eastAsia="zh-CN"/>
              </w:rPr>
              <w:t>行政</w:t>
            </w:r>
            <w:r>
              <w:rPr>
                <w:rFonts w:hint="eastAsia" w:ascii="宋体" w:hAnsi="宋体" w:eastAsia="宋体" w:cs="宋体"/>
                <w:color w:val="auto"/>
                <w:sz w:val="21"/>
                <w:szCs w:val="21"/>
                <w:highlight w:val="none"/>
                <w:lang w:eastAsia="zh-CN"/>
              </w:rPr>
              <w:t>部门荣誉的得</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分</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本项就高计</w:t>
            </w:r>
            <w:r>
              <w:rPr>
                <w:rFonts w:hint="eastAsia" w:ascii="宋体" w:hAnsi="宋体" w:eastAsia="宋体" w:cs="宋体"/>
                <w:color w:val="auto"/>
                <w:sz w:val="21"/>
                <w:szCs w:val="21"/>
                <w:highlight w:val="none"/>
              </w:rPr>
              <w:t>分，没有的不得分。</w:t>
            </w:r>
          </w:p>
          <w:p w14:paraId="760C9C70">
            <w:pPr>
              <w:keepNext w:val="0"/>
              <w:keepLines w:val="0"/>
              <w:pageBreakBefore w:val="0"/>
              <w:kinsoku/>
              <w:wordWrap/>
              <w:overflowPunct/>
              <w:topLinePunct w:val="0"/>
              <w:autoSpaceDN/>
              <w:bidi w:val="0"/>
              <w:adjustRightInd w:val="0"/>
              <w:spacing w:line="288" w:lineRule="auto"/>
              <w:rPr>
                <w:rFonts w:hint="default" w:ascii="宋体" w:hAnsi="宋体"/>
                <w:color w:val="auto"/>
                <w:kern w:val="2"/>
                <w:szCs w:val="21"/>
                <w:highlight w:val="none"/>
                <w:lang w:val="en-US" w:eastAsia="zh-CN"/>
              </w:rPr>
            </w:pPr>
            <w:r>
              <w:rPr>
                <w:rFonts w:hint="eastAsia" w:ascii="宋体" w:hAnsi="宋体"/>
                <w:color w:val="auto"/>
                <w:kern w:val="2"/>
                <w:szCs w:val="21"/>
                <w:highlight w:val="none"/>
                <w:lang w:val="en-US" w:eastAsia="zh-CN"/>
              </w:rPr>
              <w:t>注：投标文件中须提供荣誉证明复印件。</w:t>
            </w:r>
          </w:p>
        </w:tc>
        <w:tc>
          <w:tcPr>
            <w:tcW w:w="674" w:type="dxa"/>
            <w:tcBorders>
              <w:top w:val="single" w:color="auto" w:sz="4" w:space="0"/>
              <w:left w:val="single" w:color="auto" w:sz="4" w:space="0"/>
              <w:bottom w:val="single" w:color="auto" w:sz="4" w:space="0"/>
              <w:right w:val="single" w:color="auto" w:sz="2" w:space="0"/>
            </w:tcBorders>
            <w:noWrap w:val="0"/>
            <w:vAlign w:val="center"/>
          </w:tcPr>
          <w:p w14:paraId="7AB2BC0F">
            <w:pPr>
              <w:keepNext w:val="0"/>
              <w:keepLines w:val="0"/>
              <w:pageBreakBefore w:val="0"/>
              <w:kinsoku/>
              <w:wordWrap/>
              <w:overflowPunct/>
              <w:topLinePunct w:val="0"/>
              <w:autoSpaceDN/>
              <w:bidi w:val="0"/>
              <w:adjustRightInd w:val="0"/>
              <w:spacing w:line="288" w:lineRule="auto"/>
              <w:jc w:val="center"/>
              <w:rPr>
                <w:rFonts w:hint="default" w:ascii="宋体" w:hAnsi="宋体" w:eastAsia="宋体" w:cs="宋体"/>
                <w:snapToGrid w:val="0"/>
                <w:color w:val="auto"/>
                <w:spacing w:val="-4"/>
                <w:kern w:val="2"/>
                <w:sz w:val="21"/>
                <w:szCs w:val="21"/>
                <w:highlight w:val="none"/>
                <w:lang w:val="en-US" w:eastAsia="zh-CN" w:bidi="ar-SA"/>
              </w:rPr>
            </w:pPr>
            <w:r>
              <w:rPr>
                <w:rFonts w:hint="eastAsia" w:ascii="宋体" w:hAnsi="宋体" w:cs="宋体"/>
                <w:snapToGrid w:val="0"/>
                <w:color w:val="auto"/>
                <w:spacing w:val="-4"/>
                <w:kern w:val="2"/>
                <w:sz w:val="21"/>
                <w:szCs w:val="21"/>
                <w:highlight w:val="none"/>
                <w:lang w:val="en-US" w:eastAsia="zh-CN" w:bidi="ar-SA"/>
              </w:rPr>
              <w:t>2</w:t>
            </w:r>
          </w:p>
        </w:tc>
        <w:tc>
          <w:tcPr>
            <w:tcW w:w="735" w:type="dxa"/>
            <w:tcBorders>
              <w:top w:val="single" w:color="auto" w:sz="4" w:space="0"/>
              <w:left w:val="single" w:color="auto" w:sz="4" w:space="0"/>
              <w:bottom w:val="single" w:color="auto" w:sz="4" w:space="0"/>
              <w:right w:val="single" w:color="auto" w:sz="2" w:space="0"/>
            </w:tcBorders>
            <w:noWrap w:val="0"/>
            <w:vAlign w:val="center"/>
          </w:tcPr>
          <w:p w14:paraId="53C7CFD2">
            <w:pPr>
              <w:keepNext w:val="0"/>
              <w:keepLines w:val="0"/>
              <w:pageBreakBefore w:val="0"/>
              <w:kinsoku/>
              <w:wordWrap/>
              <w:overflowPunct/>
              <w:topLinePunct w:val="0"/>
              <w:autoSpaceDN/>
              <w:bidi w:val="0"/>
              <w:adjustRightInd w:val="0"/>
              <w:spacing w:line="288" w:lineRule="auto"/>
              <w:jc w:val="center"/>
              <w:rPr>
                <w:rFonts w:hint="eastAsia" w:ascii="宋体" w:hAnsi="宋体" w:eastAsia="宋体" w:cs="宋体"/>
                <w:snapToGrid w:val="0"/>
                <w:color w:val="auto"/>
                <w:spacing w:val="-4"/>
                <w:kern w:val="2"/>
                <w:sz w:val="21"/>
                <w:szCs w:val="21"/>
                <w:highlight w:val="none"/>
                <w:lang w:val="en-US" w:eastAsia="zh-CN" w:bidi="ar-SA"/>
              </w:rPr>
            </w:pPr>
            <w:r>
              <w:rPr>
                <w:rFonts w:hint="eastAsia" w:ascii="宋体" w:hAnsi="宋体" w:cs="宋体"/>
                <w:snapToGrid w:val="0"/>
                <w:color w:val="auto"/>
                <w:spacing w:val="-4"/>
                <w:szCs w:val="21"/>
                <w:highlight w:val="none"/>
              </w:rPr>
              <w:t>客观评审</w:t>
            </w:r>
          </w:p>
        </w:tc>
      </w:tr>
      <w:tr w14:paraId="6FC52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jc w:val="center"/>
        </w:trPr>
        <w:tc>
          <w:tcPr>
            <w:tcW w:w="834" w:type="dxa"/>
            <w:vMerge w:val="continue"/>
            <w:tcBorders>
              <w:left w:val="single" w:color="auto" w:sz="4" w:space="0"/>
              <w:right w:val="single" w:color="auto" w:sz="2" w:space="0"/>
            </w:tcBorders>
            <w:noWrap w:val="0"/>
            <w:vAlign w:val="center"/>
          </w:tcPr>
          <w:p w14:paraId="68C032C3">
            <w:pPr>
              <w:keepNext w:val="0"/>
              <w:keepLines w:val="0"/>
              <w:pageBreakBefore w:val="0"/>
              <w:widowControl/>
              <w:kinsoku/>
              <w:wordWrap/>
              <w:overflowPunct/>
              <w:topLinePunct w:val="0"/>
              <w:autoSpaceDN/>
              <w:bidi w:val="0"/>
              <w:adjustRightInd w:val="0"/>
              <w:spacing w:line="288" w:lineRule="auto"/>
              <w:jc w:val="left"/>
              <w:rPr>
                <w:rFonts w:hint="eastAsia" w:ascii="宋体" w:hAnsi="宋体" w:cs="宋体"/>
                <w:snapToGrid w:val="0"/>
                <w:color w:val="auto"/>
                <w:spacing w:val="-4"/>
                <w:szCs w:val="21"/>
                <w:highlight w:val="none"/>
              </w:rPr>
            </w:pPr>
          </w:p>
        </w:tc>
        <w:tc>
          <w:tcPr>
            <w:tcW w:w="1598" w:type="dxa"/>
            <w:tcBorders>
              <w:top w:val="single" w:color="auto" w:sz="4" w:space="0"/>
              <w:left w:val="single" w:color="auto" w:sz="4" w:space="0"/>
              <w:right w:val="single" w:color="auto" w:sz="2" w:space="0"/>
            </w:tcBorders>
            <w:noWrap w:val="0"/>
            <w:vAlign w:val="center"/>
          </w:tcPr>
          <w:p w14:paraId="6EE92A38">
            <w:pPr>
              <w:keepNext w:val="0"/>
              <w:keepLines w:val="0"/>
              <w:pageBreakBefore w:val="0"/>
              <w:kinsoku/>
              <w:wordWrap/>
              <w:overflowPunct/>
              <w:topLinePunct w:val="0"/>
              <w:autoSpaceDN/>
              <w:bidi w:val="0"/>
              <w:adjustRightInd w:val="0"/>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业绩</w:t>
            </w:r>
          </w:p>
          <w:p w14:paraId="67CB79B3">
            <w:pPr>
              <w:keepNext w:val="0"/>
              <w:keepLines w:val="0"/>
              <w:pageBreakBefore w:val="0"/>
              <w:kinsoku/>
              <w:wordWrap/>
              <w:overflowPunct/>
              <w:topLinePunct w:val="0"/>
              <w:autoSpaceDN/>
              <w:bidi w:val="0"/>
              <w:adjustRightInd w:val="0"/>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（1分）</w:t>
            </w:r>
          </w:p>
        </w:tc>
        <w:tc>
          <w:tcPr>
            <w:tcW w:w="6271" w:type="dxa"/>
            <w:tcBorders>
              <w:top w:val="single" w:color="auto" w:sz="4" w:space="0"/>
              <w:left w:val="single" w:color="auto" w:sz="4" w:space="0"/>
              <w:right w:val="single" w:color="auto" w:sz="2" w:space="0"/>
            </w:tcBorders>
            <w:noWrap w:val="0"/>
            <w:vAlign w:val="center"/>
          </w:tcPr>
          <w:p w14:paraId="5C295C36">
            <w:pPr>
              <w:keepNext w:val="0"/>
              <w:keepLines w:val="0"/>
              <w:pageBreakBefore w:val="0"/>
              <w:kinsoku/>
              <w:wordWrap/>
              <w:overflowPunct/>
              <w:topLinePunct w:val="0"/>
              <w:autoSpaceDN/>
              <w:bidi w:val="0"/>
              <w:adjustRightInd w:val="0"/>
              <w:spacing w:line="288" w:lineRule="auto"/>
              <w:rPr>
                <w:rFonts w:hint="eastAsia" w:ascii="宋体" w:hAnsi="宋体" w:cs="宋体"/>
                <w:color w:val="auto"/>
                <w:szCs w:val="21"/>
                <w:highlight w:val="non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自202</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年1月1日以来（以合同签订时间为准）具有同类服务项目业绩的</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每提供一份业绩</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本项最高得1分</w:t>
            </w:r>
            <w:r>
              <w:rPr>
                <w:rFonts w:hint="eastAsia" w:ascii="宋体" w:hAnsi="宋体" w:cs="宋体"/>
                <w:color w:val="auto"/>
                <w:szCs w:val="21"/>
                <w:highlight w:val="none"/>
              </w:rPr>
              <w:t>。</w:t>
            </w:r>
          </w:p>
          <w:p w14:paraId="21EE7D44">
            <w:pPr>
              <w:keepNext w:val="0"/>
              <w:keepLines w:val="0"/>
              <w:pageBreakBefore w:val="0"/>
              <w:kinsoku/>
              <w:wordWrap/>
              <w:overflowPunct/>
              <w:topLinePunct w:val="0"/>
              <w:autoSpaceDN/>
              <w:bidi w:val="0"/>
              <w:adjustRightInd w:val="0"/>
              <w:spacing w:line="288" w:lineRule="auto"/>
              <w:rPr>
                <w:rFonts w:hint="eastAsia" w:ascii="宋体" w:hAnsi="宋体" w:cs="宋体"/>
                <w:color w:val="auto"/>
                <w:szCs w:val="21"/>
                <w:highlight w:val="none"/>
              </w:rPr>
            </w:pPr>
            <w:r>
              <w:rPr>
                <w:rFonts w:hint="eastAsia" w:ascii="宋体" w:hAnsi="宋体" w:cs="宋体"/>
                <w:color w:val="auto"/>
                <w:szCs w:val="21"/>
                <w:highlight w:val="none"/>
              </w:rPr>
              <w:t>注：投标文件中</w:t>
            </w:r>
            <w:r>
              <w:rPr>
                <w:rFonts w:hint="eastAsia" w:ascii="宋体" w:hAnsi="宋体" w:cs="宋体"/>
                <w:color w:val="auto"/>
                <w:szCs w:val="21"/>
                <w:highlight w:val="none"/>
                <w:lang w:val="en-US" w:eastAsia="zh-CN"/>
              </w:rPr>
              <w:t>须</w:t>
            </w:r>
            <w:r>
              <w:rPr>
                <w:rFonts w:hint="eastAsia" w:ascii="宋体" w:hAnsi="宋体" w:cs="宋体"/>
                <w:color w:val="auto"/>
                <w:szCs w:val="21"/>
                <w:highlight w:val="none"/>
              </w:rPr>
              <w:t>提供</w:t>
            </w:r>
            <w:r>
              <w:rPr>
                <w:rFonts w:hint="eastAsia" w:ascii="宋体" w:hAnsi="宋体" w:cs="宋体"/>
                <w:color w:val="auto"/>
                <w:szCs w:val="21"/>
                <w:highlight w:val="none"/>
                <w:lang w:val="en-US" w:eastAsia="zh-CN"/>
              </w:rPr>
              <w:t>合同扫描件</w:t>
            </w:r>
            <w:r>
              <w:rPr>
                <w:rFonts w:hint="eastAsia" w:ascii="宋体" w:hAnsi="宋体" w:cs="宋体"/>
                <w:color w:val="auto"/>
                <w:szCs w:val="21"/>
                <w:highlight w:val="none"/>
              </w:rPr>
              <w:t>并加盖公章。</w:t>
            </w:r>
          </w:p>
        </w:tc>
        <w:tc>
          <w:tcPr>
            <w:tcW w:w="674" w:type="dxa"/>
            <w:tcBorders>
              <w:top w:val="single" w:color="auto" w:sz="4" w:space="0"/>
              <w:left w:val="single" w:color="auto" w:sz="4" w:space="0"/>
              <w:right w:val="single" w:color="auto" w:sz="2" w:space="0"/>
            </w:tcBorders>
            <w:noWrap w:val="0"/>
            <w:vAlign w:val="center"/>
          </w:tcPr>
          <w:p w14:paraId="23DE9851">
            <w:pPr>
              <w:keepNext w:val="0"/>
              <w:keepLines w:val="0"/>
              <w:pageBreakBefore w:val="0"/>
              <w:kinsoku/>
              <w:wordWrap/>
              <w:overflowPunct/>
              <w:topLinePunct w:val="0"/>
              <w:autoSpaceDN/>
              <w:bidi w:val="0"/>
              <w:adjustRightInd w:val="0"/>
              <w:spacing w:line="288" w:lineRule="auto"/>
              <w:jc w:val="center"/>
              <w:rPr>
                <w:rFonts w:hint="default" w:ascii="宋体" w:hAnsi="宋体" w:eastAsia="宋体" w:cs="宋体"/>
                <w:snapToGrid w:val="0"/>
                <w:color w:val="auto"/>
                <w:spacing w:val="-4"/>
                <w:szCs w:val="21"/>
                <w:highlight w:val="none"/>
                <w:lang w:val="en-US" w:eastAsia="zh-CN"/>
              </w:rPr>
            </w:pPr>
            <w:r>
              <w:rPr>
                <w:rFonts w:hint="eastAsia" w:ascii="宋体" w:hAnsi="宋体" w:cs="宋体"/>
                <w:snapToGrid w:val="0"/>
                <w:color w:val="auto"/>
                <w:spacing w:val="-4"/>
                <w:szCs w:val="21"/>
                <w:highlight w:val="none"/>
              </w:rPr>
              <w:t>1</w:t>
            </w:r>
          </w:p>
        </w:tc>
        <w:tc>
          <w:tcPr>
            <w:tcW w:w="735" w:type="dxa"/>
            <w:tcBorders>
              <w:top w:val="single" w:color="auto" w:sz="4" w:space="0"/>
              <w:left w:val="single" w:color="auto" w:sz="4" w:space="0"/>
              <w:right w:val="single" w:color="auto" w:sz="2" w:space="0"/>
            </w:tcBorders>
            <w:noWrap w:val="0"/>
            <w:vAlign w:val="center"/>
          </w:tcPr>
          <w:p w14:paraId="3649349E">
            <w:pPr>
              <w:keepNext w:val="0"/>
              <w:keepLines w:val="0"/>
              <w:pageBreakBefore w:val="0"/>
              <w:kinsoku/>
              <w:wordWrap/>
              <w:overflowPunct/>
              <w:topLinePunct w:val="0"/>
              <w:autoSpaceDN/>
              <w:bidi w:val="0"/>
              <w:adjustRightInd w:val="0"/>
              <w:spacing w:line="288" w:lineRule="auto"/>
              <w:jc w:val="center"/>
              <w:rPr>
                <w:rFonts w:hint="eastAsia" w:ascii="宋体" w:hAnsi="宋体" w:cs="宋体"/>
                <w:snapToGrid w:val="0"/>
                <w:color w:val="auto"/>
                <w:spacing w:val="-4"/>
                <w:szCs w:val="21"/>
                <w:highlight w:val="none"/>
              </w:rPr>
            </w:pPr>
            <w:r>
              <w:rPr>
                <w:rFonts w:hint="eastAsia" w:ascii="宋体" w:hAnsi="宋体" w:cs="宋体"/>
                <w:snapToGrid w:val="0"/>
                <w:color w:val="auto"/>
                <w:spacing w:val="-4"/>
                <w:szCs w:val="21"/>
                <w:highlight w:val="none"/>
              </w:rPr>
              <w:t>客观评审</w:t>
            </w:r>
          </w:p>
        </w:tc>
      </w:tr>
      <w:tr w14:paraId="4EC62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834" w:type="dxa"/>
            <w:tcBorders>
              <w:top w:val="single" w:color="auto" w:sz="4" w:space="0"/>
              <w:left w:val="single" w:color="auto" w:sz="4" w:space="0"/>
              <w:right w:val="single" w:color="auto" w:sz="2" w:space="0"/>
            </w:tcBorders>
            <w:noWrap w:val="0"/>
            <w:tcMar>
              <w:top w:w="0" w:type="dxa"/>
              <w:left w:w="0" w:type="dxa"/>
              <w:bottom w:w="0" w:type="dxa"/>
              <w:right w:w="0" w:type="dxa"/>
            </w:tcMar>
            <w:vAlign w:val="center"/>
          </w:tcPr>
          <w:p w14:paraId="5758685A">
            <w:pPr>
              <w:keepNext w:val="0"/>
              <w:keepLines w:val="0"/>
              <w:pageBreakBefore w:val="0"/>
              <w:kinsoku/>
              <w:wordWrap/>
              <w:overflowPunct/>
              <w:topLinePunct w:val="0"/>
              <w:autoSpaceDN/>
              <w:bidi w:val="0"/>
              <w:adjustRightInd w:val="0"/>
              <w:spacing w:line="288" w:lineRule="auto"/>
              <w:jc w:val="center"/>
              <w:rPr>
                <w:rFonts w:hint="eastAsia" w:ascii="宋体" w:hAnsi="宋体" w:cs="宋体"/>
                <w:snapToGrid w:val="0"/>
                <w:color w:val="auto"/>
                <w:spacing w:val="-4"/>
                <w:szCs w:val="21"/>
                <w:highlight w:val="none"/>
              </w:rPr>
            </w:pPr>
            <w:r>
              <w:rPr>
                <w:rFonts w:hint="eastAsia" w:ascii="宋体" w:hAnsi="宋体" w:cs="宋体"/>
                <w:snapToGrid w:val="0"/>
                <w:color w:val="auto"/>
                <w:spacing w:val="-4"/>
                <w:szCs w:val="21"/>
                <w:highlight w:val="none"/>
              </w:rPr>
              <w:t>价格分</w:t>
            </w:r>
          </w:p>
          <w:p w14:paraId="6E8A9139">
            <w:pPr>
              <w:keepNext w:val="0"/>
              <w:keepLines w:val="0"/>
              <w:pageBreakBefore w:val="0"/>
              <w:kinsoku/>
              <w:wordWrap/>
              <w:overflowPunct/>
              <w:topLinePunct w:val="0"/>
              <w:autoSpaceDN/>
              <w:bidi w:val="0"/>
              <w:adjustRightInd w:val="0"/>
              <w:spacing w:line="288" w:lineRule="auto"/>
              <w:jc w:val="center"/>
              <w:rPr>
                <w:rFonts w:hint="eastAsia" w:ascii="宋体" w:hAnsi="宋体" w:cs="宋体"/>
                <w:snapToGrid w:val="0"/>
                <w:color w:val="auto"/>
                <w:spacing w:val="-4"/>
                <w:szCs w:val="21"/>
                <w:highlight w:val="none"/>
              </w:rPr>
            </w:pPr>
            <w:r>
              <w:rPr>
                <w:rFonts w:hint="eastAsia" w:ascii="宋体" w:hAnsi="宋体" w:cs="宋体"/>
                <w:snapToGrid w:val="0"/>
                <w:color w:val="auto"/>
                <w:spacing w:val="-4"/>
                <w:szCs w:val="21"/>
                <w:highlight w:val="none"/>
              </w:rPr>
              <w:t>（15分）</w:t>
            </w:r>
          </w:p>
        </w:tc>
        <w:tc>
          <w:tcPr>
            <w:tcW w:w="7869" w:type="dxa"/>
            <w:gridSpan w:val="2"/>
            <w:tcBorders>
              <w:top w:val="single" w:color="auto" w:sz="4" w:space="0"/>
              <w:left w:val="single" w:color="auto" w:sz="4" w:space="0"/>
              <w:bottom w:val="single" w:color="auto" w:sz="4" w:space="0"/>
              <w:right w:val="single" w:color="auto" w:sz="4" w:space="0"/>
            </w:tcBorders>
            <w:noWrap w:val="0"/>
            <w:vAlign w:val="center"/>
          </w:tcPr>
          <w:p w14:paraId="28C588BF">
            <w:pPr>
              <w:keepNext w:val="0"/>
              <w:keepLines w:val="0"/>
              <w:pageBreakBefore w:val="0"/>
              <w:widowControl/>
              <w:kinsoku/>
              <w:wordWrap/>
              <w:overflowPunct/>
              <w:topLinePunct w:val="0"/>
              <w:autoSpaceDN/>
              <w:bidi w:val="0"/>
              <w:adjustRightInd w:val="0"/>
              <w:spacing w:line="288" w:lineRule="auto"/>
              <w:rPr>
                <w:rFonts w:hint="eastAsia" w:ascii="宋体" w:hAnsi="宋体" w:cs="宋体"/>
                <w:color w:val="auto"/>
                <w:highlight w:val="none"/>
              </w:rPr>
            </w:pPr>
            <w:r>
              <w:rPr>
                <w:rFonts w:hint="eastAsia" w:ascii="宋体" w:hAnsi="宋体" w:cs="宋体"/>
                <w:color w:val="auto"/>
                <w:highlight w:val="none"/>
              </w:rPr>
              <w:t>评标基准价指的是满足招标文件要求且最低的</w:t>
            </w:r>
            <w:r>
              <w:rPr>
                <w:rFonts w:hint="eastAsia" w:ascii="宋体" w:hAnsi="宋体" w:cs="宋体"/>
                <w:color w:val="auto"/>
                <w:highlight w:val="none"/>
                <w:lang w:val="en-US" w:eastAsia="zh-CN"/>
              </w:rPr>
              <w:t>投标报价</w:t>
            </w:r>
            <w:r>
              <w:rPr>
                <w:rFonts w:hint="eastAsia" w:ascii="宋体" w:hAnsi="宋体" w:cs="宋体"/>
                <w:color w:val="auto"/>
                <w:highlight w:val="none"/>
              </w:rPr>
              <w:t>。</w:t>
            </w:r>
          </w:p>
          <w:p w14:paraId="1EB3F444">
            <w:pPr>
              <w:keepNext w:val="0"/>
              <w:keepLines w:val="0"/>
              <w:pageBreakBefore w:val="0"/>
              <w:widowControl/>
              <w:kinsoku/>
              <w:wordWrap/>
              <w:overflowPunct/>
              <w:topLinePunct w:val="0"/>
              <w:autoSpaceDN/>
              <w:bidi w:val="0"/>
              <w:adjustRightInd w:val="0"/>
              <w:spacing w:line="288" w:lineRule="auto"/>
              <w:rPr>
                <w:rFonts w:hint="eastAsia" w:ascii="宋体" w:hAnsi="宋体" w:cs="宋体"/>
                <w:color w:val="auto"/>
                <w:highlight w:val="none"/>
              </w:rPr>
            </w:pPr>
            <w:r>
              <w:rPr>
                <w:rFonts w:hint="eastAsia" w:ascii="宋体" w:hAnsi="宋体" w:cs="宋体"/>
                <w:color w:val="auto"/>
                <w:highlight w:val="none"/>
                <w:lang w:val="en-US" w:eastAsia="zh-CN"/>
              </w:rPr>
              <w:t>投标报价</w:t>
            </w:r>
            <w:r>
              <w:rPr>
                <w:rFonts w:hint="eastAsia" w:ascii="宋体" w:hAnsi="宋体" w:cs="宋体"/>
                <w:color w:val="auto"/>
                <w:highlight w:val="none"/>
              </w:rPr>
              <w:t>为评标基准价的其价格分得满分15分。</w:t>
            </w:r>
          </w:p>
          <w:p w14:paraId="06F43538">
            <w:pPr>
              <w:keepNext w:val="0"/>
              <w:keepLines w:val="0"/>
              <w:pageBreakBefore w:val="0"/>
              <w:widowControl/>
              <w:kinsoku/>
              <w:wordWrap/>
              <w:overflowPunct/>
              <w:topLinePunct w:val="0"/>
              <w:autoSpaceDN/>
              <w:bidi w:val="0"/>
              <w:adjustRightInd w:val="0"/>
              <w:spacing w:line="288" w:lineRule="auto"/>
              <w:rPr>
                <w:rFonts w:hint="eastAsia" w:ascii="宋体" w:hAnsi="宋体" w:cs="宋体"/>
                <w:color w:val="auto"/>
                <w:highlight w:val="none"/>
              </w:rPr>
            </w:pPr>
            <w:r>
              <w:rPr>
                <w:rFonts w:hint="eastAsia" w:ascii="宋体" w:hAnsi="宋体" w:cs="宋体"/>
                <w:color w:val="auto"/>
                <w:highlight w:val="none"/>
              </w:rPr>
              <w:t>其他</w:t>
            </w:r>
            <w:r>
              <w:rPr>
                <w:rFonts w:hint="eastAsia" w:ascii="宋体" w:hAnsi="宋体" w:cs="宋体"/>
                <w:color w:val="auto"/>
                <w:highlight w:val="none"/>
                <w:lang w:eastAsia="zh-CN"/>
              </w:rPr>
              <w:t>供应商</w:t>
            </w:r>
            <w:r>
              <w:rPr>
                <w:rFonts w:hint="eastAsia" w:ascii="宋体" w:hAnsi="宋体" w:cs="宋体"/>
                <w:color w:val="auto"/>
                <w:highlight w:val="none"/>
              </w:rPr>
              <w:t>价格得分按照下列公式计算：</w:t>
            </w:r>
          </w:p>
          <w:p w14:paraId="42B44A4F">
            <w:pPr>
              <w:keepNext w:val="0"/>
              <w:keepLines w:val="0"/>
              <w:pageBreakBefore w:val="0"/>
              <w:widowControl/>
              <w:kinsoku/>
              <w:wordWrap/>
              <w:overflowPunct/>
              <w:topLinePunct w:val="0"/>
              <w:autoSpaceDN/>
              <w:bidi w:val="0"/>
              <w:adjustRightInd w:val="0"/>
              <w:spacing w:line="288" w:lineRule="auto"/>
              <w:rPr>
                <w:rFonts w:hint="eastAsia" w:ascii="宋体" w:hAnsi="宋体" w:cs="宋体"/>
                <w:color w:val="auto"/>
                <w:highlight w:val="none"/>
              </w:rPr>
            </w:pPr>
            <w:r>
              <w:rPr>
                <w:rFonts w:hint="eastAsia" w:ascii="宋体" w:hAnsi="宋体" w:cs="宋体"/>
                <w:color w:val="auto"/>
                <w:highlight w:val="none"/>
              </w:rPr>
              <w:t>价格分=（评标基准价/</w:t>
            </w:r>
            <w:r>
              <w:rPr>
                <w:rFonts w:hint="eastAsia" w:ascii="宋体" w:hAnsi="宋体" w:cs="宋体"/>
                <w:color w:val="auto"/>
                <w:highlight w:val="none"/>
                <w:lang w:val="en-US" w:eastAsia="zh-CN"/>
              </w:rPr>
              <w:t>投标报价</w:t>
            </w:r>
            <w:r>
              <w:rPr>
                <w:rFonts w:hint="eastAsia" w:ascii="宋体" w:hAnsi="宋体" w:cs="宋体"/>
                <w:color w:val="auto"/>
                <w:highlight w:val="none"/>
              </w:rPr>
              <w:t>）×15％×100。</w:t>
            </w:r>
          </w:p>
        </w:tc>
        <w:tc>
          <w:tcPr>
            <w:tcW w:w="674" w:type="dxa"/>
            <w:tcBorders>
              <w:top w:val="single" w:color="auto" w:sz="4" w:space="0"/>
              <w:left w:val="single" w:color="auto" w:sz="4" w:space="0"/>
              <w:bottom w:val="single" w:color="auto" w:sz="4" w:space="0"/>
              <w:right w:val="single" w:color="auto" w:sz="2" w:space="0"/>
            </w:tcBorders>
            <w:noWrap w:val="0"/>
            <w:vAlign w:val="center"/>
          </w:tcPr>
          <w:p w14:paraId="77CB3D46">
            <w:pPr>
              <w:keepNext w:val="0"/>
              <w:keepLines w:val="0"/>
              <w:pageBreakBefore w:val="0"/>
              <w:widowControl/>
              <w:kinsoku/>
              <w:wordWrap/>
              <w:overflowPunct/>
              <w:topLinePunct w:val="0"/>
              <w:autoSpaceDN/>
              <w:bidi w:val="0"/>
              <w:adjustRightInd w:val="0"/>
              <w:spacing w:line="288" w:lineRule="auto"/>
              <w:jc w:val="center"/>
              <w:rPr>
                <w:rFonts w:ascii="宋体" w:hAnsi="宋体" w:cs="宋体"/>
                <w:color w:val="auto"/>
                <w:szCs w:val="20"/>
                <w:highlight w:val="none"/>
              </w:rPr>
            </w:pPr>
            <w:r>
              <w:rPr>
                <w:rFonts w:hint="eastAsia" w:ascii="宋体" w:hAnsi="宋体" w:cs="宋体"/>
                <w:color w:val="auto"/>
                <w:szCs w:val="20"/>
                <w:highlight w:val="none"/>
              </w:rPr>
              <w:t>15</w:t>
            </w:r>
          </w:p>
        </w:tc>
        <w:tc>
          <w:tcPr>
            <w:tcW w:w="735" w:type="dxa"/>
            <w:tcBorders>
              <w:top w:val="single" w:color="auto" w:sz="4" w:space="0"/>
              <w:left w:val="single" w:color="auto" w:sz="4" w:space="0"/>
              <w:bottom w:val="single" w:color="auto" w:sz="4" w:space="0"/>
              <w:right w:val="single" w:color="auto" w:sz="2" w:space="0"/>
            </w:tcBorders>
            <w:noWrap w:val="0"/>
            <w:vAlign w:val="center"/>
          </w:tcPr>
          <w:p w14:paraId="156A10F5">
            <w:pPr>
              <w:keepNext w:val="0"/>
              <w:keepLines w:val="0"/>
              <w:pageBreakBefore w:val="0"/>
              <w:kinsoku/>
              <w:wordWrap/>
              <w:overflowPunct/>
              <w:topLinePunct w:val="0"/>
              <w:autoSpaceDN/>
              <w:bidi w:val="0"/>
              <w:adjustRightInd w:val="0"/>
              <w:spacing w:line="288" w:lineRule="auto"/>
              <w:jc w:val="center"/>
              <w:rPr>
                <w:rFonts w:hint="eastAsia" w:ascii="宋体" w:hAnsi="宋体" w:cs="宋体"/>
                <w:snapToGrid w:val="0"/>
                <w:color w:val="auto"/>
                <w:spacing w:val="-4"/>
                <w:szCs w:val="21"/>
                <w:highlight w:val="none"/>
              </w:rPr>
            </w:pPr>
            <w:r>
              <w:rPr>
                <w:rFonts w:hint="eastAsia" w:ascii="宋体" w:hAnsi="宋体" w:cs="宋体"/>
                <w:snapToGrid w:val="0"/>
                <w:color w:val="auto"/>
                <w:spacing w:val="-4"/>
                <w:szCs w:val="21"/>
                <w:highlight w:val="none"/>
              </w:rPr>
              <w:t>客观评审</w:t>
            </w:r>
          </w:p>
        </w:tc>
      </w:tr>
    </w:tbl>
    <w:p w14:paraId="430C7D5E">
      <w:pPr>
        <w:rPr>
          <w:rFonts w:asciiTheme="majorEastAsia" w:hAnsiTheme="majorEastAsia" w:eastAsiaTheme="majorEastAsia"/>
          <w:color w:val="auto"/>
          <w:highlight w:val="none"/>
        </w:rPr>
      </w:pPr>
      <w:bookmarkStart w:id="31" w:name="_Toc522013506"/>
      <w:bookmarkStart w:id="32" w:name="_Toc20990"/>
      <w:r>
        <w:rPr>
          <w:rFonts w:asciiTheme="majorEastAsia" w:hAnsiTheme="majorEastAsia" w:eastAsiaTheme="majorEastAsia"/>
          <w:color w:val="auto"/>
          <w:highlight w:val="none"/>
        </w:rPr>
        <w:br w:type="page"/>
      </w:r>
    </w:p>
    <w:p w14:paraId="4DE1E0AB">
      <w:pPr>
        <w:spacing w:after="330" w:line="360" w:lineRule="auto"/>
        <w:jc w:val="center"/>
        <w:outlineLvl w:val="0"/>
        <w:rPr>
          <w:rFonts w:asciiTheme="majorEastAsia" w:hAnsiTheme="majorEastAsia" w:eastAsiaTheme="majorEastAsia"/>
          <w:b/>
          <w:bCs/>
          <w:color w:val="auto"/>
          <w:sz w:val="32"/>
          <w:szCs w:val="40"/>
          <w:highlight w:val="none"/>
        </w:rPr>
      </w:pPr>
      <w:bookmarkStart w:id="33" w:name="_Toc25161"/>
      <w:bookmarkStart w:id="34" w:name="_Toc18899"/>
      <w:r>
        <w:rPr>
          <w:rFonts w:asciiTheme="majorEastAsia" w:hAnsiTheme="majorEastAsia" w:eastAsiaTheme="majorEastAsia"/>
          <w:b/>
          <w:bCs/>
          <w:color w:val="auto"/>
          <w:sz w:val="32"/>
          <w:szCs w:val="40"/>
          <w:highlight w:val="none"/>
        </w:rPr>
        <w:t xml:space="preserve">第五章  </w:t>
      </w:r>
      <w:bookmarkEnd w:id="31"/>
      <w:bookmarkEnd w:id="32"/>
      <w:bookmarkEnd w:id="33"/>
      <w:r>
        <w:rPr>
          <w:rFonts w:hint="eastAsia" w:asciiTheme="majorEastAsia" w:hAnsiTheme="majorEastAsia" w:eastAsiaTheme="majorEastAsia"/>
          <w:b/>
          <w:bCs/>
          <w:color w:val="auto"/>
          <w:sz w:val="32"/>
          <w:szCs w:val="40"/>
          <w:highlight w:val="none"/>
        </w:rPr>
        <w:t>合同条款及格式</w:t>
      </w:r>
      <w:bookmarkEnd w:id="34"/>
      <w:bookmarkStart w:id="35" w:name="_Toc364002702"/>
    </w:p>
    <w:bookmarkEnd w:id="35"/>
    <w:p w14:paraId="55012A69">
      <w:pPr>
        <w:spacing w:before="240" w:line="360" w:lineRule="auto"/>
        <w:jc w:val="center"/>
        <w:rPr>
          <w:rFonts w:ascii="宋体" w:hAnsi="宋体" w:cs="宋体"/>
          <w:i/>
          <w:color w:val="auto"/>
          <w:szCs w:val="21"/>
          <w:highlight w:val="none"/>
        </w:rPr>
      </w:pPr>
      <w:bookmarkStart w:id="36" w:name="_Toc15404"/>
      <w:bookmarkStart w:id="37" w:name="_Toc522013507"/>
      <w:r>
        <w:rPr>
          <w:rFonts w:hint="eastAsia" w:ascii="宋体" w:hAnsi="宋体" w:cs="宋体"/>
          <w:i/>
          <w:color w:val="auto"/>
          <w:szCs w:val="21"/>
          <w:highlight w:val="none"/>
        </w:rPr>
        <w:t>（仅供参考；本合同为合同样稿，最终稿由甲乙双方协商后确定）</w:t>
      </w:r>
    </w:p>
    <w:p w14:paraId="296D665B">
      <w:pPr>
        <w:spacing w:line="360" w:lineRule="auto"/>
        <w:rPr>
          <w:rFonts w:ascii="宋体" w:hAnsi="宋体" w:cs="宋体"/>
          <w:color w:val="auto"/>
          <w:szCs w:val="21"/>
          <w:highlight w:val="none"/>
        </w:rPr>
      </w:pPr>
    </w:p>
    <w:p w14:paraId="2925EF64">
      <w:pPr>
        <w:keepNext w:val="0"/>
        <w:keepLines w:val="0"/>
        <w:pageBreakBefore w:val="0"/>
        <w:widowControl w:val="0"/>
        <w:tabs>
          <w:tab w:val="left" w:pos="270"/>
        </w:tabs>
        <w:kinsoku/>
        <w:wordWrap/>
        <w:overflowPunct/>
        <w:topLinePunct w:val="0"/>
        <w:bidi w:val="0"/>
        <w:spacing w:line="360" w:lineRule="auto"/>
        <w:ind w:firstLine="315" w:firstLineChars="15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本合同当事人：    </w:t>
      </w:r>
    </w:p>
    <w:p w14:paraId="6130A19E">
      <w:pPr>
        <w:keepNext w:val="0"/>
        <w:keepLines w:val="0"/>
        <w:pageBreakBefore w:val="0"/>
        <w:widowControl w:val="0"/>
        <w:tabs>
          <w:tab w:val="left" w:pos="270"/>
        </w:tabs>
        <w:kinsoku/>
        <w:wordWrap/>
        <w:overflowPunct/>
        <w:topLinePunct w:val="0"/>
        <w:bidi w:val="0"/>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委托方（以下简称甲方）：</w:t>
      </w:r>
    </w:p>
    <w:p w14:paraId="30600AF3">
      <w:pPr>
        <w:keepNext w:val="0"/>
        <w:keepLines w:val="0"/>
        <w:pageBreakBefore w:val="0"/>
        <w:widowControl w:val="0"/>
        <w:tabs>
          <w:tab w:val="left" w:pos="270"/>
        </w:tabs>
        <w:kinsoku/>
        <w:wordWrap/>
        <w:overflowPunct/>
        <w:topLinePunct w:val="0"/>
        <w:bidi w:val="0"/>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14:paraId="3AB77DAF">
      <w:pPr>
        <w:keepNext w:val="0"/>
        <w:keepLines w:val="0"/>
        <w:pageBreakBefore w:val="0"/>
        <w:widowControl w:val="0"/>
        <w:tabs>
          <w:tab w:val="left" w:pos="270"/>
        </w:tabs>
        <w:kinsoku/>
        <w:wordWrap/>
        <w:overflowPunct/>
        <w:topLinePunct w:val="0"/>
        <w:bidi w:val="0"/>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12A80ACB">
      <w:pPr>
        <w:keepNext w:val="0"/>
        <w:keepLines w:val="0"/>
        <w:pageBreakBefore w:val="0"/>
        <w:widowControl w:val="0"/>
        <w:tabs>
          <w:tab w:val="left" w:pos="270"/>
        </w:tabs>
        <w:kinsoku/>
        <w:wordWrap/>
        <w:overflowPunct/>
        <w:topLinePunct w:val="0"/>
        <w:bidi w:val="0"/>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受委托方（以下简称乙方）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w:t>
      </w:r>
    </w:p>
    <w:p w14:paraId="6F41B9C1">
      <w:pPr>
        <w:keepNext w:val="0"/>
        <w:keepLines w:val="0"/>
        <w:pageBreakBefore w:val="0"/>
        <w:widowControl w:val="0"/>
        <w:tabs>
          <w:tab w:val="left" w:pos="270"/>
        </w:tabs>
        <w:kinsoku/>
        <w:wordWrap/>
        <w:overflowPunct/>
        <w:topLinePunct w:val="0"/>
        <w:bidi w:val="0"/>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14:paraId="3F4FEDBD">
      <w:pPr>
        <w:keepNext w:val="0"/>
        <w:keepLines w:val="0"/>
        <w:pageBreakBefore w:val="0"/>
        <w:widowControl w:val="0"/>
        <w:tabs>
          <w:tab w:val="left" w:pos="270"/>
        </w:tabs>
        <w:kinsoku/>
        <w:wordWrap/>
        <w:overflowPunct/>
        <w:topLinePunct w:val="0"/>
        <w:bidi w:val="0"/>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住所地：</w:t>
      </w:r>
    </w:p>
    <w:p w14:paraId="47623BCF">
      <w:pPr>
        <w:keepNext w:val="0"/>
        <w:keepLines w:val="0"/>
        <w:pageBreakBefore w:val="0"/>
        <w:widowControl w:val="0"/>
        <w:tabs>
          <w:tab w:val="left" w:pos="270"/>
        </w:tabs>
        <w:kinsoku/>
        <w:wordWrap/>
        <w:overflowPunct/>
        <w:topLinePunct w:val="0"/>
        <w:bidi w:val="0"/>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方（以下简称</w:t>
      </w:r>
      <w:r>
        <w:rPr>
          <w:rFonts w:hint="eastAsia" w:ascii="宋体" w:hAnsi="宋体" w:cs="宋体"/>
          <w:color w:val="auto"/>
          <w:sz w:val="21"/>
          <w:szCs w:val="21"/>
          <w:highlight w:val="none"/>
          <w:lang w:val="en-US" w:eastAsia="zh-CN"/>
        </w:rPr>
        <w:t>丙</w:t>
      </w:r>
      <w:r>
        <w:rPr>
          <w:rFonts w:hint="eastAsia" w:ascii="宋体" w:hAnsi="宋体" w:eastAsia="宋体" w:cs="宋体"/>
          <w:color w:val="auto"/>
          <w:sz w:val="21"/>
          <w:szCs w:val="21"/>
          <w:highlight w:val="none"/>
        </w:rPr>
        <w:t>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w:t>
      </w:r>
    </w:p>
    <w:p w14:paraId="35163ECC">
      <w:pPr>
        <w:keepNext w:val="0"/>
        <w:keepLines w:val="0"/>
        <w:pageBreakBefore w:val="0"/>
        <w:widowControl w:val="0"/>
        <w:tabs>
          <w:tab w:val="left" w:pos="270"/>
        </w:tabs>
        <w:kinsoku/>
        <w:wordWrap/>
        <w:overflowPunct/>
        <w:topLinePunct w:val="0"/>
        <w:bidi w:val="0"/>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14:paraId="0AF29739">
      <w:pPr>
        <w:keepNext w:val="0"/>
        <w:keepLines w:val="0"/>
        <w:pageBreakBefore w:val="0"/>
        <w:widowControl w:val="0"/>
        <w:tabs>
          <w:tab w:val="left" w:pos="270"/>
        </w:tabs>
        <w:kinsoku/>
        <w:wordWrap/>
        <w:overflowPunct/>
        <w:topLinePunct w:val="0"/>
        <w:bidi w:val="0"/>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住所地：</w:t>
      </w:r>
    </w:p>
    <w:p w14:paraId="5AABA9EC">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一、服务期限：自      年   月  日—     年   月  日。</w:t>
      </w:r>
    </w:p>
    <w:p w14:paraId="1078C0F1">
      <w:pPr>
        <w:keepNext w:val="0"/>
        <w:keepLines w:val="0"/>
        <w:pageBreakBefore w:val="0"/>
        <w:widowControl w:val="0"/>
        <w:kinsoku/>
        <w:wordWrap/>
        <w:overflowPunct/>
        <w:topLinePunct w:val="0"/>
        <w:bidi w:val="0"/>
        <w:snapToGrid w:val="0"/>
        <w:spacing w:line="360" w:lineRule="auto"/>
        <w:ind w:left="840" w:hanging="840" w:hangingChars="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二、年度服务经费：         万元人民币</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         元</w:t>
      </w:r>
      <w:r>
        <w:rPr>
          <w:rFonts w:hint="eastAsia" w:ascii="宋体" w:hAnsi="宋体" w:cs="宋体"/>
          <w:color w:val="auto"/>
          <w:sz w:val="21"/>
          <w:szCs w:val="21"/>
          <w:highlight w:val="none"/>
          <w:lang w:val="en-US" w:eastAsia="zh-CN"/>
        </w:rPr>
        <w:t>/人/月</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6C6FFBE0">
      <w:pPr>
        <w:keepNext w:val="0"/>
        <w:keepLines w:val="0"/>
        <w:pageBreakBefore w:val="0"/>
        <w:widowControl w:val="0"/>
        <w:kinsoku/>
        <w:wordWrap/>
        <w:overflowPunct/>
        <w:topLinePunct w:val="0"/>
        <w:bidi w:val="0"/>
        <w:snapToGrid w:val="0"/>
        <w:spacing w:line="360" w:lineRule="auto"/>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年度服务经费为完成一年度横街镇各校安保服务的得费用。包含人员费用，工器具使用费用、管理费用及利润、其他费用、税金等完成一年度横街镇各校安保服务的所有费用。</w:t>
      </w:r>
    </w:p>
    <w:p w14:paraId="2BAE5D34">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三、服务经费的支付：</w:t>
      </w:r>
    </w:p>
    <w:p w14:paraId="16885F13">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按月支付</w:t>
      </w:r>
      <w:r>
        <w:rPr>
          <w:rFonts w:hint="eastAsia" w:ascii="宋体" w:hAnsi="宋体" w:eastAsia="宋体" w:cs="宋体"/>
          <w:color w:val="auto"/>
          <w:sz w:val="21"/>
          <w:szCs w:val="21"/>
          <w:highlight w:val="none"/>
        </w:rPr>
        <w:t>；</w:t>
      </w:r>
    </w:p>
    <w:p w14:paraId="4EDD8612">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2、当月服务经费与该月度考核结果挂钩，当月服务经费=年度总费用/12-该月度考核扣款。</w:t>
      </w:r>
    </w:p>
    <w:p w14:paraId="782B05D5">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3、采购人于次月5日前向中标人通知上月度考核结果及相应扣款，中标人于5个工作日内，向采购人提交该月服务经费的等额发票，采购人收到发票后，核拨经费。</w:t>
      </w:r>
    </w:p>
    <w:p w14:paraId="4E7873C5">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四、履约保证金</w:t>
      </w:r>
    </w:p>
    <w:p w14:paraId="74D4BD11">
      <w:pPr>
        <w:keepNext w:val="0"/>
        <w:keepLines w:val="0"/>
        <w:pageBreakBefore w:val="0"/>
        <w:widowControl w:val="0"/>
        <w:kinsoku/>
        <w:wordWrap/>
        <w:overflowPunct/>
        <w:topLinePunct w:val="0"/>
        <w:bidi w:val="0"/>
        <w:snapToGrid w:val="0"/>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本项目无履约保证金</w:t>
      </w:r>
    </w:p>
    <w:p w14:paraId="466D1634">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五、转包或分包</w:t>
      </w:r>
    </w:p>
    <w:p w14:paraId="18F0A5F4">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5.1本合同范围的服务，应由乙方直接提供，不得转让他人；</w:t>
      </w:r>
    </w:p>
    <w:p w14:paraId="6CAD0066">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 除非得到甲方的书面同意，乙方不得分包给他人。</w:t>
      </w:r>
    </w:p>
    <w:p w14:paraId="3C0E825D">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5.3如有转让和未经需方同意的分包行为，甲方有权给予终止合同。</w:t>
      </w:r>
    </w:p>
    <w:p w14:paraId="2E539741">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六、税</w:t>
      </w:r>
    </w:p>
    <w:p w14:paraId="3D54DF56">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6.1本合同执行中相关的一切税费均由乙方负担。</w:t>
      </w:r>
    </w:p>
    <w:p w14:paraId="6C50B80E">
      <w:pPr>
        <w:pStyle w:val="25"/>
        <w:keepNext w:val="0"/>
        <w:keepLines w:val="0"/>
        <w:pageBreakBefore w:val="0"/>
        <w:widowControl w:val="0"/>
        <w:kinsoku/>
        <w:wordWrap/>
        <w:overflowPunct/>
        <w:topLinePunct w:val="0"/>
        <w:bidi w:val="0"/>
        <w:snapToGrid w:val="0"/>
        <w:spacing w:beforeLines="0" w:afterLines="0" w:line="360" w:lineRule="auto"/>
        <w:ind w:left="360" w:hanging="361" w:hangingChars="171"/>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七、服务要求</w:t>
      </w:r>
    </w:p>
    <w:p w14:paraId="52E96127">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一、工作要求</w:t>
      </w:r>
    </w:p>
    <w:tbl>
      <w:tblPr>
        <w:tblStyle w:val="45"/>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122"/>
        <w:gridCol w:w="6331"/>
      </w:tblGrid>
      <w:tr w14:paraId="5B35F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24" w:type="dxa"/>
            <w:noWrap w:val="0"/>
            <w:vAlign w:val="center"/>
          </w:tcPr>
          <w:p w14:paraId="658E0B89">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班次</w:t>
            </w:r>
          </w:p>
        </w:tc>
        <w:tc>
          <w:tcPr>
            <w:tcW w:w="2186" w:type="dxa"/>
            <w:noWrap w:val="0"/>
            <w:vAlign w:val="center"/>
          </w:tcPr>
          <w:p w14:paraId="0B5B170A">
            <w:pPr>
              <w:keepNext w:val="0"/>
              <w:keepLines w:val="0"/>
              <w:pageBreakBefore w:val="0"/>
              <w:kinsoku/>
              <w:wordWrap/>
              <w:overflowPunct/>
              <w:topLinePunct w:val="0"/>
              <w:autoSpaceDE w:val="0"/>
              <w:autoSpaceDN w:val="0"/>
              <w:bidi w:val="0"/>
              <w:adjustRightInd w:val="0"/>
              <w:snapToGrid w:val="0"/>
              <w:spacing w:line="240" w:lineRule="auto"/>
              <w:ind w:firstLine="422" w:firstLineChars="20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工作职责</w:t>
            </w:r>
          </w:p>
        </w:tc>
        <w:tc>
          <w:tcPr>
            <w:tcW w:w="6537" w:type="dxa"/>
            <w:noWrap w:val="0"/>
            <w:vAlign w:val="center"/>
          </w:tcPr>
          <w:p w14:paraId="3D246868">
            <w:pPr>
              <w:keepNext w:val="0"/>
              <w:keepLines w:val="0"/>
              <w:pageBreakBefore w:val="0"/>
              <w:kinsoku/>
              <w:wordWrap/>
              <w:overflowPunct/>
              <w:topLinePunct w:val="0"/>
              <w:autoSpaceDE w:val="0"/>
              <w:autoSpaceDN w:val="0"/>
              <w:bidi w:val="0"/>
              <w:adjustRightInd w:val="0"/>
              <w:snapToGrid w:val="0"/>
              <w:spacing w:line="240" w:lineRule="auto"/>
              <w:ind w:firstLine="422" w:firstLineChars="20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工作要求</w:t>
            </w:r>
          </w:p>
        </w:tc>
      </w:tr>
      <w:tr w14:paraId="59D80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24" w:type="dxa"/>
            <w:vMerge w:val="restart"/>
            <w:noWrap w:val="0"/>
            <w:vAlign w:val="center"/>
          </w:tcPr>
          <w:p w14:paraId="06CFC3DF">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白天工作要求</w:t>
            </w:r>
          </w:p>
        </w:tc>
        <w:tc>
          <w:tcPr>
            <w:tcW w:w="2186" w:type="dxa"/>
            <w:noWrap w:val="0"/>
            <w:vAlign w:val="center"/>
          </w:tcPr>
          <w:p w14:paraId="14B20477">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1、在师生到校前开门。</w:t>
            </w:r>
          </w:p>
        </w:tc>
        <w:tc>
          <w:tcPr>
            <w:tcW w:w="6537" w:type="dxa"/>
            <w:noWrap w:val="0"/>
            <w:vAlign w:val="center"/>
          </w:tcPr>
          <w:p w14:paraId="1056C527">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应及时做好相应办公楼大门的开锁工作。</w:t>
            </w:r>
          </w:p>
        </w:tc>
      </w:tr>
      <w:tr w14:paraId="0BDC4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924" w:type="dxa"/>
            <w:vMerge w:val="continue"/>
            <w:noWrap w:val="0"/>
            <w:vAlign w:val="center"/>
          </w:tcPr>
          <w:p w14:paraId="3881B64D">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p>
        </w:tc>
        <w:tc>
          <w:tcPr>
            <w:tcW w:w="2186" w:type="dxa"/>
            <w:noWrap w:val="0"/>
            <w:vAlign w:val="center"/>
          </w:tcPr>
          <w:p w14:paraId="6A0F6401">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2、做好每天的升国旗工作。</w:t>
            </w:r>
          </w:p>
        </w:tc>
        <w:tc>
          <w:tcPr>
            <w:tcW w:w="6537" w:type="dxa"/>
            <w:noWrap w:val="0"/>
            <w:vAlign w:val="center"/>
          </w:tcPr>
          <w:p w14:paraId="5E137F6F">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1、早上升国旗，下雨天除外；</w:t>
            </w:r>
          </w:p>
          <w:p w14:paraId="7AC4E435">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2、遇天气变化，及时降国旗；</w:t>
            </w:r>
          </w:p>
          <w:p w14:paraId="72CA13A6">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3、保管好国旗，保持国旗的清洁。</w:t>
            </w:r>
          </w:p>
        </w:tc>
      </w:tr>
      <w:tr w14:paraId="13E16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924" w:type="dxa"/>
            <w:vMerge w:val="continue"/>
            <w:noWrap w:val="0"/>
            <w:vAlign w:val="center"/>
          </w:tcPr>
          <w:p w14:paraId="4DDB66A2">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p>
        </w:tc>
        <w:tc>
          <w:tcPr>
            <w:tcW w:w="2186" w:type="dxa"/>
            <w:noWrap w:val="0"/>
            <w:vAlign w:val="center"/>
          </w:tcPr>
          <w:p w14:paraId="68C76B94">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3、学生上、放学时段，在学校大门口按学校要求立岗。</w:t>
            </w:r>
          </w:p>
        </w:tc>
        <w:tc>
          <w:tcPr>
            <w:tcW w:w="6537" w:type="dxa"/>
            <w:noWrap w:val="0"/>
            <w:vAlign w:val="center"/>
          </w:tcPr>
          <w:p w14:paraId="12D08BCA">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要求服装整齐，穿戴符合规定要求（五件套），维护进出人员秩序，观察、制止可疑人员靠近师生。</w:t>
            </w:r>
          </w:p>
        </w:tc>
      </w:tr>
      <w:tr w14:paraId="05F0A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24" w:type="dxa"/>
            <w:vMerge w:val="continue"/>
            <w:noWrap w:val="0"/>
            <w:vAlign w:val="center"/>
          </w:tcPr>
          <w:p w14:paraId="71518F6D">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p>
        </w:tc>
        <w:tc>
          <w:tcPr>
            <w:tcW w:w="2186" w:type="dxa"/>
            <w:noWrap w:val="0"/>
            <w:vAlign w:val="center"/>
          </w:tcPr>
          <w:p w14:paraId="6B95F850">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4、严格执行车辆、人员出入规定，发现可疑情况及时报告。</w:t>
            </w:r>
          </w:p>
        </w:tc>
        <w:tc>
          <w:tcPr>
            <w:tcW w:w="6537" w:type="dxa"/>
            <w:noWrap w:val="0"/>
            <w:vAlign w:val="center"/>
          </w:tcPr>
          <w:p w14:paraId="74974B05">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1、对进出车辆进行查问，对外来来访人员车辆，经核实后，做好登记；</w:t>
            </w:r>
          </w:p>
          <w:p w14:paraId="43726713">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2、值班人员应文明执勤，礼貌待人，不允许与外来人员争吵纠纷，如确实无法处理，应及时报告；</w:t>
            </w:r>
          </w:p>
          <w:p w14:paraId="1745CC96">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3、值班人员应监督控制，监督经允许进入的人员等其他需要控制的人员；</w:t>
            </w:r>
          </w:p>
          <w:p w14:paraId="07846F91">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4、对驶出的厢式车、面包车应开箱检查，有可疑情况及时报告。</w:t>
            </w:r>
          </w:p>
          <w:p w14:paraId="10B2FEA8">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5、特殊时期，按特殊规定操作。</w:t>
            </w:r>
          </w:p>
        </w:tc>
      </w:tr>
      <w:tr w14:paraId="7B946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24" w:type="dxa"/>
            <w:vMerge w:val="continue"/>
            <w:noWrap w:val="0"/>
            <w:vAlign w:val="center"/>
          </w:tcPr>
          <w:p w14:paraId="2E89DCCB">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p>
        </w:tc>
        <w:tc>
          <w:tcPr>
            <w:tcW w:w="2186" w:type="dxa"/>
            <w:noWrap w:val="0"/>
            <w:vAlign w:val="center"/>
          </w:tcPr>
          <w:p w14:paraId="596AA17C">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5、要求在校园内不间断巡逻。</w:t>
            </w:r>
          </w:p>
        </w:tc>
        <w:tc>
          <w:tcPr>
            <w:tcW w:w="6537" w:type="dxa"/>
            <w:noWrap w:val="0"/>
            <w:vAlign w:val="center"/>
          </w:tcPr>
          <w:p w14:paraId="287FF22B">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1、确保校园安全，特别关注池塘、球场、停车场及建筑物周边安全，特别是监控死角，发现安全隐患及时报告；</w:t>
            </w:r>
          </w:p>
          <w:p w14:paraId="78AC385E">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2、做好进出车辆停放的引导和安全管理工作，逢有会议要对车俩停放及时指挥；</w:t>
            </w:r>
          </w:p>
          <w:p w14:paraId="4B70DB7A">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3、及时做好巡查记录，每隔一小时在单位内巡查一次。</w:t>
            </w:r>
          </w:p>
        </w:tc>
      </w:tr>
      <w:tr w14:paraId="323A9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24" w:type="dxa"/>
            <w:vMerge w:val="continue"/>
            <w:noWrap w:val="0"/>
            <w:vAlign w:val="center"/>
          </w:tcPr>
          <w:p w14:paraId="3EA4DF06">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p>
        </w:tc>
        <w:tc>
          <w:tcPr>
            <w:tcW w:w="2186" w:type="dxa"/>
            <w:noWrap w:val="0"/>
            <w:vAlign w:val="center"/>
          </w:tcPr>
          <w:p w14:paraId="51FBF841">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6、接收报刊杂志和各类邮件、快递。</w:t>
            </w:r>
          </w:p>
        </w:tc>
        <w:tc>
          <w:tcPr>
            <w:tcW w:w="6537" w:type="dxa"/>
            <w:noWrap w:val="0"/>
            <w:vAlign w:val="center"/>
          </w:tcPr>
          <w:p w14:paraId="4BBDBC48">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要求及时接受、登记，并按要求保管或送达指定地点。</w:t>
            </w:r>
          </w:p>
        </w:tc>
      </w:tr>
      <w:tr w14:paraId="1A7FA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24" w:type="dxa"/>
            <w:vMerge w:val="continue"/>
            <w:noWrap w:val="0"/>
            <w:vAlign w:val="center"/>
          </w:tcPr>
          <w:p w14:paraId="0AFCA76D">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p>
        </w:tc>
        <w:tc>
          <w:tcPr>
            <w:tcW w:w="2186" w:type="dxa"/>
            <w:noWrap w:val="0"/>
            <w:vAlign w:val="center"/>
          </w:tcPr>
          <w:p w14:paraId="0BCCD7E1">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7、认真做好消控设备和监控设施的检查、检测和监视。</w:t>
            </w:r>
          </w:p>
        </w:tc>
        <w:tc>
          <w:tcPr>
            <w:tcW w:w="6537" w:type="dxa"/>
            <w:noWrap w:val="0"/>
            <w:vAlign w:val="center"/>
          </w:tcPr>
          <w:p w14:paraId="20AC8B28">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1、发现安全隐患和监控报警及时处置，遇突发性事件需要支援时及时做好报警，第一时间控制事态发展或事故发生。</w:t>
            </w:r>
          </w:p>
          <w:p w14:paraId="6E115688">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2、遇消控设备和监控设施损坏或监控时间不准，及时报告维修。</w:t>
            </w:r>
          </w:p>
        </w:tc>
      </w:tr>
      <w:tr w14:paraId="4BA53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24" w:type="dxa"/>
            <w:vMerge w:val="continue"/>
            <w:noWrap w:val="0"/>
            <w:vAlign w:val="center"/>
          </w:tcPr>
          <w:p w14:paraId="36BF80A3">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p>
        </w:tc>
        <w:tc>
          <w:tcPr>
            <w:tcW w:w="2186" w:type="dxa"/>
            <w:noWrap w:val="0"/>
            <w:vAlign w:val="center"/>
          </w:tcPr>
          <w:p w14:paraId="4A3DC6AE">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8、按规定要求做好台账</w:t>
            </w:r>
          </w:p>
        </w:tc>
        <w:tc>
          <w:tcPr>
            <w:tcW w:w="6537" w:type="dxa"/>
            <w:noWrap w:val="0"/>
            <w:vAlign w:val="center"/>
          </w:tcPr>
          <w:p w14:paraId="439EAFA6">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要求保安人员记录或协助记录的台账，按规定要求记录完整并保存好8本或9本台账资料</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具体以采购人要求为准</w:t>
            </w:r>
            <w:r>
              <w:rPr>
                <w:rFonts w:hint="eastAsia" w:ascii="宋体" w:hAnsi="宋体" w:eastAsia="宋体" w:cs="宋体"/>
                <w:color w:val="auto"/>
                <w:sz w:val="21"/>
                <w:szCs w:val="21"/>
                <w:highlight w:val="none"/>
              </w:rPr>
              <w:t>。</w:t>
            </w:r>
          </w:p>
        </w:tc>
      </w:tr>
      <w:tr w14:paraId="4FA8C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24" w:type="dxa"/>
            <w:vMerge w:val="continue"/>
            <w:noWrap w:val="0"/>
            <w:vAlign w:val="center"/>
          </w:tcPr>
          <w:p w14:paraId="34F99DC4">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p>
        </w:tc>
        <w:tc>
          <w:tcPr>
            <w:tcW w:w="2186" w:type="dxa"/>
            <w:noWrap w:val="0"/>
            <w:vAlign w:val="center"/>
          </w:tcPr>
          <w:p w14:paraId="5979D5C5">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9、做好每天的降国旗工作。</w:t>
            </w:r>
          </w:p>
        </w:tc>
        <w:tc>
          <w:tcPr>
            <w:tcW w:w="6537" w:type="dxa"/>
            <w:noWrap w:val="0"/>
            <w:vAlign w:val="center"/>
          </w:tcPr>
          <w:p w14:paraId="5C49DF09">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1、下班后降国旗；</w:t>
            </w:r>
          </w:p>
          <w:p w14:paraId="018ACB5A">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2、保管好国旗。</w:t>
            </w:r>
          </w:p>
        </w:tc>
      </w:tr>
      <w:tr w14:paraId="6FBC7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24" w:type="dxa"/>
            <w:vMerge w:val="continue"/>
            <w:noWrap w:val="0"/>
            <w:vAlign w:val="center"/>
          </w:tcPr>
          <w:p w14:paraId="0EC339A9">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p>
        </w:tc>
        <w:tc>
          <w:tcPr>
            <w:tcW w:w="2186" w:type="dxa"/>
            <w:noWrap w:val="0"/>
            <w:vAlign w:val="center"/>
          </w:tcPr>
          <w:p w14:paraId="1A167B81">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10、在师生离校后锁门。</w:t>
            </w:r>
          </w:p>
        </w:tc>
        <w:tc>
          <w:tcPr>
            <w:tcW w:w="6537" w:type="dxa"/>
            <w:noWrap w:val="0"/>
            <w:vAlign w:val="center"/>
          </w:tcPr>
          <w:p w14:paraId="4747554B">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应在检查相应大楼后及时做好大门的上锁工作。</w:t>
            </w:r>
          </w:p>
        </w:tc>
      </w:tr>
      <w:tr w14:paraId="66BD2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24" w:type="dxa"/>
            <w:vMerge w:val="continue"/>
            <w:noWrap w:val="0"/>
            <w:vAlign w:val="center"/>
          </w:tcPr>
          <w:p w14:paraId="4B3C758E">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p>
        </w:tc>
        <w:tc>
          <w:tcPr>
            <w:tcW w:w="2186" w:type="dxa"/>
            <w:noWrap w:val="0"/>
            <w:vAlign w:val="center"/>
          </w:tcPr>
          <w:p w14:paraId="0A67C2F2">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11、做好学生放学后单位内的巡查。</w:t>
            </w:r>
          </w:p>
        </w:tc>
        <w:tc>
          <w:tcPr>
            <w:tcW w:w="6537" w:type="dxa"/>
            <w:noWrap w:val="0"/>
            <w:vAlign w:val="center"/>
          </w:tcPr>
          <w:p w14:paraId="43155D06">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1、保持高度警惕，确保校园安全，特别关注池塘、球场、停车场及建筑物周边安全；</w:t>
            </w:r>
          </w:p>
          <w:p w14:paraId="0E6B4BAE">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2、对在单位内停放过夜的车辆进行管理，确保安全；</w:t>
            </w:r>
          </w:p>
          <w:p w14:paraId="1BED3AE6">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3、每隔一小时在单位各记录终端考勤一次，做好记录。</w:t>
            </w:r>
          </w:p>
          <w:p w14:paraId="3B8DB2B4">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4、发现一切可疑情况包括师生情况，及时报告学校主管。</w:t>
            </w:r>
          </w:p>
        </w:tc>
      </w:tr>
      <w:tr w14:paraId="36E9B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24" w:type="dxa"/>
            <w:vMerge w:val="restart"/>
            <w:noWrap w:val="0"/>
            <w:vAlign w:val="center"/>
          </w:tcPr>
          <w:p w14:paraId="43CC1326">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夜间工作要求</w:t>
            </w:r>
          </w:p>
        </w:tc>
        <w:tc>
          <w:tcPr>
            <w:tcW w:w="2186" w:type="dxa"/>
            <w:noWrap w:val="0"/>
            <w:vAlign w:val="center"/>
          </w:tcPr>
          <w:p w14:paraId="3F98A8B6">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1、履行好门卫的相关工作职责。</w:t>
            </w:r>
          </w:p>
        </w:tc>
        <w:tc>
          <w:tcPr>
            <w:tcW w:w="6537" w:type="dxa"/>
            <w:noWrap w:val="0"/>
            <w:vAlign w:val="center"/>
          </w:tcPr>
          <w:p w14:paraId="765FFBC7">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工作要求参照白班。</w:t>
            </w:r>
          </w:p>
        </w:tc>
      </w:tr>
      <w:tr w14:paraId="2ADBF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924" w:type="dxa"/>
            <w:vMerge w:val="continue"/>
            <w:noWrap w:val="0"/>
            <w:vAlign w:val="center"/>
          </w:tcPr>
          <w:p w14:paraId="6A4E8F17">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p>
        </w:tc>
        <w:tc>
          <w:tcPr>
            <w:tcW w:w="2186" w:type="dxa"/>
            <w:noWrap w:val="0"/>
            <w:vAlign w:val="center"/>
          </w:tcPr>
          <w:p w14:paraId="74293297">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2、做好对校园的夜间巡查工作。</w:t>
            </w:r>
          </w:p>
        </w:tc>
        <w:tc>
          <w:tcPr>
            <w:tcW w:w="6537" w:type="dxa"/>
            <w:noWrap w:val="0"/>
            <w:vAlign w:val="center"/>
          </w:tcPr>
          <w:p w14:paraId="1E87E3B2">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1、保持高度警惕，严禁工作时间睡觉；</w:t>
            </w:r>
          </w:p>
          <w:p w14:paraId="344939DD">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2、加强对校园的巡查，严禁B岗人员长时间滞留值班室；</w:t>
            </w:r>
          </w:p>
          <w:p w14:paraId="0B90BC7D">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3、对校园内的建筑物、球场、池塘、树林进行巡查，并对在单位内停放过夜的车辆实施管理，确保安全；</w:t>
            </w:r>
          </w:p>
          <w:p w14:paraId="318257C8">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4、每隔一小时在单位各记录终端考勤一次。</w:t>
            </w:r>
          </w:p>
        </w:tc>
      </w:tr>
      <w:tr w14:paraId="28C62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924" w:type="dxa"/>
            <w:vMerge w:val="continue"/>
            <w:noWrap w:val="0"/>
            <w:vAlign w:val="center"/>
          </w:tcPr>
          <w:p w14:paraId="0BD81DE2">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p>
        </w:tc>
        <w:tc>
          <w:tcPr>
            <w:tcW w:w="2186" w:type="dxa"/>
            <w:noWrap w:val="0"/>
            <w:vAlign w:val="center"/>
          </w:tcPr>
          <w:p w14:paraId="0900A140">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3、做好对校园的整体监控。</w:t>
            </w:r>
          </w:p>
        </w:tc>
        <w:tc>
          <w:tcPr>
            <w:tcW w:w="6537" w:type="dxa"/>
            <w:noWrap w:val="0"/>
            <w:vAlign w:val="center"/>
          </w:tcPr>
          <w:p w14:paraId="7F7ABA83">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1、认真做好校园监控设施设备的检查、管控；</w:t>
            </w:r>
          </w:p>
          <w:p w14:paraId="722AA452">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2、预防偷盗事件和其他安全事故的发生；</w:t>
            </w:r>
          </w:p>
          <w:p w14:paraId="5D3D3CF5">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3、发现安全隐患和监控报警及时处置，遇突发性事件需要支援时及时报警，并第一时间控制事态发展或事故发生。</w:t>
            </w:r>
          </w:p>
        </w:tc>
      </w:tr>
      <w:tr w14:paraId="0C2AB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24" w:type="dxa"/>
            <w:noWrap w:val="0"/>
            <w:vAlign w:val="center"/>
          </w:tcPr>
          <w:p w14:paraId="671FD7BA">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8723" w:type="dxa"/>
            <w:gridSpan w:val="2"/>
            <w:noWrap w:val="0"/>
            <w:vAlign w:val="center"/>
          </w:tcPr>
          <w:p w14:paraId="6F513185">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1、根据各校园实际情况，校方有权合理安排安保人员上班时间（原则上全年工作总时间不得超过国家法定工作时间总和）；</w:t>
            </w:r>
          </w:p>
          <w:p w14:paraId="49BF1DF4">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2、履行岗位职责，认真做好安全护卫工作；随时观察校门口特殊情况，发现可疑情况及时处理或报告；</w:t>
            </w:r>
          </w:p>
          <w:p w14:paraId="0280EC29">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3、安保人员设AB岗，A岗人员主要负责门卫工作及观察监控，B岗人员主要负责校园内的巡逻；</w:t>
            </w:r>
          </w:p>
          <w:p w14:paraId="763F6D0D">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4、安保人员除学生上、放学外，在岗期间按规定着装；平时应打扫工作区域，随时保持整洁，要求门卫室内物品摆放有序，周边卫生整洁，严禁家禽宠物等进入校园；</w:t>
            </w:r>
          </w:p>
          <w:p w14:paraId="037DAB02">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5、各个班次应当做好交接班工作，准时接班，按时上岗，不得脱岗。交接班室应当通报各班工作情况，填写交接班登记表、记录好当班的重要事件，并做好相关物品的交接如钥匙、双向对讲机等工作；</w:t>
            </w:r>
          </w:p>
          <w:p w14:paraId="3CA2C74B">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6、上岗前认真检查设备设施，确保接班时设施完好；</w:t>
            </w:r>
          </w:p>
          <w:p w14:paraId="472AAD76">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7、如遇各学校有其他工作需要，安保人员应配合协助做好相关工作。</w:t>
            </w:r>
          </w:p>
        </w:tc>
      </w:tr>
    </w:tbl>
    <w:p w14:paraId="1037142D">
      <w:pPr>
        <w:pStyle w:val="44"/>
        <w:ind w:left="0" w:leftChars="0" w:firstLine="0" w:firstLineChars="0"/>
        <w:rPr>
          <w:rFonts w:hint="eastAsia" w:ascii="宋体" w:hAnsi="宋体" w:eastAsia="宋体" w:cs="宋体"/>
          <w:color w:val="auto"/>
          <w:sz w:val="21"/>
          <w:szCs w:val="21"/>
          <w:highlight w:val="none"/>
        </w:rPr>
      </w:pPr>
    </w:p>
    <w:p w14:paraId="090795A3">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二、工作职责</w:t>
      </w:r>
    </w:p>
    <w:p w14:paraId="11C0506E">
      <w:pPr>
        <w:keepNext w:val="0"/>
        <w:keepLines w:val="0"/>
        <w:pageBreakBefore w:val="0"/>
        <w:widowControl w:val="0"/>
        <w:kinsoku/>
        <w:wordWrap/>
        <w:overflowPunct/>
        <w:topLinePunct w:val="0"/>
        <w:bidi w:val="0"/>
        <w:spacing w:line="360" w:lineRule="auto"/>
        <w:ind w:left="-3"/>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1、乙方根据甲方要求，派遣安保人员，并与安保人员订立劳动合同，为安保人员办理相关劳动合同和社会保障事宜；</w:t>
      </w:r>
    </w:p>
    <w:p w14:paraId="46B8C573">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2、甲方对安保工作人员进行领导、工作管理，乙方协助管理；</w:t>
      </w:r>
    </w:p>
    <w:p w14:paraId="11802F3A">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3、乙方向甲方提供以下服务，包括但不限于：</w:t>
      </w:r>
    </w:p>
    <w:p w14:paraId="3EA14F2D">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（1）代办安保工作人员的招募、录用备案手续；</w:t>
      </w:r>
    </w:p>
    <w:p w14:paraId="08381B69">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（2）调、退安保工作人员档案；</w:t>
      </w:r>
    </w:p>
    <w:p w14:paraId="1B5B3B9C">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（3）代管、代建安保工作人员档案；</w:t>
      </w:r>
    </w:p>
    <w:p w14:paraId="6D361080">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（4）出具与安保工作人员档案有关的相关证明；</w:t>
      </w:r>
    </w:p>
    <w:p w14:paraId="6929C949">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（5）支付安保工作人员的工资、社会福利及缴纳各项社会保险等；</w:t>
      </w:r>
    </w:p>
    <w:p w14:paraId="047A51F6">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（6）负责安保工作人员的岗前培训工作；</w:t>
      </w:r>
    </w:p>
    <w:p w14:paraId="2D6AFE98">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（7）处理安保工作人员的工伤纠纷、劳动争议。</w:t>
      </w:r>
    </w:p>
    <w:p w14:paraId="3EDF6587">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（8）其他与本项目有关的内容。</w:t>
      </w:r>
    </w:p>
    <w:p w14:paraId="653E420E">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三、人员配备要求</w:t>
      </w:r>
    </w:p>
    <w:p w14:paraId="30422307">
      <w:pPr>
        <w:pStyle w:val="44"/>
        <w:keepNext w:val="0"/>
        <w:keepLines w:val="0"/>
        <w:pageBreakBefore w:val="0"/>
        <w:widowControl w:val="0"/>
        <w:kinsoku/>
        <w:wordWrap/>
        <w:overflowPunct/>
        <w:topLinePunct w:val="0"/>
        <w:bidi w:val="0"/>
        <w:spacing w:line="360" w:lineRule="auto"/>
        <w:ind w:left="0" w:leftChars="0"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（一）岗位数量</w:t>
      </w:r>
    </w:p>
    <w:tbl>
      <w:tblPr>
        <w:tblStyle w:val="45"/>
        <w:tblW w:w="6408" w:type="dxa"/>
        <w:tblInd w:w="7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08"/>
        <w:gridCol w:w="2800"/>
      </w:tblGrid>
      <w:tr w14:paraId="354EA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noWrap w:val="0"/>
            <w:vAlign w:val="center"/>
          </w:tcPr>
          <w:p w14:paraId="32A0CA42">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学校</w:t>
            </w:r>
          </w:p>
        </w:tc>
        <w:tc>
          <w:tcPr>
            <w:tcW w:w="2800" w:type="dxa"/>
            <w:noWrap w:val="0"/>
            <w:vAlign w:val="center"/>
          </w:tcPr>
          <w:p w14:paraId="2A355DB2">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岗位人数（名）</w:t>
            </w:r>
          </w:p>
        </w:tc>
      </w:tr>
      <w:tr w14:paraId="1F6F5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noWrap w:val="0"/>
            <w:vAlign w:val="center"/>
          </w:tcPr>
          <w:p w14:paraId="0B204A85">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横街镇中心初级中学</w:t>
            </w:r>
          </w:p>
        </w:tc>
        <w:tc>
          <w:tcPr>
            <w:tcW w:w="2800" w:type="dxa"/>
            <w:noWrap w:val="0"/>
            <w:vAlign w:val="center"/>
          </w:tcPr>
          <w:p w14:paraId="009E3E00">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r>
      <w:tr w14:paraId="74377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noWrap w:val="0"/>
            <w:vAlign w:val="center"/>
          </w:tcPr>
          <w:p w14:paraId="6FFF8F66">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横街镇中心小学横街校区</w:t>
            </w:r>
          </w:p>
        </w:tc>
        <w:tc>
          <w:tcPr>
            <w:tcW w:w="2800" w:type="dxa"/>
            <w:noWrap w:val="0"/>
            <w:vAlign w:val="center"/>
          </w:tcPr>
          <w:p w14:paraId="6E158CD7">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r>
      <w:tr w14:paraId="69DCC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noWrap w:val="0"/>
            <w:vAlign w:val="center"/>
          </w:tcPr>
          <w:p w14:paraId="7DA8F540">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横街镇中心小学凤岙校区</w:t>
            </w:r>
          </w:p>
        </w:tc>
        <w:tc>
          <w:tcPr>
            <w:tcW w:w="2800" w:type="dxa"/>
            <w:noWrap w:val="0"/>
            <w:vAlign w:val="center"/>
          </w:tcPr>
          <w:p w14:paraId="6BF67AD5">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r>
      <w:tr w14:paraId="634A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noWrap w:val="0"/>
            <w:vAlign w:val="center"/>
          </w:tcPr>
          <w:p w14:paraId="64DB298D">
            <w:pPr>
              <w:keepNext w:val="0"/>
              <w:keepLines w:val="0"/>
              <w:pageBreakBefore w:val="0"/>
              <w:kinsoku/>
              <w:wordWrap/>
              <w:overflowPunct/>
              <w:topLinePunct w:val="0"/>
              <w:bidi w:val="0"/>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横街镇中心幼儿园</w:t>
            </w:r>
          </w:p>
        </w:tc>
        <w:tc>
          <w:tcPr>
            <w:tcW w:w="2800" w:type="dxa"/>
            <w:noWrap w:val="0"/>
            <w:vAlign w:val="center"/>
          </w:tcPr>
          <w:p w14:paraId="0185149F">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r>
      <w:tr w14:paraId="0F167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8" w:type="dxa"/>
            <w:noWrap w:val="0"/>
            <w:vAlign w:val="center"/>
          </w:tcPr>
          <w:p w14:paraId="4A8FAE26">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共计</w:t>
            </w:r>
          </w:p>
        </w:tc>
        <w:tc>
          <w:tcPr>
            <w:tcW w:w="2800" w:type="dxa"/>
            <w:noWrap w:val="0"/>
            <w:vAlign w:val="center"/>
          </w:tcPr>
          <w:p w14:paraId="16AEE763">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6</w:t>
            </w:r>
          </w:p>
        </w:tc>
      </w:tr>
    </w:tbl>
    <w:p w14:paraId="461D32DB">
      <w:pPr>
        <w:pStyle w:val="44"/>
        <w:rPr>
          <w:rFonts w:hint="eastAsia"/>
          <w:color w:val="auto"/>
          <w:highlight w:val="none"/>
        </w:rPr>
      </w:pPr>
    </w:p>
    <w:p w14:paraId="1F1FC666">
      <w:pPr>
        <w:pStyle w:val="44"/>
        <w:keepNext w:val="0"/>
        <w:keepLines w:val="0"/>
        <w:pageBreakBefore w:val="0"/>
        <w:widowControl w:val="0"/>
        <w:kinsoku/>
        <w:wordWrap/>
        <w:overflowPunct/>
        <w:topLinePunct w:val="0"/>
        <w:bidi w:val="0"/>
        <w:spacing w:line="360" w:lineRule="auto"/>
        <w:ind w:left="0" w:leftChars="0"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（二）人员要求</w:t>
      </w:r>
    </w:p>
    <w:p w14:paraId="2E7B0A0E">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1、乙方根据上述岗位合理配置人员，人员数量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w:t>
      </w:r>
    </w:p>
    <w:p w14:paraId="54EF9962">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2、保安人员要求：男性；体健康，没有传染病及精神疾病等不能控制自己行为能力的疾病病史；体貌端正；没有违法犯罪记录；报请当地公安或</w:t>
      </w:r>
      <w:r>
        <w:rPr>
          <w:rFonts w:hint="eastAsia" w:ascii="宋体" w:hAnsi="宋体" w:cs="宋体"/>
          <w:color w:val="auto"/>
          <w:sz w:val="21"/>
          <w:szCs w:val="21"/>
          <w:highlight w:val="none"/>
          <w:lang w:val="en-US" w:eastAsia="zh-CN"/>
        </w:rPr>
        <w:t>相关部门</w:t>
      </w:r>
      <w:r>
        <w:rPr>
          <w:rFonts w:hint="eastAsia" w:ascii="宋体" w:hAnsi="宋体" w:eastAsia="宋体" w:cs="宋体"/>
          <w:color w:val="auto"/>
          <w:sz w:val="21"/>
          <w:szCs w:val="21"/>
          <w:highlight w:val="none"/>
        </w:rPr>
        <w:t>核查无误；所有保安人员上岗时必须持有保安员证，并受过专门岗前培训。</w:t>
      </w:r>
    </w:p>
    <w:p w14:paraId="71143007">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保安人员需有吃苦耐劳精神，有高度的责任感，熟练掌握各项安保设施的运用，熟知学校各项规定，严格履行岗位职责，善于发现问题，具备一定的类似工作经验和处理突发事件的能力；</w:t>
      </w:r>
    </w:p>
    <w:p w14:paraId="24B13861">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3、乙方需设置项目负责人一名，全面负责日常保安队伍的管理，必须每星期到现场查岗；乙方须建立健全的内部管理体制。</w:t>
      </w:r>
    </w:p>
    <w:p w14:paraId="5B9898B6">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4、乙方须与配备的保安人员签定劳动合同，并按国家规定为保安人员缴纳社保。保安人员的应聘、录用、离职等要求手续齐全，档案管理规范，相关资料须报所在学校保卫科备案。</w:t>
      </w:r>
    </w:p>
    <w:p w14:paraId="6505BBDA">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5、乙方必须采取切实有效的措施保持保安队伍的稳定，控制人员的流动，如需要更换保安服务人员的，需提前一个月以书面形式通知甲方及相关学校分管领导，征得其同意后跟换保安服务人员。</w:t>
      </w:r>
    </w:p>
    <w:p w14:paraId="066BB271">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6、出现保安人员不能胜任保安工作或指出错误屡教不改的，应及时更换；</w:t>
      </w:r>
    </w:p>
    <w:p w14:paraId="1087A032">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7、保安人员在岗履行工作职责期间，发生自身的人身伤害、伤亡等各类事故，均由乙方负全部责任，甲方不承担任何责任；</w:t>
      </w:r>
    </w:p>
    <w:p w14:paraId="0C40DF99">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8、乙方在保安服务中，因过失造成他人人身伤亡或任何财产损失事故的，均由乙方负责处理并承担全部责任，甲方不承担任何责任；</w:t>
      </w:r>
    </w:p>
    <w:p w14:paraId="77D4C4D7">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9、乙方与聘用人员发生任何纠纷，均由乙方自行处理，甲方不承担任何责任。</w:t>
      </w:r>
    </w:p>
    <w:p w14:paraId="44946C7D">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四、装备要求：乙方完成本项目服务所需的服装费用，均由乙方自行解决，且须符合行业及甲方相关规范要求。</w:t>
      </w:r>
    </w:p>
    <w:p w14:paraId="3366EAA6">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五、其他服务要求</w:t>
      </w:r>
    </w:p>
    <w:p w14:paraId="4E8C9F51">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1、学校保安人员肩负着学校安全保卫重任，要有高度的责任感，严格遵守保安职业道德，工作时间要求在岗轮流值班，不得擅自离岗。</w:t>
      </w:r>
    </w:p>
    <w:p w14:paraId="3CDC9F78">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2、做好拉闸门、教室门的开关工作。每天放学后巡逻时，检查学校、办公室内电灯、电扇、门窗是否关好，发现未关，应及时妥善处理，做好详细记录，要向学校政教处或后勤处领导汇报。</w:t>
      </w:r>
    </w:p>
    <w:p w14:paraId="5389C158">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3、学生在上学放学时间内，要及时排除校门外(离校门15米内)的摊点、车辆等堵塞障碍物，有效控制拥挤情况。按时做好大门的开关工作(早上七时准时上岗开校门，傍晚师生离校后关校门)，做到门开人在。</w:t>
      </w:r>
    </w:p>
    <w:p w14:paraId="2AB7C524">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4、态度和蔼、语言谦虚，不急不躁，认真细致、耐心；不得冷淡、刁难、取笑他人，不得与学生打闹。</w:t>
      </w:r>
    </w:p>
    <w:p w14:paraId="0BD70E05">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5、与教师、学生或来访者交谈要使用普通话，说话要清楚，用词准确、言简易懂，不讲与工作无关的话，不讲有损学校形象的话。</w:t>
      </w:r>
    </w:p>
    <w:p w14:paraId="1AE5FD16">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6、教职工到来，应主动迎接，认真听取教职工的意见，遇需要帮助的情形，在保证安全的前提下提供力所能及的帮助，因影响安全不能帮助的，应主动解释力求得到谅解。</w:t>
      </w:r>
    </w:p>
    <w:p w14:paraId="7F2BA27B">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7、各种意见或投诉要认真听取，弄清情况，做好笔录，及时处理，如非本职工作范围，即时通知责任人或向领导汇报。</w:t>
      </w:r>
    </w:p>
    <w:p w14:paraId="45AF182A">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业务训练是保安员工作的一个重要组成部分，每位保安员都须参加乙方组织的全部训练。保安员要主动进行业务练兵，摸熟摸透与安全、消防相关的环境、设施等，掌握接待、应对方式，提高业务知识、技能，提高工作效率。保安员的专业技能培训每学期不少于1次。</w:t>
      </w:r>
    </w:p>
    <w:p w14:paraId="1EF74C48">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妥善保管并用好保安工作的八件套装备（防暴头盔、防护盾牌、防刺背心、防割手套、橡胶警棍、强光电筒、自卫喷雾剂、安全钢叉），定期检查安保器械，确保“八件套”、110紧急报警按钮、报警设备和校内视频处于正常运行状态，发现问题及时上报学校，并作好记录。</w:t>
      </w:r>
    </w:p>
    <w:p w14:paraId="01E1AEE9">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10、所有保安员须熟悉学校所有物防技防设备、报警设备，正确并熟练使用学校物防技防等器材。督促、指导学校做好每月一次、幼儿园每季一次的应急演练工作(如消防、防暴、防震、防空等)。</w:t>
      </w:r>
    </w:p>
    <w:p w14:paraId="7A91D3EF">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11、完成学校交办的其它相关工作，既要明确责任分工，又要加强合作。</w:t>
      </w:r>
    </w:p>
    <w:p w14:paraId="01BF2A17">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12、配合公安机关，打击各类违法犯罪活动。</w:t>
      </w:r>
    </w:p>
    <w:p w14:paraId="216CE052">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13、乙方如因工作失职，造成学校财产损失或人员伤亡，承担全部责任。</w:t>
      </w:r>
    </w:p>
    <w:p w14:paraId="1C99238D">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六、其他说明</w:t>
      </w:r>
    </w:p>
    <w:p w14:paraId="5A85D4CE">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1、供应商提供的服务须确保能满足甲方提出的要求。</w:t>
      </w:r>
    </w:p>
    <w:p w14:paraId="1992942D">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2、保安人员的吃、住等生活问题，由乙方自行解决。</w:t>
      </w:r>
    </w:p>
    <w:p w14:paraId="79D6C913">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需制订用工计划和加强劳动用工管理，须符合劳动法律法规以及宁波市相关政策规定，根据国家规定应支付的各项费用由乙方支付给保安人员，包括工资、津贴、社会保险等；承担体检、培训费用，并负责办理上岗人员的暂住证等有关证件，保证满足工作需要。</w:t>
      </w:r>
    </w:p>
    <w:p w14:paraId="57348FF8">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4、配置保安人员缺岗的扣除缺岗人员的相应费用。缺岗人数累加超过10人次/年的，甲方有权终止合同。</w:t>
      </w:r>
    </w:p>
    <w:p w14:paraId="47C81EBE">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5、在履行合同期间，年度服务金额不作调整。</w:t>
      </w:r>
    </w:p>
    <w:p w14:paraId="2E69C11D">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6、若遇各类创建活动、特殊天气等特殊时期，乙方需无条件服从甲方、学校的指挥，如甲方要求增配人员或延时作业的，乙方须配合，特殊时期额外产生的费用不另行向甲方收费。</w:t>
      </w:r>
    </w:p>
    <w:p w14:paraId="73922A6E">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七、考核与经费的核拨详见合同附件。</w:t>
      </w:r>
    </w:p>
    <w:p w14:paraId="53436A4F">
      <w:pPr>
        <w:pStyle w:val="25"/>
        <w:keepNext w:val="0"/>
        <w:keepLines w:val="0"/>
        <w:pageBreakBefore w:val="0"/>
        <w:widowControl w:val="0"/>
        <w:kinsoku/>
        <w:wordWrap/>
        <w:overflowPunct/>
        <w:topLinePunct w:val="0"/>
        <w:bidi w:val="0"/>
        <w:snapToGrid w:val="0"/>
        <w:spacing w:beforeLines="0" w:afterLines="0"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八、不可抗力事件处理</w:t>
      </w:r>
    </w:p>
    <w:p w14:paraId="19C0BA2B">
      <w:pPr>
        <w:pStyle w:val="25"/>
        <w:keepNext w:val="0"/>
        <w:keepLines w:val="0"/>
        <w:pageBreakBefore w:val="0"/>
        <w:widowControl w:val="0"/>
        <w:kinsoku/>
        <w:wordWrap/>
        <w:overflowPunct/>
        <w:topLinePunct w:val="0"/>
        <w:bidi w:val="0"/>
        <w:snapToGrid w:val="0"/>
        <w:spacing w:beforeLines="0" w:afterLines="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 在合同有效期内，任何一方因不可抗力事件导致不能履行合同，则合同履行期可延长，其延长期与不可抗力影响期相同。</w:t>
      </w:r>
    </w:p>
    <w:p w14:paraId="502C0B87">
      <w:pPr>
        <w:pStyle w:val="25"/>
        <w:keepNext w:val="0"/>
        <w:keepLines w:val="0"/>
        <w:pageBreakBefore w:val="0"/>
        <w:widowControl w:val="0"/>
        <w:kinsoku/>
        <w:wordWrap/>
        <w:overflowPunct/>
        <w:topLinePunct w:val="0"/>
        <w:bidi w:val="0"/>
        <w:snapToGrid w:val="0"/>
        <w:spacing w:beforeLines="0" w:afterLines="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 不可抗力事件发生后，应立即通知对方，并寄送有关权威机构出具的证明。</w:t>
      </w:r>
    </w:p>
    <w:p w14:paraId="2FF0EC50">
      <w:pPr>
        <w:pStyle w:val="25"/>
        <w:keepNext w:val="0"/>
        <w:keepLines w:val="0"/>
        <w:pageBreakBefore w:val="0"/>
        <w:widowControl w:val="0"/>
        <w:kinsoku/>
        <w:wordWrap/>
        <w:overflowPunct/>
        <w:topLinePunct w:val="0"/>
        <w:bidi w:val="0"/>
        <w:snapToGrid w:val="0"/>
        <w:spacing w:beforeLines="0" w:afterLines="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 不可抗力事件延续120天以上，双方应通过友好协商，确定是否继续履行合同。</w:t>
      </w:r>
    </w:p>
    <w:p w14:paraId="32B1E1C1">
      <w:pPr>
        <w:pStyle w:val="25"/>
        <w:keepNext w:val="0"/>
        <w:keepLines w:val="0"/>
        <w:pageBreakBefore w:val="0"/>
        <w:widowControl w:val="0"/>
        <w:kinsoku/>
        <w:wordWrap/>
        <w:overflowPunct/>
        <w:topLinePunct w:val="0"/>
        <w:bidi w:val="0"/>
        <w:snapToGrid w:val="0"/>
        <w:spacing w:beforeLines="0" w:afterLines="0"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九、诉讼</w:t>
      </w:r>
    </w:p>
    <w:p w14:paraId="638FD518">
      <w:pPr>
        <w:pStyle w:val="25"/>
        <w:keepNext w:val="0"/>
        <w:keepLines w:val="0"/>
        <w:pageBreakBefore w:val="0"/>
        <w:widowControl w:val="0"/>
        <w:kinsoku/>
        <w:wordWrap/>
        <w:overflowPunct/>
        <w:topLinePunct w:val="0"/>
        <w:bidi w:val="0"/>
        <w:snapToGrid w:val="0"/>
        <w:spacing w:beforeLines="0" w:afterLines="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 双方在执行合同中所发生的一切争议，应通过协商解决。如协商不成，可向合同签订地法院起诉。</w:t>
      </w:r>
    </w:p>
    <w:p w14:paraId="60E40C79">
      <w:pPr>
        <w:pStyle w:val="25"/>
        <w:keepNext w:val="0"/>
        <w:keepLines w:val="0"/>
        <w:pageBreakBefore w:val="0"/>
        <w:widowControl w:val="0"/>
        <w:kinsoku/>
        <w:wordWrap/>
        <w:overflowPunct/>
        <w:topLinePunct w:val="0"/>
        <w:bidi w:val="0"/>
        <w:snapToGrid w:val="0"/>
        <w:spacing w:beforeLines="0" w:afterLines="0"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十、合同生效及其它</w:t>
      </w:r>
    </w:p>
    <w:p w14:paraId="412FCB89">
      <w:pPr>
        <w:pStyle w:val="25"/>
        <w:keepNext w:val="0"/>
        <w:keepLines w:val="0"/>
        <w:pageBreakBefore w:val="0"/>
        <w:widowControl w:val="0"/>
        <w:kinsoku/>
        <w:wordWrap/>
        <w:overflowPunct/>
        <w:topLinePunct w:val="0"/>
        <w:bidi w:val="0"/>
        <w:snapToGrid w:val="0"/>
        <w:spacing w:beforeLines="0" w:afterLines="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 合同经双方法定代表人或授权委托代理人签字并加盖单位公章并由乙方缴纳履约保证金后生效。</w:t>
      </w:r>
    </w:p>
    <w:p w14:paraId="09B62892">
      <w:pPr>
        <w:pStyle w:val="25"/>
        <w:keepNext w:val="0"/>
        <w:keepLines w:val="0"/>
        <w:pageBreakBefore w:val="0"/>
        <w:widowControl w:val="0"/>
        <w:kinsoku/>
        <w:wordWrap/>
        <w:overflowPunct/>
        <w:topLinePunct w:val="0"/>
        <w:bidi w:val="0"/>
        <w:snapToGrid w:val="0"/>
        <w:spacing w:beforeLines="0" w:afterLines="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10.2合同执行中涉及采购资金和采购内容修改或补充的，须经海曙区财政部门审批，并签书面补充协议报政府采购监督管理部门备案，方可作为主合同不可分割的一部分。</w:t>
      </w:r>
    </w:p>
    <w:p w14:paraId="15CA1F36">
      <w:pPr>
        <w:pStyle w:val="25"/>
        <w:keepNext w:val="0"/>
        <w:keepLines w:val="0"/>
        <w:pageBreakBefore w:val="0"/>
        <w:widowControl w:val="0"/>
        <w:kinsoku/>
        <w:wordWrap/>
        <w:overflowPunct/>
        <w:topLinePunct w:val="0"/>
        <w:bidi w:val="0"/>
        <w:snapToGrid w:val="0"/>
        <w:spacing w:beforeLines="0" w:afterLines="0" w:line="360" w:lineRule="auto"/>
        <w:ind w:left="420" w:hanging="420" w:hanging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10.3本合同未尽事宜，遵照《</w:t>
      </w:r>
      <w:r>
        <w:rPr>
          <w:rFonts w:hint="eastAsia" w:hAnsi="宋体" w:cs="宋体"/>
          <w:color w:val="auto"/>
          <w:sz w:val="21"/>
          <w:szCs w:val="21"/>
          <w:highlight w:val="none"/>
          <w:lang w:eastAsia="zh-CN"/>
        </w:rPr>
        <w:t>中华人民共和国民法典</w:t>
      </w:r>
      <w:r>
        <w:rPr>
          <w:rFonts w:hint="eastAsia" w:ascii="宋体" w:hAnsi="宋体" w:eastAsia="宋体" w:cs="宋体"/>
          <w:color w:val="auto"/>
          <w:sz w:val="21"/>
          <w:szCs w:val="21"/>
          <w:highlight w:val="none"/>
        </w:rPr>
        <w:t>》有关条文、补充协议、投标承诺、投标文件、招标文件及补充执行。</w:t>
      </w:r>
    </w:p>
    <w:p w14:paraId="1846173A">
      <w:pPr>
        <w:pStyle w:val="25"/>
        <w:keepNext w:val="0"/>
        <w:keepLines w:val="0"/>
        <w:pageBreakBefore w:val="0"/>
        <w:widowControl w:val="0"/>
        <w:kinsoku/>
        <w:wordWrap/>
        <w:overflowPunct/>
        <w:topLinePunct w:val="0"/>
        <w:bidi w:val="0"/>
        <w:snapToGrid w:val="0"/>
        <w:spacing w:beforeLines="0" w:afterLines="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 本合同正本一式</w:t>
      </w:r>
      <w:r>
        <w:rPr>
          <w:rFonts w:hint="eastAsia"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份，甲乙双方各执</w:t>
      </w:r>
      <w:r>
        <w:rPr>
          <w:rFonts w:hint="eastAsia"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份；具有同等法律效力。</w:t>
      </w:r>
    </w:p>
    <w:p w14:paraId="5C91989D">
      <w:pPr>
        <w:pStyle w:val="25"/>
        <w:keepNext w:val="0"/>
        <w:keepLines w:val="0"/>
        <w:pageBreakBefore w:val="0"/>
        <w:widowControl w:val="0"/>
        <w:kinsoku/>
        <w:wordWrap/>
        <w:overflowPunct/>
        <w:topLinePunct w:val="0"/>
        <w:bidi w:val="0"/>
        <w:snapToGrid w:val="0"/>
        <w:spacing w:beforeLines="0" w:afterLines="0" w:line="360" w:lineRule="auto"/>
        <w:ind w:left="420" w:leftChars="100" w:hanging="210" w:hangingChars="100"/>
        <w:textAlignment w:val="auto"/>
        <w:rPr>
          <w:rFonts w:hint="eastAsia" w:ascii="宋体" w:hAnsi="宋体" w:eastAsia="宋体" w:cs="宋体"/>
          <w:color w:val="auto"/>
          <w:sz w:val="21"/>
          <w:szCs w:val="21"/>
          <w:highlight w:val="none"/>
        </w:rPr>
      </w:pPr>
    </w:p>
    <w:p w14:paraId="00010080">
      <w:pPr>
        <w:pStyle w:val="25"/>
        <w:keepNext w:val="0"/>
        <w:keepLines w:val="0"/>
        <w:pageBreakBefore w:val="0"/>
        <w:widowControl w:val="0"/>
        <w:kinsoku/>
        <w:wordWrap/>
        <w:overflowPunct/>
        <w:topLinePunct w:val="0"/>
        <w:bidi w:val="0"/>
        <w:snapToGrid w:val="0"/>
        <w:spacing w:beforeLines="0" w:afterLines="0" w:line="480" w:lineRule="auto"/>
        <w:ind w:left="420" w:leftChars="100" w:hanging="210" w:hanging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                                         乙方： </w:t>
      </w:r>
    </w:p>
    <w:p w14:paraId="1A90BC2C">
      <w:pPr>
        <w:pStyle w:val="25"/>
        <w:keepNext w:val="0"/>
        <w:keepLines w:val="0"/>
        <w:pageBreakBefore w:val="0"/>
        <w:widowControl w:val="0"/>
        <w:kinsoku/>
        <w:wordWrap/>
        <w:overflowPunct/>
        <w:topLinePunct w:val="0"/>
        <w:bidi w:val="0"/>
        <w:snapToGrid w:val="0"/>
        <w:spacing w:beforeLines="0" w:afterLines="0" w:line="480" w:lineRule="auto"/>
        <w:ind w:left="420" w:leftChars="100" w:hanging="210" w:hanging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地址： </w:t>
      </w:r>
    </w:p>
    <w:p w14:paraId="1E4B2A0A">
      <w:pPr>
        <w:pStyle w:val="25"/>
        <w:keepNext w:val="0"/>
        <w:keepLines w:val="0"/>
        <w:pageBreakBefore w:val="0"/>
        <w:widowControl w:val="0"/>
        <w:kinsoku/>
        <w:wordWrap/>
        <w:overflowPunct/>
        <w:topLinePunct w:val="0"/>
        <w:bidi w:val="0"/>
        <w:snapToGrid w:val="0"/>
        <w:spacing w:beforeLines="0" w:afterLines="0" w:line="480" w:lineRule="auto"/>
        <w:ind w:left="420" w:leftChars="100" w:hanging="210" w:hanging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法定（授权）代表人：                           法定（授权）代表人：</w:t>
      </w:r>
    </w:p>
    <w:p w14:paraId="02E60E9E">
      <w:pPr>
        <w:pStyle w:val="25"/>
        <w:keepNext w:val="0"/>
        <w:keepLines w:val="0"/>
        <w:pageBreakBefore w:val="0"/>
        <w:widowControl w:val="0"/>
        <w:kinsoku/>
        <w:wordWrap/>
        <w:overflowPunct/>
        <w:topLinePunct w:val="0"/>
        <w:bidi w:val="0"/>
        <w:snapToGrid w:val="0"/>
        <w:spacing w:beforeLines="0" w:afterLines="0" w:line="480" w:lineRule="auto"/>
        <w:ind w:left="420" w:leftChars="100" w:hanging="210" w:hanging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签字日期：      年  月  日                     签字日期：      年  月  日                </w:t>
      </w:r>
    </w:p>
    <w:p w14:paraId="0D539036">
      <w:pPr>
        <w:keepNext w:val="0"/>
        <w:keepLines w:val="0"/>
        <w:pageBreakBefore w:val="0"/>
        <w:widowControl w:val="0"/>
        <w:kinsoku/>
        <w:wordWrap/>
        <w:overflowPunct/>
        <w:topLinePunct w:val="0"/>
        <w:bidi w:val="0"/>
        <w:spacing w:line="360" w:lineRule="auto"/>
        <w:jc w:val="right"/>
        <w:textAlignment w:val="auto"/>
        <w:outlineLvl w:val="0"/>
        <w:rPr>
          <w:rFonts w:hint="eastAsia" w:ascii="宋体" w:hAnsi="宋体" w:eastAsia="宋体" w:cs="宋体"/>
          <w:color w:val="auto"/>
          <w:sz w:val="21"/>
          <w:szCs w:val="21"/>
          <w:highlight w:val="none"/>
        </w:rPr>
      </w:pPr>
    </w:p>
    <w:p w14:paraId="3A86022A">
      <w:pPr>
        <w:pStyle w:val="25"/>
        <w:keepNext w:val="0"/>
        <w:keepLines w:val="0"/>
        <w:pageBreakBefore w:val="0"/>
        <w:widowControl w:val="0"/>
        <w:kinsoku/>
        <w:wordWrap/>
        <w:overflowPunct/>
        <w:topLinePunct w:val="0"/>
        <w:bidi w:val="0"/>
        <w:snapToGrid w:val="0"/>
        <w:spacing w:beforeLines="0" w:afterLines="0" w:line="480" w:lineRule="auto"/>
        <w:ind w:left="420" w:leftChars="100" w:hanging="210" w:hangingChars="100"/>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丙</w:t>
      </w:r>
      <w:r>
        <w:rPr>
          <w:rFonts w:hint="eastAsia" w:ascii="宋体" w:hAnsi="宋体" w:eastAsia="宋体" w:cs="宋体"/>
          <w:color w:val="auto"/>
          <w:sz w:val="21"/>
          <w:szCs w:val="21"/>
          <w:highlight w:val="none"/>
        </w:rPr>
        <w:t xml:space="preserve">方：                                         </w:t>
      </w:r>
    </w:p>
    <w:p w14:paraId="356C27B5">
      <w:pPr>
        <w:pStyle w:val="25"/>
        <w:keepNext w:val="0"/>
        <w:keepLines w:val="0"/>
        <w:pageBreakBefore w:val="0"/>
        <w:widowControl w:val="0"/>
        <w:kinsoku/>
        <w:wordWrap/>
        <w:overflowPunct/>
        <w:topLinePunct w:val="0"/>
        <w:bidi w:val="0"/>
        <w:snapToGrid w:val="0"/>
        <w:spacing w:beforeLines="0" w:afterLines="0" w:line="480" w:lineRule="auto"/>
        <w:ind w:left="420" w:leftChars="100" w:hanging="210" w:hanging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p>
    <w:p w14:paraId="1589C709">
      <w:pPr>
        <w:pStyle w:val="25"/>
        <w:keepNext w:val="0"/>
        <w:keepLines w:val="0"/>
        <w:pageBreakBefore w:val="0"/>
        <w:widowControl w:val="0"/>
        <w:kinsoku/>
        <w:wordWrap/>
        <w:overflowPunct/>
        <w:topLinePunct w:val="0"/>
        <w:bidi w:val="0"/>
        <w:snapToGrid w:val="0"/>
        <w:spacing w:beforeLines="0" w:afterLines="0" w:line="480" w:lineRule="auto"/>
        <w:ind w:left="420" w:leftChars="100" w:hanging="210" w:hanging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法定（授权）代表人：                           </w:t>
      </w:r>
    </w:p>
    <w:p w14:paraId="2D85FA25">
      <w:pPr>
        <w:pStyle w:val="25"/>
        <w:keepNext w:val="0"/>
        <w:keepLines w:val="0"/>
        <w:pageBreakBefore w:val="0"/>
        <w:widowControl w:val="0"/>
        <w:kinsoku/>
        <w:wordWrap/>
        <w:overflowPunct/>
        <w:topLinePunct w:val="0"/>
        <w:bidi w:val="0"/>
        <w:snapToGrid w:val="0"/>
        <w:spacing w:beforeLines="0" w:afterLines="0" w:line="480" w:lineRule="auto"/>
        <w:ind w:left="420" w:leftChars="100" w:hanging="210" w:hanging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签字日期：      年  月  日                     </w:t>
      </w:r>
    </w:p>
    <w:p w14:paraId="5BCCBBF8">
      <w:pPr>
        <w:rPr>
          <w:rFonts w:ascii="宋体" w:hAnsi="宋体" w:cs="宋体"/>
          <w:color w:val="auto"/>
          <w:spacing w:val="-4"/>
          <w:szCs w:val="21"/>
          <w:highlight w:val="none"/>
        </w:rPr>
      </w:pPr>
      <w:r>
        <w:rPr>
          <w:rFonts w:hint="eastAsia" w:ascii="宋体" w:hAnsi="宋体" w:cs="宋体"/>
          <w:color w:val="auto"/>
          <w:spacing w:val="-4"/>
          <w:szCs w:val="21"/>
          <w:highlight w:val="none"/>
        </w:rPr>
        <w:br w:type="page"/>
      </w:r>
    </w:p>
    <w:p w14:paraId="24DE476A">
      <w:pPr>
        <w:spacing w:after="330"/>
        <w:jc w:val="center"/>
        <w:outlineLvl w:val="0"/>
        <w:rPr>
          <w:rFonts w:asciiTheme="majorEastAsia" w:hAnsiTheme="majorEastAsia" w:eastAsiaTheme="majorEastAsia"/>
          <w:color w:val="auto"/>
          <w:highlight w:val="none"/>
        </w:rPr>
      </w:pPr>
      <w:bookmarkStart w:id="38" w:name="_Toc24904"/>
      <w:r>
        <w:rPr>
          <w:rFonts w:asciiTheme="majorEastAsia" w:hAnsiTheme="majorEastAsia" w:eastAsiaTheme="majorEastAsia"/>
          <w:b/>
          <w:bCs/>
          <w:color w:val="auto"/>
          <w:sz w:val="32"/>
          <w:szCs w:val="40"/>
          <w:highlight w:val="none"/>
        </w:rPr>
        <w:t>第六章  响应文件格式</w:t>
      </w:r>
      <w:bookmarkEnd w:id="36"/>
      <w:bookmarkEnd w:id="37"/>
      <w:bookmarkEnd w:id="38"/>
    </w:p>
    <w:p w14:paraId="4875D778">
      <w:pPr>
        <w:snapToGrid w:val="0"/>
        <w:spacing w:line="440" w:lineRule="exact"/>
        <w:rPr>
          <w:rFonts w:asciiTheme="majorEastAsia" w:hAnsiTheme="majorEastAsia" w:eastAsiaTheme="majorEastAsia"/>
          <w:b/>
          <w:bCs/>
          <w:color w:val="auto"/>
          <w:szCs w:val="21"/>
          <w:highlight w:val="none"/>
        </w:rPr>
      </w:pPr>
      <w:bookmarkStart w:id="39" w:name="_Toc476585059"/>
      <w:r>
        <w:rPr>
          <w:rFonts w:asciiTheme="majorEastAsia" w:hAnsiTheme="majorEastAsia" w:eastAsiaTheme="majorEastAsia"/>
          <w:b/>
          <w:bCs/>
          <w:color w:val="auto"/>
          <w:szCs w:val="21"/>
          <w:highlight w:val="none"/>
        </w:rPr>
        <w:t>一、</w:t>
      </w:r>
      <w:r>
        <w:rPr>
          <w:rFonts w:hint="eastAsia" w:asciiTheme="majorEastAsia" w:hAnsiTheme="majorEastAsia" w:eastAsiaTheme="majorEastAsia"/>
          <w:b/>
          <w:bCs/>
          <w:color w:val="auto"/>
          <w:szCs w:val="21"/>
          <w:highlight w:val="none"/>
        </w:rPr>
        <w:t>备份响应文件</w:t>
      </w:r>
      <w:r>
        <w:rPr>
          <w:rFonts w:asciiTheme="majorEastAsia" w:hAnsiTheme="majorEastAsia" w:eastAsiaTheme="majorEastAsia"/>
          <w:b/>
          <w:bCs/>
          <w:color w:val="auto"/>
          <w:szCs w:val="21"/>
          <w:highlight w:val="none"/>
        </w:rPr>
        <w:t>外层包装封面格式</w:t>
      </w:r>
      <w:bookmarkEnd w:id="39"/>
    </w:p>
    <w:p w14:paraId="48873286">
      <w:pPr>
        <w:snapToGrid w:val="0"/>
        <w:spacing w:line="440" w:lineRule="exact"/>
        <w:jc w:val="center"/>
        <w:rPr>
          <w:rFonts w:asciiTheme="majorEastAsia" w:hAnsiTheme="majorEastAsia" w:eastAsiaTheme="majorEastAsia"/>
          <w:color w:val="auto"/>
          <w:szCs w:val="21"/>
          <w:highlight w:val="none"/>
        </w:rPr>
      </w:pPr>
    </w:p>
    <w:p w14:paraId="14134E85">
      <w:pPr>
        <w:snapToGrid w:val="0"/>
        <w:spacing w:line="440" w:lineRule="exact"/>
        <w:jc w:val="center"/>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 xml:space="preserve">    </w:t>
      </w:r>
      <w:r>
        <w:rPr>
          <w:rFonts w:hint="eastAsia" w:asciiTheme="majorEastAsia" w:hAnsiTheme="majorEastAsia" w:eastAsiaTheme="majorEastAsia"/>
          <w:b/>
          <w:bCs/>
          <w:color w:val="auto"/>
          <w:szCs w:val="21"/>
          <w:highlight w:val="none"/>
        </w:rPr>
        <w:t xml:space="preserve">响 应 </w:t>
      </w:r>
      <w:r>
        <w:rPr>
          <w:rFonts w:asciiTheme="majorEastAsia" w:hAnsiTheme="majorEastAsia" w:eastAsiaTheme="majorEastAsia"/>
          <w:b/>
          <w:bCs/>
          <w:color w:val="auto"/>
          <w:szCs w:val="21"/>
          <w:highlight w:val="none"/>
        </w:rPr>
        <w:t xml:space="preserve">文 件        </w:t>
      </w:r>
    </w:p>
    <w:p w14:paraId="2F2FBEF2">
      <w:pPr>
        <w:snapToGrid w:val="0"/>
        <w:spacing w:line="440" w:lineRule="exact"/>
        <w:rPr>
          <w:rFonts w:asciiTheme="majorEastAsia" w:hAnsiTheme="majorEastAsia" w:eastAsiaTheme="majorEastAsia"/>
          <w:bCs/>
          <w:color w:val="auto"/>
          <w:szCs w:val="21"/>
          <w:highlight w:val="none"/>
        </w:rPr>
      </w:pPr>
    </w:p>
    <w:p w14:paraId="7DBB9BF2">
      <w:pPr>
        <w:snapToGrid w:val="0"/>
        <w:spacing w:line="440" w:lineRule="exact"/>
        <w:rPr>
          <w:rFonts w:asciiTheme="majorEastAsia" w:hAnsiTheme="majorEastAsia" w:eastAsiaTheme="majorEastAsia"/>
          <w:bCs/>
          <w:color w:val="auto"/>
          <w:szCs w:val="21"/>
          <w:highlight w:val="none"/>
        </w:rPr>
      </w:pPr>
    </w:p>
    <w:p w14:paraId="281C9391">
      <w:pPr>
        <w:snapToGrid w:val="0"/>
        <w:spacing w:line="440" w:lineRule="exact"/>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 xml:space="preserve">项目名称： </w:t>
      </w:r>
    </w:p>
    <w:p w14:paraId="53BA9394">
      <w:pPr>
        <w:snapToGrid w:val="0"/>
        <w:spacing w:line="440" w:lineRule="exact"/>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项目</w:t>
      </w:r>
      <w:r>
        <w:rPr>
          <w:rFonts w:asciiTheme="majorEastAsia" w:hAnsiTheme="majorEastAsia" w:eastAsiaTheme="majorEastAsia"/>
          <w:bCs/>
          <w:color w:val="auto"/>
          <w:szCs w:val="21"/>
          <w:highlight w:val="none"/>
        </w:rPr>
        <w:t xml:space="preserve">编号： </w:t>
      </w:r>
    </w:p>
    <w:p w14:paraId="44190A50">
      <w:pPr>
        <w:snapToGrid w:val="0"/>
        <w:spacing w:line="440" w:lineRule="exact"/>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响应文件名称：</w:t>
      </w:r>
      <w:r>
        <w:rPr>
          <w:rFonts w:hint="eastAsia" w:asciiTheme="majorEastAsia" w:hAnsiTheme="majorEastAsia" w:eastAsiaTheme="majorEastAsia"/>
          <w:bCs/>
          <w:color w:val="auto"/>
          <w:szCs w:val="21"/>
          <w:highlight w:val="none"/>
        </w:rPr>
        <w:t>电子响应文件的备份文件</w:t>
      </w:r>
    </w:p>
    <w:p w14:paraId="4A5F2C55">
      <w:pPr>
        <w:pStyle w:val="15"/>
        <w:snapToGrid w:val="0"/>
        <w:spacing w:line="440" w:lineRule="exact"/>
        <w:ind w:firstLine="0"/>
        <w:rPr>
          <w:rFonts w:asciiTheme="majorEastAsia" w:hAnsiTheme="majorEastAsia" w:eastAsiaTheme="majorEastAsia"/>
          <w:bCs/>
          <w:color w:val="auto"/>
          <w:szCs w:val="21"/>
          <w:highlight w:val="none"/>
        </w:rPr>
      </w:pPr>
    </w:p>
    <w:p w14:paraId="4E5C227E">
      <w:pPr>
        <w:pStyle w:val="15"/>
        <w:snapToGrid w:val="0"/>
        <w:spacing w:line="440" w:lineRule="exact"/>
        <w:ind w:firstLine="0"/>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供应商名称：</w:t>
      </w:r>
    </w:p>
    <w:p w14:paraId="38C2DE87">
      <w:pPr>
        <w:pStyle w:val="15"/>
        <w:snapToGrid w:val="0"/>
        <w:spacing w:line="440" w:lineRule="exact"/>
        <w:ind w:firstLine="0"/>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供应商地址：</w:t>
      </w:r>
    </w:p>
    <w:p w14:paraId="6B1A64FF">
      <w:pPr>
        <w:pStyle w:val="15"/>
        <w:snapToGrid w:val="0"/>
        <w:spacing w:line="440" w:lineRule="exact"/>
        <w:ind w:firstLine="932" w:firstLineChars="444"/>
        <w:jc w:val="center"/>
        <w:rPr>
          <w:rFonts w:asciiTheme="majorEastAsia" w:hAnsiTheme="majorEastAsia" w:eastAsiaTheme="majorEastAsia"/>
          <w:bCs/>
          <w:color w:val="auto"/>
          <w:szCs w:val="21"/>
          <w:highlight w:val="none"/>
        </w:rPr>
      </w:pPr>
    </w:p>
    <w:p w14:paraId="255E6958">
      <w:pPr>
        <w:pStyle w:val="15"/>
        <w:snapToGrid w:val="0"/>
        <w:spacing w:line="440" w:lineRule="exact"/>
        <w:ind w:firstLine="0"/>
        <w:jc w:val="center"/>
        <w:rPr>
          <w:rFonts w:asciiTheme="majorEastAsia" w:hAnsiTheme="majorEastAsia" w:eastAsiaTheme="majorEastAsia"/>
          <w:b/>
          <w:color w:val="auto"/>
          <w:szCs w:val="21"/>
          <w:highlight w:val="none"/>
        </w:rPr>
      </w:pPr>
      <w:r>
        <w:rPr>
          <w:rFonts w:asciiTheme="majorEastAsia" w:hAnsiTheme="majorEastAsia" w:eastAsiaTheme="majorEastAsia"/>
          <w:b/>
          <w:bCs/>
          <w:color w:val="auto"/>
          <w:szCs w:val="21"/>
          <w:highlight w:val="none"/>
        </w:rPr>
        <w:t>提交首次响应文件截止时间后</w:t>
      </w:r>
      <w:r>
        <w:rPr>
          <w:rFonts w:asciiTheme="majorEastAsia" w:hAnsiTheme="majorEastAsia" w:eastAsiaTheme="majorEastAsia"/>
          <w:b/>
          <w:color w:val="auto"/>
          <w:szCs w:val="21"/>
          <w:highlight w:val="none"/>
        </w:rPr>
        <w:t>启封</w:t>
      </w:r>
    </w:p>
    <w:p w14:paraId="2F8AA466">
      <w:pPr>
        <w:snapToGrid w:val="0"/>
        <w:spacing w:line="440" w:lineRule="exact"/>
        <w:ind w:firstLine="3570" w:firstLineChars="1700"/>
        <w:rPr>
          <w:rFonts w:asciiTheme="majorEastAsia" w:hAnsiTheme="majorEastAsia" w:eastAsiaTheme="majorEastAsia"/>
          <w:bCs/>
          <w:color w:val="auto"/>
          <w:szCs w:val="21"/>
          <w:highlight w:val="none"/>
        </w:rPr>
      </w:pPr>
    </w:p>
    <w:p w14:paraId="77340568">
      <w:pPr>
        <w:pStyle w:val="15"/>
        <w:snapToGrid w:val="0"/>
        <w:spacing w:line="440" w:lineRule="exact"/>
        <w:ind w:firstLine="873" w:firstLineChars="416"/>
        <w:rPr>
          <w:rFonts w:asciiTheme="majorEastAsia" w:hAnsiTheme="majorEastAsia" w:eastAsiaTheme="majorEastAsia"/>
          <w:color w:val="auto"/>
          <w:szCs w:val="21"/>
          <w:highlight w:val="none"/>
        </w:rPr>
      </w:pPr>
    </w:p>
    <w:p w14:paraId="0E80D863">
      <w:pPr>
        <w:pStyle w:val="15"/>
        <w:snapToGrid w:val="0"/>
        <w:spacing w:line="440" w:lineRule="exact"/>
        <w:ind w:firstLine="873" w:firstLineChars="416"/>
        <w:rPr>
          <w:rFonts w:asciiTheme="majorEastAsia" w:hAnsiTheme="majorEastAsia" w:eastAsiaTheme="majorEastAsia"/>
          <w:color w:val="auto"/>
          <w:szCs w:val="21"/>
          <w:highlight w:val="none"/>
        </w:rPr>
      </w:pPr>
    </w:p>
    <w:p w14:paraId="2C9E82E9">
      <w:pPr>
        <w:snapToGrid w:val="0"/>
        <w:spacing w:line="440" w:lineRule="exact"/>
        <w:ind w:left="3578" w:leftChars="1704"/>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19FA89FC">
      <w:pPr>
        <w:snapToGrid w:val="0"/>
        <w:spacing w:line="440" w:lineRule="exact"/>
        <w:ind w:left="3578" w:leftChars="1704"/>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法定代表人（负责人）或授权代表（签字或盖章）：</w:t>
      </w:r>
    </w:p>
    <w:p w14:paraId="03A7CE1E">
      <w:pPr>
        <w:snapToGrid w:val="0"/>
        <w:spacing w:line="440" w:lineRule="exact"/>
        <w:ind w:left="3578" w:leftChars="1704"/>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日期：</w:t>
      </w:r>
    </w:p>
    <w:p w14:paraId="1F7407E1">
      <w:pPr>
        <w:snapToGrid w:val="0"/>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br w:type="page"/>
      </w:r>
      <w:r>
        <w:rPr>
          <w:rFonts w:asciiTheme="majorEastAsia" w:hAnsiTheme="majorEastAsia" w:eastAsiaTheme="majorEastAsia"/>
          <w:color w:val="auto"/>
          <w:szCs w:val="21"/>
          <w:highlight w:val="none"/>
        </w:rPr>
        <w:t>二</w:t>
      </w:r>
      <w:r>
        <w:rPr>
          <w:rFonts w:asciiTheme="majorEastAsia" w:hAnsiTheme="majorEastAsia" w:eastAsiaTheme="majorEastAsia"/>
          <w:b/>
          <w:color w:val="auto"/>
          <w:szCs w:val="21"/>
          <w:highlight w:val="none"/>
        </w:rPr>
        <w:t>、</w:t>
      </w:r>
      <w:r>
        <w:rPr>
          <w:rFonts w:hint="eastAsia" w:asciiTheme="majorEastAsia" w:hAnsiTheme="majorEastAsia" w:eastAsiaTheme="majorEastAsia"/>
          <w:b/>
          <w:color w:val="auto"/>
          <w:szCs w:val="21"/>
          <w:highlight w:val="none"/>
        </w:rPr>
        <w:t>电子</w:t>
      </w:r>
      <w:r>
        <w:rPr>
          <w:rFonts w:asciiTheme="majorEastAsia" w:hAnsiTheme="majorEastAsia" w:eastAsiaTheme="majorEastAsia"/>
          <w:b/>
          <w:color w:val="auto"/>
          <w:szCs w:val="21"/>
          <w:highlight w:val="none"/>
        </w:rPr>
        <w:t>响应文件封面格式</w:t>
      </w:r>
    </w:p>
    <w:p w14:paraId="15A798D5">
      <w:pPr>
        <w:spacing w:line="440" w:lineRule="exact"/>
        <w:jc w:val="center"/>
        <w:rPr>
          <w:rFonts w:asciiTheme="majorEastAsia" w:hAnsiTheme="majorEastAsia" w:eastAsiaTheme="majorEastAsia"/>
          <w:color w:val="auto"/>
          <w:szCs w:val="21"/>
          <w:highlight w:val="none"/>
        </w:rPr>
      </w:pPr>
    </w:p>
    <w:p w14:paraId="6F510A6A">
      <w:pPr>
        <w:spacing w:line="440" w:lineRule="exact"/>
        <w:rPr>
          <w:rFonts w:asciiTheme="majorEastAsia" w:hAnsiTheme="majorEastAsia" w:eastAsiaTheme="majorEastAsia"/>
          <w:b/>
          <w:bCs/>
          <w:color w:val="auto"/>
          <w:szCs w:val="21"/>
          <w:highlight w:val="none"/>
        </w:rPr>
      </w:pPr>
    </w:p>
    <w:p w14:paraId="79AB9C38">
      <w:pPr>
        <w:spacing w:line="440" w:lineRule="exact"/>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bCs/>
          <w:color w:val="auto"/>
          <w:szCs w:val="21"/>
          <w:highlight w:val="none"/>
        </w:rPr>
        <w:t xml:space="preserve">响 应 </w:t>
      </w:r>
      <w:r>
        <w:rPr>
          <w:rFonts w:asciiTheme="majorEastAsia" w:hAnsiTheme="majorEastAsia" w:eastAsiaTheme="majorEastAsia"/>
          <w:b/>
          <w:bCs/>
          <w:color w:val="auto"/>
          <w:szCs w:val="21"/>
          <w:highlight w:val="none"/>
        </w:rPr>
        <w:t>文</w:t>
      </w:r>
      <w:r>
        <w:rPr>
          <w:rFonts w:hint="eastAsia" w:asciiTheme="majorEastAsia" w:hAnsiTheme="majorEastAsia" w:eastAsiaTheme="majorEastAsia"/>
          <w:b/>
          <w:bCs/>
          <w:color w:val="auto"/>
          <w:szCs w:val="21"/>
          <w:highlight w:val="none"/>
        </w:rPr>
        <w:t xml:space="preserve"> </w:t>
      </w:r>
      <w:r>
        <w:rPr>
          <w:rFonts w:asciiTheme="majorEastAsia" w:hAnsiTheme="majorEastAsia" w:eastAsiaTheme="majorEastAsia"/>
          <w:b/>
          <w:bCs/>
          <w:color w:val="auto"/>
          <w:szCs w:val="21"/>
          <w:highlight w:val="none"/>
        </w:rPr>
        <w:t>件</w:t>
      </w:r>
    </w:p>
    <w:p w14:paraId="601AA8AE">
      <w:pPr>
        <w:spacing w:line="440" w:lineRule="exact"/>
        <w:rPr>
          <w:rFonts w:asciiTheme="majorEastAsia" w:hAnsiTheme="majorEastAsia" w:eastAsiaTheme="majorEastAsia"/>
          <w:color w:val="auto"/>
          <w:szCs w:val="21"/>
          <w:highlight w:val="none"/>
        </w:rPr>
      </w:pPr>
    </w:p>
    <w:p w14:paraId="2D54AF15">
      <w:pPr>
        <w:spacing w:line="440" w:lineRule="exact"/>
        <w:rPr>
          <w:rFonts w:asciiTheme="majorEastAsia" w:hAnsiTheme="majorEastAsia" w:eastAsiaTheme="majorEastAsia"/>
          <w:color w:val="auto"/>
          <w:szCs w:val="21"/>
          <w:highlight w:val="none"/>
        </w:rPr>
      </w:pPr>
    </w:p>
    <w:p w14:paraId="59FF0F12">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项目名称：</w:t>
      </w:r>
    </w:p>
    <w:p w14:paraId="117272A6">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项目编号：</w:t>
      </w:r>
    </w:p>
    <w:p w14:paraId="0A6E1000">
      <w:pPr>
        <w:pStyle w:val="15"/>
        <w:snapToGrid w:val="0"/>
        <w:spacing w:line="440" w:lineRule="exact"/>
        <w:ind w:firstLine="0"/>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响应文件名称：资信技术文件/报价文件</w:t>
      </w:r>
    </w:p>
    <w:p w14:paraId="511DF7DE">
      <w:pPr>
        <w:pStyle w:val="15"/>
        <w:snapToGrid w:val="0"/>
        <w:spacing w:line="440" w:lineRule="exact"/>
        <w:ind w:firstLine="0"/>
        <w:rPr>
          <w:rFonts w:asciiTheme="majorEastAsia" w:hAnsiTheme="majorEastAsia" w:eastAsiaTheme="majorEastAsia"/>
          <w:bCs/>
          <w:color w:val="auto"/>
          <w:szCs w:val="21"/>
          <w:highlight w:val="none"/>
        </w:rPr>
      </w:pPr>
      <w:r>
        <w:rPr>
          <w:rFonts w:asciiTheme="majorEastAsia" w:hAnsiTheme="majorEastAsia" w:eastAsiaTheme="majorEastAsia"/>
          <w:bCs/>
          <w:color w:val="auto"/>
          <w:szCs w:val="21"/>
          <w:highlight w:val="none"/>
        </w:rPr>
        <w:t>供应商名称：</w:t>
      </w:r>
    </w:p>
    <w:p w14:paraId="13A76B39">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bCs/>
          <w:color w:val="auto"/>
          <w:szCs w:val="21"/>
          <w:highlight w:val="none"/>
        </w:rPr>
        <w:t>供应商地址：</w:t>
      </w:r>
    </w:p>
    <w:p w14:paraId="1F2EABD7">
      <w:pPr>
        <w:spacing w:line="440" w:lineRule="exact"/>
        <w:jc w:val="center"/>
        <w:rPr>
          <w:rFonts w:asciiTheme="majorEastAsia" w:hAnsiTheme="majorEastAsia" w:eastAsiaTheme="majorEastAsia"/>
          <w:color w:val="auto"/>
          <w:szCs w:val="21"/>
          <w:highlight w:val="none"/>
        </w:rPr>
      </w:pPr>
    </w:p>
    <w:p w14:paraId="7E48BCAE">
      <w:pPr>
        <w:spacing w:line="440" w:lineRule="exact"/>
        <w:jc w:val="center"/>
        <w:rPr>
          <w:rFonts w:asciiTheme="majorEastAsia" w:hAnsiTheme="majorEastAsia" w:eastAsiaTheme="majorEastAsia"/>
          <w:color w:val="auto"/>
          <w:szCs w:val="21"/>
          <w:highlight w:val="none"/>
        </w:rPr>
      </w:pPr>
    </w:p>
    <w:p w14:paraId="767FB0D7">
      <w:pPr>
        <w:snapToGrid w:val="0"/>
        <w:spacing w:line="440" w:lineRule="exact"/>
        <w:ind w:left="3578" w:leftChars="1704"/>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339960C6">
      <w:pPr>
        <w:snapToGrid w:val="0"/>
        <w:spacing w:line="440" w:lineRule="exact"/>
        <w:ind w:left="3578" w:leftChars="1704"/>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法定代表人（负责人）或授权代表（签字或盖章）：</w:t>
      </w:r>
    </w:p>
    <w:p w14:paraId="60A13026">
      <w:pPr>
        <w:snapToGrid w:val="0"/>
        <w:spacing w:line="440" w:lineRule="exact"/>
        <w:ind w:left="3578" w:leftChars="1704"/>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日期：</w:t>
      </w:r>
    </w:p>
    <w:p w14:paraId="298588A5">
      <w:pPr>
        <w:spacing w:line="440" w:lineRule="exact"/>
        <w:jc w:val="center"/>
        <w:rPr>
          <w:rFonts w:asciiTheme="majorEastAsia" w:hAnsiTheme="majorEastAsia" w:eastAsiaTheme="majorEastAsia"/>
          <w:color w:val="auto"/>
          <w:szCs w:val="21"/>
          <w:highlight w:val="none"/>
        </w:rPr>
      </w:pPr>
    </w:p>
    <w:p w14:paraId="26A1A2C3">
      <w:pPr>
        <w:spacing w:line="440" w:lineRule="exact"/>
        <w:jc w:val="center"/>
        <w:rPr>
          <w:rFonts w:asciiTheme="majorEastAsia" w:hAnsiTheme="majorEastAsia" w:eastAsiaTheme="majorEastAsia"/>
          <w:color w:val="auto"/>
          <w:szCs w:val="21"/>
          <w:highlight w:val="none"/>
        </w:rPr>
      </w:pPr>
    </w:p>
    <w:p w14:paraId="5298C933">
      <w:pPr>
        <w:spacing w:line="440" w:lineRule="exact"/>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 xml:space="preserve">    </w:t>
      </w:r>
    </w:p>
    <w:p w14:paraId="2FAD1DAE">
      <w:pPr>
        <w:spacing w:line="440" w:lineRule="exact"/>
        <w:jc w:val="center"/>
        <w:rPr>
          <w:rFonts w:asciiTheme="majorEastAsia" w:hAnsiTheme="majorEastAsia" w:eastAsiaTheme="majorEastAsia"/>
          <w:color w:val="auto"/>
          <w:szCs w:val="21"/>
          <w:highlight w:val="none"/>
        </w:rPr>
      </w:pPr>
    </w:p>
    <w:p w14:paraId="71975834">
      <w:pPr>
        <w:spacing w:line="440" w:lineRule="exact"/>
        <w:rPr>
          <w:rFonts w:asciiTheme="majorEastAsia" w:hAnsiTheme="majorEastAsia" w:eastAsiaTheme="majorEastAsia"/>
          <w:b/>
          <w:color w:val="auto"/>
          <w:szCs w:val="21"/>
          <w:highlight w:val="none"/>
        </w:rPr>
      </w:pPr>
      <w:r>
        <w:rPr>
          <w:rFonts w:asciiTheme="majorEastAsia" w:hAnsiTheme="majorEastAsia" w:eastAsiaTheme="majorEastAsia"/>
          <w:color w:val="auto"/>
          <w:szCs w:val="21"/>
          <w:highlight w:val="none"/>
        </w:rPr>
        <w:br w:type="page"/>
      </w:r>
      <w:r>
        <w:rPr>
          <w:rFonts w:asciiTheme="majorEastAsia" w:hAnsiTheme="majorEastAsia" w:eastAsiaTheme="majorEastAsia"/>
          <w:b/>
          <w:color w:val="auto"/>
          <w:szCs w:val="21"/>
          <w:highlight w:val="none"/>
        </w:rPr>
        <w:t>格式一：</w:t>
      </w:r>
    </w:p>
    <w:p w14:paraId="320D5441">
      <w:pPr>
        <w:spacing w:line="440" w:lineRule="exact"/>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资格条件自查表</w:t>
      </w:r>
    </w:p>
    <w:p w14:paraId="239F7093">
      <w:pPr>
        <w:pStyle w:val="2"/>
        <w:ind w:firstLine="210"/>
        <w:rPr>
          <w:color w:val="auto"/>
          <w:highlight w:val="none"/>
        </w:rPr>
      </w:pPr>
    </w:p>
    <w:tbl>
      <w:tblPr>
        <w:tblStyle w:val="45"/>
        <w:tblW w:w="93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8"/>
        <w:gridCol w:w="5687"/>
        <w:gridCol w:w="1282"/>
        <w:gridCol w:w="1607"/>
      </w:tblGrid>
      <w:tr w14:paraId="02492C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778" w:type="dxa"/>
            <w:vAlign w:val="center"/>
          </w:tcPr>
          <w:p w14:paraId="4B9B3B3A">
            <w:pPr>
              <w:adjustRightInd w:val="0"/>
              <w:jc w:val="center"/>
              <w:rPr>
                <w:rStyle w:val="48"/>
                <w:rFonts w:asciiTheme="majorEastAsia" w:hAnsiTheme="majorEastAsia" w:eastAsiaTheme="majorEastAsia"/>
                <w:color w:val="auto"/>
                <w:szCs w:val="21"/>
                <w:highlight w:val="none"/>
              </w:rPr>
            </w:pPr>
            <w:r>
              <w:rPr>
                <w:rStyle w:val="48"/>
                <w:rFonts w:asciiTheme="majorEastAsia" w:hAnsiTheme="majorEastAsia" w:eastAsiaTheme="majorEastAsia"/>
                <w:color w:val="auto"/>
                <w:szCs w:val="21"/>
                <w:highlight w:val="none"/>
              </w:rPr>
              <w:t>评审</w:t>
            </w:r>
          </w:p>
          <w:p w14:paraId="76BAFDDC">
            <w:pPr>
              <w:adjustRightInd w:val="0"/>
              <w:jc w:val="center"/>
              <w:rPr>
                <w:rFonts w:asciiTheme="majorEastAsia" w:hAnsiTheme="majorEastAsia" w:eastAsiaTheme="majorEastAsia"/>
                <w:b/>
                <w:color w:val="auto"/>
                <w:szCs w:val="21"/>
                <w:highlight w:val="none"/>
              </w:rPr>
            </w:pPr>
            <w:r>
              <w:rPr>
                <w:rStyle w:val="48"/>
                <w:rFonts w:asciiTheme="majorEastAsia" w:hAnsiTheme="majorEastAsia" w:eastAsiaTheme="majorEastAsia"/>
                <w:color w:val="auto"/>
                <w:szCs w:val="21"/>
                <w:highlight w:val="none"/>
              </w:rPr>
              <w:t>内容</w:t>
            </w:r>
          </w:p>
        </w:tc>
        <w:tc>
          <w:tcPr>
            <w:tcW w:w="5687" w:type="dxa"/>
            <w:vAlign w:val="center"/>
          </w:tcPr>
          <w:p w14:paraId="30E37D09">
            <w:pPr>
              <w:adjustRightInd w:val="0"/>
              <w:jc w:val="center"/>
              <w:rPr>
                <w:rFonts w:asciiTheme="majorEastAsia" w:hAnsiTheme="majorEastAsia" w:eastAsiaTheme="majorEastAsia"/>
                <w:b/>
                <w:color w:val="auto"/>
                <w:szCs w:val="21"/>
                <w:highlight w:val="none"/>
              </w:rPr>
            </w:pPr>
            <w:r>
              <w:rPr>
                <w:rStyle w:val="48"/>
                <w:rFonts w:asciiTheme="majorEastAsia" w:hAnsiTheme="majorEastAsia" w:eastAsiaTheme="majorEastAsia"/>
                <w:color w:val="auto"/>
                <w:szCs w:val="21"/>
                <w:highlight w:val="none"/>
              </w:rPr>
              <w:t>磋商文件要求</w:t>
            </w:r>
          </w:p>
        </w:tc>
        <w:tc>
          <w:tcPr>
            <w:tcW w:w="1282" w:type="dxa"/>
            <w:vAlign w:val="center"/>
          </w:tcPr>
          <w:p w14:paraId="66DB2F7D">
            <w:pPr>
              <w:adjustRightInd w:val="0"/>
              <w:jc w:val="center"/>
              <w:rPr>
                <w:rFonts w:asciiTheme="majorEastAsia" w:hAnsiTheme="majorEastAsia" w:eastAsiaTheme="majorEastAsia"/>
                <w:b/>
                <w:color w:val="auto"/>
                <w:szCs w:val="21"/>
                <w:highlight w:val="none"/>
              </w:rPr>
            </w:pPr>
            <w:r>
              <w:rPr>
                <w:rStyle w:val="48"/>
                <w:rFonts w:asciiTheme="majorEastAsia" w:hAnsiTheme="majorEastAsia" w:eastAsiaTheme="majorEastAsia"/>
                <w:color w:val="auto"/>
                <w:szCs w:val="21"/>
                <w:highlight w:val="none"/>
              </w:rPr>
              <w:t>自查结论</w:t>
            </w:r>
          </w:p>
        </w:tc>
        <w:tc>
          <w:tcPr>
            <w:tcW w:w="1607" w:type="dxa"/>
            <w:vAlign w:val="center"/>
          </w:tcPr>
          <w:p w14:paraId="0F51C2DD">
            <w:pPr>
              <w:adjustRightInd w:val="0"/>
              <w:jc w:val="center"/>
              <w:rPr>
                <w:rFonts w:asciiTheme="majorEastAsia" w:hAnsiTheme="majorEastAsia" w:eastAsiaTheme="majorEastAsia"/>
                <w:b/>
                <w:color w:val="auto"/>
                <w:szCs w:val="21"/>
                <w:highlight w:val="none"/>
              </w:rPr>
            </w:pPr>
            <w:r>
              <w:rPr>
                <w:rStyle w:val="48"/>
                <w:rFonts w:asciiTheme="majorEastAsia" w:hAnsiTheme="majorEastAsia" w:eastAsiaTheme="majorEastAsia"/>
                <w:color w:val="auto"/>
                <w:szCs w:val="21"/>
                <w:highlight w:val="none"/>
              </w:rPr>
              <w:t>证明资料页码</w:t>
            </w:r>
          </w:p>
        </w:tc>
      </w:tr>
      <w:tr w14:paraId="22317E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8" w:type="dxa"/>
            <w:vMerge w:val="restart"/>
            <w:vAlign w:val="center"/>
          </w:tcPr>
          <w:p w14:paraId="7DC20E7A">
            <w:pPr>
              <w:adjustRightInd w:val="0"/>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资</w:t>
            </w:r>
          </w:p>
          <w:p w14:paraId="1C524A4A">
            <w:pPr>
              <w:adjustRightInd w:val="0"/>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格</w:t>
            </w:r>
          </w:p>
          <w:p w14:paraId="25122D0E">
            <w:pPr>
              <w:adjustRightInd w:val="0"/>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性</w:t>
            </w:r>
          </w:p>
          <w:p w14:paraId="1B5DE762">
            <w:pPr>
              <w:adjustRightInd w:val="0"/>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审</w:t>
            </w:r>
          </w:p>
          <w:p w14:paraId="034F0C16">
            <w:pPr>
              <w:adjustRightInd w:val="0"/>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查</w:t>
            </w:r>
          </w:p>
        </w:tc>
        <w:tc>
          <w:tcPr>
            <w:tcW w:w="5687" w:type="dxa"/>
            <w:vAlign w:val="center"/>
          </w:tcPr>
          <w:p w14:paraId="3EE11EE9">
            <w:pPr>
              <w:adjustRightInd w:val="0"/>
              <w:rPr>
                <w:rFonts w:asciiTheme="majorEastAsia" w:hAnsiTheme="majorEastAsia" w:eastAsiaTheme="majorEastAsia"/>
                <w:b/>
                <w:color w:val="auto"/>
                <w:szCs w:val="21"/>
                <w:highlight w:val="none"/>
              </w:rPr>
            </w:pPr>
            <w:r>
              <w:rPr>
                <w:rFonts w:hint="eastAsia" w:asciiTheme="majorEastAsia" w:hAnsiTheme="majorEastAsia" w:eastAsiaTheme="majorEastAsia"/>
                <w:color w:val="auto"/>
                <w:szCs w:val="21"/>
                <w:highlight w:val="none"/>
              </w:rPr>
              <w:t>（一）供应商资格声明函；</w:t>
            </w:r>
          </w:p>
        </w:tc>
        <w:tc>
          <w:tcPr>
            <w:tcW w:w="1282" w:type="dxa"/>
            <w:vAlign w:val="center"/>
          </w:tcPr>
          <w:p w14:paraId="4E1BBBBF">
            <w:pPr>
              <w:adjustRightInd w:val="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□通过</w:t>
            </w:r>
          </w:p>
          <w:p w14:paraId="3C665E63">
            <w:pPr>
              <w:adjustRightInd w:val="0"/>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□不通过</w:t>
            </w:r>
          </w:p>
        </w:tc>
        <w:tc>
          <w:tcPr>
            <w:tcW w:w="1607" w:type="dxa"/>
            <w:vAlign w:val="center"/>
          </w:tcPr>
          <w:p w14:paraId="48F7906C">
            <w:pPr>
              <w:adjustRightInd w:val="0"/>
              <w:jc w:val="center"/>
              <w:rPr>
                <w:rFonts w:asciiTheme="majorEastAsia" w:hAnsiTheme="majorEastAsia" w:eastAsiaTheme="majorEastAsia"/>
                <w:b/>
                <w:color w:val="auto"/>
                <w:szCs w:val="21"/>
                <w:highlight w:val="none"/>
              </w:rPr>
            </w:pPr>
            <w:r>
              <w:rPr>
                <w:rFonts w:hint="eastAsia"/>
                <w:color w:val="auto"/>
                <w:highlight w:val="none"/>
              </w:rPr>
              <w:t>第（ ）页</w:t>
            </w:r>
          </w:p>
        </w:tc>
      </w:tr>
      <w:tr w14:paraId="6E0D24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8" w:type="dxa"/>
            <w:vMerge w:val="continue"/>
          </w:tcPr>
          <w:p w14:paraId="4DD3F6AF">
            <w:pPr>
              <w:adjustRightInd w:val="0"/>
              <w:rPr>
                <w:rFonts w:asciiTheme="majorEastAsia" w:hAnsiTheme="majorEastAsia" w:eastAsiaTheme="majorEastAsia"/>
                <w:bCs/>
                <w:color w:val="auto"/>
                <w:szCs w:val="21"/>
                <w:highlight w:val="none"/>
              </w:rPr>
            </w:pPr>
          </w:p>
        </w:tc>
        <w:tc>
          <w:tcPr>
            <w:tcW w:w="5687" w:type="dxa"/>
            <w:vAlign w:val="center"/>
          </w:tcPr>
          <w:p w14:paraId="117677F2">
            <w:pPr>
              <w:adjustRightInd w:val="0"/>
              <w:rPr>
                <w:rFonts w:asciiTheme="majorEastAsia" w:hAnsiTheme="majorEastAsia" w:eastAsiaTheme="majorEastAsia"/>
                <w:b/>
                <w:color w:val="auto"/>
                <w:szCs w:val="21"/>
                <w:highlight w:val="none"/>
              </w:rPr>
            </w:pPr>
            <w:r>
              <w:rPr>
                <w:rFonts w:hint="eastAsia" w:asciiTheme="majorEastAsia" w:hAnsiTheme="majorEastAsia" w:eastAsiaTheme="majorEastAsia"/>
                <w:color w:val="auto"/>
                <w:szCs w:val="21"/>
                <w:highlight w:val="none"/>
              </w:rPr>
              <w:t>（二）提供有效的营业执照副本原件扫描件或者电子营业执照加盖供应商公章；响应供应商如果有名称变更的，应提供由行政主管部门出具的变更证明文件；</w:t>
            </w:r>
          </w:p>
        </w:tc>
        <w:tc>
          <w:tcPr>
            <w:tcW w:w="1282" w:type="dxa"/>
            <w:vAlign w:val="center"/>
          </w:tcPr>
          <w:p w14:paraId="37D3F67A">
            <w:pPr>
              <w:adjustRightInd w:val="0"/>
              <w:rPr>
                <w:color w:val="auto"/>
                <w:highlight w:val="none"/>
              </w:rPr>
            </w:pPr>
            <w:r>
              <w:rPr>
                <w:rFonts w:hint="eastAsia"/>
                <w:color w:val="auto"/>
                <w:highlight w:val="none"/>
              </w:rPr>
              <w:t>□通过</w:t>
            </w:r>
          </w:p>
          <w:p w14:paraId="38973C8C">
            <w:pPr>
              <w:adjustRightInd w:val="0"/>
              <w:rPr>
                <w:rFonts w:asciiTheme="majorEastAsia" w:hAnsiTheme="majorEastAsia" w:eastAsiaTheme="majorEastAsia"/>
                <w:color w:val="auto"/>
                <w:szCs w:val="21"/>
                <w:highlight w:val="none"/>
              </w:rPr>
            </w:pPr>
            <w:r>
              <w:rPr>
                <w:rFonts w:hint="eastAsia"/>
                <w:color w:val="auto"/>
                <w:highlight w:val="none"/>
              </w:rPr>
              <w:t>□不通过</w:t>
            </w:r>
          </w:p>
        </w:tc>
        <w:tc>
          <w:tcPr>
            <w:tcW w:w="1607" w:type="dxa"/>
            <w:vAlign w:val="center"/>
          </w:tcPr>
          <w:p w14:paraId="07BAC74B">
            <w:pPr>
              <w:adjustRightInd w:val="0"/>
              <w:jc w:val="center"/>
              <w:rPr>
                <w:rFonts w:asciiTheme="majorEastAsia" w:hAnsiTheme="majorEastAsia" w:eastAsiaTheme="majorEastAsia"/>
                <w:b/>
                <w:color w:val="auto"/>
                <w:szCs w:val="21"/>
                <w:highlight w:val="none"/>
              </w:rPr>
            </w:pPr>
            <w:r>
              <w:rPr>
                <w:rFonts w:hint="eastAsia"/>
                <w:color w:val="auto"/>
                <w:highlight w:val="none"/>
              </w:rPr>
              <w:t>第（ ）页</w:t>
            </w:r>
          </w:p>
        </w:tc>
      </w:tr>
      <w:tr w14:paraId="38041E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8" w:type="dxa"/>
            <w:vMerge w:val="continue"/>
          </w:tcPr>
          <w:p w14:paraId="512AB99F">
            <w:pPr>
              <w:adjustRightInd w:val="0"/>
              <w:rPr>
                <w:rFonts w:asciiTheme="majorEastAsia" w:hAnsiTheme="majorEastAsia" w:eastAsiaTheme="majorEastAsia"/>
                <w:bCs/>
                <w:color w:val="auto"/>
                <w:szCs w:val="21"/>
                <w:highlight w:val="none"/>
              </w:rPr>
            </w:pPr>
          </w:p>
        </w:tc>
        <w:tc>
          <w:tcPr>
            <w:tcW w:w="5687" w:type="dxa"/>
            <w:vAlign w:val="center"/>
          </w:tcPr>
          <w:p w14:paraId="2671CB1E">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hint="eastAsia"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lang w:eastAsia="zh-CN"/>
              </w:rPr>
              <w:t>（三）</w:t>
            </w:r>
            <w:r>
              <w:rPr>
                <w:rFonts w:hint="eastAsia" w:asciiTheme="majorEastAsia" w:hAnsiTheme="majorEastAsia" w:eastAsiaTheme="majorEastAsia"/>
                <w:bCs/>
                <w:color w:val="auto"/>
                <w:szCs w:val="21"/>
                <w:highlight w:val="none"/>
              </w:rPr>
              <w:t>①中小企业声明函（如是，请提供。格式附后）；</w:t>
            </w:r>
          </w:p>
          <w:p w14:paraId="36BB67FB">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hint="eastAsia"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或②供应商为监狱企业的证明文件：省级以上监狱管理局、戒毒管理局（含新疆生产建设兵团）出具（如是，请提供。）；</w:t>
            </w:r>
          </w:p>
          <w:p w14:paraId="37B61E80">
            <w:pPr>
              <w:keepNext w:val="0"/>
              <w:keepLines w:val="0"/>
              <w:pageBreakBefore w:val="0"/>
              <w:widowControl w:val="0"/>
              <w:shd w:val="clear"/>
              <w:kinsoku/>
              <w:wordWrap/>
              <w:overflowPunct/>
              <w:topLinePunct w:val="0"/>
              <w:autoSpaceDE/>
              <w:autoSpaceDN/>
              <w:bidi w:val="0"/>
              <w:adjustRightInd w:val="0"/>
              <w:snapToGrid/>
              <w:spacing w:line="240" w:lineRule="auto"/>
              <w:textAlignment w:val="auto"/>
              <w:rPr>
                <w:rFonts w:asciiTheme="majorEastAsia" w:hAnsiTheme="majorEastAsia" w:eastAsiaTheme="majorEastAsia"/>
                <w:color w:val="auto"/>
                <w:szCs w:val="21"/>
                <w:highlight w:val="none"/>
              </w:rPr>
            </w:pPr>
            <w:r>
              <w:rPr>
                <w:rFonts w:hint="eastAsia" w:asciiTheme="majorEastAsia" w:hAnsiTheme="majorEastAsia" w:eastAsiaTheme="majorEastAsia"/>
                <w:bCs/>
                <w:color w:val="auto"/>
                <w:szCs w:val="21"/>
                <w:highlight w:val="none"/>
              </w:rPr>
              <w:t xml:space="preserve">或③残疾人福利性单位声明函（如是，请提供。格式附后）。 </w:t>
            </w:r>
          </w:p>
        </w:tc>
        <w:tc>
          <w:tcPr>
            <w:tcW w:w="1282" w:type="dxa"/>
            <w:vAlign w:val="center"/>
          </w:tcPr>
          <w:p w14:paraId="0572767B">
            <w:pPr>
              <w:adjustRightInd w:val="0"/>
              <w:rPr>
                <w:color w:val="auto"/>
                <w:highlight w:val="none"/>
              </w:rPr>
            </w:pPr>
            <w:r>
              <w:rPr>
                <w:rFonts w:hint="eastAsia"/>
                <w:color w:val="auto"/>
                <w:highlight w:val="none"/>
              </w:rPr>
              <w:t>□通过</w:t>
            </w:r>
          </w:p>
          <w:p w14:paraId="5DD57905">
            <w:pPr>
              <w:adjustRightInd w:val="0"/>
              <w:rPr>
                <w:color w:val="auto"/>
                <w:highlight w:val="none"/>
              </w:rPr>
            </w:pPr>
            <w:r>
              <w:rPr>
                <w:rFonts w:hint="eastAsia"/>
                <w:color w:val="auto"/>
                <w:highlight w:val="none"/>
              </w:rPr>
              <w:t>□不通过</w:t>
            </w:r>
          </w:p>
        </w:tc>
        <w:tc>
          <w:tcPr>
            <w:tcW w:w="1607" w:type="dxa"/>
            <w:vAlign w:val="center"/>
          </w:tcPr>
          <w:p w14:paraId="061719C6">
            <w:pPr>
              <w:adjustRightInd w:val="0"/>
              <w:jc w:val="center"/>
              <w:rPr>
                <w:color w:val="auto"/>
                <w:highlight w:val="none"/>
              </w:rPr>
            </w:pPr>
            <w:r>
              <w:rPr>
                <w:rFonts w:hint="eastAsia"/>
                <w:color w:val="auto"/>
                <w:highlight w:val="none"/>
              </w:rPr>
              <w:t>第（ ）页</w:t>
            </w:r>
          </w:p>
        </w:tc>
      </w:tr>
      <w:tr w14:paraId="5D415F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8" w:type="dxa"/>
            <w:vMerge w:val="continue"/>
          </w:tcPr>
          <w:p w14:paraId="0D26E50A">
            <w:pPr>
              <w:adjustRightInd w:val="0"/>
              <w:rPr>
                <w:rFonts w:asciiTheme="majorEastAsia" w:hAnsiTheme="majorEastAsia" w:eastAsiaTheme="majorEastAsia"/>
                <w:bCs/>
                <w:color w:val="auto"/>
                <w:szCs w:val="21"/>
                <w:highlight w:val="none"/>
              </w:rPr>
            </w:pPr>
          </w:p>
        </w:tc>
        <w:tc>
          <w:tcPr>
            <w:tcW w:w="5687" w:type="dxa"/>
            <w:vAlign w:val="center"/>
          </w:tcPr>
          <w:p w14:paraId="1529BCF7">
            <w:pPr>
              <w:adjustRightInd w:val="0"/>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（四）有效的</w:t>
            </w:r>
            <w:r>
              <w:rPr>
                <w:rFonts w:hint="eastAsia" w:asciiTheme="majorEastAsia" w:hAnsiTheme="majorEastAsia" w:eastAsiaTheme="majorEastAsia"/>
                <w:bCs/>
                <w:color w:val="auto"/>
                <w:szCs w:val="21"/>
                <w:highlight w:val="none"/>
                <w:lang w:eastAsia="zh-CN"/>
              </w:rPr>
              <w:t>公安部门核准颁发的保安服务许可证</w:t>
            </w:r>
            <w:r>
              <w:rPr>
                <w:rFonts w:hint="eastAsia" w:asciiTheme="majorEastAsia" w:hAnsiTheme="majorEastAsia" w:eastAsiaTheme="majorEastAsia"/>
                <w:bCs/>
                <w:color w:val="auto"/>
                <w:szCs w:val="21"/>
                <w:highlight w:val="none"/>
              </w:rPr>
              <w:t>复印件；</w:t>
            </w:r>
          </w:p>
        </w:tc>
        <w:tc>
          <w:tcPr>
            <w:tcW w:w="1282" w:type="dxa"/>
            <w:vAlign w:val="center"/>
          </w:tcPr>
          <w:p w14:paraId="012C4138">
            <w:pPr>
              <w:adjustRightInd w:val="0"/>
              <w:rPr>
                <w:color w:val="auto"/>
                <w:highlight w:val="none"/>
              </w:rPr>
            </w:pPr>
            <w:r>
              <w:rPr>
                <w:rFonts w:hint="eastAsia"/>
                <w:color w:val="auto"/>
                <w:highlight w:val="none"/>
              </w:rPr>
              <w:t>□通过</w:t>
            </w:r>
          </w:p>
          <w:p w14:paraId="3A1247D8">
            <w:pPr>
              <w:adjustRightInd w:val="0"/>
              <w:rPr>
                <w:rFonts w:asciiTheme="majorEastAsia" w:hAnsiTheme="majorEastAsia" w:eastAsiaTheme="majorEastAsia"/>
                <w:color w:val="auto"/>
                <w:szCs w:val="21"/>
                <w:highlight w:val="none"/>
              </w:rPr>
            </w:pPr>
            <w:r>
              <w:rPr>
                <w:rFonts w:hint="eastAsia"/>
                <w:color w:val="auto"/>
                <w:highlight w:val="none"/>
              </w:rPr>
              <w:t>□不通过</w:t>
            </w:r>
          </w:p>
        </w:tc>
        <w:tc>
          <w:tcPr>
            <w:tcW w:w="1607" w:type="dxa"/>
            <w:vAlign w:val="center"/>
          </w:tcPr>
          <w:p w14:paraId="3D2A619F">
            <w:pPr>
              <w:adjustRightInd w:val="0"/>
              <w:jc w:val="center"/>
              <w:rPr>
                <w:rFonts w:asciiTheme="majorEastAsia" w:hAnsiTheme="majorEastAsia" w:eastAsiaTheme="majorEastAsia"/>
                <w:bCs/>
                <w:color w:val="auto"/>
                <w:szCs w:val="21"/>
                <w:highlight w:val="none"/>
              </w:rPr>
            </w:pPr>
            <w:r>
              <w:rPr>
                <w:rFonts w:hint="eastAsia"/>
                <w:color w:val="auto"/>
                <w:highlight w:val="none"/>
              </w:rPr>
              <w:t>第（ ）页</w:t>
            </w:r>
          </w:p>
        </w:tc>
      </w:tr>
      <w:tr w14:paraId="767ADA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8" w:type="dxa"/>
            <w:vMerge w:val="continue"/>
          </w:tcPr>
          <w:p w14:paraId="0A31BB62">
            <w:pPr>
              <w:adjustRightInd w:val="0"/>
              <w:rPr>
                <w:rFonts w:asciiTheme="majorEastAsia" w:hAnsiTheme="majorEastAsia" w:eastAsiaTheme="majorEastAsia"/>
                <w:bCs/>
                <w:color w:val="auto"/>
                <w:szCs w:val="21"/>
                <w:highlight w:val="none"/>
              </w:rPr>
            </w:pPr>
          </w:p>
        </w:tc>
        <w:tc>
          <w:tcPr>
            <w:tcW w:w="5687" w:type="dxa"/>
            <w:vAlign w:val="center"/>
          </w:tcPr>
          <w:p w14:paraId="44E0721F">
            <w:pPr>
              <w:adjustRightInd w:val="0"/>
              <w:rPr>
                <w:rFonts w:asciiTheme="majorEastAsia" w:hAnsiTheme="majorEastAsia" w:eastAsiaTheme="majorEastAsia"/>
                <w:bCs/>
                <w:color w:val="auto"/>
                <w:szCs w:val="21"/>
                <w:highlight w:val="none"/>
              </w:rPr>
            </w:pPr>
            <w:r>
              <w:rPr>
                <w:rFonts w:hint="eastAsia" w:asciiTheme="majorEastAsia" w:hAnsiTheme="majorEastAsia" w:eastAsiaTheme="majorEastAsia"/>
                <w:bCs/>
                <w:color w:val="auto"/>
                <w:szCs w:val="21"/>
                <w:highlight w:val="none"/>
              </w:rPr>
              <w:t>（五）满足《中华人民共和国政府采购法》第二十二条规定；未被“信用中国”（www.creditchina.gov.cn)、中国政府采购网（www.ccgp.gov.cn）列入失信被执行人、重大税收违法案件当事人名单、政府采购严重违法失信行为记录名单（以采购代理机构于投标截止日当天在信用中国网站及中国政府采购网查询结果为准，如相关失信记录已失效，报价人需提供相关证明资料）；</w:t>
            </w:r>
          </w:p>
        </w:tc>
        <w:tc>
          <w:tcPr>
            <w:tcW w:w="1282" w:type="dxa"/>
            <w:vAlign w:val="center"/>
          </w:tcPr>
          <w:p w14:paraId="054CE7E2">
            <w:pPr>
              <w:adjustRightInd w:val="0"/>
              <w:rPr>
                <w:color w:val="auto"/>
                <w:highlight w:val="none"/>
              </w:rPr>
            </w:pPr>
            <w:r>
              <w:rPr>
                <w:rFonts w:hint="eastAsia"/>
                <w:color w:val="auto"/>
                <w:highlight w:val="none"/>
              </w:rPr>
              <w:t>□通过</w:t>
            </w:r>
          </w:p>
          <w:p w14:paraId="1CBCB8E5">
            <w:pPr>
              <w:adjustRightInd w:val="0"/>
              <w:rPr>
                <w:rFonts w:asciiTheme="majorEastAsia" w:hAnsiTheme="majorEastAsia" w:eastAsiaTheme="majorEastAsia"/>
                <w:color w:val="auto"/>
                <w:szCs w:val="21"/>
                <w:highlight w:val="none"/>
              </w:rPr>
            </w:pPr>
            <w:r>
              <w:rPr>
                <w:rFonts w:hint="eastAsia"/>
                <w:color w:val="auto"/>
                <w:highlight w:val="none"/>
              </w:rPr>
              <w:t>□不通过</w:t>
            </w:r>
          </w:p>
        </w:tc>
        <w:tc>
          <w:tcPr>
            <w:tcW w:w="1607" w:type="dxa"/>
            <w:vAlign w:val="center"/>
          </w:tcPr>
          <w:p w14:paraId="3FF80121">
            <w:pPr>
              <w:adjustRightInd w:val="0"/>
              <w:jc w:val="center"/>
              <w:rPr>
                <w:rFonts w:asciiTheme="majorEastAsia" w:hAnsiTheme="majorEastAsia" w:eastAsiaTheme="majorEastAsia"/>
                <w:bCs/>
                <w:color w:val="auto"/>
                <w:szCs w:val="21"/>
                <w:highlight w:val="none"/>
              </w:rPr>
            </w:pPr>
            <w:r>
              <w:rPr>
                <w:rFonts w:asciiTheme="majorEastAsia" w:hAnsiTheme="majorEastAsia" w:eastAsiaTheme="majorEastAsia"/>
                <w:color w:val="auto"/>
                <w:szCs w:val="21"/>
                <w:highlight w:val="none"/>
              </w:rPr>
              <w:t>第（ ）页</w:t>
            </w:r>
          </w:p>
        </w:tc>
      </w:tr>
    </w:tbl>
    <w:p w14:paraId="373758F6">
      <w:pPr>
        <w:adjustRightInd w:val="0"/>
        <w:spacing w:line="440" w:lineRule="exact"/>
        <w:rPr>
          <w:rFonts w:asciiTheme="majorEastAsia" w:hAnsiTheme="majorEastAsia" w:eastAsiaTheme="majorEastAsia"/>
          <w:b/>
          <w:color w:val="auto"/>
          <w:szCs w:val="21"/>
          <w:highlight w:val="none"/>
        </w:rPr>
      </w:pPr>
    </w:p>
    <w:p w14:paraId="0A290FBE">
      <w:pPr>
        <w:adjustRightInd w:val="0"/>
        <w:spacing w:line="440" w:lineRule="exact"/>
        <w:jc w:val="center"/>
        <w:rPr>
          <w:rFonts w:asciiTheme="majorEastAsia" w:hAnsiTheme="majorEastAsia" w:eastAsiaTheme="majorEastAsia"/>
          <w:b/>
          <w:color w:val="auto"/>
          <w:szCs w:val="21"/>
          <w:highlight w:val="none"/>
        </w:rPr>
      </w:pPr>
    </w:p>
    <w:p w14:paraId="335582F7">
      <w:pPr>
        <w:widowControl/>
        <w:jc w:val="left"/>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br w:type="page"/>
      </w:r>
    </w:p>
    <w:p w14:paraId="7002F933">
      <w:pPr>
        <w:adjustRightInd w:val="0"/>
        <w:spacing w:line="440" w:lineRule="exact"/>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符合性自查表</w:t>
      </w:r>
    </w:p>
    <w:p w14:paraId="7C87FDCB">
      <w:pPr>
        <w:adjustRightInd w:val="0"/>
        <w:spacing w:line="440" w:lineRule="exact"/>
        <w:jc w:val="center"/>
        <w:rPr>
          <w:rFonts w:asciiTheme="majorEastAsia" w:hAnsiTheme="majorEastAsia" w:eastAsiaTheme="majorEastAsia"/>
          <w:b/>
          <w:color w:val="auto"/>
          <w:szCs w:val="21"/>
          <w:highlight w:val="none"/>
        </w:rPr>
      </w:pPr>
    </w:p>
    <w:tbl>
      <w:tblPr>
        <w:tblStyle w:val="45"/>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067"/>
        <w:gridCol w:w="4175"/>
        <w:gridCol w:w="1410"/>
        <w:gridCol w:w="2192"/>
      </w:tblGrid>
      <w:tr w14:paraId="02194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Align w:val="center"/>
          </w:tcPr>
          <w:p w14:paraId="6B6E6AF9">
            <w:pPr>
              <w:spacing w:line="280" w:lineRule="exact"/>
              <w:jc w:val="center"/>
              <w:rPr>
                <w:rFonts w:ascii="宋体" w:hAnsi="宋体" w:cs="宋体"/>
                <w:b/>
                <w:bCs/>
                <w:color w:val="auto"/>
                <w:szCs w:val="21"/>
                <w:highlight w:val="none"/>
              </w:rPr>
            </w:pPr>
            <w:r>
              <w:rPr>
                <w:rFonts w:hint="eastAsia" w:ascii="宋体" w:hAnsi="宋体" w:cs="宋体"/>
                <w:b/>
                <w:bCs/>
                <w:color w:val="auto"/>
                <w:szCs w:val="21"/>
                <w:highlight w:val="none"/>
              </w:rPr>
              <w:t>评审</w:t>
            </w:r>
          </w:p>
          <w:p w14:paraId="61C2A4BE">
            <w:pPr>
              <w:spacing w:line="280" w:lineRule="exact"/>
              <w:jc w:val="center"/>
              <w:rPr>
                <w:rFonts w:ascii="宋体" w:hAnsi="宋体" w:cs="宋体"/>
                <w:b/>
                <w:bCs/>
                <w:color w:val="auto"/>
                <w:szCs w:val="21"/>
                <w:highlight w:val="none"/>
              </w:rPr>
            </w:pPr>
            <w:r>
              <w:rPr>
                <w:rFonts w:hint="eastAsia" w:ascii="宋体" w:hAnsi="宋体" w:cs="宋体"/>
                <w:b/>
                <w:bCs/>
                <w:color w:val="auto"/>
                <w:szCs w:val="21"/>
                <w:highlight w:val="none"/>
              </w:rPr>
              <w:t>内容</w:t>
            </w:r>
          </w:p>
        </w:tc>
        <w:tc>
          <w:tcPr>
            <w:tcW w:w="4175" w:type="dxa"/>
            <w:vAlign w:val="center"/>
          </w:tcPr>
          <w:p w14:paraId="1D4B387B">
            <w:pPr>
              <w:spacing w:line="280" w:lineRule="exact"/>
              <w:jc w:val="center"/>
              <w:rPr>
                <w:rFonts w:ascii="宋体" w:hAnsi="宋体" w:cs="宋体"/>
                <w:b/>
                <w:bCs/>
                <w:color w:val="auto"/>
                <w:szCs w:val="21"/>
                <w:highlight w:val="none"/>
              </w:rPr>
            </w:pPr>
            <w:r>
              <w:rPr>
                <w:rFonts w:hint="eastAsia" w:ascii="宋体" w:hAnsi="宋体" w:cs="宋体"/>
                <w:b/>
                <w:bCs/>
                <w:color w:val="auto"/>
                <w:szCs w:val="21"/>
                <w:highlight w:val="none"/>
              </w:rPr>
              <w:t>磋商文件要求</w:t>
            </w:r>
          </w:p>
        </w:tc>
        <w:tc>
          <w:tcPr>
            <w:tcW w:w="1410" w:type="dxa"/>
            <w:vAlign w:val="center"/>
          </w:tcPr>
          <w:p w14:paraId="0A17E2D2">
            <w:pPr>
              <w:spacing w:line="280" w:lineRule="exact"/>
              <w:jc w:val="center"/>
              <w:rPr>
                <w:rFonts w:ascii="宋体" w:hAnsi="宋体" w:cs="宋体"/>
                <w:b/>
                <w:bCs/>
                <w:color w:val="auto"/>
                <w:szCs w:val="21"/>
                <w:highlight w:val="none"/>
              </w:rPr>
            </w:pPr>
            <w:r>
              <w:rPr>
                <w:rFonts w:hint="eastAsia" w:ascii="宋体" w:hAnsi="宋体" w:cs="宋体"/>
                <w:b/>
                <w:bCs/>
                <w:color w:val="auto"/>
                <w:szCs w:val="21"/>
                <w:highlight w:val="none"/>
              </w:rPr>
              <w:t>自查结论</w:t>
            </w:r>
          </w:p>
        </w:tc>
        <w:tc>
          <w:tcPr>
            <w:tcW w:w="2192" w:type="dxa"/>
            <w:vAlign w:val="center"/>
          </w:tcPr>
          <w:p w14:paraId="17E61F73">
            <w:pPr>
              <w:spacing w:line="280" w:lineRule="exact"/>
              <w:jc w:val="center"/>
              <w:rPr>
                <w:rFonts w:ascii="宋体" w:hAnsi="宋体" w:cs="宋体"/>
                <w:b/>
                <w:bCs/>
                <w:color w:val="auto"/>
                <w:szCs w:val="21"/>
                <w:highlight w:val="none"/>
              </w:rPr>
            </w:pPr>
            <w:r>
              <w:rPr>
                <w:rFonts w:hint="eastAsia" w:ascii="宋体" w:hAnsi="宋体" w:cs="宋体"/>
                <w:b/>
                <w:bCs/>
                <w:color w:val="auto"/>
                <w:szCs w:val="21"/>
                <w:highlight w:val="none"/>
              </w:rPr>
              <w:t>证明资料页码</w:t>
            </w:r>
          </w:p>
        </w:tc>
      </w:tr>
      <w:tr w14:paraId="578B1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restart"/>
            <w:vAlign w:val="center"/>
          </w:tcPr>
          <w:p w14:paraId="04A85C1C">
            <w:pPr>
              <w:spacing w:line="280" w:lineRule="exact"/>
              <w:jc w:val="center"/>
              <w:rPr>
                <w:rFonts w:ascii="宋体" w:hAnsi="宋体" w:cs="宋体"/>
                <w:b/>
                <w:bCs/>
                <w:color w:val="auto"/>
                <w:szCs w:val="21"/>
                <w:highlight w:val="none"/>
              </w:rPr>
            </w:pPr>
            <w:r>
              <w:rPr>
                <w:rFonts w:hint="eastAsia" w:ascii="宋体" w:hAnsi="宋体" w:cs="宋体"/>
                <w:b/>
                <w:bCs/>
                <w:color w:val="auto"/>
                <w:szCs w:val="21"/>
                <w:highlight w:val="none"/>
              </w:rPr>
              <w:t>符</w:t>
            </w:r>
          </w:p>
          <w:p w14:paraId="24D42060">
            <w:pPr>
              <w:spacing w:line="280" w:lineRule="exact"/>
              <w:jc w:val="center"/>
              <w:rPr>
                <w:rFonts w:ascii="宋体" w:hAnsi="宋体" w:cs="宋体"/>
                <w:b/>
                <w:bCs/>
                <w:color w:val="auto"/>
                <w:szCs w:val="21"/>
                <w:highlight w:val="none"/>
              </w:rPr>
            </w:pPr>
            <w:r>
              <w:rPr>
                <w:rFonts w:hint="eastAsia" w:ascii="宋体" w:hAnsi="宋体" w:cs="宋体"/>
                <w:b/>
                <w:bCs/>
                <w:color w:val="auto"/>
                <w:szCs w:val="21"/>
                <w:highlight w:val="none"/>
              </w:rPr>
              <w:t>合</w:t>
            </w:r>
          </w:p>
          <w:p w14:paraId="27154EC8">
            <w:pPr>
              <w:spacing w:line="280" w:lineRule="exact"/>
              <w:jc w:val="center"/>
              <w:rPr>
                <w:rFonts w:ascii="宋体" w:hAnsi="宋体" w:cs="宋体"/>
                <w:b/>
                <w:bCs/>
                <w:color w:val="auto"/>
                <w:szCs w:val="21"/>
                <w:highlight w:val="none"/>
              </w:rPr>
            </w:pPr>
            <w:r>
              <w:rPr>
                <w:rFonts w:hint="eastAsia" w:ascii="宋体" w:hAnsi="宋体" w:cs="宋体"/>
                <w:b/>
                <w:bCs/>
                <w:color w:val="auto"/>
                <w:szCs w:val="21"/>
                <w:highlight w:val="none"/>
              </w:rPr>
              <w:t>性</w:t>
            </w:r>
          </w:p>
          <w:p w14:paraId="67282577">
            <w:pPr>
              <w:spacing w:line="280" w:lineRule="exact"/>
              <w:jc w:val="center"/>
              <w:rPr>
                <w:rFonts w:ascii="宋体" w:hAnsi="宋体" w:cs="宋体"/>
                <w:b/>
                <w:bCs/>
                <w:color w:val="auto"/>
                <w:szCs w:val="21"/>
                <w:highlight w:val="none"/>
              </w:rPr>
            </w:pPr>
            <w:r>
              <w:rPr>
                <w:rFonts w:hint="eastAsia" w:ascii="宋体" w:hAnsi="宋体" w:cs="宋体"/>
                <w:b/>
                <w:bCs/>
                <w:color w:val="auto"/>
                <w:szCs w:val="21"/>
                <w:highlight w:val="none"/>
              </w:rPr>
              <w:t>审</w:t>
            </w:r>
          </w:p>
          <w:p w14:paraId="59E28F83">
            <w:pPr>
              <w:spacing w:line="280" w:lineRule="exact"/>
              <w:jc w:val="center"/>
              <w:rPr>
                <w:rFonts w:ascii="宋体" w:hAnsi="宋体" w:cs="宋体"/>
                <w:color w:val="auto"/>
                <w:szCs w:val="21"/>
                <w:highlight w:val="none"/>
              </w:rPr>
            </w:pPr>
            <w:r>
              <w:rPr>
                <w:rFonts w:hint="eastAsia" w:ascii="宋体" w:hAnsi="宋体" w:cs="宋体"/>
                <w:b/>
                <w:bCs/>
                <w:color w:val="auto"/>
                <w:szCs w:val="21"/>
                <w:highlight w:val="none"/>
              </w:rPr>
              <w:t>查</w:t>
            </w:r>
          </w:p>
        </w:tc>
        <w:tc>
          <w:tcPr>
            <w:tcW w:w="4175" w:type="dxa"/>
            <w:vAlign w:val="center"/>
          </w:tcPr>
          <w:p w14:paraId="52E5F3A6">
            <w:pPr>
              <w:spacing w:line="280" w:lineRule="exact"/>
              <w:jc w:val="left"/>
              <w:rPr>
                <w:rFonts w:ascii="宋体" w:hAnsi="宋体" w:cs="宋体"/>
                <w:color w:val="auto"/>
                <w:szCs w:val="21"/>
                <w:highlight w:val="none"/>
              </w:rPr>
            </w:pPr>
            <w:r>
              <w:rPr>
                <w:rFonts w:hint="eastAsia" w:ascii="宋体" w:hAnsi="宋体" w:cs="宋体"/>
                <w:color w:val="auto"/>
                <w:szCs w:val="21"/>
                <w:highlight w:val="none"/>
              </w:rPr>
              <w:t>（一）响应函已提交并符合磋商文件要求；</w:t>
            </w:r>
          </w:p>
        </w:tc>
        <w:tc>
          <w:tcPr>
            <w:tcW w:w="1410" w:type="dxa"/>
            <w:vAlign w:val="center"/>
          </w:tcPr>
          <w:p w14:paraId="71EE7803">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 xml:space="preserve">□通过 </w:t>
            </w:r>
          </w:p>
          <w:p w14:paraId="1E1A9E65">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□不通过</w:t>
            </w:r>
          </w:p>
        </w:tc>
        <w:tc>
          <w:tcPr>
            <w:tcW w:w="2192" w:type="dxa"/>
            <w:vAlign w:val="center"/>
          </w:tcPr>
          <w:p w14:paraId="5BDE1D48">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0189C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vAlign w:val="center"/>
          </w:tcPr>
          <w:p w14:paraId="6FEA5582">
            <w:pPr>
              <w:spacing w:line="280" w:lineRule="exact"/>
              <w:jc w:val="center"/>
              <w:rPr>
                <w:rFonts w:ascii="宋体" w:hAnsi="宋体" w:cs="宋体"/>
                <w:color w:val="auto"/>
                <w:szCs w:val="21"/>
                <w:highlight w:val="none"/>
              </w:rPr>
            </w:pPr>
          </w:p>
        </w:tc>
        <w:tc>
          <w:tcPr>
            <w:tcW w:w="4175" w:type="dxa"/>
            <w:vAlign w:val="center"/>
          </w:tcPr>
          <w:p w14:paraId="1DE1D71A">
            <w:pPr>
              <w:spacing w:line="280" w:lineRule="exact"/>
              <w:jc w:val="left"/>
              <w:rPr>
                <w:rFonts w:ascii="宋体" w:hAnsi="宋体" w:cs="宋体"/>
                <w:color w:val="auto"/>
                <w:szCs w:val="21"/>
                <w:highlight w:val="none"/>
              </w:rPr>
            </w:pPr>
            <w:r>
              <w:rPr>
                <w:rFonts w:hint="eastAsia" w:ascii="宋体" w:hAnsi="宋体" w:cs="宋体"/>
                <w:color w:val="auto"/>
                <w:szCs w:val="21"/>
                <w:highlight w:val="none"/>
              </w:rPr>
              <w:t>（二）按照磋商文件规定要求签署或盖章；</w:t>
            </w:r>
          </w:p>
        </w:tc>
        <w:tc>
          <w:tcPr>
            <w:tcW w:w="1410" w:type="dxa"/>
            <w:vAlign w:val="center"/>
          </w:tcPr>
          <w:p w14:paraId="1E39F0C1">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 xml:space="preserve">□通过 </w:t>
            </w:r>
          </w:p>
          <w:p w14:paraId="0E69A530">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□不通过</w:t>
            </w:r>
          </w:p>
        </w:tc>
        <w:tc>
          <w:tcPr>
            <w:tcW w:w="2192" w:type="dxa"/>
            <w:vAlign w:val="center"/>
          </w:tcPr>
          <w:p w14:paraId="06BE382F">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0A404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vAlign w:val="center"/>
          </w:tcPr>
          <w:p w14:paraId="4A3EB281">
            <w:pPr>
              <w:spacing w:line="280" w:lineRule="exact"/>
              <w:jc w:val="center"/>
              <w:rPr>
                <w:rFonts w:ascii="宋体" w:hAnsi="宋体" w:cs="宋体"/>
                <w:color w:val="auto"/>
                <w:szCs w:val="21"/>
                <w:highlight w:val="none"/>
              </w:rPr>
            </w:pPr>
          </w:p>
        </w:tc>
        <w:tc>
          <w:tcPr>
            <w:tcW w:w="4175" w:type="dxa"/>
            <w:vAlign w:val="center"/>
          </w:tcPr>
          <w:p w14:paraId="58A9D9DC">
            <w:pPr>
              <w:spacing w:line="280" w:lineRule="exact"/>
              <w:jc w:val="left"/>
              <w:rPr>
                <w:rFonts w:ascii="宋体" w:hAnsi="宋体" w:cs="宋体"/>
                <w:color w:val="auto"/>
                <w:szCs w:val="21"/>
                <w:highlight w:val="none"/>
              </w:rPr>
            </w:pPr>
            <w:r>
              <w:rPr>
                <w:rFonts w:hint="eastAsia" w:ascii="宋体" w:hAnsi="宋体" w:cs="宋体"/>
                <w:color w:val="auto"/>
                <w:szCs w:val="21"/>
                <w:highlight w:val="none"/>
              </w:rPr>
              <w:t>（三）响应文件规定部分有法定代表人签署本人姓名（或印盖本人姓名章），或签署人提供有效的法定代表人授权委托书且授权委托书填写项目齐全的；</w:t>
            </w:r>
          </w:p>
        </w:tc>
        <w:tc>
          <w:tcPr>
            <w:tcW w:w="1410" w:type="dxa"/>
            <w:vAlign w:val="center"/>
          </w:tcPr>
          <w:p w14:paraId="55E6A282">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 xml:space="preserve">□通过 </w:t>
            </w:r>
          </w:p>
          <w:p w14:paraId="5827272B">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□不通过</w:t>
            </w:r>
          </w:p>
        </w:tc>
        <w:tc>
          <w:tcPr>
            <w:tcW w:w="2192" w:type="dxa"/>
            <w:vAlign w:val="center"/>
          </w:tcPr>
          <w:p w14:paraId="367AEFF8">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70D6E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vAlign w:val="center"/>
          </w:tcPr>
          <w:p w14:paraId="3A934293">
            <w:pPr>
              <w:spacing w:line="280" w:lineRule="exact"/>
              <w:jc w:val="center"/>
              <w:rPr>
                <w:rFonts w:ascii="宋体" w:hAnsi="宋体" w:cs="宋体"/>
                <w:color w:val="auto"/>
                <w:szCs w:val="21"/>
                <w:highlight w:val="none"/>
              </w:rPr>
            </w:pPr>
          </w:p>
        </w:tc>
        <w:tc>
          <w:tcPr>
            <w:tcW w:w="4175" w:type="dxa"/>
            <w:vAlign w:val="center"/>
          </w:tcPr>
          <w:p w14:paraId="7AB3A7B9">
            <w:pPr>
              <w:spacing w:line="280" w:lineRule="exact"/>
              <w:jc w:val="left"/>
              <w:rPr>
                <w:rFonts w:ascii="宋体" w:hAnsi="宋体" w:cs="宋体"/>
                <w:color w:val="auto"/>
                <w:szCs w:val="21"/>
                <w:highlight w:val="none"/>
              </w:rPr>
            </w:pPr>
            <w:r>
              <w:rPr>
                <w:rFonts w:hint="eastAsia" w:ascii="宋体" w:hAnsi="宋体" w:cs="宋体"/>
                <w:color w:val="auto"/>
                <w:szCs w:val="21"/>
                <w:highlight w:val="none"/>
              </w:rPr>
              <w:t>（四）响应文件标明的响应或偏离与事实相符且无虚假投标的；</w:t>
            </w:r>
          </w:p>
        </w:tc>
        <w:tc>
          <w:tcPr>
            <w:tcW w:w="1410" w:type="dxa"/>
            <w:vAlign w:val="center"/>
          </w:tcPr>
          <w:p w14:paraId="4F414200">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 xml:space="preserve">□通过 </w:t>
            </w:r>
          </w:p>
          <w:p w14:paraId="58AD6DE4">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□不通过</w:t>
            </w:r>
          </w:p>
        </w:tc>
        <w:tc>
          <w:tcPr>
            <w:tcW w:w="2192" w:type="dxa"/>
            <w:vAlign w:val="center"/>
          </w:tcPr>
          <w:p w14:paraId="72AA5891">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623DA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vAlign w:val="center"/>
          </w:tcPr>
          <w:p w14:paraId="7A00BB45">
            <w:pPr>
              <w:spacing w:line="280" w:lineRule="exact"/>
              <w:jc w:val="center"/>
              <w:rPr>
                <w:rFonts w:ascii="宋体" w:hAnsi="宋体" w:cs="宋体"/>
                <w:color w:val="auto"/>
                <w:szCs w:val="21"/>
                <w:highlight w:val="none"/>
              </w:rPr>
            </w:pPr>
          </w:p>
        </w:tc>
        <w:tc>
          <w:tcPr>
            <w:tcW w:w="4175" w:type="dxa"/>
            <w:vAlign w:val="center"/>
          </w:tcPr>
          <w:p w14:paraId="776A5622">
            <w:pPr>
              <w:spacing w:line="280" w:lineRule="exact"/>
              <w:jc w:val="left"/>
              <w:rPr>
                <w:rFonts w:ascii="宋体" w:hAnsi="宋体" w:cs="宋体"/>
                <w:color w:val="auto"/>
                <w:szCs w:val="21"/>
                <w:highlight w:val="none"/>
              </w:rPr>
            </w:pPr>
            <w:r>
              <w:rPr>
                <w:rFonts w:hint="eastAsia" w:ascii="宋体" w:hAnsi="宋体" w:cs="宋体"/>
                <w:color w:val="auto"/>
                <w:szCs w:val="21"/>
                <w:highlight w:val="none"/>
              </w:rPr>
              <w:t>（五）响应文件的实质性内容使用中文表述且意思表述明确，前后无矛盾且使用计量单位符合磋商文件要求的；</w:t>
            </w:r>
          </w:p>
        </w:tc>
        <w:tc>
          <w:tcPr>
            <w:tcW w:w="1410" w:type="dxa"/>
            <w:vAlign w:val="center"/>
          </w:tcPr>
          <w:p w14:paraId="11D62962">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 xml:space="preserve">□通过 </w:t>
            </w:r>
          </w:p>
          <w:p w14:paraId="1A9BA1F4">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□不通过</w:t>
            </w:r>
          </w:p>
        </w:tc>
        <w:tc>
          <w:tcPr>
            <w:tcW w:w="2192" w:type="dxa"/>
            <w:vAlign w:val="center"/>
          </w:tcPr>
          <w:p w14:paraId="466D3284">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4F559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55" w:hRule="atLeast"/>
          <w:jc w:val="center"/>
        </w:trPr>
        <w:tc>
          <w:tcPr>
            <w:tcW w:w="1067" w:type="dxa"/>
            <w:vMerge w:val="continue"/>
            <w:vAlign w:val="center"/>
          </w:tcPr>
          <w:p w14:paraId="2E4EA5CA">
            <w:pPr>
              <w:spacing w:line="280" w:lineRule="exact"/>
              <w:jc w:val="center"/>
              <w:rPr>
                <w:rFonts w:ascii="宋体" w:hAnsi="宋体" w:cs="宋体"/>
                <w:color w:val="auto"/>
                <w:szCs w:val="21"/>
                <w:highlight w:val="none"/>
              </w:rPr>
            </w:pPr>
          </w:p>
        </w:tc>
        <w:tc>
          <w:tcPr>
            <w:tcW w:w="4175" w:type="dxa"/>
            <w:vAlign w:val="center"/>
          </w:tcPr>
          <w:p w14:paraId="01A9190E">
            <w:pPr>
              <w:spacing w:line="280" w:lineRule="exact"/>
              <w:jc w:val="left"/>
              <w:rPr>
                <w:rFonts w:ascii="宋体" w:hAnsi="宋体" w:cs="宋体"/>
                <w:color w:val="auto"/>
                <w:szCs w:val="21"/>
                <w:highlight w:val="none"/>
              </w:rPr>
            </w:pPr>
            <w:r>
              <w:rPr>
                <w:rFonts w:hint="eastAsia" w:ascii="宋体" w:hAnsi="宋体" w:cs="宋体"/>
                <w:color w:val="auto"/>
                <w:szCs w:val="21"/>
                <w:highlight w:val="none"/>
              </w:rPr>
              <w:t>（六）带“*”的条款满足磋商文件要求、已实质性响应磋商文件要求且响应文件无采购人不能接受的附加条件的；</w:t>
            </w:r>
          </w:p>
        </w:tc>
        <w:tc>
          <w:tcPr>
            <w:tcW w:w="1410" w:type="dxa"/>
            <w:vAlign w:val="center"/>
          </w:tcPr>
          <w:p w14:paraId="7D995DFE">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 xml:space="preserve">□通过 </w:t>
            </w:r>
          </w:p>
          <w:p w14:paraId="31CB66D1">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□不通过</w:t>
            </w:r>
          </w:p>
        </w:tc>
        <w:tc>
          <w:tcPr>
            <w:tcW w:w="2192" w:type="dxa"/>
            <w:vAlign w:val="center"/>
          </w:tcPr>
          <w:p w14:paraId="6FBDFCAB">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01C2A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vAlign w:val="center"/>
          </w:tcPr>
          <w:p w14:paraId="3D246823">
            <w:pPr>
              <w:spacing w:line="280" w:lineRule="exact"/>
              <w:jc w:val="center"/>
              <w:rPr>
                <w:rFonts w:ascii="宋体" w:hAnsi="宋体" w:cs="宋体"/>
                <w:color w:val="auto"/>
                <w:szCs w:val="21"/>
                <w:highlight w:val="none"/>
              </w:rPr>
            </w:pPr>
          </w:p>
        </w:tc>
        <w:tc>
          <w:tcPr>
            <w:tcW w:w="4175" w:type="dxa"/>
            <w:vAlign w:val="center"/>
          </w:tcPr>
          <w:p w14:paraId="0BBFCE20">
            <w:pPr>
              <w:spacing w:line="280" w:lineRule="exact"/>
              <w:jc w:val="left"/>
              <w:rPr>
                <w:rFonts w:ascii="宋体" w:hAnsi="宋体" w:cs="宋体"/>
                <w:color w:val="auto"/>
                <w:szCs w:val="21"/>
                <w:highlight w:val="none"/>
              </w:rPr>
            </w:pPr>
            <w:r>
              <w:rPr>
                <w:rFonts w:hint="eastAsia" w:ascii="宋体" w:hAnsi="宋体" w:cs="宋体"/>
                <w:color w:val="auto"/>
                <w:szCs w:val="21"/>
                <w:highlight w:val="none"/>
              </w:rPr>
              <w:t xml:space="preserve">（七）允许偏离的技术、性能指标或者辅助功能项目发生负偏离未达 </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项（含）以上的</w:t>
            </w:r>
          </w:p>
        </w:tc>
        <w:tc>
          <w:tcPr>
            <w:tcW w:w="1410" w:type="dxa"/>
            <w:vAlign w:val="center"/>
          </w:tcPr>
          <w:p w14:paraId="31597F41">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 xml:space="preserve">□通过 </w:t>
            </w:r>
          </w:p>
          <w:p w14:paraId="613F6A7A">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□不通过</w:t>
            </w:r>
          </w:p>
        </w:tc>
        <w:tc>
          <w:tcPr>
            <w:tcW w:w="2192" w:type="dxa"/>
            <w:vAlign w:val="center"/>
          </w:tcPr>
          <w:p w14:paraId="0D8C776C">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66D00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vAlign w:val="center"/>
          </w:tcPr>
          <w:p w14:paraId="779925F3">
            <w:pPr>
              <w:spacing w:line="280" w:lineRule="exact"/>
              <w:jc w:val="center"/>
              <w:rPr>
                <w:rFonts w:ascii="宋体" w:hAnsi="宋体" w:cs="宋体"/>
                <w:color w:val="auto"/>
                <w:szCs w:val="21"/>
                <w:highlight w:val="none"/>
              </w:rPr>
            </w:pPr>
          </w:p>
        </w:tc>
        <w:tc>
          <w:tcPr>
            <w:tcW w:w="4175" w:type="dxa"/>
            <w:vAlign w:val="center"/>
          </w:tcPr>
          <w:p w14:paraId="6DB5EB0D">
            <w:pPr>
              <w:spacing w:line="280" w:lineRule="exact"/>
              <w:jc w:val="left"/>
              <w:rPr>
                <w:rFonts w:ascii="宋体" w:hAnsi="宋体" w:cs="宋体"/>
                <w:color w:val="auto"/>
                <w:szCs w:val="21"/>
                <w:highlight w:val="none"/>
              </w:rPr>
            </w:pPr>
            <w:r>
              <w:rPr>
                <w:rFonts w:hint="eastAsia" w:ascii="宋体" w:hAnsi="宋体" w:cs="宋体"/>
                <w:color w:val="auto"/>
                <w:szCs w:val="21"/>
                <w:highlight w:val="none"/>
              </w:rPr>
              <w:t>（八）投标技术方案明确，不存在一个或一个以上备选（替代）投标方案的；</w:t>
            </w:r>
          </w:p>
        </w:tc>
        <w:tc>
          <w:tcPr>
            <w:tcW w:w="1410" w:type="dxa"/>
            <w:vAlign w:val="center"/>
          </w:tcPr>
          <w:p w14:paraId="75947246">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 xml:space="preserve">□通过 </w:t>
            </w:r>
          </w:p>
          <w:p w14:paraId="49A5EB41">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□不通过</w:t>
            </w:r>
          </w:p>
        </w:tc>
        <w:tc>
          <w:tcPr>
            <w:tcW w:w="2192" w:type="dxa"/>
            <w:vAlign w:val="center"/>
          </w:tcPr>
          <w:p w14:paraId="469535DC">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7DDC5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vAlign w:val="center"/>
          </w:tcPr>
          <w:p w14:paraId="694DEE5F">
            <w:pPr>
              <w:spacing w:line="280" w:lineRule="exact"/>
              <w:jc w:val="center"/>
              <w:rPr>
                <w:rFonts w:ascii="宋体" w:hAnsi="宋体" w:cs="宋体"/>
                <w:color w:val="auto"/>
                <w:szCs w:val="21"/>
                <w:highlight w:val="none"/>
              </w:rPr>
            </w:pPr>
          </w:p>
        </w:tc>
        <w:tc>
          <w:tcPr>
            <w:tcW w:w="4175" w:type="dxa"/>
            <w:vAlign w:val="center"/>
          </w:tcPr>
          <w:p w14:paraId="0ED70936">
            <w:pPr>
              <w:spacing w:line="280" w:lineRule="exact"/>
              <w:jc w:val="left"/>
              <w:rPr>
                <w:rFonts w:ascii="宋体" w:hAnsi="宋体" w:cs="宋体"/>
                <w:color w:val="auto"/>
                <w:szCs w:val="21"/>
                <w:highlight w:val="none"/>
              </w:rPr>
            </w:pPr>
            <w:r>
              <w:rPr>
                <w:rFonts w:hint="eastAsia" w:ascii="宋体" w:hAnsi="宋体" w:cs="宋体"/>
                <w:color w:val="auto"/>
                <w:szCs w:val="21"/>
                <w:highlight w:val="none"/>
              </w:rPr>
              <w:t>（九）不存在法律、法规和磋商文件规定的其他无效情形；</w:t>
            </w:r>
          </w:p>
        </w:tc>
        <w:tc>
          <w:tcPr>
            <w:tcW w:w="1410" w:type="dxa"/>
            <w:vAlign w:val="center"/>
          </w:tcPr>
          <w:p w14:paraId="2DDADAA4">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 xml:space="preserve">□通过 </w:t>
            </w:r>
          </w:p>
          <w:p w14:paraId="4CB3EC96">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□不通过</w:t>
            </w:r>
          </w:p>
        </w:tc>
        <w:tc>
          <w:tcPr>
            <w:tcW w:w="2192" w:type="dxa"/>
            <w:vAlign w:val="center"/>
          </w:tcPr>
          <w:p w14:paraId="030CC128">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r w14:paraId="2F14E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067" w:type="dxa"/>
            <w:vMerge w:val="continue"/>
            <w:vAlign w:val="center"/>
          </w:tcPr>
          <w:p w14:paraId="6C8A7F3F">
            <w:pPr>
              <w:spacing w:line="280" w:lineRule="exact"/>
              <w:jc w:val="center"/>
              <w:rPr>
                <w:rFonts w:ascii="宋体" w:hAnsi="宋体" w:cs="宋体"/>
                <w:color w:val="auto"/>
                <w:szCs w:val="21"/>
                <w:highlight w:val="none"/>
              </w:rPr>
            </w:pPr>
          </w:p>
        </w:tc>
        <w:tc>
          <w:tcPr>
            <w:tcW w:w="4175" w:type="dxa"/>
            <w:vAlign w:val="center"/>
          </w:tcPr>
          <w:p w14:paraId="2F79A912">
            <w:pPr>
              <w:spacing w:line="280" w:lineRule="exact"/>
              <w:jc w:val="left"/>
              <w:rPr>
                <w:rFonts w:ascii="宋体" w:hAnsi="宋体" w:cs="宋体"/>
                <w:color w:val="auto"/>
                <w:szCs w:val="21"/>
                <w:highlight w:val="none"/>
              </w:rPr>
            </w:pPr>
            <w:r>
              <w:rPr>
                <w:rFonts w:hint="eastAsia" w:ascii="宋体" w:hAnsi="宋体" w:cs="宋体"/>
                <w:color w:val="auto"/>
                <w:szCs w:val="21"/>
                <w:highlight w:val="none"/>
              </w:rPr>
              <w:t>（十）不存在响应文件的有效期不满足磋商文件要求情形。</w:t>
            </w:r>
          </w:p>
        </w:tc>
        <w:tc>
          <w:tcPr>
            <w:tcW w:w="1410" w:type="dxa"/>
            <w:vAlign w:val="center"/>
          </w:tcPr>
          <w:p w14:paraId="1F3C6A12">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 xml:space="preserve">□通过 </w:t>
            </w:r>
          </w:p>
          <w:p w14:paraId="37E073BF">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□不通过</w:t>
            </w:r>
          </w:p>
        </w:tc>
        <w:tc>
          <w:tcPr>
            <w:tcW w:w="2192" w:type="dxa"/>
            <w:vAlign w:val="center"/>
          </w:tcPr>
          <w:p w14:paraId="12C9A48B">
            <w:pPr>
              <w:spacing w:line="280" w:lineRule="exact"/>
              <w:jc w:val="center"/>
              <w:rPr>
                <w:rFonts w:ascii="宋体" w:hAnsi="宋体" w:cs="宋体"/>
                <w:color w:val="auto"/>
                <w:szCs w:val="21"/>
                <w:highlight w:val="none"/>
              </w:rPr>
            </w:pPr>
            <w:r>
              <w:rPr>
                <w:rFonts w:hint="eastAsia" w:ascii="宋体" w:hAnsi="宋体" w:cs="宋体"/>
                <w:color w:val="auto"/>
                <w:szCs w:val="21"/>
                <w:highlight w:val="none"/>
              </w:rPr>
              <w:t>第（ ）页</w:t>
            </w:r>
          </w:p>
        </w:tc>
      </w:tr>
    </w:tbl>
    <w:p w14:paraId="0ACFFF5C">
      <w:pPr>
        <w:jc w:val="center"/>
        <w:rPr>
          <w:b/>
          <w:bCs/>
          <w:color w:val="auto"/>
          <w:sz w:val="28"/>
          <w:szCs w:val="28"/>
          <w:highlight w:val="none"/>
        </w:rPr>
      </w:pPr>
      <w:r>
        <w:rPr>
          <w:rFonts w:asciiTheme="majorEastAsia" w:hAnsiTheme="majorEastAsia" w:eastAsiaTheme="majorEastAsia"/>
          <w:color w:val="auto"/>
          <w:szCs w:val="21"/>
          <w:highlight w:val="none"/>
        </w:rPr>
        <w:br w:type="page"/>
      </w:r>
      <w:bookmarkStart w:id="40" w:name="_Toc518897062"/>
      <w:bookmarkStart w:id="41" w:name="_Toc381615432"/>
      <w:r>
        <w:rPr>
          <w:rFonts w:hint="eastAsia" w:eastAsiaTheme="majorEastAsia"/>
          <w:b/>
          <w:bCs/>
          <w:color w:val="auto"/>
          <w:sz w:val="28"/>
          <w:szCs w:val="28"/>
          <w:highlight w:val="none"/>
        </w:rPr>
        <w:t>磋商响应函</w:t>
      </w:r>
      <w:r>
        <w:rPr>
          <w:rFonts w:hint="eastAsia"/>
          <w:b/>
          <w:bCs/>
          <w:color w:val="auto"/>
          <w:sz w:val="28"/>
          <w:szCs w:val="28"/>
          <w:highlight w:val="none"/>
        </w:rPr>
        <w:t>及磋商响应函附录</w:t>
      </w:r>
      <w:bookmarkEnd w:id="40"/>
      <w:bookmarkEnd w:id="41"/>
    </w:p>
    <w:p w14:paraId="663D9402">
      <w:pPr>
        <w:rPr>
          <w:color w:val="auto"/>
          <w:highlight w:val="none"/>
        </w:rPr>
      </w:pPr>
    </w:p>
    <w:p w14:paraId="282826A6">
      <w:pPr>
        <w:jc w:val="center"/>
        <w:rPr>
          <w:color w:val="auto"/>
          <w:sz w:val="28"/>
          <w:highlight w:val="none"/>
        </w:rPr>
      </w:pPr>
      <w:r>
        <w:rPr>
          <w:rFonts w:hint="eastAsia"/>
          <w:color w:val="auto"/>
          <w:sz w:val="28"/>
          <w:highlight w:val="none"/>
        </w:rPr>
        <w:t>（一）磋商响应函</w:t>
      </w:r>
    </w:p>
    <w:p w14:paraId="524878CF">
      <w:pPr>
        <w:spacing w:line="360" w:lineRule="auto"/>
        <w:ind w:firstLine="420" w:firstLineChars="200"/>
        <w:rPr>
          <w:rFonts w:ascii="宋体" w:hAnsi="宋体"/>
          <w:color w:val="auto"/>
          <w:szCs w:val="21"/>
          <w:highlight w:val="none"/>
        </w:rPr>
      </w:pPr>
    </w:p>
    <w:p w14:paraId="2AB88B61">
      <w:pPr>
        <w:spacing w:line="360" w:lineRule="auto"/>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（采购人名称）: </w:t>
      </w:r>
    </w:p>
    <w:p w14:paraId="2808FB1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1．我方己仔细研究了</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（项目名称）磋商文件的全部内容，愿意以人民币（大写）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元整（￥</w:t>
      </w:r>
      <w:r>
        <w:rPr>
          <w:rFonts w:hint="eastAsia" w:ascii="宋体" w:hAnsi="宋体"/>
          <w:color w:val="auto"/>
          <w:szCs w:val="21"/>
          <w:highlight w:val="none"/>
          <w:u w:val="single"/>
        </w:rPr>
        <w:t xml:space="preserve">       元</w:t>
      </w:r>
      <w:r>
        <w:rPr>
          <w:rFonts w:hint="eastAsia" w:ascii="宋体" w:hAnsi="宋体"/>
          <w:color w:val="auto"/>
          <w:szCs w:val="21"/>
          <w:highlight w:val="none"/>
        </w:rPr>
        <w:t>）的磋商总报价，按合同约定实施和完成相关服务。</w:t>
      </w:r>
    </w:p>
    <w:p w14:paraId="3186CE2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2．我方承诺在磋商有效期满足磋商文件规定。</w:t>
      </w:r>
    </w:p>
    <w:p w14:paraId="6F46F7A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3．如我方确定成交：</w:t>
      </w:r>
    </w:p>
    <w:p w14:paraId="38D0968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(l）我方承诺在收到确定成交通知书后，在磋商文件规定的期限内与你方签订合同。</w:t>
      </w:r>
    </w:p>
    <w:p w14:paraId="2F610DB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(2）随同本磋商响应函递交的磋商响应函附录属于合同文件的组成部分。</w:t>
      </w:r>
    </w:p>
    <w:p w14:paraId="710219E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4．我方在此声明，所递交的响应文件及有关资料内容完整、真实和准确，且不存在第二章“供应商须知”规定的任何一种情形。</w:t>
      </w:r>
    </w:p>
    <w:p w14:paraId="472D9B3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5. </w:t>
      </w:r>
      <w:r>
        <w:rPr>
          <w:rFonts w:hint="eastAsia" w:ascii="宋体" w:hAnsi="宋体"/>
          <w:color w:val="auto"/>
          <w:szCs w:val="21"/>
          <w:highlight w:val="none"/>
          <w:u w:val="single"/>
        </w:rPr>
        <w:t xml:space="preserve">                     </w:t>
      </w:r>
      <w:r>
        <w:rPr>
          <w:rFonts w:hint="eastAsia" w:ascii="宋体" w:hAnsi="宋体"/>
          <w:color w:val="auto"/>
          <w:szCs w:val="21"/>
          <w:highlight w:val="none"/>
        </w:rPr>
        <w:t>（其他补充说明）。</w:t>
      </w:r>
    </w:p>
    <w:p w14:paraId="63D5F528">
      <w:pPr>
        <w:spacing w:line="360" w:lineRule="auto"/>
        <w:ind w:firstLine="420" w:firstLineChars="200"/>
        <w:rPr>
          <w:rFonts w:ascii="宋体" w:hAnsi="宋体"/>
          <w:color w:val="auto"/>
          <w:szCs w:val="21"/>
          <w:highlight w:val="none"/>
        </w:rPr>
      </w:pPr>
    </w:p>
    <w:p w14:paraId="79DAF88E">
      <w:pPr>
        <w:spacing w:line="360" w:lineRule="auto"/>
        <w:ind w:firstLine="420" w:firstLineChars="200"/>
        <w:rPr>
          <w:rFonts w:ascii="宋体" w:hAnsi="宋体"/>
          <w:color w:val="auto"/>
          <w:szCs w:val="21"/>
          <w:highlight w:val="none"/>
        </w:rPr>
      </w:pPr>
    </w:p>
    <w:p w14:paraId="7066C5A3">
      <w:pPr>
        <w:spacing w:line="360" w:lineRule="auto"/>
        <w:rPr>
          <w:rFonts w:ascii="宋体" w:hAnsi="宋体"/>
          <w:color w:val="auto"/>
          <w:szCs w:val="21"/>
          <w:highlight w:val="none"/>
        </w:rPr>
      </w:pPr>
      <w:r>
        <w:rPr>
          <w:rFonts w:hint="eastAsia" w:ascii="宋体" w:hAnsi="宋体"/>
          <w:color w:val="auto"/>
          <w:szCs w:val="21"/>
          <w:highlight w:val="none"/>
        </w:rPr>
        <w:t>供应商：</w:t>
      </w:r>
      <w:r>
        <w:rPr>
          <w:rFonts w:hint="eastAsia" w:ascii="宋体" w:hAnsi="宋体"/>
          <w:color w:val="auto"/>
          <w:szCs w:val="21"/>
          <w:highlight w:val="none"/>
          <w:u w:val="single"/>
        </w:rPr>
        <w:t xml:space="preserve">                     </w:t>
      </w:r>
      <w:r>
        <w:rPr>
          <w:rFonts w:hint="eastAsia" w:ascii="宋体" w:hAnsi="宋体"/>
          <w:color w:val="auto"/>
          <w:szCs w:val="21"/>
          <w:highlight w:val="none"/>
        </w:rPr>
        <w:t>（盖单位公章）</w:t>
      </w:r>
    </w:p>
    <w:p w14:paraId="7A704F61">
      <w:pPr>
        <w:spacing w:line="360" w:lineRule="auto"/>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14:paraId="25F69D2E">
      <w:pPr>
        <w:spacing w:line="360" w:lineRule="auto"/>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p>
    <w:p w14:paraId="0A4408B2">
      <w:pPr>
        <w:spacing w:line="360" w:lineRule="auto"/>
        <w:rPr>
          <w:rFonts w:ascii="宋体" w:hAnsi="宋体"/>
          <w:color w:val="auto"/>
          <w:szCs w:val="21"/>
          <w:highlight w:val="none"/>
        </w:rPr>
      </w:pPr>
      <w:r>
        <w:rPr>
          <w:rFonts w:hint="eastAsia" w:ascii="宋体" w:hAnsi="宋体"/>
          <w:color w:val="auto"/>
          <w:szCs w:val="21"/>
          <w:highlight w:val="none"/>
        </w:rPr>
        <w:t>网址：</w:t>
      </w:r>
      <w:r>
        <w:rPr>
          <w:rFonts w:hint="eastAsia" w:ascii="宋体" w:hAnsi="宋体"/>
          <w:color w:val="auto"/>
          <w:szCs w:val="21"/>
          <w:highlight w:val="none"/>
          <w:u w:val="single"/>
        </w:rPr>
        <w:t xml:space="preserve">                                 </w:t>
      </w:r>
    </w:p>
    <w:p w14:paraId="1333EEAC">
      <w:pPr>
        <w:spacing w:line="360" w:lineRule="auto"/>
        <w:rPr>
          <w:rFonts w:ascii="宋体" w:hAnsi="宋体"/>
          <w:color w:val="auto"/>
          <w:szCs w:val="21"/>
          <w:highlight w:val="none"/>
        </w:rPr>
      </w:pPr>
      <w:r>
        <w:rPr>
          <w:rFonts w:hint="eastAsia" w:ascii="宋体" w:hAnsi="宋体"/>
          <w:color w:val="auto"/>
          <w:szCs w:val="21"/>
          <w:highlight w:val="none"/>
        </w:rPr>
        <w:t>电话：</w:t>
      </w:r>
      <w:r>
        <w:rPr>
          <w:rFonts w:hint="eastAsia" w:ascii="宋体" w:hAnsi="宋体"/>
          <w:color w:val="auto"/>
          <w:szCs w:val="21"/>
          <w:highlight w:val="none"/>
          <w:u w:val="single"/>
        </w:rPr>
        <w:t xml:space="preserve">                                 </w:t>
      </w:r>
    </w:p>
    <w:p w14:paraId="6DF31284">
      <w:pPr>
        <w:spacing w:line="360" w:lineRule="auto"/>
        <w:rPr>
          <w:rFonts w:ascii="宋体" w:hAnsi="宋体"/>
          <w:color w:val="auto"/>
          <w:szCs w:val="21"/>
          <w:highlight w:val="none"/>
        </w:rPr>
      </w:pPr>
      <w:r>
        <w:rPr>
          <w:rFonts w:hint="eastAsia" w:ascii="宋体" w:hAnsi="宋体"/>
          <w:color w:val="auto"/>
          <w:szCs w:val="21"/>
          <w:highlight w:val="none"/>
        </w:rPr>
        <w:t>传真：</w:t>
      </w:r>
      <w:r>
        <w:rPr>
          <w:rFonts w:hint="eastAsia" w:ascii="宋体" w:hAnsi="宋体"/>
          <w:color w:val="auto"/>
          <w:szCs w:val="21"/>
          <w:highlight w:val="none"/>
          <w:u w:val="single"/>
        </w:rPr>
        <w:t xml:space="preserve">                                 </w:t>
      </w:r>
    </w:p>
    <w:p w14:paraId="67E3937A">
      <w:pPr>
        <w:spacing w:line="360" w:lineRule="auto"/>
        <w:rPr>
          <w:rFonts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p>
    <w:p w14:paraId="57D0FB0D">
      <w:pPr>
        <w:spacing w:line="360" w:lineRule="auto"/>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72ACAD50">
      <w:pPr>
        <w:pStyle w:val="2"/>
        <w:ind w:firstLine="0" w:firstLineChars="0"/>
        <w:rPr>
          <w:color w:val="auto"/>
          <w:highlight w:val="none"/>
        </w:rPr>
      </w:pPr>
    </w:p>
    <w:p w14:paraId="6C9C427B">
      <w:pPr>
        <w:spacing w:line="360" w:lineRule="auto"/>
        <w:ind w:firstLine="420" w:firstLineChars="200"/>
        <w:rPr>
          <w:rFonts w:ascii="宋体" w:hAnsi="宋体"/>
          <w:color w:val="auto"/>
          <w:szCs w:val="21"/>
          <w:highlight w:val="none"/>
        </w:rPr>
        <w:sectPr>
          <w:headerReference r:id="rId11" w:type="default"/>
          <w:footerReference r:id="rId12" w:type="default"/>
          <w:pgSz w:w="11906" w:h="16838"/>
          <w:pgMar w:top="1440" w:right="1800" w:bottom="1440" w:left="1800" w:header="851" w:footer="992" w:gutter="0"/>
          <w:cols w:space="720" w:num="1"/>
          <w:docGrid w:type="lines" w:linePitch="312" w:charSpace="0"/>
        </w:sectPr>
      </w:pPr>
    </w:p>
    <w:p w14:paraId="6E32C8B4">
      <w:pPr>
        <w:adjustRightInd w:val="0"/>
        <w:spacing w:line="440" w:lineRule="exact"/>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格式二：</w:t>
      </w:r>
    </w:p>
    <w:p w14:paraId="6CF0901F">
      <w:pPr>
        <w:spacing w:line="440" w:lineRule="exact"/>
        <w:jc w:val="center"/>
        <w:rPr>
          <w:rFonts w:asciiTheme="majorEastAsia" w:hAnsiTheme="majorEastAsia" w:eastAsiaTheme="majorEastAsia"/>
          <w:b/>
          <w:color w:val="auto"/>
          <w:spacing w:val="-4"/>
          <w:szCs w:val="21"/>
          <w:highlight w:val="none"/>
        </w:rPr>
      </w:pPr>
      <w:r>
        <w:rPr>
          <w:rFonts w:hint="eastAsia" w:asciiTheme="majorEastAsia" w:hAnsiTheme="majorEastAsia" w:eastAsiaTheme="majorEastAsia"/>
          <w:b/>
          <w:color w:val="auto"/>
          <w:spacing w:val="-4"/>
          <w:szCs w:val="21"/>
          <w:highlight w:val="none"/>
        </w:rPr>
        <w:t>供应商资格声明函</w:t>
      </w:r>
    </w:p>
    <w:p w14:paraId="3C16EF56">
      <w:pPr>
        <w:pStyle w:val="2"/>
        <w:ind w:firstLine="210"/>
        <w:rPr>
          <w:color w:val="auto"/>
          <w:highlight w:val="none"/>
        </w:rPr>
      </w:pPr>
    </w:p>
    <w:p w14:paraId="583A5E68">
      <w:pPr>
        <w:spacing w:line="360" w:lineRule="auto"/>
        <w:rPr>
          <w:rFonts w:ascii="宋体" w:hAnsi="宋体" w:cs="宋体"/>
          <w:b/>
          <w:color w:val="auto"/>
          <w:kern w:val="1"/>
          <w:szCs w:val="21"/>
          <w:highlight w:val="none"/>
        </w:rPr>
      </w:pPr>
      <w:r>
        <w:rPr>
          <w:rFonts w:hint="eastAsia" w:ascii="宋体" w:hAnsi="宋体"/>
          <w:bCs/>
          <w:color w:val="auto"/>
          <w:szCs w:val="21"/>
          <w:highlight w:val="none"/>
        </w:rPr>
        <w:t>致：</w:t>
      </w:r>
      <w:r>
        <w:rPr>
          <w:rFonts w:hint="eastAsia" w:ascii="宋体" w:hAnsi="宋体"/>
          <w:color w:val="auto"/>
          <w:szCs w:val="21"/>
          <w:highlight w:val="none"/>
          <w:u w:val="single"/>
          <w:lang w:eastAsia="zh-CN"/>
        </w:rPr>
        <w:t>宁波市海曙区横街镇人民政府</w:t>
      </w:r>
      <w:r>
        <w:rPr>
          <w:rFonts w:hint="eastAsia" w:ascii="宋体" w:hAnsi="宋体"/>
          <w:color w:val="auto"/>
          <w:szCs w:val="21"/>
          <w:highlight w:val="none"/>
          <w:u w:val="single"/>
        </w:rPr>
        <w:t>、宁波之新招标咨询有限公司</w:t>
      </w:r>
    </w:p>
    <w:p w14:paraId="2C5015B8">
      <w:pPr>
        <w:spacing w:line="360" w:lineRule="auto"/>
        <w:ind w:firstLine="424"/>
        <w:rPr>
          <w:rFonts w:ascii="宋体" w:hAnsi="宋体" w:cs="宋体"/>
          <w:b/>
          <w:bCs/>
          <w:color w:val="auto"/>
          <w:kern w:val="1"/>
          <w:szCs w:val="21"/>
          <w:highlight w:val="none"/>
        </w:rPr>
      </w:pPr>
      <w:r>
        <w:rPr>
          <w:rFonts w:ascii="宋体" w:hAnsi="宋体" w:cs="宋体"/>
          <w:b/>
          <w:color w:val="auto"/>
          <w:kern w:val="1"/>
          <w:szCs w:val="21"/>
          <w:highlight w:val="none"/>
        </w:rPr>
        <w:t>本单位</w:t>
      </w:r>
      <w:r>
        <w:rPr>
          <w:rFonts w:hint="eastAsia" w:ascii="宋体" w:hAnsi="宋体" w:cs="宋体"/>
          <w:b/>
          <w:color w:val="auto"/>
          <w:kern w:val="1"/>
          <w:szCs w:val="21"/>
          <w:highlight w:val="none"/>
        </w:rPr>
        <w:t>自愿</w:t>
      </w:r>
      <w:r>
        <w:rPr>
          <w:rFonts w:ascii="宋体" w:hAnsi="宋体" w:cs="宋体"/>
          <w:b/>
          <w:color w:val="auto"/>
          <w:kern w:val="1"/>
          <w:szCs w:val="21"/>
          <w:highlight w:val="none"/>
        </w:rPr>
        <w:t>参加</w:t>
      </w:r>
      <w:r>
        <w:rPr>
          <w:rFonts w:hint="eastAsia" w:ascii="宋体" w:hAnsi="宋体" w:cs="宋体"/>
          <w:b/>
          <w:color w:val="auto"/>
          <w:kern w:val="1"/>
          <w:szCs w:val="21"/>
          <w:highlight w:val="none"/>
        </w:rPr>
        <w:t>磋商</w:t>
      </w:r>
      <w:r>
        <w:rPr>
          <w:rFonts w:ascii="宋体" w:hAnsi="宋体" w:cs="宋体"/>
          <w:b/>
          <w:color w:val="auto"/>
          <w:kern w:val="1"/>
          <w:szCs w:val="21"/>
          <w:highlight w:val="none"/>
        </w:rPr>
        <w:t>并声明</w:t>
      </w:r>
      <w:r>
        <w:rPr>
          <w:rFonts w:hint="eastAsia" w:ascii="宋体" w:hAnsi="宋体" w:cs="宋体"/>
          <w:b/>
          <w:bCs/>
          <w:color w:val="auto"/>
          <w:kern w:val="1"/>
          <w:szCs w:val="21"/>
          <w:highlight w:val="none"/>
        </w:rPr>
        <w:t>：</w:t>
      </w:r>
    </w:p>
    <w:p w14:paraId="5C35C2D7">
      <w:pPr>
        <w:spacing w:line="360" w:lineRule="auto"/>
        <w:ind w:firstLine="424"/>
        <w:rPr>
          <w:rFonts w:ascii="宋体" w:hAnsi="宋体" w:cs="Arial"/>
          <w:color w:val="auto"/>
          <w:szCs w:val="21"/>
          <w:highlight w:val="none"/>
        </w:rPr>
      </w:pPr>
      <w:r>
        <w:rPr>
          <w:rFonts w:hint="eastAsia" w:ascii="宋体" w:hAnsi="宋体" w:cs="Arial"/>
          <w:color w:val="auto"/>
          <w:szCs w:val="21"/>
          <w:highlight w:val="none"/>
        </w:rPr>
        <w:t>1、具有独立承担民事责任的能力；</w:t>
      </w:r>
    </w:p>
    <w:p w14:paraId="01F0DE2E">
      <w:pPr>
        <w:spacing w:line="360" w:lineRule="auto"/>
        <w:ind w:firstLine="424"/>
        <w:rPr>
          <w:rFonts w:ascii="宋体" w:hAnsi="宋体" w:cs="Arial"/>
          <w:color w:val="auto"/>
          <w:szCs w:val="21"/>
          <w:highlight w:val="none"/>
        </w:rPr>
      </w:pPr>
      <w:r>
        <w:rPr>
          <w:rFonts w:hint="eastAsia" w:ascii="宋体" w:hAnsi="宋体" w:cs="Arial"/>
          <w:color w:val="auto"/>
          <w:szCs w:val="21"/>
          <w:highlight w:val="none"/>
        </w:rPr>
        <w:t>2、具有良好的商业信誉和健全的财务会计制度；</w:t>
      </w:r>
    </w:p>
    <w:p w14:paraId="61C4DE3A">
      <w:pPr>
        <w:spacing w:line="360" w:lineRule="auto"/>
        <w:ind w:firstLine="424"/>
        <w:rPr>
          <w:rFonts w:ascii="宋体" w:hAnsi="宋体" w:cs="Arial"/>
          <w:color w:val="auto"/>
          <w:szCs w:val="21"/>
          <w:highlight w:val="none"/>
        </w:rPr>
      </w:pPr>
      <w:r>
        <w:rPr>
          <w:rFonts w:hint="eastAsia" w:ascii="宋体" w:hAnsi="宋体" w:cs="Arial"/>
          <w:color w:val="auto"/>
          <w:szCs w:val="21"/>
          <w:highlight w:val="none"/>
        </w:rPr>
        <w:t>3、具有履行本项目合同所必需的设备和专业技术能力；</w:t>
      </w:r>
    </w:p>
    <w:p w14:paraId="09AA329E">
      <w:pPr>
        <w:spacing w:line="360" w:lineRule="auto"/>
        <w:ind w:firstLine="424"/>
        <w:rPr>
          <w:rFonts w:ascii="宋体" w:hAnsi="宋体" w:cs="Arial"/>
          <w:color w:val="auto"/>
          <w:szCs w:val="21"/>
          <w:highlight w:val="none"/>
        </w:rPr>
      </w:pPr>
      <w:r>
        <w:rPr>
          <w:rFonts w:hint="eastAsia" w:ascii="宋体" w:hAnsi="宋体" w:cs="Arial"/>
          <w:color w:val="auto"/>
          <w:szCs w:val="21"/>
          <w:highlight w:val="none"/>
        </w:rPr>
        <w:t>4、已依法缴纳了税收和社会保障资金；</w:t>
      </w:r>
    </w:p>
    <w:p w14:paraId="7F4488F3">
      <w:pPr>
        <w:spacing w:line="360" w:lineRule="auto"/>
        <w:ind w:firstLine="424"/>
        <w:rPr>
          <w:rFonts w:ascii="宋体" w:hAnsi="宋体" w:cs="Arial"/>
          <w:color w:val="auto"/>
          <w:szCs w:val="21"/>
          <w:highlight w:val="none"/>
        </w:rPr>
      </w:pPr>
      <w:r>
        <w:rPr>
          <w:rFonts w:hint="eastAsia" w:ascii="宋体" w:hAnsi="宋体" w:cs="Arial"/>
          <w:color w:val="auto"/>
          <w:szCs w:val="21"/>
          <w:highlight w:val="none"/>
        </w:rPr>
        <w:t>5、在参加本次政府采购活动前三年内，在经营活动中没有重大违法记录（没有因违法经营受到刑事处罚或者责令停产停业、吊销许可证或者执照、较大数额罚款等行政处罚）；</w:t>
      </w:r>
    </w:p>
    <w:p w14:paraId="6094C509">
      <w:pPr>
        <w:spacing w:line="360" w:lineRule="auto"/>
        <w:ind w:firstLine="424"/>
        <w:rPr>
          <w:rFonts w:ascii="宋体" w:hAnsi="宋体" w:cs="Arial"/>
          <w:color w:val="auto"/>
          <w:szCs w:val="21"/>
          <w:highlight w:val="none"/>
        </w:rPr>
      </w:pPr>
      <w:r>
        <w:rPr>
          <w:rFonts w:hint="eastAsia" w:ascii="宋体" w:hAnsi="宋体" w:cs="Arial"/>
          <w:color w:val="auto"/>
          <w:szCs w:val="21"/>
          <w:highlight w:val="none"/>
        </w:rPr>
        <w:t>6、</w:t>
      </w:r>
      <w:r>
        <w:rPr>
          <w:rFonts w:ascii="宋体" w:hAnsi="宋体" w:cs="Arial"/>
          <w:color w:val="auto"/>
          <w:szCs w:val="21"/>
          <w:highlight w:val="none"/>
        </w:rPr>
        <w:t>本单位</w:t>
      </w:r>
      <w:r>
        <w:rPr>
          <w:rFonts w:hint="eastAsia" w:ascii="宋体" w:hAnsi="宋体" w:cs="Arial"/>
          <w:color w:val="auto"/>
          <w:szCs w:val="21"/>
          <w:highlight w:val="none"/>
        </w:rPr>
        <w:t>至响应截止日未被列入“信用中国”网站(www.creditchina.gov.cn)“失信被执行人或重大税收违法案件当事人名单或政府采购严重违法失信名单”且不处于中国政府采购网(www.ccgp.gov.cn)“政府采购严重违法失信行为信息记录”中的禁止参加政府采购活动期间；</w:t>
      </w:r>
    </w:p>
    <w:p w14:paraId="18E1A262">
      <w:pPr>
        <w:spacing w:line="360" w:lineRule="auto"/>
        <w:ind w:firstLine="424"/>
        <w:rPr>
          <w:rFonts w:ascii="宋体" w:hAnsi="宋体" w:cs="Arial"/>
          <w:color w:val="auto"/>
          <w:szCs w:val="21"/>
          <w:highlight w:val="none"/>
        </w:rPr>
      </w:pPr>
      <w:r>
        <w:rPr>
          <w:rFonts w:hint="eastAsia" w:ascii="宋体" w:hAnsi="宋体" w:cs="Arial"/>
          <w:color w:val="auto"/>
          <w:szCs w:val="21"/>
          <w:highlight w:val="none"/>
        </w:rPr>
        <w:t>7、具有</w:t>
      </w:r>
      <w:r>
        <w:rPr>
          <w:rFonts w:ascii="宋体" w:hAnsi="宋体" w:cs="Arial"/>
          <w:color w:val="auto"/>
          <w:szCs w:val="21"/>
          <w:highlight w:val="none"/>
        </w:rPr>
        <w:t>法律、行政法规规定的其他条件</w:t>
      </w:r>
      <w:r>
        <w:rPr>
          <w:rFonts w:hint="eastAsia" w:ascii="宋体" w:hAnsi="宋体" w:cs="Arial"/>
          <w:color w:val="auto"/>
          <w:szCs w:val="21"/>
          <w:highlight w:val="none"/>
        </w:rPr>
        <w:t>；</w:t>
      </w:r>
    </w:p>
    <w:p w14:paraId="47E48EB4">
      <w:pPr>
        <w:spacing w:line="360" w:lineRule="auto"/>
        <w:ind w:firstLine="424"/>
        <w:rPr>
          <w:rFonts w:ascii="宋体" w:hAnsi="宋体" w:cs="Arial"/>
          <w:color w:val="auto"/>
          <w:szCs w:val="21"/>
          <w:highlight w:val="none"/>
        </w:rPr>
      </w:pPr>
      <w:r>
        <w:rPr>
          <w:rFonts w:hint="eastAsia" w:ascii="宋体" w:hAnsi="宋体" w:cs="Arial"/>
          <w:color w:val="auto"/>
          <w:szCs w:val="21"/>
          <w:highlight w:val="none"/>
        </w:rPr>
        <w:t>8、</w:t>
      </w:r>
      <w:r>
        <w:rPr>
          <w:rFonts w:ascii="宋体" w:hAnsi="宋体" w:cs="Arial"/>
          <w:color w:val="auto"/>
          <w:szCs w:val="21"/>
          <w:highlight w:val="none"/>
        </w:rPr>
        <w:t>本单位的法定代表人或单位负责人与所参</w:t>
      </w:r>
      <w:r>
        <w:rPr>
          <w:rFonts w:hint="eastAsia" w:ascii="宋体" w:hAnsi="宋体" w:cs="Arial"/>
          <w:color w:val="auto"/>
          <w:szCs w:val="21"/>
          <w:highlight w:val="none"/>
        </w:rPr>
        <w:t>与</w:t>
      </w:r>
      <w:r>
        <w:rPr>
          <w:rFonts w:ascii="宋体" w:hAnsi="宋体" w:cs="Arial"/>
          <w:color w:val="auto"/>
          <w:szCs w:val="21"/>
          <w:highlight w:val="none"/>
        </w:rPr>
        <w:t>本项目</w:t>
      </w:r>
      <w:r>
        <w:rPr>
          <w:rFonts w:hint="eastAsia" w:ascii="宋体" w:hAnsi="宋体" w:cs="Arial"/>
          <w:color w:val="auto"/>
          <w:szCs w:val="21"/>
          <w:highlight w:val="none"/>
        </w:rPr>
        <w:t>磋商</w:t>
      </w:r>
      <w:r>
        <w:rPr>
          <w:rFonts w:ascii="宋体" w:hAnsi="宋体" w:cs="Arial"/>
          <w:color w:val="auto"/>
          <w:szCs w:val="21"/>
          <w:highlight w:val="none"/>
        </w:rPr>
        <w:t>的其他</w:t>
      </w:r>
      <w:r>
        <w:rPr>
          <w:rFonts w:hint="eastAsia" w:ascii="宋体" w:hAnsi="宋体" w:cs="Arial"/>
          <w:color w:val="auto"/>
          <w:szCs w:val="21"/>
          <w:highlight w:val="none"/>
        </w:rPr>
        <w:t>供应商</w:t>
      </w:r>
      <w:r>
        <w:rPr>
          <w:rFonts w:ascii="宋体" w:hAnsi="宋体" w:cs="Arial"/>
          <w:color w:val="auto"/>
          <w:szCs w:val="21"/>
          <w:highlight w:val="none"/>
        </w:rPr>
        <w:t>的法定代表人或单位负责人不为同一人且与其他</w:t>
      </w:r>
      <w:r>
        <w:rPr>
          <w:rFonts w:hint="eastAsia" w:ascii="宋体" w:hAnsi="宋体" w:cs="Arial"/>
          <w:color w:val="auto"/>
          <w:szCs w:val="21"/>
          <w:highlight w:val="none"/>
        </w:rPr>
        <w:t>供应商</w:t>
      </w:r>
      <w:r>
        <w:rPr>
          <w:rFonts w:ascii="宋体" w:hAnsi="宋体" w:cs="Arial"/>
          <w:color w:val="auto"/>
          <w:szCs w:val="21"/>
          <w:highlight w:val="none"/>
        </w:rPr>
        <w:t>之间不存在直接控股、管理关系</w:t>
      </w:r>
      <w:r>
        <w:rPr>
          <w:rFonts w:hint="eastAsia" w:ascii="宋体" w:hAnsi="宋体" w:cs="Arial"/>
          <w:color w:val="auto"/>
          <w:szCs w:val="21"/>
          <w:highlight w:val="none"/>
        </w:rPr>
        <w:t>；</w:t>
      </w:r>
    </w:p>
    <w:p w14:paraId="414F3F46">
      <w:pPr>
        <w:spacing w:line="360" w:lineRule="auto"/>
        <w:ind w:firstLine="424"/>
        <w:rPr>
          <w:rFonts w:ascii="宋体" w:hAnsi="宋体" w:cs="Arial"/>
          <w:color w:val="auto"/>
          <w:szCs w:val="21"/>
          <w:highlight w:val="none"/>
        </w:rPr>
      </w:pPr>
      <w:r>
        <w:rPr>
          <w:rFonts w:hint="eastAsia" w:ascii="宋体" w:hAnsi="宋体" w:cs="Arial"/>
          <w:color w:val="auto"/>
          <w:szCs w:val="21"/>
          <w:highlight w:val="none"/>
        </w:rPr>
        <w:t>9、</w:t>
      </w:r>
      <w:r>
        <w:rPr>
          <w:rFonts w:ascii="宋体" w:hAnsi="宋体" w:cs="Arial"/>
          <w:color w:val="auto"/>
          <w:szCs w:val="21"/>
          <w:highlight w:val="none"/>
        </w:rPr>
        <w:t>本单位</w:t>
      </w:r>
      <w:r>
        <w:rPr>
          <w:rFonts w:hint="eastAsia" w:ascii="宋体" w:hAnsi="宋体" w:cs="Arial"/>
          <w:color w:val="auto"/>
          <w:szCs w:val="21"/>
          <w:highlight w:val="none"/>
        </w:rPr>
        <w:t>不是</w:t>
      </w:r>
      <w:r>
        <w:rPr>
          <w:rFonts w:ascii="宋体" w:hAnsi="宋体" w:cs="Arial"/>
          <w:color w:val="auto"/>
          <w:szCs w:val="21"/>
          <w:highlight w:val="none"/>
        </w:rPr>
        <w:t>为本项目提供整体设计、规范编制或者项目管理、监理、检测等服务的</w:t>
      </w:r>
      <w:r>
        <w:rPr>
          <w:rFonts w:hint="eastAsia" w:ascii="宋体" w:hAnsi="宋体" w:cs="Arial"/>
          <w:color w:val="auto"/>
          <w:szCs w:val="21"/>
          <w:highlight w:val="none"/>
        </w:rPr>
        <w:t>供应商。</w:t>
      </w:r>
    </w:p>
    <w:p w14:paraId="64C96CB7">
      <w:pPr>
        <w:spacing w:line="440" w:lineRule="exact"/>
        <w:ind w:right="159" w:firstLine="420" w:firstLineChars="200"/>
        <w:jc w:val="left"/>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特此声明！</w:t>
      </w:r>
    </w:p>
    <w:p w14:paraId="383B37A4">
      <w:pPr>
        <w:spacing w:line="440" w:lineRule="exact"/>
        <w:ind w:right="159" w:firstLine="420" w:firstLineChars="200"/>
        <w:jc w:val="left"/>
        <w:rPr>
          <w:rFonts w:asciiTheme="majorEastAsia" w:hAnsiTheme="majorEastAsia" w:eastAsiaTheme="majorEastAsia"/>
          <w:color w:val="auto"/>
          <w:kern w:val="0"/>
          <w:szCs w:val="21"/>
          <w:highlight w:val="none"/>
        </w:rPr>
      </w:pPr>
    </w:p>
    <w:p w14:paraId="2C1C38EF">
      <w:pPr>
        <w:spacing w:line="440" w:lineRule="exact"/>
        <w:rPr>
          <w:rFonts w:asciiTheme="majorEastAsia" w:hAnsiTheme="majorEastAsia" w:eastAsiaTheme="majorEastAsia"/>
          <w:color w:val="auto"/>
          <w:szCs w:val="21"/>
          <w:highlight w:val="none"/>
        </w:rPr>
      </w:pPr>
    </w:p>
    <w:p w14:paraId="63BD414C">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7BADFD66">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法定代表人（负责人）或授权代表（签字或盖章）：</w:t>
      </w:r>
    </w:p>
    <w:p w14:paraId="376F9F05">
      <w:pPr>
        <w:adjustRightInd w:val="0"/>
        <w:spacing w:line="440" w:lineRule="exact"/>
        <w:jc w:val="left"/>
        <w:rPr>
          <w:rFonts w:asciiTheme="majorEastAsia" w:hAnsiTheme="majorEastAsia" w:eastAsiaTheme="majorEastAsia"/>
          <w:b/>
          <w:color w:val="auto"/>
          <w:szCs w:val="21"/>
          <w:highlight w:val="none"/>
        </w:rPr>
      </w:pPr>
      <w:r>
        <w:rPr>
          <w:rFonts w:asciiTheme="majorEastAsia" w:hAnsiTheme="majorEastAsia" w:eastAsiaTheme="majorEastAsia"/>
          <w:color w:val="auto"/>
          <w:szCs w:val="21"/>
          <w:highlight w:val="none"/>
        </w:rPr>
        <w:t>日期：</w:t>
      </w:r>
      <w:r>
        <w:rPr>
          <w:rFonts w:asciiTheme="majorEastAsia" w:hAnsiTheme="majorEastAsia" w:eastAsiaTheme="majorEastAsia"/>
          <w:color w:val="auto"/>
          <w:szCs w:val="21"/>
          <w:highlight w:val="none"/>
        </w:rPr>
        <w:br w:type="page"/>
      </w:r>
      <w:r>
        <w:rPr>
          <w:rFonts w:asciiTheme="majorEastAsia" w:hAnsiTheme="majorEastAsia" w:eastAsiaTheme="majorEastAsia"/>
          <w:b/>
          <w:color w:val="auto"/>
          <w:szCs w:val="21"/>
          <w:highlight w:val="none"/>
        </w:rPr>
        <w:t>格式三：</w:t>
      </w:r>
    </w:p>
    <w:p w14:paraId="3FC4C2EC">
      <w:pPr>
        <w:adjustRightInd w:val="0"/>
        <w:spacing w:line="440" w:lineRule="exact"/>
        <w:jc w:val="center"/>
        <w:rPr>
          <w:rFonts w:asciiTheme="majorEastAsia" w:hAnsiTheme="majorEastAsia" w:eastAsiaTheme="majorEastAsia"/>
          <w:b/>
          <w:bCs/>
          <w:color w:val="auto"/>
          <w:szCs w:val="21"/>
          <w:highlight w:val="none"/>
        </w:rPr>
      </w:pPr>
      <w:r>
        <w:rPr>
          <w:rFonts w:hint="eastAsia" w:asciiTheme="majorEastAsia" w:hAnsiTheme="majorEastAsia" w:eastAsiaTheme="majorEastAsia"/>
          <w:b/>
          <w:bCs/>
          <w:color w:val="auto"/>
          <w:szCs w:val="21"/>
          <w:highlight w:val="none"/>
        </w:rPr>
        <w:t>评分索引表</w:t>
      </w:r>
    </w:p>
    <w:tbl>
      <w:tblPr>
        <w:tblStyle w:val="45"/>
        <w:tblpPr w:leftFromText="180" w:rightFromText="180" w:vertAnchor="text"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5045"/>
        <w:gridCol w:w="1326"/>
        <w:gridCol w:w="1210"/>
      </w:tblGrid>
      <w:tr w14:paraId="6D03A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552" w:type="pct"/>
            <w:vAlign w:val="center"/>
          </w:tcPr>
          <w:p w14:paraId="63E5C586">
            <w:pPr>
              <w:contextualSpacing/>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项目</w:t>
            </w:r>
          </w:p>
        </w:tc>
        <w:tc>
          <w:tcPr>
            <w:tcW w:w="2960" w:type="pct"/>
            <w:vAlign w:val="center"/>
          </w:tcPr>
          <w:p w14:paraId="5A5946A8">
            <w:pPr>
              <w:ind w:right="25" w:rightChars="12"/>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评审内容</w:t>
            </w:r>
          </w:p>
        </w:tc>
        <w:tc>
          <w:tcPr>
            <w:tcW w:w="778" w:type="pct"/>
            <w:vAlign w:val="center"/>
          </w:tcPr>
          <w:p w14:paraId="529AFCBC">
            <w:pPr>
              <w:ind w:right="25" w:rightChars="12"/>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自评分</w:t>
            </w:r>
          </w:p>
          <w:p w14:paraId="22EC6951">
            <w:pPr>
              <w:ind w:right="25" w:rightChars="12"/>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得分</w:t>
            </w:r>
          </w:p>
        </w:tc>
        <w:tc>
          <w:tcPr>
            <w:tcW w:w="711" w:type="pct"/>
            <w:vAlign w:val="center"/>
          </w:tcPr>
          <w:p w14:paraId="1921F8A6">
            <w:pPr>
              <w:ind w:right="25" w:rightChars="12"/>
              <w:jc w:val="center"/>
              <w:rPr>
                <w:rFonts w:asciiTheme="majorEastAsia" w:hAnsiTheme="majorEastAsia" w:eastAsiaTheme="majorEastAsia"/>
                <w:b/>
                <w:color w:val="auto"/>
                <w:szCs w:val="21"/>
                <w:highlight w:val="none"/>
              </w:rPr>
            </w:pPr>
            <w:r>
              <w:rPr>
                <w:rFonts w:hint="eastAsia" w:asciiTheme="majorEastAsia" w:hAnsiTheme="majorEastAsia" w:eastAsiaTheme="majorEastAsia"/>
                <w:b/>
                <w:color w:val="auto"/>
                <w:szCs w:val="21"/>
                <w:highlight w:val="none"/>
              </w:rPr>
              <w:t>对应页码</w:t>
            </w:r>
          </w:p>
        </w:tc>
      </w:tr>
      <w:tr w14:paraId="09434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restart"/>
            <w:vAlign w:val="center"/>
          </w:tcPr>
          <w:p w14:paraId="3E644EA6">
            <w:pPr>
              <w:autoSpaceDE w:val="0"/>
              <w:autoSpaceDN w:val="0"/>
              <w:adjustRightInd w:val="0"/>
              <w:jc w:val="center"/>
              <w:rPr>
                <w:rFonts w:asciiTheme="majorEastAsia" w:hAnsiTheme="majorEastAsia" w:eastAsiaTheme="majorEastAsia"/>
                <w:b/>
                <w:bCs/>
                <w:color w:val="auto"/>
                <w:szCs w:val="21"/>
                <w:highlight w:val="none"/>
                <w:lang w:val="zh-CN"/>
              </w:rPr>
            </w:pPr>
            <w:r>
              <w:rPr>
                <w:rFonts w:asciiTheme="majorEastAsia" w:hAnsiTheme="majorEastAsia" w:eastAsiaTheme="majorEastAsia"/>
                <w:b/>
                <w:bCs/>
                <w:color w:val="auto"/>
                <w:szCs w:val="21"/>
                <w:highlight w:val="none"/>
                <w:lang w:val="zh-CN"/>
              </w:rPr>
              <w:t>资信</w:t>
            </w:r>
          </w:p>
          <w:p w14:paraId="46D41E57">
            <w:pPr>
              <w:autoSpaceDE w:val="0"/>
              <w:autoSpaceDN w:val="0"/>
              <w:adjustRightInd w:val="0"/>
              <w:jc w:val="center"/>
              <w:rPr>
                <w:rFonts w:asciiTheme="majorEastAsia" w:hAnsiTheme="majorEastAsia" w:eastAsiaTheme="majorEastAsia"/>
                <w:b/>
                <w:bCs/>
                <w:color w:val="auto"/>
                <w:szCs w:val="21"/>
                <w:highlight w:val="none"/>
                <w:lang w:val="zh-CN"/>
              </w:rPr>
            </w:pPr>
            <w:r>
              <w:rPr>
                <w:rFonts w:asciiTheme="majorEastAsia" w:hAnsiTheme="majorEastAsia" w:eastAsiaTheme="majorEastAsia"/>
                <w:b/>
                <w:bCs/>
                <w:color w:val="auto"/>
                <w:szCs w:val="21"/>
                <w:highlight w:val="none"/>
                <w:lang w:val="zh-CN"/>
              </w:rPr>
              <w:t>技术分</w:t>
            </w:r>
          </w:p>
        </w:tc>
        <w:tc>
          <w:tcPr>
            <w:tcW w:w="2960" w:type="pct"/>
            <w:vAlign w:val="center"/>
          </w:tcPr>
          <w:p w14:paraId="19DCEFF4">
            <w:pPr>
              <w:contextualSpacing/>
              <w:jc w:val="left"/>
              <w:rPr>
                <w:rFonts w:asciiTheme="majorEastAsia" w:hAnsiTheme="majorEastAsia" w:eastAsiaTheme="majorEastAsia"/>
                <w:bCs/>
                <w:color w:val="auto"/>
                <w:szCs w:val="21"/>
                <w:highlight w:val="none"/>
              </w:rPr>
            </w:pPr>
          </w:p>
        </w:tc>
        <w:tc>
          <w:tcPr>
            <w:tcW w:w="778" w:type="pct"/>
            <w:vAlign w:val="center"/>
          </w:tcPr>
          <w:p w14:paraId="4AB3C91B">
            <w:pPr>
              <w:contextualSpacing/>
              <w:jc w:val="left"/>
              <w:rPr>
                <w:rFonts w:asciiTheme="majorEastAsia" w:hAnsiTheme="majorEastAsia" w:eastAsiaTheme="majorEastAsia"/>
                <w:bCs/>
                <w:color w:val="auto"/>
                <w:szCs w:val="21"/>
                <w:highlight w:val="none"/>
              </w:rPr>
            </w:pPr>
          </w:p>
        </w:tc>
        <w:tc>
          <w:tcPr>
            <w:tcW w:w="711" w:type="pct"/>
            <w:vAlign w:val="center"/>
          </w:tcPr>
          <w:p w14:paraId="36312BEA">
            <w:pPr>
              <w:contextualSpacing/>
              <w:jc w:val="left"/>
              <w:rPr>
                <w:rFonts w:asciiTheme="majorEastAsia" w:hAnsiTheme="majorEastAsia" w:eastAsiaTheme="majorEastAsia"/>
                <w:bCs/>
                <w:color w:val="auto"/>
                <w:szCs w:val="21"/>
                <w:highlight w:val="none"/>
              </w:rPr>
            </w:pPr>
          </w:p>
        </w:tc>
      </w:tr>
      <w:tr w14:paraId="36F04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03A4B2C1">
            <w:pPr>
              <w:contextualSpacing/>
              <w:jc w:val="center"/>
              <w:rPr>
                <w:rFonts w:asciiTheme="majorEastAsia" w:hAnsiTheme="majorEastAsia" w:eastAsiaTheme="majorEastAsia"/>
                <w:b/>
                <w:color w:val="auto"/>
                <w:szCs w:val="21"/>
                <w:highlight w:val="none"/>
              </w:rPr>
            </w:pPr>
          </w:p>
        </w:tc>
        <w:tc>
          <w:tcPr>
            <w:tcW w:w="2960" w:type="pct"/>
            <w:vAlign w:val="center"/>
          </w:tcPr>
          <w:p w14:paraId="20630F35">
            <w:pPr>
              <w:contextualSpacing/>
              <w:jc w:val="left"/>
              <w:rPr>
                <w:rFonts w:asciiTheme="majorEastAsia" w:hAnsiTheme="majorEastAsia" w:eastAsiaTheme="majorEastAsia"/>
                <w:color w:val="auto"/>
                <w:szCs w:val="21"/>
                <w:highlight w:val="none"/>
              </w:rPr>
            </w:pPr>
          </w:p>
        </w:tc>
        <w:tc>
          <w:tcPr>
            <w:tcW w:w="778" w:type="pct"/>
            <w:vAlign w:val="center"/>
          </w:tcPr>
          <w:p w14:paraId="799202C6">
            <w:pPr>
              <w:contextualSpacing/>
              <w:jc w:val="left"/>
              <w:rPr>
                <w:rFonts w:asciiTheme="majorEastAsia" w:hAnsiTheme="majorEastAsia" w:eastAsiaTheme="majorEastAsia"/>
                <w:color w:val="auto"/>
                <w:szCs w:val="21"/>
                <w:highlight w:val="none"/>
              </w:rPr>
            </w:pPr>
          </w:p>
        </w:tc>
        <w:tc>
          <w:tcPr>
            <w:tcW w:w="711" w:type="pct"/>
            <w:vAlign w:val="center"/>
          </w:tcPr>
          <w:p w14:paraId="79D874C8">
            <w:pPr>
              <w:contextualSpacing/>
              <w:jc w:val="left"/>
              <w:rPr>
                <w:rFonts w:asciiTheme="majorEastAsia" w:hAnsiTheme="majorEastAsia" w:eastAsiaTheme="majorEastAsia"/>
                <w:color w:val="auto"/>
                <w:szCs w:val="21"/>
                <w:highlight w:val="none"/>
              </w:rPr>
            </w:pPr>
          </w:p>
        </w:tc>
      </w:tr>
      <w:tr w14:paraId="1EE35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3B6416D3">
            <w:pPr>
              <w:contextualSpacing/>
              <w:jc w:val="center"/>
              <w:rPr>
                <w:rFonts w:asciiTheme="majorEastAsia" w:hAnsiTheme="majorEastAsia" w:eastAsiaTheme="majorEastAsia"/>
                <w:b/>
                <w:color w:val="auto"/>
                <w:szCs w:val="21"/>
                <w:highlight w:val="none"/>
              </w:rPr>
            </w:pPr>
          </w:p>
        </w:tc>
        <w:tc>
          <w:tcPr>
            <w:tcW w:w="2960" w:type="pct"/>
            <w:vAlign w:val="center"/>
          </w:tcPr>
          <w:p w14:paraId="51B443C7">
            <w:pPr>
              <w:rPr>
                <w:rFonts w:asciiTheme="majorEastAsia" w:hAnsiTheme="majorEastAsia" w:eastAsiaTheme="majorEastAsia"/>
                <w:color w:val="auto"/>
                <w:szCs w:val="21"/>
                <w:highlight w:val="none"/>
              </w:rPr>
            </w:pPr>
          </w:p>
        </w:tc>
        <w:tc>
          <w:tcPr>
            <w:tcW w:w="778" w:type="pct"/>
            <w:vAlign w:val="center"/>
          </w:tcPr>
          <w:p w14:paraId="574C09B4">
            <w:pPr>
              <w:rPr>
                <w:rFonts w:asciiTheme="majorEastAsia" w:hAnsiTheme="majorEastAsia" w:eastAsiaTheme="majorEastAsia"/>
                <w:color w:val="auto"/>
                <w:szCs w:val="21"/>
                <w:highlight w:val="none"/>
              </w:rPr>
            </w:pPr>
          </w:p>
        </w:tc>
        <w:tc>
          <w:tcPr>
            <w:tcW w:w="711" w:type="pct"/>
            <w:vAlign w:val="center"/>
          </w:tcPr>
          <w:p w14:paraId="2A2043EE">
            <w:pPr>
              <w:rPr>
                <w:rFonts w:asciiTheme="majorEastAsia" w:hAnsiTheme="majorEastAsia" w:eastAsiaTheme="majorEastAsia"/>
                <w:color w:val="auto"/>
                <w:szCs w:val="21"/>
                <w:highlight w:val="none"/>
              </w:rPr>
            </w:pPr>
          </w:p>
        </w:tc>
      </w:tr>
      <w:tr w14:paraId="72B81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34B5502D">
            <w:pPr>
              <w:contextualSpacing/>
              <w:jc w:val="center"/>
              <w:rPr>
                <w:rFonts w:asciiTheme="majorEastAsia" w:hAnsiTheme="majorEastAsia" w:eastAsiaTheme="majorEastAsia"/>
                <w:b/>
                <w:color w:val="auto"/>
                <w:szCs w:val="21"/>
                <w:highlight w:val="none"/>
              </w:rPr>
            </w:pPr>
          </w:p>
        </w:tc>
        <w:tc>
          <w:tcPr>
            <w:tcW w:w="2960" w:type="pct"/>
            <w:vAlign w:val="center"/>
          </w:tcPr>
          <w:p w14:paraId="2D276B2C">
            <w:pPr>
              <w:rPr>
                <w:rFonts w:asciiTheme="majorEastAsia" w:hAnsiTheme="majorEastAsia" w:eastAsiaTheme="majorEastAsia"/>
                <w:color w:val="auto"/>
                <w:szCs w:val="21"/>
                <w:highlight w:val="none"/>
              </w:rPr>
            </w:pPr>
          </w:p>
        </w:tc>
        <w:tc>
          <w:tcPr>
            <w:tcW w:w="778" w:type="pct"/>
            <w:vAlign w:val="center"/>
          </w:tcPr>
          <w:p w14:paraId="2AEAC289">
            <w:pPr>
              <w:rPr>
                <w:rFonts w:cs="新宋体" w:asciiTheme="majorEastAsia" w:hAnsiTheme="majorEastAsia" w:eastAsiaTheme="majorEastAsia"/>
                <w:color w:val="auto"/>
                <w:szCs w:val="21"/>
                <w:highlight w:val="none"/>
              </w:rPr>
            </w:pPr>
          </w:p>
        </w:tc>
        <w:tc>
          <w:tcPr>
            <w:tcW w:w="711" w:type="pct"/>
            <w:vAlign w:val="center"/>
          </w:tcPr>
          <w:p w14:paraId="62EF06EB">
            <w:pPr>
              <w:rPr>
                <w:rFonts w:cs="新宋体" w:asciiTheme="majorEastAsia" w:hAnsiTheme="majorEastAsia" w:eastAsiaTheme="majorEastAsia"/>
                <w:color w:val="auto"/>
                <w:szCs w:val="21"/>
                <w:highlight w:val="none"/>
              </w:rPr>
            </w:pPr>
          </w:p>
        </w:tc>
      </w:tr>
      <w:tr w14:paraId="4E92C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1B5BD040">
            <w:pPr>
              <w:contextualSpacing/>
              <w:jc w:val="center"/>
              <w:rPr>
                <w:rFonts w:asciiTheme="majorEastAsia" w:hAnsiTheme="majorEastAsia" w:eastAsiaTheme="majorEastAsia"/>
                <w:b/>
                <w:color w:val="auto"/>
                <w:szCs w:val="21"/>
                <w:highlight w:val="none"/>
              </w:rPr>
            </w:pPr>
          </w:p>
        </w:tc>
        <w:tc>
          <w:tcPr>
            <w:tcW w:w="2960" w:type="pct"/>
            <w:vAlign w:val="center"/>
          </w:tcPr>
          <w:p w14:paraId="643684DE">
            <w:pPr>
              <w:contextualSpacing/>
              <w:jc w:val="left"/>
              <w:rPr>
                <w:rFonts w:asciiTheme="majorEastAsia" w:hAnsiTheme="majorEastAsia" w:eastAsiaTheme="majorEastAsia"/>
                <w:color w:val="auto"/>
                <w:szCs w:val="21"/>
                <w:highlight w:val="none"/>
              </w:rPr>
            </w:pPr>
          </w:p>
        </w:tc>
        <w:tc>
          <w:tcPr>
            <w:tcW w:w="778" w:type="pct"/>
            <w:vAlign w:val="center"/>
          </w:tcPr>
          <w:p w14:paraId="3E100E26">
            <w:pPr>
              <w:contextualSpacing/>
              <w:jc w:val="left"/>
              <w:rPr>
                <w:rFonts w:asciiTheme="majorEastAsia" w:hAnsiTheme="majorEastAsia" w:eastAsiaTheme="majorEastAsia"/>
                <w:color w:val="auto"/>
                <w:szCs w:val="21"/>
                <w:highlight w:val="none"/>
              </w:rPr>
            </w:pPr>
          </w:p>
        </w:tc>
        <w:tc>
          <w:tcPr>
            <w:tcW w:w="711" w:type="pct"/>
            <w:vAlign w:val="center"/>
          </w:tcPr>
          <w:p w14:paraId="392E4DE3">
            <w:pPr>
              <w:contextualSpacing/>
              <w:jc w:val="left"/>
              <w:rPr>
                <w:rFonts w:asciiTheme="majorEastAsia" w:hAnsiTheme="majorEastAsia" w:eastAsiaTheme="majorEastAsia"/>
                <w:color w:val="auto"/>
                <w:szCs w:val="21"/>
                <w:highlight w:val="none"/>
              </w:rPr>
            </w:pPr>
          </w:p>
        </w:tc>
      </w:tr>
      <w:tr w14:paraId="74282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33FB9C47">
            <w:pPr>
              <w:contextualSpacing/>
              <w:jc w:val="center"/>
              <w:rPr>
                <w:rFonts w:asciiTheme="majorEastAsia" w:hAnsiTheme="majorEastAsia" w:eastAsiaTheme="majorEastAsia"/>
                <w:b/>
                <w:color w:val="auto"/>
                <w:szCs w:val="21"/>
                <w:highlight w:val="none"/>
              </w:rPr>
            </w:pPr>
          </w:p>
        </w:tc>
        <w:tc>
          <w:tcPr>
            <w:tcW w:w="2960" w:type="pct"/>
            <w:vAlign w:val="center"/>
          </w:tcPr>
          <w:p w14:paraId="28FD0936">
            <w:pPr>
              <w:contextualSpacing/>
              <w:jc w:val="left"/>
              <w:rPr>
                <w:rFonts w:asciiTheme="majorEastAsia" w:hAnsiTheme="majorEastAsia" w:eastAsiaTheme="majorEastAsia"/>
                <w:color w:val="auto"/>
                <w:szCs w:val="21"/>
                <w:highlight w:val="none"/>
              </w:rPr>
            </w:pPr>
          </w:p>
        </w:tc>
        <w:tc>
          <w:tcPr>
            <w:tcW w:w="778" w:type="pct"/>
            <w:vAlign w:val="center"/>
          </w:tcPr>
          <w:p w14:paraId="4DCF3469">
            <w:pPr>
              <w:contextualSpacing/>
              <w:jc w:val="left"/>
              <w:rPr>
                <w:rFonts w:asciiTheme="majorEastAsia" w:hAnsiTheme="majorEastAsia" w:eastAsiaTheme="majorEastAsia"/>
                <w:color w:val="auto"/>
                <w:szCs w:val="21"/>
                <w:highlight w:val="none"/>
              </w:rPr>
            </w:pPr>
          </w:p>
        </w:tc>
        <w:tc>
          <w:tcPr>
            <w:tcW w:w="711" w:type="pct"/>
            <w:vAlign w:val="center"/>
          </w:tcPr>
          <w:p w14:paraId="3991C2B0">
            <w:pPr>
              <w:contextualSpacing/>
              <w:jc w:val="left"/>
              <w:rPr>
                <w:rFonts w:asciiTheme="majorEastAsia" w:hAnsiTheme="majorEastAsia" w:eastAsiaTheme="majorEastAsia"/>
                <w:color w:val="auto"/>
                <w:szCs w:val="21"/>
                <w:highlight w:val="none"/>
              </w:rPr>
            </w:pPr>
          </w:p>
        </w:tc>
      </w:tr>
      <w:tr w14:paraId="3E49A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7820AAD0">
            <w:pPr>
              <w:contextualSpacing/>
              <w:jc w:val="center"/>
              <w:rPr>
                <w:rFonts w:asciiTheme="majorEastAsia" w:hAnsiTheme="majorEastAsia" w:eastAsiaTheme="majorEastAsia"/>
                <w:b/>
                <w:color w:val="auto"/>
                <w:szCs w:val="21"/>
                <w:highlight w:val="none"/>
              </w:rPr>
            </w:pPr>
          </w:p>
        </w:tc>
        <w:tc>
          <w:tcPr>
            <w:tcW w:w="2960" w:type="pct"/>
            <w:vAlign w:val="center"/>
          </w:tcPr>
          <w:p w14:paraId="0A6EBB24">
            <w:pPr>
              <w:contextualSpacing/>
              <w:jc w:val="left"/>
              <w:rPr>
                <w:rFonts w:asciiTheme="majorEastAsia" w:hAnsiTheme="majorEastAsia" w:eastAsiaTheme="majorEastAsia"/>
                <w:color w:val="auto"/>
                <w:szCs w:val="21"/>
                <w:highlight w:val="none"/>
              </w:rPr>
            </w:pPr>
          </w:p>
        </w:tc>
        <w:tc>
          <w:tcPr>
            <w:tcW w:w="778" w:type="pct"/>
            <w:vAlign w:val="center"/>
          </w:tcPr>
          <w:p w14:paraId="18E89509">
            <w:pPr>
              <w:contextualSpacing/>
              <w:jc w:val="left"/>
              <w:rPr>
                <w:rFonts w:asciiTheme="majorEastAsia" w:hAnsiTheme="majorEastAsia" w:eastAsiaTheme="majorEastAsia"/>
                <w:color w:val="auto"/>
                <w:szCs w:val="21"/>
                <w:highlight w:val="none"/>
              </w:rPr>
            </w:pPr>
          </w:p>
        </w:tc>
        <w:tc>
          <w:tcPr>
            <w:tcW w:w="711" w:type="pct"/>
            <w:vAlign w:val="center"/>
          </w:tcPr>
          <w:p w14:paraId="5B1FBAF0">
            <w:pPr>
              <w:contextualSpacing/>
              <w:jc w:val="left"/>
              <w:rPr>
                <w:rFonts w:asciiTheme="majorEastAsia" w:hAnsiTheme="majorEastAsia" w:eastAsiaTheme="majorEastAsia"/>
                <w:color w:val="auto"/>
                <w:szCs w:val="21"/>
                <w:highlight w:val="none"/>
              </w:rPr>
            </w:pPr>
          </w:p>
        </w:tc>
      </w:tr>
      <w:tr w14:paraId="7A49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1BBC4DEE">
            <w:pPr>
              <w:contextualSpacing/>
              <w:jc w:val="center"/>
              <w:rPr>
                <w:rFonts w:asciiTheme="majorEastAsia" w:hAnsiTheme="majorEastAsia" w:eastAsiaTheme="majorEastAsia"/>
                <w:b/>
                <w:color w:val="auto"/>
                <w:szCs w:val="21"/>
                <w:highlight w:val="none"/>
              </w:rPr>
            </w:pPr>
          </w:p>
        </w:tc>
        <w:tc>
          <w:tcPr>
            <w:tcW w:w="2960" w:type="pct"/>
            <w:vAlign w:val="center"/>
          </w:tcPr>
          <w:p w14:paraId="119E32CF">
            <w:pPr>
              <w:contextualSpacing/>
              <w:jc w:val="left"/>
              <w:rPr>
                <w:rFonts w:asciiTheme="majorEastAsia" w:hAnsiTheme="majorEastAsia" w:eastAsiaTheme="majorEastAsia"/>
                <w:color w:val="auto"/>
                <w:szCs w:val="21"/>
                <w:highlight w:val="none"/>
              </w:rPr>
            </w:pPr>
          </w:p>
        </w:tc>
        <w:tc>
          <w:tcPr>
            <w:tcW w:w="778" w:type="pct"/>
            <w:vAlign w:val="center"/>
          </w:tcPr>
          <w:p w14:paraId="1767CA07">
            <w:pPr>
              <w:contextualSpacing/>
              <w:jc w:val="left"/>
              <w:rPr>
                <w:rFonts w:asciiTheme="majorEastAsia" w:hAnsiTheme="majorEastAsia" w:eastAsiaTheme="majorEastAsia"/>
                <w:color w:val="auto"/>
                <w:szCs w:val="21"/>
                <w:highlight w:val="none"/>
              </w:rPr>
            </w:pPr>
          </w:p>
        </w:tc>
        <w:tc>
          <w:tcPr>
            <w:tcW w:w="711" w:type="pct"/>
            <w:vAlign w:val="center"/>
          </w:tcPr>
          <w:p w14:paraId="6F2F99D2">
            <w:pPr>
              <w:contextualSpacing/>
              <w:jc w:val="left"/>
              <w:rPr>
                <w:rFonts w:asciiTheme="majorEastAsia" w:hAnsiTheme="majorEastAsia" w:eastAsiaTheme="majorEastAsia"/>
                <w:color w:val="auto"/>
                <w:szCs w:val="21"/>
                <w:highlight w:val="none"/>
              </w:rPr>
            </w:pPr>
          </w:p>
        </w:tc>
      </w:tr>
      <w:tr w14:paraId="5CCAC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292CAFB4">
            <w:pPr>
              <w:contextualSpacing/>
              <w:jc w:val="center"/>
              <w:rPr>
                <w:rFonts w:asciiTheme="majorEastAsia" w:hAnsiTheme="majorEastAsia" w:eastAsiaTheme="majorEastAsia"/>
                <w:b/>
                <w:color w:val="auto"/>
                <w:szCs w:val="21"/>
                <w:highlight w:val="none"/>
              </w:rPr>
            </w:pPr>
          </w:p>
        </w:tc>
        <w:tc>
          <w:tcPr>
            <w:tcW w:w="2960" w:type="pct"/>
            <w:vAlign w:val="center"/>
          </w:tcPr>
          <w:p w14:paraId="09D02C3D">
            <w:pPr>
              <w:contextualSpacing/>
              <w:jc w:val="left"/>
              <w:rPr>
                <w:rFonts w:asciiTheme="majorEastAsia" w:hAnsiTheme="majorEastAsia" w:eastAsiaTheme="majorEastAsia"/>
                <w:color w:val="auto"/>
                <w:szCs w:val="21"/>
                <w:highlight w:val="none"/>
              </w:rPr>
            </w:pPr>
          </w:p>
        </w:tc>
        <w:tc>
          <w:tcPr>
            <w:tcW w:w="778" w:type="pct"/>
            <w:vAlign w:val="center"/>
          </w:tcPr>
          <w:p w14:paraId="24324DE0">
            <w:pPr>
              <w:contextualSpacing/>
              <w:jc w:val="left"/>
              <w:rPr>
                <w:rFonts w:asciiTheme="majorEastAsia" w:hAnsiTheme="majorEastAsia" w:eastAsiaTheme="majorEastAsia"/>
                <w:color w:val="auto"/>
                <w:szCs w:val="21"/>
                <w:highlight w:val="none"/>
              </w:rPr>
            </w:pPr>
          </w:p>
        </w:tc>
        <w:tc>
          <w:tcPr>
            <w:tcW w:w="711" w:type="pct"/>
            <w:vAlign w:val="center"/>
          </w:tcPr>
          <w:p w14:paraId="7B35AF1A">
            <w:pPr>
              <w:contextualSpacing/>
              <w:jc w:val="left"/>
              <w:rPr>
                <w:rFonts w:asciiTheme="majorEastAsia" w:hAnsiTheme="majorEastAsia" w:eastAsiaTheme="majorEastAsia"/>
                <w:color w:val="auto"/>
                <w:szCs w:val="21"/>
                <w:highlight w:val="none"/>
              </w:rPr>
            </w:pPr>
          </w:p>
        </w:tc>
      </w:tr>
      <w:tr w14:paraId="54AB4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692460EA">
            <w:pPr>
              <w:contextualSpacing/>
              <w:jc w:val="center"/>
              <w:rPr>
                <w:rFonts w:asciiTheme="majorEastAsia" w:hAnsiTheme="majorEastAsia" w:eastAsiaTheme="majorEastAsia"/>
                <w:b/>
                <w:color w:val="auto"/>
                <w:szCs w:val="21"/>
                <w:highlight w:val="none"/>
              </w:rPr>
            </w:pPr>
          </w:p>
        </w:tc>
        <w:tc>
          <w:tcPr>
            <w:tcW w:w="2960" w:type="pct"/>
            <w:vAlign w:val="center"/>
          </w:tcPr>
          <w:p w14:paraId="3511EC77">
            <w:pPr>
              <w:contextualSpacing/>
              <w:jc w:val="left"/>
              <w:rPr>
                <w:rFonts w:asciiTheme="majorEastAsia" w:hAnsiTheme="majorEastAsia" w:eastAsiaTheme="majorEastAsia"/>
                <w:color w:val="auto"/>
                <w:szCs w:val="21"/>
                <w:highlight w:val="none"/>
              </w:rPr>
            </w:pPr>
          </w:p>
        </w:tc>
        <w:tc>
          <w:tcPr>
            <w:tcW w:w="778" w:type="pct"/>
            <w:vAlign w:val="center"/>
          </w:tcPr>
          <w:p w14:paraId="70111524">
            <w:pPr>
              <w:contextualSpacing/>
              <w:jc w:val="left"/>
              <w:rPr>
                <w:rFonts w:asciiTheme="majorEastAsia" w:hAnsiTheme="majorEastAsia" w:eastAsiaTheme="majorEastAsia"/>
                <w:color w:val="auto"/>
                <w:szCs w:val="21"/>
                <w:highlight w:val="none"/>
              </w:rPr>
            </w:pPr>
          </w:p>
        </w:tc>
        <w:tc>
          <w:tcPr>
            <w:tcW w:w="711" w:type="pct"/>
            <w:vAlign w:val="center"/>
          </w:tcPr>
          <w:p w14:paraId="58D7F5C9">
            <w:pPr>
              <w:contextualSpacing/>
              <w:jc w:val="left"/>
              <w:rPr>
                <w:rFonts w:asciiTheme="majorEastAsia" w:hAnsiTheme="majorEastAsia" w:eastAsiaTheme="majorEastAsia"/>
                <w:color w:val="auto"/>
                <w:szCs w:val="21"/>
                <w:highlight w:val="none"/>
              </w:rPr>
            </w:pPr>
          </w:p>
        </w:tc>
      </w:tr>
      <w:tr w14:paraId="0D6D2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2" w:type="pct"/>
            <w:vMerge w:val="continue"/>
            <w:vAlign w:val="center"/>
          </w:tcPr>
          <w:p w14:paraId="4A7A4579">
            <w:pPr>
              <w:contextualSpacing/>
              <w:jc w:val="center"/>
              <w:rPr>
                <w:rFonts w:asciiTheme="majorEastAsia" w:hAnsiTheme="majorEastAsia" w:eastAsiaTheme="majorEastAsia"/>
                <w:b/>
                <w:color w:val="auto"/>
                <w:szCs w:val="21"/>
                <w:highlight w:val="none"/>
              </w:rPr>
            </w:pPr>
          </w:p>
        </w:tc>
        <w:tc>
          <w:tcPr>
            <w:tcW w:w="2960" w:type="pct"/>
            <w:vAlign w:val="center"/>
          </w:tcPr>
          <w:p w14:paraId="7BA38534">
            <w:pPr>
              <w:contextualSpacing/>
              <w:jc w:val="left"/>
              <w:rPr>
                <w:rFonts w:asciiTheme="majorEastAsia" w:hAnsiTheme="majorEastAsia" w:eastAsiaTheme="majorEastAsia"/>
                <w:color w:val="auto"/>
                <w:szCs w:val="21"/>
                <w:highlight w:val="none"/>
              </w:rPr>
            </w:pPr>
          </w:p>
        </w:tc>
        <w:tc>
          <w:tcPr>
            <w:tcW w:w="778" w:type="pct"/>
            <w:vAlign w:val="center"/>
          </w:tcPr>
          <w:p w14:paraId="1835F69F">
            <w:pPr>
              <w:contextualSpacing/>
              <w:jc w:val="left"/>
              <w:rPr>
                <w:rFonts w:asciiTheme="majorEastAsia" w:hAnsiTheme="majorEastAsia" w:eastAsiaTheme="majorEastAsia"/>
                <w:color w:val="auto"/>
                <w:szCs w:val="21"/>
                <w:highlight w:val="none"/>
              </w:rPr>
            </w:pPr>
          </w:p>
        </w:tc>
        <w:tc>
          <w:tcPr>
            <w:tcW w:w="711" w:type="pct"/>
            <w:vAlign w:val="center"/>
          </w:tcPr>
          <w:p w14:paraId="6A618E4E">
            <w:pPr>
              <w:contextualSpacing/>
              <w:jc w:val="left"/>
              <w:rPr>
                <w:rFonts w:asciiTheme="majorEastAsia" w:hAnsiTheme="majorEastAsia" w:eastAsiaTheme="majorEastAsia"/>
                <w:color w:val="auto"/>
                <w:szCs w:val="21"/>
                <w:highlight w:val="none"/>
              </w:rPr>
            </w:pPr>
          </w:p>
        </w:tc>
      </w:tr>
    </w:tbl>
    <w:p w14:paraId="0EF37433">
      <w:pPr>
        <w:pStyle w:val="20"/>
        <w:spacing w:line="440" w:lineRule="exact"/>
        <w:ind w:firstLine="0"/>
        <w:rPr>
          <w:rFonts w:asciiTheme="majorEastAsia" w:hAnsiTheme="majorEastAsia" w:eastAsiaTheme="majorEastAsia"/>
          <w:b/>
          <w:color w:val="auto"/>
          <w:sz w:val="21"/>
          <w:szCs w:val="21"/>
          <w:highlight w:val="none"/>
        </w:rPr>
      </w:pPr>
    </w:p>
    <w:p w14:paraId="5ADE5D5C">
      <w:pPr>
        <w:pStyle w:val="20"/>
        <w:spacing w:line="440" w:lineRule="exact"/>
        <w:ind w:firstLine="0"/>
        <w:rPr>
          <w:rFonts w:asciiTheme="majorEastAsia" w:hAnsiTheme="majorEastAsia" w:eastAsiaTheme="majorEastAsia"/>
          <w:b/>
          <w:color w:val="auto"/>
          <w:sz w:val="21"/>
          <w:szCs w:val="21"/>
          <w:highlight w:val="none"/>
        </w:rPr>
      </w:pPr>
      <w:r>
        <w:rPr>
          <w:rFonts w:asciiTheme="majorEastAsia" w:hAnsiTheme="majorEastAsia" w:eastAsiaTheme="majorEastAsia"/>
          <w:color w:val="auto"/>
          <w:highlight w:val="none"/>
        </w:rPr>
        <w:br w:type="page"/>
      </w:r>
      <w:r>
        <w:rPr>
          <w:rFonts w:hint="eastAsia" w:asciiTheme="majorEastAsia" w:hAnsiTheme="majorEastAsia" w:eastAsiaTheme="majorEastAsia"/>
          <w:b/>
          <w:color w:val="auto"/>
          <w:sz w:val="21"/>
          <w:szCs w:val="21"/>
          <w:highlight w:val="none"/>
        </w:rPr>
        <w:t>格式四：</w:t>
      </w:r>
    </w:p>
    <w:p w14:paraId="0D4B60CA">
      <w:pPr>
        <w:pStyle w:val="20"/>
        <w:spacing w:line="440" w:lineRule="exact"/>
        <w:ind w:firstLine="0"/>
        <w:jc w:val="center"/>
        <w:rPr>
          <w:rFonts w:asciiTheme="majorEastAsia" w:hAnsiTheme="majorEastAsia" w:eastAsiaTheme="majorEastAsia"/>
          <w:b/>
          <w:color w:val="auto"/>
          <w:sz w:val="21"/>
          <w:szCs w:val="21"/>
          <w:highlight w:val="none"/>
        </w:rPr>
      </w:pPr>
      <w:r>
        <w:rPr>
          <w:rFonts w:asciiTheme="majorEastAsia" w:hAnsiTheme="majorEastAsia" w:eastAsiaTheme="majorEastAsia"/>
          <w:b/>
          <w:color w:val="auto"/>
          <w:sz w:val="21"/>
          <w:szCs w:val="21"/>
          <w:highlight w:val="none"/>
        </w:rPr>
        <w:t>法定代表人（负责人）身份证明</w:t>
      </w:r>
    </w:p>
    <w:p w14:paraId="40BE51E7">
      <w:pPr>
        <w:adjustRightInd w:val="0"/>
        <w:spacing w:line="440" w:lineRule="exact"/>
        <w:jc w:val="left"/>
        <w:rPr>
          <w:rFonts w:asciiTheme="majorEastAsia" w:hAnsiTheme="majorEastAsia" w:eastAsiaTheme="majorEastAsia"/>
          <w:b/>
          <w:color w:val="auto"/>
          <w:szCs w:val="21"/>
          <w:highlight w:val="none"/>
        </w:rPr>
      </w:pPr>
    </w:p>
    <w:p w14:paraId="7E41744C">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单位名称：</w:t>
      </w:r>
      <w:r>
        <w:rPr>
          <w:rFonts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u w:val="single"/>
        </w:rPr>
        <w:t xml:space="preserve">       </w:t>
      </w:r>
    </w:p>
    <w:p w14:paraId="72F9A14D">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地    址：</w:t>
      </w:r>
      <w:r>
        <w:rPr>
          <w:rFonts w:asciiTheme="majorEastAsia" w:hAnsiTheme="majorEastAsia" w:eastAsiaTheme="majorEastAsia"/>
          <w:color w:val="auto"/>
          <w:szCs w:val="21"/>
          <w:highlight w:val="none"/>
          <w:u w:val="single"/>
        </w:rPr>
        <w:t xml:space="preserve">                                                                     </w:t>
      </w:r>
    </w:p>
    <w:p w14:paraId="17D039D5">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姓    名：</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性    别：</w:t>
      </w:r>
      <w:r>
        <w:rPr>
          <w:rFonts w:asciiTheme="majorEastAsia" w:hAnsiTheme="majorEastAsia" w:eastAsiaTheme="majorEastAsia"/>
          <w:color w:val="auto"/>
          <w:szCs w:val="21"/>
          <w:highlight w:val="none"/>
          <w:u w:val="single"/>
        </w:rPr>
        <w:t xml:space="preserve">                            </w:t>
      </w:r>
    </w:p>
    <w:p w14:paraId="6B612043">
      <w:pPr>
        <w:spacing w:line="440" w:lineRule="exact"/>
        <w:rPr>
          <w:rFonts w:asciiTheme="majorEastAsia" w:hAnsiTheme="majorEastAsia" w:eastAsiaTheme="majorEastAsia"/>
          <w:color w:val="auto"/>
          <w:szCs w:val="21"/>
          <w:highlight w:val="none"/>
          <w:u w:val="single"/>
        </w:rPr>
      </w:pPr>
      <w:r>
        <w:rPr>
          <w:rFonts w:asciiTheme="majorEastAsia" w:hAnsiTheme="majorEastAsia" w:eastAsiaTheme="majorEastAsia"/>
          <w:color w:val="auto"/>
          <w:szCs w:val="21"/>
          <w:highlight w:val="none"/>
        </w:rPr>
        <w:t>年    龄：</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职    务：</w:t>
      </w:r>
      <w:r>
        <w:rPr>
          <w:rFonts w:asciiTheme="majorEastAsia" w:hAnsiTheme="majorEastAsia" w:eastAsiaTheme="majorEastAsia"/>
          <w:color w:val="auto"/>
          <w:szCs w:val="21"/>
          <w:highlight w:val="none"/>
          <w:u w:val="single"/>
        </w:rPr>
        <w:t xml:space="preserve">                            </w:t>
      </w:r>
    </w:p>
    <w:p w14:paraId="1FD607F8">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身份证号码：</w:t>
      </w:r>
      <w:r>
        <w:rPr>
          <w:rFonts w:asciiTheme="majorEastAsia" w:hAnsiTheme="majorEastAsia" w:eastAsiaTheme="majorEastAsia"/>
          <w:color w:val="auto"/>
          <w:szCs w:val="21"/>
          <w:highlight w:val="none"/>
          <w:u w:val="single"/>
        </w:rPr>
        <w:t xml:space="preserve">                                                                   </w:t>
      </w:r>
    </w:p>
    <w:p w14:paraId="23AD0CD0">
      <w:pPr>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系</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（供应商名称）的法定代表人（负责人），为</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（项目编号、项目名称）项目，签署上述项目的响应文件，进行合同谈判、签署合同和处理与之有关的一切事宜。</w:t>
      </w:r>
    </w:p>
    <w:p w14:paraId="1D8F7A9C">
      <w:pPr>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特此证明。</w:t>
      </w:r>
    </w:p>
    <w:p w14:paraId="0781DB6E">
      <w:pPr>
        <w:spacing w:line="440" w:lineRule="exact"/>
        <w:rPr>
          <w:rFonts w:asciiTheme="majorEastAsia" w:hAnsiTheme="majorEastAsia" w:eastAsiaTheme="majorEastAsia"/>
          <w:color w:val="auto"/>
          <w:szCs w:val="21"/>
          <w:highlight w:val="none"/>
        </w:rPr>
      </w:pPr>
    </w:p>
    <w:p w14:paraId="5A1D7C8A">
      <w:pPr>
        <w:spacing w:line="440" w:lineRule="exac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后附法定代表人（负责人）身份证正反面复印件，加盖公章。</w:t>
      </w:r>
    </w:p>
    <w:p w14:paraId="2FAC94F5">
      <w:pPr>
        <w:spacing w:line="440" w:lineRule="exact"/>
        <w:rPr>
          <w:rFonts w:asciiTheme="majorEastAsia" w:hAnsiTheme="majorEastAsia" w:eastAsiaTheme="majorEastAsia"/>
          <w:color w:val="auto"/>
          <w:szCs w:val="21"/>
          <w:highlight w:val="none"/>
        </w:rPr>
      </w:pPr>
    </w:p>
    <w:p w14:paraId="3E3B5DB1">
      <w:pPr>
        <w:spacing w:line="440" w:lineRule="exact"/>
        <w:rPr>
          <w:rFonts w:asciiTheme="majorEastAsia" w:hAnsiTheme="majorEastAsia" w:eastAsiaTheme="majorEastAsia"/>
          <w:color w:val="auto"/>
          <w:szCs w:val="21"/>
          <w:highlight w:val="none"/>
        </w:rPr>
      </w:pPr>
    </w:p>
    <w:p w14:paraId="68DF53C3">
      <w:pPr>
        <w:spacing w:line="440" w:lineRule="exact"/>
        <w:rPr>
          <w:rFonts w:asciiTheme="majorEastAsia" w:hAnsiTheme="majorEastAsia" w:eastAsiaTheme="majorEastAsia"/>
          <w:color w:val="auto"/>
          <w:szCs w:val="21"/>
          <w:highlight w:val="none"/>
        </w:rPr>
      </w:pPr>
    </w:p>
    <w:p w14:paraId="1961CC1B">
      <w:pPr>
        <w:spacing w:line="440" w:lineRule="exact"/>
        <w:rPr>
          <w:rFonts w:asciiTheme="majorEastAsia" w:hAnsiTheme="majorEastAsia" w:eastAsiaTheme="majorEastAsia"/>
          <w:color w:val="auto"/>
          <w:szCs w:val="21"/>
          <w:highlight w:val="none"/>
        </w:rPr>
      </w:pPr>
    </w:p>
    <w:p w14:paraId="1744365A">
      <w:pPr>
        <w:spacing w:line="440" w:lineRule="exact"/>
        <w:rPr>
          <w:rFonts w:asciiTheme="majorEastAsia" w:hAnsiTheme="majorEastAsia" w:eastAsiaTheme="majorEastAsia"/>
          <w:color w:val="auto"/>
          <w:szCs w:val="21"/>
          <w:highlight w:val="none"/>
        </w:rPr>
      </w:pPr>
    </w:p>
    <w:p w14:paraId="4051E4A6">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680D38E6">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 xml:space="preserve">法定代表人（负责人）（签字或盖章）：                       </w:t>
      </w:r>
    </w:p>
    <w:p w14:paraId="78CF5ABE">
      <w:pPr>
        <w:adjustRightInd w:val="0"/>
        <w:spacing w:line="440" w:lineRule="exact"/>
        <w:jc w:val="lef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日期：</w:t>
      </w:r>
    </w:p>
    <w:p w14:paraId="5D3B5FBA">
      <w:pPr>
        <w:adjustRightInd w:val="0"/>
        <w:spacing w:line="440" w:lineRule="exact"/>
        <w:jc w:val="left"/>
        <w:rPr>
          <w:rFonts w:asciiTheme="majorEastAsia" w:hAnsiTheme="majorEastAsia" w:eastAsiaTheme="majorEastAsia"/>
          <w:color w:val="auto"/>
          <w:szCs w:val="21"/>
          <w:highlight w:val="none"/>
        </w:rPr>
      </w:pPr>
    </w:p>
    <w:p w14:paraId="6745E784">
      <w:pPr>
        <w:adjustRightInd w:val="0"/>
        <w:spacing w:line="440" w:lineRule="exact"/>
        <w:jc w:val="left"/>
        <w:rPr>
          <w:rFonts w:asciiTheme="majorEastAsia" w:hAnsiTheme="majorEastAsia" w:eastAsiaTheme="majorEastAsia"/>
          <w:color w:val="auto"/>
          <w:szCs w:val="21"/>
          <w:highlight w:val="none"/>
        </w:rPr>
      </w:pPr>
    </w:p>
    <w:p w14:paraId="3C47698F">
      <w:pPr>
        <w:adjustRightInd w:val="0"/>
        <w:spacing w:line="440" w:lineRule="exact"/>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br w:type="page"/>
      </w:r>
      <w:r>
        <w:rPr>
          <w:rFonts w:asciiTheme="majorEastAsia" w:hAnsiTheme="majorEastAsia" w:eastAsiaTheme="majorEastAsia"/>
          <w:b/>
          <w:color w:val="auto"/>
          <w:szCs w:val="21"/>
          <w:highlight w:val="none"/>
        </w:rPr>
        <w:t>格式</w:t>
      </w:r>
      <w:r>
        <w:rPr>
          <w:rFonts w:hint="eastAsia" w:asciiTheme="majorEastAsia" w:hAnsiTheme="majorEastAsia" w:eastAsiaTheme="majorEastAsia"/>
          <w:b/>
          <w:color w:val="auto"/>
          <w:szCs w:val="21"/>
          <w:highlight w:val="none"/>
        </w:rPr>
        <w:t>五</w:t>
      </w:r>
      <w:r>
        <w:rPr>
          <w:rFonts w:asciiTheme="majorEastAsia" w:hAnsiTheme="majorEastAsia" w:eastAsiaTheme="majorEastAsia"/>
          <w:b/>
          <w:color w:val="auto"/>
          <w:szCs w:val="21"/>
          <w:highlight w:val="none"/>
        </w:rPr>
        <w:t>：</w:t>
      </w:r>
    </w:p>
    <w:p w14:paraId="4AD34AC8">
      <w:pPr>
        <w:spacing w:line="440" w:lineRule="exact"/>
        <w:jc w:val="center"/>
        <w:rPr>
          <w:rFonts w:asciiTheme="majorEastAsia" w:hAnsiTheme="majorEastAsia" w:eastAsiaTheme="majorEastAsia"/>
          <w:b/>
          <w:color w:val="auto"/>
          <w:sz w:val="18"/>
          <w:szCs w:val="18"/>
          <w:highlight w:val="none"/>
        </w:rPr>
      </w:pPr>
      <w:r>
        <w:rPr>
          <w:rFonts w:asciiTheme="majorEastAsia" w:hAnsiTheme="majorEastAsia" w:eastAsiaTheme="majorEastAsia"/>
          <w:b/>
          <w:color w:val="auto"/>
          <w:sz w:val="18"/>
          <w:szCs w:val="18"/>
          <w:highlight w:val="none"/>
        </w:rPr>
        <w:t>法定代表人（负责人）授权委托书</w:t>
      </w:r>
    </w:p>
    <w:p w14:paraId="167BB5FA">
      <w:pPr>
        <w:pStyle w:val="20"/>
        <w:spacing w:line="440" w:lineRule="exact"/>
        <w:jc w:val="center"/>
        <w:rPr>
          <w:rFonts w:asciiTheme="majorEastAsia" w:hAnsiTheme="majorEastAsia" w:eastAsiaTheme="majorEastAsia"/>
          <w:color w:val="auto"/>
          <w:szCs w:val="18"/>
          <w:highlight w:val="none"/>
        </w:rPr>
      </w:pPr>
    </w:p>
    <w:p w14:paraId="19898B14">
      <w:pPr>
        <w:pStyle w:val="20"/>
        <w:spacing w:line="440" w:lineRule="exact"/>
        <w:ind w:firstLine="0"/>
        <w:rPr>
          <w:rFonts w:asciiTheme="majorEastAsia" w:hAnsiTheme="majorEastAsia" w:eastAsiaTheme="majorEastAsia"/>
          <w:color w:val="auto"/>
          <w:szCs w:val="18"/>
          <w:highlight w:val="none"/>
        </w:rPr>
      </w:pPr>
      <w:r>
        <w:rPr>
          <w:rFonts w:asciiTheme="majorEastAsia" w:hAnsiTheme="majorEastAsia" w:eastAsiaTheme="majorEastAsia"/>
          <w:color w:val="auto"/>
          <w:szCs w:val="18"/>
          <w:highlight w:val="none"/>
          <w:u w:val="single"/>
        </w:rPr>
        <w:t xml:space="preserve">致       </w:t>
      </w:r>
      <w:r>
        <w:rPr>
          <w:rFonts w:asciiTheme="majorEastAsia" w:hAnsiTheme="majorEastAsia" w:eastAsiaTheme="majorEastAsia"/>
          <w:color w:val="auto"/>
          <w:szCs w:val="18"/>
          <w:highlight w:val="none"/>
        </w:rPr>
        <w:t>（采购人名称）：</w:t>
      </w:r>
    </w:p>
    <w:p w14:paraId="6F245A0B">
      <w:pPr>
        <w:pStyle w:val="20"/>
        <w:spacing w:line="440" w:lineRule="exact"/>
        <w:rPr>
          <w:rFonts w:asciiTheme="majorEastAsia" w:hAnsiTheme="majorEastAsia" w:eastAsiaTheme="majorEastAsia"/>
          <w:color w:val="auto"/>
          <w:szCs w:val="18"/>
          <w:highlight w:val="none"/>
        </w:rPr>
      </w:pPr>
    </w:p>
    <w:p w14:paraId="39720199">
      <w:pPr>
        <w:pStyle w:val="20"/>
        <w:spacing w:line="440" w:lineRule="exact"/>
        <w:ind w:firstLine="344" w:firstLineChars="200"/>
        <w:rPr>
          <w:rFonts w:asciiTheme="majorEastAsia" w:hAnsiTheme="majorEastAsia" w:eastAsiaTheme="majorEastAsia"/>
          <w:color w:val="auto"/>
          <w:szCs w:val="18"/>
          <w:highlight w:val="none"/>
        </w:rPr>
      </w:pPr>
      <w:r>
        <w:rPr>
          <w:rFonts w:asciiTheme="majorEastAsia" w:hAnsiTheme="majorEastAsia" w:eastAsiaTheme="majorEastAsia"/>
          <w:color w:val="auto"/>
          <w:szCs w:val="18"/>
          <w:highlight w:val="none"/>
          <w:u w:val="single"/>
        </w:rPr>
        <w:t xml:space="preserve">                           </w:t>
      </w:r>
      <w:r>
        <w:rPr>
          <w:rFonts w:asciiTheme="majorEastAsia" w:hAnsiTheme="majorEastAsia" w:eastAsiaTheme="majorEastAsia"/>
          <w:color w:val="auto"/>
          <w:szCs w:val="18"/>
          <w:highlight w:val="none"/>
        </w:rPr>
        <w:t>（供应商全称）法定代表人（负责人）</w:t>
      </w:r>
      <w:r>
        <w:rPr>
          <w:rFonts w:asciiTheme="majorEastAsia" w:hAnsiTheme="majorEastAsia" w:eastAsiaTheme="majorEastAsia"/>
          <w:color w:val="auto"/>
          <w:szCs w:val="18"/>
          <w:highlight w:val="none"/>
          <w:u w:val="single"/>
        </w:rPr>
        <w:t xml:space="preserve">             </w:t>
      </w:r>
      <w:r>
        <w:rPr>
          <w:rFonts w:asciiTheme="majorEastAsia" w:hAnsiTheme="majorEastAsia" w:eastAsiaTheme="majorEastAsia"/>
          <w:color w:val="auto"/>
          <w:szCs w:val="18"/>
          <w:highlight w:val="none"/>
        </w:rPr>
        <w:t>（姓名、职务）授权</w:t>
      </w:r>
      <w:r>
        <w:rPr>
          <w:rFonts w:asciiTheme="majorEastAsia" w:hAnsiTheme="majorEastAsia" w:eastAsiaTheme="majorEastAsia"/>
          <w:color w:val="auto"/>
          <w:szCs w:val="18"/>
          <w:highlight w:val="none"/>
          <w:u w:val="single"/>
        </w:rPr>
        <w:t xml:space="preserve">           </w:t>
      </w:r>
      <w:r>
        <w:rPr>
          <w:rFonts w:hint="eastAsia" w:asciiTheme="majorEastAsia" w:hAnsiTheme="majorEastAsia" w:eastAsiaTheme="majorEastAsia"/>
          <w:color w:val="auto"/>
          <w:szCs w:val="18"/>
          <w:highlight w:val="none"/>
          <w:u w:val="single"/>
        </w:rPr>
        <w:t xml:space="preserve">  </w:t>
      </w:r>
      <w:r>
        <w:rPr>
          <w:rFonts w:asciiTheme="majorEastAsia" w:hAnsiTheme="majorEastAsia" w:eastAsiaTheme="majorEastAsia"/>
          <w:color w:val="auto"/>
          <w:szCs w:val="18"/>
          <w:highlight w:val="none"/>
          <w:u w:val="single"/>
        </w:rPr>
        <w:t xml:space="preserve">      </w:t>
      </w:r>
      <w:r>
        <w:rPr>
          <w:rFonts w:asciiTheme="majorEastAsia" w:hAnsiTheme="majorEastAsia" w:eastAsiaTheme="majorEastAsia"/>
          <w:color w:val="auto"/>
          <w:szCs w:val="18"/>
          <w:highlight w:val="none"/>
        </w:rPr>
        <w:t>（授权代表姓名、职务）为本公司合法代理人，参加贵方组织的</w:t>
      </w:r>
      <w:r>
        <w:rPr>
          <w:rFonts w:asciiTheme="majorEastAsia" w:hAnsiTheme="majorEastAsia" w:eastAsiaTheme="majorEastAsia"/>
          <w:color w:val="auto"/>
          <w:szCs w:val="18"/>
          <w:highlight w:val="none"/>
          <w:u w:val="single"/>
        </w:rPr>
        <w:t xml:space="preserve">           </w:t>
      </w:r>
      <w:r>
        <w:rPr>
          <w:rFonts w:asciiTheme="majorEastAsia" w:hAnsiTheme="majorEastAsia" w:eastAsiaTheme="majorEastAsia"/>
          <w:color w:val="auto"/>
          <w:szCs w:val="18"/>
          <w:highlight w:val="none"/>
        </w:rPr>
        <w:t>（项目编号、项目名称）项目的采购活动，代表本公司处理采购活动中的一切事宜。</w:t>
      </w:r>
    </w:p>
    <w:p w14:paraId="2CC02DF1">
      <w:pPr>
        <w:pStyle w:val="20"/>
        <w:spacing w:line="440" w:lineRule="exact"/>
        <w:ind w:firstLine="344" w:firstLineChars="200"/>
        <w:rPr>
          <w:rFonts w:asciiTheme="majorEastAsia" w:hAnsiTheme="majorEastAsia" w:eastAsiaTheme="majorEastAsia"/>
          <w:color w:val="auto"/>
          <w:szCs w:val="18"/>
          <w:highlight w:val="none"/>
        </w:rPr>
      </w:pPr>
      <w:r>
        <w:rPr>
          <w:rFonts w:asciiTheme="majorEastAsia" w:hAnsiTheme="majorEastAsia" w:eastAsiaTheme="majorEastAsia"/>
          <w:color w:val="auto"/>
          <w:szCs w:val="18"/>
          <w:highlight w:val="none"/>
        </w:rPr>
        <w:t>本授权书于</w:t>
      </w:r>
      <w:r>
        <w:rPr>
          <w:rFonts w:asciiTheme="majorEastAsia" w:hAnsiTheme="majorEastAsia" w:eastAsiaTheme="majorEastAsia"/>
          <w:color w:val="auto"/>
          <w:szCs w:val="18"/>
          <w:highlight w:val="none"/>
          <w:u w:val="single"/>
        </w:rPr>
        <w:t xml:space="preserve">       </w:t>
      </w:r>
      <w:r>
        <w:rPr>
          <w:rFonts w:asciiTheme="majorEastAsia" w:hAnsiTheme="majorEastAsia" w:eastAsiaTheme="majorEastAsia"/>
          <w:color w:val="auto"/>
          <w:szCs w:val="18"/>
          <w:highlight w:val="none"/>
        </w:rPr>
        <w:t>年</w:t>
      </w:r>
      <w:r>
        <w:rPr>
          <w:rFonts w:asciiTheme="majorEastAsia" w:hAnsiTheme="majorEastAsia" w:eastAsiaTheme="majorEastAsia"/>
          <w:color w:val="auto"/>
          <w:szCs w:val="18"/>
          <w:highlight w:val="none"/>
          <w:u w:val="single"/>
        </w:rPr>
        <w:t xml:space="preserve">    </w:t>
      </w:r>
      <w:r>
        <w:rPr>
          <w:rFonts w:asciiTheme="majorEastAsia" w:hAnsiTheme="majorEastAsia" w:eastAsiaTheme="majorEastAsia"/>
          <w:color w:val="auto"/>
          <w:szCs w:val="18"/>
          <w:highlight w:val="none"/>
        </w:rPr>
        <w:t>月</w:t>
      </w:r>
      <w:r>
        <w:rPr>
          <w:rFonts w:asciiTheme="majorEastAsia" w:hAnsiTheme="majorEastAsia" w:eastAsiaTheme="majorEastAsia"/>
          <w:color w:val="auto"/>
          <w:szCs w:val="18"/>
          <w:highlight w:val="none"/>
          <w:u w:val="single"/>
        </w:rPr>
        <w:t xml:space="preserve">    </w:t>
      </w:r>
      <w:r>
        <w:rPr>
          <w:rFonts w:asciiTheme="majorEastAsia" w:hAnsiTheme="majorEastAsia" w:eastAsiaTheme="majorEastAsia"/>
          <w:color w:val="auto"/>
          <w:szCs w:val="18"/>
          <w:highlight w:val="none"/>
        </w:rPr>
        <w:t>日签字生效，特此声明。</w:t>
      </w:r>
    </w:p>
    <w:p w14:paraId="6EF1F9F4">
      <w:pPr>
        <w:pStyle w:val="20"/>
        <w:spacing w:line="440" w:lineRule="exact"/>
        <w:rPr>
          <w:rFonts w:asciiTheme="majorEastAsia" w:hAnsiTheme="majorEastAsia" w:eastAsiaTheme="majorEastAsia"/>
          <w:color w:val="auto"/>
          <w:szCs w:val="18"/>
          <w:highlight w:val="none"/>
        </w:rPr>
      </w:pPr>
    </w:p>
    <w:p w14:paraId="02E5F6DD">
      <w:pPr>
        <w:pStyle w:val="20"/>
        <w:spacing w:line="440" w:lineRule="exact"/>
        <w:rPr>
          <w:rFonts w:asciiTheme="majorEastAsia" w:hAnsiTheme="majorEastAsia" w:eastAsiaTheme="majorEastAsia"/>
          <w:color w:val="auto"/>
          <w:szCs w:val="18"/>
          <w:highlight w:val="none"/>
        </w:rPr>
      </w:pPr>
    </w:p>
    <w:p w14:paraId="2493A285">
      <w:pPr>
        <w:pStyle w:val="20"/>
        <w:spacing w:line="440" w:lineRule="exact"/>
        <w:ind w:firstLine="345" w:firstLineChars="200"/>
        <w:rPr>
          <w:rFonts w:asciiTheme="majorEastAsia" w:hAnsiTheme="majorEastAsia" w:eastAsiaTheme="majorEastAsia"/>
          <w:b/>
          <w:color w:val="auto"/>
          <w:szCs w:val="18"/>
          <w:highlight w:val="none"/>
        </w:rPr>
      </w:pPr>
      <w:r>
        <w:rPr>
          <w:rFonts w:asciiTheme="majorEastAsia" w:hAnsiTheme="majorEastAsia" w:eastAsiaTheme="majorEastAsia"/>
          <w:b/>
          <w:color w:val="auto"/>
          <w:szCs w:val="18"/>
          <w:highlight w:val="none"/>
        </w:rPr>
        <w:t>后附授权代表身份证正反面复印件。</w:t>
      </w:r>
    </w:p>
    <w:p w14:paraId="3C3319BF">
      <w:pPr>
        <w:pStyle w:val="20"/>
        <w:spacing w:line="440" w:lineRule="exact"/>
        <w:rPr>
          <w:rFonts w:asciiTheme="majorEastAsia" w:hAnsiTheme="majorEastAsia" w:eastAsiaTheme="majorEastAsia"/>
          <w:color w:val="auto"/>
          <w:szCs w:val="18"/>
          <w:highlight w:val="none"/>
        </w:rPr>
      </w:pPr>
    </w:p>
    <w:p w14:paraId="0BA5B74B">
      <w:pPr>
        <w:pStyle w:val="20"/>
        <w:spacing w:line="440" w:lineRule="exact"/>
        <w:rPr>
          <w:rFonts w:asciiTheme="majorEastAsia" w:hAnsiTheme="majorEastAsia" w:eastAsiaTheme="majorEastAsia"/>
          <w:color w:val="auto"/>
          <w:sz w:val="21"/>
          <w:szCs w:val="21"/>
          <w:highlight w:val="none"/>
        </w:rPr>
      </w:pPr>
    </w:p>
    <w:p w14:paraId="60B0C88E">
      <w:pPr>
        <w:pStyle w:val="20"/>
        <w:spacing w:line="440" w:lineRule="exact"/>
        <w:ind w:left="3366" w:leftChars="1600" w:hanging="6"/>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法定代表人（负责人）（签字或盖章）：</w:t>
      </w:r>
    </w:p>
    <w:p w14:paraId="34F3F268">
      <w:pPr>
        <w:pStyle w:val="20"/>
        <w:spacing w:line="440" w:lineRule="exact"/>
        <w:ind w:left="3366" w:leftChars="1600" w:hanging="6"/>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供应商全称（盖章）： </w:t>
      </w:r>
    </w:p>
    <w:p w14:paraId="53B637BF">
      <w:pPr>
        <w:pStyle w:val="20"/>
        <w:spacing w:line="440" w:lineRule="exact"/>
        <w:ind w:left="3366" w:leftChars="1600" w:hanging="6"/>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日  期：</w:t>
      </w:r>
    </w:p>
    <w:p w14:paraId="760ACB62">
      <w:pPr>
        <w:pStyle w:val="20"/>
        <w:spacing w:line="440" w:lineRule="exact"/>
        <w:rPr>
          <w:rFonts w:asciiTheme="majorEastAsia" w:hAnsiTheme="majorEastAsia" w:eastAsiaTheme="majorEastAsia"/>
          <w:color w:val="auto"/>
          <w:sz w:val="21"/>
          <w:szCs w:val="21"/>
          <w:highlight w:val="none"/>
        </w:rPr>
      </w:pPr>
    </w:p>
    <w:p w14:paraId="4E29DF1E">
      <w:pPr>
        <w:pStyle w:val="2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附：</w:t>
      </w:r>
    </w:p>
    <w:p w14:paraId="1CA92866">
      <w:pPr>
        <w:pStyle w:val="2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授权代表姓名：（印刷体）</w:t>
      </w:r>
    </w:p>
    <w:p w14:paraId="5F77EA47">
      <w:pPr>
        <w:pStyle w:val="2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职        务：</w:t>
      </w:r>
    </w:p>
    <w:p w14:paraId="4F589624">
      <w:pPr>
        <w:pStyle w:val="2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授权代表签字：</w:t>
      </w:r>
    </w:p>
    <w:p w14:paraId="20ECC9EB">
      <w:pPr>
        <w:pStyle w:val="2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详细通讯地址：</w:t>
      </w:r>
    </w:p>
    <w:p w14:paraId="19076263">
      <w:pPr>
        <w:pStyle w:val="2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邮 政 编  码：</w:t>
      </w:r>
    </w:p>
    <w:p w14:paraId="75E94B1A">
      <w:pPr>
        <w:pStyle w:val="2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传        真：</w:t>
      </w:r>
    </w:p>
    <w:p w14:paraId="17CC36C2">
      <w:pPr>
        <w:pStyle w:val="20"/>
        <w:spacing w:line="440" w:lineRule="exact"/>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 xml:space="preserve">  电        话：</w:t>
      </w:r>
    </w:p>
    <w:p w14:paraId="4110E4D7">
      <w:pPr>
        <w:pStyle w:val="20"/>
        <w:spacing w:line="440" w:lineRule="exact"/>
        <w:rPr>
          <w:rFonts w:asciiTheme="majorEastAsia" w:hAnsiTheme="majorEastAsia" w:eastAsiaTheme="majorEastAsia"/>
          <w:color w:val="auto"/>
          <w:sz w:val="21"/>
          <w:szCs w:val="21"/>
          <w:highlight w:val="none"/>
        </w:rPr>
      </w:pPr>
    </w:p>
    <w:p w14:paraId="01AA2448">
      <w:pPr>
        <w:spacing w:line="440" w:lineRule="exact"/>
        <w:rPr>
          <w:rFonts w:asciiTheme="majorEastAsia" w:hAnsiTheme="majorEastAsia" w:eastAsiaTheme="majorEastAsia"/>
          <w:b/>
          <w:bCs/>
          <w:color w:val="auto"/>
          <w:szCs w:val="21"/>
          <w:highlight w:val="none"/>
        </w:rPr>
      </w:pPr>
      <w:r>
        <w:rPr>
          <w:rFonts w:asciiTheme="majorEastAsia" w:hAnsiTheme="majorEastAsia" w:eastAsiaTheme="majorEastAsia"/>
          <w:color w:val="auto"/>
          <w:szCs w:val="21"/>
          <w:highlight w:val="none"/>
        </w:rPr>
        <w:br w:type="page"/>
      </w:r>
      <w:r>
        <w:rPr>
          <w:rFonts w:asciiTheme="majorEastAsia" w:hAnsiTheme="majorEastAsia" w:eastAsiaTheme="majorEastAsia"/>
          <w:b/>
          <w:bCs/>
          <w:color w:val="auto"/>
          <w:szCs w:val="21"/>
          <w:highlight w:val="none"/>
        </w:rPr>
        <w:t>格式</w:t>
      </w:r>
      <w:r>
        <w:rPr>
          <w:rFonts w:hint="eastAsia" w:asciiTheme="majorEastAsia" w:hAnsiTheme="majorEastAsia" w:eastAsiaTheme="majorEastAsia"/>
          <w:b/>
          <w:bCs/>
          <w:color w:val="auto"/>
          <w:szCs w:val="21"/>
          <w:highlight w:val="none"/>
        </w:rPr>
        <w:t>六</w:t>
      </w:r>
      <w:r>
        <w:rPr>
          <w:rFonts w:asciiTheme="majorEastAsia" w:hAnsiTheme="majorEastAsia" w:eastAsiaTheme="majorEastAsia"/>
          <w:b/>
          <w:bCs/>
          <w:color w:val="auto"/>
          <w:szCs w:val="21"/>
          <w:highlight w:val="none"/>
        </w:rPr>
        <w:t>：</w:t>
      </w:r>
    </w:p>
    <w:p w14:paraId="17C2A731">
      <w:pPr>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磋商声明书</w:t>
      </w:r>
    </w:p>
    <w:p w14:paraId="2525A14D">
      <w:pPr>
        <w:spacing w:line="440" w:lineRule="exact"/>
        <w:jc w:val="center"/>
        <w:rPr>
          <w:rFonts w:asciiTheme="majorEastAsia" w:hAnsiTheme="majorEastAsia" w:eastAsiaTheme="majorEastAsia"/>
          <w:b/>
          <w:color w:val="auto"/>
          <w:szCs w:val="21"/>
          <w:highlight w:val="none"/>
        </w:rPr>
      </w:pPr>
    </w:p>
    <w:p w14:paraId="689D3624">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致：</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（采购人名称）</w:t>
      </w:r>
    </w:p>
    <w:p w14:paraId="512F725B">
      <w:pPr>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根据贵方为</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（项目名称）的竞争性磋商采购公告（项目编号：</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），签字代表</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（姓名）经正式授权并代表供应商</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（供应商名称）提交的</w:t>
      </w:r>
      <w:r>
        <w:rPr>
          <w:rFonts w:hint="eastAsia" w:asciiTheme="majorEastAsia" w:hAnsiTheme="majorEastAsia" w:eastAsiaTheme="majorEastAsia"/>
          <w:color w:val="auto"/>
          <w:szCs w:val="21"/>
          <w:highlight w:val="none"/>
        </w:rPr>
        <w:t>电子响应文件一份；电子响应文件的备份文件</w:t>
      </w:r>
      <w:r>
        <w:rPr>
          <w:rFonts w:hint="eastAsia" w:asciiTheme="majorEastAsia" w:hAnsiTheme="majorEastAsia" w:eastAsiaTheme="majorEastAsia"/>
          <w:color w:val="auto"/>
          <w:szCs w:val="21"/>
          <w:highlight w:val="none"/>
          <w:u w:val="single"/>
        </w:rPr>
        <w:t xml:space="preserve">   </w:t>
      </w:r>
      <w:r>
        <w:rPr>
          <w:rFonts w:hint="eastAsia" w:asciiTheme="majorEastAsia" w:hAnsiTheme="majorEastAsia" w:eastAsiaTheme="majorEastAsia"/>
          <w:color w:val="auto"/>
          <w:szCs w:val="21"/>
          <w:highlight w:val="none"/>
        </w:rPr>
        <w:t>份</w:t>
      </w:r>
      <w:r>
        <w:rPr>
          <w:rFonts w:asciiTheme="majorEastAsia" w:hAnsiTheme="majorEastAsia" w:eastAsiaTheme="majorEastAsia"/>
          <w:color w:val="auto"/>
          <w:szCs w:val="21"/>
          <w:highlight w:val="none"/>
        </w:rPr>
        <w:t>。</w:t>
      </w:r>
    </w:p>
    <w:p w14:paraId="72F37441">
      <w:pPr>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据此函，签字代表宣布同意如下：</w:t>
      </w:r>
    </w:p>
    <w:p w14:paraId="2B18C20F">
      <w:pPr>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1、供应商已详细审查全部“磋商文件”，包括修改文件（如有的话）以及全部参考资料和有关附件，已经了解我方对于磋商文件、采购过程、采购结果有依法进行询问、质疑、投诉的权利及相关渠道和要求。</w:t>
      </w:r>
    </w:p>
    <w:p w14:paraId="1DCB9F02">
      <w:pPr>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2、供应商在提交响应文件之前已经与贵方进行了充分的沟通，完全理解并接受磋商文件的各项规定和要求，对磋商文件的合理性、合法性不再有异议。</w:t>
      </w:r>
    </w:p>
    <w:p w14:paraId="2EA812C9">
      <w:pPr>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3、本磋商有效期自开标日起</w:t>
      </w:r>
      <w:r>
        <w:rPr>
          <w:rFonts w:hint="eastAsia" w:asciiTheme="majorEastAsia" w:hAnsiTheme="majorEastAsia" w:eastAsiaTheme="majorEastAsia"/>
          <w:color w:val="auto"/>
          <w:szCs w:val="21"/>
          <w:highlight w:val="none"/>
          <w:u w:val="single"/>
        </w:rPr>
        <w:t xml:space="preserve"> 90 </w:t>
      </w:r>
      <w:r>
        <w:rPr>
          <w:rFonts w:asciiTheme="majorEastAsia" w:hAnsiTheme="majorEastAsia" w:eastAsiaTheme="majorEastAsia"/>
          <w:color w:val="auto"/>
          <w:szCs w:val="21"/>
          <w:highlight w:val="none"/>
        </w:rPr>
        <w:t>日历</w:t>
      </w:r>
      <w:r>
        <w:rPr>
          <w:rFonts w:hint="eastAsia" w:asciiTheme="majorEastAsia" w:hAnsiTheme="majorEastAsia" w:eastAsiaTheme="majorEastAsia"/>
          <w:color w:val="auto"/>
          <w:szCs w:val="21"/>
          <w:highlight w:val="none"/>
        </w:rPr>
        <w:t>天</w:t>
      </w:r>
      <w:r>
        <w:rPr>
          <w:rFonts w:asciiTheme="majorEastAsia" w:hAnsiTheme="majorEastAsia" w:eastAsiaTheme="majorEastAsia"/>
          <w:color w:val="auto"/>
          <w:szCs w:val="21"/>
          <w:highlight w:val="none"/>
        </w:rPr>
        <w:t>。</w:t>
      </w:r>
    </w:p>
    <w:p w14:paraId="1E9C1CF1">
      <w:pPr>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4、如成交，本响应文件至本项目合同履行完毕止均保持有效，本供应商将按“磋商文件”及政府采购法律、法规的规定履行合同责任和义务。</w:t>
      </w:r>
    </w:p>
    <w:p w14:paraId="0F8EF095">
      <w:pPr>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5、供应商同意按照贵方要求提供与本次采购有关的一切数据或资料。</w:t>
      </w:r>
    </w:p>
    <w:p w14:paraId="4C3B7F46">
      <w:pPr>
        <w:spacing w:line="440" w:lineRule="exact"/>
        <w:ind w:firstLine="420" w:firstLineChars="200"/>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6、与本项目采购有关的一切正式往来信函请寄：</w:t>
      </w:r>
    </w:p>
    <w:p w14:paraId="6EC3C770">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地址：</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邮编：</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电话：</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w:t>
      </w:r>
    </w:p>
    <w:p w14:paraId="7EC6DFBA">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传真：</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供应商代表姓名：</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职务：</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w:t>
      </w:r>
    </w:p>
    <w:p w14:paraId="0C5A4B6B">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开户银行：</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银行帐号：</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w:t>
      </w:r>
    </w:p>
    <w:p w14:paraId="1FF1145C">
      <w:pPr>
        <w:spacing w:line="440" w:lineRule="exact"/>
        <w:rPr>
          <w:rFonts w:asciiTheme="majorEastAsia" w:hAnsiTheme="majorEastAsia" w:eastAsiaTheme="majorEastAsia"/>
          <w:color w:val="auto"/>
          <w:szCs w:val="21"/>
          <w:highlight w:val="none"/>
        </w:rPr>
      </w:pPr>
    </w:p>
    <w:p w14:paraId="4AB28E5A">
      <w:pPr>
        <w:spacing w:line="440" w:lineRule="exact"/>
        <w:rPr>
          <w:rFonts w:asciiTheme="majorEastAsia" w:hAnsiTheme="majorEastAsia" w:eastAsiaTheme="majorEastAsia"/>
          <w:color w:val="auto"/>
          <w:szCs w:val="21"/>
          <w:highlight w:val="none"/>
        </w:rPr>
      </w:pPr>
    </w:p>
    <w:p w14:paraId="0591E4D3">
      <w:pPr>
        <w:spacing w:line="440" w:lineRule="exact"/>
        <w:rPr>
          <w:rFonts w:asciiTheme="majorEastAsia" w:hAnsiTheme="majorEastAsia" w:eastAsiaTheme="majorEastAsia"/>
          <w:color w:val="auto"/>
          <w:szCs w:val="21"/>
          <w:highlight w:val="none"/>
        </w:rPr>
      </w:pPr>
    </w:p>
    <w:p w14:paraId="6F420D6C">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7AB4EB87">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法定代表人（负责人）或授权代表（签字或盖章）：</w:t>
      </w:r>
    </w:p>
    <w:p w14:paraId="75002384">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日期：</w:t>
      </w:r>
    </w:p>
    <w:p w14:paraId="210CC500">
      <w:pPr>
        <w:spacing w:line="440" w:lineRule="exact"/>
        <w:rPr>
          <w:rFonts w:asciiTheme="majorEastAsia" w:hAnsiTheme="majorEastAsia" w:eastAsiaTheme="majorEastAsia"/>
          <w:color w:val="auto"/>
          <w:szCs w:val="21"/>
          <w:highlight w:val="none"/>
        </w:rPr>
      </w:pPr>
    </w:p>
    <w:p w14:paraId="2DDAE40E">
      <w:pP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br w:type="page"/>
      </w:r>
    </w:p>
    <w:p w14:paraId="654B8765">
      <w:pPr>
        <w:adjustRightInd w:val="0"/>
        <w:spacing w:line="440" w:lineRule="exact"/>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格式</w:t>
      </w:r>
      <w:r>
        <w:rPr>
          <w:rFonts w:hint="eastAsia" w:asciiTheme="majorEastAsia" w:hAnsiTheme="majorEastAsia" w:eastAsiaTheme="majorEastAsia"/>
          <w:b/>
          <w:color w:val="auto"/>
          <w:szCs w:val="21"/>
          <w:highlight w:val="none"/>
        </w:rPr>
        <w:t>七</w:t>
      </w:r>
      <w:r>
        <w:rPr>
          <w:rFonts w:asciiTheme="majorEastAsia" w:hAnsiTheme="majorEastAsia" w:eastAsiaTheme="majorEastAsia"/>
          <w:b/>
          <w:color w:val="auto"/>
          <w:szCs w:val="21"/>
          <w:highlight w:val="none"/>
        </w:rPr>
        <w:t>：</w:t>
      </w:r>
    </w:p>
    <w:p w14:paraId="13E0DBDA">
      <w:pPr>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采购需求响应（偏离）表</w:t>
      </w:r>
    </w:p>
    <w:p w14:paraId="0B03F97E">
      <w:pPr>
        <w:spacing w:line="440" w:lineRule="exact"/>
        <w:ind w:firstLine="3089"/>
        <w:rPr>
          <w:rFonts w:asciiTheme="majorEastAsia" w:hAnsiTheme="majorEastAsia" w:eastAsiaTheme="majorEastAsia"/>
          <w:b/>
          <w:color w:val="auto"/>
          <w:szCs w:val="21"/>
          <w:highlight w:val="none"/>
        </w:rPr>
      </w:pPr>
    </w:p>
    <w:p w14:paraId="0E483C6E">
      <w:pPr>
        <w:spacing w:line="360" w:lineRule="auto"/>
        <w:rPr>
          <w:rFonts w:asciiTheme="majorEastAsia" w:hAnsiTheme="majorEastAsia" w:eastAsiaTheme="majorEastAsia"/>
          <w:color w:val="auto"/>
          <w:szCs w:val="21"/>
          <w:highlight w:val="none"/>
          <w:u w:val="single"/>
        </w:rPr>
      </w:pPr>
      <w:r>
        <w:rPr>
          <w:rFonts w:asciiTheme="majorEastAsia" w:hAnsiTheme="majorEastAsia" w:eastAsiaTheme="majorEastAsia"/>
          <w:color w:val="auto"/>
          <w:szCs w:val="21"/>
          <w:highlight w:val="none"/>
        </w:rPr>
        <w:t>项目名称：</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项目编号：</w:t>
      </w:r>
      <w:r>
        <w:rPr>
          <w:rFonts w:asciiTheme="majorEastAsia" w:hAnsiTheme="majorEastAsia" w:eastAsiaTheme="majorEastAsia"/>
          <w:color w:val="auto"/>
          <w:szCs w:val="21"/>
          <w:highlight w:val="none"/>
          <w:u w:val="single"/>
        </w:rPr>
        <w:t xml:space="preserve">                   </w:t>
      </w:r>
    </w:p>
    <w:tbl>
      <w:tblPr>
        <w:tblStyle w:val="4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4738"/>
        <w:gridCol w:w="900"/>
        <w:gridCol w:w="1426"/>
      </w:tblGrid>
      <w:tr w14:paraId="75EEE3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883" w:type="dxa"/>
            <w:vAlign w:val="center"/>
          </w:tcPr>
          <w:p w14:paraId="550158AC">
            <w:pPr>
              <w:snapToGrid w:val="0"/>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项目</w:t>
            </w:r>
          </w:p>
        </w:tc>
        <w:tc>
          <w:tcPr>
            <w:tcW w:w="4738" w:type="dxa"/>
            <w:vAlign w:val="center"/>
          </w:tcPr>
          <w:p w14:paraId="5EB8D296">
            <w:pPr>
              <w:snapToGrid w:val="0"/>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磋商文件要求</w:t>
            </w:r>
          </w:p>
        </w:tc>
        <w:tc>
          <w:tcPr>
            <w:tcW w:w="900" w:type="dxa"/>
            <w:vAlign w:val="center"/>
          </w:tcPr>
          <w:p w14:paraId="45C0C1DD">
            <w:pPr>
              <w:snapToGrid w:val="0"/>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是否</w:t>
            </w:r>
          </w:p>
          <w:p w14:paraId="63AE3D01">
            <w:pPr>
              <w:snapToGrid w:val="0"/>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响应</w:t>
            </w:r>
          </w:p>
        </w:tc>
        <w:tc>
          <w:tcPr>
            <w:tcW w:w="1426" w:type="dxa"/>
            <w:vAlign w:val="center"/>
          </w:tcPr>
          <w:p w14:paraId="76D33672">
            <w:pPr>
              <w:snapToGrid w:val="0"/>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供应商的</w:t>
            </w:r>
          </w:p>
          <w:p w14:paraId="58E8D1B9">
            <w:pPr>
              <w:snapToGrid w:val="0"/>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承诺或说明</w:t>
            </w:r>
          </w:p>
        </w:tc>
      </w:tr>
      <w:tr w14:paraId="493AE1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6E264B1B">
            <w:pPr>
              <w:snapToGrid w:val="0"/>
              <w:jc w:val="center"/>
              <w:rPr>
                <w:rFonts w:asciiTheme="majorEastAsia" w:hAnsiTheme="majorEastAsia" w:eastAsiaTheme="majorEastAsia"/>
                <w:color w:val="auto"/>
                <w:szCs w:val="21"/>
                <w:highlight w:val="none"/>
              </w:rPr>
            </w:pPr>
          </w:p>
        </w:tc>
        <w:tc>
          <w:tcPr>
            <w:tcW w:w="4738" w:type="dxa"/>
            <w:vAlign w:val="center"/>
          </w:tcPr>
          <w:p w14:paraId="53F1081F">
            <w:pPr>
              <w:jc w:val="center"/>
              <w:rPr>
                <w:rFonts w:asciiTheme="majorEastAsia" w:hAnsiTheme="majorEastAsia" w:eastAsiaTheme="majorEastAsia"/>
                <w:color w:val="auto"/>
                <w:szCs w:val="21"/>
                <w:highlight w:val="none"/>
              </w:rPr>
            </w:pPr>
          </w:p>
        </w:tc>
        <w:tc>
          <w:tcPr>
            <w:tcW w:w="900" w:type="dxa"/>
            <w:vAlign w:val="center"/>
          </w:tcPr>
          <w:p w14:paraId="6187BB37">
            <w:pPr>
              <w:snapToGrid w:val="0"/>
              <w:jc w:val="center"/>
              <w:rPr>
                <w:rFonts w:asciiTheme="majorEastAsia" w:hAnsiTheme="majorEastAsia" w:eastAsiaTheme="majorEastAsia"/>
                <w:color w:val="auto"/>
                <w:szCs w:val="21"/>
                <w:highlight w:val="none"/>
              </w:rPr>
            </w:pPr>
          </w:p>
        </w:tc>
        <w:tc>
          <w:tcPr>
            <w:tcW w:w="1426" w:type="dxa"/>
            <w:vAlign w:val="center"/>
          </w:tcPr>
          <w:p w14:paraId="7EE11B6C">
            <w:pPr>
              <w:snapToGrid w:val="0"/>
              <w:jc w:val="center"/>
              <w:rPr>
                <w:rFonts w:asciiTheme="majorEastAsia" w:hAnsiTheme="majorEastAsia" w:eastAsiaTheme="majorEastAsia"/>
                <w:color w:val="auto"/>
                <w:szCs w:val="21"/>
                <w:highlight w:val="none"/>
              </w:rPr>
            </w:pPr>
          </w:p>
        </w:tc>
      </w:tr>
      <w:tr w14:paraId="6D9AE6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3C8871BD">
            <w:pPr>
              <w:jc w:val="center"/>
              <w:rPr>
                <w:rFonts w:asciiTheme="majorEastAsia" w:hAnsiTheme="majorEastAsia" w:eastAsiaTheme="majorEastAsia"/>
                <w:color w:val="auto"/>
                <w:szCs w:val="21"/>
                <w:highlight w:val="none"/>
              </w:rPr>
            </w:pPr>
          </w:p>
        </w:tc>
        <w:tc>
          <w:tcPr>
            <w:tcW w:w="4738" w:type="dxa"/>
            <w:vAlign w:val="center"/>
          </w:tcPr>
          <w:p w14:paraId="28B40D16">
            <w:pPr>
              <w:jc w:val="center"/>
              <w:rPr>
                <w:rFonts w:asciiTheme="majorEastAsia" w:hAnsiTheme="majorEastAsia" w:eastAsiaTheme="majorEastAsia"/>
                <w:color w:val="auto"/>
                <w:szCs w:val="21"/>
                <w:highlight w:val="none"/>
              </w:rPr>
            </w:pPr>
          </w:p>
        </w:tc>
        <w:tc>
          <w:tcPr>
            <w:tcW w:w="900" w:type="dxa"/>
            <w:vAlign w:val="center"/>
          </w:tcPr>
          <w:p w14:paraId="2AE03282">
            <w:pPr>
              <w:snapToGrid w:val="0"/>
              <w:jc w:val="center"/>
              <w:rPr>
                <w:rFonts w:asciiTheme="majorEastAsia" w:hAnsiTheme="majorEastAsia" w:eastAsiaTheme="majorEastAsia"/>
                <w:color w:val="auto"/>
                <w:szCs w:val="21"/>
                <w:highlight w:val="none"/>
              </w:rPr>
            </w:pPr>
          </w:p>
        </w:tc>
        <w:tc>
          <w:tcPr>
            <w:tcW w:w="1426" w:type="dxa"/>
            <w:vAlign w:val="center"/>
          </w:tcPr>
          <w:p w14:paraId="39EE4BCE">
            <w:pPr>
              <w:snapToGrid w:val="0"/>
              <w:jc w:val="center"/>
              <w:rPr>
                <w:rFonts w:asciiTheme="majorEastAsia" w:hAnsiTheme="majorEastAsia" w:eastAsiaTheme="majorEastAsia"/>
                <w:color w:val="auto"/>
                <w:szCs w:val="21"/>
                <w:highlight w:val="none"/>
              </w:rPr>
            </w:pPr>
          </w:p>
        </w:tc>
      </w:tr>
      <w:tr w14:paraId="151935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5909E4AE">
            <w:pPr>
              <w:snapToGrid w:val="0"/>
              <w:jc w:val="center"/>
              <w:rPr>
                <w:rFonts w:asciiTheme="majorEastAsia" w:hAnsiTheme="majorEastAsia" w:eastAsiaTheme="majorEastAsia"/>
                <w:color w:val="auto"/>
                <w:szCs w:val="21"/>
                <w:highlight w:val="none"/>
              </w:rPr>
            </w:pPr>
          </w:p>
        </w:tc>
        <w:tc>
          <w:tcPr>
            <w:tcW w:w="4738" w:type="dxa"/>
            <w:vAlign w:val="center"/>
          </w:tcPr>
          <w:p w14:paraId="5C4DFD66">
            <w:pPr>
              <w:jc w:val="center"/>
              <w:rPr>
                <w:rFonts w:asciiTheme="majorEastAsia" w:hAnsiTheme="majorEastAsia" w:eastAsiaTheme="majorEastAsia"/>
                <w:color w:val="auto"/>
                <w:szCs w:val="21"/>
                <w:highlight w:val="none"/>
              </w:rPr>
            </w:pPr>
          </w:p>
        </w:tc>
        <w:tc>
          <w:tcPr>
            <w:tcW w:w="900" w:type="dxa"/>
            <w:vAlign w:val="center"/>
          </w:tcPr>
          <w:p w14:paraId="3F1E4A84">
            <w:pPr>
              <w:jc w:val="center"/>
              <w:rPr>
                <w:rFonts w:asciiTheme="majorEastAsia" w:hAnsiTheme="majorEastAsia" w:eastAsiaTheme="majorEastAsia"/>
                <w:color w:val="auto"/>
                <w:szCs w:val="21"/>
                <w:highlight w:val="none"/>
              </w:rPr>
            </w:pPr>
          </w:p>
        </w:tc>
        <w:tc>
          <w:tcPr>
            <w:tcW w:w="1426" w:type="dxa"/>
            <w:vAlign w:val="center"/>
          </w:tcPr>
          <w:p w14:paraId="2AD018FC">
            <w:pPr>
              <w:jc w:val="center"/>
              <w:rPr>
                <w:rFonts w:asciiTheme="majorEastAsia" w:hAnsiTheme="majorEastAsia" w:eastAsiaTheme="majorEastAsia"/>
                <w:color w:val="auto"/>
                <w:szCs w:val="21"/>
                <w:highlight w:val="none"/>
              </w:rPr>
            </w:pPr>
          </w:p>
        </w:tc>
      </w:tr>
      <w:tr w14:paraId="6091CC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2737DD1E">
            <w:pPr>
              <w:snapToGrid w:val="0"/>
              <w:jc w:val="center"/>
              <w:rPr>
                <w:rFonts w:asciiTheme="majorEastAsia" w:hAnsiTheme="majorEastAsia" w:eastAsiaTheme="majorEastAsia"/>
                <w:color w:val="auto"/>
                <w:szCs w:val="21"/>
                <w:highlight w:val="none"/>
              </w:rPr>
            </w:pPr>
          </w:p>
        </w:tc>
        <w:tc>
          <w:tcPr>
            <w:tcW w:w="4738" w:type="dxa"/>
            <w:vAlign w:val="center"/>
          </w:tcPr>
          <w:p w14:paraId="616934C8">
            <w:pPr>
              <w:jc w:val="center"/>
              <w:rPr>
                <w:rFonts w:asciiTheme="majorEastAsia" w:hAnsiTheme="majorEastAsia" w:eastAsiaTheme="majorEastAsia"/>
                <w:color w:val="auto"/>
                <w:szCs w:val="21"/>
                <w:highlight w:val="none"/>
              </w:rPr>
            </w:pPr>
          </w:p>
        </w:tc>
        <w:tc>
          <w:tcPr>
            <w:tcW w:w="900" w:type="dxa"/>
            <w:vAlign w:val="center"/>
          </w:tcPr>
          <w:p w14:paraId="59F9FDDD">
            <w:pPr>
              <w:snapToGrid w:val="0"/>
              <w:jc w:val="center"/>
              <w:rPr>
                <w:rFonts w:asciiTheme="majorEastAsia" w:hAnsiTheme="majorEastAsia" w:eastAsiaTheme="majorEastAsia"/>
                <w:color w:val="auto"/>
                <w:szCs w:val="21"/>
                <w:highlight w:val="none"/>
              </w:rPr>
            </w:pPr>
          </w:p>
        </w:tc>
        <w:tc>
          <w:tcPr>
            <w:tcW w:w="1426" w:type="dxa"/>
            <w:vAlign w:val="center"/>
          </w:tcPr>
          <w:p w14:paraId="011BFAC6">
            <w:pPr>
              <w:jc w:val="center"/>
              <w:rPr>
                <w:rFonts w:asciiTheme="majorEastAsia" w:hAnsiTheme="majorEastAsia" w:eastAsiaTheme="majorEastAsia"/>
                <w:color w:val="auto"/>
                <w:szCs w:val="21"/>
                <w:highlight w:val="none"/>
              </w:rPr>
            </w:pPr>
          </w:p>
        </w:tc>
      </w:tr>
      <w:tr w14:paraId="64F4AE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79FF19D1">
            <w:pPr>
              <w:snapToGrid w:val="0"/>
              <w:jc w:val="center"/>
              <w:rPr>
                <w:rFonts w:asciiTheme="majorEastAsia" w:hAnsiTheme="majorEastAsia" w:eastAsiaTheme="majorEastAsia"/>
                <w:color w:val="auto"/>
                <w:szCs w:val="21"/>
                <w:highlight w:val="none"/>
              </w:rPr>
            </w:pPr>
          </w:p>
        </w:tc>
        <w:tc>
          <w:tcPr>
            <w:tcW w:w="4738" w:type="dxa"/>
            <w:vAlign w:val="center"/>
          </w:tcPr>
          <w:p w14:paraId="4C4E706D">
            <w:pPr>
              <w:jc w:val="center"/>
              <w:rPr>
                <w:rFonts w:asciiTheme="majorEastAsia" w:hAnsiTheme="majorEastAsia" w:eastAsiaTheme="majorEastAsia"/>
                <w:color w:val="auto"/>
                <w:szCs w:val="21"/>
                <w:highlight w:val="none"/>
              </w:rPr>
            </w:pPr>
          </w:p>
        </w:tc>
        <w:tc>
          <w:tcPr>
            <w:tcW w:w="900" w:type="dxa"/>
            <w:vAlign w:val="center"/>
          </w:tcPr>
          <w:p w14:paraId="7A0C270F">
            <w:pPr>
              <w:snapToGrid w:val="0"/>
              <w:jc w:val="center"/>
              <w:rPr>
                <w:rFonts w:asciiTheme="majorEastAsia" w:hAnsiTheme="majorEastAsia" w:eastAsiaTheme="majorEastAsia"/>
                <w:color w:val="auto"/>
                <w:szCs w:val="21"/>
                <w:highlight w:val="none"/>
              </w:rPr>
            </w:pPr>
          </w:p>
        </w:tc>
        <w:tc>
          <w:tcPr>
            <w:tcW w:w="1426" w:type="dxa"/>
            <w:vAlign w:val="center"/>
          </w:tcPr>
          <w:p w14:paraId="1E4B3737">
            <w:pPr>
              <w:jc w:val="center"/>
              <w:rPr>
                <w:rFonts w:asciiTheme="majorEastAsia" w:hAnsiTheme="majorEastAsia" w:eastAsiaTheme="majorEastAsia"/>
                <w:color w:val="auto"/>
                <w:szCs w:val="21"/>
                <w:highlight w:val="none"/>
              </w:rPr>
            </w:pPr>
          </w:p>
        </w:tc>
      </w:tr>
      <w:tr w14:paraId="2A997E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52C4D93E">
            <w:pPr>
              <w:snapToGrid w:val="0"/>
              <w:jc w:val="center"/>
              <w:rPr>
                <w:rFonts w:asciiTheme="majorEastAsia" w:hAnsiTheme="majorEastAsia" w:eastAsiaTheme="majorEastAsia"/>
                <w:color w:val="auto"/>
                <w:szCs w:val="21"/>
                <w:highlight w:val="none"/>
              </w:rPr>
            </w:pPr>
          </w:p>
        </w:tc>
        <w:tc>
          <w:tcPr>
            <w:tcW w:w="4738" w:type="dxa"/>
            <w:vAlign w:val="center"/>
          </w:tcPr>
          <w:p w14:paraId="0E8B6FCE">
            <w:pPr>
              <w:jc w:val="center"/>
              <w:rPr>
                <w:rFonts w:asciiTheme="majorEastAsia" w:hAnsiTheme="majorEastAsia" w:eastAsiaTheme="majorEastAsia"/>
                <w:color w:val="auto"/>
                <w:szCs w:val="21"/>
                <w:highlight w:val="none"/>
              </w:rPr>
            </w:pPr>
          </w:p>
        </w:tc>
        <w:tc>
          <w:tcPr>
            <w:tcW w:w="900" w:type="dxa"/>
            <w:vAlign w:val="center"/>
          </w:tcPr>
          <w:p w14:paraId="171103CA">
            <w:pPr>
              <w:snapToGrid w:val="0"/>
              <w:jc w:val="center"/>
              <w:rPr>
                <w:rFonts w:asciiTheme="majorEastAsia" w:hAnsiTheme="majorEastAsia" w:eastAsiaTheme="majorEastAsia"/>
                <w:color w:val="auto"/>
                <w:szCs w:val="21"/>
                <w:highlight w:val="none"/>
              </w:rPr>
            </w:pPr>
          </w:p>
        </w:tc>
        <w:tc>
          <w:tcPr>
            <w:tcW w:w="1426" w:type="dxa"/>
            <w:vAlign w:val="center"/>
          </w:tcPr>
          <w:p w14:paraId="292DC165">
            <w:pPr>
              <w:jc w:val="center"/>
              <w:rPr>
                <w:rFonts w:asciiTheme="majorEastAsia" w:hAnsiTheme="majorEastAsia" w:eastAsiaTheme="majorEastAsia"/>
                <w:color w:val="auto"/>
                <w:szCs w:val="21"/>
                <w:highlight w:val="none"/>
              </w:rPr>
            </w:pPr>
          </w:p>
        </w:tc>
      </w:tr>
      <w:tr w14:paraId="3DE22E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5C93E6E5">
            <w:pPr>
              <w:snapToGrid w:val="0"/>
              <w:jc w:val="center"/>
              <w:rPr>
                <w:rFonts w:asciiTheme="majorEastAsia" w:hAnsiTheme="majorEastAsia" w:eastAsiaTheme="majorEastAsia"/>
                <w:color w:val="auto"/>
                <w:szCs w:val="21"/>
                <w:highlight w:val="none"/>
              </w:rPr>
            </w:pPr>
          </w:p>
        </w:tc>
        <w:tc>
          <w:tcPr>
            <w:tcW w:w="4738" w:type="dxa"/>
            <w:vAlign w:val="center"/>
          </w:tcPr>
          <w:p w14:paraId="52E9CDBE">
            <w:pPr>
              <w:jc w:val="center"/>
              <w:rPr>
                <w:rFonts w:asciiTheme="majorEastAsia" w:hAnsiTheme="majorEastAsia" w:eastAsiaTheme="majorEastAsia"/>
                <w:color w:val="auto"/>
                <w:szCs w:val="21"/>
                <w:highlight w:val="none"/>
              </w:rPr>
            </w:pPr>
          </w:p>
        </w:tc>
        <w:tc>
          <w:tcPr>
            <w:tcW w:w="900" w:type="dxa"/>
            <w:vAlign w:val="center"/>
          </w:tcPr>
          <w:p w14:paraId="25140EA5">
            <w:pPr>
              <w:jc w:val="center"/>
              <w:rPr>
                <w:rFonts w:asciiTheme="majorEastAsia" w:hAnsiTheme="majorEastAsia" w:eastAsiaTheme="majorEastAsia"/>
                <w:color w:val="auto"/>
                <w:szCs w:val="21"/>
                <w:highlight w:val="none"/>
              </w:rPr>
            </w:pPr>
          </w:p>
        </w:tc>
        <w:tc>
          <w:tcPr>
            <w:tcW w:w="1426" w:type="dxa"/>
            <w:vAlign w:val="center"/>
          </w:tcPr>
          <w:p w14:paraId="17A34C23">
            <w:pPr>
              <w:jc w:val="center"/>
              <w:rPr>
                <w:rFonts w:asciiTheme="majorEastAsia" w:hAnsiTheme="majorEastAsia" w:eastAsiaTheme="majorEastAsia"/>
                <w:color w:val="auto"/>
                <w:szCs w:val="21"/>
                <w:highlight w:val="none"/>
              </w:rPr>
            </w:pPr>
          </w:p>
        </w:tc>
      </w:tr>
      <w:tr w14:paraId="00870D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83" w:type="dxa"/>
            <w:vAlign w:val="center"/>
          </w:tcPr>
          <w:p w14:paraId="07F44B32">
            <w:pPr>
              <w:jc w:val="center"/>
              <w:rPr>
                <w:rFonts w:asciiTheme="majorEastAsia" w:hAnsiTheme="majorEastAsia" w:eastAsiaTheme="majorEastAsia"/>
                <w:color w:val="auto"/>
                <w:szCs w:val="21"/>
                <w:highlight w:val="none"/>
              </w:rPr>
            </w:pPr>
          </w:p>
        </w:tc>
        <w:tc>
          <w:tcPr>
            <w:tcW w:w="4738" w:type="dxa"/>
            <w:vAlign w:val="center"/>
          </w:tcPr>
          <w:p w14:paraId="081708FE">
            <w:pPr>
              <w:jc w:val="center"/>
              <w:rPr>
                <w:rFonts w:asciiTheme="majorEastAsia" w:hAnsiTheme="majorEastAsia" w:eastAsiaTheme="majorEastAsia"/>
                <w:color w:val="auto"/>
                <w:szCs w:val="21"/>
                <w:highlight w:val="none"/>
              </w:rPr>
            </w:pPr>
          </w:p>
        </w:tc>
        <w:tc>
          <w:tcPr>
            <w:tcW w:w="900" w:type="dxa"/>
            <w:vAlign w:val="center"/>
          </w:tcPr>
          <w:p w14:paraId="4628ECD3">
            <w:pPr>
              <w:jc w:val="center"/>
              <w:rPr>
                <w:rFonts w:asciiTheme="majorEastAsia" w:hAnsiTheme="majorEastAsia" w:eastAsiaTheme="majorEastAsia"/>
                <w:color w:val="auto"/>
                <w:szCs w:val="21"/>
                <w:highlight w:val="none"/>
              </w:rPr>
            </w:pPr>
          </w:p>
        </w:tc>
        <w:tc>
          <w:tcPr>
            <w:tcW w:w="1426" w:type="dxa"/>
            <w:vAlign w:val="center"/>
          </w:tcPr>
          <w:p w14:paraId="518BD31C">
            <w:pPr>
              <w:jc w:val="center"/>
              <w:rPr>
                <w:rFonts w:asciiTheme="majorEastAsia" w:hAnsiTheme="majorEastAsia" w:eastAsiaTheme="majorEastAsia"/>
                <w:color w:val="auto"/>
                <w:szCs w:val="21"/>
                <w:highlight w:val="none"/>
              </w:rPr>
            </w:pPr>
          </w:p>
        </w:tc>
      </w:tr>
    </w:tbl>
    <w:p w14:paraId="55EA0CAD">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注：根据磋商文件第二章</w:t>
      </w:r>
      <w:r>
        <w:rPr>
          <w:rFonts w:hint="eastAsia" w:asciiTheme="majorEastAsia" w:hAnsiTheme="majorEastAsia" w:eastAsiaTheme="majorEastAsia"/>
          <w:color w:val="auto"/>
          <w:szCs w:val="21"/>
          <w:highlight w:val="none"/>
        </w:rPr>
        <w:t xml:space="preserve"> 采购需求</w:t>
      </w:r>
      <w:r>
        <w:rPr>
          <w:rFonts w:asciiTheme="majorEastAsia" w:hAnsiTheme="majorEastAsia" w:eastAsiaTheme="majorEastAsia"/>
          <w:color w:val="auto"/>
          <w:szCs w:val="21"/>
          <w:highlight w:val="none"/>
        </w:rPr>
        <w:t>中的内容逐条响应</w:t>
      </w:r>
      <w:r>
        <w:rPr>
          <w:rFonts w:hint="eastAsia" w:asciiTheme="majorEastAsia" w:hAnsiTheme="majorEastAsia" w:eastAsiaTheme="majorEastAsia"/>
          <w:color w:val="auto"/>
          <w:szCs w:val="21"/>
          <w:highlight w:val="none"/>
        </w:rPr>
        <w:t>；如全部响应的则在上表空白处填写“全部响应，无偏离”字样</w:t>
      </w:r>
      <w:r>
        <w:rPr>
          <w:rFonts w:asciiTheme="majorEastAsia" w:hAnsiTheme="majorEastAsia" w:eastAsiaTheme="majorEastAsia"/>
          <w:color w:val="auto"/>
          <w:szCs w:val="21"/>
          <w:highlight w:val="none"/>
        </w:rPr>
        <w:t>。</w:t>
      </w:r>
    </w:p>
    <w:p w14:paraId="0AAEBEF3">
      <w:pPr>
        <w:spacing w:line="440" w:lineRule="exact"/>
        <w:rPr>
          <w:rFonts w:asciiTheme="majorEastAsia" w:hAnsiTheme="majorEastAsia" w:eastAsiaTheme="majorEastAsia"/>
          <w:color w:val="auto"/>
          <w:szCs w:val="21"/>
          <w:highlight w:val="none"/>
        </w:rPr>
      </w:pPr>
    </w:p>
    <w:p w14:paraId="05E1BD9E">
      <w:pPr>
        <w:spacing w:line="440" w:lineRule="exact"/>
        <w:rPr>
          <w:rFonts w:asciiTheme="majorEastAsia" w:hAnsiTheme="majorEastAsia" w:eastAsiaTheme="majorEastAsia"/>
          <w:color w:val="auto"/>
          <w:spacing w:val="-4"/>
          <w:szCs w:val="21"/>
          <w:highlight w:val="none"/>
        </w:rPr>
      </w:pPr>
    </w:p>
    <w:p w14:paraId="60D30492">
      <w:pPr>
        <w:spacing w:line="440" w:lineRule="exact"/>
        <w:rPr>
          <w:rFonts w:asciiTheme="majorEastAsia" w:hAnsiTheme="majorEastAsia" w:eastAsiaTheme="majorEastAsia"/>
          <w:color w:val="auto"/>
          <w:spacing w:val="-4"/>
          <w:szCs w:val="21"/>
          <w:highlight w:val="none"/>
        </w:rPr>
      </w:pPr>
      <w:r>
        <w:rPr>
          <w:rFonts w:asciiTheme="majorEastAsia" w:hAnsiTheme="majorEastAsia" w:eastAsiaTheme="majorEastAsia"/>
          <w:color w:val="auto"/>
          <w:spacing w:val="-4"/>
          <w:szCs w:val="21"/>
          <w:highlight w:val="none"/>
        </w:rPr>
        <w:t>供应商全称（公章）：</w:t>
      </w:r>
    </w:p>
    <w:p w14:paraId="1E1D9E30">
      <w:pPr>
        <w:spacing w:line="440" w:lineRule="exact"/>
        <w:rPr>
          <w:rFonts w:asciiTheme="majorEastAsia" w:hAnsiTheme="majorEastAsia" w:eastAsiaTheme="majorEastAsia"/>
          <w:color w:val="auto"/>
          <w:spacing w:val="-4"/>
          <w:szCs w:val="21"/>
          <w:highlight w:val="none"/>
        </w:rPr>
      </w:pPr>
      <w:r>
        <w:rPr>
          <w:rFonts w:asciiTheme="majorEastAsia" w:hAnsiTheme="majorEastAsia" w:eastAsiaTheme="majorEastAsia"/>
          <w:color w:val="auto"/>
          <w:spacing w:val="-4"/>
          <w:szCs w:val="21"/>
          <w:highlight w:val="none"/>
        </w:rPr>
        <w:t xml:space="preserve">法定代表人（负责人）或授权代表（签字或盖章）：                       </w:t>
      </w:r>
    </w:p>
    <w:p w14:paraId="7936FCC1">
      <w:pPr>
        <w:pStyle w:val="20"/>
        <w:spacing w:line="440" w:lineRule="exact"/>
        <w:ind w:firstLine="0"/>
        <w:rPr>
          <w:rFonts w:asciiTheme="majorEastAsia" w:hAnsiTheme="majorEastAsia" w:eastAsiaTheme="majorEastAsia"/>
          <w:color w:val="auto"/>
          <w:sz w:val="21"/>
          <w:szCs w:val="21"/>
          <w:highlight w:val="none"/>
        </w:rPr>
      </w:pPr>
      <w:r>
        <w:rPr>
          <w:rFonts w:asciiTheme="majorEastAsia" w:hAnsiTheme="majorEastAsia" w:eastAsiaTheme="majorEastAsia"/>
          <w:color w:val="auto"/>
          <w:sz w:val="21"/>
          <w:szCs w:val="21"/>
          <w:highlight w:val="none"/>
        </w:rPr>
        <w:t>日期：</w:t>
      </w:r>
    </w:p>
    <w:p w14:paraId="0373719C">
      <w:pPr>
        <w:spacing w:line="440" w:lineRule="exact"/>
        <w:rPr>
          <w:rFonts w:asciiTheme="majorEastAsia" w:hAnsiTheme="majorEastAsia" w:eastAsiaTheme="majorEastAsia"/>
          <w:color w:val="auto"/>
          <w:szCs w:val="21"/>
          <w:highlight w:val="none"/>
        </w:rPr>
      </w:pPr>
    </w:p>
    <w:p w14:paraId="2DA03648">
      <w:pPr>
        <w:spacing w:line="440" w:lineRule="exact"/>
        <w:rPr>
          <w:rFonts w:asciiTheme="majorEastAsia" w:hAnsiTheme="majorEastAsia" w:eastAsiaTheme="majorEastAsia"/>
          <w:color w:val="auto"/>
          <w:szCs w:val="21"/>
          <w:highlight w:val="none"/>
        </w:rPr>
      </w:pPr>
    </w:p>
    <w:p w14:paraId="58954136">
      <w:pPr>
        <w:pStyle w:val="20"/>
        <w:spacing w:line="440" w:lineRule="exact"/>
        <w:ind w:firstLine="0"/>
        <w:jc w:val="left"/>
        <w:rPr>
          <w:rFonts w:asciiTheme="majorEastAsia" w:hAnsiTheme="majorEastAsia" w:eastAsiaTheme="majorEastAsia"/>
          <w:b/>
          <w:color w:val="auto"/>
          <w:spacing w:val="0"/>
          <w:sz w:val="21"/>
          <w:szCs w:val="21"/>
          <w:highlight w:val="none"/>
        </w:rPr>
      </w:pPr>
      <w:r>
        <w:rPr>
          <w:rFonts w:asciiTheme="majorEastAsia" w:hAnsiTheme="majorEastAsia" w:eastAsiaTheme="majorEastAsia"/>
          <w:b/>
          <w:color w:val="auto"/>
          <w:spacing w:val="0"/>
          <w:sz w:val="21"/>
          <w:szCs w:val="21"/>
          <w:highlight w:val="none"/>
        </w:rPr>
        <w:t xml:space="preserve"> </w:t>
      </w:r>
    </w:p>
    <w:p w14:paraId="1EE25265">
      <w:pPr>
        <w:adjustRightInd w:val="0"/>
        <w:spacing w:line="440" w:lineRule="exact"/>
        <w:jc w:val="left"/>
        <w:rPr>
          <w:rFonts w:asciiTheme="majorEastAsia" w:hAnsiTheme="majorEastAsia" w:eastAsiaTheme="majorEastAsia"/>
          <w:b/>
          <w:color w:val="auto"/>
          <w:szCs w:val="21"/>
          <w:highlight w:val="none"/>
        </w:rPr>
      </w:pPr>
      <w:r>
        <w:rPr>
          <w:rFonts w:asciiTheme="majorEastAsia" w:hAnsiTheme="majorEastAsia" w:eastAsiaTheme="majorEastAsia"/>
          <w:color w:val="auto"/>
          <w:szCs w:val="21"/>
          <w:highlight w:val="none"/>
        </w:rPr>
        <w:br w:type="page"/>
      </w:r>
      <w:r>
        <w:rPr>
          <w:rFonts w:asciiTheme="majorEastAsia" w:hAnsiTheme="majorEastAsia" w:eastAsiaTheme="majorEastAsia"/>
          <w:b/>
          <w:color w:val="auto"/>
          <w:szCs w:val="21"/>
          <w:highlight w:val="none"/>
        </w:rPr>
        <w:t>格式</w:t>
      </w:r>
      <w:r>
        <w:rPr>
          <w:rFonts w:hint="eastAsia" w:asciiTheme="majorEastAsia" w:hAnsiTheme="majorEastAsia" w:eastAsiaTheme="majorEastAsia"/>
          <w:b/>
          <w:color w:val="auto"/>
          <w:szCs w:val="21"/>
          <w:highlight w:val="none"/>
        </w:rPr>
        <w:t>八</w:t>
      </w:r>
      <w:r>
        <w:rPr>
          <w:rFonts w:asciiTheme="majorEastAsia" w:hAnsiTheme="majorEastAsia" w:eastAsiaTheme="majorEastAsia"/>
          <w:b/>
          <w:color w:val="auto"/>
          <w:szCs w:val="21"/>
          <w:highlight w:val="none"/>
        </w:rPr>
        <w:t>：</w:t>
      </w:r>
    </w:p>
    <w:p w14:paraId="58A66743">
      <w:pPr>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人员配置表</w:t>
      </w:r>
    </w:p>
    <w:p w14:paraId="2A93E4E1">
      <w:pPr>
        <w:spacing w:line="440" w:lineRule="exact"/>
        <w:jc w:val="center"/>
        <w:rPr>
          <w:rFonts w:asciiTheme="majorEastAsia" w:hAnsiTheme="majorEastAsia" w:eastAsiaTheme="majorEastAsia"/>
          <w:b/>
          <w:color w:val="auto"/>
          <w:szCs w:val="21"/>
          <w:highlight w:val="none"/>
        </w:rPr>
      </w:pPr>
    </w:p>
    <w:p w14:paraId="5BDCC982">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项目名称：</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项目编号：</w:t>
      </w:r>
      <w:r>
        <w:rPr>
          <w:rFonts w:asciiTheme="majorEastAsia" w:hAnsiTheme="majorEastAsia" w:eastAsiaTheme="majorEastAsia"/>
          <w:color w:val="auto"/>
          <w:szCs w:val="21"/>
          <w:highlight w:val="none"/>
          <w:u w:val="single"/>
        </w:rPr>
        <w:t xml:space="preserve">                      </w:t>
      </w:r>
    </w:p>
    <w:tbl>
      <w:tblPr>
        <w:tblStyle w:val="45"/>
        <w:tblW w:w="93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939"/>
        <w:gridCol w:w="1167"/>
        <w:gridCol w:w="1637"/>
        <w:gridCol w:w="971"/>
        <w:gridCol w:w="2269"/>
        <w:gridCol w:w="2371"/>
      </w:tblGrid>
      <w:tr w14:paraId="53AA5F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5" w:hRule="atLeast"/>
          <w:jc w:val="center"/>
        </w:trPr>
        <w:tc>
          <w:tcPr>
            <w:tcW w:w="939" w:type="dxa"/>
            <w:vAlign w:val="center"/>
          </w:tcPr>
          <w:p w14:paraId="63A832E2">
            <w:pPr>
              <w:spacing w:line="440" w:lineRule="exact"/>
              <w:jc w:val="center"/>
              <w:rPr>
                <w:rFonts w:asciiTheme="majorEastAsia" w:hAnsiTheme="majorEastAsia" w:eastAsiaTheme="majorEastAsia"/>
                <w:b/>
                <w:bCs/>
                <w:color w:val="auto"/>
                <w:kern w:val="0"/>
                <w:szCs w:val="21"/>
                <w:highlight w:val="none"/>
              </w:rPr>
            </w:pPr>
            <w:r>
              <w:rPr>
                <w:rFonts w:asciiTheme="majorEastAsia" w:hAnsiTheme="majorEastAsia" w:eastAsiaTheme="majorEastAsia"/>
                <w:b/>
                <w:bCs/>
                <w:color w:val="auto"/>
                <w:kern w:val="0"/>
                <w:szCs w:val="21"/>
                <w:highlight w:val="none"/>
              </w:rPr>
              <w:t>序号</w:t>
            </w:r>
          </w:p>
        </w:tc>
        <w:tc>
          <w:tcPr>
            <w:tcW w:w="1167" w:type="dxa"/>
            <w:vAlign w:val="center"/>
          </w:tcPr>
          <w:p w14:paraId="6B5331A2">
            <w:pPr>
              <w:spacing w:line="440" w:lineRule="exact"/>
              <w:jc w:val="center"/>
              <w:rPr>
                <w:rFonts w:asciiTheme="majorEastAsia" w:hAnsiTheme="majorEastAsia" w:eastAsiaTheme="majorEastAsia"/>
                <w:b/>
                <w:bCs/>
                <w:color w:val="auto"/>
                <w:kern w:val="0"/>
                <w:szCs w:val="21"/>
                <w:highlight w:val="none"/>
              </w:rPr>
            </w:pPr>
            <w:r>
              <w:rPr>
                <w:rFonts w:asciiTheme="majorEastAsia" w:hAnsiTheme="majorEastAsia" w:eastAsiaTheme="majorEastAsia"/>
                <w:b/>
                <w:bCs/>
                <w:color w:val="auto"/>
                <w:kern w:val="0"/>
                <w:szCs w:val="21"/>
                <w:highlight w:val="none"/>
              </w:rPr>
              <w:t>姓名</w:t>
            </w:r>
          </w:p>
        </w:tc>
        <w:tc>
          <w:tcPr>
            <w:tcW w:w="1637" w:type="dxa"/>
            <w:vAlign w:val="center"/>
          </w:tcPr>
          <w:p w14:paraId="01C98FDF">
            <w:pPr>
              <w:spacing w:line="440" w:lineRule="exact"/>
              <w:jc w:val="center"/>
              <w:rPr>
                <w:rFonts w:asciiTheme="majorEastAsia" w:hAnsiTheme="majorEastAsia" w:eastAsiaTheme="majorEastAsia"/>
                <w:b/>
                <w:bCs/>
                <w:color w:val="auto"/>
                <w:kern w:val="0"/>
                <w:szCs w:val="21"/>
                <w:highlight w:val="none"/>
              </w:rPr>
            </w:pPr>
            <w:r>
              <w:rPr>
                <w:rFonts w:hint="eastAsia" w:asciiTheme="majorEastAsia" w:hAnsiTheme="majorEastAsia" w:eastAsiaTheme="majorEastAsia"/>
                <w:b/>
                <w:bCs/>
                <w:color w:val="auto"/>
                <w:kern w:val="0"/>
                <w:szCs w:val="21"/>
                <w:highlight w:val="none"/>
              </w:rPr>
              <w:t>本项目分工</w:t>
            </w:r>
          </w:p>
        </w:tc>
        <w:tc>
          <w:tcPr>
            <w:tcW w:w="971" w:type="dxa"/>
            <w:vAlign w:val="center"/>
          </w:tcPr>
          <w:p w14:paraId="25102DB4">
            <w:pPr>
              <w:spacing w:line="440" w:lineRule="exact"/>
              <w:jc w:val="center"/>
              <w:rPr>
                <w:rFonts w:asciiTheme="majorEastAsia" w:hAnsiTheme="majorEastAsia" w:eastAsiaTheme="majorEastAsia"/>
                <w:b/>
                <w:bCs/>
                <w:color w:val="auto"/>
                <w:kern w:val="0"/>
                <w:szCs w:val="21"/>
                <w:highlight w:val="none"/>
              </w:rPr>
            </w:pPr>
            <w:r>
              <w:rPr>
                <w:rFonts w:asciiTheme="majorEastAsia" w:hAnsiTheme="majorEastAsia" w:eastAsiaTheme="majorEastAsia"/>
                <w:b/>
                <w:bCs/>
                <w:color w:val="auto"/>
                <w:kern w:val="0"/>
                <w:szCs w:val="21"/>
                <w:highlight w:val="none"/>
              </w:rPr>
              <w:t>年龄</w:t>
            </w:r>
          </w:p>
        </w:tc>
        <w:tc>
          <w:tcPr>
            <w:tcW w:w="2269" w:type="dxa"/>
            <w:vAlign w:val="center"/>
          </w:tcPr>
          <w:p w14:paraId="7F5701F1">
            <w:pPr>
              <w:spacing w:line="440" w:lineRule="exact"/>
              <w:jc w:val="center"/>
              <w:rPr>
                <w:rFonts w:asciiTheme="majorEastAsia" w:hAnsiTheme="majorEastAsia" w:eastAsiaTheme="majorEastAsia"/>
                <w:b/>
                <w:bCs/>
                <w:color w:val="auto"/>
                <w:kern w:val="0"/>
                <w:szCs w:val="21"/>
                <w:highlight w:val="none"/>
              </w:rPr>
            </w:pPr>
            <w:r>
              <w:rPr>
                <w:rFonts w:asciiTheme="majorEastAsia" w:hAnsiTheme="majorEastAsia" w:eastAsiaTheme="majorEastAsia"/>
                <w:b/>
                <w:bCs/>
                <w:color w:val="auto"/>
                <w:kern w:val="0"/>
                <w:szCs w:val="21"/>
                <w:highlight w:val="none"/>
              </w:rPr>
              <w:t>职称或技术等级</w:t>
            </w:r>
          </w:p>
        </w:tc>
        <w:tc>
          <w:tcPr>
            <w:tcW w:w="2371" w:type="dxa"/>
            <w:vAlign w:val="center"/>
          </w:tcPr>
          <w:p w14:paraId="57EE532E">
            <w:pPr>
              <w:spacing w:line="440" w:lineRule="exact"/>
              <w:jc w:val="center"/>
              <w:rPr>
                <w:rFonts w:asciiTheme="majorEastAsia" w:hAnsiTheme="majorEastAsia" w:eastAsiaTheme="majorEastAsia"/>
                <w:b/>
                <w:bCs/>
                <w:color w:val="auto"/>
                <w:kern w:val="0"/>
                <w:szCs w:val="21"/>
                <w:highlight w:val="none"/>
              </w:rPr>
            </w:pPr>
            <w:r>
              <w:rPr>
                <w:rFonts w:asciiTheme="majorEastAsia" w:hAnsiTheme="majorEastAsia" w:eastAsiaTheme="majorEastAsia"/>
                <w:b/>
                <w:bCs/>
                <w:color w:val="auto"/>
                <w:kern w:val="0"/>
                <w:szCs w:val="21"/>
                <w:highlight w:val="none"/>
              </w:rPr>
              <w:t>承担过的类似项目</w:t>
            </w:r>
          </w:p>
        </w:tc>
      </w:tr>
      <w:tr w14:paraId="2DCAD0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939" w:type="dxa"/>
            <w:vAlign w:val="center"/>
          </w:tcPr>
          <w:p w14:paraId="09CB7D5E">
            <w:pPr>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1</w:t>
            </w:r>
          </w:p>
        </w:tc>
        <w:tc>
          <w:tcPr>
            <w:tcW w:w="1167" w:type="dxa"/>
            <w:vAlign w:val="center"/>
          </w:tcPr>
          <w:p w14:paraId="32953911">
            <w:pPr>
              <w:spacing w:line="440" w:lineRule="exact"/>
              <w:rPr>
                <w:rFonts w:asciiTheme="majorEastAsia" w:hAnsiTheme="majorEastAsia" w:eastAsiaTheme="majorEastAsia"/>
                <w:color w:val="auto"/>
                <w:kern w:val="0"/>
                <w:szCs w:val="21"/>
                <w:highlight w:val="none"/>
              </w:rPr>
            </w:pPr>
          </w:p>
        </w:tc>
        <w:tc>
          <w:tcPr>
            <w:tcW w:w="1637" w:type="dxa"/>
            <w:vAlign w:val="center"/>
          </w:tcPr>
          <w:p w14:paraId="1A83AD24">
            <w:pPr>
              <w:spacing w:line="440" w:lineRule="exact"/>
              <w:jc w:val="center"/>
              <w:rPr>
                <w:rFonts w:asciiTheme="majorEastAsia" w:hAnsiTheme="majorEastAsia" w:eastAsiaTheme="majorEastAsia"/>
                <w:color w:val="auto"/>
                <w:kern w:val="0"/>
                <w:szCs w:val="21"/>
                <w:highlight w:val="none"/>
              </w:rPr>
            </w:pPr>
          </w:p>
        </w:tc>
        <w:tc>
          <w:tcPr>
            <w:tcW w:w="971" w:type="dxa"/>
            <w:vAlign w:val="center"/>
          </w:tcPr>
          <w:p w14:paraId="31C685A9">
            <w:pPr>
              <w:spacing w:line="440" w:lineRule="exact"/>
              <w:jc w:val="center"/>
              <w:rPr>
                <w:rFonts w:asciiTheme="majorEastAsia" w:hAnsiTheme="majorEastAsia" w:eastAsiaTheme="majorEastAsia"/>
                <w:color w:val="auto"/>
                <w:kern w:val="0"/>
                <w:szCs w:val="21"/>
                <w:highlight w:val="none"/>
              </w:rPr>
            </w:pPr>
          </w:p>
        </w:tc>
        <w:tc>
          <w:tcPr>
            <w:tcW w:w="2269" w:type="dxa"/>
            <w:vAlign w:val="center"/>
          </w:tcPr>
          <w:p w14:paraId="224998DC">
            <w:pPr>
              <w:spacing w:line="440" w:lineRule="exact"/>
              <w:jc w:val="center"/>
              <w:rPr>
                <w:rFonts w:asciiTheme="majorEastAsia" w:hAnsiTheme="majorEastAsia" w:eastAsiaTheme="majorEastAsia"/>
                <w:color w:val="auto"/>
                <w:kern w:val="0"/>
                <w:szCs w:val="21"/>
                <w:highlight w:val="none"/>
              </w:rPr>
            </w:pPr>
          </w:p>
        </w:tc>
        <w:tc>
          <w:tcPr>
            <w:tcW w:w="2371" w:type="dxa"/>
            <w:vAlign w:val="center"/>
          </w:tcPr>
          <w:p w14:paraId="77D2C74C">
            <w:pPr>
              <w:spacing w:line="440" w:lineRule="exact"/>
              <w:jc w:val="center"/>
              <w:rPr>
                <w:rFonts w:asciiTheme="majorEastAsia" w:hAnsiTheme="majorEastAsia" w:eastAsiaTheme="majorEastAsia"/>
                <w:color w:val="auto"/>
                <w:kern w:val="0"/>
                <w:szCs w:val="21"/>
                <w:highlight w:val="none"/>
              </w:rPr>
            </w:pPr>
          </w:p>
        </w:tc>
      </w:tr>
      <w:tr w14:paraId="4E5A61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939" w:type="dxa"/>
            <w:vAlign w:val="center"/>
          </w:tcPr>
          <w:p w14:paraId="2FD1F41E">
            <w:pPr>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2</w:t>
            </w:r>
          </w:p>
        </w:tc>
        <w:tc>
          <w:tcPr>
            <w:tcW w:w="1167" w:type="dxa"/>
            <w:vAlign w:val="center"/>
          </w:tcPr>
          <w:p w14:paraId="2276C77D">
            <w:pPr>
              <w:spacing w:line="440" w:lineRule="exact"/>
              <w:rPr>
                <w:rFonts w:asciiTheme="majorEastAsia" w:hAnsiTheme="majorEastAsia" w:eastAsiaTheme="majorEastAsia"/>
                <w:color w:val="auto"/>
                <w:kern w:val="0"/>
                <w:szCs w:val="21"/>
                <w:highlight w:val="none"/>
              </w:rPr>
            </w:pPr>
          </w:p>
        </w:tc>
        <w:tc>
          <w:tcPr>
            <w:tcW w:w="1637" w:type="dxa"/>
            <w:vAlign w:val="center"/>
          </w:tcPr>
          <w:p w14:paraId="3C8F593E">
            <w:pPr>
              <w:spacing w:line="440" w:lineRule="exact"/>
              <w:jc w:val="center"/>
              <w:rPr>
                <w:rFonts w:asciiTheme="majorEastAsia" w:hAnsiTheme="majorEastAsia" w:eastAsiaTheme="majorEastAsia"/>
                <w:color w:val="auto"/>
                <w:kern w:val="0"/>
                <w:szCs w:val="21"/>
                <w:highlight w:val="none"/>
              </w:rPr>
            </w:pPr>
          </w:p>
        </w:tc>
        <w:tc>
          <w:tcPr>
            <w:tcW w:w="971" w:type="dxa"/>
            <w:vAlign w:val="center"/>
          </w:tcPr>
          <w:p w14:paraId="1281E08A">
            <w:pPr>
              <w:spacing w:line="440" w:lineRule="exact"/>
              <w:jc w:val="center"/>
              <w:rPr>
                <w:rFonts w:asciiTheme="majorEastAsia" w:hAnsiTheme="majorEastAsia" w:eastAsiaTheme="majorEastAsia"/>
                <w:color w:val="auto"/>
                <w:kern w:val="0"/>
                <w:szCs w:val="21"/>
                <w:highlight w:val="none"/>
              </w:rPr>
            </w:pPr>
          </w:p>
        </w:tc>
        <w:tc>
          <w:tcPr>
            <w:tcW w:w="2269" w:type="dxa"/>
            <w:vAlign w:val="center"/>
          </w:tcPr>
          <w:p w14:paraId="531DCE56">
            <w:pPr>
              <w:spacing w:line="440" w:lineRule="exact"/>
              <w:jc w:val="center"/>
              <w:rPr>
                <w:rFonts w:asciiTheme="majorEastAsia" w:hAnsiTheme="majorEastAsia" w:eastAsiaTheme="majorEastAsia"/>
                <w:color w:val="auto"/>
                <w:kern w:val="0"/>
                <w:szCs w:val="21"/>
                <w:highlight w:val="none"/>
              </w:rPr>
            </w:pPr>
          </w:p>
        </w:tc>
        <w:tc>
          <w:tcPr>
            <w:tcW w:w="2371" w:type="dxa"/>
            <w:vAlign w:val="center"/>
          </w:tcPr>
          <w:p w14:paraId="146E93BF">
            <w:pPr>
              <w:spacing w:line="440" w:lineRule="exact"/>
              <w:jc w:val="center"/>
              <w:rPr>
                <w:rFonts w:asciiTheme="majorEastAsia" w:hAnsiTheme="majorEastAsia" w:eastAsiaTheme="majorEastAsia"/>
                <w:color w:val="auto"/>
                <w:kern w:val="0"/>
                <w:szCs w:val="21"/>
                <w:highlight w:val="none"/>
              </w:rPr>
            </w:pPr>
          </w:p>
        </w:tc>
      </w:tr>
      <w:tr w14:paraId="2A57EA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939" w:type="dxa"/>
            <w:vAlign w:val="center"/>
          </w:tcPr>
          <w:p w14:paraId="479B964C">
            <w:pPr>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3</w:t>
            </w:r>
          </w:p>
        </w:tc>
        <w:tc>
          <w:tcPr>
            <w:tcW w:w="1167" w:type="dxa"/>
            <w:vAlign w:val="center"/>
          </w:tcPr>
          <w:p w14:paraId="19CEECB6">
            <w:pPr>
              <w:spacing w:line="440" w:lineRule="exact"/>
              <w:rPr>
                <w:rFonts w:asciiTheme="majorEastAsia" w:hAnsiTheme="majorEastAsia" w:eastAsiaTheme="majorEastAsia"/>
                <w:color w:val="auto"/>
                <w:kern w:val="0"/>
                <w:szCs w:val="21"/>
                <w:highlight w:val="none"/>
              </w:rPr>
            </w:pPr>
          </w:p>
        </w:tc>
        <w:tc>
          <w:tcPr>
            <w:tcW w:w="1637" w:type="dxa"/>
            <w:vAlign w:val="center"/>
          </w:tcPr>
          <w:p w14:paraId="6AD715DA">
            <w:pPr>
              <w:spacing w:line="440" w:lineRule="exact"/>
              <w:jc w:val="center"/>
              <w:rPr>
                <w:rFonts w:asciiTheme="majorEastAsia" w:hAnsiTheme="majorEastAsia" w:eastAsiaTheme="majorEastAsia"/>
                <w:color w:val="auto"/>
                <w:kern w:val="0"/>
                <w:szCs w:val="21"/>
                <w:highlight w:val="none"/>
              </w:rPr>
            </w:pPr>
          </w:p>
        </w:tc>
        <w:tc>
          <w:tcPr>
            <w:tcW w:w="971" w:type="dxa"/>
            <w:vAlign w:val="center"/>
          </w:tcPr>
          <w:p w14:paraId="4D980662">
            <w:pPr>
              <w:spacing w:line="440" w:lineRule="exact"/>
              <w:jc w:val="center"/>
              <w:rPr>
                <w:rFonts w:asciiTheme="majorEastAsia" w:hAnsiTheme="majorEastAsia" w:eastAsiaTheme="majorEastAsia"/>
                <w:color w:val="auto"/>
                <w:kern w:val="0"/>
                <w:szCs w:val="21"/>
                <w:highlight w:val="none"/>
              </w:rPr>
            </w:pPr>
          </w:p>
        </w:tc>
        <w:tc>
          <w:tcPr>
            <w:tcW w:w="2269" w:type="dxa"/>
            <w:vAlign w:val="center"/>
          </w:tcPr>
          <w:p w14:paraId="405159F5">
            <w:pPr>
              <w:spacing w:line="440" w:lineRule="exact"/>
              <w:jc w:val="center"/>
              <w:rPr>
                <w:rFonts w:asciiTheme="majorEastAsia" w:hAnsiTheme="majorEastAsia" w:eastAsiaTheme="majorEastAsia"/>
                <w:color w:val="auto"/>
                <w:kern w:val="0"/>
                <w:szCs w:val="21"/>
                <w:highlight w:val="none"/>
              </w:rPr>
            </w:pPr>
          </w:p>
        </w:tc>
        <w:tc>
          <w:tcPr>
            <w:tcW w:w="2371" w:type="dxa"/>
            <w:vAlign w:val="center"/>
          </w:tcPr>
          <w:p w14:paraId="4123466A">
            <w:pPr>
              <w:spacing w:line="440" w:lineRule="exact"/>
              <w:jc w:val="center"/>
              <w:rPr>
                <w:rFonts w:asciiTheme="majorEastAsia" w:hAnsiTheme="majorEastAsia" w:eastAsiaTheme="majorEastAsia"/>
                <w:color w:val="auto"/>
                <w:kern w:val="0"/>
                <w:szCs w:val="21"/>
                <w:highlight w:val="none"/>
              </w:rPr>
            </w:pPr>
          </w:p>
        </w:tc>
      </w:tr>
      <w:tr w14:paraId="54854B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939" w:type="dxa"/>
            <w:vAlign w:val="center"/>
          </w:tcPr>
          <w:p w14:paraId="7B41265D">
            <w:pPr>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4</w:t>
            </w:r>
          </w:p>
        </w:tc>
        <w:tc>
          <w:tcPr>
            <w:tcW w:w="1167" w:type="dxa"/>
            <w:vAlign w:val="center"/>
          </w:tcPr>
          <w:p w14:paraId="4CBFF940">
            <w:pPr>
              <w:spacing w:line="440" w:lineRule="exact"/>
              <w:rPr>
                <w:rFonts w:asciiTheme="majorEastAsia" w:hAnsiTheme="majorEastAsia" w:eastAsiaTheme="majorEastAsia"/>
                <w:color w:val="auto"/>
                <w:kern w:val="0"/>
                <w:szCs w:val="21"/>
                <w:highlight w:val="none"/>
              </w:rPr>
            </w:pPr>
          </w:p>
        </w:tc>
        <w:tc>
          <w:tcPr>
            <w:tcW w:w="1637" w:type="dxa"/>
            <w:vAlign w:val="center"/>
          </w:tcPr>
          <w:p w14:paraId="58808A57">
            <w:pPr>
              <w:spacing w:line="440" w:lineRule="exact"/>
              <w:jc w:val="center"/>
              <w:rPr>
                <w:rFonts w:asciiTheme="majorEastAsia" w:hAnsiTheme="majorEastAsia" w:eastAsiaTheme="majorEastAsia"/>
                <w:color w:val="auto"/>
                <w:kern w:val="0"/>
                <w:szCs w:val="21"/>
                <w:highlight w:val="none"/>
              </w:rPr>
            </w:pPr>
          </w:p>
        </w:tc>
        <w:tc>
          <w:tcPr>
            <w:tcW w:w="971" w:type="dxa"/>
            <w:vAlign w:val="center"/>
          </w:tcPr>
          <w:p w14:paraId="3C53306E">
            <w:pPr>
              <w:spacing w:line="440" w:lineRule="exact"/>
              <w:jc w:val="center"/>
              <w:rPr>
                <w:rFonts w:asciiTheme="majorEastAsia" w:hAnsiTheme="majorEastAsia" w:eastAsiaTheme="majorEastAsia"/>
                <w:color w:val="auto"/>
                <w:kern w:val="0"/>
                <w:szCs w:val="21"/>
                <w:highlight w:val="none"/>
              </w:rPr>
            </w:pPr>
          </w:p>
        </w:tc>
        <w:tc>
          <w:tcPr>
            <w:tcW w:w="2269" w:type="dxa"/>
            <w:vAlign w:val="center"/>
          </w:tcPr>
          <w:p w14:paraId="40A6C6A8">
            <w:pPr>
              <w:spacing w:line="440" w:lineRule="exact"/>
              <w:jc w:val="center"/>
              <w:rPr>
                <w:rFonts w:asciiTheme="majorEastAsia" w:hAnsiTheme="majorEastAsia" w:eastAsiaTheme="majorEastAsia"/>
                <w:color w:val="auto"/>
                <w:kern w:val="0"/>
                <w:szCs w:val="21"/>
                <w:highlight w:val="none"/>
              </w:rPr>
            </w:pPr>
          </w:p>
        </w:tc>
        <w:tc>
          <w:tcPr>
            <w:tcW w:w="2371" w:type="dxa"/>
            <w:vAlign w:val="center"/>
          </w:tcPr>
          <w:p w14:paraId="1301B293">
            <w:pPr>
              <w:spacing w:line="440" w:lineRule="exact"/>
              <w:jc w:val="center"/>
              <w:rPr>
                <w:rFonts w:asciiTheme="majorEastAsia" w:hAnsiTheme="majorEastAsia" w:eastAsiaTheme="majorEastAsia"/>
                <w:color w:val="auto"/>
                <w:kern w:val="0"/>
                <w:szCs w:val="21"/>
                <w:highlight w:val="none"/>
              </w:rPr>
            </w:pPr>
          </w:p>
        </w:tc>
      </w:tr>
      <w:tr w14:paraId="66B5DD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939" w:type="dxa"/>
            <w:vAlign w:val="center"/>
          </w:tcPr>
          <w:p w14:paraId="71E3D860">
            <w:pPr>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5</w:t>
            </w:r>
          </w:p>
        </w:tc>
        <w:tc>
          <w:tcPr>
            <w:tcW w:w="1167" w:type="dxa"/>
            <w:vAlign w:val="center"/>
          </w:tcPr>
          <w:p w14:paraId="15BE6768">
            <w:pPr>
              <w:spacing w:line="440" w:lineRule="exact"/>
              <w:rPr>
                <w:rFonts w:asciiTheme="majorEastAsia" w:hAnsiTheme="majorEastAsia" w:eastAsiaTheme="majorEastAsia"/>
                <w:color w:val="auto"/>
                <w:kern w:val="0"/>
                <w:szCs w:val="21"/>
                <w:highlight w:val="none"/>
              </w:rPr>
            </w:pPr>
          </w:p>
        </w:tc>
        <w:tc>
          <w:tcPr>
            <w:tcW w:w="1637" w:type="dxa"/>
            <w:vAlign w:val="center"/>
          </w:tcPr>
          <w:p w14:paraId="4EC0FC87">
            <w:pPr>
              <w:spacing w:line="440" w:lineRule="exact"/>
              <w:jc w:val="center"/>
              <w:rPr>
                <w:rFonts w:asciiTheme="majorEastAsia" w:hAnsiTheme="majorEastAsia" w:eastAsiaTheme="majorEastAsia"/>
                <w:color w:val="auto"/>
                <w:kern w:val="0"/>
                <w:szCs w:val="21"/>
                <w:highlight w:val="none"/>
              </w:rPr>
            </w:pPr>
          </w:p>
        </w:tc>
        <w:tc>
          <w:tcPr>
            <w:tcW w:w="971" w:type="dxa"/>
            <w:vAlign w:val="center"/>
          </w:tcPr>
          <w:p w14:paraId="6A9EC848">
            <w:pPr>
              <w:spacing w:line="440" w:lineRule="exact"/>
              <w:jc w:val="center"/>
              <w:rPr>
                <w:rFonts w:asciiTheme="majorEastAsia" w:hAnsiTheme="majorEastAsia" w:eastAsiaTheme="majorEastAsia"/>
                <w:color w:val="auto"/>
                <w:kern w:val="0"/>
                <w:szCs w:val="21"/>
                <w:highlight w:val="none"/>
              </w:rPr>
            </w:pPr>
          </w:p>
        </w:tc>
        <w:tc>
          <w:tcPr>
            <w:tcW w:w="2269" w:type="dxa"/>
            <w:vAlign w:val="center"/>
          </w:tcPr>
          <w:p w14:paraId="02F4131F">
            <w:pPr>
              <w:spacing w:line="440" w:lineRule="exact"/>
              <w:jc w:val="center"/>
              <w:rPr>
                <w:rFonts w:asciiTheme="majorEastAsia" w:hAnsiTheme="majorEastAsia" w:eastAsiaTheme="majorEastAsia"/>
                <w:color w:val="auto"/>
                <w:kern w:val="0"/>
                <w:szCs w:val="21"/>
                <w:highlight w:val="none"/>
              </w:rPr>
            </w:pPr>
          </w:p>
        </w:tc>
        <w:tc>
          <w:tcPr>
            <w:tcW w:w="2371" w:type="dxa"/>
            <w:vAlign w:val="center"/>
          </w:tcPr>
          <w:p w14:paraId="357886AF">
            <w:pPr>
              <w:spacing w:line="440" w:lineRule="exact"/>
              <w:jc w:val="center"/>
              <w:rPr>
                <w:rFonts w:asciiTheme="majorEastAsia" w:hAnsiTheme="majorEastAsia" w:eastAsiaTheme="majorEastAsia"/>
                <w:color w:val="auto"/>
                <w:kern w:val="0"/>
                <w:szCs w:val="21"/>
                <w:highlight w:val="none"/>
              </w:rPr>
            </w:pPr>
          </w:p>
        </w:tc>
      </w:tr>
      <w:tr w14:paraId="40C65B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939" w:type="dxa"/>
            <w:vAlign w:val="center"/>
          </w:tcPr>
          <w:p w14:paraId="06EA9F41">
            <w:pPr>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6</w:t>
            </w:r>
          </w:p>
        </w:tc>
        <w:tc>
          <w:tcPr>
            <w:tcW w:w="1167" w:type="dxa"/>
            <w:vAlign w:val="center"/>
          </w:tcPr>
          <w:p w14:paraId="587AA553">
            <w:pPr>
              <w:spacing w:line="440" w:lineRule="exact"/>
              <w:rPr>
                <w:rFonts w:asciiTheme="majorEastAsia" w:hAnsiTheme="majorEastAsia" w:eastAsiaTheme="majorEastAsia"/>
                <w:color w:val="auto"/>
                <w:kern w:val="0"/>
                <w:szCs w:val="21"/>
                <w:highlight w:val="none"/>
              </w:rPr>
            </w:pPr>
          </w:p>
        </w:tc>
        <w:tc>
          <w:tcPr>
            <w:tcW w:w="1637" w:type="dxa"/>
            <w:vAlign w:val="center"/>
          </w:tcPr>
          <w:p w14:paraId="5865C910">
            <w:pPr>
              <w:spacing w:line="440" w:lineRule="exact"/>
              <w:jc w:val="center"/>
              <w:rPr>
                <w:rFonts w:asciiTheme="majorEastAsia" w:hAnsiTheme="majorEastAsia" w:eastAsiaTheme="majorEastAsia"/>
                <w:color w:val="auto"/>
                <w:kern w:val="0"/>
                <w:szCs w:val="21"/>
                <w:highlight w:val="none"/>
              </w:rPr>
            </w:pPr>
          </w:p>
        </w:tc>
        <w:tc>
          <w:tcPr>
            <w:tcW w:w="971" w:type="dxa"/>
            <w:vAlign w:val="center"/>
          </w:tcPr>
          <w:p w14:paraId="39A173E1">
            <w:pPr>
              <w:spacing w:line="440" w:lineRule="exact"/>
              <w:jc w:val="center"/>
              <w:rPr>
                <w:rFonts w:asciiTheme="majorEastAsia" w:hAnsiTheme="majorEastAsia" w:eastAsiaTheme="majorEastAsia"/>
                <w:color w:val="auto"/>
                <w:kern w:val="0"/>
                <w:szCs w:val="21"/>
                <w:highlight w:val="none"/>
              </w:rPr>
            </w:pPr>
          </w:p>
        </w:tc>
        <w:tc>
          <w:tcPr>
            <w:tcW w:w="2269" w:type="dxa"/>
            <w:vAlign w:val="center"/>
          </w:tcPr>
          <w:p w14:paraId="728C9C51">
            <w:pPr>
              <w:spacing w:line="440" w:lineRule="exact"/>
              <w:jc w:val="center"/>
              <w:rPr>
                <w:rFonts w:asciiTheme="majorEastAsia" w:hAnsiTheme="majorEastAsia" w:eastAsiaTheme="majorEastAsia"/>
                <w:color w:val="auto"/>
                <w:kern w:val="0"/>
                <w:szCs w:val="21"/>
                <w:highlight w:val="none"/>
              </w:rPr>
            </w:pPr>
          </w:p>
        </w:tc>
        <w:tc>
          <w:tcPr>
            <w:tcW w:w="2371" w:type="dxa"/>
            <w:vAlign w:val="center"/>
          </w:tcPr>
          <w:p w14:paraId="35A43C76">
            <w:pPr>
              <w:spacing w:line="440" w:lineRule="exact"/>
              <w:jc w:val="center"/>
              <w:rPr>
                <w:rFonts w:asciiTheme="majorEastAsia" w:hAnsiTheme="majorEastAsia" w:eastAsiaTheme="majorEastAsia"/>
                <w:color w:val="auto"/>
                <w:kern w:val="0"/>
                <w:szCs w:val="21"/>
                <w:highlight w:val="none"/>
              </w:rPr>
            </w:pPr>
          </w:p>
        </w:tc>
      </w:tr>
      <w:tr w14:paraId="260B51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939" w:type="dxa"/>
            <w:vAlign w:val="center"/>
          </w:tcPr>
          <w:p w14:paraId="7FFFB5E2">
            <w:pPr>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7</w:t>
            </w:r>
          </w:p>
        </w:tc>
        <w:tc>
          <w:tcPr>
            <w:tcW w:w="1167" w:type="dxa"/>
            <w:vAlign w:val="center"/>
          </w:tcPr>
          <w:p w14:paraId="0BAD3D2E">
            <w:pPr>
              <w:spacing w:line="440" w:lineRule="exact"/>
              <w:rPr>
                <w:rFonts w:asciiTheme="majorEastAsia" w:hAnsiTheme="majorEastAsia" w:eastAsiaTheme="majorEastAsia"/>
                <w:color w:val="auto"/>
                <w:kern w:val="0"/>
                <w:szCs w:val="21"/>
                <w:highlight w:val="none"/>
              </w:rPr>
            </w:pPr>
          </w:p>
        </w:tc>
        <w:tc>
          <w:tcPr>
            <w:tcW w:w="1637" w:type="dxa"/>
            <w:vAlign w:val="center"/>
          </w:tcPr>
          <w:p w14:paraId="30532A52">
            <w:pPr>
              <w:spacing w:line="440" w:lineRule="exact"/>
              <w:jc w:val="center"/>
              <w:rPr>
                <w:rFonts w:asciiTheme="majorEastAsia" w:hAnsiTheme="majorEastAsia" w:eastAsiaTheme="majorEastAsia"/>
                <w:color w:val="auto"/>
                <w:kern w:val="0"/>
                <w:szCs w:val="21"/>
                <w:highlight w:val="none"/>
              </w:rPr>
            </w:pPr>
          </w:p>
        </w:tc>
        <w:tc>
          <w:tcPr>
            <w:tcW w:w="971" w:type="dxa"/>
            <w:vAlign w:val="center"/>
          </w:tcPr>
          <w:p w14:paraId="3D94011A">
            <w:pPr>
              <w:spacing w:line="440" w:lineRule="exact"/>
              <w:jc w:val="center"/>
              <w:rPr>
                <w:rFonts w:asciiTheme="majorEastAsia" w:hAnsiTheme="majorEastAsia" w:eastAsiaTheme="majorEastAsia"/>
                <w:color w:val="auto"/>
                <w:kern w:val="0"/>
                <w:szCs w:val="21"/>
                <w:highlight w:val="none"/>
              </w:rPr>
            </w:pPr>
          </w:p>
        </w:tc>
        <w:tc>
          <w:tcPr>
            <w:tcW w:w="2269" w:type="dxa"/>
            <w:vAlign w:val="center"/>
          </w:tcPr>
          <w:p w14:paraId="0F431516">
            <w:pPr>
              <w:spacing w:line="440" w:lineRule="exact"/>
              <w:jc w:val="center"/>
              <w:rPr>
                <w:rFonts w:asciiTheme="majorEastAsia" w:hAnsiTheme="majorEastAsia" w:eastAsiaTheme="majorEastAsia"/>
                <w:color w:val="auto"/>
                <w:kern w:val="0"/>
                <w:szCs w:val="21"/>
                <w:highlight w:val="none"/>
              </w:rPr>
            </w:pPr>
          </w:p>
        </w:tc>
        <w:tc>
          <w:tcPr>
            <w:tcW w:w="2371" w:type="dxa"/>
            <w:vAlign w:val="center"/>
          </w:tcPr>
          <w:p w14:paraId="6AC0E775">
            <w:pPr>
              <w:spacing w:line="440" w:lineRule="exact"/>
              <w:jc w:val="center"/>
              <w:rPr>
                <w:rFonts w:asciiTheme="majorEastAsia" w:hAnsiTheme="majorEastAsia" w:eastAsiaTheme="majorEastAsia"/>
                <w:color w:val="auto"/>
                <w:kern w:val="0"/>
                <w:szCs w:val="21"/>
                <w:highlight w:val="none"/>
              </w:rPr>
            </w:pPr>
          </w:p>
        </w:tc>
      </w:tr>
      <w:tr w14:paraId="07BEE0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939" w:type="dxa"/>
            <w:vAlign w:val="center"/>
          </w:tcPr>
          <w:p w14:paraId="01A86222">
            <w:pPr>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8</w:t>
            </w:r>
          </w:p>
        </w:tc>
        <w:tc>
          <w:tcPr>
            <w:tcW w:w="1167" w:type="dxa"/>
            <w:vAlign w:val="center"/>
          </w:tcPr>
          <w:p w14:paraId="33824CD5">
            <w:pPr>
              <w:spacing w:line="440" w:lineRule="exact"/>
              <w:rPr>
                <w:rFonts w:asciiTheme="majorEastAsia" w:hAnsiTheme="majorEastAsia" w:eastAsiaTheme="majorEastAsia"/>
                <w:color w:val="auto"/>
                <w:kern w:val="0"/>
                <w:szCs w:val="21"/>
                <w:highlight w:val="none"/>
              </w:rPr>
            </w:pPr>
          </w:p>
        </w:tc>
        <w:tc>
          <w:tcPr>
            <w:tcW w:w="1637" w:type="dxa"/>
            <w:vAlign w:val="center"/>
          </w:tcPr>
          <w:p w14:paraId="44E367F1">
            <w:pPr>
              <w:spacing w:line="440" w:lineRule="exact"/>
              <w:jc w:val="center"/>
              <w:rPr>
                <w:rFonts w:asciiTheme="majorEastAsia" w:hAnsiTheme="majorEastAsia" w:eastAsiaTheme="majorEastAsia"/>
                <w:color w:val="auto"/>
                <w:kern w:val="0"/>
                <w:szCs w:val="21"/>
                <w:highlight w:val="none"/>
              </w:rPr>
            </w:pPr>
          </w:p>
        </w:tc>
        <w:tc>
          <w:tcPr>
            <w:tcW w:w="971" w:type="dxa"/>
            <w:vAlign w:val="center"/>
          </w:tcPr>
          <w:p w14:paraId="7116A01C">
            <w:pPr>
              <w:spacing w:line="440" w:lineRule="exact"/>
              <w:jc w:val="center"/>
              <w:rPr>
                <w:rFonts w:asciiTheme="majorEastAsia" w:hAnsiTheme="majorEastAsia" w:eastAsiaTheme="majorEastAsia"/>
                <w:color w:val="auto"/>
                <w:kern w:val="0"/>
                <w:szCs w:val="21"/>
                <w:highlight w:val="none"/>
              </w:rPr>
            </w:pPr>
          </w:p>
        </w:tc>
        <w:tc>
          <w:tcPr>
            <w:tcW w:w="2269" w:type="dxa"/>
            <w:vAlign w:val="center"/>
          </w:tcPr>
          <w:p w14:paraId="25B8772A">
            <w:pPr>
              <w:spacing w:line="440" w:lineRule="exact"/>
              <w:jc w:val="center"/>
              <w:rPr>
                <w:rFonts w:asciiTheme="majorEastAsia" w:hAnsiTheme="majorEastAsia" w:eastAsiaTheme="majorEastAsia"/>
                <w:color w:val="auto"/>
                <w:kern w:val="0"/>
                <w:szCs w:val="21"/>
                <w:highlight w:val="none"/>
              </w:rPr>
            </w:pPr>
          </w:p>
        </w:tc>
        <w:tc>
          <w:tcPr>
            <w:tcW w:w="2371" w:type="dxa"/>
            <w:vAlign w:val="center"/>
          </w:tcPr>
          <w:p w14:paraId="212DE66E">
            <w:pPr>
              <w:spacing w:line="440" w:lineRule="exact"/>
              <w:jc w:val="center"/>
              <w:rPr>
                <w:rFonts w:asciiTheme="majorEastAsia" w:hAnsiTheme="majorEastAsia" w:eastAsiaTheme="majorEastAsia"/>
                <w:color w:val="auto"/>
                <w:kern w:val="0"/>
                <w:szCs w:val="21"/>
                <w:highlight w:val="none"/>
              </w:rPr>
            </w:pPr>
          </w:p>
        </w:tc>
      </w:tr>
      <w:tr w14:paraId="0FCB75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939" w:type="dxa"/>
            <w:vAlign w:val="center"/>
          </w:tcPr>
          <w:p w14:paraId="19C5521A">
            <w:pPr>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9</w:t>
            </w:r>
          </w:p>
        </w:tc>
        <w:tc>
          <w:tcPr>
            <w:tcW w:w="1167" w:type="dxa"/>
            <w:vAlign w:val="center"/>
          </w:tcPr>
          <w:p w14:paraId="5D650E4B">
            <w:pPr>
              <w:spacing w:line="440" w:lineRule="exact"/>
              <w:rPr>
                <w:rFonts w:asciiTheme="majorEastAsia" w:hAnsiTheme="majorEastAsia" w:eastAsiaTheme="majorEastAsia"/>
                <w:color w:val="auto"/>
                <w:kern w:val="0"/>
                <w:szCs w:val="21"/>
                <w:highlight w:val="none"/>
              </w:rPr>
            </w:pPr>
          </w:p>
        </w:tc>
        <w:tc>
          <w:tcPr>
            <w:tcW w:w="1637" w:type="dxa"/>
            <w:vAlign w:val="center"/>
          </w:tcPr>
          <w:p w14:paraId="44A00F5C">
            <w:pPr>
              <w:spacing w:line="440" w:lineRule="exact"/>
              <w:jc w:val="center"/>
              <w:rPr>
                <w:rFonts w:asciiTheme="majorEastAsia" w:hAnsiTheme="majorEastAsia" w:eastAsiaTheme="majorEastAsia"/>
                <w:color w:val="auto"/>
                <w:kern w:val="0"/>
                <w:szCs w:val="21"/>
                <w:highlight w:val="none"/>
              </w:rPr>
            </w:pPr>
          </w:p>
        </w:tc>
        <w:tc>
          <w:tcPr>
            <w:tcW w:w="971" w:type="dxa"/>
            <w:vAlign w:val="center"/>
          </w:tcPr>
          <w:p w14:paraId="6A477741">
            <w:pPr>
              <w:spacing w:line="440" w:lineRule="exact"/>
              <w:jc w:val="center"/>
              <w:rPr>
                <w:rFonts w:asciiTheme="majorEastAsia" w:hAnsiTheme="majorEastAsia" w:eastAsiaTheme="majorEastAsia"/>
                <w:color w:val="auto"/>
                <w:kern w:val="0"/>
                <w:szCs w:val="21"/>
                <w:highlight w:val="none"/>
              </w:rPr>
            </w:pPr>
          </w:p>
        </w:tc>
        <w:tc>
          <w:tcPr>
            <w:tcW w:w="2269" w:type="dxa"/>
            <w:vAlign w:val="center"/>
          </w:tcPr>
          <w:p w14:paraId="06B849C8">
            <w:pPr>
              <w:spacing w:line="440" w:lineRule="exact"/>
              <w:jc w:val="center"/>
              <w:rPr>
                <w:rFonts w:asciiTheme="majorEastAsia" w:hAnsiTheme="majorEastAsia" w:eastAsiaTheme="majorEastAsia"/>
                <w:color w:val="auto"/>
                <w:kern w:val="0"/>
                <w:szCs w:val="21"/>
                <w:highlight w:val="none"/>
              </w:rPr>
            </w:pPr>
          </w:p>
        </w:tc>
        <w:tc>
          <w:tcPr>
            <w:tcW w:w="2371" w:type="dxa"/>
            <w:vAlign w:val="center"/>
          </w:tcPr>
          <w:p w14:paraId="210AD0D2">
            <w:pPr>
              <w:spacing w:line="440" w:lineRule="exact"/>
              <w:jc w:val="center"/>
              <w:rPr>
                <w:rFonts w:asciiTheme="majorEastAsia" w:hAnsiTheme="majorEastAsia" w:eastAsiaTheme="majorEastAsia"/>
                <w:color w:val="auto"/>
                <w:kern w:val="0"/>
                <w:szCs w:val="21"/>
                <w:highlight w:val="none"/>
              </w:rPr>
            </w:pPr>
          </w:p>
        </w:tc>
      </w:tr>
      <w:tr w14:paraId="1E1D96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939" w:type="dxa"/>
            <w:vAlign w:val="center"/>
          </w:tcPr>
          <w:p w14:paraId="132202F9">
            <w:pPr>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10</w:t>
            </w:r>
          </w:p>
        </w:tc>
        <w:tc>
          <w:tcPr>
            <w:tcW w:w="1167" w:type="dxa"/>
            <w:vAlign w:val="center"/>
          </w:tcPr>
          <w:p w14:paraId="48274F14">
            <w:pPr>
              <w:spacing w:line="440" w:lineRule="exact"/>
              <w:rPr>
                <w:rFonts w:asciiTheme="majorEastAsia" w:hAnsiTheme="majorEastAsia" w:eastAsiaTheme="majorEastAsia"/>
                <w:color w:val="auto"/>
                <w:kern w:val="0"/>
                <w:szCs w:val="21"/>
                <w:highlight w:val="none"/>
              </w:rPr>
            </w:pPr>
          </w:p>
        </w:tc>
        <w:tc>
          <w:tcPr>
            <w:tcW w:w="1637" w:type="dxa"/>
            <w:vAlign w:val="center"/>
          </w:tcPr>
          <w:p w14:paraId="5015D4AC">
            <w:pPr>
              <w:spacing w:line="440" w:lineRule="exact"/>
              <w:jc w:val="center"/>
              <w:rPr>
                <w:rFonts w:asciiTheme="majorEastAsia" w:hAnsiTheme="majorEastAsia" w:eastAsiaTheme="majorEastAsia"/>
                <w:color w:val="auto"/>
                <w:kern w:val="0"/>
                <w:szCs w:val="21"/>
                <w:highlight w:val="none"/>
              </w:rPr>
            </w:pPr>
          </w:p>
        </w:tc>
        <w:tc>
          <w:tcPr>
            <w:tcW w:w="971" w:type="dxa"/>
            <w:vAlign w:val="center"/>
          </w:tcPr>
          <w:p w14:paraId="0CAA739A">
            <w:pPr>
              <w:spacing w:line="440" w:lineRule="exact"/>
              <w:jc w:val="center"/>
              <w:rPr>
                <w:rFonts w:asciiTheme="majorEastAsia" w:hAnsiTheme="majorEastAsia" w:eastAsiaTheme="majorEastAsia"/>
                <w:color w:val="auto"/>
                <w:kern w:val="0"/>
                <w:szCs w:val="21"/>
                <w:highlight w:val="none"/>
              </w:rPr>
            </w:pPr>
          </w:p>
        </w:tc>
        <w:tc>
          <w:tcPr>
            <w:tcW w:w="2269" w:type="dxa"/>
            <w:vAlign w:val="center"/>
          </w:tcPr>
          <w:p w14:paraId="2536407A">
            <w:pPr>
              <w:spacing w:line="440" w:lineRule="exact"/>
              <w:jc w:val="center"/>
              <w:rPr>
                <w:rFonts w:asciiTheme="majorEastAsia" w:hAnsiTheme="majorEastAsia" w:eastAsiaTheme="majorEastAsia"/>
                <w:color w:val="auto"/>
                <w:kern w:val="0"/>
                <w:szCs w:val="21"/>
                <w:highlight w:val="none"/>
              </w:rPr>
            </w:pPr>
          </w:p>
        </w:tc>
        <w:tc>
          <w:tcPr>
            <w:tcW w:w="2371" w:type="dxa"/>
            <w:vAlign w:val="center"/>
          </w:tcPr>
          <w:p w14:paraId="2F066146">
            <w:pPr>
              <w:spacing w:line="440" w:lineRule="exact"/>
              <w:jc w:val="center"/>
              <w:rPr>
                <w:rFonts w:asciiTheme="majorEastAsia" w:hAnsiTheme="majorEastAsia" w:eastAsiaTheme="majorEastAsia"/>
                <w:color w:val="auto"/>
                <w:kern w:val="0"/>
                <w:szCs w:val="21"/>
                <w:highlight w:val="none"/>
              </w:rPr>
            </w:pPr>
          </w:p>
        </w:tc>
      </w:tr>
      <w:tr w14:paraId="3A356F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939" w:type="dxa"/>
            <w:vAlign w:val="center"/>
          </w:tcPr>
          <w:p w14:paraId="5355C5B9">
            <w:pPr>
              <w:spacing w:line="440" w:lineRule="exact"/>
              <w:jc w:val="center"/>
              <w:rPr>
                <w:rFonts w:asciiTheme="majorEastAsia" w:hAnsiTheme="majorEastAsia" w:eastAsiaTheme="majorEastAsia"/>
                <w:color w:val="auto"/>
                <w:kern w:val="0"/>
                <w:szCs w:val="21"/>
                <w:highlight w:val="none"/>
              </w:rPr>
            </w:pPr>
            <w:r>
              <w:rPr>
                <w:rFonts w:asciiTheme="majorEastAsia" w:hAnsiTheme="majorEastAsia" w:eastAsiaTheme="majorEastAsia"/>
                <w:color w:val="auto"/>
                <w:kern w:val="0"/>
                <w:szCs w:val="21"/>
                <w:highlight w:val="none"/>
              </w:rPr>
              <w:t>…</w:t>
            </w:r>
          </w:p>
        </w:tc>
        <w:tc>
          <w:tcPr>
            <w:tcW w:w="1167" w:type="dxa"/>
            <w:vAlign w:val="center"/>
          </w:tcPr>
          <w:p w14:paraId="00C46D1F">
            <w:pPr>
              <w:spacing w:line="440" w:lineRule="exact"/>
              <w:rPr>
                <w:rFonts w:asciiTheme="majorEastAsia" w:hAnsiTheme="majorEastAsia" w:eastAsiaTheme="majorEastAsia"/>
                <w:color w:val="auto"/>
                <w:kern w:val="0"/>
                <w:szCs w:val="21"/>
                <w:highlight w:val="none"/>
              </w:rPr>
            </w:pPr>
          </w:p>
        </w:tc>
        <w:tc>
          <w:tcPr>
            <w:tcW w:w="1637" w:type="dxa"/>
            <w:vAlign w:val="center"/>
          </w:tcPr>
          <w:p w14:paraId="0933EB02">
            <w:pPr>
              <w:spacing w:line="440" w:lineRule="exact"/>
              <w:jc w:val="center"/>
              <w:rPr>
                <w:rFonts w:asciiTheme="majorEastAsia" w:hAnsiTheme="majorEastAsia" w:eastAsiaTheme="majorEastAsia"/>
                <w:color w:val="auto"/>
                <w:kern w:val="0"/>
                <w:szCs w:val="21"/>
                <w:highlight w:val="none"/>
              </w:rPr>
            </w:pPr>
          </w:p>
        </w:tc>
        <w:tc>
          <w:tcPr>
            <w:tcW w:w="971" w:type="dxa"/>
            <w:vAlign w:val="center"/>
          </w:tcPr>
          <w:p w14:paraId="43EA4087">
            <w:pPr>
              <w:spacing w:line="440" w:lineRule="exact"/>
              <w:jc w:val="center"/>
              <w:rPr>
                <w:rFonts w:asciiTheme="majorEastAsia" w:hAnsiTheme="majorEastAsia" w:eastAsiaTheme="majorEastAsia"/>
                <w:color w:val="auto"/>
                <w:kern w:val="0"/>
                <w:szCs w:val="21"/>
                <w:highlight w:val="none"/>
              </w:rPr>
            </w:pPr>
          </w:p>
        </w:tc>
        <w:tc>
          <w:tcPr>
            <w:tcW w:w="2269" w:type="dxa"/>
            <w:vAlign w:val="center"/>
          </w:tcPr>
          <w:p w14:paraId="31DBB766">
            <w:pPr>
              <w:spacing w:line="440" w:lineRule="exact"/>
              <w:jc w:val="center"/>
              <w:rPr>
                <w:rFonts w:asciiTheme="majorEastAsia" w:hAnsiTheme="majorEastAsia" w:eastAsiaTheme="majorEastAsia"/>
                <w:color w:val="auto"/>
                <w:kern w:val="0"/>
                <w:szCs w:val="21"/>
                <w:highlight w:val="none"/>
              </w:rPr>
            </w:pPr>
          </w:p>
        </w:tc>
        <w:tc>
          <w:tcPr>
            <w:tcW w:w="2371" w:type="dxa"/>
            <w:vAlign w:val="center"/>
          </w:tcPr>
          <w:p w14:paraId="4A032D50">
            <w:pPr>
              <w:spacing w:line="440" w:lineRule="exact"/>
              <w:jc w:val="center"/>
              <w:rPr>
                <w:rFonts w:asciiTheme="majorEastAsia" w:hAnsiTheme="majorEastAsia" w:eastAsiaTheme="majorEastAsia"/>
                <w:color w:val="auto"/>
                <w:kern w:val="0"/>
                <w:szCs w:val="21"/>
                <w:highlight w:val="none"/>
              </w:rPr>
            </w:pPr>
          </w:p>
        </w:tc>
      </w:tr>
    </w:tbl>
    <w:p w14:paraId="30E0769B">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注：上表中注明项目</w:t>
      </w:r>
      <w:r>
        <w:rPr>
          <w:rFonts w:hint="eastAsia" w:asciiTheme="majorEastAsia" w:hAnsiTheme="majorEastAsia" w:eastAsiaTheme="majorEastAsia"/>
          <w:color w:val="auto"/>
          <w:szCs w:val="21"/>
          <w:highlight w:val="none"/>
        </w:rPr>
        <w:t>负责人</w:t>
      </w:r>
      <w:r>
        <w:rPr>
          <w:rFonts w:asciiTheme="majorEastAsia" w:hAnsiTheme="majorEastAsia" w:eastAsiaTheme="majorEastAsia"/>
          <w:color w:val="auto"/>
          <w:szCs w:val="21"/>
          <w:highlight w:val="none"/>
        </w:rPr>
        <w:t>；后附资料根据评分标准及磋商文件要求提供。</w:t>
      </w:r>
    </w:p>
    <w:p w14:paraId="3B465996">
      <w:pPr>
        <w:spacing w:line="440" w:lineRule="exact"/>
        <w:rPr>
          <w:rFonts w:asciiTheme="majorEastAsia" w:hAnsiTheme="majorEastAsia" w:eastAsiaTheme="majorEastAsia"/>
          <w:color w:val="auto"/>
          <w:szCs w:val="21"/>
          <w:highlight w:val="none"/>
        </w:rPr>
      </w:pPr>
    </w:p>
    <w:p w14:paraId="564D598D">
      <w:pPr>
        <w:spacing w:line="440" w:lineRule="exact"/>
        <w:rPr>
          <w:rFonts w:asciiTheme="majorEastAsia" w:hAnsiTheme="majorEastAsia" w:eastAsiaTheme="majorEastAsia"/>
          <w:color w:val="auto"/>
          <w:szCs w:val="21"/>
          <w:highlight w:val="none"/>
        </w:rPr>
      </w:pPr>
    </w:p>
    <w:p w14:paraId="687FE9B9">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2BA0F46C">
      <w:pPr>
        <w:adjustRightInd w:val="0"/>
        <w:spacing w:line="440" w:lineRule="exact"/>
        <w:jc w:val="lef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法定代表人（负责人）或授权代表（签字或盖章</w:t>
      </w:r>
    </w:p>
    <w:p w14:paraId="553390F2">
      <w:pPr>
        <w:adjustRightInd w:val="0"/>
        <w:spacing w:line="440" w:lineRule="exact"/>
        <w:jc w:val="left"/>
        <w:rPr>
          <w:rFonts w:asciiTheme="majorEastAsia" w:hAnsiTheme="majorEastAsia" w:eastAsiaTheme="majorEastAsia"/>
          <w:color w:val="auto"/>
          <w:szCs w:val="21"/>
          <w:highlight w:val="none"/>
        </w:rPr>
      </w:pPr>
    </w:p>
    <w:p w14:paraId="2D76D0DB">
      <w:pPr>
        <w:adjustRightInd w:val="0"/>
        <w:spacing w:line="440" w:lineRule="exact"/>
        <w:jc w:val="left"/>
        <w:rPr>
          <w:rFonts w:asciiTheme="majorEastAsia" w:hAnsiTheme="majorEastAsia" w:eastAsiaTheme="majorEastAsia"/>
          <w:color w:val="auto"/>
          <w:szCs w:val="21"/>
          <w:highlight w:val="none"/>
        </w:rPr>
      </w:pPr>
    </w:p>
    <w:p w14:paraId="6017A1DC">
      <w:pPr>
        <w:adjustRightInd w:val="0"/>
        <w:spacing w:line="440" w:lineRule="exact"/>
        <w:jc w:val="left"/>
        <w:rPr>
          <w:rFonts w:asciiTheme="majorEastAsia" w:hAnsiTheme="majorEastAsia" w:eastAsiaTheme="majorEastAsia"/>
          <w:color w:val="auto"/>
          <w:szCs w:val="21"/>
          <w:highlight w:val="none"/>
        </w:rPr>
      </w:pPr>
    </w:p>
    <w:p w14:paraId="2614A7D2">
      <w:pPr>
        <w:adjustRightInd w:val="0"/>
        <w:spacing w:line="440" w:lineRule="exact"/>
        <w:jc w:val="left"/>
        <w:rPr>
          <w:rFonts w:asciiTheme="majorEastAsia" w:hAnsiTheme="majorEastAsia" w:eastAsiaTheme="majorEastAsia"/>
          <w:color w:val="auto"/>
          <w:szCs w:val="21"/>
          <w:highlight w:val="none"/>
        </w:rPr>
      </w:pPr>
    </w:p>
    <w:p w14:paraId="49CF7C18">
      <w:pPr>
        <w:adjustRightInd w:val="0"/>
        <w:spacing w:line="440" w:lineRule="exact"/>
        <w:jc w:val="left"/>
        <w:rPr>
          <w:rFonts w:asciiTheme="majorEastAsia" w:hAnsiTheme="majorEastAsia" w:eastAsiaTheme="majorEastAsia"/>
          <w:color w:val="auto"/>
          <w:szCs w:val="21"/>
          <w:highlight w:val="none"/>
        </w:rPr>
      </w:pPr>
    </w:p>
    <w:p w14:paraId="13A58F33">
      <w:pPr>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br w:type="page"/>
      </w:r>
    </w:p>
    <w:p w14:paraId="5252A215">
      <w:pPr>
        <w:adjustRightInd w:val="0"/>
        <w:spacing w:line="440" w:lineRule="exact"/>
        <w:jc w:val="left"/>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格式</w:t>
      </w:r>
      <w:r>
        <w:rPr>
          <w:rFonts w:hint="eastAsia" w:asciiTheme="majorEastAsia" w:hAnsiTheme="majorEastAsia" w:eastAsiaTheme="majorEastAsia"/>
          <w:b/>
          <w:color w:val="auto"/>
          <w:szCs w:val="21"/>
          <w:highlight w:val="none"/>
        </w:rPr>
        <w:t>九</w:t>
      </w:r>
      <w:r>
        <w:rPr>
          <w:rFonts w:asciiTheme="majorEastAsia" w:hAnsiTheme="majorEastAsia" w:eastAsiaTheme="majorEastAsia"/>
          <w:b/>
          <w:color w:val="auto"/>
          <w:szCs w:val="21"/>
          <w:highlight w:val="none"/>
        </w:rPr>
        <w:t>：</w:t>
      </w:r>
    </w:p>
    <w:p w14:paraId="199F605F">
      <w:pPr>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项目业绩表</w:t>
      </w:r>
    </w:p>
    <w:p w14:paraId="556C17BC">
      <w:pPr>
        <w:spacing w:line="440" w:lineRule="exact"/>
        <w:ind w:firstLine="3089"/>
        <w:rPr>
          <w:rFonts w:asciiTheme="majorEastAsia" w:hAnsiTheme="majorEastAsia" w:eastAsiaTheme="majorEastAsia"/>
          <w:b/>
          <w:color w:val="auto"/>
          <w:szCs w:val="21"/>
          <w:highlight w:val="none"/>
        </w:rPr>
      </w:pPr>
    </w:p>
    <w:p w14:paraId="47678D03">
      <w:pPr>
        <w:spacing w:line="440" w:lineRule="exact"/>
        <w:rPr>
          <w:rFonts w:asciiTheme="majorEastAsia" w:hAnsiTheme="majorEastAsia" w:eastAsiaTheme="majorEastAsia"/>
          <w:color w:val="auto"/>
          <w:szCs w:val="21"/>
          <w:highlight w:val="none"/>
          <w:u w:val="single"/>
        </w:rPr>
      </w:pPr>
      <w:r>
        <w:rPr>
          <w:rFonts w:asciiTheme="majorEastAsia" w:hAnsiTheme="majorEastAsia" w:eastAsiaTheme="majorEastAsia"/>
          <w:color w:val="auto"/>
          <w:szCs w:val="21"/>
          <w:highlight w:val="none"/>
        </w:rPr>
        <w:t>项目名称：</w:t>
      </w:r>
      <w:r>
        <w:rPr>
          <w:rFonts w:asciiTheme="majorEastAsia" w:hAnsiTheme="majorEastAsia" w:eastAsiaTheme="majorEastAsia"/>
          <w:color w:val="auto"/>
          <w:szCs w:val="21"/>
          <w:highlight w:val="none"/>
          <w:u w:val="single"/>
        </w:rPr>
        <w:t xml:space="preserve">                                       </w:t>
      </w:r>
      <w:r>
        <w:rPr>
          <w:rFonts w:asciiTheme="majorEastAsia" w:hAnsiTheme="majorEastAsia" w:eastAsiaTheme="majorEastAsia"/>
          <w:color w:val="auto"/>
          <w:szCs w:val="21"/>
          <w:highlight w:val="none"/>
        </w:rPr>
        <w:t xml:space="preserve"> 项目编号：</w:t>
      </w:r>
      <w:r>
        <w:rPr>
          <w:rFonts w:asciiTheme="majorEastAsia" w:hAnsiTheme="majorEastAsia" w:eastAsiaTheme="majorEastAsia"/>
          <w:color w:val="auto"/>
          <w:szCs w:val="21"/>
          <w:highlight w:val="none"/>
          <w:u w:val="single"/>
        </w:rPr>
        <w:t xml:space="preserve">                   </w:t>
      </w:r>
    </w:p>
    <w:tbl>
      <w:tblPr>
        <w:tblStyle w:val="4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355"/>
        <w:gridCol w:w="2160"/>
        <w:gridCol w:w="1625"/>
        <w:gridCol w:w="1956"/>
      </w:tblGrid>
      <w:tr w14:paraId="2E016C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6007D5B5">
            <w:pPr>
              <w:snapToGrid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序号</w:t>
            </w:r>
          </w:p>
        </w:tc>
        <w:tc>
          <w:tcPr>
            <w:tcW w:w="2355" w:type="dxa"/>
            <w:vAlign w:val="center"/>
          </w:tcPr>
          <w:p w14:paraId="59805D93">
            <w:pPr>
              <w:snapToGrid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项目名称</w:t>
            </w:r>
          </w:p>
        </w:tc>
        <w:tc>
          <w:tcPr>
            <w:tcW w:w="2160" w:type="dxa"/>
            <w:vAlign w:val="center"/>
          </w:tcPr>
          <w:p w14:paraId="5D94ACF0">
            <w:pPr>
              <w:snapToGrid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合同签订时间</w:t>
            </w:r>
          </w:p>
        </w:tc>
        <w:tc>
          <w:tcPr>
            <w:tcW w:w="1625" w:type="dxa"/>
            <w:vAlign w:val="center"/>
          </w:tcPr>
          <w:p w14:paraId="43EB58B3">
            <w:pPr>
              <w:snapToGrid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合同服务内容</w:t>
            </w:r>
          </w:p>
        </w:tc>
        <w:tc>
          <w:tcPr>
            <w:tcW w:w="1956" w:type="dxa"/>
            <w:vAlign w:val="center"/>
          </w:tcPr>
          <w:p w14:paraId="3EB9393D">
            <w:pPr>
              <w:snapToGrid w:val="0"/>
              <w:spacing w:line="440" w:lineRule="exact"/>
              <w:jc w:val="center"/>
              <w:rPr>
                <w:rFonts w:asciiTheme="majorEastAsia" w:hAnsiTheme="majorEastAsia" w:eastAsiaTheme="majorEastAsia"/>
                <w:b/>
                <w:color w:val="auto"/>
                <w:szCs w:val="21"/>
                <w:highlight w:val="none"/>
              </w:rPr>
            </w:pPr>
            <w:r>
              <w:rPr>
                <w:rFonts w:asciiTheme="majorEastAsia" w:hAnsiTheme="majorEastAsia" w:eastAsiaTheme="majorEastAsia"/>
                <w:b/>
                <w:color w:val="auto"/>
                <w:szCs w:val="21"/>
                <w:highlight w:val="none"/>
              </w:rPr>
              <w:t>项目甲方联系人/联系电话</w:t>
            </w:r>
          </w:p>
        </w:tc>
      </w:tr>
      <w:tr w14:paraId="2EC8D6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46FFA7CA">
            <w:pPr>
              <w:snapToGrid w:val="0"/>
              <w:spacing w:line="440" w:lineRule="exact"/>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1</w:t>
            </w:r>
          </w:p>
        </w:tc>
        <w:tc>
          <w:tcPr>
            <w:tcW w:w="2355" w:type="dxa"/>
            <w:vAlign w:val="center"/>
          </w:tcPr>
          <w:p w14:paraId="3BF7FFA5">
            <w:pPr>
              <w:spacing w:line="440" w:lineRule="exact"/>
              <w:rPr>
                <w:rFonts w:asciiTheme="majorEastAsia" w:hAnsiTheme="majorEastAsia" w:eastAsiaTheme="majorEastAsia"/>
                <w:color w:val="auto"/>
                <w:szCs w:val="21"/>
                <w:highlight w:val="none"/>
              </w:rPr>
            </w:pPr>
          </w:p>
        </w:tc>
        <w:tc>
          <w:tcPr>
            <w:tcW w:w="2160" w:type="dxa"/>
            <w:vAlign w:val="center"/>
          </w:tcPr>
          <w:p w14:paraId="71C30427">
            <w:pPr>
              <w:snapToGrid w:val="0"/>
              <w:spacing w:line="440" w:lineRule="exact"/>
              <w:rPr>
                <w:rFonts w:asciiTheme="majorEastAsia" w:hAnsiTheme="majorEastAsia" w:eastAsiaTheme="majorEastAsia"/>
                <w:color w:val="auto"/>
                <w:szCs w:val="21"/>
                <w:highlight w:val="none"/>
              </w:rPr>
            </w:pPr>
          </w:p>
        </w:tc>
        <w:tc>
          <w:tcPr>
            <w:tcW w:w="1625" w:type="dxa"/>
            <w:vAlign w:val="center"/>
          </w:tcPr>
          <w:p w14:paraId="7BFEEF65">
            <w:pPr>
              <w:snapToGrid w:val="0"/>
              <w:spacing w:line="440" w:lineRule="exact"/>
              <w:rPr>
                <w:rFonts w:asciiTheme="majorEastAsia" w:hAnsiTheme="majorEastAsia" w:eastAsiaTheme="majorEastAsia"/>
                <w:color w:val="auto"/>
                <w:szCs w:val="21"/>
                <w:highlight w:val="none"/>
              </w:rPr>
            </w:pPr>
          </w:p>
        </w:tc>
        <w:tc>
          <w:tcPr>
            <w:tcW w:w="1956" w:type="dxa"/>
            <w:vAlign w:val="center"/>
          </w:tcPr>
          <w:p w14:paraId="0C67D760">
            <w:pPr>
              <w:snapToGrid w:val="0"/>
              <w:spacing w:line="440" w:lineRule="exact"/>
              <w:rPr>
                <w:rFonts w:asciiTheme="majorEastAsia" w:hAnsiTheme="majorEastAsia" w:eastAsiaTheme="majorEastAsia"/>
                <w:color w:val="auto"/>
                <w:szCs w:val="21"/>
                <w:highlight w:val="none"/>
              </w:rPr>
            </w:pPr>
          </w:p>
        </w:tc>
      </w:tr>
      <w:tr w14:paraId="448DDB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513E5CD1">
            <w:pPr>
              <w:spacing w:line="440" w:lineRule="exact"/>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2</w:t>
            </w:r>
          </w:p>
        </w:tc>
        <w:tc>
          <w:tcPr>
            <w:tcW w:w="2355" w:type="dxa"/>
            <w:vAlign w:val="center"/>
          </w:tcPr>
          <w:p w14:paraId="38BC9D96">
            <w:pPr>
              <w:spacing w:line="440" w:lineRule="exact"/>
              <w:rPr>
                <w:rFonts w:asciiTheme="majorEastAsia" w:hAnsiTheme="majorEastAsia" w:eastAsiaTheme="majorEastAsia"/>
                <w:color w:val="auto"/>
                <w:szCs w:val="21"/>
                <w:highlight w:val="none"/>
              </w:rPr>
            </w:pPr>
          </w:p>
        </w:tc>
        <w:tc>
          <w:tcPr>
            <w:tcW w:w="2160" w:type="dxa"/>
            <w:vAlign w:val="center"/>
          </w:tcPr>
          <w:p w14:paraId="7C80ABE2">
            <w:pPr>
              <w:snapToGrid w:val="0"/>
              <w:spacing w:line="440" w:lineRule="exact"/>
              <w:rPr>
                <w:rFonts w:asciiTheme="majorEastAsia" w:hAnsiTheme="majorEastAsia" w:eastAsiaTheme="majorEastAsia"/>
                <w:color w:val="auto"/>
                <w:szCs w:val="21"/>
                <w:highlight w:val="none"/>
              </w:rPr>
            </w:pPr>
          </w:p>
        </w:tc>
        <w:tc>
          <w:tcPr>
            <w:tcW w:w="1625" w:type="dxa"/>
            <w:vAlign w:val="center"/>
          </w:tcPr>
          <w:p w14:paraId="2D5F18CD">
            <w:pPr>
              <w:snapToGrid w:val="0"/>
              <w:spacing w:line="440" w:lineRule="exact"/>
              <w:rPr>
                <w:rFonts w:asciiTheme="majorEastAsia" w:hAnsiTheme="majorEastAsia" w:eastAsiaTheme="majorEastAsia"/>
                <w:color w:val="auto"/>
                <w:szCs w:val="21"/>
                <w:highlight w:val="none"/>
              </w:rPr>
            </w:pPr>
          </w:p>
        </w:tc>
        <w:tc>
          <w:tcPr>
            <w:tcW w:w="1956" w:type="dxa"/>
            <w:vAlign w:val="center"/>
          </w:tcPr>
          <w:p w14:paraId="34F2DE40">
            <w:pPr>
              <w:snapToGrid w:val="0"/>
              <w:spacing w:line="440" w:lineRule="exact"/>
              <w:rPr>
                <w:rFonts w:asciiTheme="majorEastAsia" w:hAnsiTheme="majorEastAsia" w:eastAsiaTheme="majorEastAsia"/>
                <w:color w:val="auto"/>
                <w:szCs w:val="21"/>
                <w:highlight w:val="none"/>
              </w:rPr>
            </w:pPr>
          </w:p>
        </w:tc>
      </w:tr>
      <w:tr w14:paraId="655707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119B20B9">
            <w:pPr>
              <w:snapToGrid w:val="0"/>
              <w:spacing w:line="440" w:lineRule="exact"/>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3</w:t>
            </w:r>
          </w:p>
        </w:tc>
        <w:tc>
          <w:tcPr>
            <w:tcW w:w="2355" w:type="dxa"/>
            <w:vAlign w:val="center"/>
          </w:tcPr>
          <w:p w14:paraId="0F706B97">
            <w:pPr>
              <w:spacing w:line="440" w:lineRule="exact"/>
              <w:rPr>
                <w:rFonts w:asciiTheme="majorEastAsia" w:hAnsiTheme="majorEastAsia" w:eastAsiaTheme="majorEastAsia"/>
                <w:color w:val="auto"/>
                <w:szCs w:val="21"/>
                <w:highlight w:val="none"/>
              </w:rPr>
            </w:pPr>
          </w:p>
        </w:tc>
        <w:tc>
          <w:tcPr>
            <w:tcW w:w="2160" w:type="dxa"/>
            <w:vAlign w:val="center"/>
          </w:tcPr>
          <w:p w14:paraId="45CC6D17">
            <w:pPr>
              <w:spacing w:line="440" w:lineRule="exact"/>
              <w:jc w:val="center"/>
              <w:rPr>
                <w:rFonts w:asciiTheme="majorEastAsia" w:hAnsiTheme="majorEastAsia" w:eastAsiaTheme="majorEastAsia"/>
                <w:color w:val="auto"/>
                <w:szCs w:val="21"/>
                <w:highlight w:val="none"/>
              </w:rPr>
            </w:pPr>
          </w:p>
        </w:tc>
        <w:tc>
          <w:tcPr>
            <w:tcW w:w="1625" w:type="dxa"/>
            <w:vAlign w:val="center"/>
          </w:tcPr>
          <w:p w14:paraId="2A5B5D0C">
            <w:pPr>
              <w:spacing w:line="440" w:lineRule="exact"/>
              <w:jc w:val="center"/>
              <w:rPr>
                <w:rFonts w:asciiTheme="majorEastAsia" w:hAnsiTheme="majorEastAsia" w:eastAsiaTheme="majorEastAsia"/>
                <w:color w:val="auto"/>
                <w:szCs w:val="21"/>
                <w:highlight w:val="none"/>
              </w:rPr>
            </w:pPr>
          </w:p>
        </w:tc>
        <w:tc>
          <w:tcPr>
            <w:tcW w:w="1956" w:type="dxa"/>
            <w:vAlign w:val="center"/>
          </w:tcPr>
          <w:p w14:paraId="09B8E38A">
            <w:pPr>
              <w:spacing w:line="440" w:lineRule="exact"/>
              <w:jc w:val="center"/>
              <w:rPr>
                <w:rFonts w:asciiTheme="majorEastAsia" w:hAnsiTheme="majorEastAsia" w:eastAsiaTheme="majorEastAsia"/>
                <w:color w:val="auto"/>
                <w:szCs w:val="21"/>
                <w:highlight w:val="none"/>
              </w:rPr>
            </w:pPr>
          </w:p>
        </w:tc>
      </w:tr>
      <w:tr w14:paraId="005EBE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75A78F4B">
            <w:pPr>
              <w:snapToGrid w:val="0"/>
              <w:spacing w:line="440" w:lineRule="exact"/>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4</w:t>
            </w:r>
          </w:p>
        </w:tc>
        <w:tc>
          <w:tcPr>
            <w:tcW w:w="2355" w:type="dxa"/>
            <w:vAlign w:val="center"/>
          </w:tcPr>
          <w:p w14:paraId="4DF2B37D">
            <w:pPr>
              <w:spacing w:line="440" w:lineRule="exact"/>
              <w:rPr>
                <w:rFonts w:asciiTheme="majorEastAsia" w:hAnsiTheme="majorEastAsia" w:eastAsiaTheme="majorEastAsia"/>
                <w:color w:val="auto"/>
                <w:szCs w:val="21"/>
                <w:highlight w:val="none"/>
              </w:rPr>
            </w:pPr>
          </w:p>
        </w:tc>
        <w:tc>
          <w:tcPr>
            <w:tcW w:w="2160" w:type="dxa"/>
            <w:vAlign w:val="center"/>
          </w:tcPr>
          <w:p w14:paraId="5640C29C">
            <w:pPr>
              <w:snapToGrid w:val="0"/>
              <w:spacing w:line="440" w:lineRule="exact"/>
              <w:rPr>
                <w:rFonts w:asciiTheme="majorEastAsia" w:hAnsiTheme="majorEastAsia" w:eastAsiaTheme="majorEastAsia"/>
                <w:color w:val="auto"/>
                <w:szCs w:val="21"/>
                <w:highlight w:val="none"/>
              </w:rPr>
            </w:pPr>
          </w:p>
        </w:tc>
        <w:tc>
          <w:tcPr>
            <w:tcW w:w="1625" w:type="dxa"/>
            <w:vAlign w:val="center"/>
          </w:tcPr>
          <w:p w14:paraId="66DFB1F1">
            <w:pPr>
              <w:spacing w:line="440" w:lineRule="exact"/>
              <w:rPr>
                <w:rFonts w:asciiTheme="majorEastAsia" w:hAnsiTheme="majorEastAsia" w:eastAsiaTheme="majorEastAsia"/>
                <w:color w:val="auto"/>
                <w:szCs w:val="21"/>
                <w:highlight w:val="none"/>
              </w:rPr>
            </w:pPr>
          </w:p>
        </w:tc>
        <w:tc>
          <w:tcPr>
            <w:tcW w:w="1956" w:type="dxa"/>
            <w:vAlign w:val="center"/>
          </w:tcPr>
          <w:p w14:paraId="317E667B">
            <w:pPr>
              <w:spacing w:line="440" w:lineRule="exact"/>
              <w:rPr>
                <w:rFonts w:asciiTheme="majorEastAsia" w:hAnsiTheme="majorEastAsia" w:eastAsiaTheme="majorEastAsia"/>
                <w:color w:val="auto"/>
                <w:szCs w:val="21"/>
                <w:highlight w:val="none"/>
              </w:rPr>
            </w:pPr>
          </w:p>
        </w:tc>
      </w:tr>
      <w:tr w14:paraId="539421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7C1A4726">
            <w:pPr>
              <w:snapToGrid w:val="0"/>
              <w:spacing w:line="440" w:lineRule="exact"/>
              <w:jc w:val="cente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w:t>
            </w:r>
          </w:p>
        </w:tc>
        <w:tc>
          <w:tcPr>
            <w:tcW w:w="2355" w:type="dxa"/>
            <w:vAlign w:val="center"/>
          </w:tcPr>
          <w:p w14:paraId="46883A57">
            <w:pPr>
              <w:spacing w:line="440" w:lineRule="exact"/>
              <w:rPr>
                <w:rFonts w:asciiTheme="majorEastAsia" w:hAnsiTheme="majorEastAsia" w:eastAsiaTheme="majorEastAsia"/>
                <w:color w:val="auto"/>
                <w:szCs w:val="21"/>
                <w:highlight w:val="none"/>
              </w:rPr>
            </w:pPr>
          </w:p>
        </w:tc>
        <w:tc>
          <w:tcPr>
            <w:tcW w:w="2160" w:type="dxa"/>
            <w:vAlign w:val="center"/>
          </w:tcPr>
          <w:p w14:paraId="37761962">
            <w:pPr>
              <w:snapToGrid w:val="0"/>
              <w:spacing w:line="440" w:lineRule="exact"/>
              <w:rPr>
                <w:rFonts w:asciiTheme="majorEastAsia" w:hAnsiTheme="majorEastAsia" w:eastAsiaTheme="majorEastAsia"/>
                <w:color w:val="auto"/>
                <w:szCs w:val="21"/>
                <w:highlight w:val="none"/>
              </w:rPr>
            </w:pPr>
          </w:p>
        </w:tc>
        <w:tc>
          <w:tcPr>
            <w:tcW w:w="1625" w:type="dxa"/>
            <w:vAlign w:val="center"/>
          </w:tcPr>
          <w:p w14:paraId="1F2FA97D">
            <w:pPr>
              <w:spacing w:line="440" w:lineRule="exact"/>
              <w:rPr>
                <w:rFonts w:asciiTheme="majorEastAsia" w:hAnsiTheme="majorEastAsia" w:eastAsiaTheme="majorEastAsia"/>
                <w:color w:val="auto"/>
                <w:szCs w:val="21"/>
                <w:highlight w:val="none"/>
              </w:rPr>
            </w:pPr>
          </w:p>
        </w:tc>
        <w:tc>
          <w:tcPr>
            <w:tcW w:w="1956" w:type="dxa"/>
            <w:vAlign w:val="center"/>
          </w:tcPr>
          <w:p w14:paraId="468F44C8">
            <w:pPr>
              <w:spacing w:line="440" w:lineRule="exact"/>
              <w:rPr>
                <w:rFonts w:asciiTheme="majorEastAsia" w:hAnsiTheme="majorEastAsia" w:eastAsiaTheme="majorEastAsia"/>
                <w:color w:val="auto"/>
                <w:szCs w:val="21"/>
                <w:highlight w:val="none"/>
              </w:rPr>
            </w:pPr>
          </w:p>
        </w:tc>
      </w:tr>
      <w:tr w14:paraId="17D292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15381ADE">
            <w:pPr>
              <w:snapToGrid w:val="0"/>
              <w:spacing w:line="440" w:lineRule="exact"/>
              <w:rPr>
                <w:rFonts w:asciiTheme="majorEastAsia" w:hAnsiTheme="majorEastAsia" w:eastAsiaTheme="majorEastAsia"/>
                <w:color w:val="auto"/>
                <w:szCs w:val="21"/>
                <w:highlight w:val="none"/>
              </w:rPr>
            </w:pPr>
          </w:p>
        </w:tc>
        <w:tc>
          <w:tcPr>
            <w:tcW w:w="2355" w:type="dxa"/>
            <w:vAlign w:val="center"/>
          </w:tcPr>
          <w:p w14:paraId="1AF86475">
            <w:pPr>
              <w:spacing w:line="440" w:lineRule="exact"/>
              <w:rPr>
                <w:rFonts w:asciiTheme="majorEastAsia" w:hAnsiTheme="majorEastAsia" w:eastAsiaTheme="majorEastAsia"/>
                <w:color w:val="auto"/>
                <w:szCs w:val="21"/>
                <w:highlight w:val="none"/>
              </w:rPr>
            </w:pPr>
          </w:p>
        </w:tc>
        <w:tc>
          <w:tcPr>
            <w:tcW w:w="2160" w:type="dxa"/>
            <w:vAlign w:val="center"/>
          </w:tcPr>
          <w:p w14:paraId="34FAE12C">
            <w:pPr>
              <w:snapToGrid w:val="0"/>
              <w:spacing w:line="440" w:lineRule="exact"/>
              <w:rPr>
                <w:rFonts w:asciiTheme="majorEastAsia" w:hAnsiTheme="majorEastAsia" w:eastAsiaTheme="majorEastAsia"/>
                <w:color w:val="auto"/>
                <w:szCs w:val="21"/>
                <w:highlight w:val="none"/>
              </w:rPr>
            </w:pPr>
          </w:p>
        </w:tc>
        <w:tc>
          <w:tcPr>
            <w:tcW w:w="1625" w:type="dxa"/>
            <w:vAlign w:val="center"/>
          </w:tcPr>
          <w:p w14:paraId="12E1BBC0">
            <w:pPr>
              <w:spacing w:line="440" w:lineRule="exact"/>
              <w:rPr>
                <w:rFonts w:asciiTheme="majorEastAsia" w:hAnsiTheme="majorEastAsia" w:eastAsiaTheme="majorEastAsia"/>
                <w:color w:val="auto"/>
                <w:szCs w:val="21"/>
                <w:highlight w:val="none"/>
              </w:rPr>
            </w:pPr>
          </w:p>
        </w:tc>
        <w:tc>
          <w:tcPr>
            <w:tcW w:w="1956" w:type="dxa"/>
            <w:vAlign w:val="center"/>
          </w:tcPr>
          <w:p w14:paraId="21246EEE">
            <w:pPr>
              <w:spacing w:line="440" w:lineRule="exact"/>
              <w:rPr>
                <w:rFonts w:asciiTheme="majorEastAsia" w:hAnsiTheme="majorEastAsia" w:eastAsiaTheme="majorEastAsia"/>
                <w:color w:val="auto"/>
                <w:szCs w:val="21"/>
                <w:highlight w:val="none"/>
              </w:rPr>
            </w:pPr>
          </w:p>
        </w:tc>
      </w:tr>
      <w:tr w14:paraId="2A630A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315AC014">
            <w:pPr>
              <w:snapToGrid w:val="0"/>
              <w:spacing w:line="440" w:lineRule="exact"/>
              <w:rPr>
                <w:rFonts w:asciiTheme="majorEastAsia" w:hAnsiTheme="majorEastAsia" w:eastAsiaTheme="majorEastAsia"/>
                <w:color w:val="auto"/>
                <w:szCs w:val="21"/>
                <w:highlight w:val="none"/>
              </w:rPr>
            </w:pPr>
          </w:p>
        </w:tc>
        <w:tc>
          <w:tcPr>
            <w:tcW w:w="2355" w:type="dxa"/>
            <w:vAlign w:val="center"/>
          </w:tcPr>
          <w:p w14:paraId="7EDAC7B2">
            <w:pPr>
              <w:spacing w:line="440" w:lineRule="exact"/>
              <w:rPr>
                <w:rFonts w:asciiTheme="majorEastAsia" w:hAnsiTheme="majorEastAsia" w:eastAsiaTheme="majorEastAsia"/>
                <w:color w:val="auto"/>
                <w:szCs w:val="21"/>
                <w:highlight w:val="none"/>
              </w:rPr>
            </w:pPr>
          </w:p>
        </w:tc>
        <w:tc>
          <w:tcPr>
            <w:tcW w:w="2160" w:type="dxa"/>
            <w:vAlign w:val="center"/>
          </w:tcPr>
          <w:p w14:paraId="3362E02D">
            <w:pPr>
              <w:spacing w:line="440" w:lineRule="exact"/>
              <w:jc w:val="center"/>
              <w:rPr>
                <w:rFonts w:asciiTheme="majorEastAsia" w:hAnsiTheme="majorEastAsia" w:eastAsiaTheme="majorEastAsia"/>
                <w:color w:val="auto"/>
                <w:szCs w:val="21"/>
                <w:highlight w:val="none"/>
              </w:rPr>
            </w:pPr>
          </w:p>
        </w:tc>
        <w:tc>
          <w:tcPr>
            <w:tcW w:w="1625" w:type="dxa"/>
            <w:vAlign w:val="center"/>
          </w:tcPr>
          <w:p w14:paraId="423EF89F">
            <w:pPr>
              <w:spacing w:line="440" w:lineRule="exact"/>
              <w:jc w:val="center"/>
              <w:rPr>
                <w:rFonts w:asciiTheme="majorEastAsia" w:hAnsiTheme="majorEastAsia" w:eastAsiaTheme="majorEastAsia"/>
                <w:color w:val="auto"/>
                <w:szCs w:val="21"/>
                <w:highlight w:val="none"/>
              </w:rPr>
            </w:pPr>
          </w:p>
        </w:tc>
        <w:tc>
          <w:tcPr>
            <w:tcW w:w="1956" w:type="dxa"/>
            <w:vAlign w:val="center"/>
          </w:tcPr>
          <w:p w14:paraId="166441EE">
            <w:pPr>
              <w:spacing w:line="440" w:lineRule="exact"/>
              <w:jc w:val="center"/>
              <w:rPr>
                <w:rFonts w:asciiTheme="majorEastAsia" w:hAnsiTheme="majorEastAsia" w:eastAsiaTheme="majorEastAsia"/>
                <w:color w:val="auto"/>
                <w:szCs w:val="21"/>
                <w:highlight w:val="none"/>
              </w:rPr>
            </w:pPr>
          </w:p>
        </w:tc>
      </w:tr>
      <w:tr w14:paraId="1A1253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679CA168">
            <w:pPr>
              <w:spacing w:line="440" w:lineRule="exact"/>
              <w:rPr>
                <w:rFonts w:asciiTheme="majorEastAsia" w:hAnsiTheme="majorEastAsia" w:eastAsiaTheme="majorEastAsia"/>
                <w:color w:val="auto"/>
                <w:szCs w:val="21"/>
                <w:highlight w:val="none"/>
              </w:rPr>
            </w:pPr>
          </w:p>
        </w:tc>
        <w:tc>
          <w:tcPr>
            <w:tcW w:w="2355" w:type="dxa"/>
            <w:vAlign w:val="center"/>
          </w:tcPr>
          <w:p w14:paraId="0B4A6854">
            <w:pPr>
              <w:spacing w:line="440" w:lineRule="exact"/>
              <w:rPr>
                <w:rFonts w:asciiTheme="majorEastAsia" w:hAnsiTheme="majorEastAsia" w:eastAsiaTheme="majorEastAsia"/>
                <w:color w:val="auto"/>
                <w:szCs w:val="21"/>
                <w:highlight w:val="none"/>
              </w:rPr>
            </w:pPr>
          </w:p>
        </w:tc>
        <w:tc>
          <w:tcPr>
            <w:tcW w:w="2160" w:type="dxa"/>
            <w:vAlign w:val="center"/>
          </w:tcPr>
          <w:p w14:paraId="1705CDB4">
            <w:pPr>
              <w:spacing w:line="440" w:lineRule="exact"/>
              <w:jc w:val="center"/>
              <w:rPr>
                <w:rFonts w:asciiTheme="majorEastAsia" w:hAnsiTheme="majorEastAsia" w:eastAsiaTheme="majorEastAsia"/>
                <w:color w:val="auto"/>
                <w:szCs w:val="21"/>
                <w:highlight w:val="none"/>
              </w:rPr>
            </w:pPr>
          </w:p>
        </w:tc>
        <w:tc>
          <w:tcPr>
            <w:tcW w:w="1625" w:type="dxa"/>
            <w:vAlign w:val="center"/>
          </w:tcPr>
          <w:p w14:paraId="16891BBE">
            <w:pPr>
              <w:spacing w:line="440" w:lineRule="exact"/>
              <w:jc w:val="center"/>
              <w:rPr>
                <w:rFonts w:asciiTheme="majorEastAsia" w:hAnsiTheme="majorEastAsia" w:eastAsiaTheme="majorEastAsia"/>
                <w:color w:val="auto"/>
                <w:szCs w:val="21"/>
                <w:highlight w:val="none"/>
              </w:rPr>
            </w:pPr>
          </w:p>
        </w:tc>
        <w:tc>
          <w:tcPr>
            <w:tcW w:w="1956" w:type="dxa"/>
            <w:vAlign w:val="center"/>
          </w:tcPr>
          <w:p w14:paraId="3C394034">
            <w:pPr>
              <w:spacing w:line="440" w:lineRule="exact"/>
              <w:jc w:val="center"/>
              <w:rPr>
                <w:rFonts w:asciiTheme="majorEastAsia" w:hAnsiTheme="majorEastAsia" w:eastAsiaTheme="majorEastAsia"/>
                <w:color w:val="auto"/>
                <w:szCs w:val="21"/>
                <w:highlight w:val="none"/>
              </w:rPr>
            </w:pPr>
          </w:p>
        </w:tc>
      </w:tr>
      <w:tr w14:paraId="3702ED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0AFCBE53">
            <w:pPr>
              <w:spacing w:line="440" w:lineRule="exact"/>
              <w:rPr>
                <w:rFonts w:asciiTheme="majorEastAsia" w:hAnsiTheme="majorEastAsia" w:eastAsiaTheme="majorEastAsia"/>
                <w:color w:val="auto"/>
                <w:szCs w:val="21"/>
                <w:highlight w:val="none"/>
              </w:rPr>
            </w:pPr>
          </w:p>
        </w:tc>
        <w:tc>
          <w:tcPr>
            <w:tcW w:w="2355" w:type="dxa"/>
            <w:vAlign w:val="center"/>
          </w:tcPr>
          <w:p w14:paraId="06DD63AB">
            <w:pPr>
              <w:spacing w:line="440" w:lineRule="exact"/>
              <w:rPr>
                <w:rFonts w:asciiTheme="majorEastAsia" w:hAnsiTheme="majorEastAsia" w:eastAsiaTheme="majorEastAsia"/>
                <w:color w:val="auto"/>
                <w:szCs w:val="21"/>
                <w:highlight w:val="none"/>
              </w:rPr>
            </w:pPr>
          </w:p>
        </w:tc>
        <w:tc>
          <w:tcPr>
            <w:tcW w:w="2160" w:type="dxa"/>
            <w:vAlign w:val="center"/>
          </w:tcPr>
          <w:p w14:paraId="6D1E6B1C">
            <w:pPr>
              <w:spacing w:line="440" w:lineRule="exact"/>
              <w:jc w:val="center"/>
              <w:rPr>
                <w:rFonts w:asciiTheme="majorEastAsia" w:hAnsiTheme="majorEastAsia" w:eastAsiaTheme="majorEastAsia"/>
                <w:color w:val="auto"/>
                <w:szCs w:val="21"/>
                <w:highlight w:val="none"/>
              </w:rPr>
            </w:pPr>
          </w:p>
        </w:tc>
        <w:tc>
          <w:tcPr>
            <w:tcW w:w="1625" w:type="dxa"/>
            <w:vAlign w:val="center"/>
          </w:tcPr>
          <w:p w14:paraId="1E8531A6">
            <w:pPr>
              <w:spacing w:line="440" w:lineRule="exact"/>
              <w:jc w:val="center"/>
              <w:rPr>
                <w:rFonts w:asciiTheme="majorEastAsia" w:hAnsiTheme="majorEastAsia" w:eastAsiaTheme="majorEastAsia"/>
                <w:color w:val="auto"/>
                <w:szCs w:val="21"/>
                <w:highlight w:val="none"/>
              </w:rPr>
            </w:pPr>
          </w:p>
        </w:tc>
        <w:tc>
          <w:tcPr>
            <w:tcW w:w="1956" w:type="dxa"/>
            <w:vAlign w:val="center"/>
          </w:tcPr>
          <w:p w14:paraId="3BEDBC09">
            <w:pPr>
              <w:spacing w:line="440" w:lineRule="exact"/>
              <w:jc w:val="center"/>
              <w:rPr>
                <w:rFonts w:asciiTheme="majorEastAsia" w:hAnsiTheme="majorEastAsia" w:eastAsiaTheme="majorEastAsia"/>
                <w:color w:val="auto"/>
                <w:szCs w:val="21"/>
                <w:highlight w:val="none"/>
              </w:rPr>
            </w:pPr>
          </w:p>
        </w:tc>
      </w:tr>
    </w:tbl>
    <w:p w14:paraId="661220DC">
      <w:pPr>
        <w:spacing w:line="440" w:lineRule="exact"/>
        <w:rPr>
          <w:rFonts w:asciiTheme="majorEastAsia" w:hAnsiTheme="majorEastAsia" w:eastAsiaTheme="majorEastAsia"/>
          <w:color w:val="auto"/>
          <w:spacing w:val="-4"/>
          <w:szCs w:val="21"/>
          <w:highlight w:val="none"/>
        </w:rPr>
      </w:pPr>
      <w:r>
        <w:rPr>
          <w:rFonts w:asciiTheme="majorEastAsia" w:hAnsiTheme="majorEastAsia" w:eastAsiaTheme="majorEastAsia"/>
          <w:color w:val="auto"/>
          <w:spacing w:val="-4"/>
          <w:szCs w:val="21"/>
          <w:highlight w:val="none"/>
        </w:rPr>
        <w:t>注：根据评分标准提供相关资料。</w:t>
      </w:r>
    </w:p>
    <w:p w14:paraId="237D17BD">
      <w:pPr>
        <w:spacing w:line="440" w:lineRule="exact"/>
        <w:rPr>
          <w:rFonts w:asciiTheme="majorEastAsia" w:hAnsiTheme="majorEastAsia" w:eastAsiaTheme="majorEastAsia"/>
          <w:color w:val="auto"/>
          <w:szCs w:val="21"/>
          <w:highlight w:val="none"/>
        </w:rPr>
      </w:pPr>
    </w:p>
    <w:p w14:paraId="69DBC34B">
      <w:pPr>
        <w:spacing w:line="440" w:lineRule="exact"/>
        <w:rPr>
          <w:rFonts w:asciiTheme="majorEastAsia" w:hAnsiTheme="majorEastAsia" w:eastAsiaTheme="majorEastAsia"/>
          <w:color w:val="auto"/>
          <w:szCs w:val="21"/>
          <w:highlight w:val="none"/>
        </w:rPr>
      </w:pPr>
    </w:p>
    <w:p w14:paraId="64C12BBB">
      <w:pPr>
        <w:spacing w:line="440" w:lineRule="exact"/>
        <w:rPr>
          <w:rFonts w:asciiTheme="majorEastAsia" w:hAnsiTheme="majorEastAsia" w:eastAsiaTheme="majorEastAsia"/>
          <w:color w:val="auto"/>
          <w:spacing w:val="-4"/>
          <w:szCs w:val="21"/>
          <w:highlight w:val="none"/>
        </w:rPr>
      </w:pPr>
      <w:r>
        <w:rPr>
          <w:rFonts w:asciiTheme="majorEastAsia" w:hAnsiTheme="majorEastAsia" w:eastAsiaTheme="majorEastAsia"/>
          <w:color w:val="auto"/>
          <w:spacing w:val="-4"/>
          <w:szCs w:val="21"/>
          <w:highlight w:val="none"/>
        </w:rPr>
        <w:t>供应商全称（公章）：</w:t>
      </w:r>
    </w:p>
    <w:p w14:paraId="5FD371D1">
      <w:pPr>
        <w:spacing w:line="440" w:lineRule="exact"/>
        <w:rPr>
          <w:rFonts w:asciiTheme="majorEastAsia" w:hAnsiTheme="majorEastAsia" w:eastAsiaTheme="majorEastAsia"/>
          <w:color w:val="auto"/>
          <w:spacing w:val="-4"/>
          <w:szCs w:val="21"/>
          <w:highlight w:val="none"/>
        </w:rPr>
      </w:pPr>
      <w:r>
        <w:rPr>
          <w:rFonts w:asciiTheme="majorEastAsia" w:hAnsiTheme="majorEastAsia" w:eastAsiaTheme="majorEastAsia"/>
          <w:color w:val="auto"/>
          <w:spacing w:val="-4"/>
          <w:szCs w:val="21"/>
          <w:highlight w:val="none"/>
        </w:rPr>
        <w:t xml:space="preserve">法定代表人（负责人）或授权代表（签字或盖章）：                       </w:t>
      </w:r>
    </w:p>
    <w:p w14:paraId="1B1BDF7B">
      <w:pPr>
        <w:spacing w:line="440" w:lineRule="exact"/>
        <w:rPr>
          <w:rFonts w:asciiTheme="majorEastAsia" w:hAnsiTheme="majorEastAsia" w:eastAsiaTheme="majorEastAsia"/>
          <w:b/>
          <w:bCs/>
          <w:color w:val="auto"/>
          <w:szCs w:val="21"/>
          <w:highlight w:val="none"/>
        </w:rPr>
      </w:pPr>
      <w:r>
        <w:rPr>
          <w:rFonts w:asciiTheme="majorEastAsia" w:hAnsiTheme="majorEastAsia" w:eastAsiaTheme="majorEastAsia"/>
          <w:color w:val="auto"/>
          <w:spacing w:val="-4"/>
          <w:szCs w:val="21"/>
          <w:highlight w:val="none"/>
        </w:rPr>
        <w:t>日期：</w:t>
      </w:r>
      <w:r>
        <w:rPr>
          <w:rFonts w:asciiTheme="majorEastAsia" w:hAnsiTheme="majorEastAsia" w:eastAsiaTheme="majorEastAsia"/>
          <w:color w:val="auto"/>
          <w:szCs w:val="21"/>
          <w:highlight w:val="none"/>
        </w:rPr>
        <w:br w:type="page"/>
      </w:r>
      <w:r>
        <w:rPr>
          <w:rFonts w:asciiTheme="majorEastAsia" w:hAnsiTheme="majorEastAsia" w:eastAsiaTheme="majorEastAsia"/>
          <w:b/>
          <w:bCs/>
          <w:color w:val="auto"/>
          <w:szCs w:val="21"/>
          <w:highlight w:val="none"/>
        </w:rPr>
        <w:t>格式十：</w:t>
      </w:r>
    </w:p>
    <w:p w14:paraId="22010823">
      <w:pPr>
        <w:spacing w:line="360" w:lineRule="auto"/>
        <w:jc w:val="center"/>
        <w:rPr>
          <w:rFonts w:ascii="宋体" w:hAnsi="宋体"/>
          <w:b/>
          <w:color w:val="auto"/>
          <w:szCs w:val="21"/>
          <w:highlight w:val="none"/>
        </w:rPr>
      </w:pPr>
      <w:r>
        <w:rPr>
          <w:rFonts w:hint="eastAsia" w:ascii="宋体" w:hAnsi="宋体"/>
          <w:b/>
          <w:color w:val="auto"/>
          <w:szCs w:val="21"/>
          <w:highlight w:val="none"/>
        </w:rPr>
        <w:t>初次报价表</w:t>
      </w:r>
    </w:p>
    <w:p w14:paraId="238660CA">
      <w:pPr>
        <w:pStyle w:val="25"/>
        <w:spacing w:before="120" w:after="120"/>
        <w:rPr>
          <w:rFonts w:hint="eastAsia" w:eastAsia="宋体"/>
          <w:color w:val="auto"/>
          <w:highlight w:val="none"/>
          <w:lang w:eastAsia="zh-CN"/>
        </w:rPr>
      </w:pPr>
      <w:r>
        <w:rPr>
          <w:rFonts w:hint="eastAsia"/>
          <w:color w:val="auto"/>
          <w:highlight w:val="none"/>
        </w:rPr>
        <w:t>项目名称:</w:t>
      </w:r>
      <w:r>
        <w:rPr>
          <w:rFonts w:hint="eastAsia"/>
          <w:color w:val="auto"/>
          <w:highlight w:val="none"/>
          <w:lang w:eastAsia="zh-CN"/>
        </w:rPr>
        <w:t>海曙区横街镇校园保安服务</w:t>
      </w:r>
    </w:p>
    <w:p w14:paraId="74C6C670">
      <w:pPr>
        <w:pStyle w:val="25"/>
        <w:spacing w:before="120" w:after="120"/>
        <w:rPr>
          <w:color w:val="auto"/>
          <w:highlight w:val="none"/>
        </w:rPr>
      </w:pPr>
      <w:r>
        <w:rPr>
          <w:rFonts w:hint="eastAsia"/>
          <w:color w:val="auto"/>
          <w:highlight w:val="none"/>
        </w:rPr>
        <w:t>项目编号:</w:t>
      </w:r>
      <w:r>
        <w:rPr>
          <w:rFonts w:hint="eastAsia"/>
          <w:color w:val="auto"/>
          <w:highlight w:val="none"/>
          <w:lang w:eastAsia="zh-CN"/>
        </w:rPr>
        <w:t>2025NBHSWCS061</w:t>
      </w:r>
      <w:r>
        <w:rPr>
          <w:rFonts w:hint="eastAsia"/>
          <w:color w:val="auto"/>
          <w:highlight w:val="none"/>
        </w:rPr>
        <w:t xml:space="preserve"> </w:t>
      </w:r>
    </w:p>
    <w:tbl>
      <w:tblPr>
        <w:tblStyle w:val="4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3244"/>
        <w:gridCol w:w="4678"/>
      </w:tblGrid>
      <w:tr w14:paraId="32CC6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49" w:type="dxa"/>
            <w:vAlign w:val="center"/>
          </w:tcPr>
          <w:p w14:paraId="0D92AB46">
            <w:pPr>
              <w:jc w:val="center"/>
              <w:rPr>
                <w:rFonts w:ascii="宋体" w:hAnsi="宋体" w:cs="宋体"/>
                <w:color w:val="auto"/>
                <w:szCs w:val="21"/>
                <w:highlight w:val="none"/>
              </w:rPr>
            </w:pPr>
            <w:r>
              <w:rPr>
                <w:rFonts w:hint="eastAsia" w:ascii="宋体" w:hAnsi="宋体" w:cs="宋体"/>
                <w:color w:val="auto"/>
                <w:szCs w:val="21"/>
                <w:highlight w:val="none"/>
              </w:rPr>
              <w:t>标项号</w:t>
            </w:r>
          </w:p>
        </w:tc>
        <w:tc>
          <w:tcPr>
            <w:tcW w:w="3244" w:type="dxa"/>
            <w:vAlign w:val="center"/>
          </w:tcPr>
          <w:p w14:paraId="66DC1DE0">
            <w:pPr>
              <w:jc w:val="center"/>
              <w:rPr>
                <w:rFonts w:ascii="宋体" w:hAnsi="宋体" w:cs="宋体"/>
                <w:color w:val="auto"/>
                <w:szCs w:val="21"/>
                <w:highlight w:val="none"/>
              </w:rPr>
            </w:pPr>
            <w:r>
              <w:rPr>
                <w:rFonts w:hint="eastAsia" w:ascii="宋体" w:hAnsi="宋体" w:cs="宋体"/>
                <w:color w:val="auto"/>
                <w:szCs w:val="21"/>
                <w:highlight w:val="none"/>
              </w:rPr>
              <w:t>内容</w:t>
            </w:r>
          </w:p>
        </w:tc>
        <w:tc>
          <w:tcPr>
            <w:tcW w:w="4678" w:type="dxa"/>
            <w:vAlign w:val="center"/>
          </w:tcPr>
          <w:p w14:paraId="2D161E93">
            <w:pPr>
              <w:jc w:val="center"/>
              <w:rPr>
                <w:rFonts w:ascii="宋体" w:hAnsi="宋体" w:cs="宋体"/>
                <w:color w:val="auto"/>
                <w:szCs w:val="21"/>
                <w:highlight w:val="none"/>
              </w:rPr>
            </w:pPr>
            <w:r>
              <w:rPr>
                <w:rFonts w:hint="eastAsia" w:ascii="宋体" w:hAnsi="宋体"/>
                <w:color w:val="auto"/>
                <w:szCs w:val="21"/>
                <w:highlight w:val="none"/>
              </w:rPr>
              <w:t>磋商报价（初次报价）</w:t>
            </w:r>
          </w:p>
        </w:tc>
      </w:tr>
      <w:tr w14:paraId="5E299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jc w:val="center"/>
        </w:trPr>
        <w:tc>
          <w:tcPr>
            <w:tcW w:w="1149" w:type="dxa"/>
            <w:vAlign w:val="center"/>
          </w:tcPr>
          <w:p w14:paraId="6B99085B">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3244" w:type="dxa"/>
            <w:vAlign w:val="center"/>
          </w:tcPr>
          <w:p w14:paraId="76BAE1AD">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海曙区横街镇校园保安服务</w:t>
            </w:r>
          </w:p>
        </w:tc>
        <w:tc>
          <w:tcPr>
            <w:tcW w:w="4678" w:type="dxa"/>
            <w:vAlign w:val="center"/>
          </w:tcPr>
          <w:p w14:paraId="7E703AD8">
            <w:pPr>
              <w:jc w:val="left"/>
              <w:rPr>
                <w:rFonts w:ascii="宋体" w:hAnsi="宋体" w:cs="宋体"/>
                <w:color w:val="auto"/>
                <w:highlight w:val="none"/>
              </w:rPr>
            </w:pPr>
            <w:r>
              <w:rPr>
                <w:rFonts w:hint="eastAsia" w:ascii="宋体" w:hAnsi="宋体" w:cs="宋体"/>
                <w:color w:val="auto"/>
                <w:highlight w:val="none"/>
              </w:rPr>
              <w:t>小写：￥</w:t>
            </w:r>
            <w:r>
              <w:rPr>
                <w:rFonts w:hint="eastAsia" w:ascii="宋体" w:hAnsi="宋体" w:cs="宋体"/>
                <w:color w:val="auto"/>
                <w:highlight w:val="none"/>
                <w:u w:val="single"/>
              </w:rPr>
              <w:t xml:space="preserve">            </w:t>
            </w:r>
            <w:r>
              <w:rPr>
                <w:rFonts w:hint="eastAsia" w:ascii="宋体" w:hAnsi="宋体" w:cs="宋体"/>
                <w:color w:val="auto"/>
                <w:highlight w:val="none"/>
              </w:rPr>
              <w:t>元</w:t>
            </w:r>
            <w:r>
              <w:rPr>
                <w:rFonts w:hint="eastAsia" w:ascii="宋体" w:hAnsi="宋体" w:cs="宋体"/>
                <w:color w:val="auto"/>
                <w:highlight w:val="none"/>
                <w:lang w:val="en-US" w:eastAsia="zh-CN"/>
              </w:rPr>
              <w:t>/年</w:t>
            </w:r>
            <w:r>
              <w:rPr>
                <w:rFonts w:hint="eastAsia" w:ascii="宋体" w:hAnsi="宋体" w:cs="宋体"/>
                <w:color w:val="auto"/>
                <w:highlight w:val="none"/>
              </w:rPr>
              <w:t>。</w:t>
            </w:r>
          </w:p>
          <w:p w14:paraId="4DDB0C49">
            <w:pPr>
              <w:rPr>
                <w:rFonts w:ascii="宋体" w:hAnsi="宋体" w:cs="宋体"/>
                <w:color w:val="auto"/>
                <w:highlight w:val="none"/>
              </w:rPr>
            </w:pPr>
          </w:p>
          <w:p w14:paraId="33CDCC8E">
            <w:pPr>
              <w:rPr>
                <w:rFonts w:ascii="宋体" w:hAnsi="宋体" w:cs="宋体"/>
                <w:color w:val="auto"/>
                <w:szCs w:val="21"/>
                <w:highlight w:val="none"/>
              </w:rPr>
            </w:pPr>
            <w:r>
              <w:rPr>
                <w:rFonts w:hint="eastAsia" w:ascii="宋体" w:hAnsi="宋体" w:cs="宋体"/>
                <w:color w:val="auto"/>
                <w:highlight w:val="none"/>
              </w:rPr>
              <w:t>大写：</w:t>
            </w:r>
            <w:r>
              <w:rPr>
                <w:rFonts w:hint="eastAsia" w:ascii="宋体" w:hAnsi="宋体" w:cs="宋体"/>
                <w:color w:val="auto"/>
                <w:highlight w:val="none"/>
                <w:lang w:val="en-US" w:eastAsia="zh-CN"/>
              </w:rPr>
              <w:t>每年</w:t>
            </w:r>
            <w:r>
              <w:rPr>
                <w:rFonts w:hint="eastAsia" w:ascii="宋体" w:hAnsi="宋体" w:cs="宋体"/>
                <w:color w:val="auto"/>
                <w:highlight w:val="none"/>
              </w:rPr>
              <w:t>人民币</w:t>
            </w:r>
            <w:r>
              <w:rPr>
                <w:rFonts w:hint="eastAsia" w:ascii="宋体" w:hAnsi="宋体" w:cs="宋体"/>
                <w:color w:val="auto"/>
                <w:highlight w:val="none"/>
                <w:u w:val="single"/>
              </w:rPr>
              <w:t xml:space="preserve">                  </w:t>
            </w:r>
            <w:r>
              <w:rPr>
                <w:rFonts w:hint="eastAsia" w:ascii="宋体" w:hAnsi="宋体" w:cs="宋体"/>
                <w:color w:val="auto"/>
                <w:highlight w:val="none"/>
              </w:rPr>
              <w:t>元整。</w:t>
            </w:r>
          </w:p>
        </w:tc>
      </w:tr>
    </w:tbl>
    <w:p w14:paraId="740E943B">
      <w:pPr>
        <w:spacing w:line="440" w:lineRule="exact"/>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注:1、报价一经涂改，应在涂改处加盖单位公章或者由法定代表人或授权委托人签名或盖章，否则其报价作无效标处理。</w:t>
      </w:r>
    </w:p>
    <w:p w14:paraId="31B3E85C">
      <w:pPr>
        <w:spacing w:line="440" w:lineRule="exact"/>
        <w:rPr>
          <w:rFonts w:asciiTheme="majorEastAsia" w:hAnsiTheme="majorEastAsia" w:eastAsiaTheme="majorEastAsia"/>
          <w:color w:val="auto"/>
          <w:szCs w:val="21"/>
          <w:highlight w:val="none"/>
        </w:rPr>
      </w:pPr>
    </w:p>
    <w:p w14:paraId="08D45077">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2816B850">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 xml:space="preserve">法定代表人（负责人）或授权代表（签字或盖章）：          </w:t>
      </w:r>
    </w:p>
    <w:p w14:paraId="3A68E618">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日期：</w:t>
      </w:r>
    </w:p>
    <w:p w14:paraId="6D8BF6BF">
      <w:pPr>
        <w:pStyle w:val="15"/>
        <w:ind w:firstLine="0"/>
        <w:rPr>
          <w:rFonts w:asciiTheme="majorEastAsia" w:hAnsiTheme="majorEastAsia" w:eastAsiaTheme="majorEastAsia"/>
          <w:color w:val="auto"/>
          <w:szCs w:val="21"/>
          <w:highlight w:val="none"/>
        </w:rPr>
      </w:pPr>
    </w:p>
    <w:p w14:paraId="65D7ACF6">
      <w:pPr>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br w:type="page"/>
      </w:r>
    </w:p>
    <w:p w14:paraId="6261684D">
      <w:pPr>
        <w:spacing w:line="440" w:lineRule="exact"/>
        <w:rPr>
          <w:rFonts w:asciiTheme="majorEastAsia" w:hAnsiTheme="majorEastAsia" w:eastAsiaTheme="majorEastAsia"/>
          <w:b/>
          <w:bCs/>
          <w:color w:val="auto"/>
          <w:szCs w:val="21"/>
          <w:highlight w:val="none"/>
        </w:rPr>
      </w:pPr>
      <w:r>
        <w:rPr>
          <w:rFonts w:asciiTheme="majorEastAsia" w:hAnsiTheme="majorEastAsia" w:eastAsiaTheme="majorEastAsia"/>
          <w:b/>
          <w:bCs/>
          <w:color w:val="auto"/>
          <w:szCs w:val="21"/>
          <w:highlight w:val="none"/>
        </w:rPr>
        <w:t>格式十</w:t>
      </w:r>
      <w:r>
        <w:rPr>
          <w:rFonts w:hint="eastAsia" w:asciiTheme="majorEastAsia" w:hAnsiTheme="majorEastAsia" w:eastAsiaTheme="majorEastAsia"/>
          <w:b/>
          <w:bCs/>
          <w:color w:val="auto"/>
          <w:szCs w:val="21"/>
          <w:highlight w:val="none"/>
          <w:lang w:val="en-US" w:eastAsia="zh-CN"/>
        </w:rPr>
        <w:t>一</w:t>
      </w:r>
      <w:r>
        <w:rPr>
          <w:rFonts w:asciiTheme="majorEastAsia" w:hAnsiTheme="majorEastAsia" w:eastAsiaTheme="majorEastAsia"/>
          <w:b/>
          <w:bCs/>
          <w:color w:val="auto"/>
          <w:szCs w:val="21"/>
          <w:highlight w:val="none"/>
        </w:rPr>
        <w:t>：</w:t>
      </w:r>
    </w:p>
    <w:p w14:paraId="0DD7B9BC">
      <w:pPr>
        <w:spacing w:line="360" w:lineRule="auto"/>
        <w:jc w:val="center"/>
        <w:rPr>
          <w:rFonts w:ascii="宋体" w:hAnsi="宋体"/>
          <w:b/>
          <w:color w:val="auto"/>
          <w:szCs w:val="21"/>
          <w:highlight w:val="none"/>
        </w:rPr>
      </w:pPr>
      <w:r>
        <w:rPr>
          <w:rFonts w:hint="eastAsia" w:ascii="宋体" w:hAnsi="宋体"/>
          <w:b/>
          <w:color w:val="auto"/>
          <w:szCs w:val="21"/>
          <w:highlight w:val="none"/>
          <w:lang w:val="en-US" w:eastAsia="zh-CN"/>
        </w:rPr>
        <w:t>分项</w:t>
      </w:r>
      <w:r>
        <w:rPr>
          <w:rFonts w:hint="eastAsia" w:ascii="宋体" w:hAnsi="宋体"/>
          <w:b/>
          <w:color w:val="auto"/>
          <w:szCs w:val="21"/>
          <w:highlight w:val="none"/>
        </w:rPr>
        <w:t>报价表</w:t>
      </w:r>
    </w:p>
    <w:p w14:paraId="4EB02C64">
      <w:pPr>
        <w:pStyle w:val="25"/>
        <w:spacing w:before="120" w:after="120"/>
        <w:rPr>
          <w:rFonts w:hint="eastAsia" w:eastAsia="宋体"/>
          <w:color w:val="auto"/>
          <w:highlight w:val="none"/>
          <w:lang w:eastAsia="zh-CN"/>
        </w:rPr>
      </w:pPr>
      <w:r>
        <w:rPr>
          <w:rFonts w:hint="eastAsia"/>
          <w:color w:val="auto"/>
          <w:highlight w:val="none"/>
        </w:rPr>
        <w:t>项目名称:</w:t>
      </w:r>
      <w:r>
        <w:rPr>
          <w:rFonts w:hint="eastAsia"/>
          <w:color w:val="auto"/>
          <w:highlight w:val="none"/>
          <w:lang w:eastAsia="zh-CN"/>
        </w:rPr>
        <w:t>海曙区横街镇校园保安服务</w:t>
      </w:r>
    </w:p>
    <w:p w14:paraId="74617931">
      <w:pPr>
        <w:pStyle w:val="25"/>
        <w:spacing w:before="120" w:after="120"/>
        <w:rPr>
          <w:color w:val="auto"/>
          <w:highlight w:val="none"/>
        </w:rPr>
      </w:pPr>
      <w:r>
        <w:rPr>
          <w:rFonts w:hint="eastAsia"/>
          <w:color w:val="auto"/>
          <w:highlight w:val="none"/>
        </w:rPr>
        <w:t>项目编号:</w:t>
      </w:r>
      <w:r>
        <w:rPr>
          <w:rFonts w:hint="eastAsia"/>
          <w:color w:val="auto"/>
          <w:highlight w:val="none"/>
          <w:lang w:eastAsia="zh-CN"/>
        </w:rPr>
        <w:t>2025NBHSWCS061</w:t>
      </w:r>
      <w:r>
        <w:rPr>
          <w:rFonts w:hint="eastAsia"/>
          <w:color w:val="auto"/>
          <w:highlight w:val="none"/>
        </w:rPr>
        <w:t xml:space="preserve"> </w:t>
      </w:r>
    </w:p>
    <w:p w14:paraId="4EF83E79">
      <w:pPr>
        <w:spacing w:line="440" w:lineRule="exact"/>
        <w:rPr>
          <w:rFonts w:asciiTheme="majorEastAsia" w:hAnsiTheme="majorEastAsia" w:eastAsiaTheme="majorEastAsia"/>
          <w:color w:val="auto"/>
          <w:szCs w:val="21"/>
          <w:highlight w:val="none"/>
        </w:rPr>
      </w:pPr>
    </w:p>
    <w:p w14:paraId="6C0C803C">
      <w:pPr>
        <w:pStyle w:val="44"/>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格式自拟</w:t>
      </w:r>
    </w:p>
    <w:p w14:paraId="0EA74B13">
      <w:pPr>
        <w:pStyle w:val="2"/>
        <w:rPr>
          <w:color w:val="auto"/>
          <w:highlight w:val="none"/>
        </w:rPr>
      </w:pPr>
    </w:p>
    <w:p w14:paraId="6964624D">
      <w:pPr>
        <w:rPr>
          <w:color w:val="auto"/>
          <w:highlight w:val="none"/>
        </w:rPr>
      </w:pPr>
    </w:p>
    <w:p w14:paraId="69307F0D">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供应商全称（公章）：</w:t>
      </w:r>
    </w:p>
    <w:p w14:paraId="128361C2">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 xml:space="preserve">法定代表人（负责人）或授权代表（签字或盖章）：          </w:t>
      </w:r>
    </w:p>
    <w:p w14:paraId="0D019D57">
      <w:pPr>
        <w:spacing w:line="440" w:lineRule="exact"/>
        <w:rPr>
          <w:rFonts w:asciiTheme="majorEastAsia" w:hAnsiTheme="majorEastAsia" w:eastAsiaTheme="majorEastAsia"/>
          <w:color w:val="auto"/>
          <w:szCs w:val="21"/>
          <w:highlight w:val="none"/>
        </w:rPr>
      </w:pPr>
      <w:r>
        <w:rPr>
          <w:rFonts w:asciiTheme="majorEastAsia" w:hAnsiTheme="majorEastAsia" w:eastAsiaTheme="majorEastAsia"/>
          <w:color w:val="auto"/>
          <w:szCs w:val="21"/>
          <w:highlight w:val="none"/>
        </w:rPr>
        <w:t>日期：</w:t>
      </w:r>
    </w:p>
    <w:p w14:paraId="2F19E30A">
      <w:pPr>
        <w:rPr>
          <w:color w:val="auto"/>
          <w:highlight w:val="none"/>
        </w:rPr>
        <w:sectPr>
          <w:headerReference r:id="rId13" w:type="default"/>
          <w:footerReference r:id="rId14" w:type="default"/>
          <w:footerReference r:id="rId15" w:type="even"/>
          <w:pgSz w:w="11906" w:h="16838"/>
          <w:pgMar w:top="1440" w:right="1800" w:bottom="1440" w:left="1800" w:header="851" w:footer="992" w:gutter="0"/>
          <w:cols w:space="720" w:num="1"/>
          <w:docGrid w:linePitch="602" w:charSpace="-1675"/>
        </w:sectPr>
      </w:pPr>
    </w:p>
    <w:p w14:paraId="42F3F38F">
      <w:pPr>
        <w:spacing w:line="440" w:lineRule="exact"/>
        <w:jc w:val="left"/>
        <w:rPr>
          <w:rFonts w:asciiTheme="majorEastAsia" w:hAnsiTheme="majorEastAsia" w:eastAsiaTheme="majorEastAsia"/>
          <w:b/>
          <w:color w:val="auto"/>
          <w:szCs w:val="21"/>
          <w:highlight w:val="none"/>
        </w:rPr>
      </w:pPr>
      <w:bookmarkStart w:id="42" w:name="_Toc476585060"/>
      <w:bookmarkStart w:id="43" w:name="_Toc25084"/>
      <w:r>
        <w:rPr>
          <w:rFonts w:asciiTheme="majorEastAsia" w:hAnsiTheme="majorEastAsia" w:eastAsiaTheme="majorEastAsia"/>
          <w:b/>
          <w:bCs/>
          <w:color w:val="auto"/>
          <w:szCs w:val="21"/>
          <w:highlight w:val="none"/>
        </w:rPr>
        <w:t>格式十</w:t>
      </w:r>
      <w:r>
        <w:rPr>
          <w:rFonts w:hint="eastAsia" w:asciiTheme="majorEastAsia" w:hAnsiTheme="majorEastAsia" w:eastAsiaTheme="majorEastAsia"/>
          <w:b/>
          <w:bCs/>
          <w:color w:val="auto"/>
          <w:szCs w:val="21"/>
          <w:highlight w:val="none"/>
          <w:lang w:val="en-US" w:eastAsia="zh-CN"/>
        </w:rPr>
        <w:t>二</w:t>
      </w:r>
      <w:r>
        <w:rPr>
          <w:rFonts w:asciiTheme="majorEastAsia" w:hAnsiTheme="majorEastAsia" w:eastAsiaTheme="majorEastAsia"/>
          <w:b/>
          <w:bCs/>
          <w:color w:val="auto"/>
          <w:szCs w:val="21"/>
          <w:highlight w:val="none"/>
        </w:rPr>
        <w:t>：</w:t>
      </w:r>
      <w:bookmarkEnd w:id="42"/>
    </w:p>
    <w:bookmarkEnd w:id="43"/>
    <w:p w14:paraId="5F614233">
      <w:pPr>
        <w:pStyle w:val="20"/>
        <w:spacing w:line="360" w:lineRule="auto"/>
        <w:ind w:firstLine="0"/>
        <w:contextualSpacing/>
        <w:jc w:val="center"/>
        <w:rPr>
          <w:rFonts w:hAnsi="宋体"/>
          <w:b/>
          <w:color w:val="auto"/>
          <w:sz w:val="21"/>
          <w:szCs w:val="21"/>
          <w:highlight w:val="none"/>
        </w:rPr>
      </w:pPr>
      <w:r>
        <w:rPr>
          <w:rFonts w:hint="eastAsia" w:hAnsi="宋体"/>
          <w:b/>
          <w:color w:val="auto"/>
          <w:sz w:val="21"/>
          <w:szCs w:val="21"/>
          <w:highlight w:val="none"/>
        </w:rPr>
        <w:t>中小企业声明函</w:t>
      </w:r>
    </w:p>
    <w:p w14:paraId="5DA5EF3C">
      <w:pPr>
        <w:spacing w:line="360" w:lineRule="auto"/>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　　本公司（联合体）郑重声明，根据《政府采购促进中小企业发展管理办法》（财库[2020]46号）的规定，本公司（联合体）参加</w:t>
      </w:r>
      <w:r>
        <w:rPr>
          <w:rFonts w:hint="eastAsia" w:ascii="宋体" w:hAnsi="宋体" w:cs="宋体"/>
          <w:color w:val="auto"/>
          <w:kern w:val="0"/>
          <w:szCs w:val="21"/>
          <w:highlight w:val="none"/>
          <w:u w:val="single"/>
          <w:lang w:eastAsia="zh-CN"/>
        </w:rPr>
        <w:t>宁波市海曙区横街镇人民政府</w:t>
      </w:r>
      <w:r>
        <w:rPr>
          <w:rFonts w:hint="eastAsia" w:ascii="宋体" w:hAnsi="宋体" w:cs="宋体"/>
          <w:color w:val="auto"/>
          <w:kern w:val="0"/>
          <w:szCs w:val="21"/>
          <w:highlight w:val="none"/>
        </w:rPr>
        <w:t>的</w:t>
      </w:r>
      <w:r>
        <w:rPr>
          <w:rFonts w:hint="eastAsia" w:ascii="宋体" w:hAnsi="宋体" w:cs="宋体"/>
          <w:color w:val="auto"/>
          <w:kern w:val="0"/>
          <w:szCs w:val="21"/>
          <w:highlight w:val="none"/>
          <w:u w:val="single"/>
          <w:lang w:eastAsia="zh-CN"/>
        </w:rPr>
        <w:t>海曙区横街镇校园保安服务</w:t>
      </w:r>
      <w:r>
        <w:rPr>
          <w:rFonts w:hint="eastAsia" w:ascii="宋体" w:hAnsi="宋体" w:cs="宋体"/>
          <w:color w:val="auto"/>
          <w:kern w:val="0"/>
          <w:szCs w:val="21"/>
          <w:highlight w:val="none"/>
        </w:rPr>
        <w:t>采购活动，服务全部由符合政策要求的中小企业承接。相关企业（含联合体中的中小企业、签订分包意向协议的中小企业）的具体情况如下：</w:t>
      </w:r>
    </w:p>
    <w:p w14:paraId="278431A9">
      <w:pPr>
        <w:pStyle w:val="2"/>
        <w:spacing w:after="0" w:line="360" w:lineRule="auto"/>
        <w:ind w:firstLineChars="200"/>
        <w:contextualSpacing/>
        <w:rPr>
          <w:rFonts w:ascii="宋体" w:hAnsi="宋体" w:cs="宋体"/>
          <w:color w:val="auto"/>
          <w:kern w:val="0"/>
          <w:szCs w:val="21"/>
          <w:highlight w:val="none"/>
        </w:rPr>
      </w:pPr>
      <w:r>
        <w:rPr>
          <w:rFonts w:hint="eastAsia" w:ascii="宋体" w:hAnsi="宋体"/>
          <w:color w:val="auto"/>
          <w:szCs w:val="21"/>
          <w:highlight w:val="none"/>
        </w:rPr>
        <w:t>1、</w:t>
      </w:r>
      <w:r>
        <w:rPr>
          <w:rFonts w:hint="eastAsia" w:ascii="宋体" w:hAnsi="宋体" w:cs="宋体"/>
          <w:color w:val="auto"/>
          <w:kern w:val="0"/>
          <w:szCs w:val="21"/>
          <w:highlight w:val="none"/>
          <w:u w:val="single"/>
        </w:rPr>
        <w:t xml:space="preserve"> 海曙区横街镇校园保安服务 </w:t>
      </w:r>
      <w:r>
        <w:rPr>
          <w:rFonts w:hint="eastAsia" w:ascii="宋体" w:hAnsi="宋体" w:cs="宋体"/>
          <w:color w:val="auto"/>
          <w:kern w:val="0"/>
          <w:szCs w:val="21"/>
          <w:highlight w:val="none"/>
        </w:rPr>
        <w:t>属于</w:t>
      </w:r>
      <w:r>
        <w:rPr>
          <w:rFonts w:hint="eastAsia"/>
          <w:color w:val="auto"/>
          <w:szCs w:val="21"/>
          <w:highlight w:val="none"/>
          <w:u w:val="single"/>
        </w:rPr>
        <w:t xml:space="preserve"> </w:t>
      </w:r>
      <w:r>
        <w:rPr>
          <w:rFonts w:hint="eastAsia" w:ascii="宋体" w:hAnsi="宋体"/>
          <w:b/>
          <w:bCs/>
          <w:color w:val="auto"/>
          <w:szCs w:val="21"/>
          <w:highlight w:val="none"/>
          <w:u w:val="single"/>
          <w:lang w:val="en-US" w:eastAsia="zh-CN" w:bidi="ar"/>
        </w:rPr>
        <w:t>租赁及商务服务业</w:t>
      </w:r>
      <w:r>
        <w:rPr>
          <w:rFonts w:hint="eastAsia"/>
          <w:color w:val="auto"/>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bidi="ar"/>
        </w:rPr>
        <w:t>承接</w:t>
      </w:r>
      <w:r>
        <w:rPr>
          <w:rFonts w:hint="eastAsia" w:ascii="宋体" w:hAnsi="宋体" w:cs="宋体"/>
          <w:color w:val="auto"/>
          <w:kern w:val="0"/>
          <w:szCs w:val="21"/>
          <w:highlight w:val="none"/>
        </w:rPr>
        <w:t>企业为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，从业人员</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人，营业收入为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万元，资产总额为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万元，属于</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（中型企业、小型企业、微型企业）；</w:t>
      </w:r>
    </w:p>
    <w:p w14:paraId="4D15863C">
      <w:pPr>
        <w:pStyle w:val="2"/>
        <w:spacing w:after="0" w:line="360" w:lineRule="auto"/>
        <w:ind w:firstLine="422" w:firstLineChars="200"/>
        <w:contextualSpacing/>
        <w:rPr>
          <w:rFonts w:ascii="宋体" w:hAnsi="宋体" w:cs="宋体"/>
          <w:b/>
          <w:bCs/>
          <w:color w:val="auto"/>
          <w:kern w:val="0"/>
          <w:szCs w:val="21"/>
          <w:highlight w:val="none"/>
        </w:rPr>
      </w:pPr>
      <w:r>
        <w:rPr>
          <w:rFonts w:hint="eastAsia" w:ascii="宋体" w:hAnsi="宋体" w:cs="宋体"/>
          <w:b/>
          <w:bCs/>
          <w:color w:val="auto"/>
          <w:kern w:val="0"/>
          <w:szCs w:val="21"/>
          <w:highlight w:val="none"/>
        </w:rPr>
        <w:t>以上企业，不属于大企业的分支机构，不存在控股股东为大企业的情形，也不存在与大企业的负责人为同一人的情形。</w:t>
      </w:r>
    </w:p>
    <w:p w14:paraId="63131E0B">
      <w:pPr>
        <w:pStyle w:val="2"/>
        <w:spacing w:after="0" w:line="360" w:lineRule="auto"/>
        <w:ind w:firstLineChars="200"/>
        <w:contextualSpacing/>
        <w:rPr>
          <w:rFonts w:ascii="宋体" w:hAnsi="宋体" w:cs="宋体"/>
          <w:color w:val="auto"/>
          <w:kern w:val="0"/>
          <w:szCs w:val="21"/>
          <w:highlight w:val="none"/>
        </w:rPr>
      </w:pPr>
      <w:r>
        <w:rPr>
          <w:rFonts w:hint="eastAsia" w:ascii="宋体" w:hAnsi="宋体" w:cs="宋体"/>
          <w:color w:val="auto"/>
          <w:kern w:val="0"/>
          <w:szCs w:val="21"/>
          <w:highlight w:val="none"/>
        </w:rPr>
        <w:t>本企业对上述声明内容的真实性负责。如有虚假，将依法承担相应责任。</w:t>
      </w:r>
    </w:p>
    <w:p w14:paraId="00AFE488">
      <w:pPr>
        <w:pStyle w:val="2"/>
        <w:spacing w:after="0" w:line="360" w:lineRule="auto"/>
        <w:ind w:firstLine="210"/>
        <w:contextualSpacing/>
        <w:rPr>
          <w:rFonts w:ascii="宋体" w:hAnsi="宋体" w:cs="宋体"/>
          <w:color w:val="auto"/>
          <w:kern w:val="0"/>
          <w:szCs w:val="21"/>
          <w:highlight w:val="none"/>
        </w:rPr>
      </w:pPr>
    </w:p>
    <w:p w14:paraId="6E71F952">
      <w:pPr>
        <w:pStyle w:val="2"/>
        <w:spacing w:after="0" w:line="360" w:lineRule="auto"/>
        <w:ind w:firstLine="210"/>
        <w:contextualSpacing/>
        <w:rPr>
          <w:rFonts w:ascii="宋体" w:hAnsi="宋体" w:cs="宋体"/>
          <w:color w:val="auto"/>
          <w:kern w:val="0"/>
          <w:szCs w:val="21"/>
          <w:highlight w:val="none"/>
        </w:rPr>
      </w:pPr>
    </w:p>
    <w:p w14:paraId="631299A9">
      <w:pPr>
        <w:pStyle w:val="2"/>
        <w:spacing w:after="0" w:line="360" w:lineRule="auto"/>
        <w:ind w:firstLine="210"/>
        <w:contextualSpacing/>
        <w:rPr>
          <w:rFonts w:ascii="宋体" w:hAnsi="宋体" w:cs="宋体"/>
          <w:color w:val="auto"/>
          <w:kern w:val="0"/>
          <w:szCs w:val="21"/>
          <w:highlight w:val="none"/>
        </w:rPr>
      </w:pPr>
      <w:r>
        <w:rPr>
          <w:rFonts w:hint="eastAsia" w:ascii="宋体" w:hAnsi="宋体" w:cs="宋体"/>
          <w:color w:val="auto"/>
          <w:kern w:val="0"/>
          <w:szCs w:val="21"/>
          <w:highlight w:val="none"/>
        </w:rPr>
        <w:t>企业名称（盖章）：</w:t>
      </w:r>
    </w:p>
    <w:p w14:paraId="4C112B8F">
      <w:pPr>
        <w:pStyle w:val="2"/>
        <w:spacing w:after="0" w:line="360" w:lineRule="auto"/>
        <w:ind w:firstLine="210"/>
        <w:contextualSpacing/>
        <w:rPr>
          <w:rFonts w:ascii="宋体" w:hAnsi="宋体" w:cs="宋体"/>
          <w:color w:val="auto"/>
          <w:kern w:val="0"/>
          <w:szCs w:val="21"/>
          <w:highlight w:val="none"/>
        </w:rPr>
      </w:pPr>
      <w:r>
        <w:rPr>
          <w:rFonts w:hint="eastAsia" w:ascii="宋体" w:hAnsi="宋体" w:cs="宋体"/>
          <w:color w:val="auto"/>
          <w:kern w:val="0"/>
          <w:szCs w:val="21"/>
          <w:highlight w:val="none"/>
        </w:rPr>
        <w:t>日期：</w:t>
      </w:r>
    </w:p>
    <w:p w14:paraId="5722BF73">
      <w:pPr>
        <w:pStyle w:val="2"/>
        <w:spacing w:after="0" w:line="360" w:lineRule="auto"/>
        <w:ind w:firstLine="210"/>
        <w:contextualSpacing/>
        <w:rPr>
          <w:rFonts w:ascii="宋体" w:hAnsi="宋体" w:cs="宋体"/>
          <w:color w:val="auto"/>
          <w:kern w:val="0"/>
          <w:szCs w:val="21"/>
          <w:highlight w:val="none"/>
        </w:rPr>
      </w:pPr>
    </w:p>
    <w:p w14:paraId="1A9F2D17">
      <w:pPr>
        <w:pStyle w:val="2"/>
        <w:spacing w:after="0" w:line="360" w:lineRule="auto"/>
        <w:ind w:firstLine="210"/>
        <w:contextualSpacing/>
        <w:rPr>
          <w:rFonts w:ascii="宋体" w:hAnsi="宋体" w:cs="宋体"/>
          <w:color w:val="auto"/>
          <w:kern w:val="0"/>
          <w:szCs w:val="21"/>
          <w:highlight w:val="none"/>
        </w:rPr>
      </w:pPr>
      <w:r>
        <w:rPr>
          <w:rFonts w:hint="eastAsia" w:ascii="宋体" w:hAnsi="宋体" w:cs="宋体"/>
          <w:color w:val="auto"/>
          <w:kern w:val="0"/>
          <w:szCs w:val="21"/>
          <w:highlight w:val="none"/>
        </w:rPr>
        <w:t>注：从业人员、营业收入、资产总额填报上一年度数据，无上一年度数据的新成立企业可不填报。</w:t>
      </w:r>
    </w:p>
    <w:p w14:paraId="67189E11">
      <w:pPr>
        <w:spacing w:line="440" w:lineRule="exact"/>
        <w:rPr>
          <w:rFonts w:asciiTheme="majorEastAsia" w:hAnsiTheme="majorEastAsia" w:eastAsiaTheme="majorEastAsia"/>
          <w:b/>
          <w:bCs/>
          <w:color w:val="auto"/>
          <w:szCs w:val="21"/>
          <w:highlight w:val="none"/>
        </w:rPr>
      </w:pPr>
    </w:p>
    <w:p w14:paraId="306A920C">
      <w:pPr>
        <w:spacing w:line="440" w:lineRule="exact"/>
        <w:rPr>
          <w:rFonts w:asciiTheme="majorEastAsia" w:hAnsiTheme="majorEastAsia" w:eastAsiaTheme="majorEastAsia"/>
          <w:b/>
          <w:bCs/>
          <w:color w:val="auto"/>
          <w:sz w:val="18"/>
          <w:szCs w:val="18"/>
          <w:highlight w:val="none"/>
        </w:rPr>
      </w:pPr>
      <w:r>
        <w:rPr>
          <w:rFonts w:hint="eastAsia" w:asciiTheme="majorEastAsia" w:hAnsiTheme="majorEastAsia" w:eastAsiaTheme="majorEastAsia"/>
          <w:b/>
          <w:bCs/>
          <w:color w:val="auto"/>
          <w:sz w:val="18"/>
          <w:szCs w:val="18"/>
          <w:highlight w:val="none"/>
        </w:rPr>
        <w:t>风险提示：</w:t>
      </w:r>
    </w:p>
    <w:p w14:paraId="065D7B9D">
      <w:pPr>
        <w:spacing w:line="440" w:lineRule="exact"/>
        <w:ind w:firstLine="360" w:firstLineChars="200"/>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1、《中小企业声明函》由参加投标的供应商提交并对其真实性负责。</w:t>
      </w:r>
    </w:p>
    <w:p w14:paraId="165BBB36">
      <w:pPr>
        <w:spacing w:line="440" w:lineRule="exact"/>
        <w:ind w:firstLine="360" w:firstLineChars="200"/>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2、中标、成交供应商享受《政府采购促进中小企业发展管理办法》（财库[2020]46号）规定的中小企业扶持政策的，</w:t>
      </w:r>
      <w:r>
        <w:rPr>
          <w:rFonts w:hint="eastAsia" w:asciiTheme="majorEastAsia" w:hAnsiTheme="majorEastAsia" w:eastAsiaTheme="majorEastAsia"/>
          <w:b/>
          <w:bCs/>
          <w:color w:val="auto"/>
          <w:sz w:val="18"/>
          <w:szCs w:val="18"/>
          <w:highlight w:val="none"/>
        </w:rPr>
        <w:t>采购人、采购代理机构应当随中标、成交结果公开中标、成交供应商的《中小企业声明函》</w:t>
      </w:r>
      <w:r>
        <w:rPr>
          <w:rFonts w:hint="eastAsia" w:asciiTheme="majorEastAsia" w:hAnsiTheme="majorEastAsia" w:eastAsiaTheme="majorEastAsia"/>
          <w:color w:val="auto"/>
          <w:sz w:val="18"/>
          <w:szCs w:val="18"/>
          <w:highlight w:val="none"/>
        </w:rPr>
        <w:t>。</w:t>
      </w:r>
    </w:p>
    <w:p w14:paraId="0A6D5805">
      <w:pPr>
        <w:spacing w:line="440" w:lineRule="exact"/>
        <w:ind w:firstLine="360" w:firstLineChars="200"/>
        <w:rPr>
          <w:rFonts w:eastAsiaTheme="majorEastAsia"/>
          <w:color w:val="auto"/>
          <w:sz w:val="18"/>
          <w:szCs w:val="18"/>
          <w:highlight w:val="none"/>
        </w:rPr>
      </w:pPr>
      <w:r>
        <w:rPr>
          <w:rFonts w:hint="eastAsia" w:asciiTheme="majorEastAsia" w:hAnsiTheme="majorEastAsia" w:eastAsiaTheme="majorEastAsia"/>
          <w:color w:val="auto"/>
          <w:sz w:val="18"/>
          <w:szCs w:val="18"/>
          <w:highlight w:val="none"/>
        </w:rPr>
        <w:t>3、供应商按照《政府采购促进中小企业发展管理办法》（财库[2020]46号）规定提供声明函内容不实的，属于</w:t>
      </w:r>
      <w:r>
        <w:rPr>
          <w:rFonts w:hint="eastAsia" w:asciiTheme="majorEastAsia" w:hAnsiTheme="majorEastAsia" w:eastAsiaTheme="majorEastAsia"/>
          <w:b/>
          <w:bCs/>
          <w:color w:val="auto"/>
          <w:sz w:val="18"/>
          <w:szCs w:val="18"/>
          <w:highlight w:val="none"/>
        </w:rPr>
        <w:t>提供虚假材料谋取中标、成交</w:t>
      </w:r>
      <w:r>
        <w:rPr>
          <w:rFonts w:hint="eastAsia" w:asciiTheme="majorEastAsia" w:hAnsiTheme="majorEastAsia" w:eastAsiaTheme="majorEastAsia"/>
          <w:color w:val="auto"/>
          <w:sz w:val="18"/>
          <w:szCs w:val="18"/>
          <w:highlight w:val="none"/>
        </w:rPr>
        <w:t>，依照《中华人民共和国政府采购法》等国家有关规定追究相应责任。</w:t>
      </w:r>
    </w:p>
    <w:p w14:paraId="5E486D37">
      <w:pPr>
        <w:rPr>
          <w:rFonts w:hAnsi="宋体"/>
          <w:b/>
          <w:color w:val="auto"/>
          <w:szCs w:val="21"/>
          <w:highlight w:val="none"/>
        </w:rPr>
      </w:pPr>
      <w:r>
        <w:rPr>
          <w:rFonts w:hint="eastAsia" w:hAnsi="宋体"/>
          <w:b/>
          <w:color w:val="auto"/>
          <w:szCs w:val="21"/>
          <w:highlight w:val="none"/>
        </w:rPr>
        <w:br w:type="page"/>
      </w:r>
    </w:p>
    <w:p w14:paraId="0F22D459">
      <w:pPr>
        <w:spacing w:line="440" w:lineRule="exact"/>
        <w:rPr>
          <w:rFonts w:ascii="宋体" w:hAnsi="宋体"/>
          <w:color w:val="auto"/>
          <w:szCs w:val="21"/>
          <w:highlight w:val="none"/>
        </w:rPr>
      </w:pPr>
      <w:r>
        <w:rPr>
          <w:rFonts w:hint="eastAsia" w:asciiTheme="majorEastAsia" w:hAnsiTheme="majorEastAsia" w:eastAsiaTheme="majorEastAsia"/>
          <w:b/>
          <w:color w:val="auto"/>
          <w:szCs w:val="21"/>
          <w:highlight w:val="none"/>
        </w:rPr>
        <w:t>格式十三：政府采购领域商业贿赂行为承诺书</w:t>
      </w:r>
    </w:p>
    <w:p w14:paraId="53682525">
      <w:pPr>
        <w:spacing w:line="440" w:lineRule="exact"/>
        <w:rPr>
          <w:rFonts w:ascii="宋体" w:hAnsi="宋体"/>
          <w:color w:val="auto"/>
          <w:szCs w:val="21"/>
          <w:highlight w:val="none"/>
        </w:rPr>
      </w:pPr>
    </w:p>
    <w:p w14:paraId="04F5FFD1">
      <w:pPr>
        <w:spacing w:line="440" w:lineRule="exact"/>
        <w:jc w:val="center"/>
        <w:rPr>
          <w:rFonts w:ascii="宋体" w:hAnsi="宋体"/>
          <w:color w:val="auto"/>
          <w:szCs w:val="21"/>
          <w:highlight w:val="none"/>
        </w:rPr>
      </w:pPr>
      <w:r>
        <w:rPr>
          <w:rFonts w:hint="eastAsia" w:ascii="宋体" w:hAnsi="宋体"/>
          <w:b/>
          <w:bCs/>
          <w:color w:val="auto"/>
          <w:sz w:val="28"/>
          <w:szCs w:val="28"/>
          <w:highlight w:val="none"/>
        </w:rPr>
        <w:t>政府采购领域商业贿赂行为承诺书</w:t>
      </w:r>
    </w:p>
    <w:p w14:paraId="01145813">
      <w:pPr>
        <w:spacing w:line="360" w:lineRule="auto"/>
        <w:textAlignment w:val="baseline"/>
        <w:rPr>
          <w:rFonts w:ascii="宋体" w:hAnsi="宋体" w:cs="宋体"/>
          <w:b/>
          <w:bCs/>
          <w:color w:val="auto"/>
          <w:kern w:val="0"/>
          <w:szCs w:val="21"/>
          <w:highlight w:val="none"/>
        </w:rPr>
      </w:pPr>
      <w:r>
        <w:rPr>
          <w:rFonts w:hint="eastAsia" w:ascii="宋体" w:hAnsi="宋体" w:cs="宋体"/>
          <w:b/>
          <w:color w:val="auto"/>
          <w:kern w:val="0"/>
          <w:szCs w:val="21"/>
          <w:highlight w:val="none"/>
        </w:rPr>
        <w:t>致：宁波之新招标咨询有限公司</w:t>
      </w:r>
    </w:p>
    <w:p w14:paraId="71A7C907">
      <w:pPr>
        <w:spacing w:line="360" w:lineRule="auto"/>
        <w:ind w:firstLine="420" w:firstLineChars="200"/>
        <w:textAlignment w:val="baseline"/>
        <w:rPr>
          <w:rFonts w:ascii="宋体" w:hAnsi="宋体" w:cs="宋体"/>
          <w:color w:val="auto"/>
          <w:kern w:val="0"/>
          <w:szCs w:val="21"/>
          <w:highlight w:val="none"/>
          <w:lang w:eastAsia="zh-TW"/>
        </w:rPr>
      </w:pPr>
      <w:r>
        <w:rPr>
          <w:rFonts w:hint="eastAsia" w:ascii="宋体" w:hAnsi="宋体" w:cs="宋体"/>
          <w:color w:val="auto"/>
          <w:kern w:val="0"/>
          <w:szCs w:val="21"/>
          <w:highlight w:val="none"/>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市、区政府的有关部署及要求，进一步规范政府采购行为，营造公平竞争的政府采购市场环境，维护政府采购制度良好声誉，在参与采购代理机构组织的政府采购活动中，我方庄重承诺：</w:t>
      </w:r>
    </w:p>
    <w:p w14:paraId="0E33E8C2">
      <w:pPr>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一、依法参与政府采购活动，遵纪守法，诚信经营，公平竞争。</w:t>
      </w:r>
    </w:p>
    <w:p w14:paraId="61A374CA">
      <w:pPr>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二、不向采购单位、采购代理机构和政府采购评审专家提供任何形式的商业贿赂；对索取或接受商业贿赂的单位和个人，及时向财政部门和纪检监察机关举报。</w:t>
      </w:r>
    </w:p>
    <w:p w14:paraId="43896902">
      <w:pPr>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三、不以提供虚假资质文件等形式参与政府采购活动，不以虚假材料谋取中标。</w:t>
      </w:r>
    </w:p>
    <w:p w14:paraId="1A8FCDB9">
      <w:pPr>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四、不采取不正当手段诋毁、排挤其他供应商，与其他参与政府采购活动供应商保持良性的竞争关系。</w:t>
      </w:r>
    </w:p>
    <w:p w14:paraId="2B30AD8D">
      <w:pPr>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五、不与采购单位、采购代理机构和政府采购评审专家恶意串通，自觉维护政府采购公平竞争的市场秩序。</w:t>
      </w:r>
    </w:p>
    <w:p w14:paraId="1240EFF5">
      <w:pPr>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六、不与其他供应商串通采取围标、陪标等商业欺诈手段谋取中标，积极维护国家利益、社会公共利益和采购单位的合法权益。</w:t>
      </w:r>
    </w:p>
    <w:p w14:paraId="466B6FE8">
      <w:pPr>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七、严格履行政府采购合同约定义务，不在政府采购合同执行过程中采取降低质量或标准、减少数量、拖延交付时间等方式损害采购单位的利益，并自觉承担违约责任。</w:t>
      </w:r>
    </w:p>
    <w:p w14:paraId="2A9DF2FC">
      <w:pPr>
        <w:spacing w:line="360" w:lineRule="auto"/>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八、自觉接受并积极配合财政部门和纪检监察机关依法实施的监督检查，如实反映情况，及时提供有关证明材料。</w:t>
      </w:r>
    </w:p>
    <w:p w14:paraId="3EDC3F3F">
      <w:pPr>
        <w:pStyle w:val="133"/>
        <w:adjustRightInd/>
        <w:spacing w:line="360" w:lineRule="auto"/>
        <w:ind w:left="0"/>
        <w:rPr>
          <w:color w:val="auto"/>
          <w:highlight w:val="none"/>
        </w:rPr>
      </w:pPr>
    </w:p>
    <w:p w14:paraId="5FD02761">
      <w:pPr>
        <w:spacing w:line="360" w:lineRule="auto"/>
        <w:ind w:firstLine="420" w:firstLineChars="200"/>
        <w:textAlignment w:val="baseline"/>
        <w:rPr>
          <w:rFonts w:ascii="宋体" w:hAnsi="宋体" w:cs="宋体"/>
          <w:color w:val="auto"/>
          <w:szCs w:val="21"/>
          <w:highlight w:val="none"/>
          <w:u w:val="single"/>
        </w:rPr>
      </w:pPr>
      <w:r>
        <w:rPr>
          <w:rFonts w:hint="eastAsia" w:ascii="宋体" w:hAnsi="宋体" w:cs="宋体"/>
          <w:color w:val="auto"/>
          <w:szCs w:val="21"/>
          <w:highlight w:val="none"/>
        </w:rPr>
        <w:t>供应商名称（并加盖公章）：</w:t>
      </w:r>
      <w:r>
        <w:rPr>
          <w:rFonts w:hint="eastAsia" w:ascii="宋体" w:hAnsi="宋体" w:cs="宋体"/>
          <w:color w:val="auto"/>
          <w:szCs w:val="21"/>
          <w:highlight w:val="none"/>
          <w:u w:val="single"/>
        </w:rPr>
        <w:t xml:space="preserve">                             </w:t>
      </w:r>
    </w:p>
    <w:p w14:paraId="78CD9EF9">
      <w:pPr>
        <w:spacing w:line="360" w:lineRule="auto"/>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法定代表人或其授权代表（签名或印章）：</w:t>
      </w:r>
      <w:r>
        <w:rPr>
          <w:rFonts w:hint="eastAsia" w:ascii="宋体" w:hAnsi="宋体" w:cs="宋体"/>
          <w:color w:val="auto"/>
          <w:szCs w:val="21"/>
          <w:highlight w:val="none"/>
          <w:u w:val="single"/>
        </w:rPr>
        <w:t xml:space="preserve">                   </w:t>
      </w:r>
    </w:p>
    <w:p w14:paraId="6A84197A">
      <w:pPr>
        <w:spacing w:line="360" w:lineRule="auto"/>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50537F5B">
      <w:pPr>
        <w:spacing w:line="440" w:lineRule="exact"/>
        <w:rPr>
          <w:rFonts w:ascii="宋体" w:hAnsi="宋体"/>
          <w:color w:val="auto"/>
          <w:szCs w:val="21"/>
          <w:highlight w:val="none"/>
        </w:rPr>
      </w:pPr>
    </w:p>
    <w:p w14:paraId="6896FF3D">
      <w:pPr>
        <w:pStyle w:val="44"/>
        <w:ind w:firstLine="344"/>
        <w:rPr>
          <w:color w:val="auto"/>
          <w:highlight w:val="none"/>
        </w:rPr>
        <w:sectPr>
          <w:pgSz w:w="11907" w:h="16840"/>
          <w:pgMar w:top="1440" w:right="1800" w:bottom="1440" w:left="1800" w:header="709" w:footer="1134" w:gutter="0"/>
          <w:cols w:space="720" w:num="1"/>
          <w:docGrid w:linePitch="285" w:charSpace="0"/>
        </w:sectPr>
      </w:pPr>
    </w:p>
    <w:tbl>
      <w:tblPr>
        <w:tblStyle w:val="45"/>
        <w:tblpPr w:leftFromText="180" w:rightFromText="180" w:vertAnchor="page" w:horzAnchor="margin" w:tblpXSpec="center" w:tblpY="886"/>
        <w:tblW w:w="15318" w:type="dxa"/>
        <w:tblInd w:w="0" w:type="dxa"/>
        <w:tblLayout w:type="fixed"/>
        <w:tblCellMar>
          <w:top w:w="0" w:type="dxa"/>
          <w:left w:w="108" w:type="dxa"/>
          <w:bottom w:w="0" w:type="dxa"/>
          <w:right w:w="108" w:type="dxa"/>
        </w:tblCellMar>
      </w:tblPr>
      <w:tblGrid>
        <w:gridCol w:w="2376"/>
        <w:gridCol w:w="1498"/>
        <w:gridCol w:w="1763"/>
        <w:gridCol w:w="1660"/>
        <w:gridCol w:w="1240"/>
        <w:gridCol w:w="1480"/>
        <w:gridCol w:w="1520"/>
        <w:gridCol w:w="1285"/>
        <w:gridCol w:w="1275"/>
        <w:gridCol w:w="1221"/>
      </w:tblGrid>
      <w:tr w14:paraId="36DEB572">
        <w:tblPrEx>
          <w:tblCellMar>
            <w:top w:w="0" w:type="dxa"/>
            <w:left w:w="108" w:type="dxa"/>
            <w:bottom w:w="0" w:type="dxa"/>
            <w:right w:w="108" w:type="dxa"/>
          </w:tblCellMar>
        </w:tblPrEx>
        <w:trPr>
          <w:trHeight w:val="420" w:hRule="atLeast"/>
        </w:trPr>
        <w:tc>
          <w:tcPr>
            <w:tcW w:w="15318" w:type="dxa"/>
            <w:gridSpan w:val="10"/>
            <w:tcBorders>
              <w:top w:val="nil"/>
              <w:left w:val="nil"/>
              <w:bottom w:val="nil"/>
              <w:right w:val="nil"/>
            </w:tcBorders>
            <w:shd w:val="clear" w:color="auto" w:fill="auto"/>
            <w:vAlign w:val="bottom"/>
          </w:tcPr>
          <w:p w14:paraId="7B6AB014">
            <w:pPr>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中小微行业划型标准规定（根据工信部联企业〔2011〕300号制定）【以文件规定为准】</w:t>
            </w:r>
          </w:p>
        </w:tc>
      </w:tr>
      <w:tr w14:paraId="4D87449E">
        <w:tblPrEx>
          <w:tblCellMar>
            <w:top w:w="0" w:type="dxa"/>
            <w:left w:w="108" w:type="dxa"/>
            <w:bottom w:w="0" w:type="dxa"/>
            <w:right w:w="108" w:type="dxa"/>
          </w:tblCellMar>
        </w:tblPrEx>
        <w:trPr>
          <w:trHeight w:val="465" w:hRule="atLeast"/>
        </w:trPr>
        <w:tc>
          <w:tcPr>
            <w:tcW w:w="2376" w:type="dxa"/>
            <w:vMerge w:val="restart"/>
            <w:tcBorders>
              <w:top w:val="single" w:color="auto" w:sz="8" w:space="0"/>
              <w:left w:val="single" w:color="auto" w:sz="8" w:space="0"/>
              <w:bottom w:val="single" w:color="000000" w:sz="4" w:space="0"/>
              <w:right w:val="single" w:color="auto" w:sz="8" w:space="0"/>
            </w:tcBorders>
            <w:shd w:val="clear" w:color="auto" w:fill="auto"/>
            <w:vAlign w:val="center"/>
          </w:tcPr>
          <w:p w14:paraId="759FDEE3">
            <w:pPr>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行业</w:t>
            </w:r>
          </w:p>
        </w:tc>
        <w:tc>
          <w:tcPr>
            <w:tcW w:w="4921" w:type="dxa"/>
            <w:gridSpan w:val="3"/>
            <w:tcBorders>
              <w:top w:val="single" w:color="auto" w:sz="8" w:space="0"/>
              <w:left w:val="nil"/>
              <w:bottom w:val="single" w:color="auto" w:sz="4" w:space="0"/>
              <w:right w:val="single" w:color="000000" w:sz="8" w:space="0"/>
            </w:tcBorders>
            <w:shd w:val="clear" w:color="auto" w:fill="auto"/>
            <w:vAlign w:val="bottom"/>
          </w:tcPr>
          <w:p w14:paraId="6199685D">
            <w:pPr>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中型企业</w:t>
            </w:r>
          </w:p>
        </w:tc>
        <w:tc>
          <w:tcPr>
            <w:tcW w:w="4240" w:type="dxa"/>
            <w:gridSpan w:val="3"/>
            <w:tcBorders>
              <w:top w:val="single" w:color="auto" w:sz="8" w:space="0"/>
              <w:left w:val="nil"/>
              <w:bottom w:val="single" w:color="auto" w:sz="4" w:space="0"/>
              <w:right w:val="single" w:color="000000" w:sz="8" w:space="0"/>
            </w:tcBorders>
            <w:shd w:val="clear" w:color="auto" w:fill="auto"/>
            <w:vAlign w:val="bottom"/>
          </w:tcPr>
          <w:p w14:paraId="6EEB3B09">
            <w:pPr>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小型企业</w:t>
            </w:r>
          </w:p>
        </w:tc>
        <w:tc>
          <w:tcPr>
            <w:tcW w:w="3781" w:type="dxa"/>
            <w:gridSpan w:val="3"/>
            <w:tcBorders>
              <w:top w:val="single" w:color="auto" w:sz="8" w:space="0"/>
              <w:left w:val="nil"/>
              <w:bottom w:val="single" w:color="auto" w:sz="4" w:space="0"/>
              <w:right w:val="single" w:color="000000" w:sz="8" w:space="0"/>
            </w:tcBorders>
            <w:shd w:val="clear" w:color="auto" w:fill="auto"/>
            <w:vAlign w:val="bottom"/>
          </w:tcPr>
          <w:p w14:paraId="3CCE0E4C">
            <w:pPr>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微型企业</w:t>
            </w:r>
          </w:p>
        </w:tc>
      </w:tr>
      <w:tr w14:paraId="455BD5EC">
        <w:tblPrEx>
          <w:tblCellMar>
            <w:top w:w="0" w:type="dxa"/>
            <w:left w:w="108" w:type="dxa"/>
            <w:bottom w:w="0" w:type="dxa"/>
            <w:right w:w="108" w:type="dxa"/>
          </w:tblCellMar>
        </w:tblPrEx>
        <w:trPr>
          <w:trHeight w:val="525" w:hRule="atLeast"/>
        </w:trPr>
        <w:tc>
          <w:tcPr>
            <w:tcW w:w="2376" w:type="dxa"/>
            <w:vMerge w:val="continue"/>
            <w:tcBorders>
              <w:top w:val="single" w:color="auto" w:sz="8" w:space="0"/>
              <w:left w:val="single" w:color="auto" w:sz="8" w:space="0"/>
              <w:bottom w:val="single" w:color="000000" w:sz="4" w:space="0"/>
              <w:right w:val="single" w:color="auto" w:sz="8" w:space="0"/>
            </w:tcBorders>
            <w:shd w:val="clear" w:color="auto" w:fill="auto"/>
            <w:vAlign w:val="center"/>
          </w:tcPr>
          <w:p w14:paraId="6B20477F">
            <w:pPr>
              <w:jc w:val="left"/>
              <w:rPr>
                <w:rFonts w:ascii="宋体" w:hAnsi="宋体" w:cs="宋体"/>
                <w:b/>
                <w:bCs/>
                <w:color w:val="auto"/>
                <w:kern w:val="0"/>
                <w:sz w:val="18"/>
                <w:szCs w:val="18"/>
                <w:highlight w:val="none"/>
              </w:rPr>
            </w:pPr>
          </w:p>
        </w:tc>
        <w:tc>
          <w:tcPr>
            <w:tcW w:w="1498" w:type="dxa"/>
            <w:tcBorders>
              <w:top w:val="nil"/>
              <w:left w:val="nil"/>
              <w:bottom w:val="single" w:color="auto" w:sz="4" w:space="0"/>
              <w:right w:val="single" w:color="auto" w:sz="4" w:space="0"/>
            </w:tcBorders>
            <w:shd w:val="clear" w:color="auto" w:fill="auto"/>
            <w:vAlign w:val="bottom"/>
          </w:tcPr>
          <w:p w14:paraId="0603A3CC">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从业人员X（人）</w:t>
            </w:r>
          </w:p>
        </w:tc>
        <w:tc>
          <w:tcPr>
            <w:tcW w:w="1763" w:type="dxa"/>
            <w:tcBorders>
              <w:top w:val="nil"/>
              <w:left w:val="nil"/>
              <w:bottom w:val="single" w:color="auto" w:sz="4" w:space="0"/>
              <w:right w:val="single" w:color="auto" w:sz="4" w:space="0"/>
            </w:tcBorders>
            <w:shd w:val="clear" w:color="auto" w:fill="auto"/>
            <w:vAlign w:val="bottom"/>
          </w:tcPr>
          <w:p w14:paraId="076C7D90">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p w14:paraId="60D005E2">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60" w:type="dxa"/>
            <w:tcBorders>
              <w:top w:val="nil"/>
              <w:left w:val="nil"/>
              <w:bottom w:val="single" w:color="auto" w:sz="4" w:space="0"/>
              <w:right w:val="single" w:color="auto" w:sz="8" w:space="0"/>
            </w:tcBorders>
            <w:shd w:val="clear" w:color="auto" w:fill="auto"/>
            <w:vAlign w:val="bottom"/>
          </w:tcPr>
          <w:p w14:paraId="17A7253C">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p w14:paraId="365D0F9C">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240" w:type="dxa"/>
            <w:tcBorders>
              <w:top w:val="nil"/>
              <w:left w:val="nil"/>
              <w:bottom w:val="single" w:color="auto" w:sz="4" w:space="0"/>
              <w:right w:val="single" w:color="auto" w:sz="4" w:space="0"/>
            </w:tcBorders>
            <w:shd w:val="clear" w:color="auto" w:fill="auto"/>
            <w:vAlign w:val="bottom"/>
          </w:tcPr>
          <w:p w14:paraId="7189D847">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从业人员X（人）</w:t>
            </w:r>
          </w:p>
        </w:tc>
        <w:tc>
          <w:tcPr>
            <w:tcW w:w="1480" w:type="dxa"/>
            <w:tcBorders>
              <w:top w:val="nil"/>
              <w:left w:val="nil"/>
              <w:bottom w:val="single" w:color="auto" w:sz="4" w:space="0"/>
              <w:right w:val="single" w:color="auto" w:sz="4" w:space="0"/>
            </w:tcBorders>
            <w:shd w:val="clear" w:color="auto" w:fill="auto"/>
            <w:vAlign w:val="bottom"/>
          </w:tcPr>
          <w:p w14:paraId="1A1038B1">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p w14:paraId="285BC1DF">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520" w:type="dxa"/>
            <w:tcBorders>
              <w:top w:val="nil"/>
              <w:left w:val="nil"/>
              <w:bottom w:val="single" w:color="auto" w:sz="4" w:space="0"/>
              <w:right w:val="single" w:color="auto" w:sz="8" w:space="0"/>
            </w:tcBorders>
            <w:shd w:val="clear" w:color="auto" w:fill="auto"/>
            <w:vAlign w:val="bottom"/>
          </w:tcPr>
          <w:p w14:paraId="6EA696CD">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p w14:paraId="7CBCDB0E">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285" w:type="dxa"/>
            <w:tcBorders>
              <w:top w:val="nil"/>
              <w:left w:val="nil"/>
              <w:bottom w:val="single" w:color="auto" w:sz="4" w:space="0"/>
              <w:right w:val="single" w:color="auto" w:sz="4" w:space="0"/>
            </w:tcBorders>
            <w:shd w:val="clear" w:color="auto" w:fill="auto"/>
            <w:vAlign w:val="bottom"/>
          </w:tcPr>
          <w:p w14:paraId="775FDB10">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从业人员X（人）</w:t>
            </w:r>
          </w:p>
        </w:tc>
        <w:tc>
          <w:tcPr>
            <w:tcW w:w="1275" w:type="dxa"/>
            <w:tcBorders>
              <w:top w:val="nil"/>
              <w:left w:val="nil"/>
              <w:bottom w:val="single" w:color="auto" w:sz="4" w:space="0"/>
              <w:right w:val="single" w:color="auto" w:sz="4" w:space="0"/>
            </w:tcBorders>
            <w:shd w:val="clear" w:color="auto" w:fill="auto"/>
            <w:vAlign w:val="bottom"/>
          </w:tcPr>
          <w:p w14:paraId="53A22926">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营业收入Y（万元）</w:t>
            </w:r>
          </w:p>
        </w:tc>
        <w:tc>
          <w:tcPr>
            <w:tcW w:w="1221" w:type="dxa"/>
            <w:tcBorders>
              <w:top w:val="nil"/>
              <w:left w:val="nil"/>
              <w:bottom w:val="single" w:color="auto" w:sz="4" w:space="0"/>
              <w:right w:val="single" w:color="auto" w:sz="8" w:space="0"/>
            </w:tcBorders>
            <w:shd w:val="clear" w:color="auto" w:fill="auto"/>
            <w:vAlign w:val="bottom"/>
          </w:tcPr>
          <w:p w14:paraId="55542DC1">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资产总额Z（万元）</w:t>
            </w:r>
          </w:p>
        </w:tc>
      </w:tr>
      <w:tr w14:paraId="373F6930">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0EB2C668">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1、农林牧渔业</w:t>
            </w:r>
          </w:p>
        </w:tc>
        <w:tc>
          <w:tcPr>
            <w:tcW w:w="1498" w:type="dxa"/>
            <w:tcBorders>
              <w:top w:val="nil"/>
              <w:left w:val="nil"/>
              <w:bottom w:val="single" w:color="auto" w:sz="4" w:space="0"/>
              <w:right w:val="single" w:color="auto" w:sz="4" w:space="0"/>
            </w:tcBorders>
            <w:shd w:val="clear" w:color="auto" w:fill="auto"/>
            <w:vAlign w:val="bottom"/>
          </w:tcPr>
          <w:p w14:paraId="67A1BA2F">
            <w:pPr>
              <w:jc w:val="left"/>
              <w:rPr>
                <w:rFonts w:ascii="宋体" w:hAnsi="宋体" w:cs="宋体"/>
                <w:color w:val="auto"/>
                <w:kern w:val="0"/>
                <w:sz w:val="18"/>
                <w:szCs w:val="18"/>
                <w:highlight w:val="none"/>
              </w:rPr>
            </w:pPr>
          </w:p>
        </w:tc>
        <w:tc>
          <w:tcPr>
            <w:tcW w:w="1763" w:type="dxa"/>
            <w:tcBorders>
              <w:top w:val="nil"/>
              <w:left w:val="nil"/>
              <w:bottom w:val="single" w:color="auto" w:sz="4" w:space="0"/>
              <w:right w:val="single" w:color="auto" w:sz="4" w:space="0"/>
            </w:tcBorders>
            <w:shd w:val="clear" w:color="auto" w:fill="auto"/>
            <w:vAlign w:val="bottom"/>
          </w:tcPr>
          <w:p w14:paraId="14D0C99D">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660" w:type="dxa"/>
            <w:tcBorders>
              <w:top w:val="nil"/>
              <w:left w:val="nil"/>
              <w:bottom w:val="single" w:color="auto" w:sz="4" w:space="0"/>
              <w:right w:val="single" w:color="auto" w:sz="8" w:space="0"/>
            </w:tcBorders>
            <w:shd w:val="clear" w:color="auto" w:fill="auto"/>
            <w:vAlign w:val="bottom"/>
          </w:tcPr>
          <w:p w14:paraId="3804159B">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752E38E5">
            <w:pPr>
              <w:jc w:val="left"/>
              <w:rPr>
                <w:rFonts w:ascii="宋体" w:hAnsi="宋体" w:cs="宋体"/>
                <w:color w:val="auto"/>
                <w:kern w:val="0"/>
                <w:sz w:val="18"/>
                <w:szCs w:val="18"/>
                <w:highlight w:val="none"/>
              </w:rPr>
            </w:pPr>
          </w:p>
        </w:tc>
        <w:tc>
          <w:tcPr>
            <w:tcW w:w="1480" w:type="dxa"/>
            <w:tcBorders>
              <w:top w:val="nil"/>
              <w:left w:val="nil"/>
              <w:bottom w:val="single" w:color="auto" w:sz="4" w:space="0"/>
              <w:right w:val="single" w:color="auto" w:sz="4" w:space="0"/>
            </w:tcBorders>
            <w:shd w:val="clear" w:color="auto" w:fill="auto"/>
            <w:vAlign w:val="bottom"/>
          </w:tcPr>
          <w:p w14:paraId="791C4A13">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520" w:type="dxa"/>
            <w:tcBorders>
              <w:top w:val="nil"/>
              <w:left w:val="nil"/>
              <w:bottom w:val="single" w:color="auto" w:sz="4" w:space="0"/>
              <w:right w:val="single" w:color="auto" w:sz="8" w:space="0"/>
            </w:tcBorders>
            <w:shd w:val="clear" w:color="auto" w:fill="auto"/>
            <w:vAlign w:val="bottom"/>
          </w:tcPr>
          <w:p w14:paraId="03A19C29">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248298EB">
            <w:pPr>
              <w:jc w:val="left"/>
              <w:rPr>
                <w:rFonts w:ascii="宋体" w:hAnsi="宋体" w:cs="宋体"/>
                <w:color w:val="auto"/>
                <w:kern w:val="0"/>
                <w:sz w:val="18"/>
                <w:szCs w:val="18"/>
                <w:highlight w:val="none"/>
              </w:rPr>
            </w:pPr>
          </w:p>
        </w:tc>
        <w:tc>
          <w:tcPr>
            <w:tcW w:w="1275" w:type="dxa"/>
            <w:tcBorders>
              <w:top w:val="nil"/>
              <w:left w:val="nil"/>
              <w:bottom w:val="single" w:color="auto" w:sz="4" w:space="0"/>
              <w:right w:val="single" w:color="auto" w:sz="4" w:space="0"/>
            </w:tcBorders>
            <w:shd w:val="clear" w:color="auto" w:fill="auto"/>
            <w:vAlign w:val="bottom"/>
          </w:tcPr>
          <w:p w14:paraId="270ABA30">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c>
          <w:tcPr>
            <w:tcW w:w="1221" w:type="dxa"/>
            <w:tcBorders>
              <w:top w:val="nil"/>
              <w:left w:val="nil"/>
              <w:bottom w:val="single" w:color="auto" w:sz="4" w:space="0"/>
              <w:right w:val="single" w:color="auto" w:sz="8" w:space="0"/>
            </w:tcBorders>
            <w:shd w:val="clear" w:color="auto" w:fill="auto"/>
            <w:vAlign w:val="bottom"/>
          </w:tcPr>
          <w:p w14:paraId="19A6D42D">
            <w:pPr>
              <w:jc w:val="left"/>
              <w:rPr>
                <w:rFonts w:ascii="宋体" w:hAnsi="宋体" w:cs="宋体"/>
                <w:color w:val="auto"/>
                <w:kern w:val="0"/>
                <w:sz w:val="18"/>
                <w:szCs w:val="18"/>
                <w:highlight w:val="none"/>
              </w:rPr>
            </w:pPr>
          </w:p>
        </w:tc>
      </w:tr>
      <w:tr w14:paraId="75DB99F5">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65EB0738">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2、工业</w:t>
            </w:r>
          </w:p>
        </w:tc>
        <w:tc>
          <w:tcPr>
            <w:tcW w:w="1498" w:type="dxa"/>
            <w:tcBorders>
              <w:top w:val="nil"/>
              <w:left w:val="nil"/>
              <w:bottom w:val="single" w:color="auto" w:sz="4" w:space="0"/>
              <w:right w:val="single" w:color="auto" w:sz="4" w:space="0"/>
            </w:tcBorders>
            <w:shd w:val="clear" w:color="auto" w:fill="auto"/>
            <w:vAlign w:val="bottom"/>
          </w:tcPr>
          <w:p w14:paraId="540CC5A8">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63" w:type="dxa"/>
            <w:tcBorders>
              <w:top w:val="nil"/>
              <w:left w:val="nil"/>
              <w:bottom w:val="single" w:color="auto" w:sz="4" w:space="0"/>
              <w:right w:val="single" w:color="auto" w:sz="4" w:space="0"/>
            </w:tcBorders>
            <w:shd w:val="clear" w:color="auto" w:fill="auto"/>
            <w:vAlign w:val="bottom"/>
          </w:tcPr>
          <w:p w14:paraId="71103EF3">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660" w:type="dxa"/>
            <w:tcBorders>
              <w:top w:val="nil"/>
              <w:left w:val="nil"/>
              <w:bottom w:val="single" w:color="auto" w:sz="4" w:space="0"/>
              <w:right w:val="single" w:color="auto" w:sz="8" w:space="0"/>
            </w:tcBorders>
            <w:shd w:val="clear" w:color="auto" w:fill="auto"/>
            <w:vAlign w:val="bottom"/>
          </w:tcPr>
          <w:p w14:paraId="55F3C7CA">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0C029D2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480" w:type="dxa"/>
            <w:tcBorders>
              <w:top w:val="nil"/>
              <w:left w:val="nil"/>
              <w:bottom w:val="single" w:color="auto" w:sz="4" w:space="0"/>
              <w:right w:val="single" w:color="auto" w:sz="4" w:space="0"/>
            </w:tcBorders>
            <w:shd w:val="clear" w:color="auto" w:fill="auto"/>
            <w:vAlign w:val="bottom"/>
          </w:tcPr>
          <w:p w14:paraId="03F3D7D9">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520" w:type="dxa"/>
            <w:tcBorders>
              <w:top w:val="nil"/>
              <w:left w:val="nil"/>
              <w:bottom w:val="single" w:color="auto" w:sz="4" w:space="0"/>
              <w:right w:val="single" w:color="auto" w:sz="8" w:space="0"/>
            </w:tcBorders>
            <w:shd w:val="clear" w:color="auto" w:fill="auto"/>
            <w:vAlign w:val="bottom"/>
          </w:tcPr>
          <w:p w14:paraId="78BB400E">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77CC8FDB">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c>
          <w:tcPr>
            <w:tcW w:w="1275" w:type="dxa"/>
            <w:tcBorders>
              <w:top w:val="nil"/>
              <w:left w:val="nil"/>
              <w:bottom w:val="single" w:color="auto" w:sz="4" w:space="0"/>
              <w:right w:val="single" w:color="auto" w:sz="4" w:space="0"/>
            </w:tcBorders>
            <w:shd w:val="clear" w:color="auto" w:fill="auto"/>
            <w:vAlign w:val="bottom"/>
          </w:tcPr>
          <w:p w14:paraId="5B26610F">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c>
          <w:tcPr>
            <w:tcW w:w="1221" w:type="dxa"/>
            <w:tcBorders>
              <w:top w:val="nil"/>
              <w:left w:val="nil"/>
              <w:bottom w:val="single" w:color="auto" w:sz="4" w:space="0"/>
              <w:right w:val="single" w:color="auto" w:sz="8" w:space="0"/>
            </w:tcBorders>
            <w:shd w:val="clear" w:color="auto" w:fill="auto"/>
            <w:vAlign w:val="bottom"/>
          </w:tcPr>
          <w:p w14:paraId="6B411DF0">
            <w:pPr>
              <w:jc w:val="left"/>
              <w:rPr>
                <w:rFonts w:ascii="宋体" w:hAnsi="宋体" w:cs="宋体"/>
                <w:color w:val="auto"/>
                <w:kern w:val="0"/>
                <w:sz w:val="18"/>
                <w:szCs w:val="18"/>
                <w:highlight w:val="none"/>
              </w:rPr>
            </w:pPr>
          </w:p>
        </w:tc>
      </w:tr>
      <w:tr w14:paraId="303D55A4">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08FA5E4D">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3、建筑业</w:t>
            </w:r>
          </w:p>
        </w:tc>
        <w:tc>
          <w:tcPr>
            <w:tcW w:w="1498" w:type="dxa"/>
            <w:tcBorders>
              <w:top w:val="nil"/>
              <w:left w:val="nil"/>
              <w:bottom w:val="single" w:color="auto" w:sz="4" w:space="0"/>
              <w:right w:val="single" w:color="auto" w:sz="4" w:space="0"/>
            </w:tcBorders>
            <w:shd w:val="clear" w:color="auto" w:fill="auto"/>
            <w:vAlign w:val="bottom"/>
          </w:tcPr>
          <w:p w14:paraId="4FDC87C5">
            <w:pPr>
              <w:jc w:val="left"/>
              <w:rPr>
                <w:rFonts w:ascii="宋体" w:hAnsi="宋体" w:cs="宋体"/>
                <w:color w:val="auto"/>
                <w:kern w:val="0"/>
                <w:sz w:val="18"/>
                <w:szCs w:val="18"/>
                <w:highlight w:val="none"/>
              </w:rPr>
            </w:pPr>
          </w:p>
        </w:tc>
        <w:tc>
          <w:tcPr>
            <w:tcW w:w="1763" w:type="dxa"/>
            <w:tcBorders>
              <w:top w:val="nil"/>
              <w:left w:val="nil"/>
              <w:bottom w:val="single" w:color="auto" w:sz="4" w:space="0"/>
              <w:right w:val="single" w:color="auto" w:sz="4" w:space="0"/>
            </w:tcBorders>
            <w:shd w:val="clear" w:color="auto" w:fill="auto"/>
            <w:vAlign w:val="bottom"/>
          </w:tcPr>
          <w:p w14:paraId="120F04F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660" w:type="dxa"/>
            <w:tcBorders>
              <w:top w:val="nil"/>
              <w:left w:val="nil"/>
              <w:bottom w:val="single" w:color="auto" w:sz="4" w:space="0"/>
              <w:right w:val="single" w:color="auto" w:sz="8" w:space="0"/>
            </w:tcBorders>
            <w:shd w:val="clear" w:color="auto" w:fill="auto"/>
            <w:vAlign w:val="bottom"/>
          </w:tcPr>
          <w:p w14:paraId="5BEBA7E8">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240" w:type="dxa"/>
            <w:tcBorders>
              <w:top w:val="nil"/>
              <w:left w:val="nil"/>
              <w:bottom w:val="single" w:color="auto" w:sz="4" w:space="0"/>
              <w:right w:val="single" w:color="auto" w:sz="4" w:space="0"/>
            </w:tcBorders>
            <w:shd w:val="clear" w:color="auto" w:fill="auto"/>
            <w:vAlign w:val="bottom"/>
          </w:tcPr>
          <w:p w14:paraId="3929F1E8">
            <w:pPr>
              <w:jc w:val="left"/>
              <w:rPr>
                <w:rFonts w:ascii="宋体" w:hAnsi="宋体" w:cs="宋体"/>
                <w:color w:val="auto"/>
                <w:kern w:val="0"/>
                <w:sz w:val="18"/>
                <w:szCs w:val="18"/>
                <w:highlight w:val="none"/>
              </w:rPr>
            </w:pPr>
          </w:p>
        </w:tc>
        <w:tc>
          <w:tcPr>
            <w:tcW w:w="1480" w:type="dxa"/>
            <w:tcBorders>
              <w:top w:val="nil"/>
              <w:left w:val="nil"/>
              <w:bottom w:val="single" w:color="auto" w:sz="4" w:space="0"/>
              <w:right w:val="single" w:color="auto" w:sz="4" w:space="0"/>
            </w:tcBorders>
            <w:shd w:val="clear" w:color="auto" w:fill="auto"/>
            <w:vAlign w:val="bottom"/>
          </w:tcPr>
          <w:p w14:paraId="33883B23">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520" w:type="dxa"/>
            <w:tcBorders>
              <w:top w:val="nil"/>
              <w:left w:val="nil"/>
              <w:bottom w:val="single" w:color="auto" w:sz="4" w:space="0"/>
              <w:right w:val="single" w:color="auto" w:sz="8" w:space="0"/>
            </w:tcBorders>
            <w:shd w:val="clear" w:color="auto" w:fill="auto"/>
            <w:vAlign w:val="bottom"/>
          </w:tcPr>
          <w:p w14:paraId="4B436AE5">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285" w:type="dxa"/>
            <w:tcBorders>
              <w:top w:val="nil"/>
              <w:left w:val="nil"/>
              <w:bottom w:val="single" w:color="auto" w:sz="4" w:space="0"/>
              <w:right w:val="single" w:color="auto" w:sz="4" w:space="0"/>
            </w:tcBorders>
            <w:shd w:val="clear" w:color="auto" w:fill="auto"/>
            <w:vAlign w:val="bottom"/>
          </w:tcPr>
          <w:p w14:paraId="1AC57ED3">
            <w:pPr>
              <w:jc w:val="left"/>
              <w:rPr>
                <w:rFonts w:ascii="宋体" w:hAnsi="宋体" w:cs="宋体"/>
                <w:color w:val="auto"/>
                <w:kern w:val="0"/>
                <w:sz w:val="18"/>
                <w:szCs w:val="18"/>
                <w:highlight w:val="none"/>
              </w:rPr>
            </w:pPr>
          </w:p>
        </w:tc>
        <w:tc>
          <w:tcPr>
            <w:tcW w:w="1275" w:type="dxa"/>
            <w:tcBorders>
              <w:top w:val="nil"/>
              <w:left w:val="nil"/>
              <w:bottom w:val="single" w:color="auto" w:sz="4" w:space="0"/>
              <w:right w:val="single" w:color="auto" w:sz="4" w:space="0"/>
            </w:tcBorders>
            <w:shd w:val="clear" w:color="auto" w:fill="auto"/>
            <w:vAlign w:val="bottom"/>
          </w:tcPr>
          <w:p w14:paraId="00B44449">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c>
          <w:tcPr>
            <w:tcW w:w="1221" w:type="dxa"/>
            <w:tcBorders>
              <w:top w:val="nil"/>
              <w:left w:val="nil"/>
              <w:bottom w:val="single" w:color="auto" w:sz="4" w:space="0"/>
              <w:right w:val="single" w:color="auto" w:sz="8" w:space="0"/>
            </w:tcBorders>
            <w:shd w:val="clear" w:color="auto" w:fill="auto"/>
            <w:vAlign w:val="bottom"/>
          </w:tcPr>
          <w:p w14:paraId="59483840">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26A8E1BB">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764D46A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4、批发业</w:t>
            </w:r>
          </w:p>
        </w:tc>
        <w:tc>
          <w:tcPr>
            <w:tcW w:w="1498" w:type="dxa"/>
            <w:tcBorders>
              <w:top w:val="nil"/>
              <w:left w:val="nil"/>
              <w:bottom w:val="single" w:color="auto" w:sz="4" w:space="0"/>
              <w:right w:val="single" w:color="auto" w:sz="4" w:space="0"/>
            </w:tcBorders>
            <w:shd w:val="clear" w:color="auto" w:fill="auto"/>
            <w:vAlign w:val="bottom"/>
          </w:tcPr>
          <w:p w14:paraId="7EA18257">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763" w:type="dxa"/>
            <w:tcBorders>
              <w:top w:val="nil"/>
              <w:left w:val="nil"/>
              <w:bottom w:val="single" w:color="auto" w:sz="4" w:space="0"/>
              <w:right w:val="single" w:color="auto" w:sz="4" w:space="0"/>
            </w:tcBorders>
            <w:shd w:val="clear" w:color="auto" w:fill="auto"/>
            <w:vAlign w:val="bottom"/>
          </w:tcPr>
          <w:p w14:paraId="2D5ACD6C">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660" w:type="dxa"/>
            <w:tcBorders>
              <w:top w:val="nil"/>
              <w:left w:val="nil"/>
              <w:bottom w:val="single" w:color="auto" w:sz="4" w:space="0"/>
              <w:right w:val="single" w:color="auto" w:sz="8" w:space="0"/>
            </w:tcBorders>
            <w:shd w:val="clear" w:color="auto" w:fill="auto"/>
            <w:vAlign w:val="bottom"/>
          </w:tcPr>
          <w:p w14:paraId="65FD0979">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49E16086">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480" w:type="dxa"/>
            <w:tcBorders>
              <w:top w:val="nil"/>
              <w:left w:val="nil"/>
              <w:bottom w:val="single" w:color="auto" w:sz="4" w:space="0"/>
              <w:right w:val="single" w:color="auto" w:sz="4" w:space="0"/>
            </w:tcBorders>
            <w:shd w:val="clear" w:color="auto" w:fill="auto"/>
            <w:vAlign w:val="bottom"/>
          </w:tcPr>
          <w:p w14:paraId="54FAF4D7">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520" w:type="dxa"/>
            <w:tcBorders>
              <w:top w:val="nil"/>
              <w:left w:val="nil"/>
              <w:bottom w:val="single" w:color="auto" w:sz="4" w:space="0"/>
              <w:right w:val="single" w:color="auto" w:sz="8" w:space="0"/>
            </w:tcBorders>
            <w:shd w:val="clear" w:color="auto" w:fill="auto"/>
            <w:vAlign w:val="bottom"/>
          </w:tcPr>
          <w:p w14:paraId="65B4DD5C">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560520CB">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c>
          <w:tcPr>
            <w:tcW w:w="1275" w:type="dxa"/>
            <w:tcBorders>
              <w:top w:val="nil"/>
              <w:left w:val="nil"/>
              <w:bottom w:val="single" w:color="auto" w:sz="4" w:space="0"/>
              <w:right w:val="single" w:color="auto" w:sz="4" w:space="0"/>
            </w:tcBorders>
            <w:shd w:val="clear" w:color="auto" w:fill="auto"/>
            <w:vAlign w:val="bottom"/>
          </w:tcPr>
          <w:p w14:paraId="00C30D24">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c>
          <w:tcPr>
            <w:tcW w:w="1221" w:type="dxa"/>
            <w:tcBorders>
              <w:top w:val="nil"/>
              <w:left w:val="nil"/>
              <w:bottom w:val="single" w:color="auto" w:sz="4" w:space="0"/>
              <w:right w:val="single" w:color="auto" w:sz="8" w:space="0"/>
            </w:tcBorders>
            <w:shd w:val="clear" w:color="auto" w:fill="auto"/>
            <w:vAlign w:val="bottom"/>
          </w:tcPr>
          <w:p w14:paraId="079ED6F0">
            <w:pPr>
              <w:jc w:val="left"/>
              <w:rPr>
                <w:rFonts w:ascii="宋体" w:hAnsi="宋体" w:cs="宋体"/>
                <w:color w:val="auto"/>
                <w:kern w:val="0"/>
                <w:sz w:val="18"/>
                <w:szCs w:val="18"/>
                <w:highlight w:val="none"/>
              </w:rPr>
            </w:pPr>
          </w:p>
        </w:tc>
      </w:tr>
      <w:tr w14:paraId="158A1C87">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115D377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5、零售业</w:t>
            </w:r>
          </w:p>
        </w:tc>
        <w:tc>
          <w:tcPr>
            <w:tcW w:w="1498" w:type="dxa"/>
            <w:tcBorders>
              <w:top w:val="nil"/>
              <w:left w:val="nil"/>
              <w:bottom w:val="single" w:color="auto" w:sz="4" w:space="0"/>
              <w:right w:val="single" w:color="auto" w:sz="4" w:space="0"/>
            </w:tcBorders>
            <w:shd w:val="clear" w:color="auto" w:fill="auto"/>
            <w:vAlign w:val="bottom"/>
          </w:tcPr>
          <w:p w14:paraId="77028E6B">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763" w:type="dxa"/>
            <w:tcBorders>
              <w:top w:val="nil"/>
              <w:left w:val="nil"/>
              <w:bottom w:val="single" w:color="auto" w:sz="4" w:space="0"/>
              <w:right w:val="single" w:color="auto" w:sz="4" w:space="0"/>
            </w:tcBorders>
            <w:shd w:val="clear" w:color="auto" w:fill="auto"/>
            <w:vAlign w:val="bottom"/>
          </w:tcPr>
          <w:p w14:paraId="514EC47C">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660" w:type="dxa"/>
            <w:tcBorders>
              <w:top w:val="nil"/>
              <w:left w:val="nil"/>
              <w:bottom w:val="single" w:color="auto" w:sz="4" w:space="0"/>
              <w:right w:val="single" w:color="auto" w:sz="8" w:space="0"/>
            </w:tcBorders>
            <w:shd w:val="clear" w:color="auto" w:fill="auto"/>
            <w:vAlign w:val="bottom"/>
          </w:tcPr>
          <w:p w14:paraId="412BE221">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1CA5656C">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480" w:type="dxa"/>
            <w:tcBorders>
              <w:top w:val="nil"/>
              <w:left w:val="nil"/>
              <w:bottom w:val="single" w:color="auto" w:sz="4" w:space="0"/>
              <w:right w:val="single" w:color="auto" w:sz="4" w:space="0"/>
            </w:tcBorders>
            <w:shd w:val="clear" w:color="auto" w:fill="auto"/>
            <w:vAlign w:val="bottom"/>
          </w:tcPr>
          <w:p w14:paraId="055116C1">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520" w:type="dxa"/>
            <w:tcBorders>
              <w:top w:val="nil"/>
              <w:left w:val="nil"/>
              <w:bottom w:val="single" w:color="auto" w:sz="4" w:space="0"/>
              <w:right w:val="single" w:color="auto" w:sz="8" w:space="0"/>
            </w:tcBorders>
            <w:shd w:val="clear" w:color="auto" w:fill="auto"/>
            <w:vAlign w:val="bottom"/>
          </w:tcPr>
          <w:p w14:paraId="6C7F0B84">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0E802C3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c>
          <w:tcPr>
            <w:tcW w:w="1275" w:type="dxa"/>
            <w:tcBorders>
              <w:top w:val="nil"/>
              <w:left w:val="nil"/>
              <w:bottom w:val="single" w:color="auto" w:sz="4" w:space="0"/>
              <w:right w:val="single" w:color="auto" w:sz="4" w:space="0"/>
            </w:tcBorders>
            <w:shd w:val="clear" w:color="auto" w:fill="auto"/>
            <w:vAlign w:val="bottom"/>
          </w:tcPr>
          <w:p w14:paraId="13EB435F">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c>
          <w:tcPr>
            <w:tcW w:w="1221" w:type="dxa"/>
            <w:tcBorders>
              <w:top w:val="nil"/>
              <w:left w:val="nil"/>
              <w:bottom w:val="single" w:color="auto" w:sz="4" w:space="0"/>
              <w:right w:val="single" w:color="auto" w:sz="8" w:space="0"/>
            </w:tcBorders>
            <w:shd w:val="clear" w:color="auto" w:fill="auto"/>
            <w:vAlign w:val="bottom"/>
          </w:tcPr>
          <w:p w14:paraId="59CD5B09">
            <w:pPr>
              <w:jc w:val="left"/>
              <w:rPr>
                <w:rFonts w:ascii="宋体" w:hAnsi="宋体" w:cs="宋体"/>
                <w:color w:val="auto"/>
                <w:kern w:val="0"/>
                <w:sz w:val="18"/>
                <w:szCs w:val="18"/>
                <w:highlight w:val="none"/>
              </w:rPr>
            </w:pPr>
          </w:p>
        </w:tc>
      </w:tr>
      <w:tr w14:paraId="60223761">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796C248F">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6、交通运输业</w:t>
            </w:r>
          </w:p>
        </w:tc>
        <w:tc>
          <w:tcPr>
            <w:tcW w:w="1498" w:type="dxa"/>
            <w:tcBorders>
              <w:top w:val="nil"/>
              <w:left w:val="nil"/>
              <w:bottom w:val="single" w:color="auto" w:sz="4" w:space="0"/>
              <w:right w:val="single" w:color="auto" w:sz="4" w:space="0"/>
            </w:tcBorders>
            <w:shd w:val="clear" w:color="auto" w:fill="auto"/>
            <w:vAlign w:val="bottom"/>
          </w:tcPr>
          <w:p w14:paraId="47CCC797">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63" w:type="dxa"/>
            <w:tcBorders>
              <w:top w:val="nil"/>
              <w:left w:val="nil"/>
              <w:bottom w:val="single" w:color="auto" w:sz="4" w:space="0"/>
              <w:right w:val="single" w:color="auto" w:sz="4" w:space="0"/>
            </w:tcBorders>
            <w:shd w:val="clear" w:color="auto" w:fill="auto"/>
            <w:vAlign w:val="bottom"/>
          </w:tcPr>
          <w:p w14:paraId="1790AFAB">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660" w:type="dxa"/>
            <w:tcBorders>
              <w:top w:val="nil"/>
              <w:left w:val="nil"/>
              <w:bottom w:val="single" w:color="auto" w:sz="4" w:space="0"/>
              <w:right w:val="single" w:color="auto" w:sz="8" w:space="0"/>
            </w:tcBorders>
            <w:shd w:val="clear" w:color="auto" w:fill="auto"/>
            <w:vAlign w:val="bottom"/>
          </w:tcPr>
          <w:p w14:paraId="521D4622">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21C2546C">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480" w:type="dxa"/>
            <w:tcBorders>
              <w:top w:val="nil"/>
              <w:left w:val="nil"/>
              <w:bottom w:val="single" w:color="auto" w:sz="4" w:space="0"/>
              <w:right w:val="single" w:color="auto" w:sz="4" w:space="0"/>
            </w:tcBorders>
            <w:shd w:val="clear" w:color="auto" w:fill="auto"/>
            <w:vAlign w:val="bottom"/>
          </w:tcPr>
          <w:p w14:paraId="7C32FE00">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520" w:type="dxa"/>
            <w:tcBorders>
              <w:top w:val="nil"/>
              <w:left w:val="nil"/>
              <w:bottom w:val="single" w:color="auto" w:sz="4" w:space="0"/>
              <w:right w:val="single" w:color="auto" w:sz="8" w:space="0"/>
            </w:tcBorders>
            <w:shd w:val="clear" w:color="auto" w:fill="auto"/>
            <w:vAlign w:val="bottom"/>
          </w:tcPr>
          <w:p w14:paraId="0AD051CD">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3EDE11EB">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c>
          <w:tcPr>
            <w:tcW w:w="1275" w:type="dxa"/>
            <w:tcBorders>
              <w:top w:val="nil"/>
              <w:left w:val="nil"/>
              <w:bottom w:val="single" w:color="auto" w:sz="4" w:space="0"/>
              <w:right w:val="single" w:color="auto" w:sz="4" w:space="0"/>
            </w:tcBorders>
            <w:shd w:val="clear" w:color="auto" w:fill="auto"/>
            <w:vAlign w:val="bottom"/>
          </w:tcPr>
          <w:p w14:paraId="0195E61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V＜200</w:t>
            </w:r>
          </w:p>
        </w:tc>
        <w:tc>
          <w:tcPr>
            <w:tcW w:w="1221" w:type="dxa"/>
            <w:tcBorders>
              <w:top w:val="nil"/>
              <w:left w:val="nil"/>
              <w:bottom w:val="single" w:color="auto" w:sz="4" w:space="0"/>
              <w:right w:val="single" w:color="auto" w:sz="8" w:space="0"/>
            </w:tcBorders>
            <w:shd w:val="clear" w:color="auto" w:fill="auto"/>
            <w:vAlign w:val="bottom"/>
          </w:tcPr>
          <w:p w14:paraId="793D0523">
            <w:pPr>
              <w:jc w:val="left"/>
              <w:rPr>
                <w:rFonts w:ascii="宋体" w:hAnsi="宋体" w:cs="宋体"/>
                <w:color w:val="auto"/>
                <w:kern w:val="0"/>
                <w:sz w:val="18"/>
                <w:szCs w:val="18"/>
                <w:highlight w:val="none"/>
              </w:rPr>
            </w:pPr>
          </w:p>
        </w:tc>
      </w:tr>
      <w:tr w14:paraId="2EE71564">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52255FF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7、仓储业</w:t>
            </w:r>
          </w:p>
        </w:tc>
        <w:tc>
          <w:tcPr>
            <w:tcW w:w="1498" w:type="dxa"/>
            <w:tcBorders>
              <w:top w:val="nil"/>
              <w:left w:val="nil"/>
              <w:bottom w:val="single" w:color="auto" w:sz="4" w:space="0"/>
              <w:right w:val="single" w:color="auto" w:sz="4" w:space="0"/>
            </w:tcBorders>
            <w:shd w:val="clear" w:color="auto" w:fill="auto"/>
            <w:vAlign w:val="bottom"/>
          </w:tcPr>
          <w:p w14:paraId="61F70627">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763" w:type="dxa"/>
            <w:tcBorders>
              <w:top w:val="nil"/>
              <w:left w:val="nil"/>
              <w:bottom w:val="single" w:color="auto" w:sz="4" w:space="0"/>
              <w:right w:val="single" w:color="auto" w:sz="4" w:space="0"/>
            </w:tcBorders>
            <w:shd w:val="clear" w:color="auto" w:fill="auto"/>
            <w:vAlign w:val="bottom"/>
          </w:tcPr>
          <w:p w14:paraId="6B63D89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660" w:type="dxa"/>
            <w:tcBorders>
              <w:top w:val="nil"/>
              <w:left w:val="nil"/>
              <w:bottom w:val="single" w:color="auto" w:sz="4" w:space="0"/>
              <w:right w:val="single" w:color="auto" w:sz="8" w:space="0"/>
            </w:tcBorders>
            <w:shd w:val="clear" w:color="auto" w:fill="auto"/>
            <w:vAlign w:val="bottom"/>
          </w:tcPr>
          <w:p w14:paraId="2102C713">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07B6D023">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480" w:type="dxa"/>
            <w:tcBorders>
              <w:top w:val="nil"/>
              <w:left w:val="nil"/>
              <w:bottom w:val="single" w:color="auto" w:sz="4" w:space="0"/>
              <w:right w:val="single" w:color="auto" w:sz="4" w:space="0"/>
            </w:tcBorders>
            <w:shd w:val="clear" w:color="auto" w:fill="auto"/>
            <w:vAlign w:val="bottom"/>
          </w:tcPr>
          <w:p w14:paraId="7D5F7813">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520" w:type="dxa"/>
            <w:tcBorders>
              <w:top w:val="nil"/>
              <w:left w:val="nil"/>
              <w:bottom w:val="single" w:color="auto" w:sz="4" w:space="0"/>
              <w:right w:val="single" w:color="auto" w:sz="8" w:space="0"/>
            </w:tcBorders>
            <w:shd w:val="clear" w:color="auto" w:fill="auto"/>
            <w:vAlign w:val="bottom"/>
          </w:tcPr>
          <w:p w14:paraId="767C63C0">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19922E4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c>
          <w:tcPr>
            <w:tcW w:w="1275" w:type="dxa"/>
            <w:tcBorders>
              <w:top w:val="nil"/>
              <w:left w:val="nil"/>
              <w:bottom w:val="single" w:color="auto" w:sz="4" w:space="0"/>
              <w:right w:val="single" w:color="auto" w:sz="4" w:space="0"/>
            </w:tcBorders>
            <w:shd w:val="clear" w:color="auto" w:fill="auto"/>
            <w:vAlign w:val="bottom"/>
          </w:tcPr>
          <w:p w14:paraId="0F9CFD6F">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c>
          <w:tcPr>
            <w:tcW w:w="1221" w:type="dxa"/>
            <w:tcBorders>
              <w:top w:val="nil"/>
              <w:left w:val="nil"/>
              <w:bottom w:val="single" w:color="auto" w:sz="4" w:space="0"/>
              <w:right w:val="single" w:color="auto" w:sz="8" w:space="0"/>
            </w:tcBorders>
            <w:shd w:val="clear" w:color="auto" w:fill="auto"/>
            <w:vAlign w:val="bottom"/>
          </w:tcPr>
          <w:p w14:paraId="59FEC433">
            <w:pPr>
              <w:jc w:val="left"/>
              <w:rPr>
                <w:rFonts w:ascii="宋体" w:hAnsi="宋体" w:cs="宋体"/>
                <w:color w:val="auto"/>
                <w:kern w:val="0"/>
                <w:sz w:val="18"/>
                <w:szCs w:val="18"/>
                <w:highlight w:val="none"/>
              </w:rPr>
            </w:pPr>
          </w:p>
        </w:tc>
      </w:tr>
      <w:tr w14:paraId="3DDB5FE3">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54B42B3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8、邮政业</w:t>
            </w:r>
          </w:p>
        </w:tc>
        <w:tc>
          <w:tcPr>
            <w:tcW w:w="1498" w:type="dxa"/>
            <w:tcBorders>
              <w:top w:val="nil"/>
              <w:left w:val="nil"/>
              <w:bottom w:val="single" w:color="auto" w:sz="4" w:space="0"/>
              <w:right w:val="single" w:color="auto" w:sz="4" w:space="0"/>
            </w:tcBorders>
            <w:shd w:val="clear" w:color="auto" w:fill="auto"/>
            <w:vAlign w:val="bottom"/>
          </w:tcPr>
          <w:p w14:paraId="2900EA27">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63" w:type="dxa"/>
            <w:tcBorders>
              <w:top w:val="nil"/>
              <w:left w:val="nil"/>
              <w:bottom w:val="single" w:color="auto" w:sz="4" w:space="0"/>
              <w:right w:val="single" w:color="auto" w:sz="4" w:space="0"/>
            </w:tcBorders>
            <w:shd w:val="clear" w:color="auto" w:fill="auto"/>
            <w:vAlign w:val="bottom"/>
          </w:tcPr>
          <w:p w14:paraId="06ECE364">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660" w:type="dxa"/>
            <w:tcBorders>
              <w:top w:val="nil"/>
              <w:left w:val="nil"/>
              <w:bottom w:val="single" w:color="auto" w:sz="4" w:space="0"/>
              <w:right w:val="single" w:color="auto" w:sz="8" w:space="0"/>
            </w:tcBorders>
            <w:shd w:val="clear" w:color="auto" w:fill="auto"/>
            <w:vAlign w:val="bottom"/>
          </w:tcPr>
          <w:p w14:paraId="044E1E37">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37478E00">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480" w:type="dxa"/>
            <w:tcBorders>
              <w:top w:val="nil"/>
              <w:left w:val="nil"/>
              <w:bottom w:val="single" w:color="auto" w:sz="4" w:space="0"/>
              <w:right w:val="single" w:color="auto" w:sz="4" w:space="0"/>
            </w:tcBorders>
            <w:shd w:val="clear" w:color="auto" w:fill="auto"/>
            <w:vAlign w:val="bottom"/>
          </w:tcPr>
          <w:p w14:paraId="215CE911">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520" w:type="dxa"/>
            <w:tcBorders>
              <w:top w:val="nil"/>
              <w:left w:val="nil"/>
              <w:bottom w:val="single" w:color="auto" w:sz="4" w:space="0"/>
              <w:right w:val="single" w:color="auto" w:sz="8" w:space="0"/>
            </w:tcBorders>
            <w:shd w:val="clear" w:color="auto" w:fill="auto"/>
            <w:vAlign w:val="bottom"/>
          </w:tcPr>
          <w:p w14:paraId="1341EF63">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7B48BE23">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c>
          <w:tcPr>
            <w:tcW w:w="1275" w:type="dxa"/>
            <w:tcBorders>
              <w:top w:val="nil"/>
              <w:left w:val="nil"/>
              <w:bottom w:val="single" w:color="auto" w:sz="4" w:space="0"/>
              <w:right w:val="single" w:color="auto" w:sz="4" w:space="0"/>
            </w:tcBorders>
            <w:shd w:val="clear" w:color="auto" w:fill="auto"/>
            <w:vAlign w:val="bottom"/>
          </w:tcPr>
          <w:p w14:paraId="3B1662B8">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c>
          <w:tcPr>
            <w:tcW w:w="1221" w:type="dxa"/>
            <w:tcBorders>
              <w:top w:val="nil"/>
              <w:left w:val="nil"/>
              <w:bottom w:val="single" w:color="auto" w:sz="4" w:space="0"/>
              <w:right w:val="single" w:color="auto" w:sz="8" w:space="0"/>
            </w:tcBorders>
            <w:shd w:val="clear" w:color="auto" w:fill="auto"/>
            <w:vAlign w:val="bottom"/>
          </w:tcPr>
          <w:p w14:paraId="60B9893E">
            <w:pPr>
              <w:jc w:val="left"/>
              <w:rPr>
                <w:rFonts w:ascii="宋体" w:hAnsi="宋体" w:cs="宋体"/>
                <w:color w:val="auto"/>
                <w:kern w:val="0"/>
                <w:sz w:val="18"/>
                <w:szCs w:val="18"/>
                <w:highlight w:val="none"/>
              </w:rPr>
            </w:pPr>
          </w:p>
        </w:tc>
      </w:tr>
      <w:tr w14:paraId="0412E78E">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1C826048">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9、住宿业</w:t>
            </w:r>
          </w:p>
        </w:tc>
        <w:tc>
          <w:tcPr>
            <w:tcW w:w="1498" w:type="dxa"/>
            <w:tcBorders>
              <w:top w:val="nil"/>
              <w:left w:val="nil"/>
              <w:bottom w:val="single" w:color="auto" w:sz="4" w:space="0"/>
              <w:right w:val="single" w:color="auto" w:sz="4" w:space="0"/>
            </w:tcBorders>
            <w:shd w:val="clear" w:color="auto" w:fill="auto"/>
            <w:vAlign w:val="bottom"/>
          </w:tcPr>
          <w:p w14:paraId="17B34385">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63" w:type="dxa"/>
            <w:tcBorders>
              <w:top w:val="nil"/>
              <w:left w:val="nil"/>
              <w:bottom w:val="single" w:color="auto" w:sz="4" w:space="0"/>
              <w:right w:val="single" w:color="auto" w:sz="4" w:space="0"/>
            </w:tcBorders>
            <w:shd w:val="clear" w:color="auto" w:fill="auto"/>
            <w:vAlign w:val="bottom"/>
          </w:tcPr>
          <w:p w14:paraId="0183A4E7">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660" w:type="dxa"/>
            <w:tcBorders>
              <w:top w:val="nil"/>
              <w:left w:val="nil"/>
              <w:bottom w:val="single" w:color="auto" w:sz="4" w:space="0"/>
              <w:right w:val="single" w:color="auto" w:sz="8" w:space="0"/>
            </w:tcBorders>
            <w:shd w:val="clear" w:color="auto" w:fill="auto"/>
            <w:vAlign w:val="bottom"/>
          </w:tcPr>
          <w:p w14:paraId="69E7DDF3">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063A735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80" w:type="dxa"/>
            <w:tcBorders>
              <w:top w:val="nil"/>
              <w:left w:val="nil"/>
              <w:bottom w:val="single" w:color="auto" w:sz="4" w:space="0"/>
              <w:right w:val="single" w:color="auto" w:sz="4" w:space="0"/>
            </w:tcBorders>
            <w:shd w:val="clear" w:color="auto" w:fill="auto"/>
            <w:vAlign w:val="bottom"/>
          </w:tcPr>
          <w:p w14:paraId="2693D368">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520" w:type="dxa"/>
            <w:tcBorders>
              <w:top w:val="nil"/>
              <w:left w:val="nil"/>
              <w:bottom w:val="single" w:color="auto" w:sz="4" w:space="0"/>
              <w:right w:val="single" w:color="auto" w:sz="8" w:space="0"/>
            </w:tcBorders>
            <w:shd w:val="clear" w:color="auto" w:fill="auto"/>
            <w:vAlign w:val="bottom"/>
          </w:tcPr>
          <w:p w14:paraId="0978E5EE">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1EBA3DC6">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c>
          <w:tcPr>
            <w:tcW w:w="1275" w:type="dxa"/>
            <w:tcBorders>
              <w:top w:val="nil"/>
              <w:left w:val="nil"/>
              <w:bottom w:val="single" w:color="auto" w:sz="4" w:space="0"/>
              <w:right w:val="single" w:color="auto" w:sz="4" w:space="0"/>
            </w:tcBorders>
            <w:shd w:val="clear" w:color="auto" w:fill="auto"/>
            <w:vAlign w:val="bottom"/>
          </w:tcPr>
          <w:p w14:paraId="42AD546D">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c>
          <w:tcPr>
            <w:tcW w:w="1221" w:type="dxa"/>
            <w:tcBorders>
              <w:top w:val="nil"/>
              <w:left w:val="nil"/>
              <w:bottom w:val="single" w:color="auto" w:sz="4" w:space="0"/>
              <w:right w:val="single" w:color="auto" w:sz="8" w:space="0"/>
            </w:tcBorders>
            <w:shd w:val="clear" w:color="auto" w:fill="auto"/>
            <w:vAlign w:val="bottom"/>
          </w:tcPr>
          <w:p w14:paraId="6231D620">
            <w:pPr>
              <w:jc w:val="left"/>
              <w:rPr>
                <w:rFonts w:ascii="宋体" w:hAnsi="宋体" w:cs="宋体"/>
                <w:color w:val="auto"/>
                <w:kern w:val="0"/>
                <w:sz w:val="18"/>
                <w:szCs w:val="18"/>
                <w:highlight w:val="none"/>
              </w:rPr>
            </w:pPr>
          </w:p>
        </w:tc>
      </w:tr>
      <w:tr w14:paraId="2F897DFE">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2B02C5B6">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10、餐饮业</w:t>
            </w:r>
          </w:p>
        </w:tc>
        <w:tc>
          <w:tcPr>
            <w:tcW w:w="1498" w:type="dxa"/>
            <w:tcBorders>
              <w:top w:val="nil"/>
              <w:left w:val="nil"/>
              <w:bottom w:val="single" w:color="auto" w:sz="4" w:space="0"/>
              <w:right w:val="single" w:color="auto" w:sz="4" w:space="0"/>
            </w:tcBorders>
            <w:shd w:val="clear" w:color="auto" w:fill="auto"/>
            <w:vAlign w:val="bottom"/>
          </w:tcPr>
          <w:p w14:paraId="249460F0">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63" w:type="dxa"/>
            <w:tcBorders>
              <w:top w:val="nil"/>
              <w:left w:val="nil"/>
              <w:bottom w:val="single" w:color="auto" w:sz="4" w:space="0"/>
              <w:right w:val="single" w:color="auto" w:sz="4" w:space="0"/>
            </w:tcBorders>
            <w:shd w:val="clear" w:color="auto" w:fill="auto"/>
            <w:vAlign w:val="bottom"/>
          </w:tcPr>
          <w:p w14:paraId="487661F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660" w:type="dxa"/>
            <w:tcBorders>
              <w:top w:val="nil"/>
              <w:left w:val="nil"/>
              <w:bottom w:val="single" w:color="auto" w:sz="4" w:space="0"/>
              <w:right w:val="single" w:color="auto" w:sz="8" w:space="0"/>
            </w:tcBorders>
            <w:shd w:val="clear" w:color="auto" w:fill="auto"/>
            <w:vAlign w:val="bottom"/>
          </w:tcPr>
          <w:p w14:paraId="47FA77CB">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6C94336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80" w:type="dxa"/>
            <w:tcBorders>
              <w:top w:val="nil"/>
              <w:left w:val="nil"/>
              <w:bottom w:val="single" w:color="auto" w:sz="4" w:space="0"/>
              <w:right w:val="single" w:color="auto" w:sz="4" w:space="0"/>
            </w:tcBorders>
            <w:shd w:val="clear" w:color="auto" w:fill="auto"/>
            <w:vAlign w:val="bottom"/>
          </w:tcPr>
          <w:p w14:paraId="062D9027">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520" w:type="dxa"/>
            <w:tcBorders>
              <w:top w:val="nil"/>
              <w:left w:val="nil"/>
              <w:bottom w:val="single" w:color="auto" w:sz="4" w:space="0"/>
              <w:right w:val="single" w:color="auto" w:sz="8" w:space="0"/>
            </w:tcBorders>
            <w:shd w:val="clear" w:color="auto" w:fill="auto"/>
            <w:vAlign w:val="bottom"/>
          </w:tcPr>
          <w:p w14:paraId="7D9D5CD1">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4D6A46B4">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c>
          <w:tcPr>
            <w:tcW w:w="1275" w:type="dxa"/>
            <w:tcBorders>
              <w:top w:val="nil"/>
              <w:left w:val="nil"/>
              <w:bottom w:val="single" w:color="auto" w:sz="4" w:space="0"/>
              <w:right w:val="single" w:color="auto" w:sz="4" w:space="0"/>
            </w:tcBorders>
            <w:shd w:val="clear" w:color="auto" w:fill="auto"/>
            <w:vAlign w:val="bottom"/>
          </w:tcPr>
          <w:p w14:paraId="1581099C">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V＜100</w:t>
            </w:r>
          </w:p>
        </w:tc>
        <w:tc>
          <w:tcPr>
            <w:tcW w:w="1221" w:type="dxa"/>
            <w:tcBorders>
              <w:top w:val="nil"/>
              <w:left w:val="nil"/>
              <w:bottom w:val="single" w:color="auto" w:sz="4" w:space="0"/>
              <w:right w:val="single" w:color="auto" w:sz="8" w:space="0"/>
            </w:tcBorders>
            <w:shd w:val="clear" w:color="auto" w:fill="auto"/>
            <w:vAlign w:val="bottom"/>
          </w:tcPr>
          <w:p w14:paraId="79D5BAE8">
            <w:pPr>
              <w:jc w:val="left"/>
              <w:rPr>
                <w:rFonts w:ascii="宋体" w:hAnsi="宋体" w:cs="宋体"/>
                <w:color w:val="auto"/>
                <w:kern w:val="0"/>
                <w:sz w:val="18"/>
                <w:szCs w:val="18"/>
                <w:highlight w:val="none"/>
              </w:rPr>
            </w:pPr>
          </w:p>
        </w:tc>
      </w:tr>
      <w:tr w14:paraId="45BA81F9">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30B267E6">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11、信息传输业</w:t>
            </w:r>
          </w:p>
        </w:tc>
        <w:tc>
          <w:tcPr>
            <w:tcW w:w="1498" w:type="dxa"/>
            <w:tcBorders>
              <w:top w:val="nil"/>
              <w:left w:val="nil"/>
              <w:bottom w:val="single" w:color="auto" w:sz="4" w:space="0"/>
              <w:right w:val="single" w:color="auto" w:sz="4" w:space="0"/>
            </w:tcBorders>
            <w:shd w:val="clear" w:color="auto" w:fill="auto"/>
            <w:vAlign w:val="bottom"/>
          </w:tcPr>
          <w:p w14:paraId="36582A25">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763" w:type="dxa"/>
            <w:tcBorders>
              <w:top w:val="nil"/>
              <w:left w:val="nil"/>
              <w:bottom w:val="single" w:color="auto" w:sz="4" w:space="0"/>
              <w:right w:val="single" w:color="auto" w:sz="4" w:space="0"/>
            </w:tcBorders>
            <w:shd w:val="clear" w:color="auto" w:fill="auto"/>
            <w:vAlign w:val="bottom"/>
          </w:tcPr>
          <w:p w14:paraId="4567EB1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660" w:type="dxa"/>
            <w:tcBorders>
              <w:top w:val="nil"/>
              <w:left w:val="nil"/>
              <w:bottom w:val="single" w:color="auto" w:sz="4" w:space="0"/>
              <w:right w:val="single" w:color="auto" w:sz="8" w:space="0"/>
            </w:tcBorders>
            <w:shd w:val="clear" w:color="auto" w:fill="auto"/>
            <w:vAlign w:val="bottom"/>
          </w:tcPr>
          <w:p w14:paraId="1F9A68E4">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786AE62D">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80" w:type="dxa"/>
            <w:tcBorders>
              <w:top w:val="nil"/>
              <w:left w:val="nil"/>
              <w:bottom w:val="single" w:color="auto" w:sz="4" w:space="0"/>
              <w:right w:val="single" w:color="auto" w:sz="4" w:space="0"/>
            </w:tcBorders>
            <w:shd w:val="clear" w:color="auto" w:fill="auto"/>
            <w:vAlign w:val="bottom"/>
          </w:tcPr>
          <w:p w14:paraId="72D3AA6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520" w:type="dxa"/>
            <w:tcBorders>
              <w:top w:val="nil"/>
              <w:left w:val="nil"/>
              <w:bottom w:val="single" w:color="auto" w:sz="4" w:space="0"/>
              <w:right w:val="single" w:color="auto" w:sz="8" w:space="0"/>
            </w:tcBorders>
            <w:shd w:val="clear" w:color="auto" w:fill="auto"/>
            <w:vAlign w:val="bottom"/>
          </w:tcPr>
          <w:p w14:paraId="0BA48569">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2C515307">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c>
          <w:tcPr>
            <w:tcW w:w="1275" w:type="dxa"/>
            <w:tcBorders>
              <w:top w:val="nil"/>
              <w:left w:val="nil"/>
              <w:bottom w:val="single" w:color="auto" w:sz="4" w:space="0"/>
              <w:right w:val="single" w:color="auto" w:sz="4" w:space="0"/>
            </w:tcBorders>
            <w:shd w:val="clear" w:color="auto" w:fill="auto"/>
            <w:vAlign w:val="bottom"/>
          </w:tcPr>
          <w:p w14:paraId="3E6157CC">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c>
          <w:tcPr>
            <w:tcW w:w="1221" w:type="dxa"/>
            <w:tcBorders>
              <w:top w:val="nil"/>
              <w:left w:val="nil"/>
              <w:bottom w:val="single" w:color="auto" w:sz="4" w:space="0"/>
              <w:right w:val="single" w:color="auto" w:sz="8" w:space="0"/>
            </w:tcBorders>
            <w:shd w:val="clear" w:color="auto" w:fill="auto"/>
            <w:vAlign w:val="bottom"/>
          </w:tcPr>
          <w:p w14:paraId="44DF14A2">
            <w:pPr>
              <w:jc w:val="left"/>
              <w:rPr>
                <w:rFonts w:ascii="宋体" w:hAnsi="宋体" w:cs="宋体"/>
                <w:color w:val="auto"/>
                <w:kern w:val="0"/>
                <w:sz w:val="18"/>
                <w:szCs w:val="18"/>
                <w:highlight w:val="none"/>
              </w:rPr>
            </w:pPr>
          </w:p>
        </w:tc>
      </w:tr>
      <w:tr w14:paraId="065E2CAA">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02E01E2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12、软件和信息技术服务业</w:t>
            </w:r>
          </w:p>
        </w:tc>
        <w:tc>
          <w:tcPr>
            <w:tcW w:w="1498" w:type="dxa"/>
            <w:tcBorders>
              <w:top w:val="nil"/>
              <w:left w:val="nil"/>
              <w:bottom w:val="single" w:color="auto" w:sz="4" w:space="0"/>
              <w:right w:val="single" w:color="auto" w:sz="4" w:space="0"/>
            </w:tcBorders>
            <w:shd w:val="clear" w:color="auto" w:fill="auto"/>
            <w:vAlign w:val="bottom"/>
          </w:tcPr>
          <w:p w14:paraId="232B4DB6">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63" w:type="dxa"/>
            <w:tcBorders>
              <w:top w:val="nil"/>
              <w:left w:val="nil"/>
              <w:bottom w:val="single" w:color="auto" w:sz="4" w:space="0"/>
              <w:right w:val="single" w:color="auto" w:sz="4" w:space="0"/>
            </w:tcBorders>
            <w:shd w:val="clear" w:color="auto" w:fill="auto"/>
            <w:vAlign w:val="bottom"/>
          </w:tcPr>
          <w:p w14:paraId="73359046">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660" w:type="dxa"/>
            <w:tcBorders>
              <w:top w:val="nil"/>
              <w:left w:val="nil"/>
              <w:bottom w:val="single" w:color="auto" w:sz="4" w:space="0"/>
              <w:right w:val="single" w:color="auto" w:sz="8" w:space="0"/>
            </w:tcBorders>
            <w:shd w:val="clear" w:color="auto" w:fill="auto"/>
            <w:vAlign w:val="bottom"/>
          </w:tcPr>
          <w:p w14:paraId="2D66EB1B">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33406174">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80" w:type="dxa"/>
            <w:tcBorders>
              <w:top w:val="nil"/>
              <w:left w:val="nil"/>
              <w:bottom w:val="single" w:color="auto" w:sz="4" w:space="0"/>
              <w:right w:val="single" w:color="auto" w:sz="4" w:space="0"/>
            </w:tcBorders>
            <w:shd w:val="clear" w:color="auto" w:fill="auto"/>
            <w:vAlign w:val="bottom"/>
          </w:tcPr>
          <w:p w14:paraId="1B8E2955">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520" w:type="dxa"/>
            <w:tcBorders>
              <w:top w:val="nil"/>
              <w:left w:val="nil"/>
              <w:bottom w:val="single" w:color="auto" w:sz="4" w:space="0"/>
              <w:right w:val="single" w:color="auto" w:sz="8" w:space="0"/>
            </w:tcBorders>
            <w:shd w:val="clear" w:color="auto" w:fill="auto"/>
            <w:vAlign w:val="bottom"/>
          </w:tcPr>
          <w:p w14:paraId="59678E88">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30EA1CBB">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c>
          <w:tcPr>
            <w:tcW w:w="1275" w:type="dxa"/>
            <w:tcBorders>
              <w:top w:val="nil"/>
              <w:left w:val="nil"/>
              <w:bottom w:val="single" w:color="auto" w:sz="4" w:space="0"/>
              <w:right w:val="single" w:color="auto" w:sz="4" w:space="0"/>
            </w:tcBorders>
            <w:shd w:val="clear" w:color="auto" w:fill="auto"/>
            <w:vAlign w:val="bottom"/>
          </w:tcPr>
          <w:p w14:paraId="6087787B">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c>
          <w:tcPr>
            <w:tcW w:w="1221" w:type="dxa"/>
            <w:tcBorders>
              <w:top w:val="nil"/>
              <w:left w:val="nil"/>
              <w:bottom w:val="single" w:color="auto" w:sz="4" w:space="0"/>
              <w:right w:val="single" w:color="auto" w:sz="8" w:space="0"/>
            </w:tcBorders>
            <w:shd w:val="clear" w:color="auto" w:fill="auto"/>
            <w:vAlign w:val="bottom"/>
          </w:tcPr>
          <w:p w14:paraId="4CA2D6A3">
            <w:pPr>
              <w:jc w:val="left"/>
              <w:rPr>
                <w:rFonts w:ascii="宋体" w:hAnsi="宋体" w:cs="宋体"/>
                <w:color w:val="auto"/>
                <w:kern w:val="0"/>
                <w:sz w:val="18"/>
                <w:szCs w:val="18"/>
                <w:highlight w:val="none"/>
              </w:rPr>
            </w:pPr>
          </w:p>
        </w:tc>
      </w:tr>
      <w:tr w14:paraId="5CA48231">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2F006B96">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13、房地产开发经营</w:t>
            </w:r>
          </w:p>
        </w:tc>
        <w:tc>
          <w:tcPr>
            <w:tcW w:w="1498" w:type="dxa"/>
            <w:tcBorders>
              <w:top w:val="nil"/>
              <w:left w:val="nil"/>
              <w:bottom w:val="single" w:color="auto" w:sz="4" w:space="0"/>
              <w:right w:val="single" w:color="auto" w:sz="4" w:space="0"/>
            </w:tcBorders>
            <w:shd w:val="clear" w:color="auto" w:fill="auto"/>
            <w:vAlign w:val="bottom"/>
          </w:tcPr>
          <w:p w14:paraId="556777B3">
            <w:pPr>
              <w:jc w:val="left"/>
              <w:rPr>
                <w:rFonts w:ascii="宋体" w:hAnsi="宋体" w:cs="宋体"/>
                <w:color w:val="auto"/>
                <w:kern w:val="0"/>
                <w:sz w:val="18"/>
                <w:szCs w:val="18"/>
                <w:highlight w:val="none"/>
              </w:rPr>
            </w:pPr>
          </w:p>
        </w:tc>
        <w:tc>
          <w:tcPr>
            <w:tcW w:w="1763" w:type="dxa"/>
            <w:tcBorders>
              <w:top w:val="nil"/>
              <w:left w:val="nil"/>
              <w:bottom w:val="single" w:color="auto" w:sz="4" w:space="0"/>
              <w:right w:val="single" w:color="auto" w:sz="4" w:space="0"/>
            </w:tcBorders>
            <w:shd w:val="clear" w:color="auto" w:fill="auto"/>
            <w:vAlign w:val="bottom"/>
          </w:tcPr>
          <w:p w14:paraId="586DFE6A">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660" w:type="dxa"/>
            <w:tcBorders>
              <w:top w:val="nil"/>
              <w:left w:val="nil"/>
              <w:bottom w:val="single" w:color="auto" w:sz="4" w:space="0"/>
              <w:right w:val="single" w:color="auto" w:sz="8" w:space="0"/>
            </w:tcBorders>
            <w:shd w:val="clear" w:color="auto" w:fill="auto"/>
            <w:vAlign w:val="bottom"/>
          </w:tcPr>
          <w:p w14:paraId="6F9842EE">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240" w:type="dxa"/>
            <w:tcBorders>
              <w:top w:val="nil"/>
              <w:left w:val="nil"/>
              <w:bottom w:val="single" w:color="auto" w:sz="4" w:space="0"/>
              <w:right w:val="single" w:color="auto" w:sz="4" w:space="0"/>
            </w:tcBorders>
            <w:shd w:val="clear" w:color="auto" w:fill="auto"/>
            <w:vAlign w:val="bottom"/>
          </w:tcPr>
          <w:p w14:paraId="61DE8F2C">
            <w:pPr>
              <w:jc w:val="left"/>
              <w:rPr>
                <w:rFonts w:ascii="宋体" w:hAnsi="宋体" w:cs="宋体"/>
                <w:color w:val="auto"/>
                <w:kern w:val="0"/>
                <w:sz w:val="18"/>
                <w:szCs w:val="18"/>
                <w:highlight w:val="none"/>
              </w:rPr>
            </w:pPr>
          </w:p>
        </w:tc>
        <w:tc>
          <w:tcPr>
            <w:tcW w:w="1480" w:type="dxa"/>
            <w:tcBorders>
              <w:top w:val="nil"/>
              <w:left w:val="nil"/>
              <w:bottom w:val="single" w:color="auto" w:sz="4" w:space="0"/>
              <w:right w:val="single" w:color="auto" w:sz="4" w:space="0"/>
            </w:tcBorders>
            <w:shd w:val="clear" w:color="auto" w:fill="auto"/>
            <w:vAlign w:val="bottom"/>
          </w:tcPr>
          <w:p w14:paraId="278E0A83">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520" w:type="dxa"/>
            <w:tcBorders>
              <w:top w:val="nil"/>
              <w:left w:val="nil"/>
              <w:bottom w:val="single" w:color="auto" w:sz="4" w:space="0"/>
              <w:right w:val="single" w:color="auto" w:sz="8" w:space="0"/>
            </w:tcBorders>
            <w:shd w:val="clear" w:color="auto" w:fill="auto"/>
            <w:vAlign w:val="bottom"/>
          </w:tcPr>
          <w:p w14:paraId="0F0FE0EC">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1285" w:type="dxa"/>
            <w:tcBorders>
              <w:top w:val="nil"/>
              <w:left w:val="nil"/>
              <w:bottom w:val="single" w:color="auto" w:sz="4" w:space="0"/>
              <w:right w:val="single" w:color="auto" w:sz="4" w:space="0"/>
            </w:tcBorders>
            <w:shd w:val="clear" w:color="auto" w:fill="auto"/>
            <w:vAlign w:val="bottom"/>
          </w:tcPr>
          <w:p w14:paraId="39A1B711">
            <w:pPr>
              <w:jc w:val="left"/>
              <w:rPr>
                <w:rFonts w:ascii="宋体" w:hAnsi="宋体" w:cs="宋体"/>
                <w:color w:val="auto"/>
                <w:kern w:val="0"/>
                <w:sz w:val="18"/>
                <w:szCs w:val="18"/>
                <w:highlight w:val="none"/>
              </w:rPr>
            </w:pPr>
          </w:p>
        </w:tc>
        <w:tc>
          <w:tcPr>
            <w:tcW w:w="1275" w:type="dxa"/>
            <w:tcBorders>
              <w:top w:val="nil"/>
              <w:left w:val="nil"/>
              <w:bottom w:val="single" w:color="auto" w:sz="4" w:space="0"/>
              <w:right w:val="single" w:color="auto" w:sz="4" w:space="0"/>
            </w:tcBorders>
            <w:shd w:val="clear" w:color="auto" w:fill="auto"/>
            <w:vAlign w:val="bottom"/>
          </w:tcPr>
          <w:p w14:paraId="1C7DB82C">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c>
          <w:tcPr>
            <w:tcW w:w="1221" w:type="dxa"/>
            <w:tcBorders>
              <w:top w:val="nil"/>
              <w:left w:val="nil"/>
              <w:bottom w:val="single" w:color="auto" w:sz="4" w:space="0"/>
              <w:right w:val="single" w:color="auto" w:sz="8" w:space="0"/>
            </w:tcBorders>
            <w:shd w:val="clear" w:color="auto" w:fill="auto"/>
            <w:vAlign w:val="bottom"/>
          </w:tcPr>
          <w:p w14:paraId="09338E76">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0BA4DB24">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29D4A910">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14、物业管理</w:t>
            </w:r>
          </w:p>
        </w:tc>
        <w:tc>
          <w:tcPr>
            <w:tcW w:w="1498" w:type="dxa"/>
            <w:tcBorders>
              <w:top w:val="nil"/>
              <w:left w:val="nil"/>
              <w:bottom w:val="single" w:color="auto" w:sz="4" w:space="0"/>
              <w:right w:val="single" w:color="auto" w:sz="4" w:space="0"/>
            </w:tcBorders>
            <w:shd w:val="clear" w:color="auto" w:fill="auto"/>
            <w:vAlign w:val="bottom"/>
          </w:tcPr>
          <w:p w14:paraId="505B49A6">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63" w:type="dxa"/>
            <w:tcBorders>
              <w:top w:val="nil"/>
              <w:left w:val="nil"/>
              <w:bottom w:val="single" w:color="auto" w:sz="4" w:space="0"/>
              <w:right w:val="single" w:color="auto" w:sz="4" w:space="0"/>
            </w:tcBorders>
            <w:shd w:val="clear" w:color="auto" w:fill="auto"/>
            <w:vAlign w:val="bottom"/>
          </w:tcPr>
          <w:p w14:paraId="0F2580D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660" w:type="dxa"/>
            <w:tcBorders>
              <w:top w:val="nil"/>
              <w:left w:val="nil"/>
              <w:bottom w:val="single" w:color="auto" w:sz="4" w:space="0"/>
              <w:right w:val="single" w:color="auto" w:sz="8" w:space="0"/>
            </w:tcBorders>
            <w:shd w:val="clear" w:color="auto" w:fill="auto"/>
            <w:vAlign w:val="bottom"/>
          </w:tcPr>
          <w:p w14:paraId="7C87F062">
            <w:pPr>
              <w:jc w:val="left"/>
              <w:rPr>
                <w:rFonts w:ascii="宋体" w:hAnsi="宋体" w:cs="宋体"/>
                <w:color w:val="auto"/>
                <w:kern w:val="0"/>
                <w:sz w:val="18"/>
                <w:szCs w:val="18"/>
                <w:highlight w:val="none"/>
              </w:rPr>
            </w:pPr>
          </w:p>
        </w:tc>
        <w:tc>
          <w:tcPr>
            <w:tcW w:w="1240" w:type="dxa"/>
            <w:tcBorders>
              <w:top w:val="nil"/>
              <w:left w:val="nil"/>
              <w:bottom w:val="single" w:color="auto" w:sz="4" w:space="0"/>
              <w:right w:val="single" w:color="auto" w:sz="4" w:space="0"/>
            </w:tcBorders>
            <w:shd w:val="clear" w:color="auto" w:fill="auto"/>
            <w:vAlign w:val="bottom"/>
          </w:tcPr>
          <w:p w14:paraId="0933A53C">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80" w:type="dxa"/>
            <w:tcBorders>
              <w:top w:val="nil"/>
              <w:left w:val="nil"/>
              <w:bottom w:val="single" w:color="auto" w:sz="4" w:space="0"/>
              <w:right w:val="single" w:color="auto" w:sz="4" w:space="0"/>
            </w:tcBorders>
            <w:shd w:val="clear" w:color="auto" w:fill="auto"/>
            <w:vAlign w:val="bottom"/>
          </w:tcPr>
          <w:p w14:paraId="38F9F9B4">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520" w:type="dxa"/>
            <w:tcBorders>
              <w:top w:val="nil"/>
              <w:left w:val="nil"/>
              <w:bottom w:val="single" w:color="auto" w:sz="4" w:space="0"/>
              <w:right w:val="single" w:color="auto" w:sz="8" w:space="0"/>
            </w:tcBorders>
            <w:shd w:val="clear" w:color="auto" w:fill="auto"/>
            <w:vAlign w:val="bottom"/>
          </w:tcPr>
          <w:p w14:paraId="5EB1ADE4">
            <w:pPr>
              <w:jc w:val="left"/>
              <w:rPr>
                <w:rFonts w:ascii="宋体" w:hAnsi="宋体" w:cs="宋体"/>
                <w:color w:val="auto"/>
                <w:kern w:val="0"/>
                <w:sz w:val="18"/>
                <w:szCs w:val="18"/>
                <w:highlight w:val="none"/>
              </w:rPr>
            </w:pPr>
          </w:p>
        </w:tc>
        <w:tc>
          <w:tcPr>
            <w:tcW w:w="1285" w:type="dxa"/>
            <w:tcBorders>
              <w:top w:val="nil"/>
              <w:left w:val="nil"/>
              <w:bottom w:val="single" w:color="auto" w:sz="4" w:space="0"/>
              <w:right w:val="single" w:color="auto" w:sz="4" w:space="0"/>
            </w:tcBorders>
            <w:shd w:val="clear" w:color="auto" w:fill="auto"/>
            <w:vAlign w:val="bottom"/>
          </w:tcPr>
          <w:p w14:paraId="74C630F2">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c>
          <w:tcPr>
            <w:tcW w:w="1275" w:type="dxa"/>
            <w:tcBorders>
              <w:top w:val="nil"/>
              <w:left w:val="nil"/>
              <w:bottom w:val="single" w:color="auto" w:sz="4" w:space="0"/>
              <w:right w:val="single" w:color="auto" w:sz="4" w:space="0"/>
            </w:tcBorders>
            <w:shd w:val="clear" w:color="auto" w:fill="auto"/>
            <w:vAlign w:val="bottom"/>
          </w:tcPr>
          <w:p w14:paraId="196FFD69">
            <w:pPr>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c>
          <w:tcPr>
            <w:tcW w:w="1221" w:type="dxa"/>
            <w:tcBorders>
              <w:top w:val="nil"/>
              <w:left w:val="nil"/>
              <w:bottom w:val="single" w:color="auto" w:sz="4" w:space="0"/>
              <w:right w:val="single" w:color="auto" w:sz="8" w:space="0"/>
            </w:tcBorders>
            <w:shd w:val="clear" w:color="auto" w:fill="auto"/>
            <w:vAlign w:val="bottom"/>
          </w:tcPr>
          <w:p w14:paraId="3FBB39CF">
            <w:pPr>
              <w:jc w:val="left"/>
              <w:rPr>
                <w:rFonts w:ascii="宋体" w:hAnsi="宋体" w:cs="宋体"/>
                <w:color w:val="auto"/>
                <w:kern w:val="0"/>
                <w:sz w:val="18"/>
                <w:szCs w:val="18"/>
                <w:highlight w:val="none"/>
              </w:rPr>
            </w:pPr>
          </w:p>
        </w:tc>
      </w:tr>
      <w:tr w14:paraId="30B83C48">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4" w:space="0"/>
              <w:right w:val="single" w:color="auto" w:sz="8" w:space="0"/>
            </w:tcBorders>
            <w:shd w:val="clear" w:color="auto" w:fill="auto"/>
            <w:vAlign w:val="bottom"/>
          </w:tcPr>
          <w:p w14:paraId="0D108A1C">
            <w:pPr>
              <w:jc w:val="left"/>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15、租赁和商务服务业</w:t>
            </w:r>
          </w:p>
        </w:tc>
        <w:tc>
          <w:tcPr>
            <w:tcW w:w="1498" w:type="dxa"/>
            <w:tcBorders>
              <w:top w:val="nil"/>
              <w:left w:val="nil"/>
              <w:bottom w:val="single" w:color="auto" w:sz="4" w:space="0"/>
              <w:right w:val="single" w:color="auto" w:sz="4" w:space="0"/>
            </w:tcBorders>
            <w:shd w:val="clear" w:color="auto" w:fill="auto"/>
            <w:vAlign w:val="bottom"/>
          </w:tcPr>
          <w:p w14:paraId="0DC96B5C">
            <w:pPr>
              <w:jc w:val="left"/>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100≤X＜300</w:t>
            </w:r>
          </w:p>
        </w:tc>
        <w:tc>
          <w:tcPr>
            <w:tcW w:w="1763" w:type="dxa"/>
            <w:tcBorders>
              <w:top w:val="nil"/>
              <w:left w:val="nil"/>
              <w:bottom w:val="single" w:color="auto" w:sz="4" w:space="0"/>
              <w:right w:val="single" w:color="auto" w:sz="4" w:space="0"/>
            </w:tcBorders>
            <w:shd w:val="clear" w:color="auto" w:fill="auto"/>
            <w:vAlign w:val="bottom"/>
          </w:tcPr>
          <w:p w14:paraId="14E91AF5">
            <w:pPr>
              <w:jc w:val="left"/>
              <w:rPr>
                <w:rFonts w:ascii="宋体" w:hAnsi="宋体" w:cs="宋体"/>
                <w:b/>
                <w:bCs/>
                <w:color w:val="auto"/>
                <w:kern w:val="0"/>
                <w:sz w:val="18"/>
                <w:szCs w:val="18"/>
                <w:highlight w:val="none"/>
              </w:rPr>
            </w:pPr>
          </w:p>
        </w:tc>
        <w:tc>
          <w:tcPr>
            <w:tcW w:w="1660" w:type="dxa"/>
            <w:tcBorders>
              <w:top w:val="nil"/>
              <w:left w:val="nil"/>
              <w:bottom w:val="single" w:color="auto" w:sz="4" w:space="0"/>
              <w:right w:val="single" w:color="auto" w:sz="8" w:space="0"/>
            </w:tcBorders>
            <w:shd w:val="clear" w:color="auto" w:fill="auto"/>
            <w:vAlign w:val="bottom"/>
          </w:tcPr>
          <w:p w14:paraId="1147A3DE">
            <w:pPr>
              <w:jc w:val="left"/>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8000≤Z＜120000</w:t>
            </w:r>
          </w:p>
        </w:tc>
        <w:tc>
          <w:tcPr>
            <w:tcW w:w="1240" w:type="dxa"/>
            <w:tcBorders>
              <w:top w:val="nil"/>
              <w:left w:val="nil"/>
              <w:bottom w:val="single" w:color="auto" w:sz="4" w:space="0"/>
              <w:right w:val="single" w:color="auto" w:sz="4" w:space="0"/>
            </w:tcBorders>
            <w:shd w:val="clear" w:color="auto" w:fill="auto"/>
            <w:vAlign w:val="bottom"/>
          </w:tcPr>
          <w:p w14:paraId="6A7F1272">
            <w:pPr>
              <w:jc w:val="left"/>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10≤X＜100</w:t>
            </w:r>
          </w:p>
        </w:tc>
        <w:tc>
          <w:tcPr>
            <w:tcW w:w="1480" w:type="dxa"/>
            <w:tcBorders>
              <w:top w:val="nil"/>
              <w:left w:val="nil"/>
              <w:bottom w:val="single" w:color="auto" w:sz="4" w:space="0"/>
              <w:right w:val="single" w:color="auto" w:sz="4" w:space="0"/>
            </w:tcBorders>
            <w:shd w:val="clear" w:color="auto" w:fill="auto"/>
            <w:vAlign w:val="bottom"/>
          </w:tcPr>
          <w:p w14:paraId="4EB54A18">
            <w:pPr>
              <w:jc w:val="left"/>
              <w:rPr>
                <w:rFonts w:ascii="宋体" w:hAnsi="宋体" w:cs="宋体"/>
                <w:b/>
                <w:bCs/>
                <w:color w:val="auto"/>
                <w:kern w:val="0"/>
                <w:sz w:val="18"/>
                <w:szCs w:val="18"/>
                <w:highlight w:val="none"/>
              </w:rPr>
            </w:pPr>
          </w:p>
        </w:tc>
        <w:tc>
          <w:tcPr>
            <w:tcW w:w="1520" w:type="dxa"/>
            <w:tcBorders>
              <w:top w:val="nil"/>
              <w:left w:val="nil"/>
              <w:bottom w:val="single" w:color="auto" w:sz="4" w:space="0"/>
              <w:right w:val="single" w:color="auto" w:sz="8" w:space="0"/>
            </w:tcBorders>
            <w:shd w:val="clear" w:color="auto" w:fill="auto"/>
            <w:vAlign w:val="bottom"/>
          </w:tcPr>
          <w:p w14:paraId="74F0D4B9">
            <w:pPr>
              <w:jc w:val="left"/>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100≤Z＜8000</w:t>
            </w:r>
          </w:p>
        </w:tc>
        <w:tc>
          <w:tcPr>
            <w:tcW w:w="1285" w:type="dxa"/>
            <w:tcBorders>
              <w:top w:val="nil"/>
              <w:left w:val="nil"/>
              <w:bottom w:val="single" w:color="auto" w:sz="4" w:space="0"/>
              <w:right w:val="single" w:color="auto" w:sz="4" w:space="0"/>
            </w:tcBorders>
            <w:shd w:val="clear" w:color="auto" w:fill="auto"/>
            <w:vAlign w:val="bottom"/>
          </w:tcPr>
          <w:p w14:paraId="65D26A1C">
            <w:pPr>
              <w:jc w:val="left"/>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X＜10</w:t>
            </w:r>
          </w:p>
        </w:tc>
        <w:tc>
          <w:tcPr>
            <w:tcW w:w="1275" w:type="dxa"/>
            <w:tcBorders>
              <w:top w:val="nil"/>
              <w:left w:val="nil"/>
              <w:bottom w:val="single" w:color="auto" w:sz="4" w:space="0"/>
              <w:right w:val="single" w:color="auto" w:sz="4" w:space="0"/>
            </w:tcBorders>
            <w:shd w:val="clear" w:color="auto" w:fill="auto"/>
            <w:vAlign w:val="bottom"/>
          </w:tcPr>
          <w:p w14:paraId="76253ACC">
            <w:pPr>
              <w:jc w:val="left"/>
              <w:rPr>
                <w:rFonts w:ascii="宋体" w:hAnsi="宋体" w:cs="宋体"/>
                <w:b/>
                <w:bCs/>
                <w:color w:val="auto"/>
                <w:kern w:val="0"/>
                <w:sz w:val="18"/>
                <w:szCs w:val="18"/>
                <w:highlight w:val="none"/>
              </w:rPr>
            </w:pPr>
          </w:p>
        </w:tc>
        <w:tc>
          <w:tcPr>
            <w:tcW w:w="1221" w:type="dxa"/>
            <w:tcBorders>
              <w:top w:val="nil"/>
              <w:left w:val="nil"/>
              <w:bottom w:val="single" w:color="auto" w:sz="4" w:space="0"/>
              <w:right w:val="single" w:color="auto" w:sz="8" w:space="0"/>
            </w:tcBorders>
            <w:shd w:val="clear" w:color="auto" w:fill="auto"/>
            <w:vAlign w:val="bottom"/>
          </w:tcPr>
          <w:p w14:paraId="01A993A8">
            <w:pPr>
              <w:jc w:val="left"/>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Z＜100</w:t>
            </w:r>
          </w:p>
        </w:tc>
      </w:tr>
      <w:tr w14:paraId="3B82FF98">
        <w:tblPrEx>
          <w:tblCellMar>
            <w:top w:w="0" w:type="dxa"/>
            <w:left w:w="108" w:type="dxa"/>
            <w:bottom w:w="0" w:type="dxa"/>
            <w:right w:w="108" w:type="dxa"/>
          </w:tblCellMar>
        </w:tblPrEx>
        <w:trPr>
          <w:trHeight w:val="360" w:hRule="atLeast"/>
        </w:trPr>
        <w:tc>
          <w:tcPr>
            <w:tcW w:w="2376" w:type="dxa"/>
            <w:tcBorders>
              <w:top w:val="nil"/>
              <w:left w:val="single" w:color="auto" w:sz="8" w:space="0"/>
              <w:bottom w:val="single" w:color="auto" w:sz="8" w:space="0"/>
              <w:right w:val="single" w:color="auto" w:sz="8" w:space="0"/>
            </w:tcBorders>
            <w:shd w:val="clear" w:color="auto" w:fill="auto"/>
            <w:vAlign w:val="bottom"/>
          </w:tcPr>
          <w:p w14:paraId="4FD860DA">
            <w:pPr>
              <w:jc w:val="left"/>
              <w:rPr>
                <w:rFonts w:ascii="宋体" w:hAnsi="宋体" w:cs="宋体"/>
                <w:b w:val="0"/>
                <w:bCs w:val="0"/>
                <w:color w:val="auto"/>
                <w:kern w:val="0"/>
                <w:sz w:val="18"/>
                <w:szCs w:val="18"/>
                <w:highlight w:val="none"/>
              </w:rPr>
            </w:pPr>
            <w:r>
              <w:rPr>
                <w:rFonts w:hint="eastAsia" w:ascii="宋体" w:hAnsi="宋体" w:cs="宋体"/>
                <w:b w:val="0"/>
                <w:bCs w:val="0"/>
                <w:color w:val="auto"/>
                <w:kern w:val="0"/>
                <w:sz w:val="18"/>
                <w:szCs w:val="18"/>
                <w:highlight w:val="none"/>
              </w:rPr>
              <w:t>16、其他未列明行业</w:t>
            </w:r>
          </w:p>
        </w:tc>
        <w:tc>
          <w:tcPr>
            <w:tcW w:w="1498" w:type="dxa"/>
            <w:tcBorders>
              <w:top w:val="nil"/>
              <w:left w:val="nil"/>
              <w:bottom w:val="single" w:color="auto" w:sz="8" w:space="0"/>
              <w:right w:val="single" w:color="auto" w:sz="4" w:space="0"/>
            </w:tcBorders>
            <w:shd w:val="clear" w:color="auto" w:fill="auto"/>
            <w:vAlign w:val="bottom"/>
          </w:tcPr>
          <w:p w14:paraId="648E84C6">
            <w:pPr>
              <w:jc w:val="left"/>
              <w:rPr>
                <w:rFonts w:ascii="宋体" w:hAnsi="宋体" w:cs="宋体"/>
                <w:b w:val="0"/>
                <w:bCs w:val="0"/>
                <w:color w:val="auto"/>
                <w:kern w:val="0"/>
                <w:sz w:val="18"/>
                <w:szCs w:val="18"/>
                <w:highlight w:val="none"/>
              </w:rPr>
            </w:pPr>
            <w:r>
              <w:rPr>
                <w:rFonts w:hint="eastAsia" w:ascii="宋体" w:hAnsi="宋体" w:cs="宋体"/>
                <w:b w:val="0"/>
                <w:bCs w:val="0"/>
                <w:color w:val="auto"/>
                <w:kern w:val="0"/>
                <w:sz w:val="18"/>
                <w:szCs w:val="18"/>
                <w:highlight w:val="none"/>
              </w:rPr>
              <w:t>100≤X＜300</w:t>
            </w:r>
          </w:p>
        </w:tc>
        <w:tc>
          <w:tcPr>
            <w:tcW w:w="1763" w:type="dxa"/>
            <w:tcBorders>
              <w:top w:val="nil"/>
              <w:left w:val="nil"/>
              <w:bottom w:val="single" w:color="auto" w:sz="8" w:space="0"/>
              <w:right w:val="single" w:color="auto" w:sz="4" w:space="0"/>
            </w:tcBorders>
            <w:shd w:val="clear" w:color="auto" w:fill="auto"/>
            <w:vAlign w:val="bottom"/>
          </w:tcPr>
          <w:p w14:paraId="0AF88DAF">
            <w:pPr>
              <w:jc w:val="left"/>
              <w:rPr>
                <w:rFonts w:ascii="宋体" w:hAnsi="宋体" w:cs="宋体"/>
                <w:b w:val="0"/>
                <w:bCs w:val="0"/>
                <w:color w:val="auto"/>
                <w:kern w:val="0"/>
                <w:sz w:val="18"/>
                <w:szCs w:val="18"/>
                <w:highlight w:val="none"/>
              </w:rPr>
            </w:pPr>
          </w:p>
        </w:tc>
        <w:tc>
          <w:tcPr>
            <w:tcW w:w="1660" w:type="dxa"/>
            <w:tcBorders>
              <w:top w:val="nil"/>
              <w:left w:val="nil"/>
              <w:bottom w:val="single" w:color="auto" w:sz="8" w:space="0"/>
              <w:right w:val="single" w:color="auto" w:sz="8" w:space="0"/>
            </w:tcBorders>
            <w:shd w:val="clear" w:color="auto" w:fill="auto"/>
            <w:vAlign w:val="bottom"/>
          </w:tcPr>
          <w:p w14:paraId="3BB95F44">
            <w:pPr>
              <w:jc w:val="left"/>
              <w:rPr>
                <w:rFonts w:ascii="宋体" w:hAnsi="宋体" w:cs="宋体"/>
                <w:b w:val="0"/>
                <w:bCs w:val="0"/>
                <w:color w:val="auto"/>
                <w:kern w:val="0"/>
                <w:sz w:val="18"/>
                <w:szCs w:val="18"/>
                <w:highlight w:val="none"/>
              </w:rPr>
            </w:pPr>
          </w:p>
        </w:tc>
        <w:tc>
          <w:tcPr>
            <w:tcW w:w="1240" w:type="dxa"/>
            <w:tcBorders>
              <w:top w:val="nil"/>
              <w:left w:val="nil"/>
              <w:bottom w:val="single" w:color="auto" w:sz="8" w:space="0"/>
              <w:right w:val="single" w:color="auto" w:sz="4" w:space="0"/>
            </w:tcBorders>
            <w:shd w:val="clear" w:color="auto" w:fill="auto"/>
            <w:vAlign w:val="bottom"/>
          </w:tcPr>
          <w:p w14:paraId="5B8B2B05">
            <w:pPr>
              <w:jc w:val="left"/>
              <w:rPr>
                <w:rFonts w:ascii="宋体" w:hAnsi="宋体" w:cs="宋体"/>
                <w:b w:val="0"/>
                <w:bCs w:val="0"/>
                <w:color w:val="auto"/>
                <w:kern w:val="0"/>
                <w:sz w:val="18"/>
                <w:szCs w:val="18"/>
                <w:highlight w:val="none"/>
              </w:rPr>
            </w:pPr>
            <w:r>
              <w:rPr>
                <w:rFonts w:hint="eastAsia" w:ascii="宋体" w:hAnsi="宋体" w:cs="宋体"/>
                <w:b w:val="0"/>
                <w:bCs w:val="0"/>
                <w:color w:val="auto"/>
                <w:kern w:val="0"/>
                <w:sz w:val="18"/>
                <w:szCs w:val="18"/>
                <w:highlight w:val="none"/>
              </w:rPr>
              <w:t>10≤X＜100</w:t>
            </w:r>
          </w:p>
        </w:tc>
        <w:tc>
          <w:tcPr>
            <w:tcW w:w="1480" w:type="dxa"/>
            <w:tcBorders>
              <w:top w:val="nil"/>
              <w:left w:val="nil"/>
              <w:bottom w:val="single" w:color="auto" w:sz="8" w:space="0"/>
              <w:right w:val="single" w:color="auto" w:sz="4" w:space="0"/>
            </w:tcBorders>
            <w:shd w:val="clear" w:color="auto" w:fill="auto"/>
            <w:vAlign w:val="bottom"/>
          </w:tcPr>
          <w:p w14:paraId="5B122F82">
            <w:pPr>
              <w:jc w:val="left"/>
              <w:rPr>
                <w:rFonts w:ascii="宋体" w:hAnsi="宋体" w:cs="宋体"/>
                <w:b w:val="0"/>
                <w:bCs w:val="0"/>
                <w:color w:val="auto"/>
                <w:kern w:val="0"/>
                <w:sz w:val="18"/>
                <w:szCs w:val="18"/>
                <w:highlight w:val="none"/>
              </w:rPr>
            </w:pPr>
          </w:p>
        </w:tc>
        <w:tc>
          <w:tcPr>
            <w:tcW w:w="1520" w:type="dxa"/>
            <w:tcBorders>
              <w:top w:val="nil"/>
              <w:left w:val="nil"/>
              <w:bottom w:val="single" w:color="auto" w:sz="8" w:space="0"/>
              <w:right w:val="single" w:color="auto" w:sz="8" w:space="0"/>
            </w:tcBorders>
            <w:shd w:val="clear" w:color="auto" w:fill="auto"/>
            <w:vAlign w:val="bottom"/>
          </w:tcPr>
          <w:p w14:paraId="7336557A">
            <w:pPr>
              <w:jc w:val="left"/>
              <w:rPr>
                <w:rFonts w:ascii="宋体" w:hAnsi="宋体" w:cs="宋体"/>
                <w:b w:val="0"/>
                <w:bCs w:val="0"/>
                <w:color w:val="auto"/>
                <w:kern w:val="0"/>
                <w:sz w:val="18"/>
                <w:szCs w:val="18"/>
                <w:highlight w:val="none"/>
              </w:rPr>
            </w:pPr>
          </w:p>
        </w:tc>
        <w:tc>
          <w:tcPr>
            <w:tcW w:w="1285" w:type="dxa"/>
            <w:tcBorders>
              <w:top w:val="nil"/>
              <w:left w:val="nil"/>
              <w:bottom w:val="single" w:color="auto" w:sz="8" w:space="0"/>
              <w:right w:val="single" w:color="auto" w:sz="4" w:space="0"/>
            </w:tcBorders>
            <w:shd w:val="clear" w:color="auto" w:fill="auto"/>
            <w:vAlign w:val="bottom"/>
          </w:tcPr>
          <w:p w14:paraId="656B8F1F">
            <w:pPr>
              <w:jc w:val="left"/>
              <w:rPr>
                <w:rFonts w:ascii="宋体" w:hAnsi="宋体" w:cs="宋体"/>
                <w:b w:val="0"/>
                <w:bCs w:val="0"/>
                <w:color w:val="auto"/>
                <w:kern w:val="0"/>
                <w:sz w:val="18"/>
                <w:szCs w:val="18"/>
                <w:highlight w:val="none"/>
              </w:rPr>
            </w:pPr>
            <w:r>
              <w:rPr>
                <w:rFonts w:hint="eastAsia" w:ascii="宋体" w:hAnsi="宋体" w:cs="宋体"/>
                <w:b w:val="0"/>
                <w:bCs w:val="0"/>
                <w:color w:val="auto"/>
                <w:kern w:val="0"/>
                <w:sz w:val="18"/>
                <w:szCs w:val="18"/>
                <w:highlight w:val="none"/>
              </w:rPr>
              <w:t>X＜10</w:t>
            </w:r>
          </w:p>
        </w:tc>
        <w:tc>
          <w:tcPr>
            <w:tcW w:w="1275" w:type="dxa"/>
            <w:tcBorders>
              <w:top w:val="nil"/>
              <w:left w:val="nil"/>
              <w:bottom w:val="single" w:color="auto" w:sz="8" w:space="0"/>
              <w:right w:val="single" w:color="auto" w:sz="4" w:space="0"/>
            </w:tcBorders>
            <w:shd w:val="clear" w:color="auto" w:fill="auto"/>
            <w:vAlign w:val="bottom"/>
          </w:tcPr>
          <w:p w14:paraId="7D05540F">
            <w:pPr>
              <w:jc w:val="left"/>
              <w:rPr>
                <w:rFonts w:ascii="宋体" w:hAnsi="宋体" w:cs="宋体"/>
                <w:b w:val="0"/>
                <w:bCs w:val="0"/>
                <w:color w:val="auto"/>
                <w:kern w:val="0"/>
                <w:sz w:val="18"/>
                <w:szCs w:val="18"/>
                <w:highlight w:val="none"/>
              </w:rPr>
            </w:pPr>
          </w:p>
        </w:tc>
        <w:tc>
          <w:tcPr>
            <w:tcW w:w="1221" w:type="dxa"/>
            <w:tcBorders>
              <w:top w:val="nil"/>
              <w:left w:val="nil"/>
              <w:bottom w:val="single" w:color="auto" w:sz="8" w:space="0"/>
              <w:right w:val="single" w:color="auto" w:sz="8" w:space="0"/>
            </w:tcBorders>
            <w:shd w:val="clear" w:color="auto" w:fill="auto"/>
            <w:vAlign w:val="bottom"/>
          </w:tcPr>
          <w:p w14:paraId="2276EEAE">
            <w:pPr>
              <w:jc w:val="left"/>
              <w:rPr>
                <w:rFonts w:ascii="宋体" w:hAnsi="宋体" w:cs="宋体"/>
                <w:b w:val="0"/>
                <w:bCs w:val="0"/>
                <w:color w:val="auto"/>
                <w:kern w:val="0"/>
                <w:sz w:val="18"/>
                <w:szCs w:val="18"/>
                <w:highlight w:val="none"/>
              </w:rPr>
            </w:pPr>
          </w:p>
        </w:tc>
      </w:tr>
      <w:tr w14:paraId="5C3567CD">
        <w:tblPrEx>
          <w:tblCellMar>
            <w:top w:w="0" w:type="dxa"/>
            <w:left w:w="108" w:type="dxa"/>
            <w:bottom w:w="0" w:type="dxa"/>
            <w:right w:w="108" w:type="dxa"/>
          </w:tblCellMar>
        </w:tblPrEx>
        <w:trPr>
          <w:trHeight w:val="285" w:hRule="atLeast"/>
        </w:trPr>
        <w:tc>
          <w:tcPr>
            <w:tcW w:w="15318" w:type="dxa"/>
            <w:gridSpan w:val="10"/>
            <w:tcBorders>
              <w:top w:val="nil"/>
              <w:left w:val="nil"/>
              <w:bottom w:val="nil"/>
              <w:right w:val="nil"/>
            </w:tcBorders>
            <w:shd w:val="clear" w:color="auto" w:fill="auto"/>
            <w:vAlign w:val="bottom"/>
          </w:tcPr>
          <w:p w14:paraId="5C82FF42">
            <w:pPr>
              <w:jc w:val="left"/>
              <w:rPr>
                <w:rFonts w:ascii="宋体" w:hAnsi="宋体" w:cs="宋体"/>
                <w:color w:val="auto"/>
                <w:sz w:val="18"/>
                <w:szCs w:val="18"/>
                <w:highlight w:val="none"/>
              </w:rPr>
            </w:pPr>
            <w:r>
              <w:rPr>
                <w:rFonts w:hint="eastAsia" w:ascii="宋体" w:hAnsi="宋体" w:cs="宋体"/>
                <w:color w:val="auto"/>
                <w:sz w:val="18"/>
                <w:szCs w:val="18"/>
                <w:highlight w:val="none"/>
              </w:rPr>
              <w:t>说明：1、企业类型的划分以统计部门的统计数据为依据。</w:t>
            </w:r>
          </w:p>
          <w:p w14:paraId="29103392">
            <w:pPr>
              <w:ind w:firstLine="540" w:firstLineChars="300"/>
              <w:jc w:val="left"/>
              <w:rPr>
                <w:rFonts w:ascii="宋体" w:hAnsi="宋体" w:cs="宋体"/>
                <w:color w:val="auto"/>
                <w:sz w:val="18"/>
                <w:szCs w:val="18"/>
                <w:highlight w:val="none"/>
              </w:rPr>
            </w:pPr>
            <w:r>
              <w:rPr>
                <w:rFonts w:hint="eastAsia" w:ascii="宋体" w:hAnsi="宋体" w:cs="宋体"/>
                <w:color w:val="auto"/>
                <w:sz w:val="18"/>
                <w:szCs w:val="18"/>
                <w:highlight w:val="none"/>
              </w:rPr>
              <w:t>2、个体工商户和本规定以外的行业，参照本规定进行划型。</w:t>
            </w:r>
          </w:p>
          <w:p w14:paraId="476975E9">
            <w:pPr>
              <w:ind w:firstLine="540" w:firstLineChars="300"/>
              <w:jc w:val="left"/>
              <w:rPr>
                <w:rFonts w:ascii="宋体" w:hAnsi="宋体" w:cs="宋体"/>
                <w:color w:val="auto"/>
                <w:sz w:val="18"/>
                <w:szCs w:val="18"/>
                <w:highlight w:val="none"/>
              </w:rPr>
            </w:pPr>
            <w:r>
              <w:rPr>
                <w:rFonts w:hint="eastAsia" w:ascii="宋体" w:hAnsi="宋体" w:cs="宋体"/>
                <w:color w:val="auto"/>
                <w:sz w:val="18"/>
                <w:szCs w:val="18"/>
                <w:highlight w:val="none"/>
              </w:rPr>
              <w:t>3、本规定的中型企业标准上限即为大型企业标准的下限。</w:t>
            </w:r>
          </w:p>
        </w:tc>
      </w:tr>
    </w:tbl>
    <w:p w14:paraId="44717DB5">
      <w:pPr>
        <w:pStyle w:val="2"/>
        <w:ind w:firstLine="211"/>
        <w:rPr>
          <w:b/>
          <w:bCs/>
          <w:color w:val="auto"/>
          <w:highlight w:val="none"/>
        </w:rPr>
      </w:pPr>
    </w:p>
    <w:sectPr>
      <w:headerReference r:id="rId16" w:type="default"/>
      <w:footerReference r:id="rId17" w:type="default"/>
      <w:pgSz w:w="16838" w:h="11906" w:orient="landscape"/>
      <w:pgMar w:top="1440" w:right="1800" w:bottom="1440" w:left="180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534659FF-C386-4151-A5EB-D6F7ABDE45D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7F" w:usb3="00000000" w:csb0="003F01FF" w:csb1="00000000"/>
  </w:font>
  <w:font w:name="仿宋">
    <w:panose1 w:val="02010609060101010101"/>
    <w:charset w:val="86"/>
    <w:family w:val="modern"/>
    <w:pitch w:val="default"/>
    <w:sig w:usb0="800002BF" w:usb1="38CF7CFA" w:usb2="00000016" w:usb3="00000000" w:csb0="00040001"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汉鼎简细圆">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2" w:fontKey="{FC7B8F76-D73A-4024-B819-54B4D7770C76}"/>
  </w:font>
  <w:font w:name="新宋体">
    <w:panose1 w:val="02010609030101010101"/>
    <w:charset w:val="86"/>
    <w:family w:val="modern"/>
    <w:pitch w:val="default"/>
    <w:sig w:usb0="00000003" w:usb1="288F0000" w:usb2="00000006" w:usb3="00000000" w:csb0="00040001" w:csb1="00000000"/>
    <w:embedRegular r:id="rId3" w:fontKey="{E9861DFA-1ED8-42E7-A490-C97F1BE57C4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17F1C">
    <w:pPr>
      <w:pStyle w:val="31"/>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C9DFF">
    <w:pPr>
      <w:pStyle w:val="31"/>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E4EDDC5">
                          <w:pPr>
                            <w:pStyle w:val="31"/>
                            <w:jc w:val="center"/>
                            <w:rPr>
                              <w:rStyle w:val="49"/>
                            </w:rPr>
                          </w:pPr>
                          <w:r>
                            <w:fldChar w:fldCharType="begin"/>
                          </w:r>
                          <w:r>
                            <w:rPr>
                              <w:rStyle w:val="49"/>
                            </w:rPr>
                            <w:instrText xml:space="preserve">PAGE  </w:instrText>
                          </w:r>
                          <w:r>
                            <w:fldChar w:fldCharType="separate"/>
                          </w:r>
                          <w:r>
                            <w:rPr>
                              <w:rStyle w:val="49"/>
                            </w:rPr>
                            <w:t>103</w:t>
                          </w:r>
                          <w:r>
                            <w:fldChar w:fldCharType="end"/>
                          </w:r>
                        </w:p>
                      </w:txbxContent>
                    </wps:txbx>
                    <wps:bodyPr wrap="square" lIns="0" tIns="0" rIns="0" bIns="0" upright="1"/>
                  </wps:wsp>
                </a:graphicData>
              </a:graphic>
            </wp:anchor>
          </w:drawing>
        </mc:Choice>
        <mc:Fallback>
          <w:pict>
            <v:shape id="文本框 4"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aT2QNIAAAAFAQAADwAAAAAAAAABACAAAAAiAAAAZHJzL2Rvd25yZXYueG1sUEsB&#10;AhQAFAAAAAgAh07iQOmUsbnCAQAAjwMAAA4AAAAAAAAAAQAgAAAAIQEAAGRycy9lMm9Eb2MueG1s&#10;UEsFBgAAAAAGAAYAWQEAAFUFAAAAAA==&#10;">
              <v:fill on="f" focussize="0,0"/>
              <v:stroke on="f"/>
              <v:imagedata o:title=""/>
              <o:lock v:ext="edit" aspectratio="f"/>
              <v:textbox inset="0mm,0mm,0mm,0mm">
                <w:txbxContent>
                  <w:p w14:paraId="5E4EDDC5">
                    <w:pPr>
                      <w:pStyle w:val="31"/>
                      <w:jc w:val="center"/>
                      <w:rPr>
                        <w:rStyle w:val="49"/>
                      </w:rPr>
                    </w:pPr>
                    <w:r>
                      <w:fldChar w:fldCharType="begin"/>
                    </w:r>
                    <w:r>
                      <w:rPr>
                        <w:rStyle w:val="49"/>
                      </w:rPr>
                      <w:instrText xml:space="preserve">PAGE  </w:instrText>
                    </w:r>
                    <w:r>
                      <w:fldChar w:fldCharType="separate"/>
                    </w:r>
                    <w:r>
                      <w:rPr>
                        <w:rStyle w:val="49"/>
                      </w:rPr>
                      <w:t>103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56E04">
    <w:pPr>
      <w:pStyle w:val="3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39A88">
    <w:pPr>
      <w:pStyle w:val="31"/>
      <w:tabs>
        <w:tab w:val="center" w:pos="4312"/>
        <w:tab w:val="left" w:pos="4894"/>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DDBC9">
    <w:pPr>
      <w:pStyle w:val="31"/>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12364011"/>
                          </w:sdtPr>
                          <w:sdtContent>
                            <w:p w14:paraId="0B874DAE">
                              <w:pPr>
                                <w:pStyle w:val="31"/>
                                <w:jc w:val="center"/>
                              </w:pPr>
                              <w:r>
                                <w:fldChar w:fldCharType="begin"/>
                              </w:r>
                              <w:r>
                                <w:instrText xml:space="preserve">PAGE   \* MERGEFORMAT</w:instrText>
                              </w:r>
                              <w:r>
                                <w:fldChar w:fldCharType="separate"/>
                              </w:r>
                              <w:r>
                                <w:rPr>
                                  <w:lang w:val="zh-CN"/>
                                </w:rPr>
                                <w:t>26</w:t>
                              </w:r>
                              <w:r>
                                <w:fldChar w:fldCharType="end"/>
                              </w:r>
                            </w:p>
                          </w:sdtContent>
                        </w:sdt>
                        <w:p w14:paraId="05EA7F85">
                          <w:pPr>
                            <w:pStyle w:val="2"/>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sdt>
                    <w:sdtPr>
                      <w:id w:val="412364011"/>
                    </w:sdtPr>
                    <w:sdtContent>
                      <w:p w14:paraId="0B874DAE">
                        <w:pPr>
                          <w:pStyle w:val="31"/>
                          <w:jc w:val="center"/>
                        </w:pPr>
                        <w:r>
                          <w:fldChar w:fldCharType="begin"/>
                        </w:r>
                        <w:r>
                          <w:instrText xml:space="preserve">PAGE   \* MERGEFORMAT</w:instrText>
                        </w:r>
                        <w:r>
                          <w:fldChar w:fldCharType="separate"/>
                        </w:r>
                        <w:r>
                          <w:rPr>
                            <w:lang w:val="zh-CN"/>
                          </w:rPr>
                          <w:t>26</w:t>
                        </w:r>
                        <w:r>
                          <w:fldChar w:fldCharType="end"/>
                        </w:r>
                      </w:p>
                    </w:sdtContent>
                  </w:sdt>
                  <w:p w14:paraId="05EA7F85">
                    <w:pPr>
                      <w:pStyle w:val="2"/>
                      <w:ind w:firstLine="210"/>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6E813">
    <w:pPr>
      <w:pStyle w:val="3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12804531"/>
                          </w:sdtPr>
                          <w:sdtContent>
                            <w:p w14:paraId="4C324920">
                              <w:pPr>
                                <w:pStyle w:val="31"/>
                                <w:jc w:val="center"/>
                              </w:pPr>
                              <w:r>
                                <w:fldChar w:fldCharType="begin"/>
                              </w:r>
                              <w:r>
                                <w:instrText xml:space="preserve">PAGE   \* MERGEFORMAT</w:instrText>
                              </w:r>
                              <w:r>
                                <w:fldChar w:fldCharType="separate"/>
                              </w:r>
                              <w:r>
                                <w:rPr>
                                  <w:lang w:val="zh-CN"/>
                                </w:rPr>
                                <w:t>25</w:t>
                              </w:r>
                              <w:r>
                                <w:fldChar w:fldCharType="end"/>
                              </w:r>
                            </w:p>
                          </w:sdtContent>
                        </w:sdt>
                        <w:p w14:paraId="60A78F9F">
                          <w:pPr>
                            <w:pStyle w:val="2"/>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sdt>
                    <w:sdtPr>
                      <w:id w:val="512804531"/>
                    </w:sdtPr>
                    <w:sdtContent>
                      <w:p w14:paraId="4C324920">
                        <w:pPr>
                          <w:pStyle w:val="31"/>
                          <w:jc w:val="center"/>
                        </w:pPr>
                        <w:r>
                          <w:fldChar w:fldCharType="begin"/>
                        </w:r>
                        <w:r>
                          <w:instrText xml:space="preserve">PAGE   \* MERGEFORMAT</w:instrText>
                        </w:r>
                        <w:r>
                          <w:fldChar w:fldCharType="separate"/>
                        </w:r>
                        <w:r>
                          <w:rPr>
                            <w:lang w:val="zh-CN"/>
                          </w:rPr>
                          <w:t>25</w:t>
                        </w:r>
                        <w:r>
                          <w:fldChar w:fldCharType="end"/>
                        </w:r>
                      </w:p>
                    </w:sdtContent>
                  </w:sdt>
                  <w:p w14:paraId="60A78F9F">
                    <w:pPr>
                      <w:pStyle w:val="2"/>
                      <w:ind w:firstLine="210"/>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35ECC">
    <w:pPr>
      <w:pStyle w:val="31"/>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43440643"/>
                          </w:sdtPr>
                          <w:sdtContent>
                            <w:p w14:paraId="7EB0F84C">
                              <w:pPr>
                                <w:pStyle w:val="31"/>
                                <w:jc w:val="center"/>
                              </w:pPr>
                              <w:r>
                                <w:fldChar w:fldCharType="begin"/>
                              </w:r>
                              <w:r>
                                <w:instrText xml:space="preserve">PAGE   \* MERGEFORMAT</w:instrText>
                              </w:r>
                              <w:r>
                                <w:fldChar w:fldCharType="separate"/>
                              </w:r>
                              <w:r>
                                <w:rPr>
                                  <w:lang w:val="zh-CN"/>
                                </w:rPr>
                                <w:t>26</w:t>
                              </w:r>
                              <w:r>
                                <w:fldChar w:fldCharType="end"/>
                              </w:r>
                            </w:p>
                          </w:sdtContent>
                        </w:sdt>
                        <w:p w14:paraId="4985F4A8">
                          <w:pPr>
                            <w:pStyle w:val="2"/>
                            <w:ind w:firstLine="2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sdt>
                    <w:sdtPr>
                      <w:id w:val="1743440643"/>
                    </w:sdtPr>
                    <w:sdtContent>
                      <w:p w14:paraId="7EB0F84C">
                        <w:pPr>
                          <w:pStyle w:val="31"/>
                          <w:jc w:val="center"/>
                        </w:pPr>
                        <w:r>
                          <w:fldChar w:fldCharType="begin"/>
                        </w:r>
                        <w:r>
                          <w:instrText xml:space="preserve">PAGE   \* MERGEFORMAT</w:instrText>
                        </w:r>
                        <w:r>
                          <w:fldChar w:fldCharType="separate"/>
                        </w:r>
                        <w:r>
                          <w:rPr>
                            <w:lang w:val="zh-CN"/>
                          </w:rPr>
                          <w:t>26</w:t>
                        </w:r>
                        <w:r>
                          <w:fldChar w:fldCharType="end"/>
                        </w:r>
                      </w:p>
                    </w:sdtContent>
                  </w:sdt>
                  <w:p w14:paraId="4985F4A8">
                    <w:pPr>
                      <w:pStyle w:val="2"/>
                      <w:ind w:firstLine="210"/>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E9095">
    <w:pPr>
      <w:pStyle w:val="3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5F08FD">
                          <w:pPr>
                            <w:pStyle w:val="31"/>
                            <w:rPr>
                              <w:rStyle w:val="49"/>
                            </w:rPr>
                          </w:pPr>
                          <w:r>
                            <w:fldChar w:fldCharType="begin"/>
                          </w:r>
                          <w:r>
                            <w:rPr>
                              <w:rStyle w:val="49"/>
                            </w:rPr>
                            <w:instrText xml:space="preserve">PAGE  </w:instrText>
                          </w:r>
                          <w:r>
                            <w:fldChar w:fldCharType="separate"/>
                          </w:r>
                          <w:r>
                            <w:rPr>
                              <w:rStyle w:val="49"/>
                            </w:rP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65F08FD">
                    <w:pPr>
                      <w:pStyle w:val="31"/>
                      <w:rPr>
                        <w:rStyle w:val="49"/>
                      </w:rPr>
                    </w:pPr>
                    <w:r>
                      <w:fldChar w:fldCharType="begin"/>
                    </w:r>
                    <w:r>
                      <w:rPr>
                        <w:rStyle w:val="49"/>
                      </w:rPr>
                      <w:instrText xml:space="preserve">PAGE  </w:instrText>
                    </w:r>
                    <w:r>
                      <w:fldChar w:fldCharType="separate"/>
                    </w:r>
                    <w:r>
                      <w:rPr>
                        <w:rStyle w:val="49"/>
                      </w:rPr>
                      <w:t>42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34A40">
    <w:pPr>
      <w:pStyle w:val="31"/>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1749C07">
                          <w:pPr>
                            <w:pStyle w:val="31"/>
                            <w:rPr>
                              <w:rStyle w:val="49"/>
                            </w:rPr>
                          </w:pPr>
                          <w:r>
                            <w:fldChar w:fldCharType="begin"/>
                          </w:r>
                          <w:r>
                            <w:rPr>
                              <w:rStyle w:val="49"/>
                            </w:rPr>
                            <w:instrText xml:space="preserve">PAGE  </w:instrText>
                          </w:r>
                          <w:r>
                            <w:fldChar w:fldCharType="separate"/>
                          </w:r>
                          <w:r>
                            <w:rPr>
                              <w:rStyle w:val="49"/>
                            </w:rPr>
                            <w:t>99</w:t>
                          </w:r>
                          <w: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MDu3afNAQAApwMAAA4AAAAAAAAAAQAgAAAAHwEAAGRycy9l&#10;Mm9Eb2MueG1sUEsFBgAAAAAGAAYAWQEAAF4FAAAAAA==&#10;">
              <v:fill on="f" focussize="0,0"/>
              <v:stroke on="f"/>
              <v:imagedata o:title=""/>
              <o:lock v:ext="edit" aspectratio="f"/>
              <v:textbox inset="0mm,0mm,0mm,0mm" style="mso-fit-shape-to-text:t;">
                <w:txbxContent>
                  <w:p w14:paraId="11749C07">
                    <w:pPr>
                      <w:pStyle w:val="31"/>
                      <w:rPr>
                        <w:rStyle w:val="49"/>
                      </w:rPr>
                    </w:pPr>
                    <w:r>
                      <w:fldChar w:fldCharType="begin"/>
                    </w:r>
                    <w:r>
                      <w:rPr>
                        <w:rStyle w:val="49"/>
                      </w:rPr>
                      <w:instrText xml:space="preserve">PAGE  </w:instrText>
                    </w:r>
                    <w:r>
                      <w:fldChar w:fldCharType="separate"/>
                    </w:r>
                    <w:r>
                      <w:rPr>
                        <w:rStyle w:val="49"/>
                      </w:rPr>
                      <w:t>99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6B219">
    <w:pPr>
      <w:pStyle w:val="31"/>
      <w:framePr w:wrap="around" w:vAnchor="text" w:hAnchor="margin" w:xAlign="center" w:y="1"/>
      <w:rPr>
        <w:rStyle w:val="49"/>
      </w:rPr>
    </w:pPr>
    <w:r>
      <w:fldChar w:fldCharType="begin"/>
    </w:r>
    <w:r>
      <w:rPr>
        <w:rStyle w:val="49"/>
      </w:rPr>
      <w:instrText xml:space="preserve">PAGE  </w:instrText>
    </w:r>
    <w:r>
      <w:fldChar w:fldCharType="separate"/>
    </w:r>
    <w:r>
      <w:rPr>
        <w:rStyle w:val="49"/>
      </w:rPr>
      <w:t>3</w:t>
    </w:r>
    <w:r>
      <w:fldChar w:fldCharType="end"/>
    </w:r>
  </w:p>
  <w:p w14:paraId="728B4308">
    <w:pPr>
      <w:pStyle w:val="3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93018">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85F15">
    <w:pPr>
      <w:pStyle w:val="3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A098A">
    <w:pPr>
      <w:pStyle w:val="3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5B22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A100C">
    <w:pPr>
      <w:pStyle w:val="3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pStyle w:val="21"/>
      <w:lvlText w:val="%1."/>
      <w:lvlJc w:val="left"/>
      <w:pPr>
        <w:tabs>
          <w:tab w:val="left" w:pos="1200"/>
        </w:tabs>
        <w:ind w:left="1200" w:hanging="360"/>
      </w:pPr>
    </w:lvl>
  </w:abstractNum>
  <w:abstractNum w:abstractNumId="1">
    <w:nsid w:val="00000002"/>
    <w:multiLevelType w:val="multilevel"/>
    <w:tmpl w:val="00000002"/>
    <w:lvl w:ilvl="0" w:tentative="0">
      <w:start w:val="1"/>
      <w:numFmt w:val="japaneseCounting"/>
      <w:lvlText w:val="%1、"/>
      <w:lvlJc w:val="left"/>
      <w:pPr>
        <w:ind w:left="450" w:hanging="45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3"/>
    <w:multiLevelType w:val="singleLevel"/>
    <w:tmpl w:val="00000003"/>
    <w:lvl w:ilvl="0" w:tentative="0">
      <w:start w:val="3"/>
      <w:numFmt w:val="decimal"/>
      <w:suff w:val="nothing"/>
      <w:lvlText w:val="%1."/>
      <w:lvlJc w:val="left"/>
    </w:lvl>
  </w:abstractNum>
  <w:abstractNum w:abstractNumId="3">
    <w:nsid w:val="00000004"/>
    <w:multiLevelType w:val="singleLevel"/>
    <w:tmpl w:val="00000004"/>
    <w:lvl w:ilvl="0" w:tentative="0">
      <w:start w:val="1"/>
      <w:numFmt w:val="decimal"/>
      <w:suff w:val="nothing"/>
      <w:lvlText w:val="%1."/>
      <w:lvlJc w:val="left"/>
      <w:pPr>
        <w:tabs>
          <w:tab w:val="left" w:pos="0"/>
        </w:tabs>
        <w:ind w:left="0" w:firstLine="0"/>
      </w:pPr>
    </w:lvl>
  </w:abstractNum>
  <w:abstractNum w:abstractNumId="4">
    <w:nsid w:val="29D120CC"/>
    <w:multiLevelType w:val="singleLevel"/>
    <w:tmpl w:val="29D120CC"/>
    <w:lvl w:ilvl="0" w:tentative="0">
      <w:start w:val="1"/>
      <w:numFmt w:val="decimal"/>
      <w:suff w:val="nothing"/>
      <w:lvlText w:val="（%1）"/>
      <w:lvlJc w:val="left"/>
      <w:pPr>
        <w:ind w:left="-2"/>
      </w:pPr>
    </w:lvl>
  </w:abstractNum>
  <w:abstractNum w:abstractNumId="5">
    <w:nsid w:val="5950E9B0"/>
    <w:multiLevelType w:val="singleLevel"/>
    <w:tmpl w:val="5950E9B0"/>
    <w:lvl w:ilvl="0" w:tentative="0">
      <w:start w:val="2"/>
      <w:numFmt w:val="decimal"/>
      <w:suff w:val="nothing"/>
      <w:lvlText w:val="%1、"/>
      <w:lvlJc w:val="left"/>
    </w:lvl>
  </w:abstractNum>
  <w:abstractNum w:abstractNumId="6">
    <w:nsid w:val="5C9C1424"/>
    <w:multiLevelType w:val="singleLevel"/>
    <w:tmpl w:val="5C9C1424"/>
    <w:lvl w:ilvl="0" w:tentative="0">
      <w:start w:val="1"/>
      <w:numFmt w:val="decimal"/>
      <w:suff w:val="nothing"/>
      <w:lvlText w:val="（%1）"/>
      <w:lvlJc w:val="left"/>
    </w:lvl>
  </w:abstractNum>
  <w:abstractNum w:abstractNumId="7">
    <w:nsid w:val="5F532B37"/>
    <w:multiLevelType w:val="singleLevel"/>
    <w:tmpl w:val="5F532B37"/>
    <w:lvl w:ilvl="0" w:tentative="0">
      <w:start w:val="5"/>
      <w:numFmt w:val="chineseCounting"/>
      <w:suff w:val="nothing"/>
      <w:lvlText w:val="%1．"/>
      <w:lvlJc w:val="left"/>
      <w:rPr>
        <w:rFonts w:hint="eastAsia"/>
      </w:rPr>
    </w:lvl>
  </w:abstractNum>
  <w:num w:numId="1">
    <w:abstractNumId w:val="0"/>
  </w:num>
  <w:num w:numId="2">
    <w:abstractNumId w:val="1"/>
  </w:num>
  <w:num w:numId="3">
    <w:abstractNumId w:val="6"/>
  </w:num>
  <w:num w:numId="4">
    <w:abstractNumId w:val="4"/>
  </w:num>
  <w:num w:numId="5">
    <w:abstractNumId w:val="5"/>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zYTlhZmU0YjYzYzIzMjhlZTgyNDAyODAxZjRkYTIifQ=="/>
    <w:docVar w:name="KSO_WPS_MARK_KEY" w:val="f5041266-02ca-4d4e-a480-12c5701251e8"/>
  </w:docVars>
  <w:rsids>
    <w:rsidRoot w:val="00172A27"/>
    <w:rsid w:val="0000232C"/>
    <w:rsid w:val="00002340"/>
    <w:rsid w:val="00003C84"/>
    <w:rsid w:val="00003E72"/>
    <w:rsid w:val="00004853"/>
    <w:rsid w:val="00004DAD"/>
    <w:rsid w:val="00005402"/>
    <w:rsid w:val="00006B94"/>
    <w:rsid w:val="00010EE5"/>
    <w:rsid w:val="00012249"/>
    <w:rsid w:val="00022EAC"/>
    <w:rsid w:val="00025453"/>
    <w:rsid w:val="0002650F"/>
    <w:rsid w:val="00030EE2"/>
    <w:rsid w:val="000448ED"/>
    <w:rsid w:val="000458CB"/>
    <w:rsid w:val="00045CE8"/>
    <w:rsid w:val="00046414"/>
    <w:rsid w:val="00046D5E"/>
    <w:rsid w:val="00047E2F"/>
    <w:rsid w:val="00050BCE"/>
    <w:rsid w:val="0005393E"/>
    <w:rsid w:val="00053E73"/>
    <w:rsid w:val="00054AF2"/>
    <w:rsid w:val="00056325"/>
    <w:rsid w:val="000571C4"/>
    <w:rsid w:val="00061AEC"/>
    <w:rsid w:val="00062988"/>
    <w:rsid w:val="000657C7"/>
    <w:rsid w:val="00065BE7"/>
    <w:rsid w:val="00066E18"/>
    <w:rsid w:val="000720D7"/>
    <w:rsid w:val="00083CF4"/>
    <w:rsid w:val="000851F4"/>
    <w:rsid w:val="000859B2"/>
    <w:rsid w:val="000923A4"/>
    <w:rsid w:val="000939A6"/>
    <w:rsid w:val="000947C1"/>
    <w:rsid w:val="000A09AF"/>
    <w:rsid w:val="000A3559"/>
    <w:rsid w:val="000A5F5B"/>
    <w:rsid w:val="000B0A91"/>
    <w:rsid w:val="000B1FCD"/>
    <w:rsid w:val="000B2F45"/>
    <w:rsid w:val="000B6BB2"/>
    <w:rsid w:val="000C089B"/>
    <w:rsid w:val="000C37C7"/>
    <w:rsid w:val="000C3838"/>
    <w:rsid w:val="000C4120"/>
    <w:rsid w:val="000C58DC"/>
    <w:rsid w:val="000C5FAD"/>
    <w:rsid w:val="000D35A5"/>
    <w:rsid w:val="000D6E0B"/>
    <w:rsid w:val="000D6E35"/>
    <w:rsid w:val="000D74FA"/>
    <w:rsid w:val="000D79B4"/>
    <w:rsid w:val="000E0064"/>
    <w:rsid w:val="000E1CC3"/>
    <w:rsid w:val="000E61BB"/>
    <w:rsid w:val="000E6730"/>
    <w:rsid w:val="000F0AF6"/>
    <w:rsid w:val="000F5E84"/>
    <w:rsid w:val="00100A19"/>
    <w:rsid w:val="001011D3"/>
    <w:rsid w:val="00106050"/>
    <w:rsid w:val="00107904"/>
    <w:rsid w:val="001143D4"/>
    <w:rsid w:val="00115360"/>
    <w:rsid w:val="00115E82"/>
    <w:rsid w:val="001171B9"/>
    <w:rsid w:val="001218CA"/>
    <w:rsid w:val="00125AC3"/>
    <w:rsid w:val="00127FC4"/>
    <w:rsid w:val="00132400"/>
    <w:rsid w:val="00133732"/>
    <w:rsid w:val="001369E9"/>
    <w:rsid w:val="0013739C"/>
    <w:rsid w:val="001431AF"/>
    <w:rsid w:val="00144528"/>
    <w:rsid w:val="001511C5"/>
    <w:rsid w:val="0015273F"/>
    <w:rsid w:val="0015306E"/>
    <w:rsid w:val="00153870"/>
    <w:rsid w:val="00160260"/>
    <w:rsid w:val="00160606"/>
    <w:rsid w:val="00162145"/>
    <w:rsid w:val="0016652D"/>
    <w:rsid w:val="00166543"/>
    <w:rsid w:val="00170B6D"/>
    <w:rsid w:val="001724DF"/>
    <w:rsid w:val="001726B7"/>
    <w:rsid w:val="00172A27"/>
    <w:rsid w:val="00172BDA"/>
    <w:rsid w:val="00172D19"/>
    <w:rsid w:val="001732A7"/>
    <w:rsid w:val="0017579A"/>
    <w:rsid w:val="001777F8"/>
    <w:rsid w:val="00177DE8"/>
    <w:rsid w:val="00177E04"/>
    <w:rsid w:val="00184837"/>
    <w:rsid w:val="00187F26"/>
    <w:rsid w:val="00190270"/>
    <w:rsid w:val="001917A8"/>
    <w:rsid w:val="001A26A1"/>
    <w:rsid w:val="001A2700"/>
    <w:rsid w:val="001A5587"/>
    <w:rsid w:val="001B0956"/>
    <w:rsid w:val="001B3F2D"/>
    <w:rsid w:val="001B4948"/>
    <w:rsid w:val="001B5175"/>
    <w:rsid w:val="001B60D2"/>
    <w:rsid w:val="001B623B"/>
    <w:rsid w:val="001B667C"/>
    <w:rsid w:val="001B7473"/>
    <w:rsid w:val="001B7DF3"/>
    <w:rsid w:val="001C3AA1"/>
    <w:rsid w:val="001C583B"/>
    <w:rsid w:val="001C66F4"/>
    <w:rsid w:val="001D3DDA"/>
    <w:rsid w:val="001D72C5"/>
    <w:rsid w:val="001D75CC"/>
    <w:rsid w:val="001E0625"/>
    <w:rsid w:val="001E458E"/>
    <w:rsid w:val="001E6092"/>
    <w:rsid w:val="001E68D3"/>
    <w:rsid w:val="001E72FC"/>
    <w:rsid w:val="001F29C6"/>
    <w:rsid w:val="001F5D1A"/>
    <w:rsid w:val="001F7A32"/>
    <w:rsid w:val="0020093D"/>
    <w:rsid w:val="00212619"/>
    <w:rsid w:val="002152F7"/>
    <w:rsid w:val="00215668"/>
    <w:rsid w:val="002178E0"/>
    <w:rsid w:val="00220C43"/>
    <w:rsid w:val="002214B9"/>
    <w:rsid w:val="00222689"/>
    <w:rsid w:val="00223627"/>
    <w:rsid w:val="002270F1"/>
    <w:rsid w:val="00227933"/>
    <w:rsid w:val="002359D4"/>
    <w:rsid w:val="00237C4B"/>
    <w:rsid w:val="00241C15"/>
    <w:rsid w:val="002446EA"/>
    <w:rsid w:val="00246DEC"/>
    <w:rsid w:val="00251396"/>
    <w:rsid w:val="002526DD"/>
    <w:rsid w:val="0026750A"/>
    <w:rsid w:val="00291BB6"/>
    <w:rsid w:val="00293097"/>
    <w:rsid w:val="00295D96"/>
    <w:rsid w:val="002A6653"/>
    <w:rsid w:val="002A77B9"/>
    <w:rsid w:val="002B4A32"/>
    <w:rsid w:val="002B5280"/>
    <w:rsid w:val="002C0995"/>
    <w:rsid w:val="002C16CF"/>
    <w:rsid w:val="002C204D"/>
    <w:rsid w:val="002C49F7"/>
    <w:rsid w:val="002C7B9E"/>
    <w:rsid w:val="002D26B5"/>
    <w:rsid w:val="002D6A42"/>
    <w:rsid w:val="002D7944"/>
    <w:rsid w:val="002D7D28"/>
    <w:rsid w:val="002D7D71"/>
    <w:rsid w:val="002E1BD4"/>
    <w:rsid w:val="002E23EB"/>
    <w:rsid w:val="002E485A"/>
    <w:rsid w:val="002E6792"/>
    <w:rsid w:val="002E703C"/>
    <w:rsid w:val="002F2CDC"/>
    <w:rsid w:val="002F3D11"/>
    <w:rsid w:val="002F4CD2"/>
    <w:rsid w:val="0030392A"/>
    <w:rsid w:val="003045D6"/>
    <w:rsid w:val="0031198D"/>
    <w:rsid w:val="00316F3A"/>
    <w:rsid w:val="00321EE1"/>
    <w:rsid w:val="00322E66"/>
    <w:rsid w:val="003238AF"/>
    <w:rsid w:val="0033032B"/>
    <w:rsid w:val="0033233E"/>
    <w:rsid w:val="003354D9"/>
    <w:rsid w:val="00336E82"/>
    <w:rsid w:val="00337B6B"/>
    <w:rsid w:val="00341CEA"/>
    <w:rsid w:val="0035115F"/>
    <w:rsid w:val="00352BBC"/>
    <w:rsid w:val="00352D20"/>
    <w:rsid w:val="0036250E"/>
    <w:rsid w:val="00363640"/>
    <w:rsid w:val="00364608"/>
    <w:rsid w:val="00377456"/>
    <w:rsid w:val="003775CA"/>
    <w:rsid w:val="00382F61"/>
    <w:rsid w:val="003847A7"/>
    <w:rsid w:val="00386A7C"/>
    <w:rsid w:val="00390CAF"/>
    <w:rsid w:val="00394DA6"/>
    <w:rsid w:val="00397CD1"/>
    <w:rsid w:val="003B148D"/>
    <w:rsid w:val="003B1F83"/>
    <w:rsid w:val="003C1205"/>
    <w:rsid w:val="003C300D"/>
    <w:rsid w:val="003D31B1"/>
    <w:rsid w:val="003D5C70"/>
    <w:rsid w:val="003E4EE3"/>
    <w:rsid w:val="003E7FEB"/>
    <w:rsid w:val="00400C99"/>
    <w:rsid w:val="004011BB"/>
    <w:rsid w:val="0040447C"/>
    <w:rsid w:val="00411240"/>
    <w:rsid w:val="004142E6"/>
    <w:rsid w:val="004151AE"/>
    <w:rsid w:val="004161EB"/>
    <w:rsid w:val="004200E9"/>
    <w:rsid w:val="00422D3C"/>
    <w:rsid w:val="00423717"/>
    <w:rsid w:val="00424243"/>
    <w:rsid w:val="00425CD1"/>
    <w:rsid w:val="00431C5D"/>
    <w:rsid w:val="00434B44"/>
    <w:rsid w:val="00435D59"/>
    <w:rsid w:val="00440758"/>
    <w:rsid w:val="0044080A"/>
    <w:rsid w:val="004411EE"/>
    <w:rsid w:val="0044223E"/>
    <w:rsid w:val="00462D6F"/>
    <w:rsid w:val="004633FC"/>
    <w:rsid w:val="0046362F"/>
    <w:rsid w:val="00466513"/>
    <w:rsid w:val="00466E3F"/>
    <w:rsid w:val="00472673"/>
    <w:rsid w:val="004779D6"/>
    <w:rsid w:val="00480482"/>
    <w:rsid w:val="00490214"/>
    <w:rsid w:val="004913C5"/>
    <w:rsid w:val="004929E2"/>
    <w:rsid w:val="00497BEA"/>
    <w:rsid w:val="004A00AB"/>
    <w:rsid w:val="004A02F7"/>
    <w:rsid w:val="004A659B"/>
    <w:rsid w:val="004A75B2"/>
    <w:rsid w:val="004B396D"/>
    <w:rsid w:val="004B4D30"/>
    <w:rsid w:val="004C0033"/>
    <w:rsid w:val="004C08C4"/>
    <w:rsid w:val="004C137F"/>
    <w:rsid w:val="004C22A1"/>
    <w:rsid w:val="004C3F68"/>
    <w:rsid w:val="004C4203"/>
    <w:rsid w:val="004C4F9F"/>
    <w:rsid w:val="004C500C"/>
    <w:rsid w:val="004C521D"/>
    <w:rsid w:val="004C7499"/>
    <w:rsid w:val="004D34F9"/>
    <w:rsid w:val="004E0818"/>
    <w:rsid w:val="004E3AB9"/>
    <w:rsid w:val="004E481E"/>
    <w:rsid w:val="004E50EA"/>
    <w:rsid w:val="004F0D00"/>
    <w:rsid w:val="004F172D"/>
    <w:rsid w:val="004F30A5"/>
    <w:rsid w:val="0050231D"/>
    <w:rsid w:val="00507637"/>
    <w:rsid w:val="005112E1"/>
    <w:rsid w:val="00514FE8"/>
    <w:rsid w:val="0052063E"/>
    <w:rsid w:val="00521A21"/>
    <w:rsid w:val="00530FEB"/>
    <w:rsid w:val="00531338"/>
    <w:rsid w:val="0053249E"/>
    <w:rsid w:val="005332BF"/>
    <w:rsid w:val="005340E2"/>
    <w:rsid w:val="00541690"/>
    <w:rsid w:val="0054497E"/>
    <w:rsid w:val="0054604A"/>
    <w:rsid w:val="00553801"/>
    <w:rsid w:val="005544A1"/>
    <w:rsid w:val="00554696"/>
    <w:rsid w:val="00554C0D"/>
    <w:rsid w:val="00557C5F"/>
    <w:rsid w:val="005649B6"/>
    <w:rsid w:val="00567130"/>
    <w:rsid w:val="00570134"/>
    <w:rsid w:val="0057226B"/>
    <w:rsid w:val="0057588C"/>
    <w:rsid w:val="00575C53"/>
    <w:rsid w:val="005763A1"/>
    <w:rsid w:val="005769E9"/>
    <w:rsid w:val="00580428"/>
    <w:rsid w:val="0058768D"/>
    <w:rsid w:val="00597C31"/>
    <w:rsid w:val="005A37B4"/>
    <w:rsid w:val="005B45CC"/>
    <w:rsid w:val="005B5AC9"/>
    <w:rsid w:val="005B63AD"/>
    <w:rsid w:val="005B66A5"/>
    <w:rsid w:val="005B7013"/>
    <w:rsid w:val="005C0CE9"/>
    <w:rsid w:val="005C4515"/>
    <w:rsid w:val="005C5FDA"/>
    <w:rsid w:val="005D3DE6"/>
    <w:rsid w:val="005D5291"/>
    <w:rsid w:val="005D66E7"/>
    <w:rsid w:val="005D6929"/>
    <w:rsid w:val="005E1E93"/>
    <w:rsid w:val="005F0728"/>
    <w:rsid w:val="005F316C"/>
    <w:rsid w:val="005F3572"/>
    <w:rsid w:val="005F581D"/>
    <w:rsid w:val="005F66BA"/>
    <w:rsid w:val="005F6E4E"/>
    <w:rsid w:val="005F780E"/>
    <w:rsid w:val="00600D64"/>
    <w:rsid w:val="00601CE6"/>
    <w:rsid w:val="00601F90"/>
    <w:rsid w:val="006046CC"/>
    <w:rsid w:val="00605F3C"/>
    <w:rsid w:val="00611906"/>
    <w:rsid w:val="00621B91"/>
    <w:rsid w:val="00624C85"/>
    <w:rsid w:val="00625816"/>
    <w:rsid w:val="00626F8A"/>
    <w:rsid w:val="00631157"/>
    <w:rsid w:val="00633D43"/>
    <w:rsid w:val="00634F57"/>
    <w:rsid w:val="00635FDE"/>
    <w:rsid w:val="006427FA"/>
    <w:rsid w:val="00643539"/>
    <w:rsid w:val="00645D9C"/>
    <w:rsid w:val="00647708"/>
    <w:rsid w:val="0065211E"/>
    <w:rsid w:val="00656FB7"/>
    <w:rsid w:val="00661885"/>
    <w:rsid w:val="00663962"/>
    <w:rsid w:val="00667073"/>
    <w:rsid w:val="006700E0"/>
    <w:rsid w:val="00671C05"/>
    <w:rsid w:val="006736C5"/>
    <w:rsid w:val="0067438D"/>
    <w:rsid w:val="00676432"/>
    <w:rsid w:val="00680479"/>
    <w:rsid w:val="006805E8"/>
    <w:rsid w:val="006825E3"/>
    <w:rsid w:val="00683314"/>
    <w:rsid w:val="006839AB"/>
    <w:rsid w:val="006840B6"/>
    <w:rsid w:val="006906F3"/>
    <w:rsid w:val="00694C07"/>
    <w:rsid w:val="006A1AFE"/>
    <w:rsid w:val="006A361E"/>
    <w:rsid w:val="006A3F80"/>
    <w:rsid w:val="006A5B26"/>
    <w:rsid w:val="006A64A2"/>
    <w:rsid w:val="006B215C"/>
    <w:rsid w:val="006B56F1"/>
    <w:rsid w:val="006C2AD2"/>
    <w:rsid w:val="006C47EF"/>
    <w:rsid w:val="006C5B33"/>
    <w:rsid w:val="006D09AA"/>
    <w:rsid w:val="006D2F1F"/>
    <w:rsid w:val="006D418A"/>
    <w:rsid w:val="006D61B4"/>
    <w:rsid w:val="006D6453"/>
    <w:rsid w:val="006D7C82"/>
    <w:rsid w:val="006E059E"/>
    <w:rsid w:val="006E2343"/>
    <w:rsid w:val="006E36EB"/>
    <w:rsid w:val="006E578F"/>
    <w:rsid w:val="006E6D5E"/>
    <w:rsid w:val="006F4586"/>
    <w:rsid w:val="00707035"/>
    <w:rsid w:val="00710118"/>
    <w:rsid w:val="00710C2C"/>
    <w:rsid w:val="00711644"/>
    <w:rsid w:val="00714828"/>
    <w:rsid w:val="00722CCE"/>
    <w:rsid w:val="007312D7"/>
    <w:rsid w:val="00731EA7"/>
    <w:rsid w:val="00737834"/>
    <w:rsid w:val="00741892"/>
    <w:rsid w:val="007464E6"/>
    <w:rsid w:val="007534E4"/>
    <w:rsid w:val="00755E31"/>
    <w:rsid w:val="007602DF"/>
    <w:rsid w:val="00761BC5"/>
    <w:rsid w:val="00767871"/>
    <w:rsid w:val="00767974"/>
    <w:rsid w:val="0077075A"/>
    <w:rsid w:val="007768A1"/>
    <w:rsid w:val="00784417"/>
    <w:rsid w:val="007859AE"/>
    <w:rsid w:val="00792A25"/>
    <w:rsid w:val="007B18C6"/>
    <w:rsid w:val="007B3FC6"/>
    <w:rsid w:val="007B5179"/>
    <w:rsid w:val="007B63AD"/>
    <w:rsid w:val="007B730B"/>
    <w:rsid w:val="007C1F4A"/>
    <w:rsid w:val="007C21C7"/>
    <w:rsid w:val="007D07F5"/>
    <w:rsid w:val="007D37AF"/>
    <w:rsid w:val="007D6684"/>
    <w:rsid w:val="007D79BE"/>
    <w:rsid w:val="007D7AA0"/>
    <w:rsid w:val="007E0AD6"/>
    <w:rsid w:val="007E1896"/>
    <w:rsid w:val="007E2A24"/>
    <w:rsid w:val="007E361E"/>
    <w:rsid w:val="007E42C2"/>
    <w:rsid w:val="007E6005"/>
    <w:rsid w:val="007E604A"/>
    <w:rsid w:val="007E7193"/>
    <w:rsid w:val="007F5218"/>
    <w:rsid w:val="0080515F"/>
    <w:rsid w:val="00806607"/>
    <w:rsid w:val="00806D44"/>
    <w:rsid w:val="008114F5"/>
    <w:rsid w:val="00814BA8"/>
    <w:rsid w:val="00817020"/>
    <w:rsid w:val="00817314"/>
    <w:rsid w:val="00820131"/>
    <w:rsid w:val="008206AE"/>
    <w:rsid w:val="00823784"/>
    <w:rsid w:val="00835A9B"/>
    <w:rsid w:val="0083654B"/>
    <w:rsid w:val="008419E8"/>
    <w:rsid w:val="00844E16"/>
    <w:rsid w:val="00845F1B"/>
    <w:rsid w:val="00860421"/>
    <w:rsid w:val="008605F3"/>
    <w:rsid w:val="00863284"/>
    <w:rsid w:val="0086654C"/>
    <w:rsid w:val="00867E96"/>
    <w:rsid w:val="00871F60"/>
    <w:rsid w:val="00872DEC"/>
    <w:rsid w:val="0087311A"/>
    <w:rsid w:val="0087440E"/>
    <w:rsid w:val="00877242"/>
    <w:rsid w:val="00877D77"/>
    <w:rsid w:val="00880D1D"/>
    <w:rsid w:val="00886FD7"/>
    <w:rsid w:val="0089065A"/>
    <w:rsid w:val="0089191F"/>
    <w:rsid w:val="00893B52"/>
    <w:rsid w:val="00894737"/>
    <w:rsid w:val="00896276"/>
    <w:rsid w:val="00897984"/>
    <w:rsid w:val="008A08C1"/>
    <w:rsid w:val="008A23D8"/>
    <w:rsid w:val="008A5DC1"/>
    <w:rsid w:val="008B0F6F"/>
    <w:rsid w:val="008B27E6"/>
    <w:rsid w:val="008B2A39"/>
    <w:rsid w:val="008B4B12"/>
    <w:rsid w:val="008B57A1"/>
    <w:rsid w:val="008B5932"/>
    <w:rsid w:val="008B62F1"/>
    <w:rsid w:val="008B6C4A"/>
    <w:rsid w:val="008C16D0"/>
    <w:rsid w:val="008C1D46"/>
    <w:rsid w:val="008D1236"/>
    <w:rsid w:val="008D6C31"/>
    <w:rsid w:val="008E2A17"/>
    <w:rsid w:val="008E4E58"/>
    <w:rsid w:val="008F38F0"/>
    <w:rsid w:val="008F72B5"/>
    <w:rsid w:val="008F79B2"/>
    <w:rsid w:val="00906B23"/>
    <w:rsid w:val="009132E4"/>
    <w:rsid w:val="009144F6"/>
    <w:rsid w:val="00914E19"/>
    <w:rsid w:val="00914E76"/>
    <w:rsid w:val="00916538"/>
    <w:rsid w:val="009216B2"/>
    <w:rsid w:val="00921A3D"/>
    <w:rsid w:val="0092387B"/>
    <w:rsid w:val="0093095C"/>
    <w:rsid w:val="0094011B"/>
    <w:rsid w:val="0094357B"/>
    <w:rsid w:val="00944363"/>
    <w:rsid w:val="0095308E"/>
    <w:rsid w:val="00953D95"/>
    <w:rsid w:val="00955F2B"/>
    <w:rsid w:val="00956E59"/>
    <w:rsid w:val="00963FDD"/>
    <w:rsid w:val="009642CD"/>
    <w:rsid w:val="009656E6"/>
    <w:rsid w:val="009670E2"/>
    <w:rsid w:val="0097079B"/>
    <w:rsid w:val="0098161E"/>
    <w:rsid w:val="009816BB"/>
    <w:rsid w:val="00986025"/>
    <w:rsid w:val="009863B4"/>
    <w:rsid w:val="0099018E"/>
    <w:rsid w:val="00991CEB"/>
    <w:rsid w:val="009920BB"/>
    <w:rsid w:val="00997604"/>
    <w:rsid w:val="009A0C93"/>
    <w:rsid w:val="009A2C82"/>
    <w:rsid w:val="009A5168"/>
    <w:rsid w:val="009B011C"/>
    <w:rsid w:val="009B15CB"/>
    <w:rsid w:val="009B1CE8"/>
    <w:rsid w:val="009B553B"/>
    <w:rsid w:val="009B56C2"/>
    <w:rsid w:val="009B5CA5"/>
    <w:rsid w:val="009C11E1"/>
    <w:rsid w:val="009C2808"/>
    <w:rsid w:val="009C45C3"/>
    <w:rsid w:val="009C72A7"/>
    <w:rsid w:val="009C7E4E"/>
    <w:rsid w:val="009D11A4"/>
    <w:rsid w:val="009D63E6"/>
    <w:rsid w:val="009D64AE"/>
    <w:rsid w:val="009D664E"/>
    <w:rsid w:val="009D7B62"/>
    <w:rsid w:val="009E44FC"/>
    <w:rsid w:val="009E4CFD"/>
    <w:rsid w:val="009E50B5"/>
    <w:rsid w:val="009F5A8E"/>
    <w:rsid w:val="009F7D29"/>
    <w:rsid w:val="00A011F0"/>
    <w:rsid w:val="00A01462"/>
    <w:rsid w:val="00A0659C"/>
    <w:rsid w:val="00A107E2"/>
    <w:rsid w:val="00A155E7"/>
    <w:rsid w:val="00A20710"/>
    <w:rsid w:val="00A22667"/>
    <w:rsid w:val="00A23717"/>
    <w:rsid w:val="00A2531E"/>
    <w:rsid w:val="00A25FD9"/>
    <w:rsid w:val="00A314C9"/>
    <w:rsid w:val="00A32CAB"/>
    <w:rsid w:val="00A349C0"/>
    <w:rsid w:val="00A352FE"/>
    <w:rsid w:val="00A40ED8"/>
    <w:rsid w:val="00A46B4A"/>
    <w:rsid w:val="00A47709"/>
    <w:rsid w:val="00A50ABD"/>
    <w:rsid w:val="00A52D31"/>
    <w:rsid w:val="00A57BB3"/>
    <w:rsid w:val="00A6231A"/>
    <w:rsid w:val="00A63A48"/>
    <w:rsid w:val="00A6610B"/>
    <w:rsid w:val="00A80D2E"/>
    <w:rsid w:val="00A81DEB"/>
    <w:rsid w:val="00A86F7E"/>
    <w:rsid w:val="00A90B17"/>
    <w:rsid w:val="00A95F8D"/>
    <w:rsid w:val="00A96D0D"/>
    <w:rsid w:val="00A97359"/>
    <w:rsid w:val="00AA42CC"/>
    <w:rsid w:val="00AA68D1"/>
    <w:rsid w:val="00AA699B"/>
    <w:rsid w:val="00AA6DD2"/>
    <w:rsid w:val="00AB0EAA"/>
    <w:rsid w:val="00AB166F"/>
    <w:rsid w:val="00AB1758"/>
    <w:rsid w:val="00AB2ACA"/>
    <w:rsid w:val="00AB4221"/>
    <w:rsid w:val="00AB4346"/>
    <w:rsid w:val="00AB4B9A"/>
    <w:rsid w:val="00AB61A1"/>
    <w:rsid w:val="00AB7AF3"/>
    <w:rsid w:val="00AC35B8"/>
    <w:rsid w:val="00AC36CA"/>
    <w:rsid w:val="00AC4D9F"/>
    <w:rsid w:val="00AD0530"/>
    <w:rsid w:val="00AD1176"/>
    <w:rsid w:val="00AD3759"/>
    <w:rsid w:val="00AD4807"/>
    <w:rsid w:val="00AD5FB2"/>
    <w:rsid w:val="00AD7C6E"/>
    <w:rsid w:val="00AE4D25"/>
    <w:rsid w:val="00AE796F"/>
    <w:rsid w:val="00AF7501"/>
    <w:rsid w:val="00B0153B"/>
    <w:rsid w:val="00B03353"/>
    <w:rsid w:val="00B045DA"/>
    <w:rsid w:val="00B062DE"/>
    <w:rsid w:val="00B06CB4"/>
    <w:rsid w:val="00B105F9"/>
    <w:rsid w:val="00B10D54"/>
    <w:rsid w:val="00B13A83"/>
    <w:rsid w:val="00B176C1"/>
    <w:rsid w:val="00B21DAE"/>
    <w:rsid w:val="00B2423B"/>
    <w:rsid w:val="00B277FE"/>
    <w:rsid w:val="00B30314"/>
    <w:rsid w:val="00B3175C"/>
    <w:rsid w:val="00B328A3"/>
    <w:rsid w:val="00B3405D"/>
    <w:rsid w:val="00B3486B"/>
    <w:rsid w:val="00B36CF1"/>
    <w:rsid w:val="00B40FF0"/>
    <w:rsid w:val="00B462A1"/>
    <w:rsid w:val="00B53C92"/>
    <w:rsid w:val="00B56961"/>
    <w:rsid w:val="00B57D43"/>
    <w:rsid w:val="00B62200"/>
    <w:rsid w:val="00B66605"/>
    <w:rsid w:val="00B676A7"/>
    <w:rsid w:val="00B72845"/>
    <w:rsid w:val="00B74C66"/>
    <w:rsid w:val="00B91851"/>
    <w:rsid w:val="00B922D3"/>
    <w:rsid w:val="00B969E4"/>
    <w:rsid w:val="00BA2AA2"/>
    <w:rsid w:val="00BA5943"/>
    <w:rsid w:val="00BB1B89"/>
    <w:rsid w:val="00BB2D20"/>
    <w:rsid w:val="00BC1D3F"/>
    <w:rsid w:val="00BC21A8"/>
    <w:rsid w:val="00BC3F6C"/>
    <w:rsid w:val="00BC4767"/>
    <w:rsid w:val="00BD046E"/>
    <w:rsid w:val="00BD2525"/>
    <w:rsid w:val="00BD3F96"/>
    <w:rsid w:val="00BD4C05"/>
    <w:rsid w:val="00BD6920"/>
    <w:rsid w:val="00BE02A2"/>
    <w:rsid w:val="00BE3305"/>
    <w:rsid w:val="00BE4376"/>
    <w:rsid w:val="00BE7F4B"/>
    <w:rsid w:val="00BF064A"/>
    <w:rsid w:val="00BF34E6"/>
    <w:rsid w:val="00BF3CBD"/>
    <w:rsid w:val="00BF661F"/>
    <w:rsid w:val="00BF6990"/>
    <w:rsid w:val="00BF6F8E"/>
    <w:rsid w:val="00C00DC7"/>
    <w:rsid w:val="00C02FA7"/>
    <w:rsid w:val="00C03BE6"/>
    <w:rsid w:val="00C04277"/>
    <w:rsid w:val="00C04463"/>
    <w:rsid w:val="00C05595"/>
    <w:rsid w:val="00C07A38"/>
    <w:rsid w:val="00C11DF7"/>
    <w:rsid w:val="00C14A8F"/>
    <w:rsid w:val="00C21D39"/>
    <w:rsid w:val="00C24ED1"/>
    <w:rsid w:val="00C2566C"/>
    <w:rsid w:val="00C25ECE"/>
    <w:rsid w:val="00C32EF2"/>
    <w:rsid w:val="00C4083D"/>
    <w:rsid w:val="00C41EC4"/>
    <w:rsid w:val="00C43836"/>
    <w:rsid w:val="00C464C2"/>
    <w:rsid w:val="00C54017"/>
    <w:rsid w:val="00C5450C"/>
    <w:rsid w:val="00C55112"/>
    <w:rsid w:val="00C55CB3"/>
    <w:rsid w:val="00C55CD5"/>
    <w:rsid w:val="00C5733D"/>
    <w:rsid w:val="00C62FC3"/>
    <w:rsid w:val="00C74CCB"/>
    <w:rsid w:val="00C75D21"/>
    <w:rsid w:val="00C7732D"/>
    <w:rsid w:val="00C813C4"/>
    <w:rsid w:val="00C85DCD"/>
    <w:rsid w:val="00C90458"/>
    <w:rsid w:val="00C9110D"/>
    <w:rsid w:val="00C95F88"/>
    <w:rsid w:val="00CA161A"/>
    <w:rsid w:val="00CA66D2"/>
    <w:rsid w:val="00CA7F63"/>
    <w:rsid w:val="00CB5BAE"/>
    <w:rsid w:val="00CC0216"/>
    <w:rsid w:val="00CC0E1E"/>
    <w:rsid w:val="00CC148D"/>
    <w:rsid w:val="00CC60B4"/>
    <w:rsid w:val="00CC6477"/>
    <w:rsid w:val="00CD03A9"/>
    <w:rsid w:val="00CD2E3F"/>
    <w:rsid w:val="00CE5D8F"/>
    <w:rsid w:val="00CE7514"/>
    <w:rsid w:val="00CF2E34"/>
    <w:rsid w:val="00CF2FBA"/>
    <w:rsid w:val="00CF3C4A"/>
    <w:rsid w:val="00CF4786"/>
    <w:rsid w:val="00D010EE"/>
    <w:rsid w:val="00D053C3"/>
    <w:rsid w:val="00D07012"/>
    <w:rsid w:val="00D1282E"/>
    <w:rsid w:val="00D1398D"/>
    <w:rsid w:val="00D13E6E"/>
    <w:rsid w:val="00D25BDE"/>
    <w:rsid w:val="00D276FE"/>
    <w:rsid w:val="00D31341"/>
    <w:rsid w:val="00D33117"/>
    <w:rsid w:val="00D4306A"/>
    <w:rsid w:val="00D443D7"/>
    <w:rsid w:val="00D47966"/>
    <w:rsid w:val="00D51F8C"/>
    <w:rsid w:val="00D64707"/>
    <w:rsid w:val="00D668F1"/>
    <w:rsid w:val="00D70976"/>
    <w:rsid w:val="00D7333D"/>
    <w:rsid w:val="00D74243"/>
    <w:rsid w:val="00D77A44"/>
    <w:rsid w:val="00D80415"/>
    <w:rsid w:val="00D8197E"/>
    <w:rsid w:val="00D83B6A"/>
    <w:rsid w:val="00D846DA"/>
    <w:rsid w:val="00D84DA8"/>
    <w:rsid w:val="00D8697E"/>
    <w:rsid w:val="00D93E0E"/>
    <w:rsid w:val="00D94796"/>
    <w:rsid w:val="00DA2A61"/>
    <w:rsid w:val="00DA661A"/>
    <w:rsid w:val="00DA77B8"/>
    <w:rsid w:val="00DB1BA2"/>
    <w:rsid w:val="00DB3CB7"/>
    <w:rsid w:val="00DC04AB"/>
    <w:rsid w:val="00DC1713"/>
    <w:rsid w:val="00DC31C9"/>
    <w:rsid w:val="00DC34AB"/>
    <w:rsid w:val="00DD05CF"/>
    <w:rsid w:val="00DD1A2F"/>
    <w:rsid w:val="00DD207F"/>
    <w:rsid w:val="00DD25F6"/>
    <w:rsid w:val="00DD61FA"/>
    <w:rsid w:val="00DD76C5"/>
    <w:rsid w:val="00DE09BE"/>
    <w:rsid w:val="00DE0B02"/>
    <w:rsid w:val="00DE1395"/>
    <w:rsid w:val="00DE4891"/>
    <w:rsid w:val="00DE53DB"/>
    <w:rsid w:val="00DE583E"/>
    <w:rsid w:val="00DE7517"/>
    <w:rsid w:val="00DF15F4"/>
    <w:rsid w:val="00E05B04"/>
    <w:rsid w:val="00E07C48"/>
    <w:rsid w:val="00E14CEE"/>
    <w:rsid w:val="00E15D28"/>
    <w:rsid w:val="00E17129"/>
    <w:rsid w:val="00E17F26"/>
    <w:rsid w:val="00E221DD"/>
    <w:rsid w:val="00E23182"/>
    <w:rsid w:val="00E236C1"/>
    <w:rsid w:val="00E23F86"/>
    <w:rsid w:val="00E26B67"/>
    <w:rsid w:val="00E331EC"/>
    <w:rsid w:val="00E34A2D"/>
    <w:rsid w:val="00E4152D"/>
    <w:rsid w:val="00E416D8"/>
    <w:rsid w:val="00E42BB2"/>
    <w:rsid w:val="00E45EDE"/>
    <w:rsid w:val="00E50A7B"/>
    <w:rsid w:val="00E52055"/>
    <w:rsid w:val="00E558B6"/>
    <w:rsid w:val="00E55CCD"/>
    <w:rsid w:val="00E5711A"/>
    <w:rsid w:val="00E6008D"/>
    <w:rsid w:val="00E629B7"/>
    <w:rsid w:val="00E62CF1"/>
    <w:rsid w:val="00E65495"/>
    <w:rsid w:val="00E7167C"/>
    <w:rsid w:val="00E72B0F"/>
    <w:rsid w:val="00E72EFB"/>
    <w:rsid w:val="00E765CC"/>
    <w:rsid w:val="00E77C2C"/>
    <w:rsid w:val="00E80BA4"/>
    <w:rsid w:val="00E81ECA"/>
    <w:rsid w:val="00E85938"/>
    <w:rsid w:val="00E859FE"/>
    <w:rsid w:val="00E87EB7"/>
    <w:rsid w:val="00E903C8"/>
    <w:rsid w:val="00E91963"/>
    <w:rsid w:val="00E93766"/>
    <w:rsid w:val="00E94268"/>
    <w:rsid w:val="00E94B76"/>
    <w:rsid w:val="00E95B3D"/>
    <w:rsid w:val="00E9608B"/>
    <w:rsid w:val="00EA5889"/>
    <w:rsid w:val="00EA709F"/>
    <w:rsid w:val="00EB0BF6"/>
    <w:rsid w:val="00EB1E6A"/>
    <w:rsid w:val="00EB3626"/>
    <w:rsid w:val="00EB52C8"/>
    <w:rsid w:val="00EB567D"/>
    <w:rsid w:val="00EC43CB"/>
    <w:rsid w:val="00EC7034"/>
    <w:rsid w:val="00ED256A"/>
    <w:rsid w:val="00ED2A2A"/>
    <w:rsid w:val="00ED2C7C"/>
    <w:rsid w:val="00ED2D63"/>
    <w:rsid w:val="00ED454F"/>
    <w:rsid w:val="00ED6B77"/>
    <w:rsid w:val="00EE57CB"/>
    <w:rsid w:val="00EE610F"/>
    <w:rsid w:val="00EE706B"/>
    <w:rsid w:val="00EE763E"/>
    <w:rsid w:val="00EE76CC"/>
    <w:rsid w:val="00EF169F"/>
    <w:rsid w:val="00EF1C32"/>
    <w:rsid w:val="00EF1EE0"/>
    <w:rsid w:val="00F00082"/>
    <w:rsid w:val="00F00EF7"/>
    <w:rsid w:val="00F06855"/>
    <w:rsid w:val="00F07B34"/>
    <w:rsid w:val="00F14044"/>
    <w:rsid w:val="00F17011"/>
    <w:rsid w:val="00F217C1"/>
    <w:rsid w:val="00F237C3"/>
    <w:rsid w:val="00F2534A"/>
    <w:rsid w:val="00F27798"/>
    <w:rsid w:val="00F3091C"/>
    <w:rsid w:val="00F316AE"/>
    <w:rsid w:val="00F33520"/>
    <w:rsid w:val="00F3584E"/>
    <w:rsid w:val="00F36866"/>
    <w:rsid w:val="00F36EF7"/>
    <w:rsid w:val="00F36FAF"/>
    <w:rsid w:val="00F371AB"/>
    <w:rsid w:val="00F40AB0"/>
    <w:rsid w:val="00F46CA3"/>
    <w:rsid w:val="00F53BE1"/>
    <w:rsid w:val="00F54872"/>
    <w:rsid w:val="00F57638"/>
    <w:rsid w:val="00F62555"/>
    <w:rsid w:val="00F64F3D"/>
    <w:rsid w:val="00F651D9"/>
    <w:rsid w:val="00F66240"/>
    <w:rsid w:val="00F66364"/>
    <w:rsid w:val="00F67110"/>
    <w:rsid w:val="00F70F73"/>
    <w:rsid w:val="00F773EC"/>
    <w:rsid w:val="00F80167"/>
    <w:rsid w:val="00F848C6"/>
    <w:rsid w:val="00F8550B"/>
    <w:rsid w:val="00F86002"/>
    <w:rsid w:val="00F87C5B"/>
    <w:rsid w:val="00F87DE1"/>
    <w:rsid w:val="00F94085"/>
    <w:rsid w:val="00FA2791"/>
    <w:rsid w:val="00FA559F"/>
    <w:rsid w:val="00FB0848"/>
    <w:rsid w:val="00FB7698"/>
    <w:rsid w:val="00FC034C"/>
    <w:rsid w:val="00FC188A"/>
    <w:rsid w:val="00FC469A"/>
    <w:rsid w:val="00FC5EC7"/>
    <w:rsid w:val="00FC6AC0"/>
    <w:rsid w:val="00FC71E6"/>
    <w:rsid w:val="00FD2A65"/>
    <w:rsid w:val="00FD2B72"/>
    <w:rsid w:val="00FE1459"/>
    <w:rsid w:val="00FE5222"/>
    <w:rsid w:val="00FF0CA3"/>
    <w:rsid w:val="00FF1A5E"/>
    <w:rsid w:val="00FF5AA9"/>
    <w:rsid w:val="00FF5C5B"/>
    <w:rsid w:val="00FF6D6C"/>
    <w:rsid w:val="013C0007"/>
    <w:rsid w:val="0162159B"/>
    <w:rsid w:val="01B85939"/>
    <w:rsid w:val="01BB61BD"/>
    <w:rsid w:val="01D21907"/>
    <w:rsid w:val="01EB45F2"/>
    <w:rsid w:val="020625FB"/>
    <w:rsid w:val="02620527"/>
    <w:rsid w:val="02795380"/>
    <w:rsid w:val="02C96DB0"/>
    <w:rsid w:val="02FF6845"/>
    <w:rsid w:val="03C84E21"/>
    <w:rsid w:val="04022639"/>
    <w:rsid w:val="044A5EDE"/>
    <w:rsid w:val="04AA5F08"/>
    <w:rsid w:val="04D96AB8"/>
    <w:rsid w:val="050E40F8"/>
    <w:rsid w:val="06A25EEE"/>
    <w:rsid w:val="06C03CAC"/>
    <w:rsid w:val="06D95264"/>
    <w:rsid w:val="07394DD0"/>
    <w:rsid w:val="07996087"/>
    <w:rsid w:val="08932267"/>
    <w:rsid w:val="08A22BF8"/>
    <w:rsid w:val="08C259F6"/>
    <w:rsid w:val="08D23882"/>
    <w:rsid w:val="08FA03DC"/>
    <w:rsid w:val="090E1FF0"/>
    <w:rsid w:val="09212C58"/>
    <w:rsid w:val="097C0FAA"/>
    <w:rsid w:val="0A002254"/>
    <w:rsid w:val="0A087413"/>
    <w:rsid w:val="0A147A53"/>
    <w:rsid w:val="0A3C0A8D"/>
    <w:rsid w:val="0A3D307F"/>
    <w:rsid w:val="0AB441DD"/>
    <w:rsid w:val="0ABC1ED9"/>
    <w:rsid w:val="0AF82081"/>
    <w:rsid w:val="0BA835B8"/>
    <w:rsid w:val="0BBB373A"/>
    <w:rsid w:val="0C0C5AAE"/>
    <w:rsid w:val="0C947A29"/>
    <w:rsid w:val="0CC84DF3"/>
    <w:rsid w:val="0D203C9B"/>
    <w:rsid w:val="0D56303B"/>
    <w:rsid w:val="0DD4218D"/>
    <w:rsid w:val="0EA51D38"/>
    <w:rsid w:val="0F051957"/>
    <w:rsid w:val="0F0A008A"/>
    <w:rsid w:val="0F301163"/>
    <w:rsid w:val="0F334C38"/>
    <w:rsid w:val="0F642CF8"/>
    <w:rsid w:val="0FB73D2F"/>
    <w:rsid w:val="0FC758F8"/>
    <w:rsid w:val="0FF06A88"/>
    <w:rsid w:val="10147E0F"/>
    <w:rsid w:val="10266D7B"/>
    <w:rsid w:val="102B5060"/>
    <w:rsid w:val="10406177"/>
    <w:rsid w:val="113809F6"/>
    <w:rsid w:val="119D01C8"/>
    <w:rsid w:val="12207515"/>
    <w:rsid w:val="123546C8"/>
    <w:rsid w:val="12BF5DF8"/>
    <w:rsid w:val="13216104"/>
    <w:rsid w:val="137F4200"/>
    <w:rsid w:val="139C13BB"/>
    <w:rsid w:val="13A75DAC"/>
    <w:rsid w:val="13CA09F7"/>
    <w:rsid w:val="13D939C8"/>
    <w:rsid w:val="143B4022"/>
    <w:rsid w:val="144A2B13"/>
    <w:rsid w:val="144C4A34"/>
    <w:rsid w:val="14692254"/>
    <w:rsid w:val="146E6FF5"/>
    <w:rsid w:val="14AB35FB"/>
    <w:rsid w:val="14BB34A7"/>
    <w:rsid w:val="14E02AB9"/>
    <w:rsid w:val="14F50F46"/>
    <w:rsid w:val="15327CA7"/>
    <w:rsid w:val="157732FC"/>
    <w:rsid w:val="15FE6B6D"/>
    <w:rsid w:val="16047B0A"/>
    <w:rsid w:val="16221E39"/>
    <w:rsid w:val="16236A1C"/>
    <w:rsid w:val="1665050A"/>
    <w:rsid w:val="168F3FC1"/>
    <w:rsid w:val="169D0AD8"/>
    <w:rsid w:val="172F259E"/>
    <w:rsid w:val="174906AB"/>
    <w:rsid w:val="174F5E14"/>
    <w:rsid w:val="182F2EB5"/>
    <w:rsid w:val="18305A48"/>
    <w:rsid w:val="187015C3"/>
    <w:rsid w:val="189A6EC9"/>
    <w:rsid w:val="18CB5AC6"/>
    <w:rsid w:val="18EF2867"/>
    <w:rsid w:val="19055902"/>
    <w:rsid w:val="192C6C17"/>
    <w:rsid w:val="19FB778E"/>
    <w:rsid w:val="1A0845CE"/>
    <w:rsid w:val="1A5A653E"/>
    <w:rsid w:val="1AA12791"/>
    <w:rsid w:val="1AC934B7"/>
    <w:rsid w:val="1AF81FEE"/>
    <w:rsid w:val="1B1A3F56"/>
    <w:rsid w:val="1B39508C"/>
    <w:rsid w:val="1B3F29C7"/>
    <w:rsid w:val="1BA1188B"/>
    <w:rsid w:val="1C0F2E9C"/>
    <w:rsid w:val="1C612F73"/>
    <w:rsid w:val="1C7D70BD"/>
    <w:rsid w:val="1CC506F8"/>
    <w:rsid w:val="1D640B2F"/>
    <w:rsid w:val="1E307161"/>
    <w:rsid w:val="1E8459D7"/>
    <w:rsid w:val="1ECE5B24"/>
    <w:rsid w:val="1F2148E7"/>
    <w:rsid w:val="1F3D1604"/>
    <w:rsid w:val="1F787A0A"/>
    <w:rsid w:val="1F9F6779"/>
    <w:rsid w:val="1FCF0E22"/>
    <w:rsid w:val="20077526"/>
    <w:rsid w:val="203A33BA"/>
    <w:rsid w:val="20F25437"/>
    <w:rsid w:val="212F64BC"/>
    <w:rsid w:val="214B6E00"/>
    <w:rsid w:val="21692707"/>
    <w:rsid w:val="219730D1"/>
    <w:rsid w:val="21B345B5"/>
    <w:rsid w:val="21D700B7"/>
    <w:rsid w:val="21D963BE"/>
    <w:rsid w:val="22322BE0"/>
    <w:rsid w:val="22764F96"/>
    <w:rsid w:val="22A5481F"/>
    <w:rsid w:val="22AF2762"/>
    <w:rsid w:val="22BA496D"/>
    <w:rsid w:val="230C2EF7"/>
    <w:rsid w:val="23134F76"/>
    <w:rsid w:val="233F546C"/>
    <w:rsid w:val="23E94CB0"/>
    <w:rsid w:val="24140310"/>
    <w:rsid w:val="243C5887"/>
    <w:rsid w:val="245851F6"/>
    <w:rsid w:val="25764DB6"/>
    <w:rsid w:val="25A33F10"/>
    <w:rsid w:val="25DB5C14"/>
    <w:rsid w:val="25F52650"/>
    <w:rsid w:val="266A0EB5"/>
    <w:rsid w:val="269C7711"/>
    <w:rsid w:val="26C9458B"/>
    <w:rsid w:val="26F0310B"/>
    <w:rsid w:val="2781724E"/>
    <w:rsid w:val="27A71B32"/>
    <w:rsid w:val="27FB5E50"/>
    <w:rsid w:val="27FD0101"/>
    <w:rsid w:val="28251848"/>
    <w:rsid w:val="2829057B"/>
    <w:rsid w:val="288B6F3E"/>
    <w:rsid w:val="288D19A1"/>
    <w:rsid w:val="28EB2EE5"/>
    <w:rsid w:val="29124F7B"/>
    <w:rsid w:val="293C0FF3"/>
    <w:rsid w:val="293D1A07"/>
    <w:rsid w:val="29611443"/>
    <w:rsid w:val="297A2260"/>
    <w:rsid w:val="29CF7159"/>
    <w:rsid w:val="2A550833"/>
    <w:rsid w:val="2A5E0991"/>
    <w:rsid w:val="2A616496"/>
    <w:rsid w:val="2A67344C"/>
    <w:rsid w:val="2AA25D4B"/>
    <w:rsid w:val="2AC25681"/>
    <w:rsid w:val="2AE15F6D"/>
    <w:rsid w:val="2AF10805"/>
    <w:rsid w:val="2B28535F"/>
    <w:rsid w:val="2B324AEE"/>
    <w:rsid w:val="2B366D72"/>
    <w:rsid w:val="2BBA2A4D"/>
    <w:rsid w:val="2BE4228F"/>
    <w:rsid w:val="2BEA19B8"/>
    <w:rsid w:val="2C2B327B"/>
    <w:rsid w:val="2CBD4E08"/>
    <w:rsid w:val="2D6459B8"/>
    <w:rsid w:val="2D900F1E"/>
    <w:rsid w:val="2D90548E"/>
    <w:rsid w:val="2DCE7877"/>
    <w:rsid w:val="2E426D24"/>
    <w:rsid w:val="2E503288"/>
    <w:rsid w:val="2E8E1FA8"/>
    <w:rsid w:val="2EE76A63"/>
    <w:rsid w:val="2F53333C"/>
    <w:rsid w:val="2FCF38F4"/>
    <w:rsid w:val="2FF479A2"/>
    <w:rsid w:val="2FFE0506"/>
    <w:rsid w:val="300B243D"/>
    <w:rsid w:val="302F785C"/>
    <w:rsid w:val="30901F3D"/>
    <w:rsid w:val="309B7C47"/>
    <w:rsid w:val="31CF4FB5"/>
    <w:rsid w:val="32134BBA"/>
    <w:rsid w:val="32A10A97"/>
    <w:rsid w:val="32AB6ADD"/>
    <w:rsid w:val="32BC5610"/>
    <w:rsid w:val="33A043AE"/>
    <w:rsid w:val="33AE4AA0"/>
    <w:rsid w:val="345A52C4"/>
    <w:rsid w:val="347B7798"/>
    <w:rsid w:val="34953230"/>
    <w:rsid w:val="34BD5638"/>
    <w:rsid w:val="34F35160"/>
    <w:rsid w:val="35090AC8"/>
    <w:rsid w:val="35102141"/>
    <w:rsid w:val="35193004"/>
    <w:rsid w:val="354030ED"/>
    <w:rsid w:val="35A93573"/>
    <w:rsid w:val="3627310D"/>
    <w:rsid w:val="36941E25"/>
    <w:rsid w:val="36D264D8"/>
    <w:rsid w:val="36E653D5"/>
    <w:rsid w:val="376D2DA2"/>
    <w:rsid w:val="37B07A7B"/>
    <w:rsid w:val="38530109"/>
    <w:rsid w:val="38A731D0"/>
    <w:rsid w:val="390B273E"/>
    <w:rsid w:val="39136190"/>
    <w:rsid w:val="394A5C9D"/>
    <w:rsid w:val="397270FA"/>
    <w:rsid w:val="39BC7D90"/>
    <w:rsid w:val="39D7038C"/>
    <w:rsid w:val="3A2A4EC5"/>
    <w:rsid w:val="3A6E06A9"/>
    <w:rsid w:val="3A745EF5"/>
    <w:rsid w:val="3AE617DC"/>
    <w:rsid w:val="3B115D13"/>
    <w:rsid w:val="3B3F20D2"/>
    <w:rsid w:val="3B597A59"/>
    <w:rsid w:val="3B5B643B"/>
    <w:rsid w:val="3B820508"/>
    <w:rsid w:val="3B9B1F32"/>
    <w:rsid w:val="3C1E28EE"/>
    <w:rsid w:val="3C4166B2"/>
    <w:rsid w:val="3C69438A"/>
    <w:rsid w:val="3C914884"/>
    <w:rsid w:val="3C980B6F"/>
    <w:rsid w:val="3CBD19FA"/>
    <w:rsid w:val="3DD41933"/>
    <w:rsid w:val="3DD72946"/>
    <w:rsid w:val="3E3D2177"/>
    <w:rsid w:val="3E4D2DB7"/>
    <w:rsid w:val="3E6B1947"/>
    <w:rsid w:val="3E8D6B21"/>
    <w:rsid w:val="3F6119DD"/>
    <w:rsid w:val="40311F9D"/>
    <w:rsid w:val="405A550A"/>
    <w:rsid w:val="40E43DC9"/>
    <w:rsid w:val="40E75D7E"/>
    <w:rsid w:val="41CB0627"/>
    <w:rsid w:val="41DC429C"/>
    <w:rsid w:val="41EB5CB5"/>
    <w:rsid w:val="421551E2"/>
    <w:rsid w:val="42254899"/>
    <w:rsid w:val="42CF3FC4"/>
    <w:rsid w:val="42FA721C"/>
    <w:rsid w:val="43665216"/>
    <w:rsid w:val="44070728"/>
    <w:rsid w:val="44090311"/>
    <w:rsid w:val="441B2E6A"/>
    <w:rsid w:val="444572E8"/>
    <w:rsid w:val="44714970"/>
    <w:rsid w:val="44825B98"/>
    <w:rsid w:val="448B6CF5"/>
    <w:rsid w:val="452774EC"/>
    <w:rsid w:val="457148DF"/>
    <w:rsid w:val="457C0C7E"/>
    <w:rsid w:val="45E8304E"/>
    <w:rsid w:val="45EC17B9"/>
    <w:rsid w:val="45F76490"/>
    <w:rsid w:val="45F861E1"/>
    <w:rsid w:val="463830AB"/>
    <w:rsid w:val="46896661"/>
    <w:rsid w:val="46BC6216"/>
    <w:rsid w:val="47117CF1"/>
    <w:rsid w:val="472B4AD7"/>
    <w:rsid w:val="478551BE"/>
    <w:rsid w:val="47907D9B"/>
    <w:rsid w:val="47B8315F"/>
    <w:rsid w:val="47E57A2C"/>
    <w:rsid w:val="48330165"/>
    <w:rsid w:val="48667CC5"/>
    <w:rsid w:val="4885166B"/>
    <w:rsid w:val="48AA518C"/>
    <w:rsid w:val="48E40CC7"/>
    <w:rsid w:val="48E45884"/>
    <w:rsid w:val="492C67CC"/>
    <w:rsid w:val="493E5B0B"/>
    <w:rsid w:val="49790378"/>
    <w:rsid w:val="49A8225C"/>
    <w:rsid w:val="49EB0E4B"/>
    <w:rsid w:val="4A4F1A3A"/>
    <w:rsid w:val="4A6358AE"/>
    <w:rsid w:val="4A8318E3"/>
    <w:rsid w:val="4AE93D30"/>
    <w:rsid w:val="4BB12033"/>
    <w:rsid w:val="4BF06B03"/>
    <w:rsid w:val="4BFD5ED1"/>
    <w:rsid w:val="4C192CCB"/>
    <w:rsid w:val="4C202877"/>
    <w:rsid w:val="4C266296"/>
    <w:rsid w:val="4C4216B0"/>
    <w:rsid w:val="4C484B4B"/>
    <w:rsid w:val="4C85486A"/>
    <w:rsid w:val="4CDB125F"/>
    <w:rsid w:val="4CEC703E"/>
    <w:rsid w:val="4CFC3529"/>
    <w:rsid w:val="4D064BEB"/>
    <w:rsid w:val="4D66163C"/>
    <w:rsid w:val="4DA15E9C"/>
    <w:rsid w:val="4DA64CC3"/>
    <w:rsid w:val="4DF139E3"/>
    <w:rsid w:val="4DFB65D5"/>
    <w:rsid w:val="4E4B66B0"/>
    <w:rsid w:val="4E8D6872"/>
    <w:rsid w:val="4E93668F"/>
    <w:rsid w:val="4ED35B25"/>
    <w:rsid w:val="4ED91D06"/>
    <w:rsid w:val="4EE40DC8"/>
    <w:rsid w:val="4EF16C79"/>
    <w:rsid w:val="4F6E7DA9"/>
    <w:rsid w:val="4F905051"/>
    <w:rsid w:val="4FAA6CD7"/>
    <w:rsid w:val="502A51AB"/>
    <w:rsid w:val="5091315F"/>
    <w:rsid w:val="5124375A"/>
    <w:rsid w:val="51521769"/>
    <w:rsid w:val="519C1341"/>
    <w:rsid w:val="519F6507"/>
    <w:rsid w:val="51A27095"/>
    <w:rsid w:val="51B15B98"/>
    <w:rsid w:val="51E4049B"/>
    <w:rsid w:val="52734E7B"/>
    <w:rsid w:val="52997281"/>
    <w:rsid w:val="53EA1EA1"/>
    <w:rsid w:val="54594012"/>
    <w:rsid w:val="54B04D65"/>
    <w:rsid w:val="54EE5A3A"/>
    <w:rsid w:val="55657D26"/>
    <w:rsid w:val="56286EF5"/>
    <w:rsid w:val="564E7462"/>
    <w:rsid w:val="565A1835"/>
    <w:rsid w:val="56AD6862"/>
    <w:rsid w:val="57791C75"/>
    <w:rsid w:val="577B4EBB"/>
    <w:rsid w:val="57B617AB"/>
    <w:rsid w:val="58151EE2"/>
    <w:rsid w:val="584C42FE"/>
    <w:rsid w:val="5856190E"/>
    <w:rsid w:val="585B3AB8"/>
    <w:rsid w:val="586300B0"/>
    <w:rsid w:val="586C15A6"/>
    <w:rsid w:val="58732AF0"/>
    <w:rsid w:val="58F505D4"/>
    <w:rsid w:val="590644CD"/>
    <w:rsid w:val="590C69EC"/>
    <w:rsid w:val="59B870AC"/>
    <w:rsid w:val="59FC5E38"/>
    <w:rsid w:val="5A4D3B1B"/>
    <w:rsid w:val="5AA10B25"/>
    <w:rsid w:val="5B7B3EE4"/>
    <w:rsid w:val="5C243BD7"/>
    <w:rsid w:val="5C491078"/>
    <w:rsid w:val="5CD61264"/>
    <w:rsid w:val="5CE31AF3"/>
    <w:rsid w:val="5D073E02"/>
    <w:rsid w:val="5D371976"/>
    <w:rsid w:val="5D5B684D"/>
    <w:rsid w:val="5D9246F5"/>
    <w:rsid w:val="5DC51066"/>
    <w:rsid w:val="5DF47B6B"/>
    <w:rsid w:val="5E4E3EED"/>
    <w:rsid w:val="5E5653E7"/>
    <w:rsid w:val="5E645268"/>
    <w:rsid w:val="5E885B1B"/>
    <w:rsid w:val="5EC44A50"/>
    <w:rsid w:val="5EDB322A"/>
    <w:rsid w:val="5EE240B6"/>
    <w:rsid w:val="5F427FDD"/>
    <w:rsid w:val="6015514F"/>
    <w:rsid w:val="60481EFD"/>
    <w:rsid w:val="604F334E"/>
    <w:rsid w:val="60A40A49"/>
    <w:rsid w:val="60E467FB"/>
    <w:rsid w:val="612E0F45"/>
    <w:rsid w:val="61501B8A"/>
    <w:rsid w:val="61564143"/>
    <w:rsid w:val="617C0E30"/>
    <w:rsid w:val="617C33F9"/>
    <w:rsid w:val="617F54AD"/>
    <w:rsid w:val="61907A39"/>
    <w:rsid w:val="627F5760"/>
    <w:rsid w:val="62E47405"/>
    <w:rsid w:val="63452FDA"/>
    <w:rsid w:val="63641231"/>
    <w:rsid w:val="63956584"/>
    <w:rsid w:val="64520456"/>
    <w:rsid w:val="64881A93"/>
    <w:rsid w:val="64A77F63"/>
    <w:rsid w:val="64BD5A8C"/>
    <w:rsid w:val="64D8306F"/>
    <w:rsid w:val="650631E7"/>
    <w:rsid w:val="653D0CAF"/>
    <w:rsid w:val="6557469C"/>
    <w:rsid w:val="65645EFA"/>
    <w:rsid w:val="656A2AE6"/>
    <w:rsid w:val="657A309B"/>
    <w:rsid w:val="665105B6"/>
    <w:rsid w:val="66834D76"/>
    <w:rsid w:val="66B44F24"/>
    <w:rsid w:val="67011D77"/>
    <w:rsid w:val="67125365"/>
    <w:rsid w:val="676A4BA2"/>
    <w:rsid w:val="679503FD"/>
    <w:rsid w:val="67D33415"/>
    <w:rsid w:val="688750A2"/>
    <w:rsid w:val="68A730EA"/>
    <w:rsid w:val="69595208"/>
    <w:rsid w:val="698E1E86"/>
    <w:rsid w:val="6A5D4326"/>
    <w:rsid w:val="6A6D0618"/>
    <w:rsid w:val="6A7449B2"/>
    <w:rsid w:val="6AC43F09"/>
    <w:rsid w:val="6B0C7886"/>
    <w:rsid w:val="6B113535"/>
    <w:rsid w:val="6B154DDE"/>
    <w:rsid w:val="6B247CEA"/>
    <w:rsid w:val="6C7A0F7D"/>
    <w:rsid w:val="6C7B14DC"/>
    <w:rsid w:val="6CAC58B6"/>
    <w:rsid w:val="6CE7029A"/>
    <w:rsid w:val="6D6305A2"/>
    <w:rsid w:val="6DA06C1D"/>
    <w:rsid w:val="6E5C3553"/>
    <w:rsid w:val="6E9A5C7F"/>
    <w:rsid w:val="6E9C4161"/>
    <w:rsid w:val="6EE64456"/>
    <w:rsid w:val="6EEF0261"/>
    <w:rsid w:val="6F9C4EF8"/>
    <w:rsid w:val="6FC93450"/>
    <w:rsid w:val="700D68C2"/>
    <w:rsid w:val="703C2D18"/>
    <w:rsid w:val="70965124"/>
    <w:rsid w:val="70A455FA"/>
    <w:rsid w:val="70C97E1B"/>
    <w:rsid w:val="70F23E30"/>
    <w:rsid w:val="711F0AED"/>
    <w:rsid w:val="713549AA"/>
    <w:rsid w:val="713B0273"/>
    <w:rsid w:val="71742B40"/>
    <w:rsid w:val="717A2D6D"/>
    <w:rsid w:val="71B50F1F"/>
    <w:rsid w:val="71C00E88"/>
    <w:rsid w:val="71CF7886"/>
    <w:rsid w:val="72163527"/>
    <w:rsid w:val="72212A38"/>
    <w:rsid w:val="727F77CE"/>
    <w:rsid w:val="72B30178"/>
    <w:rsid w:val="72E160B4"/>
    <w:rsid w:val="72E61592"/>
    <w:rsid w:val="730E1962"/>
    <w:rsid w:val="73512B07"/>
    <w:rsid w:val="73A2366D"/>
    <w:rsid w:val="73B00F6E"/>
    <w:rsid w:val="73FC791E"/>
    <w:rsid w:val="74556E28"/>
    <w:rsid w:val="74B319D4"/>
    <w:rsid w:val="74D16F93"/>
    <w:rsid w:val="74FC356E"/>
    <w:rsid w:val="755A0912"/>
    <w:rsid w:val="77391286"/>
    <w:rsid w:val="77483CB0"/>
    <w:rsid w:val="776912B5"/>
    <w:rsid w:val="778F29C9"/>
    <w:rsid w:val="77C12254"/>
    <w:rsid w:val="77EC50F0"/>
    <w:rsid w:val="78036F78"/>
    <w:rsid w:val="785A6DF1"/>
    <w:rsid w:val="78734786"/>
    <w:rsid w:val="78CB4B0D"/>
    <w:rsid w:val="78D11849"/>
    <w:rsid w:val="78F47BF9"/>
    <w:rsid w:val="794E04F6"/>
    <w:rsid w:val="79D73A37"/>
    <w:rsid w:val="79E66C8C"/>
    <w:rsid w:val="79FF5D52"/>
    <w:rsid w:val="7A435AF2"/>
    <w:rsid w:val="7AC14E8D"/>
    <w:rsid w:val="7AD6607C"/>
    <w:rsid w:val="7AF1422A"/>
    <w:rsid w:val="7B490FC0"/>
    <w:rsid w:val="7BC55802"/>
    <w:rsid w:val="7BE03D3F"/>
    <w:rsid w:val="7BE31255"/>
    <w:rsid w:val="7C581800"/>
    <w:rsid w:val="7CA56902"/>
    <w:rsid w:val="7CE50B11"/>
    <w:rsid w:val="7D1F5DBB"/>
    <w:rsid w:val="7D5D7F82"/>
    <w:rsid w:val="7D6B2213"/>
    <w:rsid w:val="7DB67961"/>
    <w:rsid w:val="7DE51DC0"/>
    <w:rsid w:val="7DF8570A"/>
    <w:rsid w:val="7EC3290B"/>
    <w:rsid w:val="7ECF51B4"/>
    <w:rsid w:val="7ED0310B"/>
    <w:rsid w:val="7FF726C2"/>
    <w:rsid w:val="CB72F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jc w:val="center"/>
      <w:outlineLvl w:val="0"/>
    </w:pPr>
    <w:rPr>
      <w:b/>
      <w:bCs/>
      <w:kern w:val="44"/>
      <w:sz w:val="30"/>
      <w:szCs w:val="44"/>
    </w:rPr>
  </w:style>
  <w:style w:type="paragraph" w:styleId="5">
    <w:name w:val="heading 2"/>
    <w:basedOn w:val="1"/>
    <w:next w:val="1"/>
    <w:qFormat/>
    <w:uiPriority w:val="0"/>
    <w:pPr>
      <w:keepNext/>
      <w:keepLines/>
      <w:spacing w:before="260" w:after="260" w:line="412"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5" w:lineRule="auto"/>
      <w:jc w:val="center"/>
      <w:outlineLvl w:val="2"/>
    </w:pPr>
    <w:rPr>
      <w:rFonts w:ascii="Calibri" w:hAnsi="Calibri"/>
      <w:b/>
      <w:bCs/>
      <w:sz w:val="28"/>
      <w:szCs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8">
    <w:name w:val="heading 5"/>
    <w:basedOn w:val="1"/>
    <w:next w:val="1"/>
    <w:qFormat/>
    <w:uiPriority w:val="0"/>
    <w:pPr>
      <w:keepNext/>
      <w:keepLines/>
      <w:tabs>
        <w:tab w:val="left" w:pos="1800"/>
      </w:tabs>
      <w:spacing w:before="280" w:after="290" w:line="374" w:lineRule="auto"/>
      <w:ind w:left="1800" w:hanging="1800"/>
      <w:outlineLvl w:val="4"/>
    </w:pPr>
    <w:rPr>
      <w:b/>
      <w:bCs/>
      <w:sz w:val="28"/>
      <w:szCs w:val="28"/>
    </w:rPr>
  </w:style>
  <w:style w:type="paragraph" w:styleId="9">
    <w:name w:val="heading 6"/>
    <w:basedOn w:val="1"/>
    <w:next w:val="1"/>
    <w:qFormat/>
    <w:uiPriority w:val="0"/>
    <w:pPr>
      <w:keepNext/>
      <w:keepLines/>
      <w:adjustRightInd w:val="0"/>
      <w:spacing w:before="240" w:after="64" w:line="319" w:lineRule="auto"/>
      <w:textAlignment w:val="baseline"/>
      <w:outlineLvl w:val="5"/>
    </w:pPr>
    <w:rPr>
      <w:rFonts w:ascii="Arial" w:hAnsi="Arial" w:eastAsia="黑体"/>
      <w:b/>
      <w:szCs w:val="20"/>
    </w:rPr>
  </w:style>
  <w:style w:type="paragraph" w:styleId="10">
    <w:name w:val="heading 7"/>
    <w:basedOn w:val="1"/>
    <w:next w:val="1"/>
    <w:link w:val="117"/>
    <w:qFormat/>
    <w:uiPriority w:val="0"/>
    <w:pPr>
      <w:keepNext/>
      <w:keepLines/>
      <w:adjustRightInd w:val="0"/>
      <w:spacing w:before="240" w:after="64" w:line="319" w:lineRule="auto"/>
      <w:textAlignment w:val="baseline"/>
      <w:outlineLvl w:val="6"/>
    </w:pPr>
    <w:rPr>
      <w:b/>
      <w:szCs w:val="20"/>
    </w:rPr>
  </w:style>
  <w:style w:type="paragraph" w:styleId="11">
    <w:name w:val="heading 8"/>
    <w:basedOn w:val="1"/>
    <w:next w:val="1"/>
    <w:qFormat/>
    <w:uiPriority w:val="0"/>
    <w:pPr>
      <w:keepNext/>
      <w:keepLines/>
      <w:adjustRightInd w:val="0"/>
      <w:spacing w:before="240" w:after="64" w:line="319" w:lineRule="auto"/>
      <w:textAlignment w:val="baseline"/>
      <w:outlineLvl w:val="7"/>
    </w:pPr>
    <w:rPr>
      <w:rFonts w:ascii="Arial" w:hAnsi="Arial" w:eastAsia="黑体"/>
      <w:szCs w:val="20"/>
    </w:rPr>
  </w:style>
  <w:style w:type="paragraph" w:styleId="12">
    <w:name w:val="heading 9"/>
    <w:basedOn w:val="1"/>
    <w:next w:val="1"/>
    <w:qFormat/>
    <w:uiPriority w:val="0"/>
    <w:pPr>
      <w:keepNext/>
      <w:keepLines/>
      <w:adjustRightInd w:val="0"/>
      <w:spacing w:before="240" w:after="64" w:line="319" w:lineRule="auto"/>
      <w:textAlignment w:val="baseline"/>
      <w:outlineLvl w:val="8"/>
    </w:pPr>
    <w:rPr>
      <w:rFonts w:ascii="Arial" w:hAnsi="Arial" w:eastAsia="黑体"/>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122"/>
    <w:semiHidden/>
    <w:unhideWhenUsed/>
    <w:qFormat/>
    <w:uiPriority w:val="99"/>
    <w:pPr>
      <w:ind w:firstLine="420" w:firstLineChars="100"/>
    </w:pPr>
    <w:rPr>
      <w:sz w:val="21"/>
    </w:rPr>
  </w:style>
  <w:style w:type="paragraph" w:styleId="3">
    <w:name w:val="Body Text"/>
    <w:basedOn w:val="1"/>
    <w:next w:val="2"/>
    <w:link w:val="119"/>
    <w:qFormat/>
    <w:uiPriority w:val="0"/>
    <w:pPr>
      <w:spacing w:after="120"/>
    </w:pPr>
    <w:rPr>
      <w:sz w:val="28"/>
    </w:rPr>
  </w:style>
  <w:style w:type="paragraph" w:styleId="13">
    <w:name w:val="toc 7"/>
    <w:basedOn w:val="1"/>
    <w:next w:val="1"/>
    <w:qFormat/>
    <w:uiPriority w:val="0"/>
    <w:pPr>
      <w:ind w:left="1260"/>
      <w:jc w:val="left"/>
    </w:pPr>
    <w:rPr>
      <w:rFonts w:ascii="Calibri" w:hAnsi="Calibri" w:cs="Calibri"/>
      <w:sz w:val="18"/>
      <w:szCs w:val="18"/>
    </w:rPr>
  </w:style>
  <w:style w:type="paragraph" w:styleId="14">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5">
    <w:name w:val="Normal Indent"/>
    <w:basedOn w:val="1"/>
    <w:next w:val="1"/>
    <w:qFormat/>
    <w:uiPriority w:val="0"/>
    <w:pPr>
      <w:ind w:firstLine="420"/>
    </w:pPr>
    <w:rPr>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qFormat/>
    <w:uiPriority w:val="0"/>
    <w:pPr>
      <w:shd w:val="clear" w:color="auto" w:fill="000080"/>
    </w:pPr>
  </w:style>
  <w:style w:type="paragraph" w:styleId="18">
    <w:name w:val="annotation text"/>
    <w:basedOn w:val="1"/>
    <w:link w:val="118"/>
    <w:qFormat/>
    <w:uiPriority w:val="99"/>
  </w:style>
  <w:style w:type="paragraph" w:styleId="19">
    <w:name w:val="Body Text 3"/>
    <w:basedOn w:val="1"/>
    <w:qFormat/>
    <w:uiPriority w:val="0"/>
    <w:pPr>
      <w:snapToGrid w:val="0"/>
      <w:spacing w:before="50" w:after="50"/>
    </w:pPr>
    <w:rPr>
      <w:rFonts w:eastAsia="仿宋_GB2312"/>
      <w:b/>
      <w:bCs/>
      <w:sz w:val="24"/>
      <w:szCs w:val="20"/>
    </w:rPr>
  </w:style>
  <w:style w:type="paragraph" w:styleId="20">
    <w:name w:val="Body Text Indent"/>
    <w:basedOn w:val="1"/>
    <w:next w:val="1"/>
    <w:qFormat/>
    <w:uiPriority w:val="0"/>
    <w:pPr>
      <w:spacing w:line="200" w:lineRule="exact"/>
      <w:ind w:firstLine="301"/>
    </w:pPr>
    <w:rPr>
      <w:rFonts w:ascii="宋体"/>
      <w:spacing w:val="-4"/>
      <w:sz w:val="18"/>
      <w:szCs w:val="20"/>
    </w:rPr>
  </w:style>
  <w:style w:type="paragraph" w:styleId="21">
    <w:name w:val="List Number 3"/>
    <w:basedOn w:val="1"/>
    <w:qFormat/>
    <w:uiPriority w:val="0"/>
    <w:pPr>
      <w:numPr>
        <w:ilvl w:val="0"/>
        <w:numId w:val="1"/>
      </w:numPr>
    </w:pPr>
  </w:style>
  <w:style w:type="paragraph" w:styleId="22">
    <w:name w:val="List 2"/>
    <w:basedOn w:val="1"/>
    <w:qFormat/>
    <w:uiPriority w:val="0"/>
    <w:pPr>
      <w:ind w:left="400" w:leftChars="200" w:hanging="200" w:hangingChars="200"/>
    </w:pPr>
    <w:rPr>
      <w:sz w:val="28"/>
    </w:rPr>
  </w:style>
  <w:style w:type="paragraph" w:styleId="23">
    <w:name w:val="toc 5"/>
    <w:basedOn w:val="1"/>
    <w:next w:val="1"/>
    <w:qFormat/>
    <w:uiPriority w:val="0"/>
    <w:pPr>
      <w:ind w:left="840"/>
      <w:jc w:val="left"/>
    </w:pPr>
    <w:rPr>
      <w:rFonts w:ascii="Calibri" w:hAnsi="Calibri" w:cs="Calibri"/>
      <w:sz w:val="18"/>
      <w:szCs w:val="18"/>
    </w:rPr>
  </w:style>
  <w:style w:type="paragraph" w:styleId="24">
    <w:name w:val="toc 3"/>
    <w:basedOn w:val="1"/>
    <w:next w:val="1"/>
    <w:qFormat/>
    <w:uiPriority w:val="0"/>
    <w:pPr>
      <w:ind w:left="400" w:leftChars="400"/>
    </w:pPr>
  </w:style>
  <w:style w:type="paragraph" w:styleId="25">
    <w:name w:val="Plain Text"/>
    <w:basedOn w:val="1"/>
    <w:next w:val="1"/>
    <w:qFormat/>
    <w:uiPriority w:val="0"/>
    <w:pPr>
      <w:spacing w:beforeLines="50" w:afterLines="50" w:line="400" w:lineRule="exact"/>
    </w:pPr>
    <w:rPr>
      <w:rFonts w:ascii="宋体"/>
      <w:szCs w:val="21"/>
    </w:rPr>
  </w:style>
  <w:style w:type="paragraph" w:styleId="26">
    <w:name w:val="toc 8"/>
    <w:basedOn w:val="1"/>
    <w:next w:val="1"/>
    <w:qFormat/>
    <w:uiPriority w:val="0"/>
    <w:pPr>
      <w:ind w:left="1470"/>
      <w:jc w:val="left"/>
    </w:pPr>
    <w:rPr>
      <w:rFonts w:ascii="Calibri" w:hAnsi="Calibri" w:cs="Calibri"/>
      <w:sz w:val="18"/>
      <w:szCs w:val="18"/>
    </w:rPr>
  </w:style>
  <w:style w:type="paragraph" w:styleId="27">
    <w:name w:val="Date"/>
    <w:basedOn w:val="1"/>
    <w:next w:val="1"/>
    <w:link w:val="121"/>
    <w:qFormat/>
    <w:uiPriority w:val="0"/>
    <w:pPr>
      <w:ind w:left="2500" w:leftChars="2500"/>
    </w:pPr>
    <w:rPr>
      <w:rFonts w:eastAsia="楷体_GB2312"/>
      <w:sz w:val="32"/>
      <w:szCs w:val="20"/>
    </w:rPr>
  </w:style>
  <w:style w:type="paragraph" w:styleId="28">
    <w:name w:val="Body Text Indent 2"/>
    <w:basedOn w:val="1"/>
    <w:qFormat/>
    <w:uiPriority w:val="0"/>
    <w:pPr>
      <w:snapToGrid w:val="0"/>
      <w:ind w:firstLine="225" w:firstLineChars="225"/>
    </w:pPr>
    <w:rPr>
      <w:rFonts w:ascii="仿宋_GB2312" w:hAnsi="仿宋_GB2312"/>
      <w:b/>
      <w:bCs/>
      <w:color w:val="000000"/>
      <w:sz w:val="24"/>
    </w:rPr>
  </w:style>
  <w:style w:type="paragraph" w:styleId="29">
    <w:name w:val="endnote text"/>
    <w:basedOn w:val="1"/>
    <w:qFormat/>
    <w:uiPriority w:val="0"/>
    <w:pPr>
      <w:snapToGrid w:val="0"/>
      <w:jc w:val="left"/>
    </w:pPr>
  </w:style>
  <w:style w:type="paragraph" w:styleId="30">
    <w:name w:val="Balloon Text"/>
    <w:basedOn w:val="1"/>
    <w:qFormat/>
    <w:uiPriority w:val="0"/>
    <w:rPr>
      <w:sz w:val="18"/>
      <w:szCs w:val="18"/>
    </w:rPr>
  </w:style>
  <w:style w:type="paragraph" w:styleId="31">
    <w:name w:val="footer"/>
    <w:basedOn w:val="1"/>
    <w:link w:val="100"/>
    <w:qFormat/>
    <w:uiPriority w:val="99"/>
    <w:pPr>
      <w:tabs>
        <w:tab w:val="center" w:pos="4153"/>
        <w:tab w:val="right" w:pos="8306"/>
      </w:tabs>
      <w:snapToGrid w:val="0"/>
      <w:jc w:val="left"/>
    </w:pPr>
    <w:rPr>
      <w:rFonts w:eastAsia="黑体"/>
      <w:kern w:val="0"/>
      <w:sz w:val="18"/>
      <w:szCs w:val="18"/>
    </w:rPr>
  </w:style>
  <w:style w:type="paragraph" w:styleId="32">
    <w:name w:val="header"/>
    <w:basedOn w:val="1"/>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33">
    <w:name w:val="toc 1"/>
    <w:basedOn w:val="1"/>
    <w:next w:val="1"/>
    <w:qFormat/>
    <w:uiPriority w:val="39"/>
    <w:pPr>
      <w:spacing w:before="600" w:after="600"/>
    </w:pPr>
    <w:rPr>
      <w:b/>
      <w:sz w:val="32"/>
    </w:rPr>
  </w:style>
  <w:style w:type="paragraph" w:styleId="34">
    <w:name w:val="toc 4"/>
    <w:basedOn w:val="1"/>
    <w:next w:val="1"/>
    <w:qFormat/>
    <w:uiPriority w:val="0"/>
    <w:pPr>
      <w:ind w:left="630"/>
      <w:jc w:val="left"/>
    </w:pPr>
    <w:rPr>
      <w:rFonts w:ascii="Calibri" w:hAnsi="Calibri" w:cs="Calibri"/>
      <w:sz w:val="18"/>
      <w:szCs w:val="18"/>
    </w:rPr>
  </w:style>
  <w:style w:type="paragraph" w:styleId="35">
    <w:name w:val="List"/>
    <w:basedOn w:val="1"/>
    <w:qFormat/>
    <w:uiPriority w:val="0"/>
    <w:pPr>
      <w:ind w:left="200" w:hanging="200" w:hangingChars="200"/>
    </w:pPr>
    <w:rPr>
      <w:sz w:val="28"/>
    </w:rPr>
  </w:style>
  <w:style w:type="paragraph" w:styleId="36">
    <w:name w:val="footnote text"/>
    <w:basedOn w:val="1"/>
    <w:qFormat/>
    <w:uiPriority w:val="0"/>
    <w:pPr>
      <w:snapToGrid w:val="0"/>
      <w:jc w:val="left"/>
    </w:pPr>
    <w:rPr>
      <w:sz w:val="18"/>
      <w:szCs w:val="18"/>
    </w:rPr>
  </w:style>
  <w:style w:type="paragraph" w:styleId="37">
    <w:name w:val="toc 6"/>
    <w:basedOn w:val="1"/>
    <w:next w:val="1"/>
    <w:qFormat/>
    <w:uiPriority w:val="0"/>
    <w:pPr>
      <w:ind w:left="1050"/>
      <w:jc w:val="left"/>
    </w:pPr>
    <w:rPr>
      <w:rFonts w:ascii="Calibri" w:hAnsi="Calibri" w:cs="Calibri"/>
      <w:sz w:val="18"/>
      <w:szCs w:val="18"/>
    </w:rPr>
  </w:style>
  <w:style w:type="paragraph" w:styleId="38">
    <w:name w:val="Body Text Indent 3"/>
    <w:basedOn w:val="1"/>
    <w:qFormat/>
    <w:uiPriority w:val="0"/>
    <w:pPr>
      <w:snapToGrid w:val="0"/>
      <w:ind w:firstLine="200" w:firstLineChars="200"/>
      <w:jc w:val="left"/>
    </w:pPr>
    <w:rPr>
      <w:sz w:val="16"/>
      <w:szCs w:val="16"/>
    </w:rPr>
  </w:style>
  <w:style w:type="paragraph" w:styleId="39">
    <w:name w:val="toc 2"/>
    <w:basedOn w:val="1"/>
    <w:next w:val="1"/>
    <w:qFormat/>
    <w:uiPriority w:val="39"/>
    <w:pPr>
      <w:ind w:left="200" w:leftChars="200"/>
    </w:pPr>
  </w:style>
  <w:style w:type="paragraph" w:styleId="40">
    <w:name w:val="toc 9"/>
    <w:basedOn w:val="1"/>
    <w:next w:val="1"/>
    <w:qFormat/>
    <w:uiPriority w:val="0"/>
    <w:pPr>
      <w:ind w:left="1680"/>
      <w:jc w:val="left"/>
    </w:pPr>
    <w:rPr>
      <w:rFonts w:ascii="Calibri" w:hAnsi="Calibri" w:cs="Calibri"/>
      <w:sz w:val="18"/>
      <w:szCs w:val="18"/>
    </w:rPr>
  </w:style>
  <w:style w:type="paragraph" w:styleId="41">
    <w:name w:val="Body Text 2"/>
    <w:basedOn w:val="1"/>
    <w:qFormat/>
    <w:uiPriority w:val="0"/>
    <w:pPr>
      <w:widowControl/>
      <w:snapToGrid w:val="0"/>
      <w:spacing w:before="50" w:afterLines="50" w:line="400" w:lineRule="exact"/>
      <w:jc w:val="left"/>
    </w:pPr>
    <w:rPr>
      <w:rFonts w:ascii="宋体"/>
      <w:color w:val="000000"/>
      <w:sz w:val="24"/>
    </w:rPr>
  </w:style>
  <w:style w:type="paragraph" w:styleId="42">
    <w:name w:val="Normal (Web)"/>
    <w:basedOn w:val="1"/>
    <w:link w:val="120"/>
    <w:qFormat/>
    <w:uiPriority w:val="99"/>
    <w:pPr>
      <w:widowControl/>
      <w:spacing w:before="100" w:beforeAutospacing="1" w:after="100" w:afterAutospacing="1"/>
      <w:jc w:val="left"/>
    </w:pPr>
    <w:rPr>
      <w:kern w:val="0"/>
      <w:sz w:val="24"/>
    </w:rPr>
  </w:style>
  <w:style w:type="paragraph" w:styleId="43">
    <w:name w:val="annotation subject"/>
    <w:basedOn w:val="18"/>
    <w:next w:val="18"/>
    <w:qFormat/>
    <w:uiPriority w:val="0"/>
    <w:rPr>
      <w:b/>
      <w:bCs/>
    </w:rPr>
  </w:style>
  <w:style w:type="paragraph" w:styleId="44">
    <w:name w:val="Body Text First Indent 2"/>
    <w:basedOn w:val="20"/>
    <w:next w:val="2"/>
    <w:qFormat/>
    <w:uiPriority w:val="0"/>
    <w:pPr>
      <w:ind w:firstLine="420" w:firstLineChars="200"/>
    </w:p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22"/>
    <w:rPr>
      <w:b/>
    </w:rPr>
  </w:style>
  <w:style w:type="character" w:styleId="49">
    <w:name w:val="page number"/>
    <w:basedOn w:val="47"/>
    <w:qFormat/>
    <w:uiPriority w:val="0"/>
  </w:style>
  <w:style w:type="character" w:styleId="50">
    <w:name w:val="FollowedHyperlink"/>
    <w:qFormat/>
    <w:uiPriority w:val="0"/>
    <w:rPr>
      <w:color w:val="333333"/>
      <w:sz w:val="16"/>
      <w:szCs w:val="0"/>
      <w:u w:val="none"/>
    </w:rPr>
  </w:style>
  <w:style w:type="character" w:styleId="51">
    <w:name w:val="Emphasis"/>
    <w:qFormat/>
    <w:uiPriority w:val="20"/>
  </w:style>
  <w:style w:type="character" w:styleId="52">
    <w:name w:val="Hyperlink"/>
    <w:qFormat/>
    <w:uiPriority w:val="99"/>
    <w:rPr>
      <w:color w:val="333333"/>
      <w:u w:val="none"/>
    </w:rPr>
  </w:style>
  <w:style w:type="character" w:styleId="53">
    <w:name w:val="annotation reference"/>
    <w:qFormat/>
    <w:uiPriority w:val="0"/>
    <w:rPr>
      <w:sz w:val="21"/>
      <w:szCs w:val="21"/>
    </w:rPr>
  </w:style>
  <w:style w:type="paragraph" w:customStyle="1" w:styleId="54">
    <w:name w:val="样式3"/>
    <w:basedOn w:val="25"/>
    <w:next w:val="1"/>
    <w:qFormat/>
    <w:uiPriority w:val="0"/>
    <w:pPr>
      <w:widowControl w:val="0"/>
      <w:spacing w:before="0" w:beforeAutospacing="0" w:after="0" w:afterAutospacing="0" w:line="0" w:lineRule="atLeast"/>
      <w:jc w:val="both"/>
      <w:outlineLvl w:val="0"/>
    </w:pPr>
    <w:rPr>
      <w:kern w:val="2"/>
      <w:sz w:val="28"/>
    </w:rPr>
  </w:style>
  <w:style w:type="paragraph" w:customStyle="1" w:styleId="55">
    <w:name w:val="Char Char Char Char Char Char Char Char Char Char Char Char1 Char"/>
    <w:basedOn w:val="17"/>
    <w:qFormat/>
    <w:uiPriority w:val="0"/>
    <w:rPr>
      <w:rFonts w:ascii="Tahoma" w:hAnsi="Tahoma"/>
      <w:sz w:val="24"/>
    </w:rPr>
  </w:style>
  <w:style w:type="paragraph" w:customStyle="1" w:styleId="56">
    <w:name w:val="_Style 1"/>
    <w:basedOn w:val="1"/>
    <w:qFormat/>
    <w:uiPriority w:val="34"/>
    <w:pPr>
      <w:ind w:firstLine="420" w:firstLineChars="200"/>
    </w:pPr>
    <w:rPr>
      <w:rFonts w:ascii="Calibri" w:hAnsi="Calibri"/>
    </w:rPr>
  </w:style>
  <w:style w:type="paragraph" w:customStyle="1" w:styleId="57">
    <w:name w:val="列表段落1"/>
    <w:basedOn w:val="1"/>
    <w:qFormat/>
    <w:uiPriority w:val="0"/>
    <w:pPr>
      <w:ind w:firstLine="200" w:firstLineChars="200"/>
    </w:pPr>
    <w:rPr>
      <w:rFonts w:ascii="Calibri" w:hAnsi="Calibri" w:cs="Calibri"/>
    </w:rPr>
  </w:style>
  <w:style w:type="paragraph" w:styleId="58">
    <w:name w:val="List Paragraph"/>
    <w:basedOn w:val="1"/>
    <w:link w:val="125"/>
    <w:qFormat/>
    <w:uiPriority w:val="99"/>
    <w:pPr>
      <w:ind w:firstLine="420" w:firstLineChars="200"/>
    </w:pPr>
    <w:rPr>
      <w:rFonts w:ascii="Calibri" w:hAnsi="Calibri"/>
      <w:szCs w:val="22"/>
    </w:rPr>
  </w:style>
  <w:style w:type="paragraph" w:customStyle="1" w:styleId="59">
    <w:name w:val="样式 标题 3 +"/>
    <w:basedOn w:val="6"/>
    <w:qFormat/>
    <w:uiPriority w:val="0"/>
    <w:rPr>
      <w:kern w:val="0"/>
    </w:rPr>
  </w:style>
  <w:style w:type="paragraph" w:customStyle="1" w:styleId="60">
    <w:name w:val="Char1 Char Char Char"/>
    <w:basedOn w:val="1"/>
    <w:qFormat/>
    <w:uiPriority w:val="0"/>
    <w:pPr>
      <w:tabs>
        <w:tab w:val="left" w:pos="840"/>
      </w:tabs>
      <w:ind w:left="840" w:hanging="420"/>
    </w:pPr>
    <w:rPr>
      <w:sz w:val="24"/>
    </w:rPr>
  </w:style>
  <w:style w:type="paragraph" w:customStyle="1" w:styleId="61">
    <w:name w:val="xl66"/>
    <w:basedOn w:val="1"/>
    <w:qFormat/>
    <w:uiPriority w:val="0"/>
    <w:pPr>
      <w:widowControl/>
      <w:pBdr>
        <w:left w:val="single" w:color="auto" w:sz="4" w:space="0"/>
        <w:bottom w:val="single" w:color="auto" w:sz="4" w:space="0"/>
      </w:pBdr>
      <w:spacing w:before="100" w:beforeAutospacing="1" w:after="100" w:afterAutospacing="1"/>
      <w:jc w:val="center"/>
    </w:pPr>
    <w:rPr>
      <w:rFonts w:ascii="宋体"/>
      <w:kern w:val="0"/>
      <w:sz w:val="24"/>
    </w:rPr>
  </w:style>
  <w:style w:type="paragraph" w:customStyle="1" w:styleId="62">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63">
    <w:name w:val="默认"/>
    <w:qFormat/>
    <w:uiPriority w:val="0"/>
    <w:rPr>
      <w:rFonts w:ascii="Helvetica" w:hAnsi="Arial Unicode MS" w:eastAsia="Arial Unicode MS" w:cs="Arial Unicode MS"/>
      <w:color w:val="000000"/>
      <w:sz w:val="22"/>
      <w:szCs w:val="22"/>
      <w:lang w:val="en-US" w:eastAsia="zh-CN" w:bidi="ar-SA"/>
    </w:rPr>
  </w:style>
  <w:style w:type="paragraph" w:customStyle="1" w:styleId="64">
    <w:name w:val="普通(网站)2"/>
    <w:basedOn w:val="1"/>
    <w:qFormat/>
    <w:uiPriority w:val="0"/>
    <w:pPr>
      <w:adjustRightInd w:val="0"/>
      <w:spacing w:line="360" w:lineRule="auto"/>
      <w:textAlignment w:val="baseline"/>
    </w:pPr>
    <w:rPr>
      <w:rFonts w:hAnsi="Calibri" w:eastAsia="仿宋"/>
      <w:kern w:val="0"/>
      <w:sz w:val="28"/>
    </w:rPr>
  </w:style>
  <w:style w:type="paragraph" w:customStyle="1" w:styleId="65">
    <w:name w:val="列出段落1"/>
    <w:basedOn w:val="1"/>
    <w:qFormat/>
    <w:uiPriority w:val="0"/>
    <w:pPr>
      <w:ind w:firstLine="200" w:firstLineChars="200"/>
    </w:pPr>
    <w:rPr>
      <w:rFonts w:ascii="Calibri" w:hAnsi="Calibri"/>
      <w:szCs w:val="22"/>
    </w:rPr>
  </w:style>
  <w:style w:type="paragraph" w:customStyle="1" w:styleId="66">
    <w:name w:val="p0"/>
    <w:basedOn w:val="1"/>
    <w:qFormat/>
    <w:uiPriority w:val="0"/>
    <w:pPr>
      <w:widowControl/>
    </w:pPr>
    <w:rPr>
      <w:kern w:val="0"/>
      <w:szCs w:val="21"/>
    </w:rPr>
  </w:style>
  <w:style w:type="paragraph" w:customStyle="1" w:styleId="67">
    <w:name w:val="彩色列表 - 强调文字颜色 11"/>
    <w:basedOn w:val="1"/>
    <w:qFormat/>
    <w:uiPriority w:val="0"/>
    <w:pPr>
      <w:ind w:firstLine="200" w:firstLineChars="200"/>
    </w:pPr>
    <w:rPr>
      <w:rFonts w:ascii="Calibri" w:hAnsi="Calibri"/>
      <w:szCs w:val="22"/>
    </w:rPr>
  </w:style>
  <w:style w:type="paragraph" w:customStyle="1" w:styleId="68">
    <w:name w:val="证文"/>
    <w:basedOn w:val="1"/>
    <w:qFormat/>
    <w:uiPriority w:val="0"/>
    <w:pPr>
      <w:spacing w:line="360" w:lineRule="auto"/>
    </w:pPr>
    <w:rPr>
      <w:sz w:val="24"/>
      <w:szCs w:val="20"/>
    </w:rPr>
  </w:style>
  <w:style w:type="paragraph" w:customStyle="1" w:styleId="69">
    <w:name w:val="正文空2格  1."/>
    <w:basedOn w:val="1"/>
    <w:qFormat/>
    <w:uiPriority w:val="0"/>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70">
    <w:name w:val="标准正文"/>
    <w:basedOn w:val="1"/>
    <w:qFormat/>
    <w:uiPriority w:val="0"/>
    <w:pPr>
      <w:spacing w:line="360" w:lineRule="auto"/>
      <w:ind w:firstLine="200" w:firstLineChars="200"/>
    </w:pPr>
    <w:rPr>
      <w:rFonts w:ascii="仿宋" w:eastAsia="仿宋"/>
      <w:sz w:val="28"/>
      <w:szCs w:val="21"/>
    </w:rPr>
  </w:style>
  <w:style w:type="paragraph" w:customStyle="1" w:styleId="71">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72">
    <w:name w:val="xl24"/>
    <w:basedOn w:val="1"/>
    <w:qFormat/>
    <w:uiPriority w:val="0"/>
    <w:pPr>
      <w:widowControl/>
      <w:spacing w:before="100" w:beforeAutospacing="1" w:after="100" w:afterAutospacing="1"/>
      <w:jc w:val="center"/>
      <w:textAlignment w:val="center"/>
    </w:pPr>
    <w:rPr>
      <w:rFonts w:ascii="宋体"/>
      <w:kern w:val="0"/>
      <w:sz w:val="24"/>
    </w:rPr>
  </w:style>
  <w:style w:type="paragraph" w:customStyle="1" w:styleId="73">
    <w:name w:val="此正文"/>
    <w:basedOn w:val="1"/>
    <w:qFormat/>
    <w:uiPriority w:val="0"/>
    <w:pPr>
      <w:spacing w:line="360" w:lineRule="auto"/>
      <w:ind w:firstLine="200" w:firstLineChars="200"/>
    </w:pPr>
    <w:rPr>
      <w:sz w:val="24"/>
    </w:rPr>
  </w:style>
  <w:style w:type="paragraph" w:customStyle="1" w:styleId="74">
    <w:name w:val="自由格式 A"/>
    <w:qFormat/>
    <w:uiPriority w:val="0"/>
    <w:rPr>
      <w:rFonts w:ascii="Helvetica" w:hAnsi="Helvetica" w:eastAsia="ヒラギノ角ゴ Pro W3" w:cs="Times New Roman"/>
      <w:color w:val="000000"/>
      <w:sz w:val="24"/>
      <w:lang w:val="en-US" w:eastAsia="zh-CN" w:bidi="ar-SA"/>
    </w:rPr>
  </w:style>
  <w:style w:type="paragraph" w:customStyle="1" w:styleId="75">
    <w:name w:val="样式 标题 1 + 两端对齐"/>
    <w:basedOn w:val="5"/>
    <w:next w:val="5"/>
    <w:qFormat/>
    <w:uiPriority w:val="0"/>
    <w:pPr>
      <w:autoSpaceDE w:val="0"/>
      <w:autoSpaceDN w:val="0"/>
      <w:adjustRightInd w:val="0"/>
      <w:spacing w:before="340" w:after="330" w:line="240" w:lineRule="auto"/>
      <w:jc w:val="center"/>
    </w:pPr>
    <w:rPr>
      <w:rFonts w:ascii="汉鼎简细圆" w:hAnsi="汉鼎简细圆" w:eastAsia="宋体" w:cs="宋体"/>
      <w:kern w:val="44"/>
      <w:sz w:val="28"/>
      <w:szCs w:val="20"/>
    </w:rPr>
  </w:style>
  <w:style w:type="paragraph" w:customStyle="1" w:styleId="76">
    <w:name w:val="样式 标题 3 +1"/>
    <w:basedOn w:val="6"/>
    <w:qFormat/>
    <w:uiPriority w:val="0"/>
    <w:rPr>
      <w:kern w:val="0"/>
    </w:rPr>
  </w:style>
  <w:style w:type="paragraph" w:customStyle="1" w:styleId="77">
    <w:name w:val="默认段落字体 Para Char Char Char Char Char Char Char Char Char1 Char Char Char Char"/>
    <w:basedOn w:val="1"/>
    <w:qFormat/>
    <w:uiPriority w:val="0"/>
    <w:rPr>
      <w:rFonts w:ascii="Tahoma" w:hAnsi="Tahoma"/>
      <w:sz w:val="24"/>
      <w:szCs w:val="20"/>
    </w:rPr>
  </w:style>
  <w:style w:type="paragraph" w:customStyle="1" w:styleId="78">
    <w:name w:val="Char1"/>
    <w:basedOn w:val="1"/>
    <w:qFormat/>
    <w:uiPriority w:val="0"/>
    <w:rPr>
      <w:rFonts w:ascii="Tahoma" w:hAnsi="Tahoma"/>
      <w:sz w:val="24"/>
      <w:szCs w:val="20"/>
    </w:rPr>
  </w:style>
  <w:style w:type="paragraph" w:customStyle="1" w:styleId="79">
    <w:name w:val="Char11"/>
    <w:basedOn w:val="1"/>
    <w:qFormat/>
    <w:uiPriority w:val="0"/>
    <w:rPr>
      <w:rFonts w:ascii="Tahoma" w:hAnsi="Tahoma"/>
      <w:sz w:val="24"/>
      <w:szCs w:val="20"/>
    </w:rPr>
  </w:style>
  <w:style w:type="paragraph" w:customStyle="1" w:styleId="80">
    <w:name w:val="首行缩进2字符"/>
    <w:basedOn w:val="1"/>
    <w:qFormat/>
    <w:uiPriority w:val="0"/>
    <w:pPr>
      <w:spacing w:line="360" w:lineRule="auto"/>
      <w:ind w:firstLine="200" w:firstLineChars="200"/>
    </w:pPr>
    <w:rPr>
      <w:rFonts w:ascii="Calibri" w:hAnsi="Calibri"/>
      <w:sz w:val="24"/>
      <w:szCs w:val="21"/>
    </w:rPr>
  </w:style>
  <w:style w:type="paragraph" w:customStyle="1" w:styleId="81">
    <w:name w:val="msolistparagraph"/>
    <w:basedOn w:val="1"/>
    <w:qFormat/>
    <w:uiPriority w:val="0"/>
    <w:pPr>
      <w:ind w:firstLine="200" w:firstLineChars="200"/>
    </w:pPr>
    <w:rPr>
      <w:rFonts w:ascii="Calibri" w:hAnsi="Calibri"/>
      <w:szCs w:val="22"/>
    </w:rPr>
  </w:style>
  <w:style w:type="paragraph" w:customStyle="1" w:styleId="82">
    <w:name w:val="big"/>
    <w:basedOn w:val="1"/>
    <w:qFormat/>
    <w:uiPriority w:val="0"/>
    <w:pPr>
      <w:widowControl/>
      <w:spacing w:before="100" w:beforeAutospacing="1" w:after="100" w:afterAutospacing="1"/>
      <w:jc w:val="left"/>
    </w:pPr>
    <w:rPr>
      <w:rFonts w:ascii="宋体"/>
      <w:kern w:val="0"/>
      <w:sz w:val="24"/>
    </w:rPr>
  </w:style>
  <w:style w:type="paragraph" w:customStyle="1" w:styleId="83">
    <w:name w:val="正文段"/>
    <w:basedOn w:val="1"/>
    <w:qFormat/>
    <w:uiPriority w:val="0"/>
    <w:pPr>
      <w:widowControl/>
      <w:snapToGrid w:val="0"/>
      <w:spacing w:afterLines="50"/>
      <w:ind w:firstLine="200" w:firstLineChars="200"/>
    </w:pPr>
    <w:rPr>
      <w:kern w:val="0"/>
      <w:sz w:val="24"/>
      <w:szCs w:val="20"/>
    </w:rPr>
  </w:style>
  <w:style w:type="paragraph" w:customStyle="1" w:styleId="8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5">
    <w:name w:val="Char"/>
    <w:basedOn w:val="1"/>
    <w:qFormat/>
    <w:uiPriority w:val="0"/>
    <w:rPr>
      <w:rFonts w:ascii="仿宋_GB2312" w:eastAsia="仿宋_GB2312"/>
      <w:b/>
      <w:sz w:val="32"/>
      <w:szCs w:val="32"/>
    </w:rPr>
  </w:style>
  <w:style w:type="paragraph" w:customStyle="1" w:styleId="86">
    <w:name w:val="_Style 82"/>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87">
    <w:name w:val="纯文本1"/>
    <w:basedOn w:val="1"/>
    <w:qFormat/>
    <w:uiPriority w:val="0"/>
    <w:pPr>
      <w:adjustRightInd w:val="0"/>
      <w:textAlignment w:val="baseline"/>
    </w:pPr>
    <w:rPr>
      <w:rFonts w:ascii="宋体"/>
      <w:kern w:val="0"/>
      <w:szCs w:val="20"/>
    </w:rPr>
  </w:style>
  <w:style w:type="paragraph" w:customStyle="1" w:styleId="88">
    <w:name w:val="样式1"/>
    <w:basedOn w:val="7"/>
    <w:qFormat/>
    <w:uiPriority w:val="0"/>
  </w:style>
  <w:style w:type="paragraph" w:customStyle="1" w:styleId="89">
    <w:name w:val="地址内"/>
    <w:basedOn w:val="1"/>
    <w:qFormat/>
    <w:uiPriority w:val="0"/>
    <w:rPr>
      <w:szCs w:val="20"/>
    </w:rPr>
  </w:style>
  <w:style w:type="paragraph" w:customStyle="1" w:styleId="90">
    <w:name w:val="Char2"/>
    <w:basedOn w:val="1"/>
    <w:qFormat/>
    <w:uiPriority w:val="0"/>
    <w:pPr>
      <w:widowControl/>
      <w:spacing w:after="160" w:line="240" w:lineRule="exact"/>
      <w:jc w:val="left"/>
    </w:pPr>
    <w:rPr>
      <w:szCs w:val="20"/>
    </w:rPr>
  </w:style>
  <w:style w:type="paragraph" w:customStyle="1" w:styleId="91">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92">
    <w:name w:val="_Style 3"/>
    <w:basedOn w:val="1"/>
    <w:qFormat/>
    <w:uiPriority w:val="0"/>
    <w:pPr>
      <w:ind w:firstLine="420" w:firstLineChars="200"/>
    </w:pPr>
    <w:rPr>
      <w:rFonts w:ascii="Calibri" w:hAnsi="Calibri"/>
      <w:szCs w:val="22"/>
    </w:rPr>
  </w:style>
  <w:style w:type="paragraph" w:customStyle="1" w:styleId="93">
    <w:name w:val="正文首行缩进2字符"/>
    <w:basedOn w:val="1"/>
    <w:qFormat/>
    <w:uiPriority w:val="0"/>
    <w:pPr>
      <w:spacing w:line="360" w:lineRule="auto"/>
      <w:ind w:firstLine="200" w:firstLineChars="200"/>
    </w:pPr>
    <w:rPr>
      <w:rFonts w:eastAsia="仿宋"/>
      <w:sz w:val="28"/>
      <w:szCs w:val="20"/>
    </w:rPr>
  </w:style>
  <w:style w:type="character" w:customStyle="1" w:styleId="94">
    <w:name w:val="m_51"/>
    <w:qFormat/>
    <w:uiPriority w:val="0"/>
  </w:style>
  <w:style w:type="character" w:customStyle="1" w:styleId="95">
    <w:name w:val="m_461"/>
    <w:qFormat/>
    <w:uiPriority w:val="0"/>
  </w:style>
  <w:style w:type="character" w:customStyle="1" w:styleId="96">
    <w:name w:val="纯文本 Char"/>
    <w:qFormat/>
    <w:uiPriority w:val="0"/>
    <w:rPr>
      <w:rFonts w:ascii="宋体" w:eastAsia="宋体"/>
      <w:kern w:val="2"/>
      <w:sz w:val="24"/>
      <w:szCs w:val="24"/>
      <w:lang w:val="en-US" w:eastAsia="zh-CN" w:bidi="ar-SA"/>
    </w:rPr>
  </w:style>
  <w:style w:type="character" w:customStyle="1" w:styleId="97">
    <w:name w:val="m_171"/>
    <w:qFormat/>
    <w:uiPriority w:val="0"/>
  </w:style>
  <w:style w:type="character" w:customStyle="1" w:styleId="98">
    <w:name w:val="second-line"/>
    <w:qFormat/>
    <w:uiPriority w:val="0"/>
    <w:rPr>
      <w:color w:val="727272"/>
    </w:rPr>
  </w:style>
  <w:style w:type="character" w:customStyle="1" w:styleId="99">
    <w:name w:val="批注文字 Char"/>
    <w:qFormat/>
    <w:uiPriority w:val="0"/>
    <w:rPr>
      <w:kern w:val="2"/>
      <w:sz w:val="21"/>
      <w:szCs w:val="24"/>
    </w:rPr>
  </w:style>
  <w:style w:type="character" w:customStyle="1" w:styleId="100">
    <w:name w:val="页脚 字符"/>
    <w:link w:val="31"/>
    <w:qFormat/>
    <w:uiPriority w:val="99"/>
    <w:rPr>
      <w:rFonts w:eastAsia="黑体"/>
      <w:snapToGrid/>
      <w:sz w:val="18"/>
      <w:szCs w:val="18"/>
    </w:rPr>
  </w:style>
  <w:style w:type="character" w:customStyle="1" w:styleId="101">
    <w:name w:val="正文缩进 Char"/>
    <w:qFormat/>
    <w:uiPriority w:val="0"/>
    <w:rPr>
      <w:kern w:val="2"/>
      <w:sz w:val="21"/>
    </w:rPr>
  </w:style>
  <w:style w:type="character" w:customStyle="1" w:styleId="102">
    <w:name w:val="正文文本缩进 3 Char"/>
    <w:qFormat/>
    <w:uiPriority w:val="0"/>
    <w:rPr>
      <w:rFonts w:ascii="仿宋_GB2312" w:eastAsia="仿宋_GB2312"/>
      <w:color w:val="000000"/>
      <w:kern w:val="2"/>
      <w:sz w:val="24"/>
      <w:szCs w:val="24"/>
    </w:rPr>
  </w:style>
  <w:style w:type="character" w:customStyle="1" w:styleId="103">
    <w:name w:val="focus"/>
    <w:qFormat/>
    <w:uiPriority w:val="0"/>
    <w:rPr>
      <w:color w:val="23527C"/>
      <w:shd w:val="clear" w:color="auto" w:fill="EEEEEE"/>
    </w:rPr>
  </w:style>
  <w:style w:type="character" w:customStyle="1" w:styleId="104">
    <w:name w:val="font101"/>
    <w:qFormat/>
    <w:uiPriority w:val="0"/>
    <w:rPr>
      <w:rFonts w:hint="eastAsia" w:ascii="宋体" w:hAnsi="宋体" w:eastAsia="宋体" w:cs="宋体"/>
      <w:color w:val="000000"/>
      <w:sz w:val="20"/>
      <w:szCs w:val="20"/>
      <w:u w:val="none"/>
    </w:rPr>
  </w:style>
  <w:style w:type="character" w:customStyle="1" w:styleId="105">
    <w:name w:val="font14zd"/>
    <w:basedOn w:val="47"/>
    <w:qFormat/>
    <w:uiPriority w:val="0"/>
  </w:style>
  <w:style w:type="character" w:customStyle="1" w:styleId="106">
    <w:name w:val="m_391"/>
    <w:qFormat/>
    <w:uiPriority w:val="0"/>
  </w:style>
  <w:style w:type="character" w:customStyle="1" w:styleId="107">
    <w:name w:val="hover9"/>
    <w:qFormat/>
    <w:uiPriority w:val="0"/>
    <w:rPr>
      <w:color w:val="23527C"/>
      <w:shd w:val="clear" w:color="auto" w:fill="EEEEEE"/>
    </w:rPr>
  </w:style>
  <w:style w:type="character" w:customStyle="1" w:styleId="108">
    <w:name w:val="样式 标题 1合同标题卷标题H1h1Level 1 Topic HeadingH11H12H111H13H1... Char"/>
    <w:qFormat/>
    <w:uiPriority w:val="0"/>
    <w:rPr>
      <w:rFonts w:ascii="宋体" w:eastAsia="宋体"/>
      <w:b/>
      <w:bCs/>
      <w:kern w:val="44"/>
      <w:sz w:val="24"/>
      <w:szCs w:val="44"/>
      <w:lang w:val="en-US" w:eastAsia="zh-CN" w:bidi="ar-SA"/>
    </w:rPr>
  </w:style>
  <w:style w:type="character" w:customStyle="1" w:styleId="109">
    <w:name w:val="publishtime"/>
    <w:qFormat/>
    <w:uiPriority w:val="0"/>
    <w:rPr>
      <w:color w:val="666666"/>
    </w:rPr>
  </w:style>
  <w:style w:type="character" w:customStyle="1" w:styleId="110">
    <w:name w:val="text-overflow"/>
    <w:qFormat/>
    <w:uiPriority w:val="0"/>
    <w:rPr>
      <w:sz w:val="21"/>
      <w:szCs w:val="21"/>
    </w:rPr>
  </w:style>
  <w:style w:type="character" w:customStyle="1" w:styleId="111">
    <w:name w:val="hover"/>
    <w:qFormat/>
    <w:uiPriority w:val="0"/>
    <w:rPr>
      <w:color w:val="23527C"/>
      <w:shd w:val="clear" w:color="auto" w:fill="EEEEEE"/>
    </w:rPr>
  </w:style>
  <w:style w:type="character" w:customStyle="1" w:styleId="112">
    <w:name w:val="focus1"/>
    <w:qFormat/>
    <w:uiPriority w:val="0"/>
    <w:rPr>
      <w:color w:val="23527C"/>
      <w:shd w:val="clear" w:color="auto" w:fill="EEEEEE"/>
    </w:rPr>
  </w:style>
  <w:style w:type="character" w:customStyle="1" w:styleId="113">
    <w:name w:val="m_491"/>
    <w:qFormat/>
    <w:uiPriority w:val="0"/>
  </w:style>
  <w:style w:type="character" w:customStyle="1" w:styleId="114">
    <w:name w:val="bold"/>
    <w:qFormat/>
    <w:uiPriority w:val="0"/>
    <w:rPr>
      <w:b/>
    </w:rPr>
  </w:style>
  <w:style w:type="character" w:customStyle="1" w:styleId="115">
    <w:name w:val="m_01"/>
    <w:qFormat/>
    <w:uiPriority w:val="0"/>
  </w:style>
  <w:style w:type="character" w:customStyle="1" w:styleId="116">
    <w:name w:val="font112"/>
    <w:qFormat/>
    <w:uiPriority w:val="0"/>
    <w:rPr>
      <w:rFonts w:hint="eastAsia" w:ascii="宋体" w:hAnsi="宋体" w:eastAsia="宋体" w:cs="宋体"/>
      <w:color w:val="000000"/>
      <w:sz w:val="18"/>
      <w:szCs w:val="18"/>
      <w:u w:val="none"/>
    </w:rPr>
  </w:style>
  <w:style w:type="character" w:customStyle="1" w:styleId="117">
    <w:name w:val="标题 7 字符"/>
    <w:link w:val="10"/>
    <w:qFormat/>
    <w:uiPriority w:val="0"/>
    <w:rPr>
      <w:b/>
      <w:kern w:val="2"/>
      <w:sz w:val="21"/>
    </w:rPr>
  </w:style>
  <w:style w:type="character" w:customStyle="1" w:styleId="118">
    <w:name w:val="批注文字 字符"/>
    <w:link w:val="18"/>
    <w:qFormat/>
    <w:uiPriority w:val="0"/>
    <w:rPr>
      <w:kern w:val="2"/>
      <w:sz w:val="21"/>
      <w:szCs w:val="24"/>
    </w:rPr>
  </w:style>
  <w:style w:type="character" w:customStyle="1" w:styleId="119">
    <w:name w:val="正文文本 字符"/>
    <w:basedOn w:val="47"/>
    <w:link w:val="3"/>
    <w:qFormat/>
    <w:uiPriority w:val="0"/>
    <w:rPr>
      <w:kern w:val="2"/>
      <w:sz w:val="28"/>
      <w:szCs w:val="24"/>
    </w:rPr>
  </w:style>
  <w:style w:type="character" w:customStyle="1" w:styleId="120">
    <w:name w:val="普通(网站) 字符"/>
    <w:link w:val="42"/>
    <w:qFormat/>
    <w:uiPriority w:val="0"/>
    <w:rPr>
      <w:sz w:val="24"/>
      <w:szCs w:val="24"/>
    </w:rPr>
  </w:style>
  <w:style w:type="character" w:customStyle="1" w:styleId="121">
    <w:name w:val="日期 字符"/>
    <w:basedOn w:val="47"/>
    <w:link w:val="27"/>
    <w:qFormat/>
    <w:uiPriority w:val="0"/>
    <w:rPr>
      <w:rFonts w:eastAsia="楷体_GB2312"/>
      <w:kern w:val="2"/>
      <w:sz w:val="32"/>
    </w:rPr>
  </w:style>
  <w:style w:type="character" w:customStyle="1" w:styleId="122">
    <w:name w:val="正文文本首行缩进 字符"/>
    <w:basedOn w:val="119"/>
    <w:link w:val="2"/>
    <w:semiHidden/>
    <w:qFormat/>
    <w:uiPriority w:val="99"/>
    <w:rPr>
      <w:kern w:val="2"/>
      <w:sz w:val="21"/>
      <w:szCs w:val="24"/>
    </w:rPr>
  </w:style>
  <w:style w:type="table" w:customStyle="1" w:styleId="123">
    <w:name w:val="网格型1"/>
    <w:basedOn w:val="4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125">
    <w:name w:val="列表段落 字符"/>
    <w:link w:val="58"/>
    <w:qFormat/>
    <w:locked/>
    <w:uiPriority w:val="99"/>
    <w:rPr>
      <w:rFonts w:ascii="Calibri" w:hAnsi="Calibri"/>
      <w:kern w:val="2"/>
      <w:sz w:val="21"/>
      <w:szCs w:val="22"/>
    </w:rPr>
  </w:style>
  <w:style w:type="paragraph" w:customStyle="1" w:styleId="126">
    <w:name w:val="四号正文"/>
    <w:basedOn w:val="1"/>
    <w:qFormat/>
    <w:uiPriority w:val="0"/>
    <w:pPr>
      <w:spacing w:line="360" w:lineRule="auto"/>
      <w:ind w:firstLine="560" w:firstLineChars="200"/>
    </w:pPr>
    <w:rPr>
      <w:rFonts w:ascii="Calibri" w:hAnsi="Calibri"/>
      <w:sz w:val="28"/>
      <w:szCs w:val="28"/>
    </w:rPr>
  </w:style>
  <w:style w:type="paragraph" w:customStyle="1" w:styleId="127">
    <w:name w:val="1"/>
    <w:basedOn w:val="1"/>
    <w:next w:val="58"/>
    <w:qFormat/>
    <w:uiPriority w:val="99"/>
    <w:pPr>
      <w:ind w:firstLine="420" w:firstLineChars="200"/>
    </w:pPr>
    <w:rPr>
      <w:rFonts w:ascii="Calibri" w:hAnsi="Calibri"/>
      <w:szCs w:val="22"/>
    </w:rPr>
  </w:style>
  <w:style w:type="paragraph" w:customStyle="1" w:styleId="128">
    <w:name w:val="政法委正文样式"/>
    <w:basedOn w:val="126"/>
    <w:qFormat/>
    <w:uiPriority w:val="0"/>
    <w:pPr>
      <w:ind w:firstLine="0" w:firstLineChars="0"/>
    </w:pPr>
    <w:rPr>
      <w:rFonts w:ascii="仿宋" w:hAnsi="仿宋" w:eastAsia="仿宋"/>
      <w:color w:val="000000"/>
    </w:rPr>
  </w:style>
  <w:style w:type="paragraph" w:customStyle="1" w:styleId="12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130">
    <w:name w:val="apple-style-span"/>
    <w:basedOn w:val="47"/>
    <w:qFormat/>
    <w:uiPriority w:val="0"/>
  </w:style>
  <w:style w:type="paragraph" w:customStyle="1" w:styleId="131">
    <w:name w:val="Blockquote"/>
    <w:basedOn w:val="1"/>
    <w:qFormat/>
    <w:uiPriority w:val="0"/>
    <w:pPr>
      <w:autoSpaceDE w:val="0"/>
      <w:autoSpaceDN w:val="0"/>
      <w:adjustRightInd w:val="0"/>
      <w:spacing w:before="100" w:after="100"/>
      <w:ind w:left="360" w:right="360"/>
      <w:jc w:val="left"/>
    </w:pPr>
    <w:rPr>
      <w:sz w:val="24"/>
    </w:rPr>
  </w:style>
  <w:style w:type="paragraph" w:customStyle="1" w:styleId="132">
    <w:name w:val="WPSOffice手动目录 1"/>
    <w:qFormat/>
    <w:uiPriority w:val="0"/>
    <w:rPr>
      <w:rFonts w:ascii="Times New Roman" w:hAnsi="Times New Roman" w:eastAsia="宋体" w:cs="Times New Roman"/>
      <w:lang w:val="en-US" w:eastAsia="zh-CN" w:bidi="ar-SA"/>
    </w:rPr>
  </w:style>
  <w:style w:type="paragraph" w:customStyle="1" w:styleId="133">
    <w:name w:val="正文1"/>
    <w:qFormat/>
    <w:uiPriority w:val="0"/>
    <w:pPr>
      <w:widowControl w:val="0"/>
      <w:adjustRightInd w:val="0"/>
      <w:spacing w:line="318" w:lineRule="atLeast"/>
      <w:ind w:left="369" w:firstLine="369"/>
      <w:jc w:val="both"/>
      <w:textAlignment w:val="baseline"/>
    </w:pPr>
    <w:rPr>
      <w:rFonts w:ascii="宋体" w:hAnsi="Times New Roman" w:eastAsia="宋体" w:cs="Times New Roman"/>
      <w:sz w:val="21"/>
      <w:lang w:val="en-US" w:eastAsia="zh-CN" w:bidi="ar-SA"/>
    </w:rPr>
  </w:style>
  <w:style w:type="paragraph" w:customStyle="1" w:styleId="134">
    <w:name w:val="正文缩进1"/>
    <w:qFormat/>
    <w:uiPriority w:val="0"/>
    <w:pPr>
      <w:ind w:firstLine="420"/>
    </w:pPr>
    <w:rPr>
      <w:rFonts w:ascii="Times New Roman" w:hAnsi="Times New Roman" w:eastAsiaTheme="minorEastAsia" w:cstheme="minorBidi"/>
      <w:sz w:val="21"/>
      <w:lang w:val="en-US" w:eastAsia="zh-CN" w:bidi="ar-SA"/>
    </w:rPr>
  </w:style>
  <w:style w:type="paragraph" w:customStyle="1" w:styleId="135">
    <w:name w:val="正文缩进2"/>
    <w:qFormat/>
    <w:uiPriority w:val="0"/>
    <w:pPr>
      <w:ind w:firstLine="420"/>
    </w:pPr>
    <w:rPr>
      <w:rFonts w:ascii="Times New Roman" w:hAnsi="Times New Roman" w:eastAsiaTheme="minorEastAsia" w:cstheme="minorBidi"/>
      <w:sz w:val="21"/>
      <w:lang w:val="en-US" w:eastAsia="zh-CN" w:bidi="ar-SA"/>
    </w:rPr>
  </w:style>
  <w:style w:type="paragraph" w:customStyle="1" w:styleId="136">
    <w:name w:val="文章正文"/>
    <w:basedOn w:val="1"/>
    <w:qFormat/>
    <w:uiPriority w:val="99"/>
    <w:pPr>
      <w:spacing w:line="360" w:lineRule="auto"/>
      <w:ind w:firstLine="200" w:firstLineChars="200"/>
    </w:pPr>
    <w:rPr>
      <w:sz w:val="24"/>
    </w:rPr>
  </w:style>
  <w:style w:type="paragraph" w:customStyle="1" w:styleId="137">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138">
    <w:name w:val="_Style 216"/>
    <w:basedOn w:val="20"/>
    <w:next w:val="44"/>
    <w:qFormat/>
    <w:uiPriority w:val="0"/>
    <w:pPr>
      <w:ind w:firstLine="420" w:firstLineChars="200"/>
    </w:pPr>
    <w:rPr>
      <w:rFonts w:ascii="宋体" w:hAnsi="Courier New"/>
      <w:spacing w:val="-4"/>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5D46B5-AC2D-4DE6-8F93-3AD2098D0F6F}">
  <ds:schemaRefs/>
</ds:datastoreItem>
</file>

<file path=docProps/app.xml><?xml version="1.0" encoding="utf-8"?>
<Properties xmlns="http://schemas.openxmlformats.org/officeDocument/2006/extended-properties" xmlns:vt="http://schemas.openxmlformats.org/officeDocument/2006/docPropsVTypes">
  <Template>Normal</Template>
  <Company>青鸟杭办</Company>
  <Pages>61</Pages>
  <Words>19708</Words>
  <Characters>20445</Characters>
  <Lines>243</Lines>
  <Paragraphs>68</Paragraphs>
  <TotalTime>2</TotalTime>
  <ScaleCrop>false</ScaleCrop>
  <LinksUpToDate>false</LinksUpToDate>
  <CharactersWithSpaces>20536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2019-06-25T22:54:00Z</dcterms:created>
  <dc:creator>黄旭明</dc:creator>
  <cp:lastModifiedBy>斌</cp:lastModifiedBy>
  <cp:lastPrinted>2024-03-28T08:33:00Z</cp:lastPrinted>
  <dcterms:modified xsi:type="dcterms:W3CDTF">2025-03-05T01:57:37Z</dcterms:modified>
  <dc:title>宁波市鄞州区城区内河管理处工程项目设计单位年度资格入围</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75C5C726931845B28E42C07418D26341_13</vt:lpwstr>
  </property>
  <property fmtid="{D5CDD505-2E9C-101B-9397-08002B2CF9AE}" pid="4" name="KSOTemplateDocerSaveRecord">
    <vt:lpwstr>eyJoZGlkIjoiNzY3MWZhZWQ0NzIyMDJmOTFiMWM5YWI5NDkzMDUwMmEiLCJ1c2VySWQiOiIyMzIwMTE0NjkifQ==</vt:lpwstr>
  </property>
</Properties>
</file>