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09542D">
      <w:pPr>
        <w:keepNext w:val="0"/>
        <w:keepLines w:val="0"/>
        <w:pageBreakBefore w:val="0"/>
        <w:widowControl w:val="0"/>
        <w:shd w:val="clear"/>
        <w:kinsoku/>
        <w:wordWrap/>
        <w:overflowPunct/>
        <w:topLinePunct w:val="0"/>
        <w:bidi w:val="0"/>
        <w:outlineLvl w:val="9"/>
        <w:rPr>
          <w:rFonts w:ascii="宋体" w:hAnsi="宋体"/>
          <w:color w:val="auto"/>
          <w:sz w:val="44"/>
          <w:szCs w:val="20"/>
          <w:highlight w:val="none"/>
        </w:rPr>
      </w:pPr>
    </w:p>
    <w:p w14:paraId="1BBB49A7">
      <w:pPr>
        <w:keepNext w:val="0"/>
        <w:keepLines w:val="0"/>
        <w:pageBreakBefore w:val="0"/>
        <w:widowControl w:val="0"/>
        <w:shd w:val="clear"/>
        <w:kinsoku/>
        <w:wordWrap/>
        <w:overflowPunct/>
        <w:topLinePunct w:val="0"/>
        <w:bidi w:val="0"/>
        <w:outlineLvl w:val="9"/>
        <w:rPr>
          <w:rFonts w:ascii="宋体" w:hAnsi="宋体"/>
          <w:color w:val="auto"/>
          <w:sz w:val="52"/>
          <w:szCs w:val="52"/>
          <w:highlight w:val="none"/>
        </w:rPr>
      </w:pPr>
    </w:p>
    <w:p w14:paraId="463A4A20">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outlineLvl w:val="9"/>
        <w:rPr>
          <w:rFonts w:hint="eastAsia" w:ascii="方正小标宋简体" w:hAnsi="宋体" w:eastAsia="方正小标宋简体"/>
          <w:color w:val="auto"/>
          <w:sz w:val="40"/>
          <w:szCs w:val="40"/>
          <w:highlight w:val="none"/>
        </w:rPr>
      </w:pPr>
      <w:r>
        <w:rPr>
          <w:rFonts w:hint="eastAsia" w:ascii="方正小标宋简体" w:hAnsi="宋体" w:eastAsia="方正小标宋简体"/>
          <w:bCs/>
          <w:color w:val="auto"/>
          <w:sz w:val="48"/>
          <w:szCs w:val="48"/>
          <w:highlight w:val="none"/>
          <w:lang w:eastAsia="zh-CN"/>
        </w:rPr>
        <w:t>海曙区2024年度耕地保护和粮食安全考核服务项目</w:t>
      </w:r>
    </w:p>
    <w:p w14:paraId="519D65A8">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outlineLvl w:val="9"/>
        <w:rPr>
          <w:rFonts w:hint="eastAsia" w:ascii="方正小标宋简体" w:hAnsi="宋体" w:eastAsia="方正小标宋简体"/>
          <w:color w:val="auto"/>
          <w:sz w:val="40"/>
          <w:szCs w:val="40"/>
          <w:highlight w:val="none"/>
        </w:rPr>
      </w:pPr>
    </w:p>
    <w:p w14:paraId="42525ED3">
      <w:pPr>
        <w:keepNext w:val="0"/>
        <w:keepLines w:val="0"/>
        <w:pageBreakBefore w:val="0"/>
        <w:widowControl w:val="0"/>
        <w:shd w:val="clear"/>
        <w:kinsoku/>
        <w:wordWrap/>
        <w:overflowPunct/>
        <w:topLinePunct w:val="0"/>
        <w:bidi w:val="0"/>
        <w:spacing w:before="156" w:beforeLines="50"/>
        <w:jc w:val="center"/>
        <w:outlineLvl w:val="9"/>
        <w:rPr>
          <w:rFonts w:hint="eastAsia"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竞争性磋商采购文件</w:t>
      </w:r>
    </w:p>
    <w:p w14:paraId="5B1BB638">
      <w:pPr>
        <w:pStyle w:val="2"/>
        <w:keepNext w:val="0"/>
        <w:keepLines w:val="0"/>
        <w:pageBreakBefore w:val="0"/>
        <w:widowControl w:val="0"/>
        <w:kinsoku/>
        <w:wordWrap/>
        <w:overflowPunct/>
        <w:topLinePunct w:val="0"/>
        <w:bidi w:val="0"/>
        <w:outlineLvl w:val="9"/>
        <w:rPr>
          <w:color w:val="auto"/>
          <w:highlight w:val="none"/>
        </w:rPr>
      </w:pPr>
    </w:p>
    <w:p w14:paraId="2A0C00AA">
      <w:pPr>
        <w:keepNext w:val="0"/>
        <w:keepLines w:val="0"/>
        <w:pageBreakBefore w:val="0"/>
        <w:widowControl w:val="0"/>
        <w:shd w:val="clear"/>
        <w:kinsoku/>
        <w:wordWrap/>
        <w:overflowPunct/>
        <w:topLinePunct w:val="0"/>
        <w:bidi w:val="0"/>
        <w:snapToGrid w:val="0"/>
        <w:spacing w:before="120" w:after="120" w:line="360" w:lineRule="auto"/>
        <w:jc w:val="center"/>
        <w:outlineLvl w:val="9"/>
        <w:rPr>
          <w:rFonts w:ascii="宋体" w:hAnsi="宋体" w:cs="Arial"/>
          <w:bCs/>
          <w:color w:val="auto"/>
          <w:sz w:val="28"/>
          <w:szCs w:val="28"/>
          <w:highlight w:val="none"/>
        </w:rPr>
      </w:pPr>
      <w:r>
        <w:rPr>
          <w:rFonts w:hint="eastAsia" w:ascii="方正小标宋简体" w:hAnsi="宋体" w:eastAsia="方正小标宋简体"/>
          <w:bCs/>
          <w:color w:val="auto"/>
          <w:sz w:val="30"/>
          <w:szCs w:val="30"/>
          <w:highlight w:val="none"/>
        </w:rPr>
        <w:t>项目编号：</w:t>
      </w:r>
      <w:r>
        <w:rPr>
          <w:rFonts w:hint="eastAsia" w:ascii="方正小标宋简体" w:hAnsi="宋体" w:eastAsia="方正小标宋简体" w:cs="Arial"/>
          <w:bCs/>
          <w:color w:val="auto"/>
          <w:sz w:val="32"/>
          <w:szCs w:val="32"/>
          <w:highlight w:val="none"/>
          <w:lang w:eastAsia="zh-CN"/>
        </w:rPr>
        <w:t>2025NBHSWCS025</w:t>
      </w:r>
    </w:p>
    <w:p w14:paraId="696194EE">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outlineLvl w:val="9"/>
        <w:rPr>
          <w:rFonts w:ascii="宋体" w:hAnsi="宋体" w:cs="Arial"/>
          <w:bCs/>
          <w:color w:val="auto"/>
          <w:sz w:val="28"/>
          <w:szCs w:val="28"/>
          <w:highlight w:val="none"/>
        </w:rPr>
      </w:pPr>
    </w:p>
    <w:p w14:paraId="31F14E2D">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outlineLvl w:val="9"/>
        <w:rPr>
          <w:rFonts w:ascii="宋体" w:hAnsi="宋体"/>
          <w:bCs/>
          <w:color w:val="auto"/>
          <w:sz w:val="28"/>
          <w:szCs w:val="28"/>
          <w:highlight w:val="none"/>
        </w:rPr>
      </w:pPr>
    </w:p>
    <w:p w14:paraId="6FE1DB05">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outlineLvl w:val="9"/>
        <w:rPr>
          <w:rFonts w:ascii="宋体" w:hAnsi="宋体"/>
          <w:bCs/>
          <w:color w:val="auto"/>
          <w:sz w:val="28"/>
          <w:szCs w:val="28"/>
          <w:highlight w:val="none"/>
        </w:rPr>
      </w:pPr>
    </w:p>
    <w:p w14:paraId="4DE7B413">
      <w:pPr>
        <w:keepNext w:val="0"/>
        <w:keepLines w:val="0"/>
        <w:pageBreakBefore w:val="0"/>
        <w:widowControl w:val="0"/>
        <w:shd w:val="clear"/>
        <w:kinsoku/>
        <w:wordWrap/>
        <w:overflowPunct/>
        <w:topLinePunct w:val="0"/>
        <w:autoSpaceDE/>
        <w:autoSpaceDN/>
        <w:bidi w:val="0"/>
        <w:adjustRightInd/>
        <w:snapToGrid/>
        <w:spacing w:line="480" w:lineRule="auto"/>
        <w:jc w:val="left"/>
        <w:textAlignment w:val="auto"/>
        <w:outlineLvl w:val="9"/>
        <w:rPr>
          <w:rFonts w:hint="eastAsia" w:ascii="方正小标宋简体" w:hAnsi="宋体" w:eastAsia="方正小标宋简体"/>
          <w:bCs/>
          <w:color w:val="auto"/>
          <w:sz w:val="28"/>
          <w:szCs w:val="28"/>
          <w:highlight w:val="none"/>
        </w:rPr>
      </w:pPr>
    </w:p>
    <w:p w14:paraId="32ACF148">
      <w:pPr>
        <w:keepNext w:val="0"/>
        <w:keepLines w:val="0"/>
        <w:pageBreakBefore w:val="0"/>
        <w:widowControl w:val="0"/>
        <w:shd w:val="clear"/>
        <w:kinsoku/>
        <w:wordWrap/>
        <w:overflowPunct/>
        <w:topLinePunct w:val="0"/>
        <w:autoSpaceDE/>
        <w:autoSpaceDN/>
        <w:bidi w:val="0"/>
        <w:adjustRightInd/>
        <w:snapToGrid w:val="0"/>
        <w:spacing w:line="480" w:lineRule="auto"/>
        <w:ind w:left="1260" w:leftChars="600"/>
        <w:jc w:val="left"/>
        <w:textAlignment w:val="auto"/>
        <w:outlineLvl w:val="9"/>
        <w:rPr>
          <w:rFonts w:hint="eastAsia" w:ascii="方正小标宋简体" w:hAnsi="宋体" w:eastAsia="方正小标宋简体"/>
          <w:bCs/>
          <w:color w:val="auto"/>
          <w:sz w:val="30"/>
          <w:szCs w:val="30"/>
          <w:highlight w:val="none"/>
          <w:lang w:eastAsia="zh-CN"/>
        </w:rPr>
      </w:pPr>
      <w:r>
        <w:rPr>
          <w:rFonts w:hint="eastAsia" w:ascii="方正小标宋简体" w:hAnsi="宋体" w:eastAsia="方正小标宋简体"/>
          <w:bCs/>
          <w:color w:val="auto"/>
          <w:sz w:val="30"/>
          <w:szCs w:val="30"/>
          <w:highlight w:val="none"/>
        </w:rPr>
        <w:t>采购单位：</w:t>
      </w:r>
      <w:r>
        <w:rPr>
          <w:rFonts w:hint="eastAsia" w:ascii="方正小标宋简体" w:hAnsi="宋体" w:eastAsia="方正小标宋简体"/>
          <w:bCs/>
          <w:color w:val="auto"/>
          <w:sz w:val="30"/>
          <w:szCs w:val="30"/>
          <w:highlight w:val="none"/>
          <w:lang w:eastAsia="zh-CN"/>
        </w:rPr>
        <w:t>宁波市自然资源和规划局海曙分局</w:t>
      </w:r>
    </w:p>
    <w:p w14:paraId="3FA3A788">
      <w:pPr>
        <w:keepNext w:val="0"/>
        <w:keepLines w:val="0"/>
        <w:pageBreakBefore w:val="0"/>
        <w:widowControl w:val="0"/>
        <w:shd w:val="clear"/>
        <w:kinsoku/>
        <w:wordWrap/>
        <w:overflowPunct/>
        <w:topLinePunct w:val="0"/>
        <w:autoSpaceDE/>
        <w:autoSpaceDN/>
        <w:bidi w:val="0"/>
        <w:adjustRightInd/>
        <w:snapToGrid w:val="0"/>
        <w:spacing w:line="480" w:lineRule="auto"/>
        <w:ind w:left="1260" w:leftChars="600"/>
        <w:jc w:val="left"/>
        <w:textAlignment w:val="auto"/>
        <w:outlineLvl w:val="9"/>
        <w:rPr>
          <w:rFonts w:hint="eastAsia" w:ascii="方正小标宋简体" w:hAnsi="宋体" w:eastAsia="方正小标宋简体"/>
          <w:bCs/>
          <w:color w:val="auto"/>
          <w:sz w:val="30"/>
          <w:szCs w:val="30"/>
          <w:highlight w:val="none"/>
          <w:lang w:eastAsia="zh-CN"/>
        </w:rPr>
      </w:pPr>
      <w:r>
        <w:rPr>
          <w:rFonts w:hint="eastAsia" w:ascii="方正小标宋简体" w:hAnsi="宋体" w:eastAsia="方正小标宋简体"/>
          <w:bCs/>
          <w:color w:val="auto"/>
          <w:sz w:val="30"/>
          <w:szCs w:val="30"/>
          <w:highlight w:val="none"/>
        </w:rPr>
        <w:t>代理机构：</w:t>
      </w:r>
      <w:r>
        <w:rPr>
          <w:rFonts w:hint="eastAsia" w:ascii="方正小标宋简体" w:hAnsi="宋体" w:eastAsia="方正小标宋简体"/>
          <w:bCs/>
          <w:color w:val="auto"/>
          <w:sz w:val="30"/>
          <w:szCs w:val="30"/>
          <w:highlight w:val="none"/>
          <w:lang w:eastAsia="zh-CN"/>
        </w:rPr>
        <w:t>宁波之新招标咨询有限公司</w:t>
      </w:r>
    </w:p>
    <w:p w14:paraId="14A8A80B">
      <w:pPr>
        <w:keepNext w:val="0"/>
        <w:keepLines w:val="0"/>
        <w:pageBreakBefore w:val="0"/>
        <w:widowControl w:val="0"/>
        <w:shd w:val="clear"/>
        <w:kinsoku/>
        <w:wordWrap/>
        <w:overflowPunct/>
        <w:topLinePunct w:val="0"/>
        <w:autoSpaceDE/>
        <w:autoSpaceDN/>
        <w:bidi w:val="0"/>
        <w:adjustRightInd/>
        <w:snapToGrid w:val="0"/>
        <w:spacing w:line="480" w:lineRule="auto"/>
        <w:ind w:left="1260" w:leftChars="600"/>
        <w:jc w:val="left"/>
        <w:textAlignment w:val="auto"/>
        <w:outlineLvl w:val="9"/>
        <w:rPr>
          <w:rFonts w:hint="eastAsia" w:ascii="方正小标宋简体" w:hAnsi="宋体" w:eastAsia="方正小标宋简体"/>
          <w:bCs/>
          <w:color w:val="auto"/>
          <w:w w:val="95"/>
          <w:sz w:val="30"/>
          <w:szCs w:val="30"/>
          <w:highlight w:val="none"/>
        </w:rPr>
      </w:pPr>
      <w:r>
        <w:rPr>
          <w:rFonts w:hint="eastAsia" w:ascii="方正小标宋简体" w:hAnsi="宋体" w:eastAsia="方正小标宋简体"/>
          <w:bCs/>
          <w:color w:val="auto"/>
          <w:sz w:val="30"/>
          <w:szCs w:val="30"/>
          <w:highlight w:val="none"/>
        </w:rPr>
        <w:t>编制日期：</w:t>
      </w:r>
      <w:r>
        <w:rPr>
          <w:rFonts w:hint="eastAsia" w:ascii="方正小标宋简体" w:hAnsi="宋体" w:eastAsia="方正小标宋简体"/>
          <w:bCs/>
          <w:color w:val="auto"/>
          <w:w w:val="95"/>
          <w:sz w:val="30"/>
          <w:szCs w:val="30"/>
          <w:highlight w:val="none"/>
        </w:rPr>
        <w:t>202</w:t>
      </w:r>
      <w:r>
        <w:rPr>
          <w:rFonts w:hint="eastAsia" w:ascii="方正小标宋简体" w:hAnsi="宋体" w:eastAsia="方正小标宋简体"/>
          <w:bCs/>
          <w:color w:val="auto"/>
          <w:w w:val="95"/>
          <w:sz w:val="30"/>
          <w:szCs w:val="30"/>
          <w:highlight w:val="none"/>
          <w:lang w:val="en-US" w:eastAsia="zh-CN"/>
        </w:rPr>
        <w:t>5</w:t>
      </w:r>
      <w:r>
        <w:rPr>
          <w:rFonts w:hint="eastAsia" w:ascii="方正小标宋简体" w:hAnsi="宋体" w:eastAsia="方正小标宋简体"/>
          <w:bCs/>
          <w:color w:val="auto"/>
          <w:w w:val="95"/>
          <w:sz w:val="30"/>
          <w:szCs w:val="30"/>
          <w:highlight w:val="none"/>
        </w:rPr>
        <w:t>年</w:t>
      </w:r>
      <w:r>
        <w:rPr>
          <w:rFonts w:hint="eastAsia" w:ascii="方正小标宋简体" w:hAnsi="宋体" w:eastAsia="方正小标宋简体"/>
          <w:bCs/>
          <w:color w:val="auto"/>
          <w:w w:val="95"/>
          <w:sz w:val="30"/>
          <w:szCs w:val="30"/>
          <w:highlight w:val="none"/>
          <w:lang w:val="en-US" w:eastAsia="zh-CN"/>
        </w:rPr>
        <w:t>2</w:t>
      </w:r>
      <w:r>
        <w:rPr>
          <w:rFonts w:hint="eastAsia" w:ascii="方正小标宋简体" w:hAnsi="宋体" w:eastAsia="方正小标宋简体"/>
          <w:bCs/>
          <w:color w:val="auto"/>
          <w:w w:val="95"/>
          <w:sz w:val="30"/>
          <w:szCs w:val="30"/>
          <w:highlight w:val="none"/>
        </w:rPr>
        <w:t>月</w:t>
      </w:r>
    </w:p>
    <w:p w14:paraId="6CC0A9CE">
      <w:pPr>
        <w:pStyle w:val="2"/>
        <w:outlineLvl w:val="9"/>
        <w:rPr>
          <w:rFonts w:hint="eastAsia"/>
          <w:color w:val="auto"/>
          <w:highlight w:val="none"/>
        </w:rPr>
      </w:pPr>
    </w:p>
    <w:p w14:paraId="2A256435">
      <w:pPr>
        <w:outlineLvl w:val="9"/>
        <w:rPr>
          <w:color w:val="auto"/>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titlePg/>
          <w:docGrid w:type="lines" w:linePitch="312" w:charSpace="0"/>
        </w:sectPr>
      </w:pPr>
    </w:p>
    <w:p w14:paraId="042196E2">
      <w:pPr>
        <w:outlineLvl w:val="9"/>
        <w:rPr>
          <w:color w:val="auto"/>
          <w:highlight w:val="none"/>
        </w:rPr>
      </w:pPr>
    </w:p>
    <w:sdt>
      <w:sdtPr>
        <w:rPr>
          <w:rFonts w:ascii="宋体" w:hAnsi="宋体" w:eastAsia="宋体" w:cs="Times New Roman"/>
          <w:b/>
          <w:bCs/>
          <w:color w:val="auto"/>
          <w:kern w:val="2"/>
          <w:sz w:val="52"/>
          <w:szCs w:val="52"/>
          <w:highlight w:val="none"/>
          <w:lang w:val="en-US" w:eastAsia="zh-CN" w:bidi="ar-SA"/>
        </w:rPr>
        <w:id w:val="147471738"/>
        <w15:color w:val="DBDBDB"/>
        <w:docPartObj>
          <w:docPartGallery w:val="Table of Contents"/>
          <w:docPartUnique/>
        </w:docPartObj>
      </w:sdtPr>
      <w:sdtEndPr>
        <w:rPr>
          <w:rFonts w:ascii="Times New Roman" w:hAnsi="Times New Roman" w:eastAsia="宋体" w:cs="Times New Roman"/>
          <w:b/>
          <w:bCs/>
          <w:color w:val="auto"/>
          <w:kern w:val="2"/>
          <w:sz w:val="21"/>
          <w:szCs w:val="24"/>
          <w:highlight w:val="none"/>
          <w:lang w:val="en-US" w:eastAsia="zh-CN" w:bidi="ar-SA"/>
        </w:rPr>
      </w:sdtEndPr>
      <w:sdtContent>
        <w:p w14:paraId="4F6D9024">
          <w:pPr>
            <w:keepNext w:val="0"/>
            <w:keepLines w:val="0"/>
            <w:pageBreakBefore w:val="0"/>
            <w:widowControl w:val="0"/>
            <w:kinsoku/>
            <w:wordWrap/>
            <w:overflowPunct/>
            <w:topLinePunct w:val="0"/>
            <w:autoSpaceDE/>
            <w:autoSpaceDN/>
            <w:bidi w:val="0"/>
            <w:adjustRightInd/>
            <w:snapToGrid/>
            <w:spacing w:before="0" w:beforeLines="0" w:line="360" w:lineRule="auto"/>
            <w:ind w:left="0" w:leftChars="0" w:right="0" w:rightChars="0" w:firstLine="0" w:firstLineChars="0"/>
            <w:jc w:val="center"/>
            <w:textAlignment w:val="auto"/>
            <w:outlineLvl w:val="9"/>
            <w:rPr>
              <w:rFonts w:hint="eastAsia" w:ascii="宋体" w:hAnsi="宋体" w:eastAsia="宋体" w:cs="宋体"/>
              <w:color w:val="auto"/>
              <w:sz w:val="28"/>
              <w:szCs w:val="28"/>
              <w:highlight w:val="none"/>
            </w:rPr>
          </w:pPr>
          <w:r>
            <w:rPr>
              <w:rFonts w:ascii="宋体" w:hAnsi="宋体" w:eastAsia="宋体"/>
              <w:b/>
              <w:bCs/>
              <w:color w:val="auto"/>
              <w:sz w:val="52"/>
              <w:szCs w:val="52"/>
              <w:highlight w:val="none"/>
            </w:rPr>
            <w:t>目</w:t>
          </w:r>
          <w:r>
            <w:rPr>
              <w:rFonts w:hint="eastAsia" w:ascii="宋体" w:hAnsi="宋体"/>
              <w:b/>
              <w:bCs/>
              <w:color w:val="auto"/>
              <w:sz w:val="52"/>
              <w:szCs w:val="52"/>
              <w:highlight w:val="none"/>
              <w:lang w:val="en-US" w:eastAsia="zh-CN"/>
            </w:rPr>
            <w:t xml:space="preserve">   </w:t>
          </w:r>
          <w:r>
            <w:rPr>
              <w:rFonts w:ascii="宋体" w:hAnsi="宋体" w:eastAsia="宋体"/>
              <w:b/>
              <w:bCs/>
              <w:color w:val="auto"/>
              <w:sz w:val="52"/>
              <w:szCs w:val="52"/>
              <w:highlight w:val="none"/>
            </w:rPr>
            <w:t>录</w:t>
          </w:r>
        </w:p>
        <w:p w14:paraId="6A7BC8BB">
          <w:pPr>
            <w:pStyle w:val="33"/>
            <w:keepNext w:val="0"/>
            <w:keepLines w:val="0"/>
            <w:pageBreakBefore w:val="0"/>
            <w:widowControl w:val="0"/>
            <w:tabs>
              <w:tab w:val="right" w:leader="dot" w:pos="8504"/>
            </w:tabs>
            <w:kinsoku/>
            <w:wordWrap/>
            <w:overflowPunct/>
            <w:topLinePunct w:val="0"/>
            <w:autoSpaceDE/>
            <w:autoSpaceDN/>
            <w:bidi w:val="0"/>
            <w:adjustRightInd/>
            <w:spacing w:line="240" w:lineRule="auto"/>
            <w:textAlignment w:val="auto"/>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_Toc2487 </w:instrText>
          </w:r>
          <w:r>
            <w:rPr>
              <w:rFonts w:hint="eastAsia" w:ascii="宋体" w:hAnsi="宋体" w:eastAsia="宋体" w:cs="宋体"/>
              <w:color w:val="auto"/>
              <w:szCs w:val="28"/>
              <w:highlight w:val="none"/>
            </w:rPr>
            <w:fldChar w:fldCharType="separate"/>
          </w:r>
          <w:r>
            <w:rPr>
              <w:rFonts w:asciiTheme="majorEastAsia" w:hAnsiTheme="majorEastAsia" w:eastAsiaTheme="majorEastAsia"/>
              <w:bCs/>
              <w:color w:val="auto"/>
              <w:szCs w:val="40"/>
              <w:highlight w:val="none"/>
            </w:rPr>
            <w:t>第一章  竞争性磋商采购公告</w:t>
          </w:r>
          <w:r>
            <w:rPr>
              <w:color w:val="auto"/>
              <w:highlight w:val="none"/>
            </w:rPr>
            <w:tab/>
          </w:r>
          <w:r>
            <w:rPr>
              <w:color w:val="auto"/>
              <w:highlight w:val="none"/>
            </w:rPr>
            <w:fldChar w:fldCharType="begin"/>
          </w:r>
          <w:r>
            <w:rPr>
              <w:color w:val="auto"/>
              <w:highlight w:val="none"/>
            </w:rPr>
            <w:instrText xml:space="preserve"> PAGEREF _Toc2487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8"/>
              <w:highlight w:val="none"/>
            </w:rPr>
            <w:fldChar w:fldCharType="end"/>
          </w:r>
        </w:p>
        <w:p w14:paraId="6AE66AEB">
          <w:pPr>
            <w:pStyle w:val="33"/>
            <w:keepNext w:val="0"/>
            <w:keepLines w:val="0"/>
            <w:pageBreakBefore w:val="0"/>
            <w:widowControl w:val="0"/>
            <w:tabs>
              <w:tab w:val="right" w:leader="dot" w:pos="8504"/>
            </w:tabs>
            <w:kinsoku/>
            <w:wordWrap/>
            <w:overflowPunct/>
            <w:topLinePunct w:val="0"/>
            <w:autoSpaceDE/>
            <w:autoSpaceDN/>
            <w:bidi w:val="0"/>
            <w:adjustRightInd/>
            <w:spacing w:line="240"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_Toc16919 </w:instrText>
          </w:r>
          <w:r>
            <w:rPr>
              <w:rFonts w:hint="eastAsia" w:ascii="宋体" w:hAnsi="宋体" w:eastAsia="宋体" w:cs="宋体"/>
              <w:color w:val="auto"/>
              <w:szCs w:val="28"/>
              <w:highlight w:val="none"/>
            </w:rPr>
            <w:fldChar w:fldCharType="separate"/>
          </w:r>
          <w:r>
            <w:rPr>
              <w:rFonts w:cs="Times New Roman" w:asciiTheme="majorEastAsia" w:hAnsiTheme="majorEastAsia" w:eastAsiaTheme="majorEastAsia"/>
              <w:bCs/>
              <w:color w:val="auto"/>
              <w:szCs w:val="40"/>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_Toc16919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8"/>
              <w:highlight w:val="none"/>
            </w:rPr>
            <w:fldChar w:fldCharType="end"/>
          </w:r>
        </w:p>
        <w:p w14:paraId="51D64A65">
          <w:pPr>
            <w:pStyle w:val="33"/>
            <w:keepNext w:val="0"/>
            <w:keepLines w:val="0"/>
            <w:pageBreakBefore w:val="0"/>
            <w:widowControl w:val="0"/>
            <w:tabs>
              <w:tab w:val="right" w:leader="dot" w:pos="8504"/>
            </w:tabs>
            <w:kinsoku/>
            <w:wordWrap/>
            <w:overflowPunct/>
            <w:topLinePunct w:val="0"/>
            <w:autoSpaceDE/>
            <w:autoSpaceDN/>
            <w:bidi w:val="0"/>
            <w:adjustRightInd/>
            <w:spacing w:line="240"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_Toc27001 </w:instrText>
          </w:r>
          <w:r>
            <w:rPr>
              <w:rFonts w:hint="eastAsia" w:ascii="宋体" w:hAnsi="宋体" w:eastAsia="宋体" w:cs="宋体"/>
              <w:color w:val="auto"/>
              <w:szCs w:val="28"/>
              <w:highlight w:val="none"/>
            </w:rPr>
            <w:fldChar w:fldCharType="separate"/>
          </w:r>
          <w:r>
            <w:rPr>
              <w:rFonts w:cs="Times New Roman" w:asciiTheme="majorEastAsia" w:hAnsiTheme="majorEastAsia" w:eastAsiaTheme="majorEastAsia"/>
              <w:bCs/>
              <w:color w:val="auto"/>
              <w:szCs w:val="40"/>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_Toc27001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8"/>
              <w:highlight w:val="none"/>
            </w:rPr>
            <w:fldChar w:fldCharType="end"/>
          </w:r>
        </w:p>
        <w:p w14:paraId="5BC77E8A">
          <w:pPr>
            <w:pStyle w:val="33"/>
            <w:keepNext w:val="0"/>
            <w:keepLines w:val="0"/>
            <w:pageBreakBefore w:val="0"/>
            <w:widowControl w:val="0"/>
            <w:tabs>
              <w:tab w:val="right" w:leader="dot" w:pos="8504"/>
            </w:tabs>
            <w:kinsoku/>
            <w:wordWrap/>
            <w:overflowPunct/>
            <w:topLinePunct w:val="0"/>
            <w:autoSpaceDE/>
            <w:autoSpaceDN/>
            <w:bidi w:val="0"/>
            <w:adjustRightInd/>
            <w:spacing w:line="240"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_Toc29249 </w:instrText>
          </w:r>
          <w:r>
            <w:rPr>
              <w:rFonts w:hint="eastAsia" w:ascii="宋体" w:hAnsi="宋体" w:eastAsia="宋体" w:cs="宋体"/>
              <w:color w:val="auto"/>
              <w:szCs w:val="28"/>
              <w:highlight w:val="none"/>
            </w:rPr>
            <w:fldChar w:fldCharType="separate"/>
          </w:r>
          <w:r>
            <w:rPr>
              <w:rFonts w:cs="Times New Roman" w:asciiTheme="majorEastAsia" w:hAnsiTheme="majorEastAsia" w:eastAsiaTheme="majorEastAsia"/>
              <w:bCs/>
              <w:color w:val="auto"/>
              <w:szCs w:val="40"/>
              <w:highlight w:val="none"/>
            </w:rPr>
            <w:t>第四章  评审办法及评分标准</w:t>
          </w:r>
          <w:r>
            <w:rPr>
              <w:color w:val="auto"/>
              <w:highlight w:val="none"/>
            </w:rPr>
            <w:tab/>
          </w:r>
          <w:r>
            <w:rPr>
              <w:color w:val="auto"/>
              <w:highlight w:val="none"/>
            </w:rPr>
            <w:fldChar w:fldCharType="begin"/>
          </w:r>
          <w:r>
            <w:rPr>
              <w:color w:val="auto"/>
              <w:highlight w:val="none"/>
            </w:rPr>
            <w:instrText xml:space="preserve"> PAGEREF _Toc29249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8"/>
              <w:highlight w:val="none"/>
            </w:rPr>
            <w:fldChar w:fldCharType="end"/>
          </w:r>
        </w:p>
        <w:p w14:paraId="47D37380">
          <w:pPr>
            <w:pStyle w:val="33"/>
            <w:keepNext w:val="0"/>
            <w:keepLines w:val="0"/>
            <w:pageBreakBefore w:val="0"/>
            <w:widowControl w:val="0"/>
            <w:tabs>
              <w:tab w:val="right" w:leader="dot" w:pos="8504"/>
            </w:tabs>
            <w:kinsoku/>
            <w:wordWrap/>
            <w:overflowPunct/>
            <w:topLinePunct w:val="0"/>
            <w:autoSpaceDE/>
            <w:autoSpaceDN/>
            <w:bidi w:val="0"/>
            <w:adjustRightInd/>
            <w:spacing w:line="240"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_Toc18899 </w:instrText>
          </w:r>
          <w:r>
            <w:rPr>
              <w:rFonts w:hint="eastAsia" w:ascii="宋体" w:hAnsi="宋体" w:eastAsia="宋体" w:cs="宋体"/>
              <w:color w:val="auto"/>
              <w:szCs w:val="28"/>
              <w:highlight w:val="none"/>
            </w:rPr>
            <w:fldChar w:fldCharType="separate"/>
          </w:r>
          <w:r>
            <w:rPr>
              <w:rFonts w:cs="Times New Roman" w:asciiTheme="majorEastAsia" w:hAnsiTheme="majorEastAsia" w:eastAsiaTheme="majorEastAsia"/>
              <w:bCs/>
              <w:color w:val="auto"/>
              <w:szCs w:val="40"/>
              <w:highlight w:val="none"/>
            </w:rPr>
            <w:t xml:space="preserve">第五章  </w:t>
          </w:r>
          <w:r>
            <w:rPr>
              <w:rFonts w:hint="eastAsia" w:cs="Times New Roman" w:asciiTheme="majorEastAsia" w:hAnsiTheme="majorEastAsia" w:eastAsiaTheme="majorEastAsia"/>
              <w:bCs/>
              <w:color w:val="auto"/>
              <w:szCs w:val="40"/>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_Toc18899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28"/>
              <w:highlight w:val="none"/>
            </w:rPr>
            <w:fldChar w:fldCharType="end"/>
          </w:r>
        </w:p>
        <w:p w14:paraId="70C53237">
          <w:pPr>
            <w:pStyle w:val="33"/>
            <w:keepNext w:val="0"/>
            <w:keepLines w:val="0"/>
            <w:pageBreakBefore w:val="0"/>
            <w:widowControl w:val="0"/>
            <w:tabs>
              <w:tab w:val="right" w:leader="dot" w:pos="8504"/>
            </w:tabs>
            <w:kinsoku/>
            <w:wordWrap/>
            <w:overflowPunct/>
            <w:topLinePunct w:val="0"/>
            <w:autoSpaceDE/>
            <w:autoSpaceDN/>
            <w:bidi w:val="0"/>
            <w:adjustRightInd/>
            <w:spacing w:line="240" w:lineRule="auto"/>
            <w:textAlignment w:val="auto"/>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_Toc24904 </w:instrText>
          </w:r>
          <w:r>
            <w:rPr>
              <w:rFonts w:hint="eastAsia" w:ascii="宋体" w:hAnsi="宋体" w:eastAsia="宋体" w:cs="宋体"/>
              <w:color w:val="auto"/>
              <w:szCs w:val="28"/>
              <w:highlight w:val="none"/>
            </w:rPr>
            <w:fldChar w:fldCharType="separate"/>
          </w:r>
          <w:r>
            <w:rPr>
              <w:rFonts w:cs="Times New Roman" w:asciiTheme="majorEastAsia" w:hAnsiTheme="majorEastAsia" w:eastAsiaTheme="majorEastAsia"/>
              <w:bCs/>
              <w:color w:val="auto"/>
              <w:szCs w:val="40"/>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_Toc24904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szCs w:val="28"/>
              <w:highlight w:val="none"/>
            </w:rPr>
            <w:fldChar w:fldCharType="end"/>
          </w:r>
        </w:p>
        <w:p w14:paraId="73688B6F">
          <w:pPr>
            <w:keepNext w:val="0"/>
            <w:keepLines w:val="0"/>
            <w:pageBreakBefore w:val="0"/>
            <w:widowControl w:val="0"/>
            <w:shd w:val="clear"/>
            <w:kinsoku/>
            <w:wordWrap/>
            <w:overflowPunct/>
            <w:topLinePunct w:val="0"/>
            <w:autoSpaceDE/>
            <w:autoSpaceDN/>
            <w:bidi w:val="0"/>
            <w:adjustRightInd/>
            <w:snapToGrid w:val="0"/>
            <w:spacing w:line="240" w:lineRule="auto"/>
            <w:ind w:left="1260" w:leftChars="600"/>
            <w:jc w:val="left"/>
            <w:textAlignment w:val="auto"/>
            <w:outlineLvl w:val="9"/>
            <w:rPr>
              <w:color w:val="auto"/>
              <w:highlight w:val="none"/>
            </w:rPr>
          </w:pPr>
          <w:r>
            <w:rPr>
              <w:rFonts w:hint="eastAsia" w:ascii="宋体" w:hAnsi="宋体" w:eastAsia="宋体" w:cs="宋体"/>
              <w:color w:val="auto"/>
              <w:szCs w:val="28"/>
              <w:highlight w:val="none"/>
            </w:rPr>
            <w:fldChar w:fldCharType="end"/>
          </w:r>
          <w:bookmarkStart w:id="0" w:name="_Toc10077"/>
          <w:bookmarkStart w:id="1" w:name="_Toc522013502"/>
        </w:p>
      </w:sdtContent>
    </w:sdt>
    <w:p w14:paraId="57E8029D">
      <w:pPr>
        <w:keepNext w:val="0"/>
        <w:keepLines w:val="0"/>
        <w:pageBreakBefore w:val="0"/>
        <w:widowControl w:val="0"/>
        <w:shd w:val="clear"/>
        <w:kinsoku/>
        <w:wordWrap/>
        <w:overflowPunct/>
        <w:topLinePunct w:val="0"/>
        <w:autoSpaceDE/>
        <w:autoSpaceDN/>
        <w:bidi w:val="0"/>
        <w:adjustRightInd/>
        <w:snapToGrid w:val="0"/>
        <w:spacing w:line="480" w:lineRule="auto"/>
        <w:jc w:val="center"/>
        <w:textAlignment w:val="auto"/>
        <w:outlineLvl w:val="9"/>
        <w:rPr>
          <w:rFonts w:asciiTheme="majorEastAsia" w:hAnsiTheme="majorEastAsia" w:eastAsiaTheme="majorEastAsia"/>
          <w:color w:val="auto"/>
          <w:sz w:val="28"/>
          <w:szCs w:val="36"/>
          <w:highlight w:val="none"/>
        </w:rPr>
        <w:sectPr>
          <w:footerReference r:id="rId8" w:type="first"/>
          <w:footerReference r:id="rId7" w:type="default"/>
          <w:pgSz w:w="11906" w:h="16838"/>
          <w:pgMar w:top="1440" w:right="1701" w:bottom="1440" w:left="1701"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3040C156">
      <w:pPr>
        <w:keepNext w:val="0"/>
        <w:keepLines w:val="0"/>
        <w:pageBreakBefore w:val="0"/>
        <w:widowControl w:val="0"/>
        <w:shd w:val="clear"/>
        <w:kinsoku/>
        <w:wordWrap/>
        <w:overflowPunct/>
        <w:topLinePunct w:val="0"/>
        <w:autoSpaceDE/>
        <w:autoSpaceDN/>
        <w:bidi w:val="0"/>
        <w:adjustRightInd/>
        <w:snapToGrid/>
        <w:spacing w:after="330" w:line="480" w:lineRule="auto"/>
        <w:jc w:val="center"/>
        <w:textAlignment w:val="auto"/>
        <w:outlineLvl w:val="0"/>
        <w:rPr>
          <w:rFonts w:asciiTheme="majorEastAsia" w:hAnsiTheme="majorEastAsia" w:eastAsiaTheme="majorEastAsia"/>
          <w:b/>
          <w:bCs/>
          <w:color w:val="auto"/>
          <w:sz w:val="32"/>
          <w:szCs w:val="32"/>
          <w:highlight w:val="none"/>
        </w:rPr>
      </w:pPr>
      <w:bookmarkStart w:id="2" w:name="_Toc2487"/>
      <w:r>
        <w:rPr>
          <w:rFonts w:asciiTheme="majorEastAsia" w:hAnsiTheme="majorEastAsia" w:eastAsiaTheme="majorEastAsia"/>
          <w:b/>
          <w:bCs/>
          <w:color w:val="auto"/>
          <w:sz w:val="32"/>
          <w:szCs w:val="40"/>
          <w:highlight w:val="none"/>
        </w:rPr>
        <w:t>第一章  竞争性磋商采购公告</w:t>
      </w:r>
      <w:bookmarkEnd w:id="0"/>
      <w:bookmarkEnd w:id="1"/>
      <w:bookmarkEnd w:id="2"/>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B36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EFE44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color w:val="auto"/>
                <w:kern w:val="0"/>
                <w:sz w:val="21"/>
                <w:szCs w:val="21"/>
                <w:highlight w:val="none"/>
                <w:lang w:val="en-US" w:eastAsia="zh-CN" w:bidi="ar"/>
              </w:rPr>
            </w:pPr>
            <w:bookmarkStart w:id="3" w:name="_Toc522013503"/>
            <w:r>
              <w:rPr>
                <w:rFonts w:hint="eastAsia" w:ascii="宋体" w:hAnsi="宋体" w:eastAsia="宋体" w:cs="宋体"/>
                <w:i w:val="0"/>
                <w:iCs w:val="0"/>
                <w:caps w:val="0"/>
                <w:color w:val="auto"/>
                <w:spacing w:val="0"/>
                <w:kern w:val="0"/>
                <w:sz w:val="21"/>
                <w:szCs w:val="21"/>
                <w:highlight w:val="none"/>
                <w:lang w:val="en-US" w:eastAsia="zh-CN" w:bidi="ar"/>
              </w:rPr>
              <w:t>项目概况</w:t>
            </w:r>
          </w:p>
          <w:p w14:paraId="037CA0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vertAlign w:val="baseline"/>
                <w:lang w:val="en-US" w:eastAsia="zh-CN" w:bidi="ar"/>
              </w:rPr>
            </w:pPr>
            <w:r>
              <w:rPr>
                <w:rFonts w:hint="eastAsia" w:ascii="宋体" w:hAnsi="宋体" w:cs="宋体"/>
                <w:i w:val="0"/>
                <w:iCs w:val="0"/>
                <w:caps w:val="0"/>
                <w:color w:val="auto"/>
                <w:spacing w:val="0"/>
                <w:kern w:val="0"/>
                <w:sz w:val="21"/>
                <w:szCs w:val="21"/>
                <w:highlight w:val="none"/>
                <w:lang w:val="en-US" w:eastAsia="zh-CN" w:bidi="ar"/>
              </w:rPr>
              <w:t>海曙区2024年度耕地保护和粮食安全考核服务项目</w:t>
            </w:r>
            <w:r>
              <w:rPr>
                <w:rFonts w:hint="eastAsia" w:ascii="宋体" w:hAnsi="宋体" w:eastAsia="宋体" w:cs="宋体"/>
                <w:i w:val="0"/>
                <w:iCs w:val="0"/>
                <w:caps w:val="0"/>
                <w:color w:val="auto"/>
                <w:spacing w:val="0"/>
                <w:kern w:val="0"/>
                <w:sz w:val="21"/>
                <w:szCs w:val="21"/>
                <w:highlight w:val="none"/>
                <w:lang w:val="en-US" w:eastAsia="zh-CN" w:bidi="ar"/>
              </w:rPr>
              <w:t>的潜在供应商应在浙江政府采购云平台（http://www.zcygov.cn/）获取（下载）采购文件，并于</w:t>
            </w:r>
            <w:r>
              <w:rPr>
                <w:rFonts w:hint="eastAsia" w:ascii="宋体" w:hAnsi="宋体" w:cs="宋体"/>
                <w:i w:val="0"/>
                <w:iCs w:val="0"/>
                <w:caps w:val="0"/>
                <w:color w:val="auto"/>
                <w:spacing w:val="0"/>
                <w:kern w:val="0"/>
                <w:sz w:val="21"/>
                <w:szCs w:val="21"/>
                <w:highlight w:val="none"/>
                <w:lang w:val="en-US" w:eastAsia="zh-CN" w:bidi="ar"/>
              </w:rPr>
              <w:t xml:space="preserve">2025年 2 </w:t>
            </w:r>
            <w:r>
              <w:rPr>
                <w:rFonts w:hint="eastAsia" w:ascii="宋体" w:hAnsi="宋体" w:eastAsia="宋体" w:cs="宋体"/>
                <w:i w:val="0"/>
                <w:iCs w:val="0"/>
                <w:caps w:val="0"/>
                <w:color w:val="auto"/>
                <w:spacing w:val="0"/>
                <w:kern w:val="0"/>
                <w:sz w:val="21"/>
                <w:szCs w:val="21"/>
                <w:highlight w:val="none"/>
                <w:lang w:val="en-US" w:eastAsia="zh-CN" w:bidi="ar"/>
              </w:rPr>
              <w:t>月</w:t>
            </w:r>
            <w:r>
              <w:rPr>
                <w:rFonts w:hint="eastAsia" w:ascii="宋体" w:hAnsi="宋体" w:cs="宋体"/>
                <w:i w:val="0"/>
                <w:iCs w:val="0"/>
                <w:caps w:val="0"/>
                <w:color w:val="auto"/>
                <w:spacing w:val="0"/>
                <w:kern w:val="0"/>
                <w:sz w:val="21"/>
                <w:szCs w:val="21"/>
                <w:highlight w:val="none"/>
                <w:lang w:val="en-US" w:eastAsia="zh-CN" w:bidi="ar"/>
              </w:rPr>
              <w:t xml:space="preserve"> 27 </w:t>
            </w:r>
            <w:r>
              <w:rPr>
                <w:rFonts w:hint="eastAsia" w:ascii="宋体" w:hAnsi="宋体" w:eastAsia="宋体" w:cs="宋体"/>
                <w:i w:val="0"/>
                <w:iCs w:val="0"/>
                <w:caps w:val="0"/>
                <w:color w:val="auto"/>
                <w:spacing w:val="0"/>
                <w:kern w:val="0"/>
                <w:sz w:val="21"/>
                <w:szCs w:val="21"/>
                <w:highlight w:val="none"/>
                <w:lang w:val="en-US" w:eastAsia="zh-CN" w:bidi="ar"/>
              </w:rPr>
              <w:t>日</w:t>
            </w:r>
            <w:r>
              <w:rPr>
                <w:rFonts w:hint="eastAsia" w:ascii="宋体" w:hAnsi="宋体" w:cs="宋体"/>
                <w:i w:val="0"/>
                <w:iCs w:val="0"/>
                <w:caps w:val="0"/>
                <w:color w:val="auto"/>
                <w:spacing w:val="0"/>
                <w:kern w:val="0"/>
                <w:sz w:val="21"/>
                <w:szCs w:val="21"/>
                <w:highlight w:val="none"/>
                <w:lang w:val="en-US" w:eastAsia="zh-CN" w:bidi="ar"/>
              </w:rPr>
              <w:t xml:space="preserve"> 9 </w:t>
            </w:r>
            <w:r>
              <w:rPr>
                <w:rFonts w:hint="eastAsia" w:ascii="宋体" w:hAnsi="宋体" w:eastAsia="宋体" w:cs="宋体"/>
                <w:i w:val="0"/>
                <w:iCs w:val="0"/>
                <w:caps w:val="0"/>
                <w:color w:val="auto"/>
                <w:spacing w:val="0"/>
                <w:kern w:val="0"/>
                <w:sz w:val="21"/>
                <w:szCs w:val="21"/>
                <w:highlight w:val="none"/>
                <w:lang w:val="en-US" w:eastAsia="zh-CN" w:bidi="ar"/>
              </w:rPr>
              <w:t>:</w:t>
            </w:r>
            <w:r>
              <w:rPr>
                <w:rFonts w:hint="eastAsia" w:ascii="宋体" w:hAnsi="宋体" w:cs="宋体"/>
                <w:i w:val="0"/>
                <w:iCs w:val="0"/>
                <w:caps w:val="0"/>
                <w:color w:val="auto"/>
                <w:spacing w:val="0"/>
                <w:kern w:val="0"/>
                <w:sz w:val="21"/>
                <w:szCs w:val="21"/>
                <w:highlight w:val="none"/>
                <w:lang w:val="en-US" w:eastAsia="zh-CN" w:bidi="ar"/>
              </w:rPr>
              <w:t>3</w:t>
            </w:r>
            <w:r>
              <w:rPr>
                <w:rFonts w:hint="eastAsia" w:ascii="宋体" w:hAnsi="宋体" w:eastAsia="宋体" w:cs="宋体"/>
                <w:i w:val="0"/>
                <w:iCs w:val="0"/>
                <w:caps w:val="0"/>
                <w:color w:val="auto"/>
                <w:spacing w:val="0"/>
                <w:kern w:val="0"/>
                <w:sz w:val="21"/>
                <w:szCs w:val="21"/>
                <w:highlight w:val="none"/>
                <w:lang w:val="en-US" w:eastAsia="zh-CN" w:bidi="ar"/>
              </w:rPr>
              <w:t>0（北京时间）前提交（上传）响应文件。</w:t>
            </w:r>
          </w:p>
        </w:tc>
      </w:tr>
    </w:tbl>
    <w:p w14:paraId="34727FAB">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一、项目基本情况</w:t>
      </w:r>
    </w:p>
    <w:p w14:paraId="0B679E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项目编号：</w:t>
      </w:r>
      <w:r>
        <w:rPr>
          <w:rFonts w:hint="eastAsia" w:ascii="宋体" w:hAnsi="宋体" w:cs="宋体"/>
          <w:i w:val="0"/>
          <w:iCs w:val="0"/>
          <w:caps w:val="0"/>
          <w:color w:val="auto"/>
          <w:spacing w:val="0"/>
          <w:kern w:val="0"/>
          <w:sz w:val="21"/>
          <w:szCs w:val="21"/>
          <w:highlight w:val="none"/>
          <w:lang w:val="en-US" w:eastAsia="zh-CN" w:bidi="ar"/>
        </w:rPr>
        <w:t>2025NBHSWCS025</w:t>
      </w:r>
    </w:p>
    <w:p w14:paraId="5BA97B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项目名称：</w:t>
      </w:r>
      <w:r>
        <w:rPr>
          <w:rFonts w:hint="eastAsia" w:ascii="宋体" w:hAnsi="宋体" w:cs="宋体"/>
          <w:i w:val="0"/>
          <w:iCs w:val="0"/>
          <w:caps w:val="0"/>
          <w:color w:val="auto"/>
          <w:spacing w:val="0"/>
          <w:kern w:val="0"/>
          <w:sz w:val="21"/>
          <w:szCs w:val="21"/>
          <w:highlight w:val="none"/>
          <w:lang w:val="en-US" w:eastAsia="zh-CN" w:bidi="ar"/>
        </w:rPr>
        <w:t>海曙区2024年度耕地保护和粮食安全考核服务项目</w:t>
      </w:r>
    </w:p>
    <w:p w14:paraId="597191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采购方式：竞争性磋商</w:t>
      </w:r>
    </w:p>
    <w:p w14:paraId="7D28E6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预算金额：</w:t>
      </w:r>
      <w:r>
        <w:rPr>
          <w:rFonts w:hint="eastAsia" w:ascii="宋体" w:hAnsi="宋体" w:cs="宋体"/>
          <w:i w:val="0"/>
          <w:iCs w:val="0"/>
          <w:caps w:val="0"/>
          <w:color w:val="auto"/>
          <w:spacing w:val="0"/>
          <w:kern w:val="0"/>
          <w:sz w:val="21"/>
          <w:szCs w:val="21"/>
          <w:highlight w:val="none"/>
          <w:lang w:val="en-US" w:eastAsia="zh-CN" w:bidi="ar"/>
        </w:rPr>
        <w:t>600000元</w:t>
      </w:r>
    </w:p>
    <w:p w14:paraId="10D14C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最高限价：</w:t>
      </w:r>
      <w:r>
        <w:rPr>
          <w:rFonts w:hint="eastAsia" w:ascii="宋体" w:hAnsi="宋体" w:cs="宋体"/>
          <w:i w:val="0"/>
          <w:iCs w:val="0"/>
          <w:caps w:val="0"/>
          <w:color w:val="auto"/>
          <w:spacing w:val="0"/>
          <w:kern w:val="0"/>
          <w:sz w:val="21"/>
          <w:szCs w:val="21"/>
          <w:highlight w:val="none"/>
          <w:lang w:val="en-US" w:eastAsia="zh-CN" w:bidi="ar"/>
        </w:rPr>
        <w:t>600000元</w:t>
      </w:r>
    </w:p>
    <w:p w14:paraId="0B42A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采购需求：</w:t>
      </w:r>
    </w:p>
    <w:p w14:paraId="1DF8C6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420" w:firstLineChars="200"/>
        <w:jc w:val="left"/>
        <w:textAlignment w:val="auto"/>
        <w:outlineLvl w:val="9"/>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数量：</w:t>
      </w:r>
      <w:r>
        <w:rPr>
          <w:rFonts w:hint="eastAsia" w:ascii="宋体" w:hAnsi="宋体" w:cs="宋体"/>
          <w:i w:val="0"/>
          <w:iCs w:val="0"/>
          <w:caps w:val="0"/>
          <w:color w:val="auto"/>
          <w:spacing w:val="0"/>
          <w:kern w:val="0"/>
          <w:sz w:val="21"/>
          <w:szCs w:val="21"/>
          <w:highlight w:val="none"/>
          <w:lang w:val="en-US" w:eastAsia="zh-CN" w:bidi="ar"/>
        </w:rPr>
        <w:t>不限</w:t>
      </w:r>
    </w:p>
    <w:p w14:paraId="79AE9E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预算金额（元）：</w:t>
      </w:r>
      <w:r>
        <w:rPr>
          <w:rFonts w:hint="eastAsia" w:ascii="宋体" w:hAnsi="宋体" w:cs="宋体"/>
          <w:i w:val="0"/>
          <w:iCs w:val="0"/>
          <w:caps w:val="0"/>
          <w:color w:val="auto"/>
          <w:spacing w:val="0"/>
          <w:kern w:val="0"/>
          <w:sz w:val="21"/>
          <w:szCs w:val="21"/>
          <w:highlight w:val="none"/>
          <w:lang w:val="en-US" w:eastAsia="zh-CN" w:bidi="ar"/>
        </w:rPr>
        <w:t>600000元</w:t>
      </w:r>
    </w:p>
    <w:p w14:paraId="7AD29F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单位：</w:t>
      </w:r>
      <w:r>
        <w:rPr>
          <w:rFonts w:hint="eastAsia" w:ascii="宋体" w:hAnsi="宋体" w:cs="宋体"/>
          <w:i w:val="0"/>
          <w:iCs w:val="0"/>
          <w:caps w:val="0"/>
          <w:color w:val="auto"/>
          <w:spacing w:val="0"/>
          <w:kern w:val="0"/>
          <w:sz w:val="21"/>
          <w:szCs w:val="21"/>
          <w:highlight w:val="none"/>
          <w:lang w:val="en-US" w:eastAsia="zh-CN" w:bidi="ar"/>
        </w:rPr>
        <w:t>个</w:t>
      </w:r>
    </w:p>
    <w:p w14:paraId="30525F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简要规格描述：</w:t>
      </w:r>
      <w:r>
        <w:rPr>
          <w:rFonts w:hint="eastAsia" w:ascii="宋体" w:hAnsi="宋体" w:eastAsia="宋体" w:cs="宋体"/>
          <w:color w:val="auto"/>
          <w:highlight w:val="none"/>
        </w:rPr>
        <w:t>完成海曙区</w:t>
      </w:r>
      <w:r>
        <w:rPr>
          <w:rFonts w:hint="eastAsia" w:ascii="宋体" w:hAnsi="宋体" w:cs="宋体"/>
          <w:color w:val="auto"/>
          <w:highlight w:val="none"/>
          <w:lang w:eastAsia="zh-CN"/>
        </w:rPr>
        <w:t>耕地保护考核工作内容的服务</w:t>
      </w:r>
      <w:r>
        <w:rPr>
          <w:rFonts w:hint="eastAsia" w:ascii="宋体" w:hAnsi="宋体" w:eastAsia="宋体" w:cs="宋体"/>
          <w:color w:val="auto"/>
          <w:highlight w:val="none"/>
          <w:lang w:eastAsia="zh-CN"/>
        </w:rPr>
        <w:t>，主要涉及</w:t>
      </w:r>
      <w:r>
        <w:rPr>
          <w:rFonts w:hint="eastAsia" w:ascii="宋体" w:hAnsi="宋体" w:eastAsia="宋体" w:cs="宋体"/>
          <w:color w:val="auto"/>
          <w:highlight w:val="none"/>
        </w:rPr>
        <w:t>耕地保有量、永久基本农田保有量、“多田套合”农用地布局优化等主要目标</w:t>
      </w:r>
      <w:r>
        <w:rPr>
          <w:rFonts w:hint="eastAsia" w:ascii="宋体" w:hAnsi="宋体" w:eastAsia="宋体" w:cs="宋体"/>
          <w:i w:val="0"/>
          <w:iCs w:val="0"/>
          <w:caps w:val="0"/>
          <w:color w:val="auto"/>
          <w:spacing w:val="0"/>
          <w:kern w:val="0"/>
          <w:sz w:val="21"/>
          <w:szCs w:val="21"/>
          <w:highlight w:val="none"/>
          <w:lang w:val="en-US" w:eastAsia="zh-CN" w:bidi="ar"/>
        </w:rPr>
        <w:t>。详见竞争性磋商文件第二章</w:t>
      </w:r>
    </w:p>
    <w:p w14:paraId="2F9608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备注：</w:t>
      </w:r>
      <w:r>
        <w:rPr>
          <w:rFonts w:hint="eastAsia" w:ascii="宋体" w:hAnsi="宋体" w:cs="宋体"/>
          <w:i w:val="0"/>
          <w:iCs w:val="0"/>
          <w:caps w:val="0"/>
          <w:color w:val="auto"/>
          <w:spacing w:val="0"/>
          <w:kern w:val="0"/>
          <w:sz w:val="21"/>
          <w:szCs w:val="21"/>
          <w:highlight w:val="none"/>
          <w:lang w:val="en-US" w:eastAsia="zh-CN" w:bidi="ar"/>
        </w:rPr>
        <w:t>若联合体响应的，须由联合体牵头人派遣项目负责人。联合体成员总数量最多2名，响应文件中须提供联合体协议，并明确联合体牵头人，联合体各方在同一采购项目中以自己名义单独响应或者参加其他联合体响应的，相关响应均无效。</w:t>
      </w:r>
    </w:p>
    <w:p w14:paraId="46D934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合同履约期限：标项一，自合同生效之日至合同全部权利义务履行完毕之日止</w:t>
      </w:r>
      <w:r>
        <w:rPr>
          <w:rFonts w:hint="eastAsia" w:ascii="宋体" w:hAnsi="宋体" w:cs="宋体"/>
          <w:i w:val="0"/>
          <w:iCs w:val="0"/>
          <w:caps w:val="0"/>
          <w:color w:val="auto"/>
          <w:spacing w:val="0"/>
          <w:kern w:val="0"/>
          <w:sz w:val="21"/>
          <w:szCs w:val="21"/>
          <w:highlight w:val="none"/>
          <w:lang w:val="en-US" w:eastAsia="zh-CN" w:bidi="ar"/>
        </w:rPr>
        <w:t>。</w:t>
      </w:r>
    </w:p>
    <w:p w14:paraId="4D14C8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本项目（</w:t>
      </w:r>
      <w:r>
        <w:rPr>
          <w:rFonts w:hint="eastAsia" w:ascii="宋体" w:hAnsi="宋体" w:cs="宋体"/>
          <w:i w:val="0"/>
          <w:iCs w:val="0"/>
          <w:caps w:val="0"/>
          <w:color w:val="auto"/>
          <w:spacing w:val="0"/>
          <w:kern w:val="0"/>
          <w:sz w:val="21"/>
          <w:szCs w:val="21"/>
          <w:highlight w:val="none"/>
          <w:lang w:val="en-US" w:eastAsia="zh-CN" w:bidi="ar"/>
        </w:rPr>
        <w:t>是</w:t>
      </w:r>
      <w:r>
        <w:rPr>
          <w:rFonts w:hint="eastAsia" w:ascii="宋体" w:hAnsi="宋体" w:eastAsia="宋体" w:cs="宋体"/>
          <w:i w:val="0"/>
          <w:iCs w:val="0"/>
          <w:caps w:val="0"/>
          <w:color w:val="auto"/>
          <w:spacing w:val="0"/>
          <w:kern w:val="0"/>
          <w:sz w:val="21"/>
          <w:szCs w:val="21"/>
          <w:highlight w:val="none"/>
          <w:lang w:val="en-US" w:eastAsia="zh-CN" w:bidi="ar"/>
        </w:rPr>
        <w:t>）接受联合体投标。</w:t>
      </w:r>
    </w:p>
    <w:p w14:paraId="07380423">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二、申请人的资格要求：</w:t>
      </w:r>
    </w:p>
    <w:p w14:paraId="113AD6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满足《中华人民共和国政府采购法》第二十二条规定；未被“信用中国”（www.creditchina.gov.cn)、中国政府采购网（www.ccgp.gov.cn）列入失信被执行人、重大税收违法案件当事人名单、政府采购严重违法失信行为记录名单。</w:t>
      </w:r>
    </w:p>
    <w:p w14:paraId="1B9106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2.落实政府采购政策需满足的资格要求：标项一</w:t>
      </w:r>
      <w:r>
        <w:rPr>
          <w:rFonts w:hint="eastAsia" w:ascii="宋体" w:hAnsi="宋体" w:cs="宋体"/>
          <w:i w:val="0"/>
          <w:iCs w:val="0"/>
          <w:caps w:val="0"/>
          <w:color w:val="auto"/>
          <w:spacing w:val="0"/>
          <w:kern w:val="0"/>
          <w:sz w:val="21"/>
          <w:szCs w:val="21"/>
          <w:highlight w:val="none"/>
          <w:lang w:val="en-US" w:eastAsia="zh-CN" w:bidi="ar"/>
        </w:rPr>
        <w:t>：无</w:t>
      </w:r>
      <w:r>
        <w:rPr>
          <w:rFonts w:hint="eastAsia" w:ascii="宋体" w:hAnsi="宋体" w:eastAsia="宋体" w:cs="宋体"/>
          <w:i w:val="0"/>
          <w:iCs w:val="0"/>
          <w:caps w:val="0"/>
          <w:color w:val="auto"/>
          <w:spacing w:val="0"/>
          <w:kern w:val="0"/>
          <w:sz w:val="21"/>
          <w:szCs w:val="21"/>
          <w:highlight w:val="none"/>
          <w:lang w:val="en-US" w:eastAsia="zh-CN" w:bidi="ar"/>
        </w:rPr>
        <w:t>。</w:t>
      </w:r>
    </w:p>
    <w:p w14:paraId="3871D4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color w:val="auto"/>
          <w:highlight w:val="none"/>
          <w:lang w:val="en-US" w:eastAsia="zh-CN"/>
        </w:rPr>
      </w:pPr>
      <w:r>
        <w:rPr>
          <w:rFonts w:hint="eastAsia" w:ascii="宋体" w:hAnsi="宋体" w:cs="宋体"/>
          <w:i w:val="0"/>
          <w:iCs w:val="0"/>
          <w:caps w:val="0"/>
          <w:color w:val="auto"/>
          <w:spacing w:val="0"/>
          <w:kern w:val="0"/>
          <w:sz w:val="21"/>
          <w:szCs w:val="21"/>
          <w:highlight w:val="none"/>
          <w:lang w:val="en-US" w:eastAsia="zh-CN" w:bidi="ar"/>
        </w:rPr>
        <w:t>3.</w:t>
      </w:r>
      <w:r>
        <w:rPr>
          <w:rFonts w:hint="eastAsia" w:ascii="宋体" w:hAnsi="宋体" w:eastAsia="宋体" w:cs="宋体"/>
          <w:i w:val="0"/>
          <w:iCs w:val="0"/>
          <w:caps w:val="0"/>
          <w:color w:val="auto"/>
          <w:spacing w:val="0"/>
          <w:kern w:val="0"/>
          <w:sz w:val="21"/>
          <w:szCs w:val="21"/>
          <w:highlight w:val="none"/>
          <w:lang w:val="en-US" w:eastAsia="zh-CN" w:bidi="ar"/>
        </w:rPr>
        <w:t>本项目的特定资格要求：</w:t>
      </w:r>
      <w:r>
        <w:rPr>
          <w:rFonts w:hint="eastAsia" w:ascii="宋体" w:hAnsi="宋体" w:cs="宋体"/>
          <w:i w:val="0"/>
          <w:iCs w:val="0"/>
          <w:caps w:val="0"/>
          <w:color w:val="auto"/>
          <w:spacing w:val="0"/>
          <w:kern w:val="0"/>
          <w:sz w:val="21"/>
          <w:szCs w:val="21"/>
          <w:highlight w:val="none"/>
          <w:lang w:val="en-US" w:eastAsia="zh-CN" w:bidi="ar"/>
        </w:rPr>
        <w:t>无。</w:t>
      </w:r>
    </w:p>
    <w:p w14:paraId="3022DD05">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三、获取（下载）采购文件</w:t>
      </w:r>
    </w:p>
    <w:p w14:paraId="52A1C0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u w:val="none"/>
          <w:lang w:val="en-US" w:eastAsia="zh-CN" w:bidi="ar"/>
        </w:rPr>
        <w:t>时间：</w:t>
      </w:r>
      <w:r>
        <w:rPr>
          <w:rFonts w:hint="eastAsia" w:ascii="宋体" w:hAnsi="宋体" w:cs="宋体"/>
          <w:i w:val="0"/>
          <w:iCs w:val="0"/>
          <w:caps w:val="0"/>
          <w:color w:val="auto"/>
          <w:spacing w:val="0"/>
          <w:kern w:val="0"/>
          <w:sz w:val="21"/>
          <w:szCs w:val="21"/>
          <w:highlight w:val="none"/>
          <w:u w:val="none"/>
          <w:lang w:val="en-US" w:eastAsia="zh-CN" w:bidi="ar"/>
        </w:rPr>
        <w:t xml:space="preserve">2025年 2 月 12 </w:t>
      </w:r>
      <w:r>
        <w:rPr>
          <w:rFonts w:hint="eastAsia" w:ascii="宋体" w:hAnsi="宋体" w:eastAsia="宋体" w:cs="宋体"/>
          <w:i w:val="0"/>
          <w:iCs w:val="0"/>
          <w:caps w:val="0"/>
          <w:color w:val="auto"/>
          <w:spacing w:val="0"/>
          <w:kern w:val="0"/>
          <w:sz w:val="21"/>
          <w:szCs w:val="21"/>
          <w:highlight w:val="none"/>
          <w:u w:val="none"/>
          <w:lang w:val="en-US" w:eastAsia="zh-CN" w:bidi="ar"/>
        </w:rPr>
        <w:t>日至</w:t>
      </w:r>
      <w:r>
        <w:rPr>
          <w:rFonts w:hint="eastAsia" w:ascii="宋体" w:hAnsi="宋体" w:cs="宋体"/>
          <w:i w:val="0"/>
          <w:iCs w:val="0"/>
          <w:caps w:val="0"/>
          <w:color w:val="auto"/>
          <w:spacing w:val="0"/>
          <w:kern w:val="0"/>
          <w:sz w:val="21"/>
          <w:szCs w:val="21"/>
          <w:highlight w:val="none"/>
          <w:u w:val="none"/>
          <w:lang w:val="en-US" w:eastAsia="zh-CN" w:bidi="ar"/>
        </w:rPr>
        <w:t xml:space="preserve">2025年 2 月 19 </w:t>
      </w:r>
      <w:r>
        <w:rPr>
          <w:rFonts w:hint="eastAsia" w:ascii="宋体" w:hAnsi="宋体" w:eastAsia="宋体" w:cs="宋体"/>
          <w:i w:val="0"/>
          <w:iCs w:val="0"/>
          <w:caps w:val="0"/>
          <w:color w:val="auto"/>
          <w:spacing w:val="0"/>
          <w:kern w:val="0"/>
          <w:sz w:val="21"/>
          <w:szCs w:val="21"/>
          <w:highlight w:val="none"/>
          <w:u w:val="none"/>
          <w:lang w:val="en-US" w:eastAsia="zh-CN" w:bidi="ar"/>
        </w:rPr>
        <w:t>日，每天上午00:00至12:00，下午12:00至23:59（北京时间，线上获取法定节假日均可，线下获取文件法定节假日除外）</w:t>
      </w:r>
    </w:p>
    <w:p w14:paraId="6165E7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地点（网址）：浙江政府采购云平台（http://www.zcygov.cn/）</w:t>
      </w:r>
    </w:p>
    <w:p w14:paraId="5A258A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方式：（1）本项目采购文件实行“政府采购云平台”在线获取，不提供采购文件纸质版。供应商获取采购文件前应先完成“政府采购云平台”的账号注册；</w:t>
      </w:r>
    </w:p>
    <w:p w14:paraId="3F7ECD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潜在供应商登陆政采云平台，在线申请获取采购文件（进入“项目采购”应用，在获取采购文件菜单中选择项目，申请获取采购文件；仅需浏览采购文件的供应商可点击“游客，浏览采购文件”直接下载采购文件浏览）；</w:t>
      </w:r>
    </w:p>
    <w:p w14:paraId="6B8D56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712D74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（4）本项目（是）接受联合体</w:t>
      </w:r>
      <w:r>
        <w:rPr>
          <w:rFonts w:hint="eastAsia" w:ascii="宋体" w:hAnsi="宋体" w:cs="宋体"/>
          <w:i w:val="0"/>
          <w:iCs w:val="0"/>
          <w:caps w:val="0"/>
          <w:color w:val="auto"/>
          <w:spacing w:val="0"/>
          <w:kern w:val="0"/>
          <w:sz w:val="21"/>
          <w:szCs w:val="21"/>
          <w:highlight w:val="none"/>
          <w:lang w:val="en-US" w:eastAsia="zh-CN" w:bidi="ar"/>
        </w:rPr>
        <w:t>响应，</w:t>
      </w:r>
      <w:r>
        <w:rPr>
          <w:rFonts w:hint="eastAsia" w:ascii="宋体" w:hAnsi="宋体" w:eastAsia="宋体" w:cs="宋体"/>
          <w:i w:val="0"/>
          <w:iCs w:val="0"/>
          <w:caps w:val="0"/>
          <w:color w:val="auto"/>
          <w:spacing w:val="0"/>
          <w:kern w:val="0"/>
          <w:sz w:val="21"/>
          <w:szCs w:val="21"/>
          <w:highlight w:val="none"/>
          <w:lang w:val="en-US" w:eastAsia="zh-CN" w:bidi="ar"/>
        </w:rPr>
        <w:t>牵头人需在政采云系统关联其联合体成员，实行资格后审。</w:t>
      </w:r>
    </w:p>
    <w:p w14:paraId="6C34C5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注：请供应商按上述要求获取采购文件，未依法获取采购文件的供应商不得对本项目提起质疑；如未在“政采云”系统内完成相关流程，引起的响应无效责任自负。</w:t>
      </w:r>
    </w:p>
    <w:p w14:paraId="6D4E08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售价（元）：0</w:t>
      </w:r>
    </w:p>
    <w:p w14:paraId="67B8A1E5">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四、响应文件提交（上传）</w:t>
      </w:r>
    </w:p>
    <w:p w14:paraId="195B2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截止时间：</w:t>
      </w:r>
      <w:r>
        <w:rPr>
          <w:rFonts w:hint="eastAsia" w:ascii="宋体" w:hAnsi="宋体" w:cs="宋体"/>
          <w:i w:val="0"/>
          <w:iCs w:val="0"/>
          <w:caps w:val="0"/>
          <w:color w:val="auto"/>
          <w:spacing w:val="0"/>
          <w:kern w:val="0"/>
          <w:sz w:val="21"/>
          <w:szCs w:val="21"/>
          <w:highlight w:val="none"/>
          <w:lang w:val="en-US" w:eastAsia="zh-CN" w:bidi="ar"/>
        </w:rPr>
        <w:t xml:space="preserve">2025年 2 月 27 </w:t>
      </w:r>
      <w:r>
        <w:rPr>
          <w:rFonts w:hint="eastAsia" w:ascii="宋体" w:hAnsi="宋体" w:eastAsia="宋体" w:cs="宋体"/>
          <w:i w:val="0"/>
          <w:iCs w:val="0"/>
          <w:caps w:val="0"/>
          <w:color w:val="auto"/>
          <w:spacing w:val="0"/>
          <w:kern w:val="0"/>
          <w:sz w:val="21"/>
          <w:szCs w:val="21"/>
          <w:highlight w:val="none"/>
          <w:lang w:val="en-US" w:eastAsia="zh-CN" w:bidi="ar"/>
        </w:rPr>
        <w:t>日</w:t>
      </w:r>
      <w:r>
        <w:rPr>
          <w:rFonts w:hint="eastAsia" w:ascii="宋体" w:hAnsi="宋体" w:cs="宋体"/>
          <w:i w:val="0"/>
          <w:iCs w:val="0"/>
          <w:caps w:val="0"/>
          <w:color w:val="auto"/>
          <w:spacing w:val="0"/>
          <w:kern w:val="0"/>
          <w:sz w:val="21"/>
          <w:szCs w:val="21"/>
          <w:highlight w:val="none"/>
          <w:lang w:val="en-US" w:eastAsia="zh-CN" w:bidi="ar"/>
        </w:rPr>
        <w:t xml:space="preserve"> 9 </w:t>
      </w:r>
      <w:r>
        <w:rPr>
          <w:rFonts w:hint="eastAsia" w:ascii="宋体" w:hAnsi="宋体" w:eastAsia="宋体" w:cs="宋体"/>
          <w:i w:val="0"/>
          <w:iCs w:val="0"/>
          <w:caps w:val="0"/>
          <w:color w:val="auto"/>
          <w:spacing w:val="0"/>
          <w:kern w:val="0"/>
          <w:sz w:val="21"/>
          <w:szCs w:val="21"/>
          <w:highlight w:val="none"/>
          <w:lang w:val="en-US" w:eastAsia="zh-CN" w:bidi="ar"/>
        </w:rPr>
        <w:t>:</w:t>
      </w:r>
      <w:r>
        <w:rPr>
          <w:rFonts w:hint="eastAsia" w:ascii="宋体" w:hAnsi="宋体" w:cs="宋体"/>
          <w:i w:val="0"/>
          <w:iCs w:val="0"/>
          <w:caps w:val="0"/>
          <w:color w:val="auto"/>
          <w:spacing w:val="0"/>
          <w:kern w:val="0"/>
          <w:sz w:val="21"/>
          <w:szCs w:val="21"/>
          <w:highlight w:val="none"/>
          <w:lang w:val="en-US" w:eastAsia="zh-CN" w:bidi="ar"/>
        </w:rPr>
        <w:t>3</w:t>
      </w:r>
      <w:r>
        <w:rPr>
          <w:rFonts w:hint="eastAsia" w:ascii="宋体" w:hAnsi="宋体" w:eastAsia="宋体" w:cs="宋体"/>
          <w:i w:val="0"/>
          <w:iCs w:val="0"/>
          <w:caps w:val="0"/>
          <w:color w:val="auto"/>
          <w:spacing w:val="0"/>
          <w:kern w:val="0"/>
          <w:sz w:val="21"/>
          <w:szCs w:val="21"/>
          <w:highlight w:val="none"/>
          <w:lang w:val="en-US" w:eastAsia="zh-CN" w:bidi="ar"/>
        </w:rPr>
        <w:t>0（北京时间）</w:t>
      </w:r>
    </w:p>
    <w:p w14:paraId="3B128A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地点（网址）：</w:t>
      </w:r>
      <w:r>
        <w:rPr>
          <w:rFonts w:hint="eastAsia" w:ascii="宋体" w:hAnsi="宋体" w:cs="宋体"/>
          <w:i w:val="0"/>
          <w:iCs w:val="0"/>
          <w:caps w:val="0"/>
          <w:color w:val="auto"/>
          <w:spacing w:val="0"/>
          <w:kern w:val="0"/>
          <w:sz w:val="21"/>
          <w:szCs w:val="21"/>
          <w:highlight w:val="none"/>
          <w:lang w:val="en-US" w:eastAsia="zh-CN" w:bidi="ar"/>
        </w:rPr>
        <w:t>宁波市海曙区营商环境服务中心（原海曙区公共资源交易中心）开标室（一）（南门上，宁波市海曙区气象路58号）</w:t>
      </w:r>
      <w:r>
        <w:rPr>
          <w:rFonts w:hint="eastAsia" w:ascii="宋体" w:hAnsi="宋体" w:eastAsia="宋体" w:cs="宋体"/>
          <w:i w:val="0"/>
          <w:iCs w:val="0"/>
          <w:caps w:val="0"/>
          <w:color w:val="auto"/>
          <w:spacing w:val="0"/>
          <w:kern w:val="0"/>
          <w:sz w:val="21"/>
          <w:szCs w:val="21"/>
          <w:highlight w:val="none"/>
          <w:lang w:val="en-US" w:eastAsia="zh-CN" w:bidi="ar"/>
        </w:rPr>
        <w:t>：政采云平台（www.zcygov.cn）在线提交）</w:t>
      </w:r>
    </w:p>
    <w:p w14:paraId="2D97AD73">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五、响应文件开启</w:t>
      </w:r>
    </w:p>
    <w:p w14:paraId="6A673E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开启时间：</w:t>
      </w:r>
      <w:r>
        <w:rPr>
          <w:rFonts w:hint="eastAsia" w:ascii="宋体" w:hAnsi="宋体" w:cs="宋体"/>
          <w:i w:val="0"/>
          <w:iCs w:val="0"/>
          <w:caps w:val="0"/>
          <w:color w:val="auto"/>
          <w:spacing w:val="0"/>
          <w:kern w:val="0"/>
          <w:sz w:val="21"/>
          <w:szCs w:val="21"/>
          <w:highlight w:val="none"/>
          <w:lang w:val="en-US" w:eastAsia="zh-CN" w:bidi="ar"/>
        </w:rPr>
        <w:t>2025年 2 月 27 日 9 :30（</w:t>
      </w:r>
      <w:r>
        <w:rPr>
          <w:rFonts w:hint="eastAsia" w:ascii="宋体" w:hAnsi="宋体" w:eastAsia="宋体" w:cs="宋体"/>
          <w:i w:val="0"/>
          <w:iCs w:val="0"/>
          <w:caps w:val="0"/>
          <w:color w:val="auto"/>
          <w:spacing w:val="0"/>
          <w:kern w:val="0"/>
          <w:sz w:val="21"/>
          <w:szCs w:val="21"/>
          <w:highlight w:val="none"/>
          <w:lang w:val="en-US" w:eastAsia="zh-CN" w:bidi="ar"/>
        </w:rPr>
        <w:t>（北京时间）</w:t>
      </w:r>
    </w:p>
    <w:p w14:paraId="44045F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地点（网址）：</w:t>
      </w:r>
      <w:r>
        <w:rPr>
          <w:rFonts w:hint="eastAsia" w:ascii="宋体" w:hAnsi="宋体" w:cs="宋体"/>
          <w:i w:val="0"/>
          <w:iCs w:val="0"/>
          <w:caps w:val="0"/>
          <w:color w:val="auto"/>
          <w:spacing w:val="0"/>
          <w:kern w:val="0"/>
          <w:sz w:val="21"/>
          <w:szCs w:val="21"/>
          <w:highlight w:val="none"/>
          <w:lang w:val="en-US" w:eastAsia="zh-CN" w:bidi="ar"/>
        </w:rPr>
        <w:t>宁波市海曙区营商环境服务中心（原海曙区公共资源交易中心）开标室（一）（南门上，宁波市海曙区气象路58号）</w:t>
      </w:r>
      <w:r>
        <w:rPr>
          <w:rFonts w:hint="eastAsia" w:ascii="宋体" w:hAnsi="宋体" w:eastAsia="宋体" w:cs="宋体"/>
          <w:i w:val="0"/>
          <w:iCs w:val="0"/>
          <w:caps w:val="0"/>
          <w:color w:val="auto"/>
          <w:spacing w:val="0"/>
          <w:kern w:val="0"/>
          <w:sz w:val="21"/>
          <w:szCs w:val="21"/>
          <w:highlight w:val="none"/>
          <w:lang w:val="en-US" w:eastAsia="zh-CN" w:bidi="ar"/>
        </w:rPr>
        <w:t>（线上开启：政采云平台（www.zcygov.cn））</w:t>
      </w:r>
    </w:p>
    <w:p w14:paraId="6D3E5246">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六、公告期限</w:t>
      </w:r>
    </w:p>
    <w:p w14:paraId="29C781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自本公告发布之日起3个工作日。</w:t>
      </w:r>
    </w:p>
    <w:p w14:paraId="0D3C6317">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七、其他补充事宜</w:t>
      </w:r>
    </w:p>
    <w:p w14:paraId="42C66381">
      <w:pPr>
        <w:keepNext w:val="0"/>
        <w:keepLines w:val="0"/>
        <w:pageBreakBefore w:val="0"/>
        <w:kinsoku/>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B690B10">
      <w:pPr>
        <w:keepNext w:val="0"/>
        <w:keepLines w:val="0"/>
        <w:pageBreakBefore w:val="0"/>
        <w:kinsoku/>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6242C7">
      <w:pPr>
        <w:keepNext w:val="0"/>
        <w:keepLines w:val="0"/>
        <w:pageBreakBefore w:val="0"/>
        <w:kinsoku/>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6289B8">
      <w:pPr>
        <w:keepNext w:val="0"/>
        <w:keepLines w:val="0"/>
        <w:pageBreakBefore w:val="0"/>
        <w:kinsoku/>
        <w:wordWrap w:val="0"/>
        <w:overflowPunct/>
        <w:topLinePunct w:val="0"/>
        <w:bidi w:val="0"/>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.其他事项：</w:t>
      </w:r>
    </w:p>
    <w:p w14:paraId="4B5AA1E9">
      <w:pPr>
        <w:keepNext w:val="0"/>
        <w:keepLines w:val="0"/>
        <w:pageBreakBefore w:val="0"/>
        <w:kinsoku/>
        <w:wordWrap w:val="0"/>
        <w:overflowPunct/>
        <w:topLinePunct w:val="0"/>
        <w:bidi w:val="0"/>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1单位负责人为同一人或者存在直接控股、管理关系的不同供应商，不得参加同一标项项下的政府采购活动。除单一来源采购项目外，为采购项目提供整体设计、规范编制或者项目管理、监理、检测等服务的供应商，不得再参加该采购项目的其他采购活动。</w:t>
      </w:r>
    </w:p>
    <w:p w14:paraId="4710FA8A">
      <w:pPr>
        <w:keepNext w:val="0"/>
        <w:keepLines w:val="0"/>
        <w:pageBreakBefore w:val="0"/>
        <w:kinsoku/>
        <w:wordWrap w:val="0"/>
        <w:overflowPunct/>
        <w:topLinePunct w:val="0"/>
        <w:bidi w:val="0"/>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.2供应商须提供政府采购领域商业贿赂行为承诺书（响应文件中须提供《政府采购领域商业贿赂行为承诺书》，详见响应文件格式）。</w:t>
      </w:r>
    </w:p>
    <w:p w14:paraId="1989AECA">
      <w:pPr>
        <w:keepNext w:val="0"/>
        <w:keepLines w:val="0"/>
        <w:pageBreakBefore w:val="0"/>
        <w:kinsoku/>
        <w:wordWrap w:val="0"/>
        <w:overflowPunct/>
        <w:topLinePunct w:val="0"/>
        <w:bidi w:val="0"/>
        <w:spacing w:line="336" w:lineRule="auto"/>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.3采购项目需要落实的政府采购政策：</w:t>
      </w:r>
    </w:p>
    <w:p w14:paraId="5D54C9D2">
      <w:pPr>
        <w:keepNext w:val="0"/>
        <w:keepLines w:val="0"/>
        <w:pageBreakBefore w:val="0"/>
        <w:kinsoku/>
        <w:wordWrap w:val="0"/>
        <w:overflowPunct/>
        <w:topLinePunct w:val="0"/>
        <w:bidi w:val="0"/>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.3.1对小微企业的产品给予价格优惠（监狱企业、残疾人福利性单位视同小微企业；残疾人福利性单位属于小型、微型企业的，不重复享受政策）；</w:t>
      </w:r>
    </w:p>
    <w:p w14:paraId="0C8897AA">
      <w:pPr>
        <w:keepNext w:val="0"/>
        <w:keepLines w:val="0"/>
        <w:pageBreakBefore w:val="0"/>
        <w:kinsoku/>
        <w:wordWrap w:val="0"/>
        <w:overflowPunct/>
        <w:topLinePunct w:val="0"/>
        <w:bidi w:val="0"/>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.3.2优先采购节能环保产品（注：所采购的货物在政府采购节能产品、环境标志产品实施品目清单范围内，且具有国家确定的认证机构出具的、处于有效期之内的节能产品、环境标志产品认证证书）。</w:t>
      </w:r>
    </w:p>
    <w:p w14:paraId="338A895C">
      <w:pPr>
        <w:keepNext w:val="0"/>
        <w:keepLines w:val="0"/>
        <w:pageBreakBefore w:val="0"/>
        <w:kinsoku/>
        <w:wordWrap w:val="0"/>
        <w:overflowPunct/>
        <w:topLinePunct w:val="0"/>
        <w:bidi w:val="0"/>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.4中小企业信用融资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中标后可在“政采云”平台申请政采贷：操作路径：登录政采云平台-金融服务中心-【融资服务】，可在热门申请中选择产品直接申请，也可点击云智贷匹配适合产品进行申请，或者在可申请项目中根据该项目进行申请。</w:t>
      </w:r>
    </w:p>
    <w:p w14:paraId="678240D0">
      <w:pPr>
        <w:keepNext w:val="0"/>
        <w:keepLines w:val="0"/>
        <w:pageBreakBefore w:val="0"/>
        <w:kinsoku/>
        <w:wordWrap w:val="0"/>
        <w:overflowPunct/>
        <w:topLinePunct w:val="0"/>
        <w:bidi w:val="0"/>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.5供应商需按照《浙江省政府采购供应商注册及诚信管理暂行办法》的规定在“浙江政府采购网”政采云平台注册登记的，成为浙江省政府采购注册供应商。如未注册的供应商，请注意注册所需时间。</w:t>
      </w:r>
    </w:p>
    <w:p w14:paraId="03DB8009">
      <w:pPr>
        <w:keepNext w:val="0"/>
        <w:keepLines w:val="0"/>
        <w:pageBreakBefore w:val="0"/>
        <w:kinsoku/>
        <w:wordWrap w:val="0"/>
        <w:overflowPunct/>
        <w:topLinePunct w:val="0"/>
        <w:bidi w:val="0"/>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.6响应与开标注意事项</w:t>
      </w:r>
    </w:p>
    <w:p w14:paraId="28497671">
      <w:pPr>
        <w:keepNext w:val="0"/>
        <w:keepLines w:val="0"/>
        <w:pageBreakBefore w:val="0"/>
        <w:kinsoku/>
        <w:wordWrap w:val="0"/>
        <w:overflowPunct/>
        <w:topLinePunct w:val="0"/>
        <w:bidi w:val="0"/>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.6.1本项目实行网上响应，采用电子响应文件。若供应商参与响应，自行承担响应一切费用。</w:t>
      </w:r>
    </w:p>
    <w:p w14:paraId="05E66D7E">
      <w:pPr>
        <w:keepNext w:val="0"/>
        <w:keepLines w:val="0"/>
        <w:pageBreakBefore w:val="0"/>
        <w:kinsoku/>
        <w:wordWrap w:val="0"/>
        <w:overflowPunct/>
        <w:topLinePunct w:val="0"/>
        <w:bidi w:val="0"/>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.6.2标前准备：各供应商应在开标前确保成为浙江政府采购网正式注册入库供应商，并完成CA数字证书办理。因未注册入库、未办理CA数字证书等原因造成无法响应或响应失败等后果由供应商自行承担。</w:t>
      </w:r>
    </w:p>
    <w:p w14:paraId="361D797A">
      <w:pPr>
        <w:keepNext w:val="0"/>
        <w:keepLines w:val="0"/>
        <w:pageBreakBefore w:val="0"/>
        <w:kinsoku/>
        <w:wordWrap w:val="0"/>
        <w:overflowPunct/>
        <w:topLinePunct w:val="0"/>
        <w:bidi w:val="0"/>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.6.3响应文件制作：</w:t>
      </w:r>
    </w:p>
    <w:p w14:paraId="716EB152">
      <w:pPr>
        <w:keepNext w:val="0"/>
        <w:keepLines w:val="0"/>
        <w:pageBreakBefore w:val="0"/>
        <w:kinsoku/>
        <w:wordWrap w:val="0"/>
        <w:overflowPunct/>
        <w:topLinePunct w:val="0"/>
        <w:bidi w:val="0"/>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.6.3.1应按照本项目采购文件和政府采购云平台的要求编制、加密并递交响应文件。供应商在使用系统进行响应的过程中遇到涉及平台使用的任何问题，可致电政府采购云平台技术支持热线咨询，联系方式：</w:t>
      </w:r>
      <w:r>
        <w:rPr>
          <w:rFonts w:hint="eastAsia" w:ascii="宋体" w:hAnsi="宋体" w:eastAsia="宋体" w:cs="宋体"/>
          <w:color w:val="auto"/>
          <w:kern w:val="0"/>
          <w:szCs w:val="21"/>
          <w:highlight w:val="none"/>
          <w:shd w:val="clear" w:color="auto" w:fill="FFFFFF"/>
          <w:lang w:bidi="ar"/>
        </w:rPr>
        <w:t>95763</w:t>
      </w:r>
      <w:r>
        <w:rPr>
          <w:rFonts w:hint="eastAsia" w:ascii="宋体" w:hAnsi="宋体" w:eastAsia="宋体" w:cs="宋体"/>
          <w:color w:val="auto"/>
          <w:szCs w:val="21"/>
          <w:highlight w:val="none"/>
        </w:rPr>
        <w:t>。</w:t>
      </w:r>
    </w:p>
    <w:p w14:paraId="51448B4E">
      <w:pPr>
        <w:keepNext w:val="0"/>
        <w:keepLines w:val="0"/>
        <w:pageBreakBefore w:val="0"/>
        <w:kinsoku/>
        <w:wordWrap w:val="0"/>
        <w:overflowPunct/>
        <w:topLinePunct w:val="0"/>
        <w:bidi w:val="0"/>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.6.3.2供应商通过政府采购云平台电子投标工具制作响应文件，电子投标工具请供应商自行前往浙江政府采购网下载并安装，响应文件制作具体流程详见政府采购云平台。</w:t>
      </w:r>
    </w:p>
    <w:p w14:paraId="2C92FCA0">
      <w:pPr>
        <w:keepNext w:val="0"/>
        <w:keepLines w:val="0"/>
        <w:pageBreakBefore w:val="0"/>
        <w:kinsoku/>
        <w:wordWrap w:val="0"/>
        <w:overflowPunct/>
        <w:topLinePunct w:val="0"/>
        <w:bidi w:val="0"/>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.6.3.3供应商可自愿提交以U盘存储的电子备份响应文件1份，按政府采购云平台要求制作的电子备份文件，以用于异常情况处理。</w:t>
      </w:r>
    </w:p>
    <w:p w14:paraId="02B889ED">
      <w:pPr>
        <w:keepNext w:val="0"/>
        <w:keepLines w:val="0"/>
        <w:pageBreakBefore w:val="0"/>
        <w:kinsoku/>
        <w:wordWrap w:val="0"/>
        <w:overflowPunct/>
        <w:topLinePunct w:val="0"/>
        <w:bidi w:val="0"/>
        <w:spacing w:line="336" w:lineRule="auto"/>
        <w:ind w:firstLine="420"/>
        <w:rPr>
          <w:rFonts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.7本招标公告附件中的采购文件仅供阅览使用，供应商应在规定的采购文件获取期限内在政采云平台登录供应商注册的账号后获取采购文件，未按上述方式获取采购文件的，不得对采购文件提起质疑投诉。</w:t>
      </w:r>
    </w:p>
    <w:p w14:paraId="5C14AF27">
      <w:pPr>
        <w:keepNext w:val="0"/>
        <w:keepLines w:val="0"/>
        <w:pageBreakBefore w:val="0"/>
        <w:kinsoku/>
        <w:wordWrap w:val="0"/>
        <w:overflowPunct/>
        <w:topLinePunct w:val="0"/>
        <w:bidi w:val="0"/>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.8供应商应于响应截止时间前将电子响应文件上传到政府采购云平台www.zcygov.cn，未上传电子响应文件，视为供应商放弃响应。</w:t>
      </w:r>
    </w:p>
    <w:p w14:paraId="36FF06A7">
      <w:pPr>
        <w:keepNext w:val="0"/>
        <w:keepLines w:val="0"/>
        <w:pageBreakBefore w:val="0"/>
        <w:kinsoku/>
        <w:wordWrap w:val="0"/>
        <w:overflowPunct/>
        <w:topLinePunct w:val="0"/>
        <w:bidi w:val="0"/>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9供应商如提供备份响应文件的，应于提交响应文件截止时间前，将以U盘存储的电子备份响应文件密封，递交至响应地点，逾期送达或未密封将予以拒收。供应商仅提供备份响应文件（以U盘存储的电子备份响应文件）的，响应无效。</w:t>
      </w:r>
    </w:p>
    <w:p w14:paraId="7A25EAD4">
      <w:pPr>
        <w:keepNext w:val="0"/>
        <w:keepLines w:val="0"/>
        <w:pageBreakBefore w:val="0"/>
        <w:kinsoku/>
        <w:wordWrap w:val="0"/>
        <w:overflowPunct/>
        <w:topLinePunct w:val="0"/>
        <w:bidi w:val="0"/>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10采购代理机构将在采购文件规定的开标时间通过政府采购云平台组织开标、开启响应文件，所有供应商均应准时在线参加。开标时间后30分钟内供应商可以登录政府采购云平台www.zcygov.cn，用“项目采购-开标评标”功能进行解密响应文件。</w:t>
      </w:r>
    </w:p>
    <w:p w14:paraId="2ECCB02D">
      <w:pPr>
        <w:keepNext w:val="0"/>
        <w:keepLines w:val="0"/>
        <w:pageBreakBefore w:val="0"/>
        <w:kinsoku/>
        <w:wordWrap w:val="0"/>
        <w:overflowPunct/>
        <w:topLinePunct w:val="0"/>
        <w:bidi w:val="0"/>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.11供应商可采用邮寄（含快递）方式或现场方式递交备份响应文件。</w:t>
      </w:r>
    </w:p>
    <w:p w14:paraId="3C0EC641">
      <w:pPr>
        <w:keepNext w:val="0"/>
        <w:keepLines w:val="0"/>
        <w:pageBreakBefore w:val="0"/>
        <w:kinsoku/>
        <w:wordWrap w:val="0"/>
        <w:overflowPunct/>
        <w:topLinePunct w:val="0"/>
        <w:bidi w:val="0"/>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.11.1采用邮寄方式递交备份响应文件，需按以下要求递交：</w:t>
      </w:r>
    </w:p>
    <w:p w14:paraId="681826A2">
      <w:pPr>
        <w:keepNext w:val="0"/>
        <w:keepLines w:val="0"/>
        <w:pageBreakBefore w:val="0"/>
        <w:kinsoku/>
        <w:wordWrap w:val="0"/>
        <w:overflowPunct/>
        <w:topLinePunct w:val="0"/>
        <w:bidi w:val="0"/>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拟在</w:t>
      </w:r>
      <w:r>
        <w:rPr>
          <w:rFonts w:hint="eastAsia" w:ascii="宋体" w:hAnsi="宋体" w:eastAsia="宋体" w:cs="宋体"/>
          <w:color w:val="auto"/>
          <w:szCs w:val="21"/>
          <w:highlight w:val="none"/>
          <w:lang w:eastAsia="zh-CN"/>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日17：00之前到件的邮寄地址为：宁波市海曙区高桥镇秀丰路755号；拟在</w:t>
      </w:r>
      <w:r>
        <w:rPr>
          <w:rFonts w:hint="eastAsia" w:ascii="宋体" w:hAnsi="宋体" w:eastAsia="宋体" w:cs="宋体"/>
          <w:color w:val="auto"/>
          <w:szCs w:val="21"/>
          <w:highlight w:val="none"/>
          <w:lang w:eastAsia="zh-CN"/>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26</w:t>
      </w:r>
      <w:r>
        <w:rPr>
          <w:rFonts w:hint="eastAsia" w:ascii="宋体" w:hAnsi="宋体" w:eastAsia="宋体" w:cs="宋体"/>
          <w:color w:val="auto"/>
          <w:szCs w:val="21"/>
          <w:highlight w:val="none"/>
        </w:rPr>
        <w:t>日17:00之后，</w:t>
      </w:r>
      <w:r>
        <w:rPr>
          <w:rFonts w:hint="eastAsia" w:ascii="宋体" w:hAnsi="宋体" w:eastAsia="宋体" w:cs="宋体"/>
          <w:color w:val="auto"/>
          <w:szCs w:val="21"/>
          <w:highlight w:val="none"/>
          <w:lang w:eastAsia="zh-CN"/>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27</w:t>
      </w:r>
      <w:r>
        <w:rPr>
          <w:rFonts w:hint="eastAsia" w:ascii="宋体" w:hAnsi="宋体" w:eastAsia="宋体" w:cs="宋体"/>
          <w:color w:val="auto"/>
          <w:szCs w:val="21"/>
          <w:highlight w:val="none"/>
        </w:rPr>
        <w:t>日9：</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0之前到件的邮寄地址为：[宁波市海曙区营商环境服务中心（原海曙区公共资源交易中心）开标室（</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）[宁波市海曙区气象路58号（南门上）]；</w:t>
      </w:r>
    </w:p>
    <w:p w14:paraId="06AEAA27">
      <w:pPr>
        <w:keepNext w:val="0"/>
        <w:keepLines w:val="0"/>
        <w:pageBreakBefore w:val="0"/>
        <w:kinsoku/>
        <w:wordWrap w:val="0"/>
        <w:overflowPunct/>
        <w:topLinePunct w:val="0"/>
        <w:bidi w:val="0"/>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收件人：邓平，联系方式：0574-87208638。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01FD9A53">
      <w:pPr>
        <w:pageBreakBefore w:val="0"/>
        <w:kinsoku/>
        <w:wordWrap/>
        <w:overflowPunct/>
        <w:topLinePunct w:val="0"/>
        <w:autoSpaceDE/>
        <w:autoSpaceDN/>
        <w:bidi w:val="0"/>
        <w:adjustRightInd/>
        <w:snapToGrid/>
        <w:spacing w:line="336"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.11.2采用现场方式送达备份响应文件，需按以下要求递交：供应商可安排相关人员在响应截止时间前将备份响应文件送至响应地点。</w:t>
      </w:r>
    </w:p>
    <w:p w14:paraId="45E77ED1">
      <w:pPr>
        <w:pageBreakBefore w:val="0"/>
        <w:kinsoku/>
        <w:wordWrap/>
        <w:overflowPunct/>
        <w:topLinePunct w:val="0"/>
        <w:autoSpaceDE/>
        <w:autoSpaceDN/>
        <w:bidi w:val="0"/>
        <w:adjustRightInd/>
        <w:snapToGrid/>
        <w:spacing w:line="336" w:lineRule="auto"/>
        <w:ind w:firstLine="420"/>
        <w:textAlignment w:val="auto"/>
        <w:outlineLvl w:val="9"/>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1</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本公告发布媒体：</w:t>
      </w:r>
      <w:r>
        <w:rPr>
          <w:rFonts w:hint="eastAsia" w:ascii="宋体" w:hAnsi="宋体" w:eastAsia="宋体" w:cs="宋体"/>
          <w:color w:val="auto"/>
          <w:szCs w:val="21"/>
          <w:highlight w:val="none"/>
        </w:rPr>
        <w:t>浙江政府采购网（www.zjzfcg.gov.cn）、浙江省公共资源交易服务平台（ggzy.zj.gov.cn）、宁波市公共资源交易电子服务系统（甬易阳光）（jyxt.zwb.ningbo.gov.cn:4011/webs</w:t>
      </w:r>
      <w:bookmarkStart w:id="49" w:name="_GoBack"/>
      <w:bookmarkEnd w:id="49"/>
      <w:r>
        <w:rPr>
          <w:rFonts w:hint="eastAsia" w:ascii="宋体" w:hAnsi="宋体" w:eastAsia="宋体" w:cs="宋体"/>
          <w:color w:val="auto"/>
          <w:szCs w:val="21"/>
          <w:highlight w:val="none"/>
        </w:rPr>
        <w:t>ite/home）。</w:t>
      </w:r>
    </w:p>
    <w:p w14:paraId="5887ACCD">
      <w:pPr>
        <w:keepNext w:val="0"/>
        <w:keepLines w:val="0"/>
        <w:pageBreakBefore w:val="0"/>
        <w:widowControl w:val="0"/>
        <w:suppressLineNumbers w:val="0"/>
        <w:kinsoku/>
        <w:wordWrap/>
        <w:overflowPunct/>
        <w:topLinePunct w:val="0"/>
        <w:autoSpaceDE/>
        <w:autoSpaceDN/>
        <w:bidi w:val="0"/>
        <w:adjustRightInd/>
        <w:snapToGrid/>
        <w:spacing w:before="240" w:beforeAutospacing="0" w:after="0" w:afterAutospacing="0" w:line="360" w:lineRule="auto"/>
        <w:ind w:left="0" w:right="0" w:firstLine="0" w:firstLineChars="0"/>
        <w:jc w:val="both"/>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i w:val="0"/>
          <w:iCs w:val="0"/>
          <w:caps w:val="0"/>
          <w:color w:val="auto"/>
          <w:spacing w:val="0"/>
          <w:kern w:val="0"/>
          <w:sz w:val="21"/>
          <w:szCs w:val="21"/>
          <w:highlight w:val="none"/>
          <w:lang w:val="en-US" w:eastAsia="zh-CN" w:bidi="ar"/>
        </w:rPr>
        <w:t>八、凡对本次招标提出询问、质疑、投诉，请按以下方式联系</w:t>
      </w:r>
    </w:p>
    <w:p w14:paraId="42AC76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1.采购人信息</w:t>
      </w:r>
    </w:p>
    <w:p w14:paraId="1A3E16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名称：宁波市自然资源和规划局海曙分局</w:t>
      </w:r>
    </w:p>
    <w:p w14:paraId="4D01AB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地址：宁波市海曙区广安路78号</w:t>
      </w:r>
    </w:p>
    <w:p w14:paraId="1BC304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传真：/</w:t>
      </w:r>
    </w:p>
    <w:p w14:paraId="23C2F1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项目联系人（询问）：</w:t>
      </w:r>
      <w:r>
        <w:rPr>
          <w:rFonts w:hint="eastAsia" w:ascii="宋体" w:hAnsi="宋体" w:cs="宋体"/>
          <w:i w:val="0"/>
          <w:iCs w:val="0"/>
          <w:caps w:val="0"/>
          <w:color w:val="auto"/>
          <w:spacing w:val="0"/>
          <w:kern w:val="0"/>
          <w:sz w:val="21"/>
          <w:szCs w:val="21"/>
          <w:highlight w:val="none"/>
          <w:lang w:val="en-US" w:eastAsia="zh-CN" w:bidi="ar"/>
        </w:rPr>
        <w:t>俞老师</w:t>
      </w:r>
    </w:p>
    <w:p w14:paraId="2554DD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项目联系方式（询问）：18867870494</w:t>
      </w:r>
    </w:p>
    <w:p w14:paraId="1EA19C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质疑联系人：</w:t>
      </w:r>
      <w:r>
        <w:rPr>
          <w:rFonts w:hint="eastAsia" w:ascii="宋体" w:hAnsi="宋体" w:cs="宋体"/>
          <w:i w:val="0"/>
          <w:iCs w:val="0"/>
          <w:caps w:val="0"/>
          <w:color w:val="auto"/>
          <w:spacing w:val="0"/>
          <w:kern w:val="0"/>
          <w:sz w:val="21"/>
          <w:szCs w:val="21"/>
          <w:highlight w:val="none"/>
          <w:lang w:val="en-US" w:eastAsia="zh-CN" w:bidi="ar"/>
        </w:rPr>
        <w:t>杨老师</w:t>
      </w:r>
    </w:p>
    <w:p w14:paraId="050053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质疑联系方式：0574-87238667</w:t>
      </w:r>
    </w:p>
    <w:p w14:paraId="434DBC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2.采购代理机构信息</w:t>
      </w:r>
    </w:p>
    <w:p w14:paraId="5FC7B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名称：宁波之新招标咨询有限公司</w:t>
      </w:r>
    </w:p>
    <w:p w14:paraId="5D1FB5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地    址：宁波市海曙区高桥镇秀丰路755号3楼</w:t>
      </w:r>
    </w:p>
    <w:p w14:paraId="11517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 系 人：</w:t>
      </w:r>
      <w:r>
        <w:rPr>
          <w:rFonts w:hint="eastAsia" w:ascii="宋体" w:hAnsi="宋体" w:cs="宋体"/>
          <w:i w:val="0"/>
          <w:iCs w:val="0"/>
          <w:caps w:val="0"/>
          <w:color w:val="auto"/>
          <w:spacing w:val="0"/>
          <w:kern w:val="0"/>
          <w:sz w:val="21"/>
          <w:szCs w:val="21"/>
          <w:highlight w:val="none"/>
          <w:lang w:val="en-US" w:eastAsia="zh-CN" w:bidi="ar"/>
        </w:rPr>
        <w:t>姜梅、</w:t>
      </w:r>
      <w:r>
        <w:rPr>
          <w:rFonts w:hint="eastAsia" w:ascii="宋体" w:hAnsi="宋体" w:eastAsia="宋体" w:cs="宋体"/>
          <w:i w:val="0"/>
          <w:iCs w:val="0"/>
          <w:caps w:val="0"/>
          <w:color w:val="auto"/>
          <w:spacing w:val="0"/>
          <w:kern w:val="0"/>
          <w:sz w:val="21"/>
          <w:szCs w:val="21"/>
          <w:highlight w:val="none"/>
          <w:lang w:val="en-US" w:eastAsia="zh-CN" w:bidi="ar"/>
        </w:rPr>
        <w:t>邓平、徐斌</w:t>
      </w:r>
    </w:p>
    <w:p w14:paraId="38E258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联系电话：0574-87208638</w:t>
      </w:r>
    </w:p>
    <w:p w14:paraId="6BF673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质疑联系人：江华波</w:t>
      </w:r>
    </w:p>
    <w:p w14:paraId="00DBDC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联系电话：0574-87208639</w:t>
      </w:r>
    </w:p>
    <w:p w14:paraId="207AD0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3.同级政府采购监督管理部门</w:t>
      </w:r>
    </w:p>
    <w:p w14:paraId="05430D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名称：宁波市海曙区采购管理办公室</w:t>
      </w:r>
    </w:p>
    <w:p w14:paraId="21C2AB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地址：宁波市海曙区大梁街48号</w:t>
      </w:r>
    </w:p>
    <w:p w14:paraId="491ACC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传真：/</w:t>
      </w:r>
    </w:p>
    <w:p w14:paraId="7BDF91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caps w:val="0"/>
          <w:color w:val="auto"/>
          <w:spacing w:val="0"/>
          <w:kern w:val="0"/>
          <w:sz w:val="21"/>
          <w:szCs w:val="21"/>
          <w:highlight w:val="none"/>
          <w:shd w:val="clear" w:color="auto" w:fill="FFFFFF"/>
          <w:lang w:val="en-US" w:eastAsia="zh-CN" w:bidi="ar"/>
        </w:rPr>
        <w:t>联系人：王老师</w:t>
      </w:r>
    </w:p>
    <w:p w14:paraId="4B87B6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i w:val="0"/>
          <w:caps w:val="0"/>
          <w:color w:val="auto"/>
          <w:spacing w:val="0"/>
          <w:kern w:val="0"/>
          <w:sz w:val="21"/>
          <w:szCs w:val="21"/>
          <w:highlight w:val="none"/>
          <w:shd w:val="clear" w:color="auto" w:fill="FFFFFF"/>
        </w:rPr>
        <w:t>监督投诉电话：0574-87297540</w:t>
      </w:r>
    </w:p>
    <w:p w14:paraId="223C30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若对项目采购电子交易系统操作有疑问，可登录政采云（https://www.zcygov.cn/），点击右侧咨询小采，获取采小蜜智能服务管家帮助，或拨打政采云服务热线</w:t>
      </w:r>
      <w:r>
        <w:rPr>
          <w:rFonts w:hint="eastAsia" w:ascii="宋体" w:hAnsi="宋体" w:eastAsia="宋体" w:cs="宋体"/>
          <w:i w:val="0"/>
          <w:caps w:val="0"/>
          <w:color w:val="auto"/>
          <w:spacing w:val="0"/>
          <w:kern w:val="0"/>
          <w:sz w:val="21"/>
          <w:szCs w:val="21"/>
          <w:highlight w:val="none"/>
          <w:shd w:val="clear" w:color="auto" w:fill="FFFFFF"/>
          <w:lang w:val="en-US" w:eastAsia="zh-CN" w:bidi="ar"/>
        </w:rPr>
        <w:t>95763</w:t>
      </w:r>
      <w:r>
        <w:rPr>
          <w:rFonts w:hint="eastAsia" w:ascii="宋体" w:hAnsi="宋体" w:eastAsia="宋体" w:cs="宋体"/>
          <w:i w:val="0"/>
          <w:iCs w:val="0"/>
          <w:caps w:val="0"/>
          <w:color w:val="auto"/>
          <w:spacing w:val="0"/>
          <w:kern w:val="0"/>
          <w:sz w:val="21"/>
          <w:szCs w:val="21"/>
          <w:highlight w:val="none"/>
          <w:lang w:val="en-US" w:eastAsia="zh-CN" w:bidi="ar"/>
        </w:rPr>
        <w:t>获取热线服务帮助。</w:t>
      </w:r>
    </w:p>
    <w:p w14:paraId="003300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CA问题联系电话（人工）：汇信CA400-888-4636；天谷CA400-087-8198。</w:t>
      </w:r>
    </w:p>
    <w:p w14:paraId="366CC14B">
      <w:pPr>
        <w:keepNext w:val="0"/>
        <w:keepLines w:val="0"/>
        <w:pageBreakBefore w:val="0"/>
        <w:widowControl w:val="0"/>
        <w:shd w:val="clear"/>
        <w:kinsoku/>
        <w:wordWrap/>
        <w:overflowPunct/>
        <w:topLinePunct w:val="0"/>
        <w:autoSpaceDE/>
        <w:autoSpaceDN/>
        <w:bidi w:val="0"/>
        <w:adjustRightInd/>
        <w:snapToGrid/>
        <w:spacing w:before="0" w:after="330" w:line="360" w:lineRule="auto"/>
        <w:jc w:val="center"/>
        <w:textAlignment w:val="auto"/>
        <w:outlineLvl w:val="0"/>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4" w:name="_Toc15961"/>
      <w:bookmarkStart w:id="5" w:name="_Toc16919"/>
      <w:r>
        <w:rPr>
          <w:rFonts w:cs="Times New Roman" w:asciiTheme="majorEastAsia" w:hAnsiTheme="majorEastAsia" w:eastAsiaTheme="majorEastAsia"/>
          <w:b/>
          <w:bCs/>
          <w:color w:val="auto"/>
          <w:sz w:val="32"/>
          <w:szCs w:val="40"/>
          <w:highlight w:val="none"/>
        </w:rPr>
        <w:t>第二章  采购需求</w:t>
      </w:r>
      <w:bookmarkEnd w:id="3"/>
      <w:bookmarkEnd w:id="4"/>
      <w:bookmarkEnd w:id="5"/>
    </w:p>
    <w:p w14:paraId="5CB7DEF2">
      <w:pPr>
        <w:pageBreakBefore w:val="0"/>
        <w:widowControl w:val="0"/>
        <w:kinsoku/>
        <w:wordWrap/>
        <w:overflowPunct/>
        <w:topLinePunct w:val="0"/>
        <w:bidi w:val="0"/>
        <w:spacing w:line="360" w:lineRule="auto"/>
        <w:jc w:val="left"/>
        <w:rPr>
          <w:rFonts w:hint="eastAsia" w:ascii="宋体" w:hAnsi="宋体" w:eastAsia="宋体" w:cs="宋体"/>
          <w:color w:val="auto"/>
          <w:highlight w:val="none"/>
        </w:rPr>
      </w:pPr>
      <w:bookmarkStart w:id="6" w:name="_Toc522013504"/>
      <w:r>
        <w:rPr>
          <w:rFonts w:hint="eastAsia" w:ascii="宋体" w:hAnsi="宋体" w:eastAsia="宋体" w:cs="宋体"/>
          <w:color w:val="auto"/>
          <w:highlight w:val="none"/>
        </w:rPr>
        <w:t>项目编号：</w:t>
      </w:r>
      <w:bookmarkStart w:id="7" w:name="_Toc397588696"/>
      <w:r>
        <w:rPr>
          <w:rFonts w:hint="eastAsia" w:ascii="宋体" w:hAnsi="宋体" w:eastAsia="宋体" w:cs="宋体"/>
          <w:color w:val="auto"/>
          <w:highlight w:val="none"/>
          <w:lang w:eastAsia="zh-CN"/>
        </w:rPr>
        <w:t>2025NBHSWCS025</w:t>
      </w:r>
    </w:p>
    <w:p w14:paraId="363CAD68">
      <w:pPr>
        <w:pageBreakBefore w:val="0"/>
        <w:widowControl w:val="0"/>
        <w:kinsoku/>
        <w:wordWrap/>
        <w:overflowPunct/>
        <w:topLinePunct w:val="0"/>
        <w:bidi w:val="0"/>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项目名称：2024年度耕地保护和粮食</w:t>
      </w:r>
      <w:r>
        <w:rPr>
          <w:rFonts w:hint="eastAsia" w:ascii="宋体" w:hAnsi="宋体" w:cs="宋体"/>
          <w:color w:val="auto"/>
          <w:highlight w:val="none"/>
          <w:lang w:eastAsia="zh-CN"/>
        </w:rPr>
        <w:t>安全考核服务</w:t>
      </w:r>
    </w:p>
    <w:p w14:paraId="7510B43E">
      <w:pPr>
        <w:pageBreakBefore w:val="0"/>
        <w:widowControl w:val="0"/>
        <w:kinsoku/>
        <w:wordWrap/>
        <w:overflowPunct/>
        <w:topLinePunct w:val="0"/>
        <w:bidi w:val="0"/>
        <w:spacing w:line="360" w:lineRule="auto"/>
        <w:jc w:val="left"/>
        <w:rPr>
          <w:rFonts w:hint="eastAsia" w:ascii="宋体" w:hAnsi="宋体" w:eastAsia="宋体" w:cs="宋体"/>
          <w:color w:val="auto"/>
          <w:kern w:val="0"/>
          <w:highlight w:val="none"/>
        </w:rPr>
      </w:pPr>
      <w:r>
        <w:rPr>
          <w:rFonts w:hint="eastAsia" w:ascii="宋体" w:hAnsi="宋体" w:eastAsia="宋体" w:cs="宋体"/>
          <w:color w:val="auto"/>
          <w:highlight w:val="none"/>
        </w:rPr>
        <w:t>采购单位：</w:t>
      </w:r>
      <w:bookmarkEnd w:id="7"/>
      <w:r>
        <w:rPr>
          <w:rFonts w:hint="eastAsia" w:ascii="宋体" w:hAnsi="宋体" w:eastAsia="宋体" w:cs="宋体"/>
          <w:color w:val="auto"/>
          <w:kern w:val="0"/>
          <w:highlight w:val="none"/>
        </w:rPr>
        <w:t>宁波市自然资源和规划局海曙分局</w:t>
      </w:r>
    </w:p>
    <w:p w14:paraId="073DDEEE">
      <w:pPr>
        <w:pageBreakBefore w:val="0"/>
        <w:widowControl w:val="0"/>
        <w:kinsoku/>
        <w:wordWrap/>
        <w:overflowPunct/>
        <w:topLinePunct w:val="0"/>
        <w:autoSpaceDE/>
        <w:autoSpaceDN/>
        <w:bidi w:val="0"/>
        <w:spacing w:before="0" w:after="0" w:line="360" w:lineRule="auto"/>
        <w:jc w:val="left"/>
        <w:outlineLvl w:val="9"/>
        <w:rPr>
          <w:rFonts w:hint="eastAsia" w:ascii="宋体" w:hAnsi="宋体" w:eastAsia="宋体" w:cs="宋体"/>
          <w:b/>
          <w:bCs/>
          <w:color w:val="auto"/>
          <w:sz w:val="21"/>
          <w:szCs w:val="21"/>
          <w:highlight w:val="none"/>
        </w:rPr>
      </w:pPr>
      <w:bookmarkStart w:id="8" w:name="_Toc25750"/>
      <w:bookmarkStart w:id="9" w:name="_Toc485288881"/>
      <w:bookmarkStart w:id="10" w:name="_Toc20499"/>
      <w:r>
        <w:rPr>
          <w:rFonts w:hint="eastAsia" w:ascii="宋体" w:hAnsi="宋体" w:eastAsia="宋体" w:cs="宋体"/>
          <w:b/>
          <w:bCs/>
          <w:color w:val="auto"/>
          <w:sz w:val="21"/>
          <w:szCs w:val="21"/>
          <w:highlight w:val="none"/>
        </w:rPr>
        <w:t>一、技术要求</w:t>
      </w:r>
    </w:p>
    <w:p w14:paraId="2FA0D073">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2023年国务院决定开展耕地保护和粮食安全责任制考核（简称</w:t>
      </w:r>
      <w:r>
        <w:rPr>
          <w:rFonts w:hint="eastAsia" w:ascii="宋体" w:hAnsi="宋体" w:cs="宋体"/>
          <w:color w:val="auto"/>
          <w:highlight w:val="none"/>
          <w:lang w:eastAsia="zh-CN"/>
        </w:rPr>
        <w:t>耕地保护考核</w:t>
      </w:r>
      <w:r>
        <w:rPr>
          <w:rFonts w:hint="eastAsia" w:ascii="宋体" w:hAnsi="宋体" w:eastAsia="宋体" w:cs="宋体"/>
          <w:color w:val="auto"/>
          <w:highlight w:val="none"/>
        </w:rPr>
        <w:t>），将年度变更调查“一上”作为最终考核依据，2024年度耕地保护和粮食安全责任制考核采用浙江省对各地级市计分办法进行考核，故技术要求参照近两年度耕地保护和粮食安全责任制考核计分规则。</w:t>
      </w:r>
    </w:p>
    <w:p w14:paraId="603119D7">
      <w:pPr>
        <w:pageBreakBefore w:val="0"/>
        <w:widowControl w:val="0"/>
        <w:kinsoku/>
        <w:wordWrap/>
        <w:overflowPunct/>
        <w:topLinePunct w:val="0"/>
        <w:autoSpaceDE/>
        <w:autoSpaceDN/>
        <w:bidi w:val="0"/>
        <w:spacing w:before="0" w:after="0" w:line="360" w:lineRule="auto"/>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二、工作目标</w:t>
      </w:r>
    </w:p>
    <w:p w14:paraId="67EA80A8">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完成海曙区</w:t>
      </w:r>
      <w:r>
        <w:rPr>
          <w:rFonts w:hint="eastAsia" w:ascii="宋体" w:hAnsi="宋体" w:cs="宋体"/>
          <w:color w:val="auto"/>
          <w:highlight w:val="none"/>
          <w:lang w:eastAsia="zh-CN"/>
        </w:rPr>
        <w:t>耕地保护考核</w:t>
      </w:r>
      <w:r>
        <w:rPr>
          <w:rFonts w:hint="eastAsia" w:ascii="宋体" w:hAnsi="宋体" w:eastAsia="宋体" w:cs="宋体"/>
          <w:color w:val="auto"/>
          <w:highlight w:val="none"/>
          <w:lang w:eastAsia="zh-CN"/>
        </w:rPr>
        <w:t>，主要涉及</w:t>
      </w:r>
      <w:r>
        <w:rPr>
          <w:rFonts w:hint="eastAsia" w:ascii="宋体" w:hAnsi="宋体" w:eastAsia="宋体" w:cs="宋体"/>
          <w:color w:val="auto"/>
          <w:highlight w:val="none"/>
        </w:rPr>
        <w:t>耕地保有量、永久基本农田保有量、“多田套合”农用地布局优化等主要目标。</w:t>
      </w:r>
    </w:p>
    <w:p w14:paraId="3550ECF6">
      <w:pPr>
        <w:pageBreakBefore w:val="0"/>
        <w:widowControl w:val="0"/>
        <w:kinsoku/>
        <w:wordWrap/>
        <w:overflowPunct/>
        <w:topLinePunct w:val="0"/>
        <w:autoSpaceDE/>
        <w:autoSpaceDN/>
        <w:bidi w:val="0"/>
        <w:spacing w:before="0" w:after="0" w:line="360" w:lineRule="auto"/>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三、主要任务</w:t>
      </w:r>
    </w:p>
    <w:p w14:paraId="46C52A44">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完成年度耕地保有量、永久基本农田保有量及其他</w:t>
      </w:r>
      <w:r>
        <w:rPr>
          <w:rFonts w:hint="eastAsia" w:ascii="宋体" w:hAnsi="宋体" w:cs="宋体"/>
          <w:color w:val="auto"/>
          <w:highlight w:val="none"/>
          <w:shd w:val="clear" w:color="auto" w:fill="auto"/>
          <w:lang w:eastAsia="zh-CN"/>
        </w:rPr>
        <w:t>耕地保护考核</w:t>
      </w:r>
      <w:r>
        <w:rPr>
          <w:rFonts w:hint="eastAsia" w:ascii="宋体" w:hAnsi="宋体" w:eastAsia="宋体" w:cs="宋体"/>
          <w:color w:val="auto"/>
          <w:highlight w:val="none"/>
          <w:shd w:val="clear" w:color="auto" w:fill="auto"/>
        </w:rPr>
        <w:t>核心指标的年度汇算，配合完成临时用地复垦联合验收、乡镇耕地保护基金发放汇算工作。</w:t>
      </w:r>
    </w:p>
    <w:p w14:paraId="4CD196F5">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配合完成永久基本农田外且高标准农田内耕地功能恢复上图入库工作，选取</w:t>
      </w:r>
      <w:r>
        <w:rPr>
          <w:rFonts w:hint="eastAsia" w:ascii="宋体" w:hAnsi="宋体" w:cs="宋体"/>
          <w:color w:val="auto"/>
          <w:highlight w:val="none"/>
          <w:shd w:val="clear" w:color="auto" w:fill="auto"/>
          <w:lang w:val="en-US" w:eastAsia="zh-CN"/>
        </w:rPr>
        <w:t>资</w:t>
      </w:r>
      <w:r>
        <w:rPr>
          <w:rFonts w:hint="eastAsia" w:ascii="宋体" w:hAnsi="宋体" w:eastAsia="宋体" w:cs="宋体"/>
          <w:color w:val="auto"/>
          <w:highlight w:val="none"/>
          <w:shd w:val="clear" w:color="auto" w:fill="auto"/>
        </w:rPr>
        <w:t>规局提供</w:t>
      </w:r>
      <w:r>
        <w:rPr>
          <w:rFonts w:hint="eastAsia" w:ascii="宋体" w:hAnsi="宋体" w:cs="宋体"/>
          <w:color w:val="auto"/>
          <w:highlight w:val="none"/>
          <w:shd w:val="clear" w:color="auto" w:fill="auto"/>
          <w:lang w:eastAsia="zh-CN"/>
        </w:rPr>
        <w:t>的</w:t>
      </w:r>
      <w:r>
        <w:rPr>
          <w:rFonts w:hint="eastAsia" w:ascii="宋体" w:hAnsi="宋体" w:eastAsia="宋体" w:cs="宋体"/>
          <w:color w:val="auto"/>
          <w:highlight w:val="none"/>
          <w:shd w:val="clear" w:color="auto" w:fill="auto"/>
        </w:rPr>
        <w:t>2022年耕地功能恢复项目未上图图斑</w:t>
      </w:r>
      <w:r>
        <w:rPr>
          <w:rFonts w:hint="eastAsia" w:ascii="宋体" w:hAnsi="宋体" w:cs="宋体"/>
          <w:color w:val="auto"/>
          <w:highlight w:val="none"/>
          <w:shd w:val="clear" w:color="auto" w:fill="auto"/>
          <w:lang w:val="en-US" w:eastAsia="zh-CN"/>
        </w:rPr>
        <w:t>进行</w:t>
      </w:r>
      <w:r>
        <w:rPr>
          <w:rFonts w:hint="eastAsia" w:ascii="宋体" w:hAnsi="宋体" w:eastAsia="宋体" w:cs="宋体"/>
          <w:color w:val="auto"/>
          <w:highlight w:val="none"/>
          <w:shd w:val="clear" w:color="auto" w:fill="auto"/>
        </w:rPr>
        <w:t>举证并通过年度变更部级审核</w:t>
      </w:r>
      <w:r>
        <w:rPr>
          <w:rFonts w:hint="eastAsia" w:ascii="宋体" w:hAnsi="宋体" w:cs="宋体"/>
          <w:color w:val="auto"/>
          <w:highlight w:val="none"/>
          <w:shd w:val="clear" w:color="auto" w:fill="auto"/>
          <w:lang w:eastAsia="zh-CN"/>
        </w:rPr>
        <w:t>。</w:t>
      </w:r>
    </w:p>
    <w:p w14:paraId="4D8AB5FE">
      <w:pPr>
        <w:pageBreakBefore w:val="0"/>
        <w:widowControl w:val="0"/>
        <w:kinsoku/>
        <w:wordWrap/>
        <w:overflowPunct/>
        <w:topLinePunct w:val="0"/>
        <w:autoSpaceDE/>
        <w:autoSpaceDN/>
        <w:bidi w:val="0"/>
        <w:spacing w:before="0" w:after="0" w:line="360" w:lineRule="auto"/>
        <w:jc w:val="left"/>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四、进度安排</w:t>
      </w:r>
    </w:p>
    <w:p w14:paraId="35592CFD">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(一)</w:t>
      </w:r>
      <w:r>
        <w:rPr>
          <w:rFonts w:hint="eastAsia" w:ascii="宋体" w:hAnsi="宋体" w:cs="宋体"/>
          <w:color w:val="auto"/>
          <w:highlight w:val="none"/>
          <w:shd w:val="clear" w:color="auto" w:fill="auto"/>
          <w:lang w:eastAsia="zh-CN"/>
        </w:rPr>
        <w:t>耕地保护考核</w:t>
      </w:r>
    </w:p>
    <w:p w14:paraId="63A22B94">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合同签订后30天内，对2022年耕地功能恢复项目未上图地块进行实地举证，对年度变更下发监测图斑中涉及耕地流出流入图斑进行提取分析，按流向建设用地和其他农用地分别制定耕地整改计划。</w:t>
      </w:r>
    </w:p>
    <w:p w14:paraId="103A0AD2">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合同签订后45天内，对2022年耕地功能恢复项目中种植情况较差地块统计汇总、案例分析、乡镇对接、指导恢复整改后二次举证。</w:t>
      </w:r>
    </w:p>
    <w:p w14:paraId="55220649">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合同签订后60天内，对2024年度国土变更初稿的耕地变化内容进行提取分析，确保在年度变更“一上”提交成果前完成耕地保护考核各项任务的指标数值精确。</w:t>
      </w:r>
    </w:p>
    <w:p w14:paraId="4C5D5DC8">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具体完成时间节点按照省、市相关要求执行。</w:t>
      </w:r>
    </w:p>
    <w:p w14:paraId="19446DEE">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(二)其他相关工作</w:t>
      </w:r>
    </w:p>
    <w:p w14:paraId="327009E5">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highlight w:val="none"/>
          <w:lang w:eastAsia="zh-CN"/>
        </w:rPr>
      </w:pPr>
      <w:r>
        <w:rPr>
          <w:rFonts w:hint="eastAsia" w:ascii="宋体" w:hAnsi="宋体" w:cs="宋体"/>
          <w:color w:val="auto"/>
          <w:highlight w:val="none"/>
          <w:lang w:eastAsia="zh-CN"/>
        </w:rPr>
        <w:t>完成</w:t>
      </w:r>
      <w:r>
        <w:rPr>
          <w:rFonts w:hint="eastAsia" w:ascii="宋体" w:hAnsi="宋体" w:eastAsia="宋体" w:cs="宋体"/>
          <w:color w:val="auto"/>
          <w:highlight w:val="none"/>
        </w:rPr>
        <w:t>临时用地复垦联合验收、乡镇耕地保护基金发放汇算工作</w:t>
      </w:r>
      <w:r>
        <w:rPr>
          <w:rFonts w:hint="eastAsia" w:ascii="宋体" w:hAnsi="宋体" w:eastAsia="宋体" w:cs="宋体"/>
          <w:color w:val="auto"/>
          <w:highlight w:val="none"/>
          <w:lang w:eastAsia="zh-CN"/>
        </w:rPr>
        <w:t>。</w:t>
      </w:r>
    </w:p>
    <w:p w14:paraId="66EEE6B8">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(三)报告编制</w:t>
      </w:r>
    </w:p>
    <w:p w14:paraId="06B0F80F">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2025年年中前，基于“一上”年度变更成果汇算海曙区耕地保有量、永久基本农田保有量、“多田套合”农用地布局优化等主要</w:t>
      </w:r>
      <w:r>
        <w:rPr>
          <w:rFonts w:hint="eastAsia" w:ascii="宋体" w:hAnsi="宋体" w:eastAsia="宋体" w:cs="宋体"/>
          <w:color w:val="auto"/>
          <w:highlight w:val="none"/>
          <w:lang w:eastAsia="zh-CN"/>
        </w:rPr>
        <w:t>指标</w:t>
      </w:r>
      <w:r>
        <w:rPr>
          <w:rFonts w:hint="eastAsia" w:ascii="宋体" w:hAnsi="宋体" w:eastAsia="宋体" w:cs="宋体"/>
          <w:color w:val="auto"/>
          <w:highlight w:val="none"/>
        </w:rPr>
        <w:t>完成情况</w:t>
      </w:r>
      <w:r>
        <w:rPr>
          <w:rFonts w:hint="eastAsia" w:ascii="宋体" w:hAnsi="宋体" w:cs="宋体"/>
          <w:color w:val="auto"/>
          <w:highlight w:val="none"/>
          <w:lang w:val="en-US" w:eastAsia="zh-CN"/>
        </w:rPr>
        <w:t>形成报告</w:t>
      </w:r>
      <w:r>
        <w:rPr>
          <w:rFonts w:hint="eastAsia" w:ascii="宋体" w:hAnsi="宋体" w:eastAsia="宋体" w:cs="宋体"/>
          <w:color w:val="auto"/>
          <w:highlight w:val="none"/>
        </w:rPr>
        <w:t>。</w:t>
      </w:r>
    </w:p>
    <w:p w14:paraId="069CDA43">
      <w:pPr>
        <w:pageBreakBefore w:val="0"/>
        <w:widowControl w:val="0"/>
        <w:kinsoku/>
        <w:wordWrap/>
        <w:overflowPunct/>
        <w:topLinePunct w:val="0"/>
        <w:autoSpaceDE/>
        <w:autoSpaceDN/>
        <w:bidi w:val="0"/>
        <w:spacing w:before="0" w:after="0" w:line="360" w:lineRule="auto"/>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五、提交成果</w:t>
      </w:r>
    </w:p>
    <w:p w14:paraId="51919581">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主要包括统计表、专题图、成果报告等。</w:t>
      </w:r>
    </w:p>
    <w:p w14:paraId="28B02CFC">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(一)统计表。包括现状耕地年度变化统计表，乡镇耕地保护基金发放汇算等。</w:t>
      </w:r>
    </w:p>
    <w:p w14:paraId="776A3542">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(二)专题图。包括现状耕地分布图、永久基本农田图，耕地布局优化分布图等。</w:t>
      </w:r>
    </w:p>
    <w:p w14:paraId="0D354367">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(三)成果报告。</w:t>
      </w:r>
    </w:p>
    <w:bookmarkEnd w:id="8"/>
    <w:bookmarkEnd w:id="9"/>
    <w:bookmarkEnd w:id="10"/>
    <w:p w14:paraId="54434EA7">
      <w:pPr>
        <w:pStyle w:val="3"/>
        <w:pageBreakBefore w:val="0"/>
        <w:widowControl w:val="0"/>
        <w:kinsoku/>
        <w:wordWrap/>
        <w:overflowPunct/>
        <w:topLinePunct w:val="0"/>
        <w:autoSpaceDE/>
        <w:autoSpaceDN/>
        <w:bidi w:val="0"/>
        <w:spacing w:after="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六、付款方式</w:t>
      </w:r>
    </w:p>
    <w:p w14:paraId="6A12FEB1">
      <w:pPr>
        <w:pageBreakBefore w:val="0"/>
        <w:widowControl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根据浙财采监〔2022〕3号文等相关文件规定，在合同生效以及具备实施条件后7个工作日内，采购人支付合同款项的30%</w:t>
      </w:r>
      <w:r>
        <w:rPr>
          <w:rFonts w:hint="eastAsia" w:ascii="宋体" w:hAnsi="宋体" w:eastAsia="宋体" w:cs="宋体"/>
          <w:color w:val="auto"/>
          <w:szCs w:val="21"/>
          <w:highlight w:val="none"/>
          <w:lang w:val="zh-CN"/>
        </w:rPr>
        <w:t>。如成交人主动要求降低预付款比例，并提交书面承诺的，采购人可降低预付款比例。</w:t>
      </w:r>
    </w:p>
    <w:p w14:paraId="6D2DD1A8">
      <w:pPr>
        <w:pStyle w:val="57"/>
        <w:pageBreakBefore w:val="0"/>
        <w:widowControl w:val="0"/>
        <w:kinsoku/>
        <w:wordWrap/>
        <w:overflowPunct/>
        <w:topLinePunct w:val="0"/>
        <w:autoSpaceDE/>
        <w:autoSpaceDN/>
        <w:bidi w:val="0"/>
        <w:adjustRightInd w:val="0"/>
        <w:snapToGrid w:val="0"/>
        <w:spacing w:line="360" w:lineRule="auto"/>
        <w:jc w:val="left"/>
        <w:outlineLvl w:val="9"/>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rPr>
        <w:t>.余款在提交成果报告并验收合格后支付。</w:t>
      </w:r>
    </w:p>
    <w:p w14:paraId="76BCC9D4">
      <w:pPr>
        <w:pageBreakBefore w:val="0"/>
        <w:widowControl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zh-CN"/>
        </w:rPr>
        <w:t>.除预付款外，每次付款前，</w:t>
      </w:r>
      <w:r>
        <w:rPr>
          <w:rFonts w:hint="eastAsia" w:ascii="宋体" w:hAnsi="宋体" w:eastAsia="宋体" w:cs="宋体"/>
          <w:color w:val="auto"/>
          <w:szCs w:val="21"/>
          <w:highlight w:val="none"/>
        </w:rPr>
        <w:t>中标人</w:t>
      </w:r>
      <w:r>
        <w:rPr>
          <w:rFonts w:hint="eastAsia" w:ascii="宋体" w:hAnsi="宋体" w:eastAsia="宋体" w:cs="宋体"/>
          <w:color w:val="auto"/>
          <w:szCs w:val="21"/>
          <w:highlight w:val="none"/>
          <w:lang w:val="zh-CN"/>
        </w:rPr>
        <w:t>应向</w:t>
      </w: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val="zh-CN"/>
        </w:rPr>
        <w:t>开具技术服务内容的相应金额的合规发票，乙方迟延开具的，甲方付款时间相应顺延。</w:t>
      </w:r>
    </w:p>
    <w:p w14:paraId="74268124">
      <w:pPr>
        <w:pageBreakBefore w:val="0"/>
        <w:widowControl w:val="0"/>
        <w:kinsoku/>
        <w:wordWrap/>
        <w:overflowPunct/>
        <w:topLinePunct w:val="0"/>
        <w:autoSpaceDE/>
        <w:autoSpaceDN/>
        <w:bidi w:val="0"/>
        <w:snapToGrid w:val="0"/>
        <w:spacing w:line="360" w:lineRule="auto"/>
        <w:jc w:val="left"/>
        <w:textAlignment w:val="baseline"/>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七、其他要求</w:t>
      </w:r>
    </w:p>
    <w:p w14:paraId="41DB79F4">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按项目需求配备项目负责人、技术负责人、各类专业技术人员、技工和其他人员等，中标人不得随意更换项目负责人，如确需更换应事先书面报采购人备案并经采购人同意；采购人有权要求中标人撤换不能胜任工作或玩忽职守、不负责的工作人员。</w:t>
      </w:r>
    </w:p>
    <w:p w14:paraId="1D08E1AB">
      <w:pPr>
        <w:pageBreakBefore w:val="0"/>
        <w:widowControl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2、中标人应自觉遵守国家法律、地方法规和采购单位各项规章制度，因中标人违反上述有关规定而导致各种罚款和责任，由乙方自行负责。</w:t>
      </w:r>
    </w:p>
    <w:p w14:paraId="11CB03C0">
      <w:pPr>
        <w:pageBreakBefore w:val="0"/>
        <w:widowControl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合同履行期间发生的一切责任如安全生产责任事故、场所内人身意外伤害事故、职工工伤事故、意外事件等及损失（包括给采购人造成的损失）均由中标人自行承担，与采购人无涉。如出现重大安全责任事故、特别重大安全责任事故的，采购人有权终止养护合同，并向相关部门通报。</w:t>
      </w:r>
    </w:p>
    <w:p w14:paraId="57B9952B">
      <w:pPr>
        <w:pageBreakBefore w:val="0"/>
        <w:widowControl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highlight w:val="none"/>
        </w:rPr>
        <w:t>普查成果报告等成果须</w:t>
      </w:r>
      <w:r>
        <w:rPr>
          <w:rFonts w:hint="eastAsia" w:ascii="宋体" w:hAnsi="宋体" w:eastAsia="宋体" w:cs="宋体"/>
          <w:color w:val="auto"/>
          <w:szCs w:val="21"/>
          <w:highlight w:val="none"/>
        </w:rPr>
        <w:t>经区级主管部门审核通过后方可验收合格。</w:t>
      </w:r>
    </w:p>
    <w:p w14:paraId="21B8E6F2">
      <w:pPr>
        <w:keepNext w:val="0"/>
        <w:keepLines w:val="0"/>
        <w:pageBreakBefore w:val="0"/>
        <w:widowControl w:val="0"/>
        <w:shd w:val="clear"/>
        <w:kinsoku/>
        <w:wordWrap/>
        <w:overflowPunct/>
        <w:topLinePunct w:val="0"/>
        <w:autoSpaceDE w:val="0"/>
        <w:autoSpaceDN w:val="0"/>
        <w:bidi w:val="0"/>
        <w:adjustRightInd w:val="0"/>
        <w:spacing w:before="62" w:beforeLines="20" w:after="62" w:afterLines="20" w:line="360" w:lineRule="auto"/>
        <w:outlineLvl w:val="9"/>
        <w:rPr>
          <w:rFonts w:asciiTheme="minorEastAsia" w:hAnsiTheme="minorEastAsia" w:eastAsiaTheme="minorEastAsia" w:cstheme="minorEastAsia"/>
          <w:color w:val="auto"/>
          <w:kern w:val="24"/>
          <w:szCs w:val="21"/>
          <w:highlight w:val="none"/>
        </w:rPr>
      </w:pPr>
      <w:r>
        <w:rPr>
          <w:rFonts w:hint="eastAsia" w:asciiTheme="minorEastAsia" w:hAnsiTheme="minorEastAsia" w:eastAsiaTheme="minorEastAsia" w:cstheme="minorEastAsia"/>
          <w:color w:val="auto"/>
          <w:kern w:val="24"/>
          <w:szCs w:val="21"/>
          <w:highlight w:val="none"/>
        </w:rPr>
        <w:br w:type="page"/>
      </w:r>
    </w:p>
    <w:p w14:paraId="5B45F63C">
      <w:pPr>
        <w:keepNext w:val="0"/>
        <w:keepLines w:val="0"/>
        <w:pageBreakBefore w:val="0"/>
        <w:widowControl w:val="0"/>
        <w:shd w:val="clear"/>
        <w:kinsoku/>
        <w:wordWrap/>
        <w:overflowPunct/>
        <w:topLinePunct w:val="0"/>
        <w:autoSpaceDE/>
        <w:autoSpaceDN/>
        <w:bidi w:val="0"/>
        <w:adjustRightInd/>
        <w:snapToGrid/>
        <w:spacing w:before="0" w:after="330" w:line="360" w:lineRule="auto"/>
        <w:jc w:val="center"/>
        <w:textAlignment w:val="auto"/>
        <w:outlineLvl w:val="0"/>
        <w:rPr>
          <w:rFonts w:cs="Times New Roman" w:asciiTheme="majorEastAsia" w:hAnsiTheme="majorEastAsia" w:eastAsiaTheme="majorEastAsia"/>
          <w:b/>
          <w:bCs/>
          <w:color w:val="auto"/>
          <w:sz w:val="32"/>
          <w:szCs w:val="40"/>
          <w:highlight w:val="none"/>
        </w:rPr>
      </w:pPr>
      <w:bookmarkStart w:id="11" w:name="_Toc27001"/>
      <w:bookmarkStart w:id="12" w:name="_Toc21677"/>
      <w:r>
        <w:rPr>
          <w:rFonts w:cs="Times New Roman" w:asciiTheme="majorEastAsia" w:hAnsiTheme="majorEastAsia" w:eastAsiaTheme="majorEastAsia"/>
          <w:b/>
          <w:bCs/>
          <w:color w:val="auto"/>
          <w:sz w:val="32"/>
          <w:szCs w:val="40"/>
          <w:highlight w:val="none"/>
        </w:rPr>
        <w:t>第三章  供应商须知</w:t>
      </w:r>
      <w:bookmarkEnd w:id="6"/>
      <w:bookmarkEnd w:id="11"/>
      <w:bookmarkEnd w:id="12"/>
    </w:p>
    <w:p w14:paraId="59C317F7">
      <w:pPr>
        <w:keepNext w:val="0"/>
        <w:keepLines w:val="0"/>
        <w:pageBreakBefore w:val="0"/>
        <w:widowControl w:val="0"/>
        <w:shd w:val="clear"/>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前附表一</w:t>
      </w:r>
    </w:p>
    <w:tbl>
      <w:tblPr>
        <w:tblStyle w:val="45"/>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0"/>
        <w:gridCol w:w="8474"/>
      </w:tblGrid>
      <w:tr w14:paraId="5E661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39C146B">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序号</w:t>
            </w:r>
          </w:p>
        </w:tc>
        <w:tc>
          <w:tcPr>
            <w:tcW w:w="8474" w:type="dxa"/>
            <w:tcBorders>
              <w:top w:val="single" w:color="auto" w:sz="4" w:space="0"/>
              <w:left w:val="single" w:color="auto" w:sz="4" w:space="0"/>
              <w:bottom w:val="single" w:color="auto" w:sz="4" w:space="0"/>
              <w:right w:val="single" w:color="auto" w:sz="4" w:space="0"/>
            </w:tcBorders>
            <w:vAlign w:val="center"/>
          </w:tcPr>
          <w:p w14:paraId="476C1660">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内容、要求</w:t>
            </w:r>
          </w:p>
        </w:tc>
      </w:tr>
      <w:tr w14:paraId="56361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C8B798E">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p>
        </w:tc>
        <w:tc>
          <w:tcPr>
            <w:tcW w:w="8474" w:type="dxa"/>
            <w:tcBorders>
              <w:top w:val="single" w:color="auto" w:sz="4" w:space="0"/>
              <w:left w:val="single" w:color="auto" w:sz="4" w:space="0"/>
              <w:bottom w:val="single" w:color="auto" w:sz="4" w:space="0"/>
              <w:right w:val="single" w:color="auto" w:sz="4" w:space="0"/>
            </w:tcBorders>
            <w:vAlign w:val="center"/>
          </w:tcPr>
          <w:p w14:paraId="6F2F2579">
            <w:pPr>
              <w:keepNext w:val="0"/>
              <w:keepLines w:val="0"/>
              <w:pageBreakBefore w:val="0"/>
              <w:widowControl w:val="0"/>
              <w:shd w:val="clear"/>
              <w:kinsoku/>
              <w:wordWrap/>
              <w:overflowPunct/>
              <w:topLinePunct w:val="0"/>
              <w:bidi w:val="0"/>
              <w:spacing w:line="440" w:lineRule="exact"/>
              <w:outlineLvl w:val="9"/>
              <w:rPr>
                <w:rFonts w:hint="eastAsia" w:asciiTheme="majorEastAsia" w:hAnsiTheme="majorEastAsia" w:eastAsiaTheme="majorEastAsia"/>
                <w:color w:val="auto"/>
                <w:highlight w:val="none"/>
                <w:lang w:eastAsia="zh-CN"/>
              </w:rPr>
            </w:pPr>
            <w:r>
              <w:rPr>
                <w:rFonts w:asciiTheme="majorEastAsia" w:hAnsiTheme="majorEastAsia" w:eastAsiaTheme="majorEastAsia"/>
                <w:color w:val="auto"/>
                <w:highlight w:val="none"/>
              </w:rPr>
              <w:t>项目名称：</w:t>
            </w:r>
            <w:r>
              <w:rPr>
                <w:rFonts w:hint="eastAsia" w:asciiTheme="majorEastAsia" w:hAnsiTheme="majorEastAsia" w:eastAsiaTheme="majorEastAsia"/>
                <w:color w:val="auto"/>
                <w:szCs w:val="21"/>
                <w:highlight w:val="none"/>
                <w:lang w:eastAsia="zh-CN"/>
              </w:rPr>
              <w:t>海曙区2024年度耕地保护和粮食安全考核服务项目</w:t>
            </w:r>
          </w:p>
        </w:tc>
      </w:tr>
      <w:tr w14:paraId="440A5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C777E2A">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2</w:t>
            </w:r>
          </w:p>
        </w:tc>
        <w:tc>
          <w:tcPr>
            <w:tcW w:w="8474" w:type="dxa"/>
            <w:tcBorders>
              <w:top w:val="single" w:color="auto" w:sz="4" w:space="0"/>
              <w:left w:val="single" w:color="auto" w:sz="4" w:space="0"/>
              <w:bottom w:val="single" w:color="auto" w:sz="4" w:space="0"/>
              <w:right w:val="single" w:color="auto" w:sz="4" w:space="0"/>
            </w:tcBorders>
            <w:vAlign w:val="center"/>
          </w:tcPr>
          <w:p w14:paraId="4F00FFD2">
            <w:pPr>
              <w:keepNext w:val="0"/>
              <w:keepLines w:val="0"/>
              <w:pageBreakBefore w:val="0"/>
              <w:widowControl w:val="0"/>
              <w:numPr>
                <w:ilvl w:val="0"/>
                <w:numId w:val="2"/>
              </w:numPr>
              <w:shd w:val="clear"/>
              <w:kinsoku/>
              <w:wordWrap/>
              <w:overflowPunct/>
              <w:topLinePunct w:val="0"/>
              <w:bidi w:val="0"/>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报价要求及其他费用：</w:t>
            </w:r>
          </w:p>
          <w:p w14:paraId="68DD8B05">
            <w:pPr>
              <w:keepNext w:val="0"/>
              <w:keepLines w:val="0"/>
              <w:pageBreakBefore w:val="0"/>
              <w:widowControl w:val="0"/>
              <w:numPr>
                <w:ilvl w:val="0"/>
                <w:numId w:val="2"/>
              </w:numPr>
              <w:shd w:val="clear"/>
              <w:kinsoku/>
              <w:wordWrap/>
              <w:overflowPunct/>
              <w:topLinePunct w:val="0"/>
              <w:bidi w:val="0"/>
              <w:spacing w:line="440" w:lineRule="exact"/>
              <w:outlineLvl w:val="9"/>
              <w:rPr>
                <w:rFonts w:hint="eastAsia" w:ascii="宋体" w:hAnsi="宋体" w:eastAsia="宋体" w:cs="宋体"/>
                <w:color w:val="auto"/>
                <w:sz w:val="21"/>
                <w:szCs w:val="21"/>
                <w:highlight w:val="none"/>
                <w:lang w:val="zh-CN"/>
              </w:rPr>
            </w:pPr>
            <w:bookmarkStart w:id="13" w:name="_Hlk20081732"/>
            <w:r>
              <w:rPr>
                <w:rFonts w:hint="eastAsia" w:ascii="宋体" w:hAnsi="宋体" w:eastAsia="宋体" w:cs="宋体"/>
                <w:color w:val="auto"/>
                <w:sz w:val="21"/>
                <w:szCs w:val="21"/>
                <w:highlight w:val="none"/>
              </w:rPr>
              <w:t>报价要求：报价</w:t>
            </w:r>
            <w:r>
              <w:rPr>
                <w:rFonts w:hint="eastAsia" w:ascii="宋体" w:hAnsi="宋体" w:cs="宋体"/>
                <w:color w:val="auto"/>
                <w:sz w:val="21"/>
                <w:szCs w:val="21"/>
                <w:highlight w:val="none"/>
                <w:lang w:eastAsia="zh-CN"/>
              </w:rPr>
              <w:t>须</w:t>
            </w:r>
            <w:r>
              <w:rPr>
                <w:rFonts w:hint="eastAsia" w:ascii="宋体" w:hAnsi="宋体" w:eastAsia="宋体" w:cs="宋体"/>
                <w:color w:val="auto"/>
                <w:sz w:val="21"/>
                <w:szCs w:val="21"/>
                <w:highlight w:val="none"/>
                <w:lang w:eastAsia="zh-CN"/>
              </w:rPr>
              <w:t>包含所有与本采购服务相关的、应支付的所有费用（包括需要向第三方支付的专利权、版权、设计或其他知识产权一切费用以及交通、住宿、成果专家评审（如有）等费用）。</w:t>
            </w:r>
          </w:p>
          <w:bookmarkEnd w:id="13"/>
          <w:p w14:paraId="7BB9D447">
            <w:pPr>
              <w:keepNext w:val="0"/>
              <w:keepLines w:val="0"/>
              <w:pageBreakBefore w:val="0"/>
              <w:widowControl w:val="0"/>
              <w:numPr>
                <w:ilvl w:val="0"/>
                <w:numId w:val="2"/>
              </w:numPr>
              <w:shd w:val="clear"/>
              <w:kinsoku/>
              <w:wordWrap/>
              <w:overflowPunct/>
              <w:topLinePunct w:val="0"/>
              <w:bidi w:val="0"/>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不论成交结果如何，供应商均应自行承担所有与采购有关的全部费用。</w:t>
            </w:r>
          </w:p>
          <w:p w14:paraId="1447E749">
            <w:pPr>
              <w:keepNext w:val="0"/>
              <w:keepLines w:val="0"/>
              <w:pageBreakBefore w:val="0"/>
              <w:widowControl w:val="0"/>
              <w:numPr>
                <w:ilvl w:val="0"/>
                <w:numId w:val="2"/>
              </w:numPr>
              <w:shd w:val="clear"/>
              <w:kinsoku/>
              <w:wordWrap/>
              <w:overflowPunct/>
              <w:topLinePunct w:val="0"/>
              <w:bidi w:val="0"/>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成交服务费：招标代理机构</w:t>
            </w:r>
            <w:r>
              <w:rPr>
                <w:rFonts w:hint="eastAsia" w:ascii="宋体" w:hAnsi="宋体" w:eastAsia="宋体" w:cs="宋体"/>
                <w:color w:val="auto"/>
                <w:sz w:val="21"/>
                <w:szCs w:val="21"/>
                <w:highlight w:val="none"/>
                <w:lang w:eastAsia="zh-CN"/>
              </w:rPr>
              <w:t>根据宁波市中介超市网比选结果，向中标人收取招标服务费</w:t>
            </w:r>
            <w:r>
              <w:rPr>
                <w:rFonts w:hint="eastAsia" w:ascii="宋体" w:hAnsi="宋体" w:cs="宋体"/>
                <w:color w:val="auto"/>
                <w:sz w:val="21"/>
                <w:szCs w:val="21"/>
                <w:highlight w:val="none"/>
                <w:lang w:val="en-US" w:eastAsia="zh-CN"/>
              </w:rPr>
              <w:t>9000</w:t>
            </w:r>
            <w:r>
              <w:rPr>
                <w:rFonts w:hint="eastAsia" w:ascii="宋体" w:hAnsi="宋体" w:eastAsia="宋体" w:cs="宋体"/>
                <w:color w:val="auto"/>
                <w:sz w:val="21"/>
                <w:szCs w:val="21"/>
                <w:highlight w:val="none"/>
                <w:lang w:eastAsia="zh-CN"/>
              </w:rPr>
              <w:t>元。</w:t>
            </w:r>
          </w:p>
        </w:tc>
      </w:tr>
      <w:tr w14:paraId="50509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6"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70D6C48">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3</w:t>
            </w:r>
          </w:p>
        </w:tc>
        <w:tc>
          <w:tcPr>
            <w:tcW w:w="8474" w:type="dxa"/>
            <w:tcBorders>
              <w:top w:val="single" w:color="auto" w:sz="4" w:space="0"/>
              <w:left w:val="single" w:color="auto" w:sz="4" w:space="0"/>
              <w:bottom w:val="single" w:color="auto" w:sz="4" w:space="0"/>
              <w:right w:val="single" w:color="auto" w:sz="4" w:space="0"/>
            </w:tcBorders>
            <w:vAlign w:val="center"/>
          </w:tcPr>
          <w:p w14:paraId="49E562FF">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答疑与澄清：供应商如认为磋商文件表述不清晰、存在歧视性、排他性或者其他违法内容的，应知其权益受到损害之日起七个工作日内，以书面形式要求</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作出书面解释、澄清或者向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提出书面质疑，逾期不予受理；</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不专门组织答疑；如有答疑，答疑内容是磋商文件的组成部分，</w:t>
            </w:r>
            <w:r>
              <w:rPr>
                <w:rFonts w:hint="eastAsia" w:asciiTheme="majorEastAsia" w:hAnsiTheme="majorEastAsia" w:eastAsiaTheme="majorEastAsia"/>
                <w:color w:val="auto"/>
                <w:highlight w:val="none"/>
              </w:rPr>
              <w:t>并将以公告形式发布于</w:t>
            </w:r>
            <w:r>
              <w:rPr>
                <w:rFonts w:hint="eastAsia" w:asciiTheme="majorEastAsia" w:hAnsiTheme="majorEastAsia" w:eastAsiaTheme="majorEastAsia"/>
                <w:color w:val="auto"/>
                <w:highlight w:val="none"/>
                <w:lang w:eastAsia="zh-CN"/>
              </w:rPr>
              <w:t>采购公告发布</w:t>
            </w:r>
            <w:r>
              <w:rPr>
                <w:rFonts w:hint="eastAsia" w:asciiTheme="majorEastAsia" w:hAnsiTheme="majorEastAsia" w:eastAsiaTheme="majorEastAsia"/>
                <w:color w:val="auto"/>
                <w:highlight w:val="none"/>
              </w:rPr>
              <w:t>网站，请供应商自行查看。</w:t>
            </w:r>
          </w:p>
        </w:tc>
      </w:tr>
      <w:tr w14:paraId="01B29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F790247">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4</w:t>
            </w:r>
          </w:p>
        </w:tc>
        <w:tc>
          <w:tcPr>
            <w:tcW w:w="8474" w:type="dxa"/>
            <w:tcBorders>
              <w:top w:val="single" w:color="auto" w:sz="4" w:space="0"/>
              <w:left w:val="single" w:color="auto" w:sz="4" w:space="0"/>
              <w:bottom w:val="single" w:color="auto" w:sz="4" w:space="0"/>
              <w:right w:val="single" w:color="auto" w:sz="4" w:space="0"/>
            </w:tcBorders>
            <w:vAlign w:val="center"/>
          </w:tcPr>
          <w:p w14:paraId="7F3F5C7A">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响应文件组成与份数：</w:t>
            </w:r>
          </w:p>
          <w:p w14:paraId="3927E732">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w:t>
            </w:r>
            <w:r>
              <w:rPr>
                <w:rFonts w:hint="eastAsia" w:asciiTheme="majorEastAsia" w:hAnsiTheme="majorEastAsia" w:eastAsiaTheme="majorEastAsia"/>
                <w:bCs/>
                <w:color w:val="auto"/>
                <w:highlight w:val="none"/>
              </w:rPr>
              <w:t>（1）</w:t>
            </w:r>
            <w:r>
              <w:rPr>
                <w:rFonts w:hint="eastAsia" w:asciiTheme="majorEastAsia" w:hAnsiTheme="majorEastAsia" w:eastAsiaTheme="majorEastAsia"/>
                <w:color w:val="auto"/>
                <w:highlight w:val="none"/>
              </w:rPr>
              <w:t>上传到政府采购云平台的电子响应文件（含资信技术文件、报价文件）1份。</w:t>
            </w:r>
          </w:p>
          <w:p w14:paraId="47B025D7">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（2）以U盘存储的电子备份响应文件（含资信技术文件、报价文件）1份</w:t>
            </w:r>
            <w:r>
              <w:rPr>
                <w:rFonts w:hint="eastAsia" w:asciiTheme="majorEastAsia" w:hAnsiTheme="majorEastAsia" w:eastAsiaTheme="majorEastAsia"/>
                <w:color w:val="auto"/>
                <w:highlight w:val="none"/>
                <w:lang w:eastAsia="zh-CN"/>
              </w:rPr>
              <w:t>（</w:t>
            </w:r>
            <w:r>
              <w:rPr>
                <w:rFonts w:hint="eastAsia" w:asciiTheme="majorEastAsia" w:hAnsiTheme="majorEastAsia" w:eastAsiaTheme="majorEastAsia"/>
                <w:color w:val="auto"/>
                <w:highlight w:val="none"/>
                <w:lang w:val="en-US" w:eastAsia="zh-CN"/>
              </w:rPr>
              <w:t>自愿提供</w:t>
            </w:r>
            <w:r>
              <w:rPr>
                <w:rFonts w:hint="eastAsia" w:asciiTheme="majorEastAsia" w:hAnsiTheme="majorEastAsia" w:eastAsiaTheme="majorEastAsia"/>
                <w:color w:val="auto"/>
                <w:highlight w:val="none"/>
                <w:lang w:eastAsia="zh-CN"/>
              </w:rPr>
              <w:t>）</w:t>
            </w:r>
            <w:r>
              <w:rPr>
                <w:rFonts w:hint="eastAsia" w:asciiTheme="majorEastAsia" w:hAnsiTheme="majorEastAsia" w:eastAsiaTheme="majorEastAsia"/>
                <w:color w:val="auto"/>
                <w:highlight w:val="none"/>
              </w:rPr>
              <w:t>。</w:t>
            </w:r>
          </w:p>
        </w:tc>
      </w:tr>
      <w:tr w14:paraId="0E762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944435B">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5</w:t>
            </w:r>
          </w:p>
        </w:tc>
        <w:tc>
          <w:tcPr>
            <w:tcW w:w="8474" w:type="dxa"/>
            <w:tcBorders>
              <w:top w:val="single" w:color="auto" w:sz="4" w:space="0"/>
              <w:left w:val="single" w:color="auto" w:sz="4" w:space="0"/>
              <w:bottom w:val="single" w:color="auto" w:sz="4" w:space="0"/>
              <w:right w:val="single" w:color="auto" w:sz="4" w:space="0"/>
            </w:tcBorders>
            <w:vAlign w:val="center"/>
          </w:tcPr>
          <w:p w14:paraId="5BDC4DC8">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w:t>
            </w:r>
            <w:r>
              <w:rPr>
                <w:rFonts w:asciiTheme="majorEastAsia" w:hAnsiTheme="majorEastAsia" w:eastAsiaTheme="majorEastAsia"/>
                <w:color w:val="auto"/>
                <w:highlight w:val="none"/>
              </w:rPr>
              <w:t>响应文件截止时间和地点：详见第一章</w:t>
            </w:r>
          </w:p>
        </w:tc>
      </w:tr>
      <w:tr w14:paraId="0EF1E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C8A2DD1">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6</w:t>
            </w:r>
          </w:p>
        </w:tc>
        <w:tc>
          <w:tcPr>
            <w:tcW w:w="8474" w:type="dxa"/>
            <w:tcBorders>
              <w:top w:val="single" w:color="auto" w:sz="4" w:space="0"/>
              <w:left w:val="single" w:color="auto" w:sz="4" w:space="0"/>
              <w:bottom w:val="single" w:color="auto" w:sz="4" w:space="0"/>
              <w:right w:val="single" w:color="auto" w:sz="4" w:space="0"/>
            </w:tcBorders>
            <w:vAlign w:val="center"/>
          </w:tcPr>
          <w:p w14:paraId="32C6C4BB">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（上传）响应文件开启</w:t>
            </w:r>
            <w:r>
              <w:rPr>
                <w:rFonts w:asciiTheme="majorEastAsia" w:hAnsiTheme="majorEastAsia" w:eastAsiaTheme="majorEastAsia"/>
                <w:color w:val="auto"/>
                <w:highlight w:val="none"/>
              </w:rPr>
              <w:t>时间及地点：详见第一章</w:t>
            </w:r>
          </w:p>
        </w:tc>
      </w:tr>
      <w:tr w14:paraId="4146E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D3DDC27">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7</w:t>
            </w:r>
          </w:p>
        </w:tc>
        <w:tc>
          <w:tcPr>
            <w:tcW w:w="8474" w:type="dxa"/>
            <w:tcBorders>
              <w:top w:val="single" w:color="auto" w:sz="4" w:space="0"/>
              <w:left w:val="single" w:color="auto" w:sz="4" w:space="0"/>
              <w:bottom w:val="single" w:color="auto" w:sz="4" w:space="0"/>
              <w:right w:val="single" w:color="auto" w:sz="4" w:space="0"/>
            </w:tcBorders>
            <w:vAlign w:val="center"/>
          </w:tcPr>
          <w:p w14:paraId="0D0B14AC">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评审办法及评审标准：详见第四章</w:t>
            </w:r>
          </w:p>
        </w:tc>
      </w:tr>
      <w:tr w14:paraId="2CDED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2F62E4E">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8</w:t>
            </w:r>
          </w:p>
        </w:tc>
        <w:tc>
          <w:tcPr>
            <w:tcW w:w="8474" w:type="dxa"/>
            <w:tcBorders>
              <w:top w:val="single" w:color="auto" w:sz="4" w:space="0"/>
              <w:left w:val="single" w:color="auto" w:sz="4" w:space="0"/>
              <w:bottom w:val="single" w:color="auto" w:sz="4" w:space="0"/>
              <w:right w:val="single" w:color="auto" w:sz="4" w:space="0"/>
            </w:tcBorders>
            <w:vAlign w:val="center"/>
          </w:tcPr>
          <w:p w14:paraId="7B3A6C5A">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成交结果公示网站：</w:t>
            </w:r>
            <w:r>
              <w:rPr>
                <w:rFonts w:hint="eastAsia" w:asciiTheme="majorEastAsia" w:hAnsiTheme="majorEastAsia" w:eastAsiaTheme="majorEastAsia"/>
                <w:color w:val="auto"/>
                <w:highlight w:val="none"/>
              </w:rPr>
              <w:t>评审结束后，</w:t>
            </w:r>
            <w:r>
              <w:rPr>
                <w:rFonts w:hint="eastAsia" w:cs="宋体" w:asciiTheme="majorEastAsia" w:hAnsiTheme="majorEastAsia" w:eastAsiaTheme="majorEastAsia"/>
                <w:color w:val="auto"/>
                <w:szCs w:val="21"/>
                <w:highlight w:val="none"/>
              </w:rPr>
              <w:t>经采购人确认，成交结果公示于</w:t>
            </w:r>
            <w:r>
              <w:rPr>
                <w:rFonts w:hint="eastAsia" w:cs="宋体" w:asciiTheme="majorEastAsia" w:hAnsiTheme="majorEastAsia" w:eastAsiaTheme="majorEastAsia"/>
                <w:color w:val="auto"/>
                <w:szCs w:val="21"/>
                <w:highlight w:val="none"/>
                <w:lang w:eastAsia="zh-CN"/>
              </w:rPr>
              <w:t>采购</w:t>
            </w:r>
            <w:r>
              <w:rPr>
                <w:rFonts w:hint="eastAsia" w:asciiTheme="majorEastAsia" w:hAnsiTheme="majorEastAsia" w:eastAsiaTheme="majorEastAsia"/>
                <w:color w:val="auto"/>
                <w:highlight w:val="none"/>
                <w:lang w:eastAsia="zh-CN"/>
              </w:rPr>
              <w:t>公告发布</w:t>
            </w:r>
            <w:r>
              <w:rPr>
                <w:rFonts w:hint="eastAsia" w:asciiTheme="majorEastAsia" w:hAnsiTheme="majorEastAsia" w:eastAsiaTheme="majorEastAsia"/>
                <w:color w:val="auto"/>
                <w:highlight w:val="none"/>
              </w:rPr>
              <w:t>网站</w:t>
            </w:r>
          </w:p>
        </w:tc>
      </w:tr>
      <w:tr w14:paraId="5CFF6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3CB6376">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9</w:t>
            </w:r>
          </w:p>
        </w:tc>
        <w:tc>
          <w:tcPr>
            <w:tcW w:w="8474" w:type="dxa"/>
            <w:tcBorders>
              <w:top w:val="single" w:color="auto" w:sz="4" w:space="0"/>
              <w:left w:val="single" w:color="auto" w:sz="4" w:space="0"/>
              <w:bottom w:val="single" w:color="auto" w:sz="4" w:space="0"/>
              <w:right w:val="single" w:color="auto" w:sz="4" w:space="0"/>
            </w:tcBorders>
            <w:vAlign w:val="center"/>
          </w:tcPr>
          <w:p w14:paraId="7255E69F">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采购资金来源：</w:t>
            </w:r>
            <w:r>
              <w:rPr>
                <w:rFonts w:hint="eastAsia" w:asciiTheme="majorEastAsia" w:hAnsiTheme="majorEastAsia" w:eastAsiaTheme="majorEastAsia"/>
                <w:color w:val="auto"/>
                <w:highlight w:val="none"/>
                <w:lang w:eastAsia="zh-CN"/>
              </w:rPr>
              <w:t>预算资金</w:t>
            </w:r>
          </w:p>
        </w:tc>
      </w:tr>
      <w:tr w14:paraId="6AA6D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F58B9B9">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0</w:t>
            </w:r>
          </w:p>
        </w:tc>
        <w:tc>
          <w:tcPr>
            <w:tcW w:w="8474" w:type="dxa"/>
            <w:tcBorders>
              <w:top w:val="single" w:color="auto" w:sz="4" w:space="0"/>
              <w:left w:val="single" w:color="auto" w:sz="4" w:space="0"/>
              <w:bottom w:val="single" w:color="auto" w:sz="4" w:space="0"/>
              <w:right w:val="single" w:color="auto" w:sz="4" w:space="0"/>
            </w:tcBorders>
            <w:vAlign w:val="center"/>
          </w:tcPr>
          <w:p w14:paraId="424CE094">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响应文件有效期：</w:t>
            </w:r>
            <w:r>
              <w:rPr>
                <w:rFonts w:asciiTheme="majorEastAsia" w:hAnsiTheme="majorEastAsia" w:eastAsiaTheme="majorEastAsia"/>
                <w:bCs/>
                <w:color w:val="auto"/>
                <w:szCs w:val="21"/>
                <w:highlight w:val="none"/>
              </w:rPr>
              <w:t>提交首次响应文件截止日起</w:t>
            </w:r>
            <w:r>
              <w:rPr>
                <w:rFonts w:hint="eastAsia" w:asciiTheme="majorEastAsia" w:hAnsiTheme="majorEastAsia" w:eastAsiaTheme="majorEastAsia"/>
                <w:color w:val="auto"/>
                <w:highlight w:val="none"/>
                <w:lang w:val="en-US" w:eastAsia="zh-CN"/>
              </w:rPr>
              <w:t>9</w:t>
            </w:r>
            <w:r>
              <w:rPr>
                <w:rFonts w:hint="eastAsia" w:asciiTheme="majorEastAsia" w:hAnsiTheme="majorEastAsia" w:eastAsiaTheme="majorEastAsia"/>
                <w:color w:val="auto"/>
                <w:highlight w:val="none"/>
              </w:rPr>
              <w:t>0</w:t>
            </w:r>
            <w:r>
              <w:rPr>
                <w:rFonts w:asciiTheme="majorEastAsia" w:hAnsiTheme="majorEastAsia" w:eastAsiaTheme="majorEastAsia"/>
                <w:color w:val="auto"/>
                <w:highlight w:val="none"/>
              </w:rPr>
              <w:t>天</w:t>
            </w:r>
          </w:p>
        </w:tc>
      </w:tr>
      <w:tr w14:paraId="0708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45EC5ED1">
            <w:pPr>
              <w:keepNext w:val="0"/>
              <w:keepLines w:val="0"/>
              <w:pageBreakBefore w:val="0"/>
              <w:widowControl w:val="0"/>
              <w:shd w:val="clear"/>
              <w:kinsoku/>
              <w:wordWrap/>
              <w:overflowPunct/>
              <w:topLinePunct w:val="0"/>
              <w:bidi w:val="0"/>
              <w:adjustRightInd w:val="0"/>
              <w:snapToGrid w:val="0"/>
              <w:spacing w:line="360" w:lineRule="exact"/>
              <w:jc w:val="center"/>
              <w:outlineLvl w:val="9"/>
              <w:rPr>
                <w:rFonts w:ascii="宋体" w:hAnsi="宋体" w:cs="宋体"/>
                <w:color w:val="auto"/>
                <w:szCs w:val="21"/>
                <w:highlight w:val="none"/>
              </w:rPr>
            </w:pPr>
            <w:r>
              <w:rPr>
                <w:rFonts w:hint="eastAsia" w:ascii="宋体" w:hAnsi="宋体" w:cs="宋体"/>
                <w:color w:val="auto"/>
                <w:szCs w:val="21"/>
                <w:highlight w:val="none"/>
              </w:rPr>
              <w:t>11</w:t>
            </w:r>
          </w:p>
        </w:tc>
        <w:tc>
          <w:tcPr>
            <w:tcW w:w="8474" w:type="dxa"/>
            <w:vAlign w:val="center"/>
          </w:tcPr>
          <w:p w14:paraId="670E4AF6">
            <w:pPr>
              <w:keepNext w:val="0"/>
              <w:keepLines w:val="0"/>
              <w:pageBreakBefore w:val="0"/>
              <w:widowControl w:val="0"/>
              <w:shd w:val="clear"/>
              <w:kinsoku/>
              <w:wordWrap/>
              <w:overflowPunct/>
              <w:topLinePunct w:val="0"/>
              <w:bidi w:val="0"/>
              <w:adjustRightInd w:val="0"/>
              <w:snapToGrid w:val="0"/>
              <w:spacing w:line="360" w:lineRule="exact"/>
              <w:outlineLvl w:val="9"/>
              <w:rPr>
                <w:rFonts w:ascii="宋体" w:hAnsi="宋体" w:cs="宋体"/>
                <w:color w:val="auto"/>
                <w:szCs w:val="21"/>
                <w:highlight w:val="none"/>
              </w:rPr>
            </w:pPr>
            <w:r>
              <w:rPr>
                <w:rFonts w:hint="eastAsia" w:ascii="宋体" w:hAnsi="宋体" w:cs="宋体"/>
                <w:color w:val="auto"/>
                <w:szCs w:val="21"/>
                <w:highlight w:val="none"/>
              </w:rPr>
              <w:t>履约保证金：</w:t>
            </w:r>
            <w:r>
              <w:rPr>
                <w:rFonts w:hint="eastAsia" w:ascii="宋体" w:hAnsi="宋体" w:cs="宋体"/>
                <w:color w:val="auto"/>
                <w:szCs w:val="21"/>
                <w:highlight w:val="none"/>
                <w:lang w:eastAsia="zh-CN"/>
              </w:rPr>
              <w:t>无</w:t>
            </w:r>
          </w:p>
        </w:tc>
      </w:tr>
      <w:tr w14:paraId="1631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4FF72983">
            <w:pPr>
              <w:keepNext w:val="0"/>
              <w:keepLines w:val="0"/>
              <w:pageBreakBefore w:val="0"/>
              <w:widowControl w:val="0"/>
              <w:shd w:val="clear"/>
              <w:kinsoku/>
              <w:wordWrap/>
              <w:overflowPunct/>
              <w:topLinePunct w:val="0"/>
              <w:bidi w:val="0"/>
              <w:adjustRightInd w:val="0"/>
              <w:snapToGrid w:val="0"/>
              <w:spacing w:line="360" w:lineRule="exact"/>
              <w:jc w:val="center"/>
              <w:outlineLvl w:val="9"/>
              <w:rPr>
                <w:rFonts w:ascii="宋体" w:hAnsi="宋体" w:cs="宋体"/>
                <w:color w:val="auto"/>
                <w:szCs w:val="21"/>
                <w:highlight w:val="none"/>
              </w:rPr>
            </w:pPr>
            <w:r>
              <w:rPr>
                <w:rFonts w:hint="eastAsia" w:ascii="宋体" w:hAnsi="宋体" w:cs="宋体"/>
                <w:color w:val="auto"/>
                <w:szCs w:val="21"/>
                <w:highlight w:val="none"/>
              </w:rPr>
              <w:t>12</w:t>
            </w:r>
          </w:p>
        </w:tc>
        <w:tc>
          <w:tcPr>
            <w:tcW w:w="8474" w:type="dxa"/>
            <w:vAlign w:val="center"/>
          </w:tcPr>
          <w:p w14:paraId="5C69604B">
            <w:pPr>
              <w:keepNext w:val="0"/>
              <w:keepLines w:val="0"/>
              <w:pageBreakBefore w:val="0"/>
              <w:widowControl w:val="0"/>
              <w:shd w:val="clear"/>
              <w:kinsoku/>
              <w:wordWrap/>
              <w:overflowPunct/>
              <w:topLinePunct w:val="0"/>
              <w:bidi w:val="0"/>
              <w:adjustRightInd w:val="0"/>
              <w:snapToGrid w:val="0"/>
              <w:spacing w:line="360" w:lineRule="exact"/>
              <w:outlineLvl w:val="9"/>
              <w:rPr>
                <w:rFonts w:ascii="宋体" w:hAnsi="宋体" w:cs="宋体"/>
                <w:color w:val="auto"/>
                <w:szCs w:val="21"/>
                <w:highlight w:val="none"/>
              </w:rPr>
            </w:pPr>
            <w:r>
              <w:rPr>
                <w:rFonts w:hint="eastAsia" w:ascii="宋体" w:hAnsi="宋体" w:cs="宋体"/>
                <w:color w:val="auto"/>
                <w:szCs w:val="21"/>
                <w:highlight w:val="none"/>
              </w:rPr>
              <w:t>合同签订时间：成交通知书发出后</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rPr>
              <w:t>个工作日内</w:t>
            </w:r>
          </w:p>
        </w:tc>
      </w:tr>
      <w:tr w14:paraId="5EDE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3BE929F4">
            <w:pPr>
              <w:keepNext w:val="0"/>
              <w:keepLines w:val="0"/>
              <w:pageBreakBefore w:val="0"/>
              <w:widowControl w:val="0"/>
              <w:shd w:val="clear"/>
              <w:kinsoku/>
              <w:wordWrap/>
              <w:overflowPunct/>
              <w:topLinePunct w:val="0"/>
              <w:bidi w:val="0"/>
              <w:adjustRightInd w:val="0"/>
              <w:snapToGrid w:val="0"/>
              <w:spacing w:line="360" w:lineRule="exact"/>
              <w:jc w:val="center"/>
              <w:outlineLvl w:val="9"/>
              <w:rPr>
                <w:rFonts w:ascii="宋体" w:hAnsi="宋体" w:cs="宋体"/>
                <w:color w:val="auto"/>
                <w:szCs w:val="21"/>
                <w:highlight w:val="none"/>
              </w:rPr>
            </w:pPr>
            <w:r>
              <w:rPr>
                <w:rFonts w:hint="eastAsia" w:ascii="宋体" w:hAnsi="宋体" w:cs="宋体"/>
                <w:color w:val="auto"/>
                <w:szCs w:val="21"/>
                <w:highlight w:val="none"/>
              </w:rPr>
              <w:t>13</w:t>
            </w:r>
          </w:p>
        </w:tc>
        <w:tc>
          <w:tcPr>
            <w:tcW w:w="8474" w:type="dxa"/>
            <w:vAlign w:val="center"/>
          </w:tcPr>
          <w:p w14:paraId="30EA2872">
            <w:pPr>
              <w:keepNext w:val="0"/>
              <w:keepLines w:val="0"/>
              <w:pageBreakBefore w:val="0"/>
              <w:widowControl w:val="0"/>
              <w:shd w:val="clear"/>
              <w:kinsoku/>
              <w:wordWrap/>
              <w:overflowPunct/>
              <w:topLinePunct w:val="0"/>
              <w:bidi w:val="0"/>
              <w:adjustRightInd w:val="0"/>
              <w:snapToGrid w:val="0"/>
              <w:spacing w:line="360" w:lineRule="exact"/>
              <w:outlineLvl w:val="9"/>
              <w:rPr>
                <w:rFonts w:ascii="宋体" w:hAnsi="宋体" w:cs="宋体"/>
                <w:color w:val="auto"/>
                <w:szCs w:val="21"/>
                <w:highlight w:val="none"/>
              </w:rPr>
            </w:pPr>
            <w:r>
              <w:rPr>
                <w:rFonts w:hint="eastAsia" w:ascii="宋体" w:hAnsi="宋体" w:cs="宋体"/>
                <w:color w:val="auto"/>
                <w:szCs w:val="21"/>
                <w:highlight w:val="none"/>
              </w:rPr>
              <w:t>合同地点：采购人指定地点</w:t>
            </w:r>
          </w:p>
        </w:tc>
      </w:tr>
      <w:tr w14:paraId="2097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30216997">
            <w:pPr>
              <w:keepNext w:val="0"/>
              <w:keepLines w:val="0"/>
              <w:pageBreakBefore w:val="0"/>
              <w:widowControl w:val="0"/>
              <w:shd w:val="clear"/>
              <w:kinsoku/>
              <w:wordWrap/>
              <w:overflowPunct/>
              <w:topLinePunct w:val="0"/>
              <w:bidi w:val="0"/>
              <w:adjustRightInd w:val="0"/>
              <w:snapToGrid w:val="0"/>
              <w:spacing w:line="360" w:lineRule="exact"/>
              <w:jc w:val="center"/>
              <w:outlineLvl w:val="9"/>
              <w:rPr>
                <w:rFonts w:ascii="宋体" w:hAnsi="宋体" w:cs="宋体"/>
                <w:color w:val="auto"/>
                <w:szCs w:val="21"/>
                <w:highlight w:val="none"/>
              </w:rPr>
            </w:pPr>
            <w:r>
              <w:rPr>
                <w:rFonts w:hint="eastAsia" w:ascii="宋体" w:hAnsi="宋体" w:cs="宋体"/>
                <w:color w:val="auto"/>
                <w:szCs w:val="21"/>
                <w:highlight w:val="none"/>
              </w:rPr>
              <w:t>14</w:t>
            </w:r>
          </w:p>
        </w:tc>
        <w:tc>
          <w:tcPr>
            <w:tcW w:w="8474" w:type="dxa"/>
            <w:vAlign w:val="center"/>
          </w:tcPr>
          <w:p w14:paraId="1F72078D">
            <w:pPr>
              <w:keepNext w:val="0"/>
              <w:keepLines w:val="0"/>
              <w:pageBreakBefore w:val="0"/>
              <w:widowControl w:val="0"/>
              <w:shd w:val="clear"/>
              <w:kinsoku/>
              <w:wordWrap/>
              <w:overflowPunct/>
              <w:topLinePunct w:val="0"/>
              <w:bidi w:val="0"/>
              <w:adjustRightInd w:val="0"/>
              <w:snapToGrid w:val="0"/>
              <w:spacing w:line="360" w:lineRule="exact"/>
              <w:outlineLvl w:val="9"/>
              <w:rPr>
                <w:rFonts w:ascii="宋体" w:hAnsi="宋体" w:cs="宋体"/>
                <w:color w:val="auto"/>
                <w:szCs w:val="21"/>
                <w:highlight w:val="none"/>
              </w:rPr>
            </w:pPr>
            <w:r>
              <w:rPr>
                <w:rFonts w:hint="eastAsia" w:ascii="宋体" w:hAnsi="宋体" w:cs="宋体"/>
                <w:color w:val="auto"/>
                <w:szCs w:val="21"/>
                <w:highlight w:val="none"/>
              </w:rPr>
              <w:t>预付款：详见付款方式</w:t>
            </w:r>
          </w:p>
        </w:tc>
      </w:tr>
      <w:tr w14:paraId="791D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80" w:type="dxa"/>
            <w:vAlign w:val="center"/>
          </w:tcPr>
          <w:p w14:paraId="3C04DA1F">
            <w:pPr>
              <w:keepNext w:val="0"/>
              <w:keepLines w:val="0"/>
              <w:pageBreakBefore w:val="0"/>
              <w:widowControl w:val="0"/>
              <w:shd w:val="clear"/>
              <w:kinsoku/>
              <w:wordWrap/>
              <w:overflowPunct/>
              <w:topLinePunct w:val="0"/>
              <w:bidi w:val="0"/>
              <w:adjustRightInd w:val="0"/>
              <w:snapToGrid w:val="0"/>
              <w:spacing w:line="360" w:lineRule="exact"/>
              <w:jc w:val="center"/>
              <w:outlineLvl w:val="9"/>
              <w:rPr>
                <w:rFonts w:ascii="宋体" w:hAnsi="宋体" w:cs="宋体"/>
                <w:color w:val="auto"/>
                <w:szCs w:val="21"/>
                <w:highlight w:val="none"/>
              </w:rPr>
            </w:pPr>
            <w:r>
              <w:rPr>
                <w:rFonts w:hint="eastAsia" w:ascii="宋体" w:hAnsi="宋体" w:cs="宋体"/>
                <w:color w:val="auto"/>
                <w:szCs w:val="21"/>
                <w:highlight w:val="none"/>
              </w:rPr>
              <w:t>15</w:t>
            </w:r>
          </w:p>
        </w:tc>
        <w:tc>
          <w:tcPr>
            <w:tcW w:w="8474" w:type="dxa"/>
            <w:vAlign w:val="center"/>
          </w:tcPr>
          <w:p w14:paraId="598E00D6">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付款方式：</w:t>
            </w:r>
          </w:p>
          <w:p w14:paraId="3B91AB41">
            <w:pPr>
              <w:pageBreakBefore w:val="0"/>
              <w:widowControl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根据浙财采监〔2022〕3号文等相关文件规定，在合同生效以及具备实施条件后7个工作日内，采购人支付合同款项的30%</w:t>
            </w:r>
            <w:r>
              <w:rPr>
                <w:rFonts w:hint="eastAsia" w:ascii="宋体" w:hAnsi="宋体" w:eastAsia="宋体" w:cs="宋体"/>
                <w:color w:val="auto"/>
                <w:szCs w:val="21"/>
                <w:highlight w:val="none"/>
                <w:lang w:val="zh-CN"/>
              </w:rPr>
              <w:t>。如成交人主动要求降低预付款比例，并提交书面承诺的，采购人可降低预付款比例。</w:t>
            </w:r>
          </w:p>
          <w:p w14:paraId="15260844">
            <w:pPr>
              <w:pStyle w:val="57"/>
              <w:pageBreakBefore w:val="0"/>
              <w:widowControl w:val="0"/>
              <w:kinsoku/>
              <w:wordWrap/>
              <w:overflowPunct/>
              <w:topLinePunct w:val="0"/>
              <w:autoSpaceDE/>
              <w:autoSpaceDN/>
              <w:bidi w:val="0"/>
              <w:adjustRightInd w:val="0"/>
              <w:snapToGrid w:val="0"/>
              <w:spacing w:line="360" w:lineRule="auto"/>
              <w:jc w:val="left"/>
              <w:outlineLvl w:val="9"/>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rPr>
              <w:t>.余款在提交成果报告并验收合格后支付。</w:t>
            </w:r>
          </w:p>
          <w:p w14:paraId="3F8AC38A">
            <w:pPr>
              <w:pageBreakBefore w:val="0"/>
              <w:widowControl w:val="0"/>
              <w:kinsoku/>
              <w:wordWrap/>
              <w:overflowPunct/>
              <w:topLinePunct w:val="0"/>
              <w:autoSpaceDE/>
              <w:autoSpaceDN/>
              <w:bidi w:val="0"/>
              <w:snapToGrid w:val="0"/>
              <w:spacing w:line="360" w:lineRule="auto"/>
              <w:ind w:firstLine="420" w:firstLineChars="200"/>
              <w:jc w:val="left"/>
              <w:textAlignment w:val="baseline"/>
              <w:outlineLvl w:val="9"/>
              <w:rPr>
                <w:color w:val="auto"/>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zh-CN"/>
              </w:rPr>
              <w:t>.除预付款外，每次付款前，</w:t>
            </w:r>
            <w:r>
              <w:rPr>
                <w:rFonts w:hint="eastAsia" w:ascii="宋体" w:hAnsi="宋体" w:eastAsia="宋体" w:cs="宋体"/>
                <w:color w:val="auto"/>
                <w:szCs w:val="21"/>
                <w:highlight w:val="none"/>
              </w:rPr>
              <w:t>中标人</w:t>
            </w:r>
            <w:r>
              <w:rPr>
                <w:rFonts w:hint="eastAsia" w:ascii="宋体" w:hAnsi="宋体" w:eastAsia="宋体" w:cs="宋体"/>
                <w:color w:val="auto"/>
                <w:szCs w:val="21"/>
                <w:highlight w:val="none"/>
                <w:lang w:val="zh-CN"/>
              </w:rPr>
              <w:t>应向</w:t>
            </w: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val="zh-CN"/>
              </w:rPr>
              <w:t>开具技术服务内容的相应金额的合规发票，乙方迟延开具的，甲方付款时间相应顺延。</w:t>
            </w:r>
          </w:p>
        </w:tc>
      </w:tr>
      <w:tr w14:paraId="1CCB7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CEC5EDB">
            <w:pPr>
              <w:keepNext w:val="0"/>
              <w:keepLines w:val="0"/>
              <w:pageBreakBefore w:val="0"/>
              <w:widowControl w:val="0"/>
              <w:shd w:val="clear"/>
              <w:kinsoku/>
              <w:wordWrap/>
              <w:overflowPunct/>
              <w:topLinePunct w:val="0"/>
              <w:bidi w:val="0"/>
              <w:spacing w:line="440" w:lineRule="exact"/>
              <w:jc w:val="center"/>
              <w:outlineLvl w:val="9"/>
              <w:rPr>
                <w:rFonts w:hint="default"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lang w:val="en-US" w:eastAsia="zh-CN"/>
              </w:rPr>
              <w:t>16</w:t>
            </w:r>
          </w:p>
        </w:tc>
        <w:tc>
          <w:tcPr>
            <w:tcW w:w="8474" w:type="dxa"/>
            <w:tcBorders>
              <w:top w:val="single" w:color="auto" w:sz="4" w:space="0"/>
              <w:left w:val="single" w:color="auto" w:sz="4" w:space="0"/>
              <w:bottom w:val="single" w:color="auto" w:sz="4" w:space="0"/>
              <w:right w:val="single" w:color="auto" w:sz="4" w:space="0"/>
            </w:tcBorders>
            <w:vAlign w:val="center"/>
          </w:tcPr>
          <w:p w14:paraId="24490CB1">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解释：本磋商文件的解释权属于</w:t>
            </w:r>
            <w:r>
              <w:rPr>
                <w:rFonts w:hint="eastAsia" w:asciiTheme="majorEastAsia" w:hAnsiTheme="majorEastAsia" w:eastAsiaTheme="majorEastAsia"/>
                <w:color w:val="auto"/>
                <w:highlight w:val="none"/>
              </w:rPr>
              <w:t>采购人和采购代理机构。</w:t>
            </w:r>
            <w:r>
              <w:rPr>
                <w:rFonts w:hint="eastAsia" w:ascii="宋体" w:hAnsi="宋体" w:cs="宋体"/>
                <w:color w:val="auto"/>
                <w:szCs w:val="21"/>
                <w:highlight w:val="none"/>
              </w:rPr>
              <w:t>项目名称、公告标题等不影响对项目性质的认定；构成本采购文件的各个组成文件应互为解释，互为说明；如有不明确或不一致，构成合同文件组成内容的，以合同文件约定内容为准，且以专用合同条款约定的合同文件优先顺序解释；除采购文件中有特别规定外，仅适用于磋商阶段的规定，按采购公告、供应商须知前附表、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招标采购单位负责解释。</w:t>
            </w:r>
          </w:p>
        </w:tc>
      </w:tr>
    </w:tbl>
    <w:p w14:paraId="3676A44D">
      <w:pPr>
        <w:keepNext w:val="0"/>
        <w:keepLines w:val="0"/>
        <w:pageBreakBefore w:val="0"/>
        <w:widowControl w:val="0"/>
        <w:shd w:val="clear"/>
        <w:kinsoku/>
        <w:wordWrap/>
        <w:overflowPunct/>
        <w:topLinePunct w:val="0"/>
        <w:bidi w:val="0"/>
        <w:outlineLvl w:val="9"/>
        <w:rPr>
          <w:rFonts w:asciiTheme="majorEastAsia" w:hAnsiTheme="majorEastAsia" w:eastAsiaTheme="majorEastAsia"/>
          <w:color w:val="auto"/>
          <w:highlight w:val="none"/>
        </w:rPr>
      </w:pPr>
    </w:p>
    <w:p w14:paraId="046D53A7">
      <w:pPr>
        <w:keepNext w:val="0"/>
        <w:keepLines w:val="0"/>
        <w:pageBreakBefore w:val="0"/>
        <w:widowControl w:val="0"/>
        <w:shd w:val="clear"/>
        <w:kinsoku/>
        <w:wordWrap/>
        <w:overflowPunct/>
        <w:topLinePunct w:val="0"/>
        <w:bidi w:val="0"/>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3576C78B">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outlineLvl w:val="9"/>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一</w:t>
      </w:r>
      <w:r>
        <w:rPr>
          <w:rFonts w:hint="eastAsia" w:asciiTheme="majorEastAsia" w:hAnsiTheme="majorEastAsia" w:eastAsiaTheme="majorEastAsia"/>
          <w:b/>
          <w:color w:val="auto"/>
          <w:sz w:val="21"/>
          <w:szCs w:val="21"/>
          <w:highlight w:val="none"/>
          <w:lang w:eastAsia="zh-CN"/>
        </w:rPr>
        <w:t>、</w:t>
      </w:r>
      <w:r>
        <w:rPr>
          <w:rFonts w:asciiTheme="majorEastAsia" w:hAnsiTheme="majorEastAsia" w:eastAsiaTheme="majorEastAsia"/>
          <w:b/>
          <w:color w:val="auto"/>
          <w:sz w:val="21"/>
          <w:szCs w:val="21"/>
          <w:highlight w:val="none"/>
        </w:rPr>
        <w:t>总则</w:t>
      </w:r>
    </w:p>
    <w:p w14:paraId="6D168FD6">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 适用范围</w:t>
      </w:r>
    </w:p>
    <w:p w14:paraId="4F7922A1">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本磋商文件适用于</w:t>
      </w:r>
      <w:r>
        <w:rPr>
          <w:rFonts w:hint="eastAsia" w:asciiTheme="majorEastAsia" w:hAnsiTheme="majorEastAsia" w:eastAsiaTheme="majorEastAsia"/>
          <w:color w:val="auto"/>
          <w:highlight w:val="none"/>
          <w:lang w:eastAsia="zh-CN"/>
        </w:rPr>
        <w:t>海曙区2024年度耕地保护和粮食安全考核服务项目</w:t>
      </w:r>
      <w:r>
        <w:rPr>
          <w:rFonts w:asciiTheme="majorEastAsia" w:hAnsiTheme="majorEastAsia" w:eastAsiaTheme="majorEastAsia"/>
          <w:color w:val="auto"/>
          <w:highlight w:val="none"/>
        </w:rPr>
        <w:t>的磋商公告、响应、评审、验收、合同履约、付款等行为（法律、法规另有规定的，从其规定）。</w:t>
      </w:r>
    </w:p>
    <w:p w14:paraId="034D8AA2">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（二）定义</w:t>
      </w:r>
    </w:p>
    <w:p w14:paraId="660AAC0B">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1.“采购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”系指组织本次磋商的</w:t>
      </w:r>
      <w:r>
        <w:rPr>
          <w:rFonts w:hint="eastAsia" w:asciiTheme="majorEastAsia" w:hAnsiTheme="majorEastAsia" w:eastAsiaTheme="majorEastAsia"/>
          <w:color w:val="auto"/>
          <w:highlight w:val="none"/>
        </w:rPr>
        <w:t>“</w:t>
      </w:r>
      <w:r>
        <w:rPr>
          <w:rFonts w:hint="eastAsia" w:asciiTheme="majorEastAsia" w:hAnsiTheme="majorEastAsia" w:eastAsiaTheme="majorEastAsia"/>
          <w:color w:val="auto"/>
          <w:highlight w:val="none"/>
          <w:lang w:eastAsia="zh-CN"/>
        </w:rPr>
        <w:t>宁波市自然资源和规划局海曙分局</w:t>
      </w:r>
      <w:r>
        <w:rPr>
          <w:rFonts w:hint="eastAsia" w:asciiTheme="majorEastAsia" w:hAnsiTheme="majorEastAsia" w:eastAsiaTheme="majorEastAsia"/>
          <w:color w:val="auto"/>
          <w:highlight w:val="none"/>
        </w:rPr>
        <w:t>”</w:t>
      </w:r>
      <w:r>
        <w:rPr>
          <w:rFonts w:asciiTheme="majorEastAsia" w:hAnsiTheme="majorEastAsia" w:eastAsiaTheme="majorEastAsia"/>
          <w:color w:val="auto"/>
          <w:highlight w:val="none"/>
        </w:rPr>
        <w:t>。</w:t>
      </w:r>
    </w:p>
    <w:p w14:paraId="2A2D5FC0">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2.“供应商”系指向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提交响应文件的单位或个人。</w:t>
      </w:r>
    </w:p>
    <w:p w14:paraId="0FA3FE04">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3.“服务”系指磋商文件规定供应商须承担的与本项目相关的服务。</w:t>
      </w:r>
    </w:p>
    <w:p w14:paraId="43B8819A">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4.“项目”系指</w:t>
      </w:r>
      <w:r>
        <w:rPr>
          <w:rFonts w:hint="eastAsia" w:asciiTheme="majorEastAsia" w:hAnsiTheme="majorEastAsia" w:eastAsiaTheme="majorEastAsia"/>
          <w:color w:val="auto"/>
          <w:highlight w:val="none"/>
          <w:lang w:eastAsia="zh-CN"/>
        </w:rPr>
        <w:t>海曙区2024年度耕地保护和粮食安全考核服务项目</w:t>
      </w:r>
      <w:r>
        <w:rPr>
          <w:rFonts w:asciiTheme="majorEastAsia" w:hAnsiTheme="majorEastAsia" w:eastAsiaTheme="majorEastAsia"/>
          <w:color w:val="auto"/>
          <w:highlight w:val="none"/>
        </w:rPr>
        <w:t>。</w:t>
      </w:r>
    </w:p>
    <w:p w14:paraId="6BD442AB">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5.“书面形式”包括信函、传真、电报等。</w:t>
      </w:r>
    </w:p>
    <w:p w14:paraId="2E810397">
      <w:pPr>
        <w:pStyle w:val="25"/>
        <w:keepNext w:val="0"/>
        <w:keepLines w:val="0"/>
        <w:pageBreakBefore w:val="0"/>
        <w:widowControl w:val="0"/>
        <w:shd w:val="clear"/>
        <w:kinsoku/>
        <w:wordWrap/>
        <w:overflowPunct/>
        <w:topLinePunct w:val="0"/>
        <w:bidi w:val="0"/>
        <w:spacing w:beforeLines="0" w:afterLines="0" w:line="360" w:lineRule="auto"/>
        <w:ind w:firstLine="422" w:firstLineChars="200"/>
        <w:contextualSpacing/>
        <w:outlineLvl w:val="9"/>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6.“*”系指实质性要求条款，</w:t>
      </w:r>
      <w:r>
        <w:rPr>
          <w:rFonts w:asciiTheme="majorEastAsia" w:hAnsiTheme="majorEastAsia" w:eastAsiaTheme="majorEastAsia"/>
          <w:color w:val="auto"/>
          <w:highlight w:val="none"/>
        </w:rPr>
        <w:t>供应商的响应对任何带“*”号的重要商务和技术条款的</w:t>
      </w:r>
      <w:r>
        <w:rPr>
          <w:rFonts w:hint="eastAsia" w:asciiTheme="majorEastAsia" w:hAnsiTheme="majorEastAsia" w:eastAsiaTheme="majorEastAsia"/>
          <w:color w:val="auto"/>
          <w:highlight w:val="none"/>
        </w:rPr>
        <w:t>负</w:t>
      </w:r>
      <w:r>
        <w:rPr>
          <w:rFonts w:asciiTheme="majorEastAsia" w:hAnsiTheme="majorEastAsia" w:eastAsiaTheme="majorEastAsia"/>
          <w:color w:val="auto"/>
          <w:highlight w:val="none"/>
        </w:rPr>
        <w:t>偏离和未作实质性响应都将直接导致响应文件无效</w:t>
      </w:r>
      <w:r>
        <w:rPr>
          <w:rFonts w:asciiTheme="majorEastAsia" w:hAnsiTheme="majorEastAsia" w:eastAsiaTheme="majorEastAsia"/>
          <w:b/>
          <w:color w:val="auto"/>
          <w:highlight w:val="none"/>
        </w:rPr>
        <w:t>。</w:t>
      </w:r>
    </w:p>
    <w:p w14:paraId="0FE11B21">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（三）采购方式</w:t>
      </w:r>
    </w:p>
    <w:p w14:paraId="0264B26D">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本次采购采用竞争性磋商方式进行。</w:t>
      </w:r>
    </w:p>
    <w:p w14:paraId="001E9B5B">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（四）磋商委托</w:t>
      </w:r>
    </w:p>
    <w:p w14:paraId="7591A6BA">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供应商代表须携带有效身份证件。如供应商代表不是法定代表人（负责人），须有法定代表人（负责人）出具的授权委托书（响应文件正本用原件，格式见第六章）。</w:t>
      </w:r>
    </w:p>
    <w:p w14:paraId="0A5D7C9E">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（五）磋商费用</w:t>
      </w:r>
    </w:p>
    <w:p w14:paraId="3D409EBE">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不论采购结果如何，供应商均应自行承担所有与采购有关的全部费用（磋商文件有相关规定除外）。</w:t>
      </w:r>
    </w:p>
    <w:p w14:paraId="530453D0">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（六）联合体</w:t>
      </w:r>
      <w:r>
        <w:rPr>
          <w:rFonts w:hint="eastAsia" w:asciiTheme="majorEastAsia" w:hAnsiTheme="majorEastAsia" w:eastAsiaTheme="majorEastAsia"/>
          <w:b/>
          <w:color w:val="auto"/>
          <w:sz w:val="21"/>
          <w:szCs w:val="21"/>
          <w:highlight w:val="none"/>
        </w:rPr>
        <w:t>磋商</w:t>
      </w:r>
    </w:p>
    <w:p w14:paraId="1F2EB6F8">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本项目接受联合体</w:t>
      </w:r>
      <w:r>
        <w:rPr>
          <w:rFonts w:hint="eastAsia" w:asciiTheme="majorEastAsia" w:hAnsiTheme="majorEastAsia" w:eastAsiaTheme="majorEastAsia"/>
          <w:bCs/>
          <w:color w:val="auto"/>
          <w:highlight w:val="none"/>
        </w:rPr>
        <w:t>参加磋商活动</w:t>
      </w:r>
      <w:r>
        <w:rPr>
          <w:rFonts w:asciiTheme="majorEastAsia" w:hAnsiTheme="majorEastAsia" w:eastAsiaTheme="majorEastAsia"/>
          <w:bCs/>
          <w:color w:val="auto"/>
          <w:highlight w:val="none"/>
        </w:rPr>
        <w:t>。</w:t>
      </w:r>
    </w:p>
    <w:p w14:paraId="125B7092">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outlineLvl w:val="9"/>
        <w:rPr>
          <w:rFonts w:asciiTheme="majorEastAsia" w:hAnsiTheme="majorEastAsia" w:eastAsiaTheme="majorEastAsia"/>
          <w:b/>
          <w:bCs/>
          <w:color w:val="auto"/>
          <w:sz w:val="21"/>
          <w:szCs w:val="21"/>
          <w:highlight w:val="none"/>
        </w:rPr>
      </w:pPr>
      <w:r>
        <w:rPr>
          <w:rFonts w:asciiTheme="majorEastAsia" w:hAnsiTheme="majorEastAsia" w:eastAsiaTheme="majorEastAsia"/>
          <w:b/>
          <w:bCs/>
          <w:color w:val="auto"/>
          <w:sz w:val="21"/>
          <w:szCs w:val="21"/>
          <w:highlight w:val="none"/>
        </w:rPr>
        <w:t>（七）转包与分包</w:t>
      </w:r>
    </w:p>
    <w:p w14:paraId="7CF9F979">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本项目不允许转包，未经采购人同意，不得分包。</w:t>
      </w:r>
    </w:p>
    <w:p w14:paraId="1C5DDD82">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（八）特别说明：</w:t>
      </w:r>
    </w:p>
    <w:p w14:paraId="590A9687">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*1.供应商应仔细阅读磋商文件的所有内容，按照磋商文件的要求提交响应文件，并对所提供的全部资料的真实性承担法律责任。</w:t>
      </w:r>
    </w:p>
    <w:p w14:paraId="7EDB5CB0">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*2.供应商在采购活动中提供任何虚假材料,其响应文件无效，并报监管部门查处；成交后发现的,</w:t>
      </w:r>
      <w:r>
        <w:rPr>
          <w:rFonts w:hint="eastAsia" w:asciiTheme="majorEastAsia" w:hAnsiTheme="majorEastAsia" w:eastAsiaTheme="majorEastAsia"/>
          <w:color w:val="auto"/>
          <w:highlight w:val="none"/>
        </w:rPr>
        <w:t>取消成交资格，对采购人造成的损失由供应商负责</w:t>
      </w:r>
      <w:r>
        <w:rPr>
          <w:rFonts w:asciiTheme="majorEastAsia" w:hAnsiTheme="majorEastAsia" w:eastAsiaTheme="majorEastAsia"/>
          <w:color w:val="auto"/>
          <w:highlight w:val="none"/>
        </w:rPr>
        <w:t>。</w:t>
      </w:r>
    </w:p>
    <w:p w14:paraId="47BD9EC0">
      <w:pPr>
        <w:pStyle w:val="25"/>
        <w:keepNext w:val="0"/>
        <w:keepLines w:val="0"/>
        <w:pageBreakBefore w:val="0"/>
        <w:widowControl w:val="0"/>
        <w:shd w:val="clear"/>
        <w:kinsoku/>
        <w:wordWrap/>
        <w:overflowPunct/>
        <w:topLinePunct w:val="0"/>
        <w:bidi w:val="0"/>
        <w:spacing w:beforeLines="0" w:afterLines="0" w:line="360" w:lineRule="auto"/>
        <w:ind w:firstLine="413" w:firstLineChars="196"/>
        <w:contextualSpacing/>
        <w:outlineLvl w:val="9"/>
        <w:rPr>
          <w:rFonts w:asciiTheme="majorEastAsia" w:hAnsiTheme="majorEastAsia" w:eastAsiaTheme="majorEastAsia"/>
          <w:b/>
          <w:bCs/>
          <w:color w:val="auto"/>
          <w:highlight w:val="none"/>
        </w:rPr>
      </w:pPr>
      <w:bookmarkStart w:id="14" w:name="_Toc13650"/>
      <w:bookmarkStart w:id="15" w:name="_Toc14318"/>
      <w:r>
        <w:rPr>
          <w:rFonts w:hint="eastAsia" w:asciiTheme="majorEastAsia" w:hAnsiTheme="majorEastAsia" w:eastAsiaTheme="majorEastAsia"/>
          <w:b/>
          <w:bCs/>
          <w:color w:val="auto"/>
          <w:highlight w:val="none"/>
        </w:rPr>
        <w:t>*</w:t>
      </w:r>
      <w:r>
        <w:rPr>
          <w:rFonts w:asciiTheme="majorEastAsia" w:hAnsiTheme="majorEastAsia" w:eastAsiaTheme="majorEastAsia"/>
          <w:b/>
          <w:bCs/>
          <w:color w:val="auto"/>
          <w:highlight w:val="none"/>
        </w:rPr>
        <w:t>（九）关于分公司参加磋商</w:t>
      </w:r>
    </w:p>
    <w:p w14:paraId="78A2F3F7">
      <w:pPr>
        <w:pStyle w:val="25"/>
        <w:keepNext w:val="0"/>
        <w:keepLines w:val="0"/>
        <w:pageBreakBefore w:val="0"/>
        <w:widowControl w:val="0"/>
        <w:shd w:val="clear"/>
        <w:kinsoku/>
        <w:wordWrap/>
        <w:overflowPunct/>
        <w:topLinePunct w:val="0"/>
        <w:bidi w:val="0"/>
        <w:spacing w:beforeLines="0" w:afterLines="0" w:line="360" w:lineRule="auto"/>
        <w:ind w:firstLine="411" w:firstLineChars="196"/>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除银行、保险、石油石化、电力、电信、移动、联通等行业外，不允许</w:t>
      </w:r>
      <w:r>
        <w:rPr>
          <w:rFonts w:hint="eastAsia" w:asciiTheme="majorEastAsia" w:hAnsiTheme="majorEastAsia" w:eastAsiaTheme="majorEastAsia"/>
          <w:color w:val="auto"/>
          <w:highlight w:val="none"/>
        </w:rPr>
        <w:t>其他</w:t>
      </w:r>
      <w:r>
        <w:rPr>
          <w:rFonts w:asciiTheme="majorEastAsia" w:hAnsiTheme="majorEastAsia" w:eastAsiaTheme="majorEastAsia"/>
          <w:color w:val="auto"/>
          <w:highlight w:val="none"/>
        </w:rPr>
        <w:t>分公司参加本次采购活动。</w:t>
      </w:r>
      <w:r>
        <w:rPr>
          <w:rFonts w:hint="eastAsia" w:asciiTheme="majorEastAsia" w:hAnsiTheme="majorEastAsia" w:eastAsiaTheme="majorEastAsia"/>
          <w:color w:val="auto"/>
          <w:highlight w:val="none"/>
        </w:rPr>
        <w:t>分公司参加的，需提供总公司营业执照及授权书，如为复印件需加盖公章。</w:t>
      </w:r>
    </w:p>
    <w:p w14:paraId="74830D47">
      <w:pPr>
        <w:pStyle w:val="25"/>
        <w:keepNext w:val="0"/>
        <w:keepLines w:val="0"/>
        <w:pageBreakBefore w:val="0"/>
        <w:widowControl w:val="0"/>
        <w:shd w:val="clear"/>
        <w:kinsoku/>
        <w:wordWrap/>
        <w:overflowPunct/>
        <w:topLinePunct w:val="0"/>
        <w:bidi w:val="0"/>
        <w:spacing w:beforeLines="0" w:afterLines="0" w:line="360" w:lineRule="auto"/>
        <w:ind w:firstLine="413" w:firstLineChars="196"/>
        <w:contextualSpacing/>
        <w:outlineLvl w:val="9"/>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（十）关于知识产权</w:t>
      </w:r>
    </w:p>
    <w:p w14:paraId="5A0DA23A">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31EA5016">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2、总报价应包含所有应向所有权人支付的专利权、商标权或其它知识产权的一切相关费用。</w:t>
      </w:r>
    </w:p>
    <w:p w14:paraId="6B391E53">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1" w:firstLineChars="196"/>
        <w:contextualSpacing/>
        <w:outlineLvl w:val="9"/>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3、系统软件、通用软件必须是具有在中国境内的合法使用权或版权的正版软件，涉及到第三方提出侵权或知识产权的起诉及支付版税等费用由供应商承担所有责任及费用。</w:t>
      </w:r>
      <w:bookmarkEnd w:id="14"/>
      <w:bookmarkEnd w:id="15"/>
    </w:p>
    <w:p w14:paraId="224588D7">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outlineLvl w:val="9"/>
        <w:rPr>
          <w:rFonts w:asciiTheme="majorEastAsia" w:hAnsiTheme="majorEastAsia" w:eastAsiaTheme="majorEastAsia"/>
          <w:b/>
          <w:color w:val="auto"/>
          <w:sz w:val="21"/>
          <w:szCs w:val="21"/>
          <w:highlight w:val="none"/>
        </w:rPr>
      </w:pPr>
    </w:p>
    <w:p w14:paraId="7DCD0C55">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w:t>
      </w:r>
      <w:r>
        <w:rPr>
          <w:rFonts w:hint="eastAsia" w:asciiTheme="majorEastAsia" w:hAnsiTheme="majorEastAsia" w:eastAsiaTheme="majorEastAsia"/>
          <w:b/>
          <w:color w:val="auto"/>
          <w:sz w:val="21"/>
          <w:szCs w:val="21"/>
          <w:highlight w:val="none"/>
          <w:lang w:eastAsia="zh-CN"/>
        </w:rPr>
        <w:t>、</w:t>
      </w:r>
      <w:r>
        <w:rPr>
          <w:rFonts w:asciiTheme="majorEastAsia" w:hAnsiTheme="majorEastAsia" w:eastAsiaTheme="majorEastAsia"/>
          <w:b/>
          <w:color w:val="auto"/>
          <w:sz w:val="21"/>
          <w:szCs w:val="21"/>
          <w:highlight w:val="none"/>
        </w:rPr>
        <w:t>磋商文件</w:t>
      </w:r>
    </w:p>
    <w:p w14:paraId="435C1DF9">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（一）磋商文件的构成。本磋商文件由以下部分组成：</w:t>
      </w:r>
    </w:p>
    <w:p w14:paraId="2F48CDCB">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1.竞争性磋商采购公告</w:t>
      </w:r>
    </w:p>
    <w:p w14:paraId="28052717">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2.采购需求</w:t>
      </w:r>
    </w:p>
    <w:p w14:paraId="61999001">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3.供应商须知</w:t>
      </w:r>
    </w:p>
    <w:p w14:paraId="4EA0E186">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4.评审办法及标准</w:t>
      </w:r>
    </w:p>
    <w:p w14:paraId="1AE77BD5">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5.合同主要条款</w:t>
      </w:r>
    </w:p>
    <w:p w14:paraId="0005743D">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6.响应文件格式</w:t>
      </w:r>
    </w:p>
    <w:p w14:paraId="34F2E854">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7.本项目磋商文件的澄清、答复、修改、补充的内容</w:t>
      </w:r>
    </w:p>
    <w:p w14:paraId="09B4FDB2">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（二）供应商的风险</w:t>
      </w:r>
    </w:p>
    <w:p w14:paraId="2A321EFC">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供应商没有按照磋商文件要求提供全部资料，或者供应商没有对磋商文件在各方面作出实质性响应是供应商的风险，并可能导致其响应文件被拒绝。</w:t>
      </w:r>
    </w:p>
    <w:p w14:paraId="2839CF75">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 xml:space="preserve">（三）磋商文件的澄清与修改 </w:t>
      </w:r>
    </w:p>
    <w:p w14:paraId="65AEC59C">
      <w:pPr>
        <w:pStyle w:val="38"/>
        <w:keepNext w:val="0"/>
        <w:keepLines w:val="0"/>
        <w:pageBreakBefore w:val="0"/>
        <w:widowControl w:val="0"/>
        <w:shd w:val="clear"/>
        <w:kinsoku/>
        <w:wordWrap/>
        <w:overflowPunct/>
        <w:topLinePunct w:val="0"/>
        <w:bidi w:val="0"/>
        <w:snapToGrid/>
        <w:spacing w:line="360" w:lineRule="auto"/>
        <w:ind w:firstLine="420"/>
        <w:contextualSpacing/>
        <w:outlineLvl w:val="9"/>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1、提交首次响应文件截止之日前，采购人、采购代理机构可以对已发出的磋商文件进行必要的澄清或修改，澄清或修改的内容作为磋商文件的组成部分。澄清或修改的内容可能影响响应文件编制的，采购人、采购代理机构应当在提交首次响应文件截止时间至少5日前，</w:t>
      </w:r>
      <w:r>
        <w:rPr>
          <w:rFonts w:hint="eastAsia" w:asciiTheme="majorEastAsia" w:hAnsiTheme="majorEastAsia" w:eastAsiaTheme="majorEastAsia"/>
          <w:bCs/>
          <w:color w:val="auto"/>
          <w:sz w:val="21"/>
          <w:szCs w:val="21"/>
          <w:highlight w:val="none"/>
        </w:rPr>
        <w:t>以公告形式发布于</w:t>
      </w:r>
      <w:r>
        <w:rPr>
          <w:rFonts w:hint="eastAsia" w:asciiTheme="majorEastAsia" w:hAnsiTheme="majorEastAsia" w:eastAsiaTheme="majorEastAsia"/>
          <w:bCs/>
          <w:color w:val="auto"/>
          <w:sz w:val="21"/>
          <w:szCs w:val="21"/>
          <w:highlight w:val="none"/>
          <w:lang w:eastAsia="zh-CN"/>
        </w:rPr>
        <w:t>采购公告发布</w:t>
      </w:r>
      <w:r>
        <w:rPr>
          <w:rFonts w:hint="eastAsia" w:asciiTheme="majorEastAsia" w:hAnsiTheme="majorEastAsia" w:eastAsiaTheme="majorEastAsia"/>
          <w:bCs/>
          <w:color w:val="auto"/>
          <w:sz w:val="21"/>
          <w:szCs w:val="21"/>
          <w:highlight w:val="none"/>
        </w:rPr>
        <w:t>网站，请供应商自行查看。</w:t>
      </w:r>
      <w:r>
        <w:rPr>
          <w:rFonts w:asciiTheme="majorEastAsia" w:hAnsiTheme="majorEastAsia" w:eastAsiaTheme="majorEastAsia"/>
          <w:bCs/>
          <w:color w:val="auto"/>
          <w:sz w:val="21"/>
          <w:szCs w:val="21"/>
          <w:highlight w:val="none"/>
        </w:rPr>
        <w:t>不足5日的，采购人、采购代理机构应当顺延提交首次响应文件截止时间。</w:t>
      </w:r>
    </w:p>
    <w:p w14:paraId="3E9F2F31">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2、供应商在规定的时间内未对磋商文件提出疑问、质疑或要求澄清的，将视其为无异议。对磋商文件中描述有歧义或前后不一致的地方，磋商小组有权进行评判，但对同一条款的评判应适用于每个供应商。</w:t>
      </w:r>
    </w:p>
    <w:p w14:paraId="3A4CEE18">
      <w:pPr>
        <w:pStyle w:val="14"/>
        <w:keepNext w:val="0"/>
        <w:keepLines w:val="0"/>
        <w:pageBreakBefore w:val="0"/>
        <w:widowControl w:val="0"/>
        <w:shd w:val="clear"/>
        <w:tabs>
          <w:tab w:val="clear" w:pos="454"/>
        </w:tabs>
        <w:kinsoku/>
        <w:wordWrap/>
        <w:overflowPunct/>
        <w:topLinePunct w:val="0"/>
        <w:bidi w:val="0"/>
        <w:spacing w:afterLines="0" w:line="360" w:lineRule="auto"/>
        <w:contextualSpacing/>
        <w:outlineLvl w:val="9"/>
        <w:rPr>
          <w:rFonts w:asciiTheme="majorEastAsia" w:hAnsiTheme="majorEastAsia" w:eastAsiaTheme="majorEastAsia"/>
          <w:b/>
          <w:color w:val="auto"/>
          <w:sz w:val="21"/>
          <w:szCs w:val="21"/>
          <w:highlight w:val="none"/>
        </w:rPr>
      </w:pPr>
    </w:p>
    <w:p w14:paraId="6F4AC001">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三、响应文件的编制</w:t>
      </w:r>
    </w:p>
    <w:p w14:paraId="527728CB">
      <w:pPr>
        <w:keepNext w:val="0"/>
        <w:keepLines w:val="0"/>
        <w:pageBreakBefore w:val="0"/>
        <w:widowControl w:val="0"/>
        <w:shd w:val="clear"/>
        <w:kinsoku/>
        <w:wordWrap/>
        <w:overflowPunct/>
        <w:topLinePunct w:val="0"/>
        <w:bidi w:val="0"/>
        <w:spacing w:line="360" w:lineRule="auto"/>
        <w:ind w:left="238" w:firstLine="105" w:firstLineChars="50"/>
        <w:contextualSpacing/>
        <w:outlineLvl w:val="9"/>
        <w:rPr>
          <w:rFonts w:asciiTheme="majorEastAsia" w:hAnsiTheme="majorEastAsia" w:eastAsiaTheme="majorEastAsia"/>
          <w:b/>
          <w:color w:val="auto"/>
          <w:szCs w:val="21"/>
          <w:highlight w:val="none"/>
        </w:rPr>
      </w:pPr>
      <w:bookmarkStart w:id="16" w:name="_Toc16622"/>
      <w:r>
        <w:rPr>
          <w:rFonts w:hint="eastAsia" w:cs="宋体" w:asciiTheme="majorEastAsia" w:hAnsiTheme="majorEastAsia" w:eastAsiaTheme="majorEastAsia"/>
          <w:b/>
          <w:color w:val="auto"/>
          <w:szCs w:val="21"/>
          <w:highlight w:val="none"/>
        </w:rPr>
        <w:t>（一）</w:t>
      </w:r>
      <w:r>
        <w:rPr>
          <w:rFonts w:hint="eastAsia" w:asciiTheme="majorEastAsia" w:hAnsiTheme="majorEastAsia" w:eastAsiaTheme="majorEastAsia"/>
          <w:b/>
          <w:color w:val="auto"/>
          <w:szCs w:val="21"/>
          <w:highlight w:val="none"/>
        </w:rPr>
        <w:t>响应文件的形式和效力</w:t>
      </w:r>
    </w:p>
    <w:p w14:paraId="3138D742">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1、响应文件分为电子响应文件以及备份响应文件</w:t>
      </w:r>
      <w:r>
        <w:rPr>
          <w:rFonts w:hint="eastAsia" w:asciiTheme="majorEastAsia" w:hAnsiTheme="majorEastAsia" w:eastAsiaTheme="majorEastAsia"/>
          <w:color w:val="auto"/>
          <w:highlight w:val="none"/>
          <w:lang w:eastAsia="zh-CN"/>
        </w:rPr>
        <w:t>（自愿提供）</w:t>
      </w:r>
      <w:r>
        <w:rPr>
          <w:rFonts w:hint="eastAsia" w:asciiTheme="majorEastAsia" w:hAnsiTheme="majorEastAsia" w:eastAsiaTheme="majorEastAsia"/>
          <w:color w:val="auto"/>
          <w:highlight w:val="none"/>
        </w:rPr>
        <w:t>，备份响应文件为以介质存储的数据电文形式的备份响应文件。</w:t>
      </w:r>
    </w:p>
    <w:p w14:paraId="651C9DFE">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2、电子响应文件，按“政采云供应商项目采购-电子招投标操作指南”及本采购文件要求制作、加密并递交。</w:t>
      </w:r>
    </w:p>
    <w:p w14:paraId="44211FF0">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3、以介质存储的数据电文形式的备份响应文件，即电子响应文件按“政采云供应商项目采购-电子招投标操作指南”制作的备份文件。</w:t>
      </w:r>
    </w:p>
    <w:p w14:paraId="2F3BD7C1">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en-US" w:eastAsia="zh-CN"/>
        </w:rPr>
        <w:t>4</w:t>
      </w:r>
      <w:r>
        <w:rPr>
          <w:rFonts w:hint="eastAsia" w:asciiTheme="majorEastAsia" w:hAnsiTheme="majorEastAsia" w:eastAsiaTheme="majorEastAsia"/>
          <w:color w:val="auto"/>
          <w:highlight w:val="none"/>
        </w:rPr>
        <w:t>、响应文件的效力</w:t>
      </w:r>
    </w:p>
    <w:p w14:paraId="349EA965">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响应文件的启用，按先后顺位分别为电子响应文件、以介质存储的数据电文形式的备份文件。在下一顺位的响应文件启用时，前一顺位的响应文件自动失效。</w:t>
      </w:r>
    </w:p>
    <w:p w14:paraId="5E0C1378">
      <w:pPr>
        <w:keepNext w:val="0"/>
        <w:keepLines w:val="0"/>
        <w:pageBreakBefore w:val="0"/>
        <w:widowControl w:val="0"/>
        <w:shd w:val="clear"/>
        <w:kinsoku/>
        <w:wordWrap/>
        <w:overflowPunct/>
        <w:topLinePunct w:val="0"/>
        <w:bidi w:val="0"/>
        <w:spacing w:line="360" w:lineRule="auto"/>
        <w:ind w:firstLine="411" w:firstLineChars="196"/>
        <w:contextualSpacing/>
        <w:jc w:val="left"/>
        <w:outlineLvl w:val="9"/>
        <w:rPr>
          <w:rFonts w:cs="宋体" w:asciiTheme="majorEastAsia" w:hAnsiTheme="majorEastAsia" w:eastAsiaTheme="majorEastAsia"/>
          <w:b/>
          <w:color w:val="auto"/>
          <w:szCs w:val="21"/>
          <w:highlight w:val="none"/>
        </w:rPr>
      </w:pPr>
      <w:r>
        <w:rPr>
          <w:rFonts w:hint="eastAsia" w:asciiTheme="majorEastAsia" w:hAnsiTheme="majorEastAsia" w:eastAsiaTheme="majorEastAsia"/>
          <w:color w:val="auto"/>
          <w:highlight w:val="none"/>
        </w:rPr>
        <w:t>响应文件未按时解密，供应商提供了备份响应文件的，以备份响应文件作为依据，否则视为响应文件撤回。响应文件已按时解密的，备份响应文件自动失效。</w:t>
      </w:r>
    </w:p>
    <w:p w14:paraId="5B2094AC">
      <w:pPr>
        <w:keepNext w:val="0"/>
        <w:keepLines w:val="0"/>
        <w:pageBreakBefore w:val="0"/>
        <w:widowControl w:val="0"/>
        <w:shd w:val="clear"/>
        <w:kinsoku/>
        <w:wordWrap/>
        <w:overflowPunct/>
        <w:topLinePunct w:val="0"/>
        <w:bidi w:val="0"/>
        <w:spacing w:line="360" w:lineRule="auto"/>
        <w:ind w:firstLine="413" w:firstLineChars="196"/>
        <w:contextualSpacing/>
        <w:jc w:val="left"/>
        <w:outlineLvl w:val="9"/>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（二）响应文件的组成</w:t>
      </w:r>
      <w:bookmarkEnd w:id="16"/>
    </w:p>
    <w:p w14:paraId="698FFC2A">
      <w:pPr>
        <w:keepNext w:val="0"/>
        <w:keepLines w:val="0"/>
        <w:pageBreakBefore w:val="0"/>
        <w:widowControl w:val="0"/>
        <w:shd w:val="clear"/>
        <w:kinsoku/>
        <w:wordWrap/>
        <w:overflowPunct/>
        <w:topLinePunct w:val="0"/>
        <w:bidi w:val="0"/>
        <w:spacing w:line="360" w:lineRule="auto"/>
        <w:ind w:firstLine="411" w:firstLineChars="196"/>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响应文件由资信技术文件和报价文件组成（</w:t>
      </w:r>
      <w:r>
        <w:rPr>
          <w:rFonts w:hint="eastAsia" w:asciiTheme="majorEastAsia" w:hAnsiTheme="majorEastAsia" w:eastAsiaTheme="majorEastAsia"/>
          <w:b/>
          <w:bCs/>
          <w:color w:val="auto"/>
          <w:highlight w:val="none"/>
        </w:rPr>
        <w:t>电子响应文件中所须加盖公章部分均采用CA签章</w:t>
      </w:r>
      <w:r>
        <w:rPr>
          <w:rFonts w:hint="eastAsia" w:cs="宋体" w:asciiTheme="majorEastAsia" w:hAnsiTheme="majorEastAsia" w:eastAsiaTheme="majorEastAsia"/>
          <w:color w:val="auto"/>
          <w:szCs w:val="21"/>
          <w:highlight w:val="none"/>
        </w:rPr>
        <w:t>）。</w:t>
      </w:r>
    </w:p>
    <w:p w14:paraId="23536F9A">
      <w:pPr>
        <w:keepNext w:val="0"/>
        <w:keepLines w:val="0"/>
        <w:pageBreakBefore w:val="0"/>
        <w:widowControl w:val="0"/>
        <w:shd w:val="clear"/>
        <w:kinsoku/>
        <w:wordWrap/>
        <w:overflowPunct/>
        <w:topLinePunct w:val="0"/>
        <w:bidi w:val="0"/>
        <w:spacing w:line="360" w:lineRule="auto"/>
        <w:ind w:firstLine="413" w:firstLineChars="196"/>
        <w:contextualSpacing/>
        <w:jc w:val="left"/>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1.资信技术文件：</w:t>
      </w:r>
    </w:p>
    <w:p w14:paraId="4A9CE53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cs="Times New Roman" w:asciiTheme="majorEastAsia" w:hAnsiTheme="majorEastAsia" w:eastAsiaTheme="majorEastAsia"/>
          <w:color w:val="auto"/>
          <w:szCs w:val="21"/>
          <w:highlight w:val="none"/>
        </w:rPr>
      </w:pPr>
      <w:r>
        <w:rPr>
          <w:rFonts w:hint="eastAsia" w:cs="Times New Roman" w:asciiTheme="majorEastAsia" w:hAnsiTheme="majorEastAsia" w:eastAsiaTheme="majorEastAsia"/>
          <w:b/>
          <w:bCs/>
          <w:color w:val="auto"/>
          <w:szCs w:val="21"/>
          <w:highlight w:val="none"/>
        </w:rPr>
        <w:t>1.1资格证明文件：</w:t>
      </w:r>
    </w:p>
    <w:p w14:paraId="5155FB7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hint="eastAsia" w:asciiTheme="majorEastAsia" w:hAnsiTheme="majorEastAsia" w:eastAsiaTheme="majorEastAsia"/>
          <w:b/>
          <w:color w:val="auto"/>
          <w:szCs w:val="21"/>
          <w:highlight w:val="none"/>
          <w:lang w:eastAsia="zh-CN"/>
        </w:rPr>
      </w:pPr>
      <w:r>
        <w:rPr>
          <w:rFonts w:hint="eastAsia" w:cs="Times New Roman" w:asciiTheme="majorEastAsia" w:hAnsiTheme="majorEastAsia" w:eastAsiaTheme="majorEastAsia"/>
          <w:color w:val="auto"/>
          <w:szCs w:val="21"/>
          <w:highlight w:val="none"/>
          <w:lang w:eastAsia="zh-CN"/>
        </w:rPr>
        <w:t>（</w:t>
      </w:r>
      <w:r>
        <w:rPr>
          <w:rFonts w:hint="eastAsia" w:cs="Times New Roman" w:asciiTheme="majorEastAsia" w:hAnsiTheme="majorEastAsia" w:eastAsiaTheme="majorEastAsia"/>
          <w:color w:val="auto"/>
          <w:szCs w:val="21"/>
          <w:highlight w:val="none"/>
          <w:lang w:val="en-US" w:eastAsia="zh-CN"/>
        </w:rPr>
        <w:t>1</w:t>
      </w:r>
      <w:r>
        <w:rPr>
          <w:rFonts w:hint="eastAsia" w:cs="Times New Roman" w:asciiTheme="majorEastAsia" w:hAnsiTheme="majorEastAsia" w:eastAsiaTheme="majorEastAsia"/>
          <w:color w:val="auto"/>
          <w:szCs w:val="21"/>
          <w:highlight w:val="none"/>
          <w:lang w:eastAsia="zh-CN"/>
        </w:rPr>
        <w:t>）资格条件自查表</w:t>
      </w:r>
    </w:p>
    <w:p w14:paraId="235561F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2</w:t>
      </w:r>
      <w:r>
        <w:rPr>
          <w:rFonts w:hint="eastAsia" w:asciiTheme="majorEastAsia" w:hAnsiTheme="majorEastAsia" w:eastAsiaTheme="majorEastAsia"/>
          <w:color w:val="auto"/>
          <w:szCs w:val="21"/>
          <w:highlight w:val="none"/>
        </w:rPr>
        <w:t>）供应商资格声明函（格式附后）；</w:t>
      </w:r>
    </w:p>
    <w:p w14:paraId="2E8C6EF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3</w:t>
      </w:r>
      <w:r>
        <w:rPr>
          <w:rFonts w:hint="eastAsia" w:asciiTheme="majorEastAsia" w:hAnsiTheme="majorEastAsia" w:eastAsiaTheme="majorEastAsia"/>
          <w:color w:val="auto"/>
          <w:szCs w:val="21"/>
          <w:highlight w:val="none"/>
        </w:rPr>
        <w:t>）提供有效的营业执照副本原件扫描件或者电子营业执照加盖供应商公章；响应供应商如果有名称变更的，应提供由行政主管部门出具的变更证明文件；</w:t>
      </w:r>
    </w:p>
    <w:p w14:paraId="3A0D100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（4）供应商特定资格条件的证明文件：</w:t>
      </w:r>
      <w:r>
        <w:rPr>
          <w:rFonts w:hint="eastAsia" w:asciiTheme="majorEastAsia" w:hAnsiTheme="majorEastAsia" w:eastAsiaTheme="majorEastAsia"/>
          <w:color w:val="auto"/>
          <w:szCs w:val="21"/>
          <w:highlight w:val="none"/>
          <w:lang w:val="en-US" w:eastAsia="zh-CN"/>
        </w:rPr>
        <w:t>无</w:t>
      </w:r>
      <w:r>
        <w:rPr>
          <w:rFonts w:hint="eastAsia" w:asciiTheme="majorEastAsia" w:hAnsiTheme="majorEastAsia" w:eastAsiaTheme="majorEastAsia"/>
          <w:color w:val="auto"/>
          <w:szCs w:val="21"/>
          <w:highlight w:val="none"/>
        </w:rPr>
        <w:t>；</w:t>
      </w:r>
    </w:p>
    <w:p w14:paraId="3F35A66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5</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联合体协议（如是，格式见附件）。</w:t>
      </w:r>
    </w:p>
    <w:p w14:paraId="2C34E6A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6</w:t>
      </w:r>
      <w:r>
        <w:rPr>
          <w:rFonts w:hint="eastAsia" w:asciiTheme="majorEastAsia" w:hAnsiTheme="majorEastAsia" w:eastAsiaTheme="majorEastAsia"/>
          <w:color w:val="auto"/>
          <w:szCs w:val="21"/>
          <w:highlight w:val="none"/>
        </w:rPr>
        <w:t>）磋商文件要求的其他资格条件证明材料（如有）</w:t>
      </w:r>
    </w:p>
    <w:p w14:paraId="24BA42A5">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2.2其他资信技术文件：</w:t>
      </w:r>
    </w:p>
    <w:p w14:paraId="363D18B5">
      <w:pPr>
        <w:widowControl w:val="0"/>
        <w:numPr>
          <w:ilvl w:val="0"/>
          <w:numId w:val="0"/>
        </w:numPr>
        <w:tabs>
          <w:tab w:val="left" w:pos="720"/>
        </w:tabs>
        <w:adjustRightInd/>
        <w:spacing w:line="348" w:lineRule="auto"/>
        <w:ind w:firstLine="420" w:firstLineChars="200"/>
        <w:jc w:val="both"/>
        <w:textAlignment w:val="baseline"/>
        <w:outlineLvl w:val="9"/>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（1）符合性自查表（格式附后）；</w:t>
      </w:r>
    </w:p>
    <w:p w14:paraId="48F6C9FC">
      <w:pPr>
        <w:widowControl w:val="0"/>
        <w:numPr>
          <w:ilvl w:val="0"/>
          <w:numId w:val="0"/>
        </w:numPr>
        <w:tabs>
          <w:tab w:val="left" w:pos="720"/>
        </w:tabs>
        <w:adjustRightInd/>
        <w:spacing w:line="348" w:lineRule="auto"/>
        <w:ind w:firstLine="420" w:firstLineChars="200"/>
        <w:jc w:val="both"/>
        <w:textAlignment w:val="baseline"/>
        <w:outlineLvl w:val="9"/>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（2）响应函（格式附后）；</w:t>
      </w:r>
    </w:p>
    <w:p w14:paraId="6BEA2249">
      <w:pPr>
        <w:widowControl w:val="0"/>
        <w:numPr>
          <w:ilvl w:val="0"/>
          <w:numId w:val="0"/>
        </w:numPr>
        <w:tabs>
          <w:tab w:val="left" w:pos="720"/>
        </w:tabs>
        <w:adjustRightInd/>
        <w:spacing w:line="348" w:lineRule="auto"/>
        <w:ind w:firstLine="420" w:firstLineChars="200"/>
        <w:jc w:val="both"/>
        <w:textAlignment w:val="baseline"/>
        <w:outlineLvl w:val="9"/>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（3）法定代表人身份证明及法定代表人授权委托书（如为法定代表人参加磋商，则只需提供法定代表人身份证明，格式附后）；</w:t>
      </w:r>
    </w:p>
    <w:p w14:paraId="4C50E7D6">
      <w:pPr>
        <w:widowControl w:val="0"/>
        <w:numPr>
          <w:ilvl w:val="0"/>
          <w:numId w:val="0"/>
        </w:numPr>
        <w:tabs>
          <w:tab w:val="left" w:pos="720"/>
        </w:tabs>
        <w:adjustRightInd/>
        <w:spacing w:line="348" w:lineRule="auto"/>
        <w:ind w:firstLine="420" w:firstLineChars="200"/>
        <w:jc w:val="both"/>
        <w:textAlignment w:val="baseline"/>
        <w:outlineLvl w:val="9"/>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（4）磋商声明书</w:t>
      </w:r>
    </w:p>
    <w:p w14:paraId="72D61B6B">
      <w:pPr>
        <w:widowControl w:val="0"/>
        <w:numPr>
          <w:ilvl w:val="0"/>
          <w:numId w:val="0"/>
        </w:numPr>
        <w:tabs>
          <w:tab w:val="left" w:pos="720"/>
        </w:tabs>
        <w:adjustRightInd/>
        <w:spacing w:line="348" w:lineRule="auto"/>
        <w:ind w:firstLine="420" w:firstLineChars="200"/>
        <w:jc w:val="both"/>
        <w:textAlignment w:val="baseline"/>
        <w:outlineLvl w:val="9"/>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5</w:t>
      </w:r>
      <w:r>
        <w:rPr>
          <w:rFonts w:hint="eastAsia" w:ascii="宋体" w:hAnsi="宋体" w:eastAsia="宋体" w:cs="宋体"/>
          <w:bCs/>
          <w:color w:val="auto"/>
          <w:sz w:val="21"/>
          <w:szCs w:val="21"/>
          <w:highlight w:val="none"/>
          <w:lang w:val="en-US" w:eastAsia="zh-CN" w:bidi="ar-SA"/>
        </w:rPr>
        <w:t>）采购需求响应（偏离）表；</w:t>
      </w:r>
    </w:p>
    <w:p w14:paraId="78BBA3E0">
      <w:pPr>
        <w:widowControl w:val="0"/>
        <w:numPr>
          <w:ilvl w:val="0"/>
          <w:numId w:val="0"/>
        </w:numPr>
        <w:tabs>
          <w:tab w:val="left" w:pos="720"/>
        </w:tabs>
        <w:adjustRightInd/>
        <w:spacing w:line="348" w:lineRule="auto"/>
        <w:ind w:firstLine="420" w:firstLineChars="200"/>
        <w:jc w:val="both"/>
        <w:textAlignment w:val="baseline"/>
        <w:outlineLvl w:val="9"/>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6</w:t>
      </w:r>
      <w:r>
        <w:rPr>
          <w:rFonts w:hint="eastAsia" w:ascii="宋体" w:hAnsi="宋体" w:eastAsia="宋体" w:cs="宋体"/>
          <w:bCs/>
          <w:color w:val="auto"/>
          <w:sz w:val="21"/>
          <w:szCs w:val="21"/>
          <w:highlight w:val="none"/>
          <w:lang w:val="en-US" w:eastAsia="zh-CN" w:bidi="ar-SA"/>
        </w:rPr>
        <w:t>）技术部分：针对本项目项目需求和评审标准中的条款拟定完整方案，格式自拟；</w:t>
      </w:r>
    </w:p>
    <w:p w14:paraId="4C60905C">
      <w:pPr>
        <w:widowControl w:val="0"/>
        <w:numPr>
          <w:ilvl w:val="0"/>
          <w:numId w:val="0"/>
        </w:numPr>
        <w:tabs>
          <w:tab w:val="left" w:pos="720"/>
        </w:tabs>
        <w:adjustRightInd/>
        <w:spacing w:line="348" w:lineRule="auto"/>
        <w:ind w:firstLine="420" w:firstLineChars="200"/>
        <w:jc w:val="both"/>
        <w:textAlignment w:val="baseline"/>
        <w:outlineLvl w:val="9"/>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7</w:t>
      </w:r>
      <w:r>
        <w:rPr>
          <w:rFonts w:hint="eastAsia" w:ascii="宋体" w:hAnsi="宋体" w:eastAsia="宋体" w:cs="宋体"/>
          <w:bCs/>
          <w:color w:val="auto"/>
          <w:sz w:val="21"/>
          <w:szCs w:val="21"/>
          <w:highlight w:val="none"/>
          <w:lang w:val="en-US" w:eastAsia="zh-CN" w:bidi="ar-SA"/>
        </w:rPr>
        <w:t>）业绩一览表（格式附后）；</w:t>
      </w:r>
    </w:p>
    <w:p w14:paraId="78718D6D">
      <w:pPr>
        <w:widowControl w:val="0"/>
        <w:numPr>
          <w:ilvl w:val="0"/>
          <w:numId w:val="0"/>
        </w:numPr>
        <w:tabs>
          <w:tab w:val="left" w:pos="720"/>
        </w:tabs>
        <w:adjustRightInd/>
        <w:spacing w:line="348" w:lineRule="auto"/>
        <w:ind w:firstLine="420" w:firstLineChars="200"/>
        <w:jc w:val="both"/>
        <w:textAlignment w:val="baseline"/>
        <w:outlineLvl w:val="9"/>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8</w:t>
      </w:r>
      <w:r>
        <w:rPr>
          <w:rFonts w:hint="eastAsia" w:ascii="宋体" w:hAnsi="宋体" w:eastAsia="宋体" w:cs="宋体"/>
          <w:bCs/>
          <w:color w:val="auto"/>
          <w:sz w:val="21"/>
          <w:szCs w:val="21"/>
          <w:highlight w:val="none"/>
          <w:lang w:val="en-US" w:eastAsia="zh-CN" w:bidi="ar-SA"/>
        </w:rPr>
        <w:t>）政府采购领域商业贿赂行为承诺书（格式附后）</w:t>
      </w:r>
    </w:p>
    <w:p w14:paraId="182465EC">
      <w:pPr>
        <w:widowControl w:val="0"/>
        <w:numPr>
          <w:ilvl w:val="0"/>
          <w:numId w:val="0"/>
        </w:numPr>
        <w:tabs>
          <w:tab w:val="left" w:pos="720"/>
        </w:tabs>
        <w:adjustRightInd/>
        <w:spacing w:line="348" w:lineRule="auto"/>
        <w:ind w:firstLine="420" w:firstLineChars="200"/>
        <w:jc w:val="both"/>
        <w:textAlignment w:val="baseline"/>
        <w:outlineLvl w:val="9"/>
        <w:rPr>
          <w:rFonts w:hint="default"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9</w:t>
      </w:r>
      <w:r>
        <w:rPr>
          <w:rFonts w:hint="eastAsia" w:ascii="宋体" w:hAnsi="宋体" w:eastAsia="宋体" w:cs="宋体"/>
          <w:bCs/>
          <w:color w:val="auto"/>
          <w:sz w:val="21"/>
          <w:szCs w:val="21"/>
          <w:highlight w:val="none"/>
          <w:lang w:val="en-US" w:eastAsia="zh-CN" w:bidi="ar-SA"/>
        </w:rPr>
        <w:t>）评审标准要求提供的其他资料；</w:t>
      </w:r>
    </w:p>
    <w:p w14:paraId="26D936F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hint="eastAsia" w:ascii="宋体" w:hAnsi="宋体" w:eastAsia="宋体" w:cs="宋体"/>
          <w:bCs/>
          <w:color w:val="auto"/>
          <w:sz w:val="21"/>
          <w:szCs w:val="21"/>
          <w:highlight w:val="none"/>
          <w:lang w:val="en-US" w:eastAsia="zh-CN" w:bidi="ar-SA"/>
        </w:rPr>
        <w:t>（</w:t>
      </w:r>
      <w:r>
        <w:rPr>
          <w:rFonts w:hint="eastAsia" w:ascii="宋体" w:hAnsi="宋体" w:cs="宋体"/>
          <w:bCs/>
          <w:color w:val="auto"/>
          <w:sz w:val="21"/>
          <w:szCs w:val="21"/>
          <w:highlight w:val="none"/>
          <w:lang w:val="en-US" w:eastAsia="zh-CN" w:bidi="ar-SA"/>
        </w:rPr>
        <w:t>10</w:t>
      </w:r>
      <w:r>
        <w:rPr>
          <w:rFonts w:hint="eastAsia" w:ascii="宋体" w:hAnsi="宋体" w:eastAsia="宋体" w:cs="宋体"/>
          <w:bCs/>
          <w:color w:val="auto"/>
          <w:sz w:val="21"/>
          <w:szCs w:val="21"/>
          <w:highlight w:val="none"/>
          <w:lang w:val="en-US" w:eastAsia="zh-CN" w:bidi="ar-SA"/>
        </w:rPr>
        <w:t>）供应商认为有需要提供的其它有关证明资料。</w:t>
      </w:r>
    </w:p>
    <w:p w14:paraId="55A685B6">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2.报价文件：</w:t>
      </w:r>
    </w:p>
    <w:p w14:paraId="3C39C9B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hint="eastAsia"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kern w:val="2"/>
          <w:sz w:val="21"/>
          <w:szCs w:val="21"/>
          <w:highlight w:val="none"/>
          <w:lang w:val="en-US" w:eastAsia="zh-CN" w:bidi="ar-SA"/>
        </w:rPr>
        <w:t>（1）</w:t>
      </w:r>
      <w:r>
        <w:rPr>
          <w:rFonts w:hint="eastAsia" w:asciiTheme="majorEastAsia" w:hAnsiTheme="majorEastAsia" w:eastAsiaTheme="majorEastAsia"/>
          <w:color w:val="auto"/>
          <w:szCs w:val="21"/>
          <w:highlight w:val="none"/>
        </w:rPr>
        <w:t>初次报价表</w:t>
      </w:r>
      <w:r>
        <w:rPr>
          <w:rFonts w:asciiTheme="majorEastAsia" w:hAnsiTheme="majorEastAsia" w:eastAsiaTheme="majorEastAsia"/>
          <w:color w:val="auto"/>
          <w:szCs w:val="21"/>
          <w:highlight w:val="none"/>
        </w:rPr>
        <w:t>（格式附后）；</w:t>
      </w:r>
    </w:p>
    <w:p w14:paraId="4DA1F08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hint="eastAsia" w:asciiTheme="majorEastAsia" w:hAnsiTheme="majorEastAsia" w:eastAsiaTheme="majorEastAsia"/>
          <w:color w:val="auto"/>
          <w:szCs w:val="21"/>
          <w:highlight w:val="none"/>
        </w:rPr>
      </w:pPr>
      <w:r>
        <w:rPr>
          <w:rFonts w:hint="eastAsia" w:cs="Times New Roman" w:asciiTheme="majorEastAsia" w:hAnsiTheme="majorEastAsia" w:eastAsiaTheme="majorEastAsia"/>
          <w:color w:val="auto"/>
          <w:kern w:val="2"/>
          <w:sz w:val="21"/>
          <w:szCs w:val="21"/>
          <w:highlight w:val="none"/>
          <w:lang w:val="en-US" w:eastAsia="zh-CN" w:bidi="ar-SA"/>
        </w:rPr>
        <w:t>（2）</w:t>
      </w:r>
      <w:r>
        <w:rPr>
          <w:rFonts w:hint="eastAsia" w:asciiTheme="majorEastAsia" w:hAnsiTheme="majorEastAsia" w:eastAsiaTheme="majorEastAsia"/>
          <w:color w:val="auto"/>
          <w:szCs w:val="21"/>
          <w:highlight w:val="none"/>
        </w:rPr>
        <w:t>①中小企业声明函（如是，请提供。格式附后）；</w:t>
      </w:r>
    </w:p>
    <w:p w14:paraId="6CB5211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②供应商为监狱企业的证明文件：省级以上监狱管理局、戒毒管理局（含新疆生产建设兵团）出具（如是，请提供</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rPr>
        <w:t>格式附后）；</w:t>
      </w:r>
    </w:p>
    <w:p w14:paraId="435D7F7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③残疾人福利性单位声明函（如是，请提供。格式附后）。</w:t>
      </w:r>
    </w:p>
    <w:p w14:paraId="50EB5CB8">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contextualSpacing/>
        <w:jc w:val="left"/>
        <w:textAlignment w:val="auto"/>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3</w:t>
      </w:r>
      <w:r>
        <w:rPr>
          <w:rFonts w:asciiTheme="majorEastAsia" w:hAnsiTheme="majorEastAsia" w:eastAsiaTheme="majorEastAsia"/>
          <w:color w:val="auto"/>
          <w:szCs w:val="21"/>
          <w:highlight w:val="none"/>
        </w:rPr>
        <w:t>）供应商针对报价需要说明的其他文件和说明（格式自拟）。</w:t>
      </w:r>
    </w:p>
    <w:p w14:paraId="55C1B6C0">
      <w:pPr>
        <w:keepNext w:val="0"/>
        <w:keepLines w:val="0"/>
        <w:pageBreakBefore w:val="0"/>
        <w:widowControl w:val="0"/>
        <w:shd w:val="clear"/>
        <w:kinsoku/>
        <w:wordWrap/>
        <w:overflowPunct/>
        <w:topLinePunct w:val="0"/>
        <w:autoSpaceDE/>
        <w:autoSpaceDN/>
        <w:bidi w:val="0"/>
        <w:adjustRightInd/>
        <w:snapToGrid/>
        <w:spacing w:line="360" w:lineRule="auto"/>
        <w:ind w:firstLine="413" w:firstLineChars="196"/>
        <w:contextualSpacing/>
        <w:jc w:val="left"/>
        <w:textAlignment w:val="auto"/>
        <w:outlineLvl w:val="9"/>
        <w:rPr>
          <w:rFonts w:asciiTheme="majorEastAsia" w:hAnsiTheme="majorEastAsia" w:eastAsiaTheme="majorEastAsia"/>
          <w:b/>
          <w:color w:val="auto"/>
          <w:szCs w:val="21"/>
          <w:highlight w:val="none"/>
        </w:rPr>
      </w:pPr>
      <w:bookmarkStart w:id="17" w:name="_Toc10734"/>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三</w:t>
      </w:r>
      <w:r>
        <w:rPr>
          <w:rFonts w:asciiTheme="majorEastAsia" w:hAnsiTheme="majorEastAsia" w:eastAsiaTheme="majorEastAsia"/>
          <w:b/>
          <w:color w:val="auto"/>
          <w:szCs w:val="21"/>
          <w:highlight w:val="none"/>
        </w:rPr>
        <w:t>）响应文件的语言及计量</w:t>
      </w:r>
      <w:bookmarkEnd w:id="17"/>
    </w:p>
    <w:p w14:paraId="03325011">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*1响应文件以及供应商与采购人就有关磋商事宜的所有来往函电，均应以中文汉语书写。除签名、盖章、专用名称等特殊情形外，以中文汉语以外的文字表述的响应文件视同未提供。</w:t>
      </w:r>
    </w:p>
    <w:p w14:paraId="1FBFC5BB">
      <w:pPr>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contextualSpacing/>
        <w:jc w:val="left"/>
        <w:textAlignment w:val="auto"/>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*2报价计量单位，磋商文件已有明确规定的，使用磋商文件规定的计量单位；磋商文件没有规定的，应采用中华人民共和国法定计量单位（货币单位：人民币元），否则视同未响应。</w:t>
      </w:r>
    </w:p>
    <w:p w14:paraId="699F0961">
      <w:pPr>
        <w:keepNext w:val="0"/>
        <w:keepLines w:val="0"/>
        <w:pageBreakBefore w:val="0"/>
        <w:widowControl w:val="0"/>
        <w:shd w:val="clear"/>
        <w:kinsoku/>
        <w:wordWrap/>
        <w:overflowPunct/>
        <w:topLinePunct w:val="0"/>
        <w:bidi w:val="0"/>
        <w:spacing w:line="360" w:lineRule="auto"/>
        <w:ind w:firstLine="413" w:firstLineChars="196"/>
        <w:contextualSpacing/>
        <w:jc w:val="left"/>
        <w:outlineLvl w:val="9"/>
        <w:rPr>
          <w:rFonts w:asciiTheme="majorEastAsia" w:hAnsiTheme="majorEastAsia" w:eastAsiaTheme="majorEastAsia"/>
          <w:b/>
          <w:color w:val="auto"/>
          <w:szCs w:val="21"/>
          <w:highlight w:val="none"/>
        </w:rPr>
      </w:pPr>
      <w:bookmarkStart w:id="18" w:name="_Toc3681"/>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四</w:t>
      </w:r>
      <w:r>
        <w:rPr>
          <w:rFonts w:asciiTheme="majorEastAsia" w:hAnsiTheme="majorEastAsia" w:eastAsiaTheme="majorEastAsia"/>
          <w:b/>
          <w:color w:val="auto"/>
          <w:szCs w:val="21"/>
          <w:highlight w:val="none"/>
        </w:rPr>
        <w:t>）报价</w:t>
      </w:r>
      <w:bookmarkEnd w:id="18"/>
      <w:r>
        <w:rPr>
          <w:rFonts w:asciiTheme="majorEastAsia" w:hAnsiTheme="majorEastAsia" w:eastAsiaTheme="majorEastAsia"/>
          <w:b/>
          <w:color w:val="auto"/>
          <w:szCs w:val="21"/>
          <w:highlight w:val="none"/>
        </w:rPr>
        <w:t>要求</w:t>
      </w:r>
    </w:p>
    <w:p w14:paraId="7F50CD75">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jc w:val="left"/>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1.报价应按磋商文件中相关附表格式填写。</w:t>
      </w:r>
    </w:p>
    <w:p w14:paraId="620D5AF6">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jc w:val="left"/>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*2.响应文件只允许有一个报价，有选择的或有条件的报价将不予接受。</w:t>
      </w:r>
    </w:p>
    <w:p w14:paraId="77C207DF">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五</w:t>
      </w:r>
      <w:r>
        <w:rPr>
          <w:rFonts w:asciiTheme="majorEastAsia" w:hAnsiTheme="majorEastAsia" w:eastAsiaTheme="majorEastAsia"/>
          <w:b/>
          <w:color w:val="auto"/>
          <w:sz w:val="21"/>
          <w:szCs w:val="21"/>
          <w:highlight w:val="none"/>
        </w:rPr>
        <w:t>）响应文件的有效期</w:t>
      </w:r>
    </w:p>
    <w:p w14:paraId="5689E928">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22" w:firstLineChars="200"/>
        <w:contextualSpacing/>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*1.自首次提交响应文件截止日起</w:t>
      </w:r>
      <w:r>
        <w:rPr>
          <w:rFonts w:asciiTheme="majorEastAsia" w:hAnsiTheme="majorEastAsia" w:eastAsiaTheme="majorEastAsia"/>
          <w:b/>
          <w:color w:val="auto"/>
          <w:sz w:val="21"/>
          <w:szCs w:val="21"/>
          <w:highlight w:val="none"/>
          <w:u w:val="single"/>
        </w:rPr>
        <w:t xml:space="preserve">90 </w:t>
      </w:r>
      <w:r>
        <w:rPr>
          <w:rFonts w:asciiTheme="majorEastAsia" w:hAnsiTheme="majorEastAsia" w:eastAsiaTheme="majorEastAsia"/>
          <w:b/>
          <w:color w:val="auto"/>
          <w:sz w:val="21"/>
          <w:szCs w:val="21"/>
          <w:highlight w:val="none"/>
        </w:rPr>
        <w:t>天响应文件应保持有效。有效期不足的响应文件将被拒绝。</w:t>
      </w:r>
    </w:p>
    <w:p w14:paraId="304C4346">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20" w:firstLineChars="200"/>
        <w:contextualSpacing/>
        <w:outlineLvl w:val="9"/>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2.在特殊情况下，采购人可与供应商协商延长响应文件的有效期，这种要求和答复均以书面形式进行。</w:t>
      </w:r>
    </w:p>
    <w:p w14:paraId="152FECF7">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asciiTheme="majorEastAsia" w:hAnsiTheme="majorEastAsia" w:eastAsiaTheme="majorEastAsia"/>
          <w:b/>
          <w:color w:val="auto"/>
          <w:szCs w:val="21"/>
          <w:highlight w:val="none"/>
        </w:rPr>
      </w:pPr>
      <w:bookmarkStart w:id="19" w:name="_Toc24481"/>
      <w:r>
        <w:rPr>
          <w:rFonts w:asciiTheme="majorEastAsia" w:hAnsiTheme="majorEastAsia" w:eastAsiaTheme="majorEastAsia"/>
          <w:color w:val="auto"/>
          <w:szCs w:val="21"/>
          <w:highlight w:val="none"/>
        </w:rPr>
        <w:t>3.供应商可拒绝接受延期要求。同意延长有效期的供应商不能修改响应文件。</w:t>
      </w:r>
      <w:bookmarkEnd w:id="19"/>
      <w:r>
        <w:rPr>
          <w:rFonts w:asciiTheme="majorEastAsia" w:hAnsiTheme="majorEastAsia" w:eastAsiaTheme="majorEastAsia"/>
          <w:b/>
          <w:color w:val="auto"/>
          <w:szCs w:val="21"/>
          <w:highlight w:val="none"/>
        </w:rPr>
        <w:t xml:space="preserve"> </w:t>
      </w:r>
    </w:p>
    <w:p w14:paraId="2019E69F">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asciiTheme="majorEastAsia" w:hAnsiTheme="majorEastAsia" w:eastAsiaTheme="majorEastAsia"/>
          <w:b/>
          <w:color w:val="auto"/>
          <w:szCs w:val="21"/>
          <w:highlight w:val="none"/>
        </w:rPr>
      </w:pPr>
      <w:bookmarkStart w:id="20" w:name="_Toc6471"/>
      <w:r>
        <w:rPr>
          <w:rFonts w:asciiTheme="majorEastAsia" w:hAnsiTheme="majorEastAsia" w:eastAsiaTheme="majorEastAsia"/>
          <w:color w:val="auto"/>
          <w:szCs w:val="21"/>
          <w:highlight w:val="none"/>
        </w:rPr>
        <w:t>4.成交供应商的响应文件自首次提交响应文件截止日起至合同履行完毕止均应保持有效。</w:t>
      </w:r>
      <w:bookmarkEnd w:id="20"/>
    </w:p>
    <w:p w14:paraId="369F837F">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六</w:t>
      </w:r>
      <w:r>
        <w:rPr>
          <w:rFonts w:asciiTheme="majorEastAsia" w:hAnsiTheme="majorEastAsia" w:eastAsiaTheme="majorEastAsia"/>
          <w:b/>
          <w:color w:val="auto"/>
          <w:sz w:val="21"/>
          <w:szCs w:val="21"/>
          <w:highlight w:val="none"/>
        </w:rPr>
        <w:t>）响应文件的签署和份数</w:t>
      </w:r>
    </w:p>
    <w:p w14:paraId="7708556C">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1.供应商应按本磋商文件规定的格式和顺序编制响应文件并标注页码，响应文件内容不完整、编排混乱导致响应文件被误读、漏读或者查找不到相关内容的，是供应商的责任。</w:t>
      </w:r>
    </w:p>
    <w:p w14:paraId="11A6C24E">
      <w:pPr>
        <w:pageBreakBefore w:val="0"/>
        <w:widowControl w:val="0"/>
        <w:kinsoku/>
        <w:wordWrap/>
        <w:overflowPunct/>
        <w:topLinePunct w:val="0"/>
        <w:autoSpaceDE/>
        <w:autoSpaceDN/>
        <w:bidi w:val="0"/>
        <w:snapToGrid w:val="0"/>
        <w:spacing w:before="120" w:beforeLines="50" w:line="360" w:lineRule="auto"/>
        <w:ind w:right="0" w:rightChars="0" w:firstLine="422" w:firstLineChars="200"/>
        <w:jc w:val="left"/>
        <w:outlineLvl w:val="9"/>
        <w:rPr>
          <w:rFonts w:hint="eastAsia" w:ascii="宋体" w:hAnsi="宋体" w:eastAsia="宋体" w:cs="宋体"/>
          <w:b/>
          <w:color w:val="auto"/>
          <w:szCs w:val="21"/>
          <w:highlight w:val="none"/>
        </w:rPr>
      </w:pPr>
      <w:r>
        <w:rPr>
          <w:rFonts w:asciiTheme="majorEastAsia" w:hAnsiTheme="majorEastAsia" w:eastAsiaTheme="majorEastAsia"/>
          <w:b/>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须在</w:t>
      </w:r>
      <w:r>
        <w:rPr>
          <w:rFonts w:hint="eastAsia" w:ascii="宋体" w:hAnsi="宋体" w:eastAsia="宋体" w:cs="宋体"/>
          <w:color w:val="auto"/>
          <w:szCs w:val="21"/>
          <w:highlight w:val="none"/>
          <w:lang w:eastAsia="zh-CN"/>
        </w:rPr>
        <w:t>响应文件递交</w:t>
      </w:r>
      <w:r>
        <w:rPr>
          <w:rFonts w:hint="eastAsia" w:ascii="宋体" w:hAnsi="宋体" w:eastAsia="宋体" w:cs="宋体"/>
          <w:color w:val="auto"/>
          <w:szCs w:val="21"/>
          <w:highlight w:val="none"/>
        </w:rPr>
        <w:t>截止时间前将电子</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文件上传“政采云”平台。</w:t>
      </w:r>
    </w:p>
    <w:p w14:paraId="67972E23">
      <w:pPr>
        <w:pageBreakBefore w:val="0"/>
        <w:widowControl w:val="0"/>
        <w:kinsoku/>
        <w:wordWrap/>
        <w:overflowPunct/>
        <w:topLinePunct w:val="0"/>
        <w:autoSpaceDE/>
        <w:autoSpaceDN/>
        <w:bidi w:val="0"/>
        <w:spacing w:line="360" w:lineRule="auto"/>
        <w:ind w:right="0" w:rightChars="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供应商可自愿提交电子文本一份（以介质存储的数据电文形式的备份</w:t>
      </w:r>
      <w:r>
        <w:rPr>
          <w:rFonts w:hint="eastAsia" w:ascii="宋体" w:hAnsi="宋体" w:eastAsia="宋体" w:cs="宋体"/>
          <w:b/>
          <w:bCs/>
          <w:color w:val="auto"/>
          <w:szCs w:val="21"/>
          <w:highlight w:val="none"/>
          <w:lang w:eastAsia="zh-CN"/>
        </w:rPr>
        <w:t>响应</w:t>
      </w:r>
      <w:r>
        <w:rPr>
          <w:rFonts w:hint="eastAsia" w:ascii="宋体" w:hAnsi="宋体" w:eastAsia="宋体" w:cs="宋体"/>
          <w:b/>
          <w:bCs/>
          <w:color w:val="auto"/>
          <w:szCs w:val="21"/>
          <w:highlight w:val="none"/>
        </w:rPr>
        <w:t>文件）：供应商应根据“政采云供应商项目采购-电子招投标操作指南”及本</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文件规定的格式和顺序编制电子</w:t>
      </w:r>
      <w:r>
        <w:rPr>
          <w:rFonts w:hint="eastAsia" w:ascii="宋体" w:hAnsi="宋体" w:eastAsia="宋体" w:cs="宋体"/>
          <w:b/>
          <w:bCs/>
          <w:color w:val="auto"/>
          <w:szCs w:val="21"/>
          <w:highlight w:val="none"/>
          <w:lang w:eastAsia="zh-CN"/>
        </w:rPr>
        <w:t>响应</w:t>
      </w:r>
      <w:r>
        <w:rPr>
          <w:rFonts w:hint="eastAsia" w:ascii="宋体" w:hAnsi="宋体" w:eastAsia="宋体" w:cs="宋体"/>
          <w:b/>
          <w:bCs/>
          <w:color w:val="auto"/>
          <w:szCs w:val="21"/>
          <w:highlight w:val="none"/>
        </w:rPr>
        <w:t>文件并进行关联定位。以U盘形式存储，并单独密封递交。</w:t>
      </w:r>
    </w:p>
    <w:p w14:paraId="6212769C">
      <w:pPr>
        <w:pageBreakBefore w:val="0"/>
        <w:widowControl w:val="0"/>
        <w:kinsoku/>
        <w:wordWrap/>
        <w:overflowPunct/>
        <w:topLinePunct w:val="0"/>
        <w:autoSpaceDE/>
        <w:autoSpaceDN/>
        <w:bidi w:val="0"/>
        <w:snapToGrid w:val="0"/>
        <w:spacing w:line="360" w:lineRule="auto"/>
        <w:ind w:left="0" w:leftChars="0" w:right="0" w:rightChars="0" w:firstLine="42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如供应商自愿递交备份响应文件，供应商</w:t>
      </w:r>
      <w:r>
        <w:rPr>
          <w:rFonts w:hint="eastAsia" w:ascii="宋体" w:hAnsi="宋体" w:eastAsia="宋体" w:cs="宋体"/>
          <w:b/>
          <w:color w:val="auto"/>
          <w:szCs w:val="21"/>
          <w:highlight w:val="none"/>
        </w:rPr>
        <w:t>应当在</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文件要求提交</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文件的截止时间前，将</w:t>
      </w:r>
      <w:r>
        <w:rPr>
          <w:rFonts w:hint="eastAsia" w:ascii="宋体" w:hAnsi="宋体" w:eastAsia="宋体" w:cs="宋体"/>
          <w:b/>
          <w:color w:val="auto"/>
          <w:szCs w:val="21"/>
          <w:highlight w:val="none"/>
          <w:lang w:eastAsia="zh-CN"/>
        </w:rPr>
        <w:t>备份响应</w:t>
      </w:r>
      <w:r>
        <w:rPr>
          <w:rFonts w:hint="eastAsia" w:ascii="宋体" w:hAnsi="宋体" w:eastAsia="宋体" w:cs="宋体"/>
          <w:b/>
          <w:color w:val="auto"/>
          <w:szCs w:val="21"/>
          <w:highlight w:val="none"/>
        </w:rPr>
        <w:t>文件密封送达</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地点。采购人或者采购代理机构收到</w:t>
      </w:r>
      <w:r>
        <w:rPr>
          <w:rFonts w:hint="eastAsia" w:ascii="宋体" w:hAnsi="宋体" w:eastAsia="宋体" w:cs="宋体"/>
          <w:b/>
          <w:color w:val="auto"/>
          <w:szCs w:val="21"/>
          <w:highlight w:val="none"/>
          <w:lang w:eastAsia="zh-CN"/>
        </w:rPr>
        <w:t>备份响应</w:t>
      </w:r>
      <w:r>
        <w:rPr>
          <w:rFonts w:hint="eastAsia" w:ascii="宋体" w:hAnsi="宋体" w:eastAsia="宋体" w:cs="宋体"/>
          <w:b/>
          <w:color w:val="auto"/>
          <w:szCs w:val="21"/>
          <w:highlight w:val="none"/>
        </w:rPr>
        <w:t>文件后，应当如实记载</w:t>
      </w:r>
      <w:r>
        <w:rPr>
          <w:rFonts w:hint="eastAsia" w:ascii="宋体" w:hAnsi="宋体" w:eastAsia="宋体" w:cs="宋体"/>
          <w:b/>
          <w:color w:val="auto"/>
          <w:szCs w:val="21"/>
          <w:highlight w:val="none"/>
          <w:lang w:eastAsia="zh-CN"/>
        </w:rPr>
        <w:t>备份</w:t>
      </w:r>
      <w:r>
        <w:rPr>
          <w:rFonts w:hint="eastAsia" w:ascii="宋体" w:hAnsi="宋体" w:eastAsia="宋体" w:cs="宋体"/>
          <w:b/>
          <w:color w:val="auto"/>
          <w:szCs w:val="21"/>
          <w:highlight w:val="none"/>
        </w:rPr>
        <w:t>响应文件的送达时间和密封情况，签收保存，并向</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出具签收回执。任何单位和个人不得在开标前开启</w:t>
      </w:r>
      <w:r>
        <w:rPr>
          <w:rFonts w:hint="eastAsia" w:ascii="宋体" w:hAnsi="宋体" w:eastAsia="宋体" w:cs="宋体"/>
          <w:b/>
          <w:color w:val="auto"/>
          <w:szCs w:val="21"/>
          <w:highlight w:val="none"/>
          <w:lang w:eastAsia="zh-CN"/>
        </w:rPr>
        <w:t>备份响应</w:t>
      </w:r>
      <w:r>
        <w:rPr>
          <w:rFonts w:hint="eastAsia" w:ascii="宋体" w:hAnsi="宋体" w:eastAsia="宋体" w:cs="宋体"/>
          <w:b/>
          <w:color w:val="auto"/>
          <w:szCs w:val="21"/>
          <w:highlight w:val="none"/>
        </w:rPr>
        <w:t>文件。</w:t>
      </w:r>
    </w:p>
    <w:p w14:paraId="5FAC6338">
      <w:pPr>
        <w:pageBreakBefore w:val="0"/>
        <w:widowControl w:val="0"/>
        <w:kinsoku/>
        <w:wordWrap/>
        <w:overflowPunct/>
        <w:topLinePunct w:val="0"/>
        <w:autoSpaceDE/>
        <w:autoSpaceDN/>
        <w:bidi w:val="0"/>
        <w:snapToGrid w:val="0"/>
        <w:spacing w:line="360" w:lineRule="auto"/>
        <w:ind w:left="0" w:leftChars="0" w:right="0" w:rightChars="0" w:firstLine="420"/>
        <w:jc w:val="left"/>
        <w:outlineLvl w:val="9"/>
        <w:rPr>
          <w:rFonts w:asciiTheme="majorEastAsia" w:hAnsiTheme="majorEastAsia" w:eastAsiaTheme="majorEastAsia"/>
          <w:color w:val="auto"/>
          <w:sz w:val="21"/>
          <w:szCs w:val="21"/>
          <w:highlight w:val="none"/>
        </w:rPr>
      </w:pP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.逾期送达或者未按照采购文件要求密封的</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文件，采购人、采购代理机构应当拒收。</w:t>
      </w:r>
    </w:p>
    <w:p w14:paraId="7F21B45B">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lang w:val="en-US" w:eastAsia="zh-CN"/>
        </w:rPr>
        <w:t>6</w:t>
      </w:r>
      <w:r>
        <w:rPr>
          <w:rFonts w:asciiTheme="majorEastAsia" w:hAnsiTheme="majorEastAsia" w:eastAsiaTheme="majorEastAsia"/>
          <w:color w:val="auto"/>
          <w:sz w:val="21"/>
          <w:szCs w:val="21"/>
          <w:highlight w:val="none"/>
        </w:rPr>
        <w:t>.响应文件须由供应商在规定位置盖章并由法定代表人（负责人）或法定代表人（负责人）的授权委托人签署，供应商应写全称。</w:t>
      </w:r>
    </w:p>
    <w:p w14:paraId="01A691BF">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lang w:val="en-US" w:eastAsia="zh-CN"/>
        </w:rPr>
        <w:t>7</w:t>
      </w:r>
      <w:r>
        <w:rPr>
          <w:rFonts w:asciiTheme="majorEastAsia" w:hAnsiTheme="majorEastAsia" w:eastAsiaTheme="majorEastAsia"/>
          <w:color w:val="auto"/>
          <w:sz w:val="21"/>
          <w:szCs w:val="21"/>
          <w:highlight w:val="none"/>
        </w:rPr>
        <w:t>.响应文件不得涂改，若有修改错漏处，须加盖单位公章或者法定代表人（负责人）或授权委托人签字或盖章。响应文件因字迹潦草或表达不清所引起的后果由供应商负责。</w:t>
      </w:r>
    </w:p>
    <w:p w14:paraId="09A85330">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b/>
          <w:bCs/>
          <w:color w:val="auto"/>
          <w:spacing w:val="0"/>
          <w:sz w:val="21"/>
          <w:highlight w:val="none"/>
        </w:rPr>
      </w:pPr>
      <w:r>
        <w:rPr>
          <w:rFonts w:hint="eastAsia" w:asciiTheme="majorEastAsia" w:hAnsiTheme="majorEastAsia" w:eastAsiaTheme="majorEastAsia"/>
          <w:color w:val="auto"/>
          <w:sz w:val="21"/>
          <w:szCs w:val="21"/>
          <w:highlight w:val="none"/>
          <w:lang w:val="en-US" w:eastAsia="zh-CN"/>
        </w:rPr>
        <w:t>8</w:t>
      </w:r>
      <w:r>
        <w:rPr>
          <w:rFonts w:hint="eastAsia" w:asciiTheme="majorEastAsia" w:hAnsiTheme="majorEastAsia" w:eastAsiaTheme="majorEastAsia"/>
          <w:color w:val="auto"/>
          <w:sz w:val="21"/>
          <w:szCs w:val="21"/>
          <w:highlight w:val="none"/>
        </w:rPr>
        <w:t>.供应商递交的企业宣传册、产品宣传册不属于响应文件有效组成资料的不作为评审依据。</w:t>
      </w:r>
    </w:p>
    <w:p w14:paraId="6B55EA0D">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七</w:t>
      </w:r>
      <w:r>
        <w:rPr>
          <w:rFonts w:asciiTheme="majorEastAsia" w:hAnsiTheme="majorEastAsia" w:eastAsiaTheme="majorEastAsia"/>
          <w:b/>
          <w:color w:val="auto"/>
          <w:sz w:val="21"/>
          <w:szCs w:val="21"/>
          <w:highlight w:val="none"/>
        </w:rPr>
        <w:t>）响应文件的递交、修改和撤回</w:t>
      </w:r>
    </w:p>
    <w:p w14:paraId="79045836">
      <w:pPr>
        <w:pStyle w:val="20"/>
        <w:keepNext w:val="0"/>
        <w:keepLines w:val="0"/>
        <w:pageBreakBefore w:val="0"/>
        <w:widowControl w:val="0"/>
        <w:shd w:val="clear"/>
        <w:kinsoku/>
        <w:wordWrap/>
        <w:overflowPunct/>
        <w:topLinePunct w:val="0"/>
        <w:bidi w:val="0"/>
        <w:spacing w:line="360" w:lineRule="auto"/>
        <w:ind w:firstLine="398" w:firstLineChars="196"/>
        <w:contextualSpacing/>
        <w:outlineLvl w:val="9"/>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1.</w:t>
      </w:r>
      <w:r>
        <w:rPr>
          <w:rFonts w:hint="eastAsia" w:asciiTheme="majorEastAsia" w:hAnsiTheme="majorEastAsia" w:eastAsiaTheme="majorEastAsia"/>
          <w:color w:val="auto"/>
          <w:sz w:val="21"/>
          <w:szCs w:val="21"/>
          <w:highlight w:val="none"/>
        </w:rPr>
        <w:t>响应文件的封面上均应分别注明投标项目名称、项目编号、供应商名称、供应商地址等内容，并加盖供应商公章。</w:t>
      </w:r>
    </w:p>
    <w:p w14:paraId="7BF944A8">
      <w:pPr>
        <w:pStyle w:val="20"/>
        <w:keepNext w:val="0"/>
        <w:keepLines w:val="0"/>
        <w:pageBreakBefore w:val="0"/>
        <w:widowControl w:val="0"/>
        <w:shd w:val="clear"/>
        <w:kinsoku/>
        <w:wordWrap/>
        <w:overflowPunct/>
        <w:topLinePunct w:val="0"/>
        <w:bidi w:val="0"/>
        <w:spacing w:line="360" w:lineRule="auto"/>
        <w:ind w:firstLine="398" w:firstLineChars="196"/>
        <w:contextualSpacing/>
        <w:outlineLvl w:val="9"/>
        <w:rPr>
          <w:rFonts w:asciiTheme="majorEastAsia" w:hAnsiTheme="majorEastAsia" w:eastAsiaTheme="majorEastAsia"/>
          <w:color w:val="auto"/>
          <w:sz w:val="21"/>
          <w:szCs w:val="21"/>
          <w:highlight w:val="none"/>
        </w:rPr>
      </w:pPr>
      <w:r>
        <w:rPr>
          <w:rFonts w:hint="eastAsia" w:asciiTheme="majorEastAsia" w:hAnsiTheme="majorEastAsia" w:eastAsiaTheme="majorEastAsia"/>
          <w:b/>
          <w:bCs/>
          <w:color w:val="auto"/>
          <w:sz w:val="21"/>
          <w:szCs w:val="21"/>
          <w:highlight w:val="none"/>
        </w:rPr>
        <w:t>如</w:t>
      </w:r>
      <w:r>
        <w:rPr>
          <w:rFonts w:hint="eastAsia" w:asciiTheme="majorEastAsia" w:hAnsiTheme="majorEastAsia" w:eastAsiaTheme="majorEastAsia"/>
          <w:b/>
          <w:bCs/>
          <w:color w:val="auto"/>
          <w:sz w:val="21"/>
          <w:szCs w:val="21"/>
          <w:highlight w:val="none"/>
          <w:lang w:eastAsia="zh-CN"/>
        </w:rPr>
        <w:t>供应商</w:t>
      </w:r>
      <w:r>
        <w:rPr>
          <w:rFonts w:hint="eastAsia" w:asciiTheme="majorEastAsia" w:hAnsiTheme="majorEastAsia" w:eastAsiaTheme="majorEastAsia"/>
          <w:b/>
          <w:bCs/>
          <w:color w:val="auto"/>
          <w:sz w:val="21"/>
          <w:szCs w:val="21"/>
          <w:highlight w:val="none"/>
        </w:rPr>
        <w:t>自愿递交备份</w:t>
      </w:r>
      <w:r>
        <w:rPr>
          <w:rFonts w:hint="eastAsia" w:asciiTheme="majorEastAsia" w:hAnsiTheme="majorEastAsia" w:eastAsiaTheme="majorEastAsia"/>
          <w:b/>
          <w:bCs/>
          <w:color w:val="auto"/>
          <w:sz w:val="21"/>
          <w:szCs w:val="21"/>
          <w:highlight w:val="none"/>
          <w:lang w:eastAsia="zh-CN"/>
        </w:rPr>
        <w:t>响应</w:t>
      </w:r>
      <w:r>
        <w:rPr>
          <w:rFonts w:hint="eastAsia" w:asciiTheme="majorEastAsia" w:hAnsiTheme="majorEastAsia" w:eastAsiaTheme="majorEastAsia"/>
          <w:b/>
          <w:bCs/>
          <w:color w:val="auto"/>
          <w:sz w:val="21"/>
          <w:szCs w:val="21"/>
          <w:highlight w:val="none"/>
        </w:rPr>
        <w:t>文件</w:t>
      </w:r>
      <w:r>
        <w:rPr>
          <w:rFonts w:hint="eastAsia" w:asciiTheme="majorEastAsia" w:hAnsiTheme="majorEastAsia" w:eastAsiaTheme="majorEastAsia"/>
          <w:b/>
          <w:bCs/>
          <w:color w:val="auto"/>
          <w:sz w:val="21"/>
          <w:szCs w:val="21"/>
          <w:highlight w:val="none"/>
          <w:lang w:eastAsia="zh-CN"/>
        </w:rPr>
        <w:t>，</w:t>
      </w:r>
      <w:r>
        <w:rPr>
          <w:rFonts w:hint="eastAsia" w:asciiTheme="majorEastAsia" w:hAnsiTheme="majorEastAsia" w:eastAsiaTheme="majorEastAsia"/>
          <w:b/>
          <w:bCs/>
          <w:color w:val="auto"/>
          <w:sz w:val="21"/>
          <w:szCs w:val="21"/>
          <w:highlight w:val="none"/>
        </w:rPr>
        <w:t>备份响应文件</w:t>
      </w:r>
      <w:r>
        <w:rPr>
          <w:rFonts w:hint="eastAsia" w:asciiTheme="majorEastAsia" w:hAnsiTheme="majorEastAsia" w:eastAsiaTheme="majorEastAsia"/>
          <w:b/>
          <w:bCs/>
          <w:color w:val="auto"/>
          <w:sz w:val="21"/>
          <w:szCs w:val="21"/>
          <w:highlight w:val="none"/>
          <w:lang w:eastAsia="zh-CN"/>
        </w:rPr>
        <w:t>须</w:t>
      </w:r>
      <w:r>
        <w:rPr>
          <w:rFonts w:hint="eastAsia" w:asciiTheme="majorEastAsia" w:hAnsiTheme="majorEastAsia" w:eastAsiaTheme="majorEastAsia"/>
          <w:b/>
          <w:bCs/>
          <w:color w:val="auto"/>
          <w:sz w:val="21"/>
          <w:szCs w:val="21"/>
          <w:highlight w:val="none"/>
        </w:rPr>
        <w:t>单独包封，外包装封面上应注明供应商名称、供应商地址、项目名称、项目编号、响应文件名称（电子响应文件的备份文件），并加盖供应商公章。</w:t>
      </w:r>
    </w:p>
    <w:p w14:paraId="43E5F7F0">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2.未按规定密封或标记的响应文件将被拒绝，由此造成响应文件被误投或提前拆封的风险由供应商承担。</w:t>
      </w:r>
    </w:p>
    <w:p w14:paraId="2CAA23BF">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3.供应商在提交首次响应文件截止时间之前，可以对已提交的响应文件进行修改或撤回，并书面通知采购人；首次响应文件截止时间后，供应商不得撤回、修改响应文件。修改后重新递交的响应文件应当按本磋商文件的要求签署、盖章和密封。</w:t>
      </w:r>
    </w:p>
    <w:p w14:paraId="7F53D41A">
      <w:pPr>
        <w:pStyle w:val="14"/>
        <w:keepNext w:val="0"/>
        <w:keepLines w:val="0"/>
        <w:pageBreakBefore w:val="0"/>
        <w:widowControl w:val="0"/>
        <w:shd w:val="clear"/>
        <w:tabs>
          <w:tab w:val="clear" w:pos="454"/>
        </w:tabs>
        <w:kinsoku/>
        <w:wordWrap/>
        <w:overflowPunct/>
        <w:topLinePunct w:val="0"/>
        <w:bidi w:val="0"/>
        <w:spacing w:afterLines="0" w:line="360" w:lineRule="auto"/>
        <w:ind w:left="0" w:firstLine="413" w:firstLineChars="196"/>
        <w:contextualSpacing/>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八</w:t>
      </w:r>
      <w:r>
        <w:rPr>
          <w:rFonts w:asciiTheme="majorEastAsia" w:hAnsiTheme="majorEastAsia" w:eastAsiaTheme="majorEastAsia"/>
          <w:b/>
          <w:color w:val="auto"/>
          <w:sz w:val="21"/>
          <w:szCs w:val="21"/>
          <w:highlight w:val="none"/>
        </w:rPr>
        <w:t>）响应无效的情形</w:t>
      </w:r>
    </w:p>
    <w:p w14:paraId="4C01B35E">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w:t>
      </w:r>
      <w:r>
        <w:rPr>
          <w:rFonts w:asciiTheme="majorEastAsia" w:hAnsiTheme="majorEastAsia" w:eastAsiaTheme="majorEastAsia"/>
          <w:color w:val="auto"/>
          <w:sz w:val="21"/>
          <w:szCs w:val="21"/>
          <w:highlight w:val="none"/>
        </w:rPr>
        <w:t>实质上没有响应磋商文件要求的响应文件将被视为无效响应。供应商不得通过修正或撤消不合要求的偏离或保留从而使其成为实质上响应的文件。</w:t>
      </w:r>
    </w:p>
    <w:p w14:paraId="1F0C3418">
      <w:pPr>
        <w:keepNext w:val="0"/>
        <w:keepLines w:val="0"/>
        <w:pageBreakBefore w:val="0"/>
        <w:widowControl w:val="0"/>
        <w:shd w:val="clear"/>
        <w:kinsoku/>
        <w:wordWrap/>
        <w:overflowPunct/>
        <w:topLinePunct w:val="0"/>
        <w:bidi w:val="0"/>
        <w:spacing w:line="360" w:lineRule="auto"/>
        <w:ind w:firstLine="413" w:firstLineChars="196"/>
        <w:contextualSpacing/>
        <w:jc w:val="left"/>
        <w:outlineLvl w:val="9"/>
        <w:rPr>
          <w:rFonts w:asciiTheme="majorEastAsia" w:hAnsiTheme="majorEastAsia" w:eastAsiaTheme="majorEastAsia"/>
          <w:b/>
          <w:bCs/>
          <w:color w:val="auto"/>
          <w:szCs w:val="21"/>
          <w:highlight w:val="none"/>
          <w:shd w:val="clear" w:color="auto" w:fill="FFFFFF"/>
        </w:rPr>
      </w:pPr>
      <w:r>
        <w:rPr>
          <w:rFonts w:hint="eastAsia" w:asciiTheme="majorEastAsia" w:hAnsiTheme="majorEastAsia" w:eastAsiaTheme="majorEastAsia"/>
          <w:b/>
          <w:color w:val="auto"/>
          <w:highlight w:val="none"/>
          <w:shd w:val="clear" w:color="auto" w:fill="FFFFFF"/>
        </w:rPr>
        <w:t>2</w:t>
      </w:r>
      <w:r>
        <w:rPr>
          <w:rFonts w:asciiTheme="majorEastAsia" w:hAnsiTheme="majorEastAsia" w:eastAsiaTheme="majorEastAsia"/>
          <w:b/>
          <w:color w:val="auto"/>
          <w:highlight w:val="none"/>
          <w:shd w:val="clear" w:color="auto" w:fill="FFFFFF"/>
        </w:rPr>
        <w:t>.在资格审查时，不具备磋商文件中规定的资格要求的，或者资格证明文件不全的，响应文件将被视为无效；</w:t>
      </w:r>
    </w:p>
    <w:p w14:paraId="33BD5E81">
      <w:pPr>
        <w:pStyle w:val="20"/>
        <w:keepNext w:val="0"/>
        <w:keepLines w:val="0"/>
        <w:pageBreakBefore w:val="0"/>
        <w:widowControl w:val="0"/>
        <w:shd w:val="clear"/>
        <w:kinsoku/>
        <w:wordWrap/>
        <w:overflowPunct/>
        <w:topLinePunct w:val="0"/>
        <w:bidi w:val="0"/>
        <w:spacing w:line="360" w:lineRule="auto"/>
        <w:ind w:firstLine="398" w:firstLineChars="196"/>
        <w:contextualSpacing/>
        <w:outlineLvl w:val="9"/>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3</w:t>
      </w:r>
      <w:r>
        <w:rPr>
          <w:rFonts w:asciiTheme="majorEastAsia" w:hAnsiTheme="majorEastAsia" w:eastAsiaTheme="majorEastAsia"/>
          <w:b/>
          <w:bCs/>
          <w:color w:val="auto"/>
          <w:sz w:val="21"/>
          <w:szCs w:val="21"/>
          <w:highlight w:val="none"/>
        </w:rPr>
        <w:t>.在符合性审查和资信评审时，如发现下列情形之一的，响应文件将被视为无效：</w:t>
      </w:r>
    </w:p>
    <w:p w14:paraId="50859F1E">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（1）响应文件无法定代表人（负责人）签字，或未提供法定代表人（负责人）授权委托书、</w:t>
      </w:r>
      <w:r>
        <w:rPr>
          <w:rFonts w:hint="eastAsia" w:asciiTheme="majorEastAsia" w:hAnsiTheme="majorEastAsia" w:eastAsiaTheme="majorEastAsia"/>
          <w:bCs/>
          <w:color w:val="auto"/>
          <w:sz w:val="21"/>
          <w:szCs w:val="21"/>
          <w:highlight w:val="none"/>
        </w:rPr>
        <w:t>磋商</w:t>
      </w:r>
      <w:r>
        <w:rPr>
          <w:rFonts w:asciiTheme="majorEastAsia" w:hAnsiTheme="majorEastAsia" w:eastAsiaTheme="majorEastAsia"/>
          <w:bCs/>
          <w:color w:val="auto"/>
          <w:sz w:val="21"/>
          <w:szCs w:val="21"/>
          <w:highlight w:val="none"/>
        </w:rPr>
        <w:t>声明书或者填写项目不齐全的；</w:t>
      </w:r>
    </w:p>
    <w:p w14:paraId="25E6914E">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（2）响应文件格式不规范、项目不齐全或者内容虚假的；</w:t>
      </w:r>
    </w:p>
    <w:p w14:paraId="28620954">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（3）响应文件的实质性内容未使用中文表述、意思表述不明确、前后矛盾或者使用计量单位不符合磋商文件要求的（经磋商小组认定并允许其当场更正的笔误除外）；</w:t>
      </w:r>
    </w:p>
    <w:p w14:paraId="2F751800">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bCs/>
          <w:snapToGrid w:val="0"/>
          <w:color w:val="auto"/>
          <w:sz w:val="21"/>
          <w:szCs w:val="21"/>
          <w:highlight w:val="none"/>
        </w:rPr>
      </w:pPr>
      <w:r>
        <w:rPr>
          <w:rFonts w:asciiTheme="majorEastAsia" w:hAnsiTheme="majorEastAsia" w:eastAsiaTheme="majorEastAsia"/>
          <w:bCs/>
          <w:color w:val="auto"/>
          <w:sz w:val="21"/>
          <w:szCs w:val="21"/>
          <w:highlight w:val="none"/>
        </w:rPr>
        <w:t>（</w:t>
      </w:r>
      <w:r>
        <w:rPr>
          <w:rFonts w:asciiTheme="majorEastAsia" w:hAnsiTheme="majorEastAsia" w:eastAsiaTheme="majorEastAsia"/>
          <w:bCs/>
          <w:snapToGrid w:val="0"/>
          <w:color w:val="auto"/>
          <w:sz w:val="21"/>
          <w:szCs w:val="21"/>
          <w:highlight w:val="none"/>
        </w:rPr>
        <w:t>4）响应文件有效期不能满足磋商文件要求的；</w:t>
      </w:r>
    </w:p>
    <w:p w14:paraId="724FE8A3">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（5）未实质性响应磋商文件要求，</w:t>
      </w:r>
      <w:r>
        <w:rPr>
          <w:rFonts w:asciiTheme="majorEastAsia" w:hAnsiTheme="majorEastAsia" w:eastAsiaTheme="majorEastAsia"/>
          <w:bCs/>
          <w:snapToGrid w:val="0"/>
          <w:color w:val="auto"/>
          <w:sz w:val="21"/>
          <w:szCs w:val="21"/>
          <w:highlight w:val="none"/>
        </w:rPr>
        <w:t>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“*”的商务条款发生实质性偏离的，或者响应文件有采购人不能接受的附加条件的；</w:t>
      </w:r>
    </w:p>
    <w:p w14:paraId="1F12E621">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（6）超过</w:t>
      </w:r>
      <w:r>
        <w:rPr>
          <w:rFonts w:asciiTheme="majorEastAsia" w:hAnsiTheme="majorEastAsia" w:eastAsiaTheme="majorEastAsia"/>
          <w:color w:val="auto"/>
          <w:sz w:val="21"/>
          <w:szCs w:val="21"/>
          <w:highlight w:val="none"/>
        </w:rPr>
        <w:t>首次响应文件截止时间</w:t>
      </w:r>
      <w:r>
        <w:rPr>
          <w:rFonts w:hint="eastAsia" w:asciiTheme="majorEastAsia" w:hAnsiTheme="majorEastAsia" w:eastAsiaTheme="majorEastAsia"/>
          <w:bCs/>
          <w:color w:val="auto"/>
          <w:sz w:val="21"/>
          <w:szCs w:val="21"/>
          <w:highlight w:val="none"/>
        </w:rPr>
        <w:t>上传（递交）</w:t>
      </w:r>
      <w:r>
        <w:rPr>
          <w:rFonts w:asciiTheme="majorEastAsia" w:hAnsiTheme="majorEastAsia" w:eastAsiaTheme="majorEastAsia"/>
          <w:bCs/>
          <w:color w:val="auto"/>
          <w:sz w:val="21"/>
          <w:szCs w:val="21"/>
          <w:highlight w:val="none"/>
        </w:rPr>
        <w:t>的；</w:t>
      </w:r>
    </w:p>
    <w:p w14:paraId="6CDDAEB9">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（7）未按规定密封、签章的；</w:t>
      </w:r>
    </w:p>
    <w:p w14:paraId="4DDF0317">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 xml:space="preserve">（8）响应文件的关键内容字迹模糊、无法辨认的,或者响应文件中经修正的内容字迹模糊难以辩认或者修改处未按规定签名盖章的； </w:t>
      </w:r>
    </w:p>
    <w:p w14:paraId="031CE892">
      <w:pPr>
        <w:pStyle w:val="20"/>
        <w:keepNext w:val="0"/>
        <w:keepLines w:val="0"/>
        <w:pageBreakBefore w:val="0"/>
        <w:widowControl w:val="0"/>
        <w:shd w:val="clear"/>
        <w:kinsoku/>
        <w:wordWrap/>
        <w:overflowPunct/>
        <w:topLinePunct w:val="0"/>
        <w:bidi w:val="0"/>
        <w:spacing w:line="360" w:lineRule="auto"/>
        <w:ind w:firstLine="398" w:firstLineChars="196"/>
        <w:contextualSpacing/>
        <w:outlineLvl w:val="9"/>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4</w:t>
      </w:r>
      <w:r>
        <w:rPr>
          <w:rFonts w:asciiTheme="majorEastAsia" w:hAnsiTheme="majorEastAsia" w:eastAsiaTheme="majorEastAsia"/>
          <w:b/>
          <w:bCs/>
          <w:color w:val="auto"/>
          <w:sz w:val="21"/>
          <w:szCs w:val="21"/>
          <w:highlight w:val="none"/>
        </w:rPr>
        <w:t>.在技术评审时，如发现下列情形之一的，响应文件将被视为无效：</w:t>
      </w:r>
    </w:p>
    <w:p w14:paraId="51A0118F">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（1）响应文件标明的响应或偏离与事实不符或虚假响应的；</w:t>
      </w:r>
    </w:p>
    <w:p w14:paraId="2DBF020C">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w:t>
      </w:r>
      <w:r>
        <w:rPr>
          <w:rFonts w:asciiTheme="majorEastAsia" w:hAnsiTheme="majorEastAsia" w:eastAsiaTheme="majorEastAsia"/>
          <w:bCs/>
          <w:snapToGrid w:val="0"/>
          <w:color w:val="auto"/>
          <w:sz w:val="21"/>
          <w:szCs w:val="21"/>
          <w:highlight w:val="none"/>
        </w:rPr>
        <w:t>明显不符合磋商文件要求的，或者与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“*”的技术条款发生实质性偏离的；</w:t>
      </w:r>
    </w:p>
    <w:p w14:paraId="2E5B9579">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（3）技术方案不明确，存在一个或一个以上备选（替代）方案的；</w:t>
      </w:r>
    </w:p>
    <w:p w14:paraId="7262DC96">
      <w:pPr>
        <w:pStyle w:val="20"/>
        <w:keepNext w:val="0"/>
        <w:keepLines w:val="0"/>
        <w:pageBreakBefore w:val="0"/>
        <w:widowControl w:val="0"/>
        <w:shd w:val="clear"/>
        <w:kinsoku/>
        <w:wordWrap/>
        <w:overflowPunct/>
        <w:topLinePunct w:val="0"/>
        <w:bidi w:val="0"/>
        <w:spacing w:line="360" w:lineRule="auto"/>
        <w:ind w:firstLine="398" w:firstLineChars="196"/>
        <w:contextualSpacing/>
        <w:outlineLvl w:val="9"/>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5</w:t>
      </w:r>
      <w:r>
        <w:rPr>
          <w:rFonts w:asciiTheme="majorEastAsia" w:hAnsiTheme="majorEastAsia" w:eastAsiaTheme="majorEastAsia"/>
          <w:b/>
          <w:bCs/>
          <w:color w:val="auto"/>
          <w:sz w:val="21"/>
          <w:szCs w:val="21"/>
          <w:highlight w:val="none"/>
        </w:rPr>
        <w:t>.在报价评审时，如发现下列情形之一的，响应文件将被视为无效：</w:t>
      </w:r>
    </w:p>
    <w:p w14:paraId="169B618E">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（1）未采用响应文件要求的报价形式报价的，或报价超过采购预算/最高限价的；</w:t>
      </w:r>
    </w:p>
    <w:p w14:paraId="29883EF8">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（2）报价具有选择性；</w:t>
      </w:r>
    </w:p>
    <w:p w14:paraId="3F332217">
      <w:pPr>
        <w:pStyle w:val="20"/>
        <w:keepNext w:val="0"/>
        <w:keepLines w:val="0"/>
        <w:pageBreakBefore w:val="0"/>
        <w:widowControl w:val="0"/>
        <w:shd w:val="clear"/>
        <w:kinsoku/>
        <w:wordWrap/>
        <w:overflowPunct/>
        <w:topLinePunct w:val="0"/>
        <w:bidi w:val="0"/>
        <w:spacing w:line="360" w:lineRule="auto"/>
        <w:ind w:firstLine="395" w:firstLineChars="196"/>
        <w:contextualSpacing/>
        <w:outlineLvl w:val="9"/>
        <w:rPr>
          <w:rFonts w:asciiTheme="majorEastAsia" w:hAnsiTheme="majorEastAsia" w:eastAsiaTheme="majorEastAsia"/>
          <w:b/>
          <w:bCs/>
          <w:color w:val="auto"/>
          <w:sz w:val="21"/>
          <w:szCs w:val="21"/>
          <w:highlight w:val="none"/>
        </w:rPr>
      </w:pPr>
      <w:r>
        <w:rPr>
          <w:rFonts w:asciiTheme="majorEastAsia" w:hAnsiTheme="majorEastAsia" w:eastAsiaTheme="majorEastAsia"/>
          <w:bCs/>
          <w:color w:val="auto"/>
          <w:sz w:val="21"/>
          <w:szCs w:val="21"/>
          <w:highlight w:val="none"/>
        </w:rPr>
        <w:t>（3）</w:t>
      </w:r>
      <w:r>
        <w:rPr>
          <w:rFonts w:asciiTheme="majorEastAsia" w:hAnsiTheme="majorEastAsia" w:eastAsiaTheme="majorEastAsia"/>
          <w:color w:val="auto"/>
          <w:sz w:val="21"/>
          <w:szCs w:val="21"/>
          <w:highlight w:val="none"/>
        </w:rPr>
        <w:t>磋商小组认为供应商的报价明显低于其他通过符合性审查供应商的报价，有可能影响产品质量或者不能诚信履约的，</w:t>
      </w:r>
      <w:r>
        <w:rPr>
          <w:rFonts w:hint="eastAsia" w:asciiTheme="majorEastAsia" w:hAnsiTheme="majorEastAsia" w:eastAsiaTheme="majorEastAsia"/>
          <w:bCs/>
          <w:color w:val="auto"/>
          <w:sz w:val="21"/>
          <w:szCs w:val="21"/>
          <w:highlight w:val="none"/>
        </w:rPr>
        <w:t>可要求其在评审现场合理的时间内提供书面说明，必要时提交相关证明材料；供应商不能证明其报价合理性的，磋商小组应当将其作为无效响应处理</w:t>
      </w:r>
      <w:r>
        <w:rPr>
          <w:rFonts w:asciiTheme="majorEastAsia" w:hAnsiTheme="majorEastAsia" w:eastAsiaTheme="majorEastAsia"/>
          <w:color w:val="auto"/>
          <w:sz w:val="21"/>
          <w:szCs w:val="21"/>
          <w:highlight w:val="none"/>
        </w:rPr>
        <w:t>。</w:t>
      </w:r>
    </w:p>
    <w:p w14:paraId="5D5F678C">
      <w:pPr>
        <w:pStyle w:val="20"/>
        <w:keepNext w:val="0"/>
        <w:keepLines w:val="0"/>
        <w:pageBreakBefore w:val="0"/>
        <w:widowControl w:val="0"/>
        <w:shd w:val="clear"/>
        <w:kinsoku/>
        <w:wordWrap/>
        <w:overflowPunct/>
        <w:topLinePunct w:val="0"/>
        <w:bidi w:val="0"/>
        <w:spacing w:line="360" w:lineRule="auto"/>
        <w:ind w:firstLine="398" w:firstLineChars="196"/>
        <w:contextualSpacing/>
        <w:outlineLvl w:val="9"/>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6</w:t>
      </w:r>
      <w:r>
        <w:rPr>
          <w:rFonts w:asciiTheme="majorEastAsia" w:hAnsiTheme="majorEastAsia" w:eastAsiaTheme="majorEastAsia"/>
          <w:b/>
          <w:bCs/>
          <w:color w:val="auto"/>
          <w:sz w:val="21"/>
          <w:szCs w:val="21"/>
          <w:highlight w:val="none"/>
        </w:rPr>
        <w:t>.被拒绝的响应文件为无效。</w:t>
      </w:r>
    </w:p>
    <w:p w14:paraId="0E03A57B">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outlineLvl w:val="9"/>
        <w:rPr>
          <w:rFonts w:asciiTheme="majorEastAsia" w:hAnsiTheme="majorEastAsia" w:eastAsiaTheme="majorEastAsia"/>
          <w:b/>
          <w:color w:val="auto"/>
          <w:sz w:val="21"/>
          <w:szCs w:val="21"/>
          <w:highlight w:val="none"/>
        </w:rPr>
      </w:pPr>
    </w:p>
    <w:p w14:paraId="4588D2CF">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四、磋商程序</w:t>
      </w:r>
    </w:p>
    <w:p w14:paraId="70D0E1F0">
      <w:pPr>
        <w:pStyle w:val="25"/>
        <w:keepNext w:val="0"/>
        <w:keepLines w:val="0"/>
        <w:pageBreakBefore w:val="0"/>
        <w:widowControl w:val="0"/>
        <w:shd w:val="clear"/>
        <w:kinsoku/>
        <w:wordWrap/>
        <w:overflowPunct/>
        <w:topLinePunct w:val="0"/>
        <w:bidi w:val="0"/>
        <w:spacing w:beforeLines="0" w:afterLines="0" w:line="360" w:lineRule="auto"/>
        <w:ind w:firstLine="413" w:firstLineChars="196"/>
        <w:contextualSpacing/>
        <w:outlineLvl w:val="9"/>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（一）磋商准备</w:t>
      </w:r>
    </w:p>
    <w:p w14:paraId="02047903">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采购代理机构将在规定的时间和地点进行磋商，供应商的法定代表人（负责人）或其授权代表应参加磋商并签到。供应商的法定代表人（负责人）或其授权代表未按时签到的，视同放弃磋商权利、认可磋商结果。</w:t>
      </w:r>
    </w:p>
    <w:p w14:paraId="6E0A9AF3">
      <w:pPr>
        <w:pStyle w:val="25"/>
        <w:keepNext w:val="0"/>
        <w:keepLines w:val="0"/>
        <w:pageBreakBefore w:val="0"/>
        <w:widowControl w:val="0"/>
        <w:shd w:val="clear"/>
        <w:kinsoku/>
        <w:wordWrap/>
        <w:overflowPunct/>
        <w:topLinePunct w:val="0"/>
        <w:bidi w:val="0"/>
        <w:spacing w:beforeLines="0" w:afterLines="0" w:line="360" w:lineRule="auto"/>
        <w:ind w:firstLine="413" w:firstLineChars="196"/>
        <w:contextualSpacing/>
        <w:outlineLvl w:val="9"/>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（二）磋商程序：</w:t>
      </w:r>
    </w:p>
    <w:p w14:paraId="21814C20">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1、电子招投标开标程序：</w:t>
      </w:r>
    </w:p>
    <w:p w14:paraId="7809029D">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响应文件在线解密：</w:t>
      </w:r>
    </w:p>
    <w:p w14:paraId="459AD579">
      <w:pPr>
        <w:keepNext w:val="0"/>
        <w:keepLines w:val="0"/>
        <w:pageBreakBefore w:val="0"/>
        <w:widowControl w:val="0"/>
        <w:numPr>
          <w:ilvl w:val="0"/>
          <w:numId w:val="3"/>
        </w:numPr>
        <w:shd w:val="clear"/>
        <w:kinsoku/>
        <w:wordWrap/>
        <w:overflowPunct/>
        <w:topLinePunct w:val="0"/>
        <w:bidi w:val="0"/>
        <w:adjustRightInd w:val="0"/>
        <w:spacing w:line="360" w:lineRule="auto"/>
        <w:ind w:firstLine="420"/>
        <w:contextualSpacing/>
        <w:jc w:val="left"/>
        <w:textAlignment w:val="baseline"/>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首次递交响应文件截止时间后，供应商登录政府采购云平台，用“项目采购-开标评标”功能对电子响应文件进行在线解密，在线解密电子响应文件时间为首次提交响应文件截止后</w:t>
      </w:r>
      <w:r>
        <w:rPr>
          <w:rFonts w:hint="eastAsia" w:cs="宋体" w:asciiTheme="majorEastAsia" w:hAnsiTheme="majorEastAsia" w:eastAsiaTheme="majorEastAsia"/>
          <w:color w:val="auto"/>
          <w:szCs w:val="21"/>
          <w:highlight w:val="none"/>
          <w:lang w:val="en-US" w:eastAsia="zh-CN"/>
        </w:rPr>
        <w:t>30</w:t>
      </w:r>
      <w:r>
        <w:rPr>
          <w:rFonts w:hint="eastAsia" w:cs="宋体" w:asciiTheme="majorEastAsia" w:hAnsiTheme="majorEastAsia" w:eastAsiaTheme="majorEastAsia"/>
          <w:color w:val="auto"/>
          <w:szCs w:val="21"/>
          <w:highlight w:val="none"/>
          <w:lang w:eastAsia="zh-CN"/>
        </w:rPr>
        <w:t>分钟</w:t>
      </w:r>
      <w:r>
        <w:rPr>
          <w:rFonts w:hint="eastAsia" w:cs="宋体" w:asciiTheme="majorEastAsia" w:hAnsiTheme="majorEastAsia" w:eastAsiaTheme="majorEastAsia"/>
          <w:color w:val="auto"/>
          <w:szCs w:val="21"/>
          <w:highlight w:val="none"/>
        </w:rPr>
        <w:t>内。</w:t>
      </w:r>
    </w:p>
    <w:p w14:paraId="5D557D33">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响应文件评审：</w:t>
      </w:r>
    </w:p>
    <w:p w14:paraId="15D22562">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bCs/>
          <w:color w:val="auto"/>
          <w:kern w:val="0"/>
          <w:szCs w:val="21"/>
          <w:highlight w:val="none"/>
        </w:rPr>
        <w:t>（</w:t>
      </w:r>
      <w:r>
        <w:rPr>
          <w:rFonts w:hint="eastAsia" w:cs="宋体" w:asciiTheme="majorEastAsia" w:hAnsiTheme="majorEastAsia" w:eastAsiaTheme="majorEastAsia"/>
          <w:color w:val="auto"/>
          <w:szCs w:val="21"/>
          <w:highlight w:val="none"/>
        </w:rPr>
        <w:t>1）磋商小组查阅响应文件，不符合资格审查的供应商将被拒绝。</w:t>
      </w:r>
    </w:p>
    <w:p w14:paraId="3EEF4CA3">
      <w:pPr>
        <w:keepNext w:val="0"/>
        <w:keepLines w:val="0"/>
        <w:pageBreakBefore w:val="0"/>
        <w:widowControl w:val="0"/>
        <w:numPr>
          <w:ilvl w:val="0"/>
          <w:numId w:val="3"/>
        </w:numPr>
        <w:shd w:val="clear"/>
        <w:kinsoku/>
        <w:wordWrap/>
        <w:overflowPunct/>
        <w:topLinePunct w:val="0"/>
        <w:bidi w:val="0"/>
        <w:adjustRightInd w:val="0"/>
        <w:spacing w:line="360" w:lineRule="auto"/>
        <w:ind w:firstLine="420"/>
        <w:contextualSpacing/>
        <w:jc w:val="left"/>
        <w:textAlignment w:val="baseline"/>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如磋商小组对响应文件有疑义，将向响应供应商在线发送询标函，供应商应在规定的时间内对在线询标函做出询标澄清。逾期澄清或未澄清的供应商视同认可磋商结果。</w:t>
      </w:r>
    </w:p>
    <w:p w14:paraId="470447D0">
      <w:pPr>
        <w:keepNext w:val="0"/>
        <w:keepLines w:val="0"/>
        <w:pageBreakBefore w:val="0"/>
        <w:widowControl w:val="0"/>
        <w:numPr>
          <w:ilvl w:val="0"/>
          <w:numId w:val="3"/>
        </w:numPr>
        <w:shd w:val="clear"/>
        <w:kinsoku/>
        <w:wordWrap/>
        <w:overflowPunct/>
        <w:topLinePunct w:val="0"/>
        <w:bidi w:val="0"/>
        <w:adjustRightInd w:val="0"/>
        <w:spacing w:line="360" w:lineRule="auto"/>
        <w:ind w:firstLine="422"/>
        <w:contextualSpacing/>
        <w:jc w:val="left"/>
        <w:textAlignment w:val="baseline"/>
        <w:outlineLvl w:val="9"/>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在磋商过程中，磋商小组可以根据磋商文件和磋商情况实质性变动采购需求中的技术、服务要求以及合同草案条款；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负责人）或授权代表签字或加盖公章。递交的响应文件（或补充文件）具有相应的法律效力；磋商结束后，磋商小组要求所有实质性响应的供应商在规定时间内在线提交最终报价。最终报价是供应商响应文件的有效组成部分。</w:t>
      </w:r>
    </w:p>
    <w:p w14:paraId="4A5A2900">
      <w:pPr>
        <w:keepNext w:val="0"/>
        <w:keepLines w:val="0"/>
        <w:pageBreakBefore w:val="0"/>
        <w:widowControl w:val="0"/>
        <w:numPr>
          <w:ilvl w:val="0"/>
          <w:numId w:val="3"/>
        </w:numPr>
        <w:shd w:val="clear"/>
        <w:kinsoku/>
        <w:wordWrap/>
        <w:overflowPunct/>
        <w:topLinePunct w:val="0"/>
        <w:bidi w:val="0"/>
        <w:adjustRightInd w:val="0"/>
        <w:spacing w:line="360" w:lineRule="auto"/>
        <w:ind w:firstLine="420"/>
        <w:contextualSpacing/>
        <w:jc w:val="left"/>
        <w:textAlignment w:val="baseline"/>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经磋商确定最终采购需求和提交最终报价的供应商后，由磋商小组采用综合评分法对提交最终报价的供应商的响应文件和最终报价进行综合评分</w:t>
      </w:r>
      <w:r>
        <w:rPr>
          <w:rFonts w:hint="eastAsia" w:cs="宋体" w:asciiTheme="majorEastAsia" w:hAnsiTheme="majorEastAsia" w:eastAsiaTheme="majorEastAsia"/>
          <w:color w:val="auto"/>
          <w:szCs w:val="21"/>
          <w:highlight w:val="none"/>
          <w:lang w:eastAsia="zh-CN"/>
        </w:rPr>
        <w:t>。</w:t>
      </w:r>
    </w:p>
    <w:p w14:paraId="308DF952">
      <w:pPr>
        <w:keepNext w:val="0"/>
        <w:keepLines w:val="0"/>
        <w:pageBreakBefore w:val="0"/>
        <w:widowControl w:val="0"/>
        <w:numPr>
          <w:ilvl w:val="0"/>
          <w:numId w:val="3"/>
        </w:numPr>
        <w:shd w:val="clear"/>
        <w:kinsoku/>
        <w:wordWrap/>
        <w:overflowPunct/>
        <w:topLinePunct w:val="0"/>
        <w:bidi w:val="0"/>
        <w:adjustRightInd w:val="0"/>
        <w:spacing w:line="360" w:lineRule="auto"/>
        <w:ind w:firstLine="420"/>
        <w:contextualSpacing/>
        <w:jc w:val="left"/>
        <w:textAlignment w:val="baseline"/>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磋商小组根据综合评分情况，按照评审得分由高到低顺序推荐</w:t>
      </w:r>
      <w:r>
        <w:rPr>
          <w:rFonts w:hint="eastAsia" w:cs="宋体" w:asciiTheme="majorEastAsia" w:hAnsiTheme="majorEastAsia" w:eastAsiaTheme="majorEastAsia"/>
          <w:color w:val="auto"/>
          <w:szCs w:val="21"/>
          <w:highlight w:val="none"/>
          <w:lang w:val="en-US" w:eastAsia="zh-CN"/>
        </w:rPr>
        <w:t>1</w:t>
      </w:r>
      <w:r>
        <w:rPr>
          <w:rFonts w:hint="eastAsia" w:cs="宋体" w:asciiTheme="majorEastAsia" w:hAnsiTheme="majorEastAsia" w:eastAsiaTheme="majorEastAsia"/>
          <w:color w:val="auto"/>
          <w:szCs w:val="21"/>
          <w:highlight w:val="none"/>
        </w:rPr>
        <w:t>名成交候选供应商</w:t>
      </w:r>
      <w:r>
        <w:rPr>
          <w:rFonts w:hint="eastAsia" w:cs="宋体" w:asciiTheme="majorEastAsia" w:hAnsiTheme="majorEastAsia" w:eastAsiaTheme="majorEastAsia"/>
          <w:color w:val="auto"/>
          <w:szCs w:val="21"/>
          <w:highlight w:val="none"/>
          <w:lang w:eastAsia="zh-CN"/>
        </w:rPr>
        <w:t>，</w:t>
      </w:r>
      <w:r>
        <w:rPr>
          <w:rFonts w:hint="eastAsia" w:cs="宋体" w:asciiTheme="majorEastAsia" w:hAnsiTheme="majorEastAsia" w:eastAsiaTheme="majorEastAsia"/>
          <w:color w:val="auto"/>
          <w:szCs w:val="21"/>
          <w:highlight w:val="none"/>
          <w:lang w:val="en-US" w:eastAsia="zh-CN"/>
        </w:rPr>
        <w:t>推荐评审得分排名第一的供应商为成交候选供应商</w:t>
      </w:r>
      <w:r>
        <w:rPr>
          <w:rFonts w:hint="eastAsia" w:cs="宋体" w:asciiTheme="majorEastAsia" w:hAnsiTheme="majorEastAsia" w:eastAsiaTheme="majorEastAsia"/>
          <w:color w:val="auto"/>
          <w:szCs w:val="21"/>
          <w:highlight w:val="none"/>
        </w:rPr>
        <w:t>，并编写评审报告。若评审得分相同，则报价低者</w:t>
      </w:r>
      <w:r>
        <w:rPr>
          <w:rFonts w:hint="eastAsia" w:cs="宋体" w:asciiTheme="majorEastAsia" w:hAnsiTheme="majorEastAsia" w:eastAsiaTheme="majorEastAsia"/>
          <w:color w:val="auto"/>
          <w:szCs w:val="21"/>
          <w:highlight w:val="none"/>
          <w:lang w:eastAsia="zh-CN"/>
        </w:rPr>
        <w:t>排名在前</w:t>
      </w:r>
      <w:r>
        <w:rPr>
          <w:rFonts w:hint="eastAsia" w:cs="宋体" w:asciiTheme="majorEastAsia" w:hAnsiTheme="majorEastAsia" w:eastAsiaTheme="majorEastAsia"/>
          <w:color w:val="auto"/>
          <w:szCs w:val="21"/>
          <w:highlight w:val="none"/>
        </w:rPr>
        <w:t>；评审得分且最终报价相同的则由抽签决定成交候选人</w:t>
      </w:r>
      <w:r>
        <w:rPr>
          <w:rFonts w:hint="eastAsia" w:cs="宋体" w:asciiTheme="majorEastAsia" w:hAnsiTheme="majorEastAsia" w:eastAsiaTheme="majorEastAsia"/>
          <w:color w:val="auto"/>
          <w:szCs w:val="21"/>
          <w:highlight w:val="none"/>
          <w:lang w:eastAsia="zh-CN"/>
        </w:rPr>
        <w:t>，先抽中者排名在前</w:t>
      </w:r>
      <w:r>
        <w:rPr>
          <w:rFonts w:hint="eastAsia" w:cs="宋体" w:asciiTheme="majorEastAsia" w:hAnsiTheme="majorEastAsia" w:eastAsiaTheme="majorEastAsia"/>
          <w:color w:val="auto"/>
          <w:szCs w:val="21"/>
          <w:highlight w:val="none"/>
        </w:rPr>
        <w:t>。</w:t>
      </w:r>
    </w:p>
    <w:p w14:paraId="03238A65">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公布评审结果。</w:t>
      </w:r>
    </w:p>
    <w:p w14:paraId="023BEB5F">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（7）磋商会议结束。</w:t>
      </w:r>
    </w:p>
    <w:p w14:paraId="56D084FC">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（8）采购人从评审报告提出的成交候选供应商中，按照得分排序由高到低的原则确定排名第一的成交候选供应商为成交供应商。采购代理机构在</w:t>
      </w:r>
      <w:r>
        <w:rPr>
          <w:rFonts w:hint="eastAsia" w:cs="宋体" w:asciiTheme="majorEastAsia" w:hAnsiTheme="majorEastAsia" w:eastAsiaTheme="majorEastAsia"/>
          <w:color w:val="auto"/>
          <w:szCs w:val="21"/>
          <w:highlight w:val="none"/>
          <w:lang w:eastAsia="zh-CN"/>
        </w:rPr>
        <w:t>采购公告发布网站</w:t>
      </w:r>
      <w:r>
        <w:rPr>
          <w:rFonts w:hint="eastAsia" w:cs="宋体" w:asciiTheme="majorEastAsia" w:hAnsiTheme="majorEastAsia" w:eastAsiaTheme="majorEastAsia"/>
          <w:color w:val="auto"/>
          <w:szCs w:val="21"/>
          <w:highlight w:val="none"/>
        </w:rPr>
        <w:t>上公布成交结果。</w:t>
      </w:r>
    </w:p>
    <w:p w14:paraId="0CC62B5B">
      <w:pPr>
        <w:keepNext w:val="0"/>
        <w:keepLines w:val="0"/>
        <w:pageBreakBefore w:val="0"/>
        <w:widowControl w:val="0"/>
        <w:numPr>
          <w:ilvl w:val="0"/>
          <w:numId w:val="4"/>
        </w:numPr>
        <w:shd w:val="clear"/>
        <w:kinsoku/>
        <w:wordWrap/>
        <w:overflowPunct/>
        <w:topLinePunct w:val="0"/>
        <w:bidi w:val="0"/>
        <w:adjustRightInd w:val="0"/>
        <w:spacing w:line="360" w:lineRule="auto"/>
        <w:ind w:firstLine="420" w:firstLineChars="200"/>
        <w:contextualSpacing/>
        <w:jc w:val="left"/>
        <w:textAlignment w:val="baseline"/>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线下开标程序：</w:t>
      </w:r>
    </w:p>
    <w:p w14:paraId="7670D9C4">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响应文件开启：</w:t>
      </w:r>
    </w:p>
    <w:p w14:paraId="748D6911">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（1）磋商会议由采购代理机构主持，主持人宣布磋商会议开始；</w:t>
      </w:r>
    </w:p>
    <w:p w14:paraId="254465CB">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bookmarkStart w:id="21" w:name="_Toc396115156"/>
      <w:r>
        <w:rPr>
          <w:rFonts w:hint="eastAsia" w:cs="宋体" w:asciiTheme="majorEastAsia" w:hAnsiTheme="majorEastAsia" w:eastAsiaTheme="majorEastAsia"/>
          <w:color w:val="auto"/>
          <w:szCs w:val="21"/>
          <w:highlight w:val="none"/>
        </w:rPr>
        <w:t>（2）主持人宣布评标期间的有关事项，告知应当回避的情形,提请有关人员回避；</w:t>
      </w:r>
      <w:bookmarkEnd w:id="21"/>
    </w:p>
    <w:p w14:paraId="2658C635">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bookmarkStart w:id="22" w:name="_Toc396115157"/>
      <w:r>
        <w:rPr>
          <w:rFonts w:hint="eastAsia" w:cs="宋体" w:asciiTheme="majorEastAsia" w:hAnsiTheme="majorEastAsia" w:eastAsiaTheme="majorEastAsia"/>
          <w:color w:val="auto"/>
          <w:szCs w:val="21"/>
          <w:highlight w:val="none"/>
        </w:rPr>
        <w:t>（4）</w:t>
      </w:r>
      <w:bookmarkEnd w:id="22"/>
      <w:bookmarkStart w:id="23" w:name="_Toc396115158"/>
      <w:r>
        <w:rPr>
          <w:rFonts w:hint="eastAsia" w:cs="宋体" w:asciiTheme="majorEastAsia" w:hAnsiTheme="majorEastAsia" w:eastAsiaTheme="majorEastAsia"/>
          <w:color w:val="auto"/>
          <w:szCs w:val="21"/>
          <w:highlight w:val="none"/>
        </w:rPr>
        <w:t>由供应商或其当场推荐的代表检查磋商文件密封的完整性；</w:t>
      </w:r>
    </w:p>
    <w:bookmarkEnd w:id="23"/>
    <w:p w14:paraId="238A3284">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bookmarkStart w:id="24" w:name="_Toc396115159"/>
      <w:r>
        <w:rPr>
          <w:rFonts w:hint="eastAsia" w:cs="宋体" w:asciiTheme="majorEastAsia" w:hAnsiTheme="majorEastAsia" w:eastAsiaTheme="majorEastAsia"/>
          <w:color w:val="auto"/>
          <w:szCs w:val="21"/>
          <w:highlight w:val="none"/>
        </w:rPr>
        <w:t>响应文件评审：</w:t>
      </w:r>
    </w:p>
    <w:bookmarkEnd w:id="24"/>
    <w:p w14:paraId="68788379">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（1）磋商小组查阅响应文件，不符合资格审查的供应商将被拒绝。</w:t>
      </w:r>
    </w:p>
    <w:p w14:paraId="79D47B1C">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（2）磋商小组依照顺序与进入磋商的单一供应商分别进行磋商。</w:t>
      </w:r>
    </w:p>
    <w:p w14:paraId="6D2284AE">
      <w:pPr>
        <w:keepNext w:val="0"/>
        <w:keepLines w:val="0"/>
        <w:pageBreakBefore w:val="0"/>
        <w:widowControl w:val="0"/>
        <w:shd w:val="clear"/>
        <w:kinsoku/>
        <w:wordWrap/>
        <w:overflowPunct/>
        <w:topLinePunct w:val="0"/>
        <w:bidi w:val="0"/>
        <w:spacing w:line="360" w:lineRule="auto"/>
        <w:ind w:firstLine="422" w:firstLineChars="200"/>
        <w:contextualSpacing/>
        <w:jc w:val="left"/>
        <w:outlineLvl w:val="9"/>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3）在磋商过程中，磋商小组可以根据磋商文件和磋商情况实质性变动采购需求中的技术、服务要求以及合同草案条款；对磋商文件作出的实质性变动是磋商文件的有效组成部分，磋商小组将通过书面形式同时通知所有参加磋商的供应商。供应商按照磋商文件的变动情况和磋商小组的要求在规定时间内重新提交响应文件（或补充文件），并由其法定代表人（负责人）或授权代表签字或加盖公章。重新递交的响应文件（或补充文件）具有相应的法律效力；磋商结束后，磋商小组要求所有实质性响应的供应商在规定时间内提交最终报价。最终报价是供应商响应文件的有效组成部分。</w:t>
      </w:r>
    </w:p>
    <w:p w14:paraId="7E4956C8">
      <w:pPr>
        <w:keepNext w:val="0"/>
        <w:keepLines w:val="0"/>
        <w:pageBreakBefore w:val="0"/>
        <w:widowControl w:val="0"/>
        <w:shd w:val="clear"/>
        <w:kinsoku/>
        <w:wordWrap/>
        <w:overflowPunct/>
        <w:topLinePunct w:val="0"/>
        <w:bidi w:val="0"/>
        <w:spacing w:line="360" w:lineRule="auto"/>
        <w:ind w:firstLine="422" w:firstLineChars="200"/>
        <w:contextualSpacing/>
        <w:jc w:val="left"/>
        <w:outlineLvl w:val="9"/>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注：如供应商未到现场，则磋商小组将通过邮件形式进行通知。如供应商未按照磋商文件的变动情况和磋商小组的要求在规定时间内重新提交响应文件（或补充文件）且未在规定时间内提交最终报价的；视同认可磋商文件的变动情况且响应文件中的报价作为最终报价。请未到场的供应商务必保持联络畅通。</w:t>
      </w:r>
    </w:p>
    <w:p w14:paraId="13748F25">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（4）经磋商确定最终采购需求和提交最终报价的供应商后，由磋商小组采用综合评分法对提交最终报价的供应商的响应文件和最终报价进行综合评分；</w:t>
      </w:r>
    </w:p>
    <w:p w14:paraId="2D0CEABC">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（5）磋商小组根据综合评分情况，按照评审得分由高到低顺序推荐</w:t>
      </w:r>
      <w:r>
        <w:rPr>
          <w:rFonts w:hint="eastAsia" w:cs="宋体" w:asciiTheme="majorEastAsia" w:hAnsiTheme="majorEastAsia" w:eastAsiaTheme="majorEastAsia"/>
          <w:color w:val="auto"/>
          <w:szCs w:val="21"/>
          <w:highlight w:val="none"/>
          <w:lang w:val="en-US" w:eastAsia="zh-CN"/>
        </w:rPr>
        <w:t>1</w:t>
      </w:r>
      <w:r>
        <w:rPr>
          <w:rFonts w:hint="eastAsia" w:cs="宋体" w:asciiTheme="majorEastAsia" w:hAnsiTheme="majorEastAsia" w:eastAsiaTheme="majorEastAsia"/>
          <w:color w:val="auto"/>
          <w:szCs w:val="21"/>
          <w:highlight w:val="none"/>
        </w:rPr>
        <w:t>名成交候选供应商</w:t>
      </w:r>
      <w:r>
        <w:rPr>
          <w:rFonts w:hint="eastAsia" w:cs="宋体" w:asciiTheme="majorEastAsia" w:hAnsiTheme="majorEastAsia" w:eastAsiaTheme="majorEastAsia"/>
          <w:color w:val="auto"/>
          <w:szCs w:val="21"/>
          <w:highlight w:val="none"/>
          <w:lang w:eastAsia="zh-CN"/>
        </w:rPr>
        <w:t>，</w:t>
      </w:r>
      <w:r>
        <w:rPr>
          <w:rFonts w:hint="eastAsia" w:cs="宋体" w:asciiTheme="majorEastAsia" w:hAnsiTheme="majorEastAsia" w:eastAsiaTheme="majorEastAsia"/>
          <w:color w:val="auto"/>
          <w:szCs w:val="21"/>
          <w:highlight w:val="none"/>
          <w:lang w:val="en-US" w:eastAsia="zh-CN"/>
        </w:rPr>
        <w:t>推荐评审得分排名第一的供应商为成交候选供应商</w:t>
      </w:r>
      <w:r>
        <w:rPr>
          <w:rFonts w:hint="eastAsia" w:cs="宋体" w:asciiTheme="majorEastAsia" w:hAnsiTheme="majorEastAsia" w:eastAsiaTheme="majorEastAsia"/>
          <w:color w:val="auto"/>
          <w:szCs w:val="21"/>
          <w:highlight w:val="none"/>
        </w:rPr>
        <w:t>，并编写评审报告。若评审得分相同，则报价低者为成交候选人；评审得分且最终报价相同的则由抽签决定成交候选人。</w:t>
      </w:r>
    </w:p>
    <w:p w14:paraId="686B80DB">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开标室</w:t>
      </w:r>
      <w:r>
        <w:rPr>
          <w:rFonts w:hint="eastAsia" w:cs="宋体" w:asciiTheme="majorEastAsia" w:hAnsiTheme="majorEastAsia" w:eastAsiaTheme="majorEastAsia"/>
          <w:color w:val="auto"/>
          <w:szCs w:val="21"/>
          <w:highlight w:val="none"/>
        </w:rPr>
        <w:t>公布评审结果。</w:t>
      </w:r>
    </w:p>
    <w:p w14:paraId="05AD294E">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（7）磋商会议结束。</w:t>
      </w:r>
    </w:p>
    <w:p w14:paraId="586731F4">
      <w:pPr>
        <w:keepNext w:val="0"/>
        <w:keepLines w:val="0"/>
        <w:pageBreakBefore w:val="0"/>
        <w:widowControl w:val="0"/>
        <w:shd w:val="clear"/>
        <w:kinsoku/>
        <w:wordWrap/>
        <w:overflowPunct/>
        <w:topLinePunct w:val="0"/>
        <w:bidi w:val="0"/>
        <w:spacing w:line="360" w:lineRule="auto"/>
        <w:ind w:firstLine="422" w:firstLineChars="200"/>
        <w:contextualSpacing/>
        <w:jc w:val="left"/>
        <w:outlineLvl w:val="9"/>
        <w:rPr>
          <w:rFonts w:hint="eastAsia"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（8）采购人从评审报告提出的成交候选供应商中，按照得分排序由高到低的原则确定排名第一的成交候选供应商为成交供应商。采购代理机构在</w:t>
      </w:r>
      <w:r>
        <w:rPr>
          <w:rFonts w:hint="eastAsia" w:cs="宋体" w:asciiTheme="majorEastAsia" w:hAnsiTheme="majorEastAsia" w:eastAsiaTheme="majorEastAsia"/>
          <w:b/>
          <w:bCs/>
          <w:color w:val="auto"/>
          <w:szCs w:val="21"/>
          <w:highlight w:val="none"/>
          <w:lang w:eastAsia="zh-CN"/>
        </w:rPr>
        <w:t>采购公告发布网站</w:t>
      </w:r>
      <w:r>
        <w:rPr>
          <w:rFonts w:hint="eastAsia" w:cs="宋体" w:asciiTheme="majorEastAsia" w:hAnsiTheme="majorEastAsia" w:eastAsiaTheme="majorEastAsia"/>
          <w:b/>
          <w:bCs/>
          <w:color w:val="auto"/>
          <w:szCs w:val="21"/>
          <w:highlight w:val="none"/>
        </w:rPr>
        <w:t>公布成交结果。</w:t>
      </w:r>
    </w:p>
    <w:p w14:paraId="765D08DC">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3、特别说明：</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如对电子化开标及评审程序有调整的，按调整后的程序操作。</w:t>
      </w:r>
    </w:p>
    <w:p w14:paraId="59723C3C">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本项目原则上采用政采云</w:t>
      </w:r>
      <w:r>
        <w:rPr>
          <w:rFonts w:hint="eastAsia" w:cs="宋体" w:asciiTheme="majorEastAsia" w:hAnsiTheme="majorEastAsia" w:eastAsiaTheme="majorEastAsia"/>
          <w:bCs/>
          <w:color w:val="auto"/>
          <w:szCs w:val="21"/>
          <w:highlight w:val="none"/>
        </w:rPr>
        <w:t>电子招投标开标程序</w:t>
      </w:r>
      <w:r>
        <w:rPr>
          <w:rFonts w:hint="eastAsia" w:cs="宋体" w:asciiTheme="majorEastAsia" w:hAnsiTheme="majorEastAsia" w:eastAsiaTheme="majorEastAsia"/>
          <w:color w:val="auto"/>
          <w:szCs w:val="21"/>
          <w:highlight w:val="none"/>
        </w:rPr>
        <w:t>，但有下情形之一的，按以下情况处理：</w:t>
      </w:r>
    </w:p>
    <w:p w14:paraId="77E9F50C">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（1）若供应商在规定时间内无法解密或解密失败，代理机构将开启解密失败供应商递交的</w:t>
      </w:r>
      <w:r>
        <w:rPr>
          <w:rFonts w:hint="eastAsia" w:cs="宋体" w:asciiTheme="majorEastAsia" w:hAnsiTheme="majorEastAsia" w:eastAsiaTheme="majorEastAsia"/>
          <w:color w:val="auto"/>
          <w:kern w:val="0"/>
          <w:szCs w:val="21"/>
          <w:highlight w:val="none"/>
        </w:rPr>
        <w:t>以U盘存储的电子备份响应文件</w:t>
      </w:r>
      <w:r>
        <w:rPr>
          <w:rFonts w:hint="eastAsia" w:cs="宋体" w:asciiTheme="majorEastAsia" w:hAnsiTheme="majorEastAsia" w:eastAsiaTheme="majorEastAsia"/>
          <w:color w:val="auto"/>
          <w:szCs w:val="21"/>
          <w:highlight w:val="none"/>
        </w:rPr>
        <w:t>，上传至政采云平台项目采购模块，电子响应文件自动失效。</w:t>
      </w:r>
    </w:p>
    <w:p w14:paraId="27A9C2BB">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（2）若因</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原因无法读取或电子开评标无法正常进行，代理机构将开启所有供应商递交的备份响应文件，，以完成开标。</w:t>
      </w:r>
    </w:p>
    <w:p w14:paraId="65765AD6">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（3）采购过程中出现以下情形，导致电子交易平台无法正常运行，或者无法保证电子交易的公平、公正和安全时，采购人（或代理机构）可中止电子交易活动：</w:t>
      </w:r>
    </w:p>
    <w:p w14:paraId="49D73155">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3.1电子交易平台发生故障而无法登录访问的； </w:t>
      </w:r>
    </w:p>
    <w:p w14:paraId="24C5EFF3">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3.2电子交易平台应用或数据库出现错误，不能进行正常操作的；</w:t>
      </w:r>
    </w:p>
    <w:p w14:paraId="36D010C5">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3.3电子交易平台发现严重安全漏洞，有潜在泄密危险的；</w:t>
      </w:r>
    </w:p>
    <w:p w14:paraId="3765E2AF">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3.4病毒发作导致不能进行正常操作的； </w:t>
      </w:r>
    </w:p>
    <w:p w14:paraId="73DF1589">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3.5其他无法保证电子交易的公平、公正和安全的情况。</w:t>
      </w:r>
    </w:p>
    <w:p w14:paraId="566B2C1F">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出现前款规定情形，不影响采购公平、公正性的，采购人（或代理机构）可以待上述情形消除后继续组织电子交易活动，也可以决定某些环节以纸质形式进行。</w:t>
      </w:r>
    </w:p>
    <w:p w14:paraId="1B247449">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（4）未开启的备份响应文件现场予以退还。</w:t>
      </w:r>
    </w:p>
    <w:p w14:paraId="2F45780F">
      <w:pPr>
        <w:pStyle w:val="14"/>
        <w:keepNext w:val="0"/>
        <w:keepLines w:val="0"/>
        <w:pageBreakBefore w:val="0"/>
        <w:widowControl w:val="0"/>
        <w:shd w:val="clear"/>
        <w:tabs>
          <w:tab w:val="clear" w:pos="454"/>
        </w:tabs>
        <w:kinsoku/>
        <w:wordWrap/>
        <w:overflowPunct/>
        <w:topLinePunct w:val="0"/>
        <w:bidi w:val="0"/>
        <w:spacing w:afterLines="0" w:line="360" w:lineRule="auto"/>
        <w:ind w:left="0" w:leftChars="0" w:firstLine="0" w:firstLineChars="0"/>
        <w:contextualSpacing/>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五、评审</w:t>
      </w:r>
    </w:p>
    <w:p w14:paraId="237C92A7">
      <w:pPr>
        <w:pStyle w:val="25"/>
        <w:keepNext w:val="0"/>
        <w:keepLines w:val="0"/>
        <w:pageBreakBefore w:val="0"/>
        <w:widowControl w:val="0"/>
        <w:shd w:val="clear"/>
        <w:kinsoku/>
        <w:wordWrap/>
        <w:overflowPunct/>
        <w:topLinePunct w:val="0"/>
        <w:bidi w:val="0"/>
        <w:spacing w:beforeLines="0" w:afterLines="0" w:line="360" w:lineRule="auto"/>
        <w:ind w:left="690" w:leftChars="228" w:hanging="211" w:hangingChars="100"/>
        <w:contextualSpacing/>
        <w:outlineLvl w:val="9"/>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（一）组建磋商小组</w:t>
      </w:r>
    </w:p>
    <w:p w14:paraId="475C72D7">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本项目磋商小组依法组建。</w:t>
      </w:r>
    </w:p>
    <w:p w14:paraId="0FD57B86">
      <w:pPr>
        <w:keepNext w:val="0"/>
        <w:keepLines w:val="0"/>
        <w:pageBreakBefore w:val="0"/>
        <w:widowControl w:val="0"/>
        <w:shd w:val="clear"/>
        <w:kinsoku/>
        <w:wordWrap/>
        <w:overflowPunct/>
        <w:topLinePunct w:val="0"/>
        <w:bidi w:val="0"/>
        <w:spacing w:line="360" w:lineRule="auto"/>
        <w:ind w:firstLine="420" w:firstLineChars="200"/>
        <w:contextualSpacing/>
        <w:jc w:val="lef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评审中因磋商小组成员缺席、回避或健康等特殊原因导致磋商小组组成不符合规定的，采购人或者采购代理机构应当依法补足后继续评审。被更换的磋商小组成员所作出的评审意见无效。</w:t>
      </w:r>
    </w:p>
    <w:p w14:paraId="14EEE373">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无法及时补足磋商小组成员的，采购人或者采购代理机构停止评审活动，封存所有响应文件和开标、评审资料，依法重新组建磋商小组进行评审。原磋商小组作出的评审意见无效。</w:t>
      </w:r>
    </w:p>
    <w:p w14:paraId="13D27DC3">
      <w:pPr>
        <w:pStyle w:val="25"/>
        <w:keepNext w:val="0"/>
        <w:keepLines w:val="0"/>
        <w:pageBreakBefore w:val="0"/>
        <w:widowControl w:val="0"/>
        <w:shd w:val="clear"/>
        <w:kinsoku/>
        <w:wordWrap/>
        <w:overflowPunct/>
        <w:topLinePunct w:val="0"/>
        <w:bidi w:val="0"/>
        <w:spacing w:beforeLines="0" w:afterLines="0" w:line="360" w:lineRule="auto"/>
        <w:ind w:left="690" w:leftChars="228" w:hanging="211" w:hangingChars="100"/>
        <w:contextualSpacing/>
        <w:outlineLvl w:val="9"/>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（二）评审的方式</w:t>
      </w:r>
    </w:p>
    <w:p w14:paraId="29D1A9C9">
      <w:pPr>
        <w:pStyle w:val="25"/>
        <w:keepNext w:val="0"/>
        <w:keepLines w:val="0"/>
        <w:pageBreakBefore w:val="0"/>
        <w:widowControl w:val="0"/>
        <w:shd w:val="clear"/>
        <w:kinsoku/>
        <w:wordWrap/>
        <w:overflowPunct/>
        <w:topLinePunct w:val="0"/>
        <w:bidi w:val="0"/>
        <w:spacing w:beforeLines="0" w:afterLines="0" w:line="360" w:lineRule="auto"/>
        <w:ind w:left="689" w:leftChars="228" w:hanging="210" w:hangingChars="1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本项目采用不公开方式评审，评审的依据为磋商文件和响应文件。</w:t>
      </w:r>
    </w:p>
    <w:p w14:paraId="1F0B30AA">
      <w:pPr>
        <w:pStyle w:val="25"/>
        <w:keepNext w:val="0"/>
        <w:keepLines w:val="0"/>
        <w:pageBreakBefore w:val="0"/>
        <w:widowControl w:val="0"/>
        <w:shd w:val="clear"/>
        <w:kinsoku/>
        <w:wordWrap/>
        <w:overflowPunct/>
        <w:topLinePunct w:val="0"/>
        <w:bidi w:val="0"/>
        <w:spacing w:beforeLines="0" w:afterLines="0" w:line="360" w:lineRule="auto"/>
        <w:ind w:left="690" w:leftChars="228" w:hanging="211" w:hangingChars="100"/>
        <w:contextualSpacing/>
        <w:outlineLvl w:val="9"/>
        <w:rPr>
          <w:rFonts w:asciiTheme="majorEastAsia" w:hAnsiTheme="majorEastAsia" w:eastAsiaTheme="majorEastAsia"/>
          <w:b/>
          <w:bCs/>
          <w:color w:val="auto"/>
          <w:highlight w:val="none"/>
        </w:rPr>
      </w:pPr>
      <w:r>
        <w:rPr>
          <w:rFonts w:asciiTheme="majorEastAsia" w:hAnsiTheme="majorEastAsia" w:eastAsiaTheme="majorEastAsia"/>
          <w:b/>
          <w:color w:val="auto"/>
          <w:highlight w:val="none"/>
        </w:rPr>
        <w:t>（三）</w:t>
      </w:r>
      <w:r>
        <w:rPr>
          <w:rFonts w:asciiTheme="majorEastAsia" w:hAnsiTheme="majorEastAsia" w:eastAsiaTheme="majorEastAsia"/>
          <w:b/>
          <w:bCs/>
          <w:color w:val="auto"/>
          <w:highlight w:val="none"/>
        </w:rPr>
        <w:t>评审程序</w:t>
      </w:r>
    </w:p>
    <w:p w14:paraId="25F66720">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outlineLvl w:val="9"/>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1.资格审查</w:t>
      </w:r>
    </w:p>
    <w:p w14:paraId="7EC5E4E4">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outlineLvl w:val="9"/>
        <w:rPr>
          <w:rFonts w:asciiTheme="majorEastAsia" w:hAnsiTheme="majorEastAsia" w:eastAsiaTheme="majorEastAsia"/>
          <w:b w:val="0"/>
          <w:bCs w:val="0"/>
          <w:color w:val="auto"/>
          <w:sz w:val="21"/>
          <w:szCs w:val="21"/>
          <w:highlight w:val="none"/>
        </w:rPr>
      </w:pPr>
      <w:r>
        <w:rPr>
          <w:rFonts w:hint="eastAsia" w:asciiTheme="majorEastAsia" w:hAnsiTheme="majorEastAsia" w:eastAsiaTheme="majorEastAsia"/>
          <w:b w:val="0"/>
          <w:bCs w:val="0"/>
          <w:color w:val="auto"/>
          <w:sz w:val="21"/>
          <w:szCs w:val="21"/>
          <w:highlight w:val="none"/>
        </w:rPr>
        <w:t>磋商小组</w:t>
      </w:r>
      <w:r>
        <w:rPr>
          <w:rFonts w:asciiTheme="majorEastAsia" w:hAnsiTheme="majorEastAsia" w:eastAsiaTheme="majorEastAsia"/>
          <w:b w:val="0"/>
          <w:bCs w:val="0"/>
          <w:color w:val="auto"/>
          <w:sz w:val="21"/>
          <w:szCs w:val="21"/>
          <w:highlight w:val="none"/>
        </w:rPr>
        <w:t>对供应商的资格进行审查。依据法律法规和磋商文件的规定，对响应文件中的资格证明进行审查，以确定供应商是否具备磋商资格。</w:t>
      </w:r>
    </w:p>
    <w:p w14:paraId="5FBBF535">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outlineLvl w:val="9"/>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2.符合性审查</w:t>
      </w:r>
    </w:p>
    <w:p w14:paraId="6442A595">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磋商小组</w:t>
      </w:r>
      <w:r>
        <w:rPr>
          <w:rFonts w:asciiTheme="majorEastAsia" w:hAnsiTheme="majorEastAsia" w:eastAsiaTheme="majorEastAsia"/>
          <w:color w:val="auto"/>
          <w:szCs w:val="21"/>
          <w:highlight w:val="none"/>
        </w:rPr>
        <w:t>依据磋商文件的规定，从供应商响应文件的有效性、完整性和对磋商文件的响应程度进行审查，以确定是否对磋商文件的实质性要求作出响应。</w:t>
      </w:r>
    </w:p>
    <w:p w14:paraId="45C3307B">
      <w:pPr>
        <w:pStyle w:val="28"/>
        <w:keepNext w:val="0"/>
        <w:keepLines w:val="0"/>
        <w:pageBreakBefore w:val="0"/>
        <w:widowControl w:val="0"/>
        <w:numPr>
          <w:ilvl w:val="0"/>
          <w:numId w:val="5"/>
        </w:numPr>
        <w:shd w:val="clear"/>
        <w:kinsoku/>
        <w:wordWrap/>
        <w:overflowPunct/>
        <w:topLinePunct w:val="0"/>
        <w:bidi w:val="0"/>
        <w:snapToGrid/>
        <w:spacing w:line="360" w:lineRule="auto"/>
        <w:ind w:firstLine="473"/>
        <w:contextualSpacing/>
        <w:outlineLvl w:val="9"/>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澄清问题</w:t>
      </w:r>
    </w:p>
    <w:p w14:paraId="326164C2">
      <w:pPr>
        <w:pStyle w:val="28"/>
        <w:keepNext w:val="0"/>
        <w:keepLines w:val="0"/>
        <w:pageBreakBefore w:val="0"/>
        <w:widowControl w:val="0"/>
        <w:shd w:val="clear"/>
        <w:kinsoku/>
        <w:wordWrap/>
        <w:overflowPunct/>
        <w:topLinePunct w:val="0"/>
        <w:bidi w:val="0"/>
        <w:snapToGrid/>
        <w:spacing w:line="360" w:lineRule="auto"/>
        <w:ind w:firstLine="420" w:firstLineChars="0"/>
        <w:contextualSpacing/>
        <w:outlineLvl w:val="9"/>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对于响应文件中含义不明确、同类问题表述不一致或者有明显文字和计算错误的内容，磋商小组可要求供应商以书面形式作出必要的澄清、说明或者补正。</w:t>
      </w:r>
    </w:p>
    <w:p w14:paraId="02E94529">
      <w:pPr>
        <w:pStyle w:val="28"/>
        <w:keepNext w:val="0"/>
        <w:keepLines w:val="0"/>
        <w:pageBreakBefore w:val="0"/>
        <w:widowControl w:val="0"/>
        <w:shd w:val="clear"/>
        <w:kinsoku/>
        <w:wordWrap/>
        <w:overflowPunct/>
        <w:topLinePunct w:val="0"/>
        <w:bidi w:val="0"/>
        <w:snapToGrid/>
        <w:spacing w:line="360" w:lineRule="auto"/>
        <w:ind w:firstLine="420" w:firstLineChars="200"/>
        <w:contextualSpacing/>
        <w:outlineLvl w:val="9"/>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供应商的澄清、说明或者补正应当采用书面形式，并加盖公章，或者由法定代表人（负责人）或其授权代表签字确认，供应商的澄清、说明或者补正不得超出响应文件的范围或者改变响应文件的实质性内容。</w:t>
      </w:r>
    </w:p>
    <w:p w14:paraId="33DA865A">
      <w:pPr>
        <w:pStyle w:val="28"/>
        <w:keepNext w:val="0"/>
        <w:keepLines w:val="0"/>
        <w:pageBreakBefore w:val="0"/>
        <w:widowControl w:val="0"/>
        <w:shd w:val="clear"/>
        <w:kinsoku/>
        <w:wordWrap/>
        <w:overflowPunct/>
        <w:topLinePunct w:val="0"/>
        <w:bidi w:val="0"/>
        <w:snapToGrid/>
        <w:spacing w:line="360" w:lineRule="auto"/>
        <w:ind w:firstLine="473"/>
        <w:contextualSpacing/>
        <w:outlineLvl w:val="9"/>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4.详细评审</w:t>
      </w:r>
    </w:p>
    <w:p w14:paraId="6ECF3B5B">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磋商小组对初步评审合格的响应文件，依照本办法对响应文件作进一步评审、比较。磋商小组成员经过阅标、审标、询标和磋商，</w:t>
      </w:r>
      <w:r>
        <w:rPr>
          <w:rFonts w:asciiTheme="majorEastAsia" w:hAnsiTheme="majorEastAsia" w:eastAsiaTheme="majorEastAsia"/>
          <w:bCs/>
          <w:color w:val="auto"/>
          <w:szCs w:val="21"/>
          <w:highlight w:val="none"/>
        </w:rPr>
        <w:t>经磋商确定最终采购需求和提交最后报价的供应商后，由磋商小组采用综合评分法对提交最后报价的供应商的响应文件和最后报价进行综合评分</w:t>
      </w:r>
      <w:r>
        <w:rPr>
          <w:rFonts w:asciiTheme="majorEastAsia" w:hAnsiTheme="majorEastAsia" w:eastAsiaTheme="majorEastAsia"/>
          <w:color w:val="auto"/>
          <w:szCs w:val="21"/>
          <w:highlight w:val="none"/>
        </w:rPr>
        <w:t>。</w:t>
      </w:r>
    </w:p>
    <w:p w14:paraId="13103E9A">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评委打分参照本章 五、评分标准。资信技术分由各磋商小组成员打分，根据供应商的响应文件及相关澄清文件，进行独立打分。价格分由磋商小组统一核算。评委打分采用记名方式，取所有评委汇总得分的算术平均分（小数点后保留二位小数）。</w:t>
      </w:r>
    </w:p>
    <w:p w14:paraId="1276A36F">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注：1）磋商小组对拟认定为响应文件无效的，应组织相关供应商代表进行陈述、澄清或申辩；</w:t>
      </w:r>
    </w:p>
    <w:p w14:paraId="5E70DE59">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可协助磋商小组主任评委对打分结果进行校对、核对并汇总统计；对明显畸高、畸低的评分（其总评分偏离平均分30%以上的），磋商小组组长应提醒相关磋商小组成员进行复核或书面说明理由，磋商小组成员拒绝说明的，由现场监督员据实记录；磋商小组成员的评审、修改记录应保留原件，随项目其他资料一并存档；</w:t>
      </w:r>
    </w:p>
    <w:p w14:paraId="65975D78">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在报价文件的评审过程中，磋商小组认为供应商的最终报价明显低于其他通过符合性审查供应商的最终报价，有可能影响产品质量或者不能诚信履约的，应当要求其在评审现场合理的时间内提供书面说明，必要时提交相关证明材料；供应商不能证明其报价合理性的，磋商小组应当将其作为无效响应处理。</w:t>
      </w:r>
    </w:p>
    <w:p w14:paraId="7303F0C6">
      <w:pPr>
        <w:keepNext w:val="0"/>
        <w:keepLines w:val="0"/>
        <w:pageBreakBefore w:val="0"/>
        <w:widowControl w:val="0"/>
        <w:shd w:val="clear"/>
        <w:kinsoku/>
        <w:wordWrap/>
        <w:overflowPunct/>
        <w:topLinePunct w:val="0"/>
        <w:bidi w:val="0"/>
        <w:spacing w:line="360" w:lineRule="auto"/>
        <w:ind w:firstLine="422" w:firstLineChars="200"/>
        <w:contextualSpacing/>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（四）澄清问题的形式</w:t>
      </w:r>
    </w:p>
    <w:p w14:paraId="108EF318">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对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响应文件的范围或者改变响应文件的实质性内容。</w:t>
      </w:r>
    </w:p>
    <w:p w14:paraId="405A7804">
      <w:pPr>
        <w:keepNext w:val="0"/>
        <w:keepLines w:val="0"/>
        <w:pageBreakBefore w:val="0"/>
        <w:widowControl w:val="0"/>
        <w:shd w:val="clear"/>
        <w:kinsoku/>
        <w:wordWrap/>
        <w:overflowPunct/>
        <w:topLinePunct w:val="0"/>
        <w:bidi w:val="0"/>
        <w:spacing w:line="360" w:lineRule="auto"/>
        <w:ind w:left="237" w:leftChars="113" w:firstLine="103" w:firstLineChars="49"/>
        <w:contextualSpacing/>
        <w:outlineLvl w:val="9"/>
        <w:rPr>
          <w:rFonts w:asciiTheme="majorEastAsia" w:hAnsiTheme="majorEastAsia" w:eastAsiaTheme="majorEastAsia"/>
          <w:b/>
          <w:color w:val="auto"/>
          <w:szCs w:val="28"/>
          <w:highlight w:val="none"/>
        </w:rPr>
      </w:pPr>
      <w:bookmarkStart w:id="25" w:name="_Toc523820791"/>
      <w:bookmarkStart w:id="26" w:name="_Toc523820930"/>
      <w:bookmarkStart w:id="27" w:name="_Toc5857"/>
      <w:bookmarkStart w:id="28" w:name="_Toc354495806"/>
      <w:bookmarkStart w:id="29" w:name="_Toc317685588"/>
      <w:bookmarkStart w:id="30" w:name="_Toc354490630"/>
      <w:bookmarkStart w:id="31" w:name="_Toc523820682"/>
      <w:r>
        <w:rPr>
          <w:rFonts w:asciiTheme="majorEastAsia" w:hAnsiTheme="majorEastAsia" w:eastAsiaTheme="majorEastAsia"/>
          <w:b/>
          <w:color w:val="auto"/>
          <w:szCs w:val="28"/>
          <w:highlight w:val="none"/>
        </w:rPr>
        <w:t>（五）错误修正</w:t>
      </w:r>
      <w:bookmarkEnd w:id="25"/>
      <w:bookmarkEnd w:id="26"/>
      <w:bookmarkEnd w:id="27"/>
      <w:bookmarkEnd w:id="28"/>
      <w:bookmarkEnd w:id="29"/>
      <w:bookmarkEnd w:id="30"/>
      <w:bookmarkEnd w:id="31"/>
    </w:p>
    <w:p w14:paraId="22D63632">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响应文件如果出现计算或表达上的错误，修正错误的原则如下：</w:t>
      </w:r>
    </w:p>
    <w:p w14:paraId="68365674">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1、响应文件中报价一览表内容与响应文件中相应内容不一致的，以报价一览表为准；</w:t>
      </w:r>
    </w:p>
    <w:p w14:paraId="769AB4B6">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2、大写金额和小写金额不一致的，以大写金额为准；</w:t>
      </w:r>
    </w:p>
    <w:p w14:paraId="2EBA1BA9">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3、单价金额小数点或者百分比有明显错位的，以开标一览表的总价为准，并修改单价；</w:t>
      </w:r>
    </w:p>
    <w:p w14:paraId="489B0273">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4、总价金额与按单价汇总金额不一致的，以单价金额计算结果为准。</w:t>
      </w:r>
    </w:p>
    <w:p w14:paraId="7FF420C9">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b/>
          <w:bCs/>
          <w:color w:val="auto"/>
          <w:highlight w:val="none"/>
        </w:rPr>
      </w:pPr>
      <w:r>
        <w:rPr>
          <w:rFonts w:asciiTheme="majorEastAsia" w:hAnsiTheme="majorEastAsia" w:eastAsiaTheme="majorEastAsia"/>
          <w:color w:val="auto"/>
          <w:highlight w:val="none"/>
        </w:rPr>
        <w:t>同时出现两种以上不一致的，按照前款规定的顺序修正。</w:t>
      </w:r>
      <w:r>
        <w:rPr>
          <w:rFonts w:asciiTheme="majorEastAsia" w:hAnsiTheme="majorEastAsia" w:eastAsiaTheme="majorEastAsia"/>
          <w:b/>
          <w:color w:val="auto"/>
          <w:highlight w:val="none"/>
        </w:rPr>
        <w:t>按上述修正错误的原</w:t>
      </w:r>
      <w:r>
        <w:rPr>
          <w:rFonts w:asciiTheme="majorEastAsia" w:hAnsiTheme="majorEastAsia" w:eastAsiaTheme="majorEastAsia"/>
          <w:b/>
          <w:bCs/>
          <w:color w:val="auto"/>
          <w:highlight w:val="none"/>
        </w:rPr>
        <w:t>则及方法调整或修正响应文件的报价，供应商同意并签字确认后，调整后的报价对供应商具有约束作用。如果供应商不接受修正后的报价，则其报价将作为无效报价处理。</w:t>
      </w:r>
    </w:p>
    <w:p w14:paraId="70D17675">
      <w:pPr>
        <w:pStyle w:val="25"/>
        <w:keepNext w:val="0"/>
        <w:keepLines w:val="0"/>
        <w:pageBreakBefore w:val="0"/>
        <w:widowControl w:val="0"/>
        <w:shd w:val="clear"/>
        <w:tabs>
          <w:tab w:val="left" w:pos="630"/>
        </w:tabs>
        <w:kinsoku/>
        <w:wordWrap/>
        <w:overflowPunct/>
        <w:topLinePunct w:val="0"/>
        <w:bidi w:val="0"/>
        <w:spacing w:beforeLines="0" w:afterLines="0" w:line="360" w:lineRule="auto"/>
        <w:ind w:firstLine="413" w:firstLineChars="196"/>
        <w:contextualSpacing/>
        <w:outlineLvl w:val="9"/>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（六）评审原则和评审办法</w:t>
      </w:r>
    </w:p>
    <w:p w14:paraId="376D6128">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1C6BBDD0">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2.评审办法。本项目评审办法是</w:t>
      </w:r>
      <w:r>
        <w:rPr>
          <w:rFonts w:asciiTheme="majorEastAsia" w:hAnsiTheme="majorEastAsia" w:eastAsiaTheme="majorEastAsia"/>
          <w:b/>
          <w:color w:val="auto"/>
          <w:highlight w:val="none"/>
          <w:u w:val="single"/>
        </w:rPr>
        <w:t xml:space="preserve"> 综合评分法</w:t>
      </w:r>
      <w:r>
        <w:rPr>
          <w:rFonts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，具体评审内容及评分标准等详见《第四章：评审办法及评分标准》。</w:t>
      </w:r>
    </w:p>
    <w:p w14:paraId="7B3E0A34">
      <w:pPr>
        <w:pStyle w:val="25"/>
        <w:keepNext w:val="0"/>
        <w:keepLines w:val="0"/>
        <w:pageBreakBefore w:val="0"/>
        <w:widowControl w:val="0"/>
        <w:shd w:val="clear"/>
        <w:kinsoku/>
        <w:wordWrap/>
        <w:overflowPunct/>
        <w:topLinePunct w:val="0"/>
        <w:bidi w:val="0"/>
        <w:spacing w:beforeLines="0" w:afterLines="0" w:line="360" w:lineRule="auto"/>
        <w:contextualSpacing/>
        <w:outlineLvl w:val="9"/>
        <w:rPr>
          <w:rFonts w:asciiTheme="majorEastAsia" w:hAnsiTheme="majorEastAsia" w:eastAsiaTheme="majorEastAsia"/>
          <w:b/>
          <w:color w:val="auto"/>
          <w:highlight w:val="none"/>
        </w:rPr>
      </w:pPr>
    </w:p>
    <w:p w14:paraId="468DAFB0">
      <w:pPr>
        <w:pStyle w:val="25"/>
        <w:keepNext w:val="0"/>
        <w:keepLines w:val="0"/>
        <w:pageBreakBefore w:val="0"/>
        <w:widowControl w:val="0"/>
        <w:shd w:val="clear"/>
        <w:kinsoku/>
        <w:wordWrap/>
        <w:overflowPunct/>
        <w:topLinePunct w:val="0"/>
        <w:bidi w:val="0"/>
        <w:spacing w:beforeLines="0" w:afterLines="0" w:line="360" w:lineRule="auto"/>
        <w:contextualSpacing/>
        <w:outlineLvl w:val="9"/>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lang w:eastAsia="zh-CN"/>
        </w:rPr>
        <w:t>六</w:t>
      </w:r>
      <w:r>
        <w:rPr>
          <w:rFonts w:asciiTheme="majorEastAsia" w:hAnsiTheme="majorEastAsia" w:eastAsiaTheme="majorEastAsia"/>
          <w:b/>
          <w:color w:val="auto"/>
          <w:highlight w:val="none"/>
        </w:rPr>
        <w:t>、确定成交</w:t>
      </w:r>
    </w:p>
    <w:p w14:paraId="42FD6606">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w:t>
      </w:r>
      <w:r>
        <w:rPr>
          <w:rFonts w:hint="eastAsia" w:asciiTheme="majorEastAsia" w:hAnsiTheme="majorEastAsia" w:eastAsiaTheme="majorEastAsia"/>
          <w:bCs/>
          <w:color w:val="auto"/>
          <w:szCs w:val="21"/>
          <w:highlight w:val="none"/>
        </w:rPr>
        <w:t>本项目</w:t>
      </w:r>
      <w:r>
        <w:rPr>
          <w:rFonts w:asciiTheme="majorEastAsia" w:hAnsiTheme="majorEastAsia" w:eastAsiaTheme="majorEastAsia"/>
          <w:bCs/>
          <w:color w:val="auto"/>
          <w:szCs w:val="21"/>
          <w:highlight w:val="none"/>
        </w:rPr>
        <w:t>确定</w:t>
      </w:r>
      <w:r>
        <w:rPr>
          <w:rFonts w:hint="eastAsia" w:asciiTheme="majorEastAsia" w:hAnsiTheme="majorEastAsia" w:eastAsiaTheme="majorEastAsia"/>
          <w:bCs/>
          <w:color w:val="auto"/>
          <w:szCs w:val="21"/>
          <w:highlight w:val="none"/>
          <w:lang w:val="en-US" w:eastAsia="zh-CN"/>
        </w:rPr>
        <w:t>1</w:t>
      </w:r>
      <w:r>
        <w:rPr>
          <w:rFonts w:hint="eastAsia" w:asciiTheme="majorEastAsia" w:hAnsiTheme="majorEastAsia" w:eastAsiaTheme="majorEastAsia"/>
          <w:bCs/>
          <w:color w:val="auto"/>
          <w:szCs w:val="21"/>
          <w:highlight w:val="none"/>
        </w:rPr>
        <w:t>名</w:t>
      </w:r>
      <w:r>
        <w:rPr>
          <w:rFonts w:asciiTheme="majorEastAsia" w:hAnsiTheme="majorEastAsia" w:eastAsiaTheme="majorEastAsia"/>
          <w:bCs/>
          <w:color w:val="auto"/>
          <w:szCs w:val="21"/>
          <w:highlight w:val="none"/>
        </w:rPr>
        <w:t>成交供应商。本项目由磋商小组推荐成交候选人，采购人不得在磋商小组推荐的成交候选人以外确定成交候选人。</w:t>
      </w:r>
    </w:p>
    <w:p w14:paraId="5AC6A411">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在评审结束后2个工作日内将评审报告交采购人确认，采购人在收到评审报告之日起5个工作日内在评审报告确定的成交候选人中按顺序确定成交供应商，采购人在收到评审报告之日起5个工作日内未按评审报告推荐的成交候选人排序确定成交供应商，又不能说明合法理由的，视同按评审报告推荐的顺序确定排名第一的成交候选人为成交供应商。</w:t>
      </w:r>
    </w:p>
    <w:p w14:paraId="66963DEF">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3.代理机构自成交供应商确定之日起2个工作日内，在发布招标公告的网站上对成交结果进行公示，成交结果公告期限为1个工作日。</w:t>
      </w:r>
    </w:p>
    <w:p w14:paraId="4F8EB2B6">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4.凡发现成交供应商有下列行为之一的，将移交政府采购监督管理部门依法处理：</w:t>
      </w:r>
    </w:p>
    <w:p w14:paraId="47C2240F">
      <w:pPr>
        <w:keepNext w:val="0"/>
        <w:keepLines w:val="0"/>
        <w:pageBreakBefore w:val="0"/>
        <w:widowControl w:val="0"/>
        <w:numPr>
          <w:ilvl w:val="0"/>
          <w:numId w:val="6"/>
        </w:numPr>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提供虚假材料谋取成交的；</w:t>
      </w:r>
    </w:p>
    <w:p w14:paraId="6C533A9B">
      <w:pPr>
        <w:keepNext w:val="0"/>
        <w:keepLines w:val="0"/>
        <w:pageBreakBefore w:val="0"/>
        <w:widowControl w:val="0"/>
        <w:numPr>
          <w:ilvl w:val="0"/>
          <w:numId w:val="6"/>
        </w:numPr>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采取不正当手段诋毁、排挤其他供应商的；</w:t>
      </w:r>
    </w:p>
    <w:p w14:paraId="77AB5DB7">
      <w:pPr>
        <w:keepNext w:val="0"/>
        <w:keepLines w:val="0"/>
        <w:pageBreakBefore w:val="0"/>
        <w:widowControl w:val="0"/>
        <w:numPr>
          <w:ilvl w:val="0"/>
          <w:numId w:val="6"/>
        </w:numPr>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与采购人、其他供应商或者代理机构工作人员恶意串通的；</w:t>
      </w:r>
    </w:p>
    <w:p w14:paraId="3BF4089A">
      <w:pPr>
        <w:keepNext w:val="0"/>
        <w:keepLines w:val="0"/>
        <w:pageBreakBefore w:val="0"/>
        <w:widowControl w:val="0"/>
        <w:numPr>
          <w:ilvl w:val="0"/>
          <w:numId w:val="6"/>
        </w:numPr>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向采购人或代理机构人员行贿或者提供其他不正当利益的；</w:t>
      </w:r>
    </w:p>
    <w:p w14:paraId="6EA64C44">
      <w:pPr>
        <w:keepNext w:val="0"/>
        <w:keepLines w:val="0"/>
        <w:pageBreakBefore w:val="0"/>
        <w:widowControl w:val="0"/>
        <w:numPr>
          <w:ilvl w:val="0"/>
          <w:numId w:val="6"/>
        </w:numPr>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拒绝有关部门监督检查或者提供虚假情况的；</w:t>
      </w:r>
    </w:p>
    <w:p w14:paraId="5A85509B">
      <w:pPr>
        <w:keepNext w:val="0"/>
        <w:keepLines w:val="0"/>
        <w:pageBreakBefore w:val="0"/>
        <w:widowControl w:val="0"/>
        <w:numPr>
          <w:ilvl w:val="0"/>
          <w:numId w:val="6"/>
        </w:numPr>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有法律、法规规定的其他损害采购人利益和社会公共利益情形的。</w:t>
      </w:r>
    </w:p>
    <w:p w14:paraId="737199D4">
      <w:pPr>
        <w:keepNext w:val="0"/>
        <w:keepLines w:val="0"/>
        <w:pageBreakBefore w:val="0"/>
        <w:widowControl w:val="0"/>
        <w:shd w:val="clear"/>
        <w:kinsoku/>
        <w:wordWrap/>
        <w:overflowPunct/>
        <w:topLinePunct w:val="0"/>
        <w:bidi w:val="0"/>
        <w:spacing w:line="360" w:lineRule="auto"/>
        <w:contextualSpacing/>
        <w:outlineLvl w:val="9"/>
        <w:rPr>
          <w:rFonts w:asciiTheme="majorEastAsia" w:hAnsiTheme="majorEastAsia" w:eastAsiaTheme="majorEastAsia"/>
          <w:b/>
          <w:color w:val="auto"/>
          <w:szCs w:val="21"/>
          <w:highlight w:val="none"/>
        </w:rPr>
      </w:pPr>
    </w:p>
    <w:p w14:paraId="2366C7B0">
      <w:pPr>
        <w:keepNext w:val="0"/>
        <w:keepLines w:val="0"/>
        <w:pageBreakBefore w:val="0"/>
        <w:widowControl w:val="0"/>
        <w:shd w:val="clear"/>
        <w:kinsoku/>
        <w:wordWrap/>
        <w:overflowPunct/>
        <w:topLinePunct w:val="0"/>
        <w:bidi w:val="0"/>
        <w:spacing w:line="360" w:lineRule="auto"/>
        <w:contextualSpacing/>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七、评审过程的监控与保密</w:t>
      </w:r>
    </w:p>
    <w:p w14:paraId="69B62B84">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1.本项目评审过程实行全程录音、录像监控，供应商在评审过程中所进行的试图影响评审结果的不公正活动，可能导致其响应文件被拒绝。</w:t>
      </w:r>
    </w:p>
    <w:p w14:paraId="18FEE134">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2.磋商活动开始后到成交通知书发出之前，所有涉及磋商小组名单以及对响应文件的澄清、评价、比较等情况，磋商小组成员、采购人和代理机构的有关人员均不得向供应商或其他无关人员透露。</w:t>
      </w:r>
    </w:p>
    <w:p w14:paraId="7E7EBA99">
      <w:pPr>
        <w:pStyle w:val="25"/>
        <w:keepNext w:val="0"/>
        <w:keepLines w:val="0"/>
        <w:pageBreakBefore w:val="0"/>
        <w:widowControl w:val="0"/>
        <w:shd w:val="clear"/>
        <w:kinsoku/>
        <w:wordWrap/>
        <w:overflowPunct/>
        <w:topLinePunct w:val="0"/>
        <w:bidi w:val="0"/>
        <w:spacing w:beforeLines="0" w:afterLines="0" w:line="360" w:lineRule="auto"/>
        <w:contextualSpacing/>
        <w:outlineLvl w:val="9"/>
        <w:rPr>
          <w:rFonts w:asciiTheme="majorEastAsia" w:hAnsiTheme="majorEastAsia" w:eastAsiaTheme="majorEastAsia"/>
          <w:b/>
          <w:color w:val="auto"/>
          <w:highlight w:val="none"/>
        </w:rPr>
      </w:pPr>
    </w:p>
    <w:p w14:paraId="5AA00BE2">
      <w:pPr>
        <w:pStyle w:val="25"/>
        <w:keepNext w:val="0"/>
        <w:keepLines w:val="0"/>
        <w:pageBreakBefore w:val="0"/>
        <w:widowControl w:val="0"/>
        <w:shd w:val="clear"/>
        <w:kinsoku/>
        <w:wordWrap/>
        <w:overflowPunct/>
        <w:topLinePunct w:val="0"/>
        <w:bidi w:val="0"/>
        <w:spacing w:beforeLines="0" w:afterLines="0" w:line="360" w:lineRule="auto"/>
        <w:contextualSpacing/>
        <w:outlineLvl w:val="9"/>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八、合同授予</w:t>
      </w:r>
    </w:p>
    <w:p w14:paraId="3039D831">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1.采购人与成交供应商应当在《成交通知书》发出之日起</w:t>
      </w:r>
      <w:r>
        <w:rPr>
          <w:rFonts w:hint="eastAsia" w:asciiTheme="majorEastAsia" w:hAnsiTheme="majorEastAsia" w:eastAsiaTheme="majorEastAsia"/>
          <w:b/>
          <w:color w:val="auto"/>
          <w:szCs w:val="21"/>
          <w:highlight w:val="none"/>
          <w:u w:val="single"/>
          <w:lang w:val="en-US" w:eastAsia="zh-CN"/>
        </w:rPr>
        <w:t>2</w:t>
      </w:r>
      <w:r>
        <w:rPr>
          <w:rFonts w:asciiTheme="majorEastAsia" w:hAnsiTheme="majorEastAsia" w:eastAsiaTheme="majorEastAsia"/>
          <w:b/>
          <w:color w:val="auto"/>
          <w:szCs w:val="21"/>
          <w:highlight w:val="none"/>
          <w:u w:val="single"/>
        </w:rPr>
        <w:t>0</w:t>
      </w:r>
      <w:r>
        <w:rPr>
          <w:rFonts w:asciiTheme="majorEastAsia" w:hAnsiTheme="majorEastAsia" w:eastAsiaTheme="majorEastAsia"/>
          <w:color w:val="auto"/>
          <w:szCs w:val="21"/>
          <w:highlight w:val="none"/>
        </w:rPr>
        <w:t>日内签订政府采购合同。同时，代理机构对合同内容进行审查，如发现与采购结果和磋商承诺内容不一致的，应予以纠正。</w:t>
      </w:r>
    </w:p>
    <w:p w14:paraId="53C8F903">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2.成交供应商拖延、拒签合同的,将被取消成交资格。</w:t>
      </w:r>
    </w:p>
    <w:p w14:paraId="53CB146F">
      <w:pPr>
        <w:keepNext w:val="0"/>
        <w:keepLines w:val="0"/>
        <w:pageBreakBefore w:val="0"/>
        <w:widowControl w:val="0"/>
        <w:shd w:val="clear"/>
        <w:kinsoku/>
        <w:wordWrap/>
        <w:overflowPunct/>
        <w:topLinePunct w:val="0"/>
        <w:bidi w:val="0"/>
        <w:spacing w:line="360" w:lineRule="auto"/>
        <w:ind w:firstLine="420" w:firstLineChars="200"/>
        <w:contextualSpacing/>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3.成交供应商拒绝与采购人签订合同或其他违规情形的，采购人可以重新采购。</w:t>
      </w:r>
    </w:p>
    <w:p w14:paraId="11878102">
      <w:pPr>
        <w:keepNext w:val="0"/>
        <w:keepLines w:val="0"/>
        <w:pageBreakBefore w:val="0"/>
        <w:widowControl w:val="0"/>
        <w:shd w:val="clear"/>
        <w:kinsoku/>
        <w:wordWrap/>
        <w:overflowPunct/>
        <w:topLinePunct w:val="0"/>
        <w:bidi w:val="0"/>
        <w:spacing w:line="360" w:lineRule="auto"/>
        <w:contextualSpacing/>
        <w:jc w:val="left"/>
        <w:outlineLvl w:val="9"/>
        <w:rPr>
          <w:rFonts w:asciiTheme="majorEastAsia" w:hAnsiTheme="majorEastAsia" w:eastAsiaTheme="majorEastAsia"/>
          <w:b/>
          <w:color w:val="auto"/>
          <w:szCs w:val="21"/>
          <w:highlight w:val="none"/>
        </w:rPr>
      </w:pPr>
    </w:p>
    <w:p w14:paraId="748B8010">
      <w:pPr>
        <w:keepNext w:val="0"/>
        <w:keepLines w:val="0"/>
        <w:pageBreakBefore w:val="0"/>
        <w:widowControl w:val="0"/>
        <w:shd w:val="clear"/>
        <w:kinsoku/>
        <w:wordWrap/>
        <w:overflowPunct/>
        <w:topLinePunct w:val="0"/>
        <w:bidi w:val="0"/>
        <w:spacing w:line="360" w:lineRule="auto"/>
        <w:contextualSpacing/>
        <w:jc w:val="left"/>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九、履约验收</w:t>
      </w:r>
    </w:p>
    <w:p w14:paraId="4ED11911">
      <w:pPr>
        <w:pStyle w:val="25"/>
        <w:keepNext w:val="0"/>
        <w:keepLines w:val="0"/>
        <w:pageBreakBefore w:val="0"/>
        <w:widowControl w:val="0"/>
        <w:shd w:val="clear"/>
        <w:kinsoku/>
        <w:wordWrap/>
        <w:overflowPunct/>
        <w:topLinePunct w:val="0"/>
        <w:bidi w:val="0"/>
        <w:spacing w:beforeLines="0" w:afterLines="0" w:line="360" w:lineRule="auto"/>
        <w:ind w:firstLine="420" w:firstLineChars="200"/>
        <w:contextualSpacing/>
        <w:outlineLvl w:val="9"/>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人负责对成交供应商的履约行为进行验收，验收标准为本项目的磋商文件以及成交供应商的响应文件。政府向社会公众提供的公共服务项目，验收时应当邀请服务对象参与并出具意见，验收结果应当向社会公告。</w:t>
      </w:r>
    </w:p>
    <w:p w14:paraId="1F185637">
      <w:pPr>
        <w:keepNext w:val="0"/>
        <w:keepLines w:val="0"/>
        <w:pageBreakBefore w:val="0"/>
        <w:widowControl w:val="0"/>
        <w:shd w:val="clear"/>
        <w:kinsoku/>
        <w:wordWrap/>
        <w:overflowPunct/>
        <w:topLinePunct w:val="0"/>
        <w:bidi w:val="0"/>
        <w:spacing w:line="360" w:lineRule="auto"/>
        <w:contextualSpacing/>
        <w:outlineLvl w:val="9"/>
        <w:rPr>
          <w:rFonts w:asciiTheme="majorEastAsia" w:hAnsiTheme="majorEastAsia" w:eastAsiaTheme="majorEastAsia"/>
          <w:b/>
          <w:bCs/>
          <w:color w:val="auto"/>
          <w:szCs w:val="21"/>
          <w:highlight w:val="none"/>
        </w:rPr>
      </w:pPr>
    </w:p>
    <w:p w14:paraId="707A3F1B">
      <w:pPr>
        <w:keepNext w:val="0"/>
        <w:keepLines w:val="0"/>
        <w:pageBreakBefore w:val="0"/>
        <w:widowControl w:val="0"/>
        <w:shd w:val="clear"/>
        <w:kinsoku/>
        <w:wordWrap/>
        <w:overflowPunct/>
        <w:topLinePunct w:val="0"/>
        <w:bidi w:val="0"/>
        <w:spacing w:line="360" w:lineRule="auto"/>
        <w:contextualSpacing/>
        <w:outlineLvl w:val="9"/>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十、政府采购政策</w:t>
      </w:r>
    </w:p>
    <w:p w14:paraId="046DB1E2">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outlineLvl w:val="9"/>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1、政府采购活动中有关中小企业的相关规定</w:t>
      </w:r>
    </w:p>
    <w:p w14:paraId="290AC38F">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outlineLvl w:val="9"/>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1.1本项目</w:t>
      </w:r>
      <w:r>
        <w:rPr>
          <w:rFonts w:hint="eastAsia" w:ascii="宋体" w:hAnsi="宋体" w:eastAsia="宋体" w:cs="宋体"/>
          <w:b/>
          <w:bCs/>
          <w:color w:val="auto"/>
          <w:kern w:val="0"/>
          <w:sz w:val="21"/>
          <w:szCs w:val="21"/>
          <w:highlight w:val="none"/>
          <w:u w:val="single"/>
          <w:shd w:val="clear" w:color="auto" w:fill="FFFFFF"/>
          <w:lang w:val="en-US" w:eastAsia="zh-CN" w:bidi="ar-SA"/>
        </w:rPr>
        <w:t xml:space="preserve"> </w:t>
      </w:r>
      <w:r>
        <w:rPr>
          <w:rFonts w:hint="eastAsia" w:ascii="宋体" w:hAnsi="宋体" w:cs="宋体"/>
          <w:b/>
          <w:bCs/>
          <w:color w:val="auto"/>
          <w:kern w:val="0"/>
          <w:sz w:val="21"/>
          <w:szCs w:val="21"/>
          <w:highlight w:val="none"/>
          <w:u w:val="single"/>
          <w:shd w:val="clear" w:color="auto" w:fill="FFFFFF"/>
          <w:lang w:val="en-US" w:eastAsia="zh-CN" w:bidi="ar-SA"/>
        </w:rPr>
        <w:t>非</w:t>
      </w:r>
      <w:r>
        <w:rPr>
          <w:rFonts w:hint="eastAsia" w:ascii="宋体" w:hAnsi="宋体" w:eastAsia="宋体" w:cs="宋体"/>
          <w:b/>
          <w:bCs/>
          <w:color w:val="auto"/>
          <w:kern w:val="0"/>
          <w:sz w:val="21"/>
          <w:szCs w:val="21"/>
          <w:highlight w:val="none"/>
          <w:u w:val="single"/>
          <w:shd w:val="clear" w:color="auto" w:fill="FFFFFF"/>
          <w:lang w:val="en-US" w:eastAsia="zh-CN" w:bidi="ar-SA"/>
        </w:rPr>
        <w:t xml:space="preserve"> </w:t>
      </w:r>
      <w:r>
        <w:rPr>
          <w:rFonts w:hint="eastAsia" w:ascii="宋体" w:hAnsi="宋体" w:eastAsia="宋体" w:cs="宋体"/>
          <w:b/>
          <w:bCs/>
          <w:color w:val="auto"/>
          <w:kern w:val="0"/>
          <w:sz w:val="21"/>
          <w:szCs w:val="21"/>
          <w:highlight w:val="none"/>
          <w:shd w:val="clear" w:color="auto" w:fill="FFFFFF"/>
          <w:lang w:val="en-US" w:eastAsia="zh-CN" w:bidi="ar-SA"/>
        </w:rPr>
        <w:t>专门面向中小企业采购。</w:t>
      </w:r>
    </w:p>
    <w:p w14:paraId="5A6B4DE1">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outlineLvl w:val="9"/>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1.2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084739D">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outlineLvl w:val="9"/>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符合中小企业划分标准的个体工商户，在政府采购活动中视同中小企业。</w:t>
      </w:r>
    </w:p>
    <w:p w14:paraId="39388034">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2" w:firstLineChars="200"/>
        <w:jc w:val="both"/>
        <w:outlineLvl w:val="9"/>
        <w:rPr>
          <w:rFonts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中小企业划分标准详见工信部联企业[2011]300号。</w:t>
      </w:r>
    </w:p>
    <w:p w14:paraId="5EEA9B8F">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outlineLvl w:val="9"/>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1.3在政府采购活动中，供应商提供的货物、工程或者服务符合下列情形的，享受《政府采购促进中小企业发展管理办法》（财库[2020]46号）、《财政部关于进一步加大政府采购支持中小企业力度的通知》（财库[2022]19号）、《浙江省财政厅关于进一步加大政府采购支持中小企业力度 助力扎实稳住经济的通知》（浙财采监[2022]8号）等规定的中小企业扶持政策：</w:t>
      </w:r>
    </w:p>
    <w:p w14:paraId="6BE06581">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outlineLvl w:val="9"/>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（一）在货物采购项目中，货物由中小企业制造，即货物由中小企业生产且使用该中小企业商号或者注册商标；</w:t>
      </w:r>
    </w:p>
    <w:p w14:paraId="64726179">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outlineLvl w:val="9"/>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（二）在工程采购项目中，工程由中小企业承建，即工程施工单位为中小企业；</w:t>
      </w:r>
    </w:p>
    <w:p w14:paraId="279DF497">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outlineLvl w:val="9"/>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（三）在服务采购项目中，服务由中小企业承接，即提供服务的人员为中小企业依照《中华人民共和国劳动合同法》订立劳动合同的从业人员。</w:t>
      </w:r>
    </w:p>
    <w:p w14:paraId="72E8D228">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outlineLvl w:val="9"/>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在货物采购项目中，供应商提供的货物既有中小企业制造货物，也有大型企业制造货物的，不享受本办法规定的中小企业扶持政策。</w:t>
      </w:r>
    </w:p>
    <w:p w14:paraId="5F77D467">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outlineLvl w:val="9"/>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以联合体形式参加政府采购活动，联合体各方均为中小企业的，联合体视同中小企业。其中，联合体各方均为小微企业的，联合体视同小微企业。</w:t>
      </w:r>
    </w:p>
    <w:p w14:paraId="1AD40FD9">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outlineLvl w:val="9"/>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1.4对于经主管预算单位统筹后未预留份额专门面向中小企业采购的采购项目，以及预留份额项目中的非预留部分采购包，采购人、采购代理机构应当对符合《政府采购促进中小企业发展管理办法》规定的小微企业报价给予</w:t>
      </w:r>
      <w:r>
        <w:rPr>
          <w:rFonts w:hint="eastAsia" w:ascii="宋体" w:hAnsi="宋体" w:cs="宋体"/>
          <w:color w:val="auto"/>
          <w:kern w:val="0"/>
          <w:sz w:val="21"/>
          <w:szCs w:val="21"/>
          <w:highlight w:val="none"/>
          <w:shd w:val="clear" w:color="auto" w:fill="FFFFFF"/>
          <w:lang w:val="en-US" w:eastAsia="zh-CN" w:bidi="ar-SA"/>
        </w:rPr>
        <w:t>10%-20%</w:t>
      </w:r>
      <w:r>
        <w:rPr>
          <w:rFonts w:hint="eastAsia" w:ascii="宋体" w:hAnsi="宋体" w:eastAsia="宋体" w:cs="宋体"/>
          <w:color w:val="auto"/>
          <w:kern w:val="0"/>
          <w:sz w:val="21"/>
          <w:szCs w:val="21"/>
          <w:highlight w:val="none"/>
          <w:shd w:val="clear" w:color="auto" w:fill="FFFFFF"/>
          <w:lang w:val="en-US" w:eastAsia="zh-CN" w:bidi="ar-SA"/>
        </w:rPr>
        <w:t>（工程项目为3%—5%）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宋体" w:hAnsi="宋体" w:cs="宋体"/>
          <w:color w:val="auto"/>
          <w:kern w:val="0"/>
          <w:sz w:val="21"/>
          <w:szCs w:val="21"/>
          <w:highlight w:val="none"/>
          <w:shd w:val="clear" w:color="auto" w:fill="FFFFFF"/>
          <w:lang w:val="en-US" w:eastAsia="zh-CN" w:bidi="ar-SA"/>
        </w:rPr>
        <w:t>3</w:t>
      </w:r>
      <w:r>
        <w:rPr>
          <w:rFonts w:hint="eastAsia" w:ascii="宋体" w:hAnsi="宋体" w:eastAsia="宋体" w:cs="宋体"/>
          <w:color w:val="auto"/>
          <w:kern w:val="0"/>
          <w:sz w:val="21"/>
          <w:szCs w:val="21"/>
          <w:highlight w:val="none"/>
          <w:shd w:val="clear" w:color="auto" w:fill="FFFFFF"/>
          <w:lang w:val="en-US" w:eastAsia="zh-CN" w:bidi="ar-SA"/>
        </w:rPr>
        <w:t>%—</w:t>
      </w:r>
      <w:r>
        <w:rPr>
          <w:rFonts w:hint="eastAsia" w:ascii="宋体" w:hAnsi="宋体" w:cs="宋体"/>
          <w:color w:val="auto"/>
          <w:kern w:val="0"/>
          <w:sz w:val="21"/>
          <w:szCs w:val="21"/>
          <w:highlight w:val="none"/>
          <w:shd w:val="clear" w:color="auto" w:fill="FFFFFF"/>
          <w:lang w:val="en-US" w:eastAsia="zh-CN" w:bidi="ar-SA"/>
        </w:rPr>
        <w:t>5</w:t>
      </w:r>
      <w:r>
        <w:rPr>
          <w:rFonts w:hint="eastAsia" w:ascii="宋体" w:hAnsi="宋体" w:eastAsia="宋体" w:cs="宋体"/>
          <w:color w:val="auto"/>
          <w:kern w:val="0"/>
          <w:sz w:val="21"/>
          <w:szCs w:val="21"/>
          <w:highlight w:val="none"/>
          <w:shd w:val="clear" w:color="auto" w:fill="FFFFFF"/>
          <w:lang w:val="en-US" w:eastAsia="zh-CN" w:bidi="ar-SA"/>
        </w:rPr>
        <w:t>%作为其价格分。</w:t>
      </w:r>
    </w:p>
    <w:p w14:paraId="3F2C2523">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outlineLvl w:val="9"/>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cs="宋体"/>
          <w:color w:val="auto"/>
          <w:kern w:val="0"/>
          <w:sz w:val="21"/>
          <w:szCs w:val="21"/>
          <w:highlight w:val="none"/>
          <w:shd w:val="clear" w:color="auto" w:fill="FFFFFF"/>
          <w:lang w:val="en-US" w:eastAsia="zh-CN" w:bidi="ar-SA"/>
        </w:rPr>
        <w:t>4</w:t>
      </w:r>
      <w:r>
        <w:rPr>
          <w:rFonts w:hint="eastAsia" w:ascii="宋体" w:hAnsi="宋体" w:eastAsia="宋体" w:cs="宋体"/>
          <w:color w:val="auto"/>
          <w:kern w:val="0"/>
          <w:sz w:val="21"/>
          <w:szCs w:val="21"/>
          <w:highlight w:val="none"/>
          <w:shd w:val="clear" w:color="auto" w:fill="FFFFFF"/>
          <w:lang w:val="en-US" w:eastAsia="zh-CN" w:bidi="ar-SA"/>
        </w:rPr>
        <w:t>%</w:t>
      </w:r>
      <w:r>
        <w:rPr>
          <w:rFonts w:hint="eastAsia" w:ascii="宋体" w:hAnsi="宋体" w:cs="宋体"/>
          <w:color w:val="auto"/>
          <w:kern w:val="0"/>
          <w:sz w:val="21"/>
          <w:szCs w:val="21"/>
          <w:highlight w:val="none"/>
          <w:shd w:val="clear" w:color="auto" w:fill="FFFFFF"/>
          <w:lang w:val="en-US" w:eastAsia="zh-CN" w:bidi="ar-SA"/>
        </w:rPr>
        <w:t>-6</w:t>
      </w:r>
      <w:r>
        <w:rPr>
          <w:rFonts w:hint="eastAsia" w:ascii="宋体" w:hAnsi="宋体" w:eastAsia="宋体" w:cs="宋体"/>
          <w:color w:val="auto"/>
          <w:kern w:val="0"/>
          <w:sz w:val="21"/>
          <w:szCs w:val="21"/>
          <w:highlight w:val="none"/>
          <w:shd w:val="clear" w:color="auto" w:fill="FFFFFF"/>
          <w:lang w:val="en-US" w:eastAsia="zh-CN" w:bidi="ar-SA"/>
        </w:rPr>
        <w:t>%（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5797197">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outlineLvl w:val="9"/>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价格扣除比例或者价格分加分比例对小型企业和微型企业同等对待，不作区分。</w:t>
      </w:r>
    </w:p>
    <w:p w14:paraId="65CC5C71">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outlineLvl w:val="9"/>
        <w:rPr>
          <w:rFonts w:ascii="宋体" w:hAnsi="宋体" w:eastAsia="宋体" w:cs="宋体"/>
          <w:b w:val="0"/>
          <w:bCs w:val="0"/>
          <w:color w:val="auto"/>
          <w:kern w:val="0"/>
          <w:sz w:val="21"/>
          <w:szCs w:val="21"/>
          <w:highlight w:val="none"/>
          <w:shd w:val="clear" w:color="auto" w:fill="FFFFFF"/>
          <w:lang w:val="en-US" w:eastAsia="zh-CN" w:bidi="ar-SA"/>
        </w:rPr>
      </w:pPr>
      <w:r>
        <w:rPr>
          <w:rFonts w:hint="eastAsia" w:ascii="宋体" w:hAnsi="宋体" w:eastAsia="宋体" w:cs="宋体"/>
          <w:b w:val="0"/>
          <w:bCs w:val="0"/>
          <w:color w:val="auto"/>
          <w:kern w:val="0"/>
          <w:sz w:val="21"/>
          <w:szCs w:val="21"/>
          <w:highlight w:val="none"/>
          <w:shd w:val="clear" w:color="auto" w:fill="FFFFFF"/>
          <w:lang w:val="en-US" w:eastAsia="zh-CN" w:bidi="ar-SA"/>
        </w:rPr>
        <w:t>本项目具体扣除比例见本采购文件 第四章 评标办法及评分标准。</w:t>
      </w:r>
    </w:p>
    <w:p w14:paraId="2F9BC856">
      <w:pPr>
        <w:keepNext w:val="0"/>
        <w:keepLines w:val="0"/>
        <w:pageBreakBefore w:val="0"/>
        <w:widowControl w:val="0"/>
        <w:shd w:val="clear"/>
        <w:kinsoku/>
        <w:wordWrap/>
        <w:overflowPunct/>
        <w:topLinePunct w:val="0"/>
        <w:bidi w:val="0"/>
        <w:snapToGrid w:val="0"/>
        <w:spacing w:before="0" w:beforeAutospacing="0" w:after="0" w:afterAutospacing="0" w:line="360" w:lineRule="auto"/>
        <w:ind w:firstLine="420" w:firstLineChars="200"/>
        <w:jc w:val="both"/>
        <w:outlineLvl w:val="9"/>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1.5中小企业参加政府采购活动，应当出具《政府采购促进中小企业发展管理办法》（财库[2020]46号）规定的《中小企业声明函》（详见响应文件格式部分），否则不得享受相关中小企业扶持政策。任何单位和个人不得要求供应商提供《中小企业声明函》之外的中小企业身份证明文件。</w:t>
      </w:r>
    </w:p>
    <w:p w14:paraId="10E21CDC">
      <w:pPr>
        <w:keepNext w:val="0"/>
        <w:keepLines w:val="0"/>
        <w:pageBreakBefore w:val="0"/>
        <w:widowControl w:val="0"/>
        <w:shd w:val="clear"/>
        <w:kinsoku/>
        <w:wordWrap/>
        <w:overflowPunct/>
        <w:topLinePunct w:val="0"/>
        <w:bidi w:val="0"/>
        <w:snapToGrid w:val="0"/>
        <w:spacing w:line="360" w:lineRule="auto"/>
        <w:ind w:firstLine="420" w:firstLineChars="200"/>
        <w:outlineLvl w:val="9"/>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1.6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1483272E">
      <w:pPr>
        <w:keepNext w:val="0"/>
        <w:keepLines w:val="0"/>
        <w:pageBreakBefore w:val="0"/>
        <w:widowControl w:val="0"/>
        <w:shd w:val="clear"/>
        <w:kinsoku/>
        <w:wordWrap/>
        <w:overflowPunct/>
        <w:topLinePunct w:val="0"/>
        <w:bidi w:val="0"/>
        <w:snapToGrid w:val="0"/>
        <w:spacing w:line="360" w:lineRule="auto"/>
        <w:ind w:firstLine="420" w:firstLineChars="200"/>
        <w:jc w:val="left"/>
        <w:outlineLvl w:val="9"/>
        <w:rPr>
          <w:rFonts w:ascii="宋体" w:hAnsi="宋体" w:cs="Times New Roman"/>
          <w:color w:val="auto"/>
          <w:szCs w:val="21"/>
          <w:highlight w:val="none"/>
          <w:lang w:bidi="ar"/>
        </w:rPr>
      </w:pPr>
      <w:r>
        <w:rPr>
          <w:rFonts w:hint="eastAsia" w:ascii="宋体" w:hAnsi="宋体" w:cs="Times New Roman"/>
          <w:color w:val="auto"/>
          <w:szCs w:val="21"/>
          <w:highlight w:val="none"/>
          <w:lang w:bidi="ar"/>
        </w:rPr>
        <w:t>1.7</w:t>
      </w:r>
      <w:r>
        <w:rPr>
          <w:rFonts w:ascii="宋体" w:hAnsi="宋体" w:cs="Times New Roman"/>
          <w:color w:val="auto"/>
          <w:szCs w:val="21"/>
          <w:highlight w:val="none"/>
          <w:lang w:bidi="ar"/>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r>
        <w:rPr>
          <w:rFonts w:hint="eastAsia" w:ascii="宋体" w:hAnsi="宋体" w:cs="Times New Roman"/>
          <w:color w:val="auto"/>
          <w:szCs w:val="21"/>
          <w:highlight w:val="none"/>
          <w:lang w:bidi="ar"/>
        </w:rPr>
        <w:t>。</w:t>
      </w:r>
    </w:p>
    <w:p w14:paraId="61378C4C">
      <w:pPr>
        <w:keepNext w:val="0"/>
        <w:keepLines w:val="0"/>
        <w:pageBreakBefore w:val="0"/>
        <w:widowControl w:val="0"/>
        <w:shd w:val="clear"/>
        <w:kinsoku/>
        <w:wordWrap/>
        <w:overflowPunct/>
        <w:topLinePunct w:val="0"/>
        <w:bidi w:val="0"/>
        <w:snapToGrid w:val="0"/>
        <w:spacing w:line="360" w:lineRule="auto"/>
        <w:ind w:firstLine="420" w:firstLineChars="200"/>
        <w:jc w:val="left"/>
        <w:outlineLvl w:val="9"/>
        <w:rPr>
          <w:rFonts w:ascii="宋体" w:hAnsi="宋体" w:cs="Times New Roman"/>
          <w:color w:val="auto"/>
          <w:szCs w:val="21"/>
          <w:highlight w:val="none"/>
          <w:lang w:bidi="ar"/>
        </w:rPr>
      </w:pPr>
      <w:r>
        <w:rPr>
          <w:rFonts w:hint="eastAsia" w:ascii="宋体" w:hAnsi="宋体" w:cs="Times New Roman"/>
          <w:color w:val="auto"/>
          <w:szCs w:val="21"/>
          <w:highlight w:val="none"/>
          <w:lang w:bidi="ar"/>
        </w:rPr>
        <w:t>1.8</w:t>
      </w:r>
      <w:r>
        <w:rPr>
          <w:rFonts w:ascii="宋体" w:hAnsi="宋体" w:cs="Times New Roman"/>
          <w:color w:val="auto"/>
          <w:szCs w:val="21"/>
          <w:highlight w:val="none"/>
          <w:lang w:bidi="ar"/>
        </w:rPr>
        <w:t>根据《关于促进残疾人就业政府采购政策的通知》（财库[2017]141号）规定，在政府采购活动中，残疾人福利性单位视同小型、微型企业。残疾人福利性单位参加政府采购活动时，提供《残疾人福利性单位声明函》。</w:t>
      </w:r>
    </w:p>
    <w:p w14:paraId="31CC83AD">
      <w:pPr>
        <w:keepNext w:val="0"/>
        <w:keepLines w:val="0"/>
        <w:pageBreakBefore w:val="0"/>
        <w:widowControl w:val="0"/>
        <w:numPr>
          <w:ilvl w:val="0"/>
          <w:numId w:val="0"/>
        </w:numPr>
        <w:shd w:val="clear"/>
        <w:kinsoku/>
        <w:wordWrap/>
        <w:overflowPunct/>
        <w:topLinePunct w:val="0"/>
        <w:bidi w:val="0"/>
        <w:spacing w:line="360" w:lineRule="auto"/>
        <w:ind w:firstLine="420" w:firstLineChars="200"/>
        <w:contextualSpacing/>
        <w:jc w:val="left"/>
        <w:outlineLvl w:val="9"/>
        <w:rPr>
          <w:rFonts w:hint="eastAsia" w:ascii="宋体" w:hAnsi="宋体" w:cs="Times New Roman"/>
          <w:b w:val="0"/>
          <w:bCs w:val="0"/>
          <w:color w:val="auto"/>
          <w:szCs w:val="21"/>
          <w:highlight w:val="none"/>
          <w:lang w:bidi="ar"/>
        </w:rPr>
      </w:pPr>
      <w:r>
        <w:rPr>
          <w:rFonts w:hint="eastAsia" w:ascii="宋体" w:hAnsi="宋体" w:cs="Times New Roman"/>
          <w:b w:val="0"/>
          <w:bCs w:val="0"/>
          <w:color w:val="auto"/>
          <w:szCs w:val="21"/>
          <w:highlight w:val="none"/>
          <w:lang w:val="en-US" w:eastAsia="zh-CN" w:bidi="ar"/>
        </w:rPr>
        <w:t>2、</w:t>
      </w:r>
      <w:r>
        <w:rPr>
          <w:rFonts w:hint="eastAsia" w:ascii="宋体" w:hAnsi="宋体" w:cs="Times New Roman"/>
          <w:b w:val="0"/>
          <w:bCs w:val="0"/>
          <w:color w:val="auto"/>
          <w:szCs w:val="21"/>
          <w:highlight w:val="none"/>
          <w:lang w:bidi="ar"/>
        </w:rPr>
        <w:t>本项目为政府采购</w:t>
      </w:r>
      <w:r>
        <w:rPr>
          <w:rFonts w:hint="eastAsia" w:ascii="宋体" w:hAnsi="宋体" w:cs="Times New Roman"/>
          <w:b/>
          <w:bCs/>
          <w:color w:val="auto"/>
          <w:szCs w:val="21"/>
          <w:highlight w:val="none"/>
          <w:u w:val="single"/>
          <w:lang w:val="en-US" w:eastAsia="zh-CN" w:bidi="ar"/>
        </w:rPr>
        <w:t xml:space="preserve"> </w:t>
      </w:r>
      <w:r>
        <w:rPr>
          <w:rFonts w:hint="eastAsia" w:ascii="宋体" w:hAnsi="宋体" w:cs="Times New Roman"/>
          <w:b/>
          <w:bCs/>
          <w:color w:val="auto"/>
          <w:szCs w:val="21"/>
          <w:highlight w:val="none"/>
          <w:u w:val="single"/>
          <w:lang w:eastAsia="zh-CN" w:bidi="ar"/>
        </w:rPr>
        <w:t>服务</w:t>
      </w:r>
      <w:r>
        <w:rPr>
          <w:rFonts w:hint="eastAsia" w:ascii="宋体" w:hAnsi="宋体" w:cs="Times New Roman"/>
          <w:b/>
          <w:bCs/>
          <w:color w:val="auto"/>
          <w:szCs w:val="21"/>
          <w:highlight w:val="none"/>
          <w:u w:val="single"/>
          <w:lang w:val="en-US" w:eastAsia="zh-CN" w:bidi="ar"/>
        </w:rPr>
        <w:t xml:space="preserve"> </w:t>
      </w:r>
      <w:r>
        <w:rPr>
          <w:rFonts w:hint="eastAsia" w:ascii="宋体" w:hAnsi="宋体" w:cs="Times New Roman"/>
          <w:b w:val="0"/>
          <w:bCs w:val="0"/>
          <w:color w:val="auto"/>
          <w:szCs w:val="21"/>
          <w:highlight w:val="none"/>
          <w:lang w:bidi="ar"/>
        </w:rPr>
        <w:t>项目，属于</w:t>
      </w:r>
      <w:r>
        <w:rPr>
          <w:rFonts w:hint="eastAsia" w:ascii="宋体" w:hAnsi="宋体" w:cs="宋体"/>
          <w:b w:val="0"/>
          <w:bCs w:val="0"/>
          <w:color w:val="auto"/>
          <w:szCs w:val="21"/>
          <w:highlight w:val="none"/>
          <w:shd w:val="clear" w:color="auto" w:fill="FFFFFF"/>
        </w:rPr>
        <w:t>工信部联企业[2011]300号规定</w:t>
      </w:r>
      <w:r>
        <w:rPr>
          <w:rFonts w:hint="eastAsia" w:ascii="宋体" w:hAnsi="宋体" w:cs="Times New Roman"/>
          <w:b w:val="0"/>
          <w:bCs w:val="0"/>
          <w:color w:val="auto"/>
          <w:szCs w:val="21"/>
          <w:highlight w:val="none"/>
          <w:u w:val="single"/>
          <w:lang w:val="en-US" w:eastAsia="zh-CN" w:bidi="ar"/>
        </w:rPr>
        <w:t xml:space="preserve"> </w:t>
      </w:r>
      <w:r>
        <w:rPr>
          <w:rFonts w:hint="eastAsia" w:ascii="宋体" w:hAnsi="宋体"/>
          <w:b/>
          <w:bCs/>
          <w:color w:val="auto"/>
          <w:szCs w:val="21"/>
          <w:highlight w:val="none"/>
          <w:u w:val="single"/>
          <w:lang w:val="en-US" w:eastAsia="zh-CN" w:bidi="ar"/>
        </w:rPr>
        <w:t>其他未列明行业</w:t>
      </w:r>
      <w:r>
        <w:rPr>
          <w:rFonts w:hint="eastAsia" w:ascii="宋体" w:hAnsi="宋体" w:cs="Times New Roman"/>
          <w:b w:val="0"/>
          <w:bCs w:val="0"/>
          <w:color w:val="auto"/>
          <w:szCs w:val="21"/>
          <w:highlight w:val="none"/>
          <w:u w:val="single"/>
          <w:lang w:val="en-US" w:eastAsia="zh-CN" w:bidi="ar"/>
        </w:rPr>
        <w:t xml:space="preserve"> </w:t>
      </w:r>
      <w:r>
        <w:rPr>
          <w:rFonts w:hint="eastAsia" w:ascii="宋体" w:hAnsi="宋体" w:cs="Times New Roman"/>
          <w:b w:val="0"/>
          <w:bCs w:val="0"/>
          <w:color w:val="auto"/>
          <w:szCs w:val="21"/>
          <w:highlight w:val="none"/>
          <w:lang w:bidi="ar"/>
        </w:rPr>
        <w:t>。</w:t>
      </w:r>
    </w:p>
    <w:p w14:paraId="2C60EFC9">
      <w:pPr>
        <w:outlineLvl w:val="9"/>
        <w:rPr>
          <w:rFonts w:cs="Arial" w:asciiTheme="minorEastAsia" w:hAnsiTheme="minorEastAsia" w:eastAsiaTheme="minorEastAsia"/>
          <w:color w:val="auto"/>
          <w:szCs w:val="21"/>
          <w:highlight w:val="none"/>
        </w:rPr>
      </w:pPr>
      <w:r>
        <w:rPr>
          <w:rFonts w:hint="eastAsia" w:ascii="宋体" w:hAnsi="宋体" w:cs="Times New Roman"/>
          <w:b/>
          <w:bCs/>
          <w:color w:val="auto"/>
          <w:szCs w:val="21"/>
          <w:highlight w:val="none"/>
          <w:lang w:val="en-US" w:eastAsia="zh-CN" w:bidi="ar"/>
        </w:rPr>
        <w:t>3、</w:t>
      </w:r>
      <w:r>
        <w:rPr>
          <w:rFonts w:hint="eastAsia" w:ascii="宋体" w:hAnsi="宋体" w:cs="Times New Roman"/>
          <w:b/>
          <w:bCs/>
          <w:color w:val="auto"/>
          <w:szCs w:val="21"/>
          <w:highlight w:val="none"/>
          <w:lang w:bidi="ar"/>
        </w:rPr>
        <w:t>供应商按照《政府采购促进中小企业发展管理办法》（财库[2020]46号）规定提供声明函内容不实的，属于提供虚假材料谋取中标、成交，依照《中华人民共和国政府采购法》等国家有关规定追究相应责任</w:t>
      </w:r>
      <w:r>
        <w:rPr>
          <w:rFonts w:hint="eastAsia" w:ascii="宋体" w:hAnsi="宋体" w:cs="Times New Roman"/>
          <w:b/>
          <w:bCs/>
          <w:color w:val="auto"/>
          <w:szCs w:val="21"/>
          <w:highlight w:val="none"/>
          <w:lang w:eastAsia="zh-CN" w:bidi="ar"/>
        </w:rPr>
        <w:t>。</w:t>
      </w:r>
    </w:p>
    <w:p w14:paraId="26222E2C">
      <w:pPr>
        <w:outlineLvl w:val="9"/>
        <w:rPr>
          <w:color w:val="auto"/>
          <w:highlight w:val="none"/>
        </w:rPr>
      </w:pPr>
    </w:p>
    <w:p w14:paraId="2BAEDC4C">
      <w:pPr>
        <w:pStyle w:val="2"/>
        <w:rPr>
          <w:color w:val="auto"/>
          <w:highlight w:val="none"/>
        </w:rPr>
        <w:sectPr>
          <w:footerReference r:id="rId10" w:type="firs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2F4A6A7F">
      <w:pPr>
        <w:keepNext w:val="0"/>
        <w:keepLines w:val="0"/>
        <w:pageBreakBefore w:val="0"/>
        <w:widowControl w:val="0"/>
        <w:shd w:val="clear"/>
        <w:kinsoku/>
        <w:wordWrap/>
        <w:overflowPunct/>
        <w:topLinePunct w:val="0"/>
        <w:autoSpaceDE/>
        <w:autoSpaceDN/>
        <w:bidi w:val="0"/>
        <w:adjustRightInd/>
        <w:snapToGrid/>
        <w:spacing w:before="0" w:after="330" w:line="360" w:lineRule="auto"/>
        <w:jc w:val="center"/>
        <w:textAlignment w:val="auto"/>
        <w:outlineLvl w:val="0"/>
        <w:rPr>
          <w:rFonts w:cs="Times New Roman" w:asciiTheme="majorEastAsia" w:hAnsiTheme="majorEastAsia" w:eastAsiaTheme="majorEastAsia"/>
          <w:b/>
          <w:bCs/>
          <w:color w:val="auto"/>
          <w:sz w:val="32"/>
          <w:szCs w:val="40"/>
          <w:highlight w:val="none"/>
        </w:rPr>
      </w:pPr>
      <w:bookmarkStart w:id="32" w:name="_Toc29249"/>
      <w:bookmarkStart w:id="33" w:name="_Toc522013505"/>
      <w:bookmarkStart w:id="34" w:name="_Toc12813"/>
      <w:r>
        <w:rPr>
          <w:rFonts w:cs="Times New Roman" w:asciiTheme="majorEastAsia" w:hAnsiTheme="majorEastAsia" w:eastAsiaTheme="majorEastAsia"/>
          <w:b/>
          <w:bCs/>
          <w:color w:val="auto"/>
          <w:sz w:val="32"/>
          <w:szCs w:val="40"/>
          <w:highlight w:val="none"/>
        </w:rPr>
        <w:t>第四章  评审办法及评分标准</w:t>
      </w:r>
      <w:bookmarkEnd w:id="32"/>
      <w:bookmarkEnd w:id="33"/>
      <w:bookmarkEnd w:id="34"/>
    </w:p>
    <w:p w14:paraId="529AC301">
      <w:pPr>
        <w:keepNext w:val="0"/>
        <w:keepLines w:val="0"/>
        <w:pageBreakBefore w:val="0"/>
        <w:widowControl w:val="0"/>
        <w:shd w:val="clear"/>
        <w:kinsoku/>
        <w:wordWrap/>
        <w:overflowPunct/>
        <w:topLinePunct w:val="0"/>
        <w:autoSpaceDE/>
        <w:autoSpaceDN/>
        <w:bidi w:val="0"/>
        <w:adjustRightInd/>
        <w:spacing w:before="240" w:line="360" w:lineRule="auto"/>
        <w:textAlignment w:val="auto"/>
        <w:outlineLvl w:val="9"/>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一.总则</w:t>
      </w:r>
    </w:p>
    <w:p w14:paraId="06F074C8">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本次磋商遵循公平、公正、科学、择优的原则依法进行，磋商活动及当事人接受依法实施的监督。本次磋商采用综合评分法。</w:t>
      </w:r>
    </w:p>
    <w:p w14:paraId="53393F3F">
      <w:pPr>
        <w:keepNext w:val="0"/>
        <w:keepLines w:val="0"/>
        <w:pageBreakBefore w:val="0"/>
        <w:widowControl w:val="0"/>
        <w:shd w:val="clear"/>
        <w:kinsoku/>
        <w:wordWrap/>
        <w:overflowPunct/>
        <w:topLinePunct w:val="0"/>
        <w:autoSpaceDE/>
        <w:autoSpaceDN/>
        <w:bidi w:val="0"/>
        <w:adjustRightInd/>
        <w:spacing w:before="240" w:line="360" w:lineRule="auto"/>
        <w:textAlignment w:val="auto"/>
        <w:outlineLvl w:val="9"/>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二.评审组织</w:t>
      </w:r>
    </w:p>
    <w:p w14:paraId="6758E618">
      <w:pPr>
        <w:keepNext w:val="0"/>
        <w:keepLines w:val="0"/>
        <w:pageBreakBefore w:val="0"/>
        <w:widowControl w:val="0"/>
        <w:shd w:val="clear"/>
        <w:kinsoku/>
        <w:wordWrap/>
        <w:overflowPunct/>
        <w:topLinePunct w:val="0"/>
        <w:autoSpaceDE/>
        <w:autoSpaceDN/>
        <w:bidi w:val="0"/>
        <w:adjustRightInd/>
        <w:spacing w:line="360" w:lineRule="auto"/>
        <w:ind w:firstLine="420" w:firstLineChars="200"/>
        <w:textAlignment w:val="auto"/>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磋商小组：采购人和采购机构根据采购项目的内容特点按照法律法规规定组建磋商小组。</w:t>
      </w:r>
    </w:p>
    <w:p w14:paraId="08818A3B">
      <w:pPr>
        <w:keepNext w:val="0"/>
        <w:keepLines w:val="0"/>
        <w:pageBreakBefore w:val="0"/>
        <w:widowControl w:val="0"/>
        <w:shd w:val="clear"/>
        <w:kinsoku/>
        <w:wordWrap/>
        <w:overflowPunct/>
        <w:topLinePunct w:val="0"/>
        <w:autoSpaceDE/>
        <w:autoSpaceDN/>
        <w:bidi w:val="0"/>
        <w:adjustRightInd/>
        <w:spacing w:before="240" w:line="360" w:lineRule="auto"/>
        <w:textAlignment w:val="auto"/>
        <w:outlineLvl w:val="9"/>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三．磋商程序</w:t>
      </w:r>
    </w:p>
    <w:p w14:paraId="68BAFC10">
      <w:pPr>
        <w:pStyle w:val="14"/>
        <w:keepNext w:val="0"/>
        <w:keepLines w:val="0"/>
        <w:pageBreakBefore w:val="0"/>
        <w:widowControl w:val="0"/>
        <w:shd w:val="clear"/>
        <w:tabs>
          <w:tab w:val="clear" w:pos="454"/>
        </w:tabs>
        <w:kinsoku/>
        <w:wordWrap/>
        <w:overflowPunct/>
        <w:topLinePunct w:val="0"/>
        <w:autoSpaceDE/>
        <w:autoSpaceDN/>
        <w:bidi w:val="0"/>
        <w:adjustRightInd/>
        <w:snapToGrid w:val="0"/>
        <w:spacing w:afterLines="0" w:line="360" w:lineRule="auto"/>
        <w:ind w:left="0" w:firstLine="411" w:firstLineChars="196"/>
        <w:textAlignment w:val="auto"/>
        <w:outlineLvl w:val="9"/>
        <w:rPr>
          <w:rFonts w:asciiTheme="majorEastAsia" w:hAnsiTheme="majorEastAsia" w:eastAsiaTheme="majorEastAsia"/>
          <w:color w:val="auto"/>
          <w:kern w:val="2"/>
          <w:sz w:val="21"/>
          <w:szCs w:val="21"/>
          <w:highlight w:val="none"/>
        </w:rPr>
      </w:pPr>
      <w:r>
        <w:rPr>
          <w:rFonts w:asciiTheme="majorEastAsia" w:hAnsiTheme="majorEastAsia" w:eastAsiaTheme="majorEastAsia"/>
          <w:color w:val="auto"/>
          <w:kern w:val="2"/>
          <w:sz w:val="21"/>
          <w:szCs w:val="21"/>
          <w:highlight w:val="none"/>
        </w:rPr>
        <w:t>详见第三章供应商须知 四、磋商程序</w:t>
      </w:r>
      <w:r>
        <w:rPr>
          <w:rFonts w:hint="eastAsia" w:asciiTheme="majorEastAsia" w:hAnsiTheme="majorEastAsia" w:eastAsiaTheme="majorEastAsia"/>
          <w:color w:val="auto"/>
          <w:kern w:val="2"/>
          <w:sz w:val="21"/>
          <w:szCs w:val="21"/>
          <w:highlight w:val="none"/>
        </w:rPr>
        <w:t>。</w:t>
      </w:r>
    </w:p>
    <w:p w14:paraId="3DA4B836">
      <w:pPr>
        <w:keepNext w:val="0"/>
        <w:keepLines w:val="0"/>
        <w:pageBreakBefore w:val="0"/>
        <w:widowControl w:val="0"/>
        <w:shd w:val="clear"/>
        <w:kinsoku/>
        <w:wordWrap/>
        <w:overflowPunct/>
        <w:topLinePunct w:val="0"/>
        <w:autoSpaceDE/>
        <w:autoSpaceDN/>
        <w:bidi w:val="0"/>
        <w:adjustRightInd/>
        <w:spacing w:before="240" w:line="360" w:lineRule="auto"/>
        <w:textAlignment w:val="auto"/>
        <w:outlineLvl w:val="9"/>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四.评审程序</w:t>
      </w:r>
    </w:p>
    <w:p w14:paraId="107EC470">
      <w:pPr>
        <w:pStyle w:val="28"/>
        <w:keepNext w:val="0"/>
        <w:keepLines w:val="0"/>
        <w:pageBreakBefore w:val="0"/>
        <w:widowControl w:val="0"/>
        <w:shd w:val="clear"/>
        <w:kinsoku/>
        <w:wordWrap/>
        <w:overflowPunct/>
        <w:topLinePunct w:val="0"/>
        <w:autoSpaceDE/>
        <w:autoSpaceDN/>
        <w:bidi w:val="0"/>
        <w:adjustRightInd/>
        <w:spacing w:line="360" w:lineRule="auto"/>
        <w:ind w:firstLine="473"/>
        <w:textAlignment w:val="auto"/>
        <w:outlineLvl w:val="9"/>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详见第三章供应商须知 五、评审</w:t>
      </w:r>
      <w:r>
        <w:rPr>
          <w:rFonts w:hint="eastAsia" w:asciiTheme="majorEastAsia" w:hAnsiTheme="majorEastAsia" w:eastAsiaTheme="majorEastAsia"/>
          <w:b w:val="0"/>
          <w:bCs w:val="0"/>
          <w:color w:val="auto"/>
          <w:sz w:val="21"/>
          <w:szCs w:val="21"/>
          <w:highlight w:val="none"/>
        </w:rPr>
        <w:t>。</w:t>
      </w:r>
    </w:p>
    <w:p w14:paraId="354A0CF9">
      <w:pPr>
        <w:keepNext w:val="0"/>
        <w:keepLines w:val="0"/>
        <w:pageBreakBefore w:val="0"/>
        <w:widowControl w:val="0"/>
        <w:numPr>
          <w:ilvl w:val="0"/>
          <w:numId w:val="7"/>
        </w:numPr>
        <w:shd w:val="clear"/>
        <w:kinsoku/>
        <w:wordWrap/>
        <w:overflowPunct/>
        <w:topLinePunct w:val="0"/>
        <w:autoSpaceDE/>
        <w:autoSpaceDN/>
        <w:bidi w:val="0"/>
        <w:adjustRightInd/>
        <w:spacing w:before="240" w:line="360" w:lineRule="auto"/>
        <w:textAlignment w:val="auto"/>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评分标准</w:t>
      </w:r>
    </w:p>
    <w:tbl>
      <w:tblPr>
        <w:tblStyle w:val="4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391"/>
        <w:gridCol w:w="6605"/>
        <w:gridCol w:w="742"/>
      </w:tblGrid>
      <w:tr w14:paraId="6BEC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12" w:type="dxa"/>
            <w:gridSpan w:val="3"/>
            <w:tcBorders>
              <w:top w:val="single" w:color="auto" w:sz="4" w:space="0"/>
              <w:left w:val="single" w:color="auto" w:sz="4" w:space="0"/>
              <w:right w:val="single" w:color="auto" w:sz="2" w:space="0"/>
            </w:tcBorders>
            <w:tcMar>
              <w:left w:w="28" w:type="dxa"/>
              <w:right w:w="28" w:type="dxa"/>
            </w:tcMar>
            <w:vAlign w:val="center"/>
          </w:tcPr>
          <w:p w14:paraId="181240F6">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742" w:type="dxa"/>
            <w:tcBorders>
              <w:top w:val="single" w:color="auto" w:sz="4" w:space="0"/>
              <w:left w:val="single" w:color="auto" w:sz="2" w:space="0"/>
              <w:right w:val="single" w:color="auto" w:sz="2" w:space="0"/>
            </w:tcBorders>
            <w:vAlign w:val="center"/>
          </w:tcPr>
          <w:p w14:paraId="5AF79AD0">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14:paraId="665B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6" w:type="dxa"/>
            <w:vMerge w:val="restart"/>
            <w:tcBorders>
              <w:top w:val="single" w:color="auto" w:sz="4" w:space="0"/>
              <w:left w:val="single" w:color="auto" w:sz="4" w:space="0"/>
              <w:right w:val="single" w:color="auto" w:sz="2" w:space="0"/>
            </w:tcBorders>
            <w:tcMar>
              <w:left w:w="28" w:type="dxa"/>
              <w:right w:w="28" w:type="dxa"/>
            </w:tcMar>
            <w:textDirection w:val="tbRlV"/>
            <w:vAlign w:val="center"/>
          </w:tcPr>
          <w:p w14:paraId="197F483F">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技术商务分85分</w:t>
            </w:r>
          </w:p>
        </w:tc>
        <w:tc>
          <w:tcPr>
            <w:tcW w:w="1391" w:type="dxa"/>
            <w:tcBorders>
              <w:top w:val="single" w:color="auto" w:sz="4" w:space="0"/>
              <w:left w:val="single" w:color="auto" w:sz="2" w:space="0"/>
              <w:right w:val="single" w:color="auto" w:sz="2" w:space="0"/>
            </w:tcBorders>
            <w:vAlign w:val="center"/>
          </w:tcPr>
          <w:p w14:paraId="4C7017A7">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w:t>
            </w:r>
          </w:p>
          <w:p w14:paraId="4869984E">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求响应</w:t>
            </w:r>
          </w:p>
          <w:p w14:paraId="29C82EFD">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（4.5分）</w:t>
            </w:r>
          </w:p>
        </w:tc>
        <w:tc>
          <w:tcPr>
            <w:tcW w:w="6605" w:type="dxa"/>
            <w:tcBorders>
              <w:top w:val="single" w:color="auto" w:sz="4" w:space="0"/>
              <w:left w:val="single" w:color="auto" w:sz="2" w:space="0"/>
              <w:bottom w:val="single" w:color="auto" w:sz="2" w:space="0"/>
              <w:right w:val="single" w:color="auto" w:sz="2" w:space="0"/>
            </w:tcBorders>
            <w:vAlign w:val="center"/>
          </w:tcPr>
          <w:p w14:paraId="5E78C51E">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根据采购文件“第</w:t>
            </w: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val="zh-CN"/>
              </w:rPr>
              <w:t xml:space="preserve">章 </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zh-CN"/>
              </w:rPr>
              <w:t>需求”内容，投标人对项目要求响应情况进行</w:t>
            </w:r>
            <w:r>
              <w:rPr>
                <w:rFonts w:hint="eastAsia" w:ascii="宋体" w:hAnsi="宋体" w:eastAsia="宋体" w:cs="宋体"/>
                <w:color w:val="auto"/>
                <w:sz w:val="21"/>
                <w:szCs w:val="21"/>
                <w:highlight w:val="none"/>
              </w:rPr>
              <w:t>评议：全部满足采购文件需求内容的得4.5分，每负偏离一项扣1.5分，</w:t>
            </w:r>
            <w:r>
              <w:rPr>
                <w:rFonts w:hint="eastAsia" w:ascii="宋体" w:hAnsi="宋体" w:eastAsia="宋体" w:cs="宋体"/>
                <w:b/>
                <w:bCs/>
                <w:color w:val="auto"/>
                <w:sz w:val="21"/>
                <w:szCs w:val="21"/>
                <w:highlight w:val="none"/>
              </w:rPr>
              <w:t>当有供应商此项分值扣减至0分时，该供应商投标将被拒绝，其投标文件作无效标处理，不再进行评审。</w:t>
            </w:r>
          </w:p>
        </w:tc>
        <w:tc>
          <w:tcPr>
            <w:tcW w:w="742" w:type="dxa"/>
            <w:tcBorders>
              <w:top w:val="single" w:color="auto" w:sz="4" w:space="0"/>
              <w:left w:val="single" w:color="auto" w:sz="2" w:space="0"/>
              <w:right w:val="single" w:color="auto" w:sz="2" w:space="0"/>
            </w:tcBorders>
            <w:vAlign w:val="center"/>
          </w:tcPr>
          <w:p w14:paraId="3241FECD">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r>
      <w:tr w14:paraId="422F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6" w:type="dxa"/>
            <w:vMerge w:val="continue"/>
            <w:tcBorders>
              <w:left w:val="single" w:color="auto" w:sz="4" w:space="0"/>
              <w:right w:val="single" w:color="auto" w:sz="2" w:space="0"/>
            </w:tcBorders>
            <w:tcMar>
              <w:left w:w="28" w:type="dxa"/>
              <w:right w:w="28" w:type="dxa"/>
            </w:tcMar>
            <w:textDirection w:val="tbRlV"/>
            <w:vAlign w:val="center"/>
          </w:tcPr>
          <w:p w14:paraId="4586292F">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p>
        </w:tc>
        <w:tc>
          <w:tcPr>
            <w:tcW w:w="1391" w:type="dxa"/>
            <w:vMerge w:val="restart"/>
            <w:tcBorders>
              <w:top w:val="single" w:color="auto" w:sz="4" w:space="0"/>
              <w:left w:val="single" w:color="auto" w:sz="2" w:space="0"/>
              <w:right w:val="single" w:color="auto" w:sz="2" w:space="0"/>
            </w:tcBorders>
            <w:vAlign w:val="center"/>
          </w:tcPr>
          <w:p w14:paraId="63318FC4">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w:t>
            </w:r>
          </w:p>
          <w:p w14:paraId="2D96AC59">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术方案</w:t>
            </w:r>
          </w:p>
          <w:p w14:paraId="1FB94F7D">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6605" w:type="dxa"/>
            <w:tcBorders>
              <w:top w:val="single" w:color="auto" w:sz="4" w:space="0"/>
              <w:left w:val="single" w:color="auto" w:sz="2" w:space="0"/>
              <w:bottom w:val="single" w:color="auto" w:sz="2" w:space="0"/>
              <w:right w:val="single" w:color="auto" w:sz="2" w:space="0"/>
            </w:tcBorders>
            <w:vAlign w:val="center"/>
          </w:tcPr>
          <w:p w14:paraId="62FB3FDD">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（1）根据投标人</w:t>
            </w:r>
            <w:r>
              <w:rPr>
                <w:rFonts w:hint="eastAsia" w:ascii="宋体" w:hAnsi="宋体" w:eastAsia="宋体" w:cs="宋体"/>
                <w:color w:val="auto"/>
                <w:kern w:val="0"/>
                <w:sz w:val="21"/>
                <w:szCs w:val="21"/>
                <w:highlight w:val="none"/>
              </w:rPr>
              <w:t>对项目背景的理解以及对</w:t>
            </w:r>
            <w:r>
              <w:rPr>
                <w:rFonts w:hint="eastAsia" w:ascii="宋体" w:hAnsi="宋体" w:eastAsia="宋体" w:cs="宋体"/>
                <w:color w:val="auto"/>
                <w:sz w:val="21"/>
                <w:szCs w:val="21"/>
                <w:highlight w:val="none"/>
              </w:rPr>
              <w:t>耕地保护和粮食安全责任制考核</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“多田套合”农用地布局优化和临时用地复垦验收</w:t>
            </w:r>
            <w:r>
              <w:rPr>
                <w:rFonts w:hint="eastAsia" w:ascii="宋体" w:hAnsi="宋体" w:eastAsia="宋体" w:cs="宋体"/>
                <w:color w:val="auto"/>
                <w:kern w:val="0"/>
                <w:sz w:val="21"/>
                <w:szCs w:val="21"/>
                <w:highlight w:val="none"/>
              </w:rPr>
              <w:t>相关政策解读的理解进行综合评议</w:t>
            </w:r>
          </w:p>
          <w:p w14:paraId="6CEB8397">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对项目背景及相关政策解读理解透彻得6分；</w:t>
            </w:r>
          </w:p>
          <w:p w14:paraId="1215D611">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对项目背景及相关政策解读理解较透彻得4分；</w:t>
            </w:r>
          </w:p>
          <w:p w14:paraId="1C4B5654">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对项目背景及相关政策解读理解一般得2分；</w:t>
            </w:r>
          </w:p>
          <w:p w14:paraId="2F76ABE7">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未提供不得分。</w:t>
            </w:r>
          </w:p>
        </w:tc>
        <w:tc>
          <w:tcPr>
            <w:tcW w:w="742" w:type="dxa"/>
            <w:tcBorders>
              <w:top w:val="single" w:color="auto" w:sz="4" w:space="0"/>
              <w:left w:val="single" w:color="auto" w:sz="2" w:space="0"/>
              <w:right w:val="single" w:color="auto" w:sz="2" w:space="0"/>
            </w:tcBorders>
            <w:vAlign w:val="center"/>
          </w:tcPr>
          <w:p w14:paraId="53D374AB">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14:paraId="3F17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6" w:type="dxa"/>
            <w:vMerge w:val="continue"/>
            <w:tcBorders>
              <w:left w:val="single" w:color="auto" w:sz="4" w:space="0"/>
              <w:right w:val="single" w:color="auto" w:sz="2" w:space="0"/>
            </w:tcBorders>
            <w:tcMar>
              <w:left w:w="28" w:type="dxa"/>
              <w:right w:w="28" w:type="dxa"/>
            </w:tcMar>
            <w:textDirection w:val="tbRlV"/>
            <w:vAlign w:val="center"/>
          </w:tcPr>
          <w:p w14:paraId="63664DE2">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p>
        </w:tc>
        <w:tc>
          <w:tcPr>
            <w:tcW w:w="1391" w:type="dxa"/>
            <w:vMerge w:val="continue"/>
            <w:tcBorders>
              <w:left w:val="single" w:color="auto" w:sz="2" w:space="0"/>
              <w:right w:val="single" w:color="auto" w:sz="2" w:space="0"/>
            </w:tcBorders>
            <w:vAlign w:val="center"/>
          </w:tcPr>
          <w:p w14:paraId="6FD14D86">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p>
        </w:tc>
        <w:tc>
          <w:tcPr>
            <w:tcW w:w="6605" w:type="dxa"/>
            <w:tcBorders>
              <w:top w:val="single" w:color="auto" w:sz="4" w:space="0"/>
              <w:left w:val="single" w:color="auto" w:sz="2" w:space="0"/>
              <w:right w:val="single" w:color="auto" w:sz="2" w:space="0"/>
            </w:tcBorders>
            <w:vAlign w:val="center"/>
          </w:tcPr>
          <w:p w14:paraId="704AD519">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（2）对项目技术路线的合理性、科学性进行综合评议。</w:t>
            </w:r>
          </w:p>
          <w:p w14:paraId="038D0883">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技术路线科学合理切实可行的得6分；</w:t>
            </w:r>
          </w:p>
          <w:p w14:paraId="5F83BD64">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技术路线较科学合理、基本可行的得4分；</w:t>
            </w:r>
          </w:p>
          <w:p w14:paraId="2317AE9D">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技术路线不够科学合理、缺乏可行性的得2分；</w:t>
            </w:r>
          </w:p>
          <w:p w14:paraId="6A449073">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未提供不得分。</w:t>
            </w:r>
          </w:p>
        </w:tc>
        <w:tc>
          <w:tcPr>
            <w:tcW w:w="742" w:type="dxa"/>
            <w:tcBorders>
              <w:left w:val="single" w:color="auto" w:sz="2" w:space="0"/>
              <w:right w:val="single" w:color="auto" w:sz="2" w:space="0"/>
            </w:tcBorders>
            <w:vAlign w:val="center"/>
          </w:tcPr>
          <w:p w14:paraId="4287969C">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14:paraId="66A3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6" w:type="dxa"/>
            <w:vMerge w:val="continue"/>
            <w:tcBorders>
              <w:left w:val="single" w:color="auto" w:sz="4" w:space="0"/>
              <w:right w:val="single" w:color="auto" w:sz="2" w:space="0"/>
            </w:tcBorders>
            <w:tcMar>
              <w:left w:w="28" w:type="dxa"/>
              <w:right w:w="28" w:type="dxa"/>
            </w:tcMar>
            <w:textDirection w:val="tbRlV"/>
            <w:vAlign w:val="center"/>
          </w:tcPr>
          <w:p w14:paraId="18FF89E2">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p>
        </w:tc>
        <w:tc>
          <w:tcPr>
            <w:tcW w:w="1391" w:type="dxa"/>
            <w:vMerge w:val="continue"/>
            <w:tcBorders>
              <w:left w:val="single" w:color="auto" w:sz="2" w:space="0"/>
              <w:right w:val="single" w:color="auto" w:sz="2" w:space="0"/>
            </w:tcBorders>
            <w:vAlign w:val="center"/>
          </w:tcPr>
          <w:p w14:paraId="5B80360D">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p>
        </w:tc>
        <w:tc>
          <w:tcPr>
            <w:tcW w:w="6605" w:type="dxa"/>
            <w:tcBorders>
              <w:left w:val="single" w:color="auto" w:sz="2" w:space="0"/>
              <w:bottom w:val="single" w:color="auto" w:sz="4" w:space="0"/>
              <w:right w:val="single" w:color="auto" w:sz="2" w:space="0"/>
            </w:tcBorders>
            <w:vAlign w:val="center"/>
          </w:tcPr>
          <w:p w14:paraId="70B9518F">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（3）对项目技术方案实施重点难点情况分析的合理性、科学性进行综合评议。</w:t>
            </w:r>
          </w:p>
          <w:p w14:paraId="4D42CFFD">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重点难点情况分析全面、科学、合理的得6分；</w:t>
            </w:r>
          </w:p>
          <w:p w14:paraId="1C093AEA">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重点难点情况分析基本全面、较科学合理的得4分；</w:t>
            </w:r>
          </w:p>
          <w:p w14:paraId="6BF40FBD">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重点难点情况分析不全面、不够科学合理的得2分；</w:t>
            </w:r>
          </w:p>
          <w:p w14:paraId="320CD6F2">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未提供不得分。</w:t>
            </w:r>
          </w:p>
        </w:tc>
        <w:tc>
          <w:tcPr>
            <w:tcW w:w="742" w:type="dxa"/>
            <w:tcBorders>
              <w:left w:val="single" w:color="auto" w:sz="2" w:space="0"/>
              <w:bottom w:val="single" w:color="auto" w:sz="4" w:space="0"/>
              <w:right w:val="single" w:color="auto" w:sz="2" w:space="0"/>
            </w:tcBorders>
            <w:vAlign w:val="center"/>
          </w:tcPr>
          <w:p w14:paraId="726F898E">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14:paraId="7716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6" w:type="dxa"/>
            <w:vMerge w:val="continue"/>
            <w:tcBorders>
              <w:left w:val="single" w:color="auto" w:sz="4" w:space="0"/>
              <w:right w:val="single" w:color="auto" w:sz="2" w:space="0"/>
            </w:tcBorders>
            <w:tcMar>
              <w:left w:w="28" w:type="dxa"/>
              <w:right w:w="28" w:type="dxa"/>
            </w:tcMar>
            <w:textDirection w:val="tbRlV"/>
            <w:vAlign w:val="center"/>
          </w:tcPr>
          <w:p w14:paraId="2896E6DC">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p>
        </w:tc>
        <w:tc>
          <w:tcPr>
            <w:tcW w:w="1391" w:type="dxa"/>
            <w:vMerge w:val="continue"/>
            <w:tcBorders>
              <w:left w:val="single" w:color="auto" w:sz="2" w:space="0"/>
              <w:right w:val="single" w:color="auto" w:sz="2" w:space="0"/>
            </w:tcBorders>
            <w:vAlign w:val="center"/>
          </w:tcPr>
          <w:p w14:paraId="3F363CA6">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p>
        </w:tc>
        <w:tc>
          <w:tcPr>
            <w:tcW w:w="6605" w:type="dxa"/>
            <w:tcBorders>
              <w:left w:val="single" w:color="auto" w:sz="2" w:space="0"/>
              <w:bottom w:val="single" w:color="auto" w:sz="4" w:space="0"/>
              <w:right w:val="single" w:color="auto" w:sz="2" w:space="0"/>
            </w:tcBorders>
            <w:vAlign w:val="center"/>
          </w:tcPr>
          <w:p w14:paraId="57890B5F">
            <w:pPr>
              <w:pageBreakBefore w:val="0"/>
              <w:widowControl w:val="0"/>
              <w:kinsoku/>
              <w:wordWrap/>
              <w:overflowPunct/>
              <w:topLinePunct w:val="0"/>
              <w:autoSpaceDE/>
              <w:autoSpaceDN/>
              <w:bidi w:val="0"/>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（4）针对实施重点难点提出针对性的解决方法及措施的合理性、科学性等进行综合评议。</w:t>
            </w:r>
          </w:p>
          <w:p w14:paraId="44D74F84">
            <w:pPr>
              <w:pageBreakBefore w:val="0"/>
              <w:widowControl w:val="0"/>
              <w:kinsoku/>
              <w:wordWrap/>
              <w:overflowPunct/>
              <w:topLinePunct w:val="0"/>
              <w:autoSpaceDE/>
              <w:autoSpaceDN/>
              <w:bidi w:val="0"/>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针对重难点提出的解决措施合理、有效可行的得</w:t>
            </w:r>
            <w:r>
              <w:rPr>
                <w:rFonts w:hint="eastAsia" w:ascii="宋体" w:hAnsi="宋体" w:eastAsia="宋体" w:cs="宋体"/>
                <w:color w:val="auto"/>
                <w:sz w:val="21"/>
                <w:szCs w:val="21"/>
                <w:highlight w:val="none"/>
              </w:rPr>
              <w:t>的得6分</w:t>
            </w:r>
            <w:r>
              <w:rPr>
                <w:rFonts w:hint="eastAsia" w:ascii="宋体" w:hAnsi="宋体" w:eastAsia="宋体" w:cs="宋体"/>
                <w:bCs/>
                <w:color w:val="auto"/>
                <w:kern w:val="0"/>
                <w:sz w:val="21"/>
                <w:szCs w:val="21"/>
                <w:highlight w:val="none"/>
              </w:rPr>
              <w:t>；</w:t>
            </w:r>
          </w:p>
          <w:p w14:paraId="742B4027">
            <w:pPr>
              <w:pageBreakBefore w:val="0"/>
              <w:widowControl w:val="0"/>
              <w:kinsoku/>
              <w:wordWrap/>
              <w:overflowPunct/>
              <w:topLinePunct w:val="0"/>
              <w:autoSpaceDE/>
              <w:autoSpaceDN/>
              <w:bidi w:val="0"/>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针对重难点提出的解决措施在细节上略有欠缺的得</w:t>
            </w:r>
            <w:r>
              <w:rPr>
                <w:rFonts w:hint="eastAsia" w:ascii="宋体" w:hAnsi="宋体" w:eastAsia="宋体" w:cs="宋体"/>
                <w:color w:val="auto"/>
                <w:sz w:val="21"/>
                <w:szCs w:val="21"/>
                <w:highlight w:val="none"/>
              </w:rPr>
              <w:t>4分</w:t>
            </w:r>
            <w:r>
              <w:rPr>
                <w:rFonts w:hint="eastAsia" w:ascii="宋体" w:hAnsi="宋体" w:eastAsia="宋体" w:cs="宋体"/>
                <w:bCs/>
                <w:color w:val="auto"/>
                <w:kern w:val="0"/>
                <w:sz w:val="21"/>
                <w:szCs w:val="21"/>
                <w:highlight w:val="none"/>
              </w:rPr>
              <w:t>；</w:t>
            </w:r>
          </w:p>
          <w:p w14:paraId="4039A89B">
            <w:pPr>
              <w:pageBreakBefore w:val="0"/>
              <w:widowControl w:val="0"/>
              <w:kinsoku/>
              <w:wordWrap/>
              <w:overflowPunct/>
              <w:topLinePunct w:val="0"/>
              <w:autoSpaceDE/>
              <w:autoSpaceDN/>
              <w:bidi w:val="0"/>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针对重难点提出的解决措施缺乏针对性和可行性的得</w:t>
            </w:r>
            <w:r>
              <w:rPr>
                <w:rFonts w:hint="eastAsia" w:ascii="宋体" w:hAnsi="宋体" w:eastAsia="宋体" w:cs="宋体"/>
                <w:color w:val="auto"/>
                <w:sz w:val="21"/>
                <w:szCs w:val="21"/>
                <w:highlight w:val="none"/>
              </w:rPr>
              <w:t>2分</w:t>
            </w:r>
            <w:r>
              <w:rPr>
                <w:rFonts w:hint="eastAsia" w:ascii="宋体" w:hAnsi="宋体" w:eastAsia="宋体" w:cs="宋体"/>
                <w:bCs/>
                <w:color w:val="auto"/>
                <w:kern w:val="0"/>
                <w:sz w:val="21"/>
                <w:szCs w:val="21"/>
                <w:highlight w:val="none"/>
              </w:rPr>
              <w:t>；</w:t>
            </w:r>
          </w:p>
          <w:p w14:paraId="2D9FEE14">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未提供不得分。</w:t>
            </w:r>
          </w:p>
        </w:tc>
        <w:tc>
          <w:tcPr>
            <w:tcW w:w="742" w:type="dxa"/>
            <w:tcBorders>
              <w:left w:val="single" w:color="auto" w:sz="2" w:space="0"/>
              <w:bottom w:val="single" w:color="auto" w:sz="4" w:space="0"/>
              <w:right w:val="single" w:color="auto" w:sz="2" w:space="0"/>
            </w:tcBorders>
            <w:vAlign w:val="center"/>
          </w:tcPr>
          <w:p w14:paraId="3F8E30EE">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14:paraId="1187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6" w:type="dxa"/>
            <w:vMerge w:val="continue"/>
            <w:tcBorders>
              <w:left w:val="single" w:color="auto" w:sz="4" w:space="0"/>
              <w:right w:val="single" w:color="auto" w:sz="2" w:space="0"/>
            </w:tcBorders>
            <w:tcMar>
              <w:left w:w="28" w:type="dxa"/>
              <w:right w:w="28" w:type="dxa"/>
            </w:tcMar>
            <w:textDirection w:val="tbRlV"/>
            <w:vAlign w:val="center"/>
          </w:tcPr>
          <w:p w14:paraId="63205BF0">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p>
        </w:tc>
        <w:tc>
          <w:tcPr>
            <w:tcW w:w="1391" w:type="dxa"/>
            <w:vMerge w:val="continue"/>
            <w:tcBorders>
              <w:left w:val="single" w:color="auto" w:sz="2" w:space="0"/>
              <w:right w:val="single" w:color="auto" w:sz="2" w:space="0"/>
            </w:tcBorders>
            <w:vAlign w:val="center"/>
          </w:tcPr>
          <w:p w14:paraId="0A2CC498">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p>
        </w:tc>
        <w:tc>
          <w:tcPr>
            <w:tcW w:w="6605" w:type="dxa"/>
            <w:tcBorders>
              <w:left w:val="single" w:color="auto" w:sz="2" w:space="0"/>
              <w:bottom w:val="single" w:color="auto" w:sz="4" w:space="0"/>
              <w:right w:val="single" w:color="auto" w:sz="2" w:space="0"/>
            </w:tcBorders>
            <w:vAlign w:val="center"/>
          </w:tcPr>
          <w:p w14:paraId="0F2E0894">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（5）对技术方案提出的计划进度和时间安排的科学性、合理性进行综合评议。</w:t>
            </w:r>
          </w:p>
          <w:p w14:paraId="0BAFE449">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计划进度清晰详细、时间安排合理的得6分；</w:t>
            </w:r>
          </w:p>
          <w:p w14:paraId="399091F6">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计划进度较清晰详细、时间安排基本合理的得4分；</w:t>
            </w:r>
          </w:p>
          <w:p w14:paraId="051BAD56">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计划进度不清晰详细、时间安排不合理的得2分；</w:t>
            </w:r>
          </w:p>
          <w:p w14:paraId="5C00D52F">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未提供不得分。</w:t>
            </w:r>
          </w:p>
        </w:tc>
        <w:tc>
          <w:tcPr>
            <w:tcW w:w="742" w:type="dxa"/>
            <w:tcBorders>
              <w:left w:val="single" w:color="auto" w:sz="2" w:space="0"/>
              <w:bottom w:val="single" w:color="auto" w:sz="4" w:space="0"/>
              <w:right w:val="single" w:color="auto" w:sz="2" w:space="0"/>
            </w:tcBorders>
            <w:vAlign w:val="center"/>
          </w:tcPr>
          <w:p w14:paraId="4F9EA619">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14:paraId="6D85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6" w:type="dxa"/>
            <w:vMerge w:val="continue"/>
            <w:tcBorders>
              <w:left w:val="single" w:color="auto" w:sz="4" w:space="0"/>
              <w:right w:val="single" w:color="auto" w:sz="2" w:space="0"/>
            </w:tcBorders>
            <w:tcMar>
              <w:left w:w="28" w:type="dxa"/>
              <w:right w:w="28" w:type="dxa"/>
            </w:tcMar>
            <w:textDirection w:val="tbRlV"/>
            <w:vAlign w:val="center"/>
          </w:tcPr>
          <w:p w14:paraId="00403971">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p>
        </w:tc>
        <w:tc>
          <w:tcPr>
            <w:tcW w:w="1391" w:type="dxa"/>
            <w:vMerge w:val="restart"/>
            <w:tcBorders>
              <w:left w:val="single" w:color="auto" w:sz="2" w:space="0"/>
              <w:right w:val="single" w:color="auto" w:sz="2" w:space="0"/>
            </w:tcBorders>
            <w:vAlign w:val="center"/>
          </w:tcPr>
          <w:p w14:paraId="3EB687C4">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项目专</w:t>
            </w:r>
          </w:p>
          <w:p w14:paraId="1D36C99A">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业能力</w:t>
            </w:r>
          </w:p>
          <w:p w14:paraId="02F95876">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6605" w:type="dxa"/>
            <w:tcBorders>
              <w:top w:val="single" w:color="auto" w:sz="4" w:space="0"/>
              <w:left w:val="single" w:color="auto" w:sz="2" w:space="0"/>
              <w:right w:val="single" w:color="auto" w:sz="2" w:space="0"/>
            </w:tcBorders>
            <w:vAlign w:val="center"/>
          </w:tcPr>
          <w:p w14:paraId="6CA4121A">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（1）根据投标人提供的耕地保护和粮食安全责任制考核</w:t>
            </w:r>
            <w:r>
              <w:rPr>
                <w:rFonts w:hint="eastAsia" w:ascii="宋体" w:hAnsi="宋体" w:eastAsia="宋体" w:cs="宋体"/>
                <w:color w:val="auto"/>
                <w:kern w:val="0"/>
                <w:sz w:val="21"/>
                <w:szCs w:val="21"/>
                <w:highlight w:val="none"/>
              </w:rPr>
              <w:t>工作</w:t>
            </w:r>
            <w:r>
              <w:rPr>
                <w:rFonts w:hint="eastAsia" w:ascii="宋体" w:hAnsi="宋体" w:eastAsia="宋体" w:cs="宋体"/>
                <w:color w:val="auto"/>
                <w:sz w:val="21"/>
                <w:szCs w:val="21"/>
                <w:highlight w:val="none"/>
              </w:rPr>
              <w:t>技术方案的完整性、能否满足采购人需求情况进行综合评议。</w:t>
            </w:r>
          </w:p>
          <w:p w14:paraId="11D1CC57">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方案详细完整，能够满足采购人需求的得5分；</w:t>
            </w:r>
          </w:p>
          <w:p w14:paraId="5A0F6E3B">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方案较详细完整，基本能满足采购人需求的得3分；</w:t>
            </w:r>
          </w:p>
          <w:p w14:paraId="4275DED4">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方案粗糙不全，不能满足采购人需求的得1分；</w:t>
            </w:r>
          </w:p>
          <w:p w14:paraId="509D5524">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未提供不得分。</w:t>
            </w:r>
          </w:p>
        </w:tc>
        <w:tc>
          <w:tcPr>
            <w:tcW w:w="742" w:type="dxa"/>
            <w:tcBorders>
              <w:left w:val="single" w:color="auto" w:sz="2" w:space="0"/>
              <w:right w:val="single" w:color="auto" w:sz="2" w:space="0"/>
            </w:tcBorders>
            <w:vAlign w:val="center"/>
          </w:tcPr>
          <w:p w14:paraId="13E1107F">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69E6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6" w:type="dxa"/>
            <w:vMerge w:val="continue"/>
            <w:tcBorders>
              <w:left w:val="single" w:color="auto" w:sz="4" w:space="0"/>
              <w:right w:val="single" w:color="auto" w:sz="2" w:space="0"/>
            </w:tcBorders>
            <w:tcMar>
              <w:left w:w="28" w:type="dxa"/>
              <w:right w:w="28" w:type="dxa"/>
            </w:tcMar>
            <w:textDirection w:val="tbRlV"/>
            <w:vAlign w:val="center"/>
          </w:tcPr>
          <w:p w14:paraId="322A850A">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p>
        </w:tc>
        <w:tc>
          <w:tcPr>
            <w:tcW w:w="1391" w:type="dxa"/>
            <w:vMerge w:val="continue"/>
            <w:tcBorders>
              <w:left w:val="single" w:color="auto" w:sz="2" w:space="0"/>
              <w:right w:val="single" w:color="auto" w:sz="2" w:space="0"/>
            </w:tcBorders>
            <w:vAlign w:val="center"/>
          </w:tcPr>
          <w:p w14:paraId="711F1175">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p>
        </w:tc>
        <w:tc>
          <w:tcPr>
            <w:tcW w:w="6605" w:type="dxa"/>
            <w:tcBorders>
              <w:left w:val="single" w:color="auto" w:sz="2" w:space="0"/>
              <w:bottom w:val="single" w:color="auto" w:sz="4" w:space="0"/>
              <w:right w:val="single" w:color="auto" w:sz="2" w:space="0"/>
            </w:tcBorders>
            <w:vAlign w:val="center"/>
          </w:tcPr>
          <w:p w14:paraId="5FCC3C7A">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（2）对耕地保护和粮食安全责任制考核采用的技术手段和作业方法的合理性、科学性进行综合评议。</w:t>
            </w:r>
          </w:p>
          <w:p w14:paraId="25760EBD">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技术手段、作业方法科学合理的得5分；</w:t>
            </w:r>
          </w:p>
          <w:p w14:paraId="2A616376">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技术手段、作业方法较科学合理的得3分；</w:t>
            </w:r>
          </w:p>
          <w:p w14:paraId="60C36092">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技术手段、作业方法缺乏科学合理性的得1分；</w:t>
            </w:r>
          </w:p>
          <w:p w14:paraId="65CB7B00">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未提供不得分。</w:t>
            </w:r>
          </w:p>
        </w:tc>
        <w:tc>
          <w:tcPr>
            <w:tcW w:w="742" w:type="dxa"/>
            <w:tcBorders>
              <w:left w:val="single" w:color="auto" w:sz="2" w:space="0"/>
              <w:right w:val="single" w:color="auto" w:sz="2" w:space="0"/>
            </w:tcBorders>
            <w:vAlign w:val="center"/>
          </w:tcPr>
          <w:p w14:paraId="4C4BD425">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2520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6" w:type="dxa"/>
            <w:vMerge w:val="continue"/>
            <w:tcBorders>
              <w:left w:val="single" w:color="auto" w:sz="4" w:space="0"/>
              <w:right w:val="single" w:color="auto" w:sz="2" w:space="0"/>
            </w:tcBorders>
            <w:tcMar>
              <w:left w:w="28" w:type="dxa"/>
              <w:right w:w="28" w:type="dxa"/>
            </w:tcMar>
            <w:textDirection w:val="tbRlV"/>
            <w:vAlign w:val="center"/>
          </w:tcPr>
          <w:p w14:paraId="32DC3049">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p>
        </w:tc>
        <w:tc>
          <w:tcPr>
            <w:tcW w:w="1391" w:type="dxa"/>
            <w:vMerge w:val="restart"/>
            <w:tcBorders>
              <w:top w:val="single" w:color="auto" w:sz="4" w:space="0"/>
              <w:left w:val="single" w:color="auto" w:sz="2" w:space="0"/>
              <w:right w:val="single" w:color="auto" w:sz="2" w:space="0"/>
            </w:tcBorders>
            <w:vAlign w:val="center"/>
          </w:tcPr>
          <w:p w14:paraId="69B22B06">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服务保</w:t>
            </w:r>
          </w:p>
          <w:p w14:paraId="0C5E2FA2">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障能力</w:t>
            </w:r>
          </w:p>
          <w:p w14:paraId="387DAE4B">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6605" w:type="dxa"/>
            <w:tcBorders>
              <w:top w:val="single" w:color="auto" w:sz="4" w:space="0"/>
              <w:left w:val="single" w:color="auto" w:sz="2" w:space="0"/>
              <w:bottom w:val="single" w:color="auto" w:sz="2" w:space="0"/>
              <w:right w:val="single" w:color="auto" w:sz="2" w:space="0"/>
            </w:tcBorders>
            <w:vAlign w:val="center"/>
          </w:tcPr>
          <w:p w14:paraId="290C0E3B">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（1）根据投标人提供的本项目安全保障措施进行综合评议。</w:t>
            </w:r>
          </w:p>
          <w:p w14:paraId="5D3EF139">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安全保障措施全面细致、针对性强的得5分；</w:t>
            </w:r>
          </w:p>
          <w:p w14:paraId="48974309">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安全保障措施较全面细致、具有一定针对性的得3分；</w:t>
            </w:r>
          </w:p>
          <w:p w14:paraId="723750EB">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安全保障措施不够全面细致、缺乏针对性的得1分；</w:t>
            </w:r>
          </w:p>
          <w:p w14:paraId="320D58EB">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未提供不得分。</w:t>
            </w:r>
          </w:p>
        </w:tc>
        <w:tc>
          <w:tcPr>
            <w:tcW w:w="742" w:type="dxa"/>
            <w:tcBorders>
              <w:left w:val="single" w:color="auto" w:sz="2" w:space="0"/>
              <w:right w:val="single" w:color="auto" w:sz="2" w:space="0"/>
            </w:tcBorders>
            <w:vAlign w:val="center"/>
          </w:tcPr>
          <w:p w14:paraId="6287E2BA">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3919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6" w:type="dxa"/>
            <w:vMerge w:val="continue"/>
            <w:tcBorders>
              <w:left w:val="single" w:color="auto" w:sz="4" w:space="0"/>
              <w:right w:val="single" w:color="auto" w:sz="2" w:space="0"/>
            </w:tcBorders>
            <w:tcMar>
              <w:left w:w="28" w:type="dxa"/>
              <w:right w:w="28" w:type="dxa"/>
            </w:tcMar>
            <w:textDirection w:val="tbRlV"/>
            <w:vAlign w:val="center"/>
          </w:tcPr>
          <w:p w14:paraId="5A350EED">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p>
        </w:tc>
        <w:tc>
          <w:tcPr>
            <w:tcW w:w="1391" w:type="dxa"/>
            <w:vMerge w:val="continue"/>
            <w:tcBorders>
              <w:left w:val="single" w:color="auto" w:sz="2" w:space="0"/>
              <w:right w:val="single" w:color="auto" w:sz="2" w:space="0"/>
            </w:tcBorders>
            <w:vAlign w:val="center"/>
          </w:tcPr>
          <w:p w14:paraId="149F25F7">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p>
        </w:tc>
        <w:tc>
          <w:tcPr>
            <w:tcW w:w="6605" w:type="dxa"/>
            <w:tcBorders>
              <w:top w:val="single" w:color="auto" w:sz="4" w:space="0"/>
              <w:left w:val="single" w:color="auto" w:sz="2" w:space="0"/>
              <w:bottom w:val="single" w:color="auto" w:sz="4" w:space="0"/>
              <w:right w:val="single" w:color="auto" w:sz="2" w:space="0"/>
            </w:tcBorders>
            <w:vAlign w:val="center"/>
          </w:tcPr>
          <w:p w14:paraId="5D551B65">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（2）根据投标人提供的保密制度及保密设备进行综合评议分。</w:t>
            </w:r>
          </w:p>
          <w:p w14:paraId="5A5754D5">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保密管理制度完善，对涉密数据的管理、使用、生产、提供各个环节均设有明确的保障措施的得3分；</w:t>
            </w:r>
          </w:p>
          <w:p w14:paraId="396D7382">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保密管理制度较完善，对涉密数据的管理、使用、生产、提供各个环节均有一定保障措施的得2分；</w:t>
            </w:r>
          </w:p>
          <w:p w14:paraId="61FE83CB">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保密管理制度不够完善，对涉密数据的管理、使用、生产、提供各个环节的保障措施不齐全1分；</w:t>
            </w:r>
          </w:p>
          <w:p w14:paraId="22E7D6EF">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有保密机房得1分，有保密机等保密设备得1分；</w:t>
            </w:r>
          </w:p>
          <w:p w14:paraId="59A49B3E">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未提供的不得分，保密机房提供现场照片，保密设备提供相关保密设备清单、采购合同、发票、相关照片等证明资料。</w:t>
            </w:r>
          </w:p>
        </w:tc>
        <w:tc>
          <w:tcPr>
            <w:tcW w:w="742" w:type="dxa"/>
            <w:tcBorders>
              <w:left w:val="single" w:color="auto" w:sz="2" w:space="0"/>
              <w:bottom w:val="single" w:color="auto" w:sz="4" w:space="0"/>
              <w:right w:val="single" w:color="auto" w:sz="2" w:space="0"/>
            </w:tcBorders>
            <w:vAlign w:val="center"/>
          </w:tcPr>
          <w:p w14:paraId="0756DD46">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2B64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6" w:type="dxa"/>
            <w:vMerge w:val="continue"/>
            <w:tcBorders>
              <w:left w:val="single" w:color="auto" w:sz="4" w:space="0"/>
              <w:right w:val="single" w:color="auto" w:sz="2" w:space="0"/>
            </w:tcBorders>
            <w:tcMar>
              <w:left w:w="28" w:type="dxa"/>
              <w:right w:w="28" w:type="dxa"/>
            </w:tcMar>
            <w:textDirection w:val="tbRlV"/>
            <w:vAlign w:val="center"/>
          </w:tcPr>
          <w:p w14:paraId="1C54040F">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p>
        </w:tc>
        <w:tc>
          <w:tcPr>
            <w:tcW w:w="1391" w:type="dxa"/>
            <w:vMerge w:val="continue"/>
            <w:tcBorders>
              <w:left w:val="single" w:color="auto" w:sz="2" w:space="0"/>
              <w:right w:val="single" w:color="auto" w:sz="2" w:space="0"/>
            </w:tcBorders>
            <w:vAlign w:val="center"/>
          </w:tcPr>
          <w:p w14:paraId="44F7027C">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p>
        </w:tc>
        <w:tc>
          <w:tcPr>
            <w:tcW w:w="6605" w:type="dxa"/>
            <w:tcBorders>
              <w:top w:val="single" w:color="auto" w:sz="4" w:space="0"/>
              <w:left w:val="single" w:color="auto" w:sz="2" w:space="0"/>
              <w:bottom w:val="single" w:color="auto" w:sz="4" w:space="0"/>
              <w:right w:val="single" w:color="auto" w:sz="2" w:space="0"/>
            </w:tcBorders>
            <w:vAlign w:val="center"/>
          </w:tcPr>
          <w:p w14:paraId="5FB22AC9">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（3）对本项目应急保障方案的科学性、合理性进行综合评议。</w:t>
            </w:r>
          </w:p>
          <w:p w14:paraId="2F822D2D">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方案内容详实，条理清晰可行性高的得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FEF9A3F">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方案内容较为详实，可行性较高的得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CA559E9">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方案内容有不足之处，可行性一般的，得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6B866E3E">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未提供不得分。</w:t>
            </w:r>
          </w:p>
        </w:tc>
        <w:tc>
          <w:tcPr>
            <w:tcW w:w="742" w:type="dxa"/>
            <w:tcBorders>
              <w:left w:val="single" w:color="auto" w:sz="2" w:space="0"/>
              <w:bottom w:val="single" w:color="auto" w:sz="4" w:space="0"/>
              <w:right w:val="single" w:color="auto" w:sz="2" w:space="0"/>
            </w:tcBorders>
            <w:vAlign w:val="center"/>
          </w:tcPr>
          <w:p w14:paraId="48F17B75">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71E2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6" w:type="dxa"/>
            <w:vMerge w:val="continue"/>
            <w:tcBorders>
              <w:left w:val="single" w:color="auto" w:sz="4" w:space="0"/>
              <w:right w:val="single" w:color="auto" w:sz="2" w:space="0"/>
            </w:tcBorders>
            <w:tcMar>
              <w:left w:w="28" w:type="dxa"/>
              <w:right w:w="28" w:type="dxa"/>
            </w:tcMar>
            <w:textDirection w:val="tbRlV"/>
            <w:vAlign w:val="center"/>
          </w:tcPr>
          <w:p w14:paraId="296E2F21">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p>
        </w:tc>
        <w:tc>
          <w:tcPr>
            <w:tcW w:w="1391" w:type="dxa"/>
            <w:tcBorders>
              <w:top w:val="single" w:color="auto" w:sz="4" w:space="0"/>
              <w:left w:val="single" w:color="auto" w:sz="2" w:space="0"/>
              <w:right w:val="single" w:color="auto" w:sz="2" w:space="0"/>
            </w:tcBorders>
            <w:vAlign w:val="center"/>
          </w:tcPr>
          <w:p w14:paraId="565A7556">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项目人</w:t>
            </w:r>
          </w:p>
          <w:p w14:paraId="7B8689BD">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员配备</w:t>
            </w:r>
          </w:p>
          <w:p w14:paraId="70CEF470">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（14分）</w:t>
            </w:r>
          </w:p>
        </w:tc>
        <w:tc>
          <w:tcPr>
            <w:tcW w:w="6605" w:type="dxa"/>
            <w:tcBorders>
              <w:top w:val="single" w:color="auto" w:sz="4" w:space="0"/>
              <w:left w:val="single" w:color="auto" w:sz="2" w:space="0"/>
              <w:bottom w:val="single" w:color="auto" w:sz="2" w:space="0"/>
              <w:right w:val="single" w:color="auto" w:sz="2" w:space="0"/>
            </w:tcBorders>
            <w:vAlign w:val="center"/>
          </w:tcPr>
          <w:p w14:paraId="170F2D83">
            <w:pPr>
              <w:pageBreakBefore w:val="0"/>
              <w:widowControl w:val="0"/>
              <w:tabs>
                <w:tab w:val="left" w:pos="4954"/>
              </w:tabs>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（1）拟派项目负责人具有测绘类正高级工程师证书得3分，具有测绘类高级工程师证书的得2分，具有测绘类工程师证书的得1分；</w:t>
            </w:r>
          </w:p>
          <w:p w14:paraId="2AFBCB1E">
            <w:pPr>
              <w:pageBreakBefore w:val="0"/>
              <w:widowControl w:val="0"/>
              <w:tabs>
                <w:tab w:val="left" w:pos="4954"/>
              </w:tabs>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（2）承诺项目负责人能够提供驻点服务的得2分（须提供承诺书原件，格式自拟）；</w:t>
            </w:r>
          </w:p>
          <w:p w14:paraId="26E30632">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（3）项目团队人员安排：根据拟投入本项目的其他人员安排情况进行评议：</w:t>
            </w:r>
          </w:p>
          <w:p w14:paraId="40807607">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①除项目负责人外，项目团队成员同时具有测绘专业高级及以上职称和注册测绘师资格，每有一人得2分，本项最高得6分。</w:t>
            </w:r>
          </w:p>
          <w:p w14:paraId="5AD51C82">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②除项目负责人外，项目团队成员同时具有测绘专业中级及以上职称和注册测绘师资格，每有一人得1分，本项最高得3分。（同一人员就高计取，不重复计分）。</w:t>
            </w:r>
          </w:p>
          <w:p w14:paraId="01091CDB">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注：提供人员相关资格证书和职称证书复印件加盖公章以及开标前3个月以来任意一个月的社保证明加盖公章。</w:t>
            </w:r>
          </w:p>
        </w:tc>
        <w:tc>
          <w:tcPr>
            <w:tcW w:w="742" w:type="dxa"/>
            <w:tcBorders>
              <w:top w:val="single" w:color="auto" w:sz="4" w:space="0"/>
              <w:left w:val="single" w:color="auto" w:sz="2" w:space="0"/>
              <w:right w:val="single" w:color="auto" w:sz="2" w:space="0"/>
            </w:tcBorders>
            <w:vAlign w:val="center"/>
          </w:tcPr>
          <w:p w14:paraId="57F68E73">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r>
      <w:tr w14:paraId="7377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6" w:type="dxa"/>
            <w:vMerge w:val="continue"/>
            <w:tcBorders>
              <w:left w:val="single" w:color="auto" w:sz="4" w:space="0"/>
              <w:right w:val="single" w:color="auto" w:sz="2" w:space="0"/>
            </w:tcBorders>
            <w:tcMar>
              <w:left w:w="28" w:type="dxa"/>
              <w:right w:w="28" w:type="dxa"/>
            </w:tcMar>
            <w:textDirection w:val="tbRlV"/>
            <w:vAlign w:val="center"/>
          </w:tcPr>
          <w:p w14:paraId="07AC56AB">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p>
        </w:tc>
        <w:tc>
          <w:tcPr>
            <w:tcW w:w="1391" w:type="dxa"/>
            <w:tcBorders>
              <w:top w:val="single" w:color="auto" w:sz="4" w:space="0"/>
              <w:left w:val="single" w:color="auto" w:sz="2" w:space="0"/>
              <w:right w:val="single" w:color="auto" w:sz="2" w:space="0"/>
            </w:tcBorders>
            <w:vAlign w:val="center"/>
          </w:tcPr>
          <w:p w14:paraId="3C334431">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w:t>
            </w:r>
          </w:p>
          <w:p w14:paraId="1B6D1675">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实力</w:t>
            </w:r>
          </w:p>
          <w:p w14:paraId="0B75DA2D">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（5分）</w:t>
            </w:r>
          </w:p>
        </w:tc>
        <w:tc>
          <w:tcPr>
            <w:tcW w:w="6605" w:type="dxa"/>
            <w:tcBorders>
              <w:top w:val="single" w:color="auto" w:sz="4" w:space="0"/>
              <w:left w:val="single" w:color="auto" w:sz="2" w:space="0"/>
              <w:right w:val="single" w:color="auto" w:sz="2" w:space="0"/>
            </w:tcBorders>
            <w:vAlign w:val="center"/>
          </w:tcPr>
          <w:p w14:paraId="274046BA">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（1）投标人具有测绘管理部门颁发的在有效期内的测绘资质（业务范围至少涵盖地理信息系统工程），甲级得3分、乙级得1分，其他不得分。</w:t>
            </w:r>
          </w:p>
          <w:p w14:paraId="6D6E52AB">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（2）投标人具有质量管理体系认证（ISO9001）、信息安全管理体系认证（ISO27001）、职业健康安全管理体系（ISO145001）、环境管理体系认证（ISO14001），每项得0.5分，最高得2分。</w:t>
            </w:r>
          </w:p>
          <w:p w14:paraId="4333CCA9">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注：提供相关证明材料复印件加盖公章。</w:t>
            </w:r>
          </w:p>
        </w:tc>
        <w:tc>
          <w:tcPr>
            <w:tcW w:w="742" w:type="dxa"/>
            <w:tcBorders>
              <w:left w:val="single" w:color="auto" w:sz="2" w:space="0"/>
              <w:right w:val="single" w:color="auto" w:sz="2" w:space="0"/>
            </w:tcBorders>
            <w:vAlign w:val="center"/>
          </w:tcPr>
          <w:p w14:paraId="633509CD">
            <w:pPr>
              <w:pageBreakBefore w:val="0"/>
              <w:widowControl w:val="0"/>
              <w:kinsoku/>
              <w:wordWrap/>
              <w:overflowPunct/>
              <w:topLinePunct w:val="0"/>
              <w:autoSpaceDE/>
              <w:autoSpaceDN/>
              <w:bidi w:val="0"/>
              <w:spacing w:line="288" w:lineRule="auto"/>
              <w:ind w:firstLine="210" w:firstLineChars="100"/>
              <w:jc w:val="left"/>
              <w:textAlignment w:val="auto"/>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5</w:t>
            </w:r>
          </w:p>
        </w:tc>
      </w:tr>
      <w:tr w14:paraId="2F96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6" w:type="dxa"/>
            <w:vMerge w:val="continue"/>
            <w:tcBorders>
              <w:left w:val="single" w:color="auto" w:sz="4" w:space="0"/>
              <w:right w:val="single" w:color="auto" w:sz="2" w:space="0"/>
            </w:tcBorders>
            <w:tcMar>
              <w:left w:w="28" w:type="dxa"/>
              <w:right w:w="28" w:type="dxa"/>
            </w:tcMar>
            <w:textDirection w:val="tbRlV"/>
            <w:vAlign w:val="center"/>
          </w:tcPr>
          <w:p w14:paraId="4121B485">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p>
        </w:tc>
        <w:tc>
          <w:tcPr>
            <w:tcW w:w="1391" w:type="dxa"/>
            <w:tcBorders>
              <w:top w:val="single" w:color="auto" w:sz="4" w:space="0"/>
              <w:left w:val="single" w:color="auto" w:sz="2" w:space="0"/>
              <w:right w:val="single" w:color="auto" w:sz="2" w:space="0"/>
            </w:tcBorders>
            <w:vAlign w:val="center"/>
          </w:tcPr>
          <w:p w14:paraId="0186264D">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研发及科技奖励荣誉</w:t>
            </w:r>
          </w:p>
          <w:p w14:paraId="71B1D8D3">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605" w:type="dxa"/>
            <w:tcBorders>
              <w:top w:val="single" w:color="auto" w:sz="4" w:space="0"/>
              <w:left w:val="single" w:color="auto" w:sz="2" w:space="0"/>
              <w:right w:val="single" w:color="auto" w:sz="2" w:space="0"/>
            </w:tcBorders>
            <w:vAlign w:val="center"/>
          </w:tcPr>
          <w:p w14:paraId="3792A7DF">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（1）投标人自</w:t>
            </w:r>
            <w:bookmarkStart w:id="35" w:name="OLE_LINK3"/>
            <w:r>
              <w:rPr>
                <w:rFonts w:hint="eastAsia" w:ascii="宋体" w:hAnsi="宋体" w:eastAsia="宋体" w:cs="宋体"/>
                <w:color w:val="auto"/>
                <w:sz w:val="21"/>
                <w:szCs w:val="21"/>
                <w:highlight w:val="none"/>
              </w:rPr>
              <w:t>2021年1月1日</w:t>
            </w:r>
            <w:bookmarkEnd w:id="35"/>
            <w:r>
              <w:rPr>
                <w:rFonts w:hint="eastAsia" w:ascii="宋体" w:hAnsi="宋体" w:eastAsia="宋体" w:cs="宋体"/>
                <w:color w:val="auto"/>
                <w:sz w:val="21"/>
                <w:szCs w:val="21"/>
                <w:highlight w:val="none"/>
              </w:rPr>
              <w:t>以来获得过与本项目相关或相关测绘类市级及以上科学技术进步奖或科学技术奖的每个得1.5分，最高得3分；</w:t>
            </w:r>
          </w:p>
          <w:p w14:paraId="0EE8CB7D">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w:t>
            </w:r>
            <w:r>
              <w:rPr>
                <w:rFonts w:hint="eastAsia" w:ascii="宋体" w:hAnsi="宋体" w:eastAsia="宋体" w:cs="宋体"/>
                <w:bCs/>
                <w:color w:val="auto"/>
                <w:sz w:val="21"/>
                <w:szCs w:val="21"/>
                <w:highlight w:val="none"/>
              </w:rPr>
              <w:t>自</w:t>
            </w:r>
            <w:r>
              <w:rPr>
                <w:rFonts w:hint="eastAsia" w:ascii="宋体" w:hAnsi="宋体" w:eastAsia="宋体" w:cs="宋体"/>
                <w:color w:val="auto"/>
                <w:sz w:val="21"/>
                <w:szCs w:val="21"/>
                <w:highlight w:val="none"/>
              </w:rPr>
              <w:t>2021年1月1日以来投标人获得国家级（学会、协会）相关业绩奖项，每个得1分，省级（学会、协会）相关业绩奖项，每个得0.5分。最高得2分，未提供不得分。</w:t>
            </w:r>
          </w:p>
          <w:p w14:paraId="5D744FBC">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注：同一个项目的获奖荣誉只能按最高得分计算，不能重复计分；提供相关证明材料复印件加盖公章。</w:t>
            </w:r>
          </w:p>
        </w:tc>
        <w:tc>
          <w:tcPr>
            <w:tcW w:w="742" w:type="dxa"/>
            <w:tcBorders>
              <w:left w:val="single" w:color="auto" w:sz="2" w:space="0"/>
              <w:right w:val="single" w:color="auto" w:sz="2" w:space="0"/>
            </w:tcBorders>
            <w:vAlign w:val="center"/>
          </w:tcPr>
          <w:p w14:paraId="7ED42C2A">
            <w:pPr>
              <w:pageBreakBefore w:val="0"/>
              <w:widowControl w:val="0"/>
              <w:kinsoku/>
              <w:wordWrap/>
              <w:overflowPunct/>
              <w:topLinePunct w:val="0"/>
              <w:autoSpaceDE/>
              <w:autoSpaceDN/>
              <w:bidi w:val="0"/>
              <w:spacing w:line="288" w:lineRule="auto"/>
              <w:ind w:firstLine="210" w:firstLine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6172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6" w:type="dxa"/>
            <w:vMerge w:val="continue"/>
            <w:tcBorders>
              <w:left w:val="single" w:color="auto" w:sz="4" w:space="0"/>
              <w:right w:val="single" w:color="auto" w:sz="2" w:space="0"/>
            </w:tcBorders>
            <w:textDirection w:val="tbRlV"/>
            <w:vAlign w:val="center"/>
          </w:tcPr>
          <w:p w14:paraId="3B5A1AE0">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p>
        </w:tc>
        <w:tc>
          <w:tcPr>
            <w:tcW w:w="1391" w:type="dxa"/>
            <w:tcBorders>
              <w:top w:val="single" w:color="auto" w:sz="2" w:space="0"/>
              <w:left w:val="single" w:color="auto" w:sz="2" w:space="0"/>
              <w:bottom w:val="single" w:color="auto" w:sz="2" w:space="0"/>
              <w:right w:val="single" w:color="auto" w:sz="4" w:space="0"/>
            </w:tcBorders>
            <w:vAlign w:val="center"/>
          </w:tcPr>
          <w:p w14:paraId="3AD81857">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p w14:paraId="266E6928">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6605" w:type="dxa"/>
            <w:tcBorders>
              <w:top w:val="single" w:color="auto" w:sz="2" w:space="0"/>
              <w:left w:val="single" w:color="auto" w:sz="4" w:space="0"/>
              <w:bottom w:val="single" w:color="auto" w:sz="2" w:space="0"/>
              <w:right w:val="single" w:color="auto" w:sz="2" w:space="0"/>
            </w:tcBorders>
            <w:vAlign w:val="center"/>
          </w:tcPr>
          <w:p w14:paraId="55CA04E4">
            <w:pPr>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投标人自2021年1月1日（以合同签订时间为准）至今承接过相关类似项目的，每提供1个得0.5分，最高得1.5分。</w:t>
            </w:r>
          </w:p>
          <w:p w14:paraId="47ACA707">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要求服务内容包括国土变更调查、永久基本农田划定更新等相关内容。是否属于有效的类似项目业绩由评委根据供应商提供的业绩合同业务内容、技术特点等方面与本项目的类似程度进行认定，投标文件中提供清晰的业绩合同原件扫描件并加盖公章，未提供不得分</w:t>
            </w:r>
          </w:p>
        </w:tc>
        <w:tc>
          <w:tcPr>
            <w:tcW w:w="742" w:type="dxa"/>
            <w:tcBorders>
              <w:top w:val="single" w:color="auto" w:sz="2" w:space="0"/>
              <w:left w:val="single" w:color="auto" w:sz="2" w:space="0"/>
              <w:bottom w:val="single" w:color="auto" w:sz="2" w:space="0"/>
              <w:right w:val="single" w:color="auto" w:sz="2" w:space="0"/>
            </w:tcBorders>
            <w:vAlign w:val="center"/>
          </w:tcPr>
          <w:p w14:paraId="546AF485">
            <w:pPr>
              <w:pageBreakBefore w:val="0"/>
              <w:widowControl w:val="0"/>
              <w:kinsoku/>
              <w:wordWrap/>
              <w:overflowPunct/>
              <w:topLinePunct w:val="0"/>
              <w:autoSpaceDE/>
              <w:autoSpaceDN/>
              <w:bidi w:val="0"/>
              <w:spacing w:line="288"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14:paraId="6189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6" w:type="dxa"/>
            <w:tcBorders>
              <w:top w:val="single" w:color="auto" w:sz="4" w:space="0"/>
              <w:left w:val="single" w:color="auto" w:sz="4" w:space="0"/>
              <w:bottom w:val="single" w:color="auto" w:sz="4" w:space="0"/>
              <w:right w:val="single" w:color="auto" w:sz="2" w:space="0"/>
            </w:tcBorders>
            <w:tcMar>
              <w:left w:w="28" w:type="dxa"/>
              <w:right w:w="28" w:type="dxa"/>
            </w:tcMar>
            <w:textDirection w:val="tbRlV"/>
            <w:vAlign w:val="center"/>
          </w:tcPr>
          <w:p w14:paraId="28E61349">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价格分15分</w:t>
            </w:r>
          </w:p>
        </w:tc>
        <w:tc>
          <w:tcPr>
            <w:tcW w:w="7996" w:type="dxa"/>
            <w:gridSpan w:val="2"/>
            <w:tcBorders>
              <w:top w:val="single" w:color="auto" w:sz="4" w:space="0"/>
              <w:left w:val="single" w:color="auto" w:sz="2" w:space="0"/>
              <w:bottom w:val="single" w:color="auto" w:sz="4" w:space="0"/>
              <w:right w:val="single" w:color="auto" w:sz="2" w:space="0"/>
            </w:tcBorders>
            <w:vAlign w:val="center"/>
          </w:tcPr>
          <w:p w14:paraId="40CB6CDA">
            <w:pPr>
              <w:pStyle w:val="5"/>
              <w:pageBreakBefore w:val="0"/>
              <w:widowControl w:val="0"/>
              <w:kinsoku/>
              <w:wordWrap/>
              <w:overflowPunct/>
              <w:topLinePunct w:val="0"/>
              <w:autoSpaceDE/>
              <w:autoSpaceDN/>
              <w:bidi w:val="0"/>
              <w:spacing w:before="0" w:after="0"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投标报价得分（15分）：</w:t>
            </w:r>
          </w:p>
          <w:p w14:paraId="43840C9E">
            <w:pPr>
              <w:pStyle w:val="5"/>
              <w:pageBreakBefore w:val="0"/>
              <w:widowControl w:val="0"/>
              <w:kinsoku/>
              <w:wordWrap/>
              <w:overflowPunct/>
              <w:topLinePunct w:val="0"/>
              <w:autoSpaceDE/>
              <w:autoSpaceDN/>
              <w:bidi w:val="0"/>
              <w:spacing w:before="0" w:after="0"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评标基准价指的是满足采购文件要求且最低的参与评审的价格。</w:t>
            </w:r>
          </w:p>
          <w:p w14:paraId="6843769C">
            <w:pPr>
              <w:pStyle w:val="5"/>
              <w:pageBreakBefore w:val="0"/>
              <w:widowControl w:val="0"/>
              <w:kinsoku/>
              <w:wordWrap/>
              <w:overflowPunct/>
              <w:topLinePunct w:val="0"/>
              <w:autoSpaceDE/>
              <w:autoSpaceDN/>
              <w:bidi w:val="0"/>
              <w:spacing w:before="0" w:after="0"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参与评审的价格=投标报价-小微企业价格扣除优惠值10%（若为联合体投标的，联合体成员中有小微企业，且该成员合同份额占总合同金额30%以上的，对联合体的报价给予4%的价格扣除）。</w:t>
            </w:r>
          </w:p>
          <w:p w14:paraId="1AEF3D36">
            <w:pPr>
              <w:pStyle w:val="5"/>
              <w:pageBreakBefore w:val="0"/>
              <w:widowControl w:val="0"/>
              <w:kinsoku/>
              <w:wordWrap/>
              <w:overflowPunct/>
              <w:topLinePunct w:val="0"/>
              <w:autoSpaceDE/>
              <w:autoSpaceDN/>
              <w:bidi w:val="0"/>
              <w:spacing w:before="0" w:after="0"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参与评审的价格为评标基准价的其价格得分得满分15分。</w:t>
            </w:r>
          </w:p>
          <w:p w14:paraId="1AF10935">
            <w:pPr>
              <w:pStyle w:val="5"/>
              <w:pageBreakBefore w:val="0"/>
              <w:widowControl w:val="0"/>
              <w:kinsoku/>
              <w:wordWrap/>
              <w:overflowPunct/>
              <w:topLinePunct w:val="0"/>
              <w:autoSpaceDE/>
              <w:autoSpaceDN/>
              <w:bidi w:val="0"/>
              <w:spacing w:before="0" w:after="0"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其他投标人价格得分按照下列公式计算：</w:t>
            </w:r>
          </w:p>
          <w:p w14:paraId="731A0717">
            <w:pPr>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价格得分=（评标基准价/各投标人参与评审的价格）×15。</w:t>
            </w:r>
          </w:p>
        </w:tc>
        <w:tc>
          <w:tcPr>
            <w:tcW w:w="742" w:type="dxa"/>
            <w:tcBorders>
              <w:top w:val="single" w:color="auto" w:sz="4" w:space="0"/>
              <w:left w:val="single" w:color="auto" w:sz="2" w:space="0"/>
              <w:bottom w:val="single" w:color="auto" w:sz="4" w:space="0"/>
              <w:right w:val="single" w:color="auto" w:sz="2" w:space="0"/>
            </w:tcBorders>
            <w:vAlign w:val="center"/>
          </w:tcPr>
          <w:p w14:paraId="0C438119">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14:paraId="4653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12" w:type="dxa"/>
            <w:gridSpan w:val="3"/>
            <w:tcBorders>
              <w:top w:val="single" w:color="auto" w:sz="2" w:space="0"/>
              <w:left w:val="single" w:color="auto" w:sz="4" w:space="0"/>
              <w:bottom w:val="single" w:color="auto" w:sz="4" w:space="0"/>
              <w:right w:val="single" w:color="auto" w:sz="2" w:space="0"/>
            </w:tcBorders>
            <w:vAlign w:val="center"/>
          </w:tcPr>
          <w:p w14:paraId="0B03DA22">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综合评分得分（满分100分）</w:t>
            </w:r>
          </w:p>
        </w:tc>
        <w:tc>
          <w:tcPr>
            <w:tcW w:w="742" w:type="dxa"/>
            <w:tcBorders>
              <w:top w:val="single" w:color="auto" w:sz="2" w:space="0"/>
              <w:left w:val="single" w:color="auto" w:sz="2" w:space="0"/>
              <w:bottom w:val="single" w:color="auto" w:sz="4" w:space="0"/>
              <w:right w:val="single" w:color="auto" w:sz="2" w:space="0"/>
            </w:tcBorders>
            <w:vAlign w:val="center"/>
          </w:tcPr>
          <w:p w14:paraId="118A264A">
            <w:pPr>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bl>
    <w:p w14:paraId="33D56C57">
      <w:pPr>
        <w:keepNext w:val="0"/>
        <w:keepLines w:val="0"/>
        <w:pageBreakBefore w:val="0"/>
        <w:widowControl w:val="0"/>
        <w:shd w:val="clear"/>
        <w:kinsoku/>
        <w:wordWrap/>
        <w:overflowPunct/>
        <w:topLinePunct w:val="0"/>
        <w:bidi w:val="0"/>
        <w:outlineLvl w:val="9"/>
        <w:rPr>
          <w:rFonts w:asciiTheme="majorEastAsia" w:hAnsiTheme="majorEastAsia" w:eastAsiaTheme="majorEastAsia"/>
          <w:color w:val="auto"/>
          <w:highlight w:val="none"/>
        </w:rPr>
      </w:pPr>
      <w:bookmarkStart w:id="36" w:name="_Toc522013506"/>
      <w:bookmarkStart w:id="37" w:name="_Toc20990"/>
      <w:r>
        <w:rPr>
          <w:rFonts w:asciiTheme="majorEastAsia" w:hAnsiTheme="majorEastAsia" w:eastAsiaTheme="majorEastAsia"/>
          <w:color w:val="auto"/>
          <w:highlight w:val="none"/>
        </w:rPr>
        <w:br w:type="page"/>
      </w:r>
    </w:p>
    <w:p w14:paraId="7ABF985F">
      <w:pPr>
        <w:keepNext w:val="0"/>
        <w:keepLines w:val="0"/>
        <w:pageBreakBefore w:val="0"/>
        <w:widowControl w:val="0"/>
        <w:shd w:val="clear"/>
        <w:kinsoku/>
        <w:wordWrap/>
        <w:overflowPunct/>
        <w:topLinePunct w:val="0"/>
        <w:autoSpaceDE/>
        <w:autoSpaceDN/>
        <w:bidi w:val="0"/>
        <w:adjustRightInd/>
        <w:snapToGrid/>
        <w:spacing w:before="0" w:after="330" w:line="360" w:lineRule="auto"/>
        <w:jc w:val="center"/>
        <w:textAlignment w:val="auto"/>
        <w:outlineLvl w:val="0"/>
        <w:rPr>
          <w:rFonts w:hint="eastAsia" w:cs="Times New Roman" w:asciiTheme="majorEastAsia" w:hAnsiTheme="majorEastAsia" w:eastAsiaTheme="majorEastAsia"/>
          <w:b/>
          <w:bCs/>
          <w:color w:val="auto"/>
          <w:sz w:val="32"/>
          <w:szCs w:val="40"/>
          <w:highlight w:val="none"/>
        </w:rPr>
      </w:pPr>
      <w:bookmarkStart w:id="38" w:name="_Toc25161"/>
      <w:bookmarkStart w:id="39" w:name="_Toc18899"/>
      <w:r>
        <w:rPr>
          <w:rFonts w:cs="Times New Roman" w:asciiTheme="majorEastAsia" w:hAnsiTheme="majorEastAsia" w:eastAsiaTheme="majorEastAsia"/>
          <w:b/>
          <w:bCs/>
          <w:color w:val="auto"/>
          <w:sz w:val="32"/>
          <w:szCs w:val="40"/>
          <w:highlight w:val="none"/>
        </w:rPr>
        <w:t xml:space="preserve">第五章  </w:t>
      </w:r>
      <w:bookmarkEnd w:id="36"/>
      <w:bookmarkEnd w:id="37"/>
      <w:bookmarkEnd w:id="38"/>
      <w:r>
        <w:rPr>
          <w:rFonts w:hint="eastAsia" w:cs="Times New Roman" w:asciiTheme="majorEastAsia" w:hAnsiTheme="majorEastAsia" w:eastAsiaTheme="majorEastAsia"/>
          <w:b/>
          <w:bCs/>
          <w:color w:val="auto"/>
          <w:sz w:val="32"/>
          <w:szCs w:val="40"/>
          <w:highlight w:val="none"/>
        </w:rPr>
        <w:t>合同条款及格式</w:t>
      </w:r>
      <w:bookmarkEnd w:id="39"/>
      <w:bookmarkStart w:id="40" w:name="_Toc364002702"/>
    </w:p>
    <w:bookmarkEnd w:id="40"/>
    <w:p w14:paraId="2F8F4F7B">
      <w:pPr>
        <w:pageBreakBefore w:val="0"/>
        <w:widowControl w:val="0"/>
        <w:kinsoku/>
        <w:wordWrap/>
        <w:overflowPunct/>
        <w:topLinePunct w:val="0"/>
        <w:autoSpaceDE/>
        <w:autoSpaceDN/>
        <w:bidi w:val="0"/>
        <w:spacing w:before="240" w:line="360" w:lineRule="auto"/>
        <w:ind w:left="0" w:leftChars="0" w:right="0" w:rightChars="0"/>
        <w:jc w:val="center"/>
        <w:outlineLvl w:val="9"/>
        <w:rPr>
          <w:rFonts w:hint="eastAsia" w:ascii="宋体" w:hAnsi="宋体" w:eastAsia="宋体" w:cs="宋体"/>
          <w:i/>
          <w:color w:val="auto"/>
          <w:szCs w:val="21"/>
          <w:highlight w:val="none"/>
        </w:rPr>
      </w:pPr>
      <w:bookmarkStart w:id="41" w:name="_Toc15404"/>
      <w:bookmarkStart w:id="42" w:name="_Toc522013507"/>
      <w:r>
        <w:rPr>
          <w:rFonts w:hint="eastAsia" w:ascii="宋体" w:hAnsi="宋体" w:eastAsia="宋体" w:cs="宋体"/>
          <w:i/>
          <w:color w:val="auto"/>
          <w:szCs w:val="21"/>
          <w:highlight w:val="none"/>
        </w:rPr>
        <w:t>（仅供参考；本合同为合同样稿，最终稿由甲乙双方协商后确定）</w:t>
      </w:r>
    </w:p>
    <w:p w14:paraId="31DB703A">
      <w:pPr>
        <w:keepNext w:val="0"/>
        <w:keepLines w:val="0"/>
        <w:pageBreakBefore w:val="0"/>
        <w:kinsoku/>
        <w:wordWrap/>
        <w:overflowPunct/>
        <w:topLinePunct w:val="0"/>
        <w:autoSpaceDE/>
        <w:autoSpaceDN/>
        <w:bidi w:val="0"/>
        <w:adjustRightInd/>
        <w:spacing w:beforeAutospacing="0" w:afterAutospacing="0" w:line="408" w:lineRule="auto"/>
        <w:ind w:firstLine="422" w:firstLineChars="200"/>
        <w:jc w:val="left"/>
        <w:textAlignment w:val="auto"/>
        <w:outlineLvl w:val="9"/>
        <w:rPr>
          <w:rFonts w:hint="eastAsia" w:ascii="Arial" w:hAnsi="Arial" w:eastAsia="宋体" w:cs="Arial"/>
          <w:bCs/>
          <w:color w:val="auto"/>
          <w:szCs w:val="21"/>
          <w:highlight w:val="none"/>
          <w:u w:val="single"/>
          <w:lang w:eastAsia="zh-CN" w:bidi="ar"/>
        </w:rPr>
      </w:pPr>
      <w:r>
        <w:rPr>
          <w:rFonts w:hint="eastAsia" w:ascii="Arial" w:hAnsi="Arial" w:eastAsia="宋体" w:cs="Arial"/>
          <w:b/>
          <w:color w:val="auto"/>
          <w:szCs w:val="21"/>
          <w:highlight w:val="none"/>
          <w:lang w:bidi="ar"/>
        </w:rPr>
        <w:t>委托人</w:t>
      </w:r>
      <w:r>
        <w:rPr>
          <w:rFonts w:hint="eastAsia" w:ascii="Arial" w:hAnsi="Arial" w:eastAsia="宋体" w:cs="Arial"/>
          <w:b/>
          <w:color w:val="auto"/>
          <w:szCs w:val="21"/>
          <w:highlight w:val="none"/>
          <w:lang w:eastAsia="zh-CN" w:bidi="ar"/>
        </w:rPr>
        <w:t>（甲方）</w:t>
      </w:r>
      <w:r>
        <w:rPr>
          <w:rFonts w:hint="eastAsia" w:ascii="Arial" w:hAnsi="Arial" w:eastAsia="宋体" w:cs="Arial"/>
          <w:b/>
          <w:color w:val="auto"/>
          <w:szCs w:val="21"/>
          <w:highlight w:val="none"/>
          <w:lang w:bidi="ar"/>
        </w:rPr>
        <w:t>：</w:t>
      </w:r>
      <w:r>
        <w:rPr>
          <w:rFonts w:hint="eastAsia" w:ascii="Arial" w:hAnsi="Arial" w:eastAsia="宋体" w:cs="Arial"/>
          <w:bCs/>
          <w:color w:val="auto"/>
          <w:szCs w:val="21"/>
          <w:highlight w:val="none"/>
          <w:u w:val="single"/>
          <w:lang w:eastAsia="zh-CN" w:bidi="ar"/>
        </w:rPr>
        <w:t>宁波市自然资源和规划局海曙分局</w:t>
      </w:r>
    </w:p>
    <w:p w14:paraId="2766B4CB">
      <w:pPr>
        <w:keepNext w:val="0"/>
        <w:keepLines w:val="0"/>
        <w:pageBreakBefore w:val="0"/>
        <w:kinsoku/>
        <w:wordWrap/>
        <w:overflowPunct/>
        <w:topLinePunct w:val="0"/>
        <w:autoSpaceDE/>
        <w:autoSpaceDN/>
        <w:bidi w:val="0"/>
        <w:adjustRightInd/>
        <w:snapToGrid w:val="0"/>
        <w:spacing w:beforeAutospacing="0" w:afterAutospacing="0" w:line="408" w:lineRule="auto"/>
        <w:ind w:firstLine="420" w:firstLineChars="200"/>
        <w:textAlignment w:val="auto"/>
        <w:outlineLvl w:val="9"/>
        <w:rPr>
          <w:rFonts w:ascii="Arial" w:hAnsi="Arial" w:eastAsia="宋体" w:cs="Arial"/>
          <w:color w:val="auto"/>
          <w:szCs w:val="21"/>
          <w:highlight w:val="none"/>
          <w:lang w:bidi="ar"/>
        </w:rPr>
      </w:pPr>
      <w:r>
        <w:rPr>
          <w:rFonts w:hint="eastAsia" w:ascii="Arial" w:hAnsi="Arial" w:eastAsia="宋体" w:cs="Arial"/>
          <w:color w:val="auto"/>
          <w:szCs w:val="21"/>
          <w:highlight w:val="none"/>
          <w:lang w:bidi="ar"/>
        </w:rPr>
        <w:t>住所地：</w:t>
      </w:r>
      <w:r>
        <w:rPr>
          <w:rFonts w:ascii="Arial" w:hAnsi="Arial" w:eastAsia="宋体" w:cs="Arial"/>
          <w:color w:val="auto"/>
          <w:szCs w:val="21"/>
          <w:highlight w:val="none"/>
          <w:lang w:bidi="ar"/>
        </w:rPr>
        <w:t xml:space="preserve">                                                 </w:t>
      </w:r>
    </w:p>
    <w:p w14:paraId="35C860D5">
      <w:pPr>
        <w:keepNext w:val="0"/>
        <w:keepLines w:val="0"/>
        <w:pageBreakBefore w:val="0"/>
        <w:kinsoku/>
        <w:wordWrap/>
        <w:overflowPunct/>
        <w:topLinePunct w:val="0"/>
        <w:autoSpaceDE/>
        <w:autoSpaceDN/>
        <w:bidi w:val="0"/>
        <w:adjustRightInd/>
        <w:snapToGrid w:val="0"/>
        <w:spacing w:beforeAutospacing="0" w:afterAutospacing="0" w:line="408" w:lineRule="auto"/>
        <w:ind w:firstLine="420" w:firstLineChars="200"/>
        <w:textAlignment w:val="auto"/>
        <w:outlineLvl w:val="9"/>
        <w:rPr>
          <w:rFonts w:ascii="Arial" w:hAnsi="Arial" w:eastAsia="宋体" w:cs="Arial"/>
          <w:color w:val="auto"/>
          <w:szCs w:val="21"/>
          <w:highlight w:val="none"/>
          <w:lang w:bidi="ar"/>
        </w:rPr>
      </w:pPr>
      <w:r>
        <w:rPr>
          <w:rFonts w:hint="eastAsia" w:ascii="Arial" w:hAnsi="Arial" w:eastAsia="宋体" w:cs="Arial"/>
          <w:color w:val="auto"/>
          <w:szCs w:val="21"/>
          <w:highlight w:val="none"/>
          <w:lang w:bidi="ar"/>
        </w:rPr>
        <w:t>联系人：</w:t>
      </w:r>
      <w:r>
        <w:rPr>
          <w:rFonts w:ascii="Arial" w:hAnsi="Arial" w:eastAsia="宋体" w:cs="Arial"/>
          <w:color w:val="auto"/>
          <w:szCs w:val="21"/>
          <w:highlight w:val="none"/>
          <w:lang w:bidi="ar"/>
        </w:rPr>
        <w:t xml:space="preserve">                 </w:t>
      </w:r>
      <w:r>
        <w:rPr>
          <w:rFonts w:hint="eastAsia" w:ascii="Arial" w:hAnsi="Arial" w:eastAsia="宋体" w:cs="Arial"/>
          <w:color w:val="auto"/>
          <w:szCs w:val="21"/>
          <w:highlight w:val="none"/>
          <w:lang w:bidi="ar"/>
        </w:rPr>
        <w:t>联系电话：</w:t>
      </w:r>
      <w:r>
        <w:rPr>
          <w:rFonts w:ascii="Arial" w:hAnsi="Arial" w:eastAsia="宋体" w:cs="Arial"/>
          <w:color w:val="auto"/>
          <w:szCs w:val="21"/>
          <w:highlight w:val="none"/>
          <w:lang w:bidi="ar"/>
        </w:rPr>
        <w:t xml:space="preserve">                      </w:t>
      </w:r>
    </w:p>
    <w:p w14:paraId="1A70059E">
      <w:pPr>
        <w:keepNext w:val="0"/>
        <w:keepLines w:val="0"/>
        <w:pageBreakBefore w:val="0"/>
        <w:widowControl/>
        <w:kinsoku/>
        <w:wordWrap/>
        <w:overflowPunct/>
        <w:topLinePunct w:val="0"/>
        <w:autoSpaceDE/>
        <w:autoSpaceDN/>
        <w:bidi w:val="0"/>
        <w:adjustRightInd/>
        <w:spacing w:beforeAutospacing="0" w:after="0" w:afterAutospacing="0" w:line="408" w:lineRule="auto"/>
        <w:ind w:left="420" w:leftChars="200" w:firstLine="344"/>
        <w:jc w:val="both"/>
        <w:textAlignment w:val="auto"/>
        <w:outlineLvl w:val="9"/>
        <w:rPr>
          <w:rFonts w:hint="default" w:ascii="宋体" w:hAnsi="Courier New" w:eastAsia="宋体" w:cs="宋体"/>
          <w:color w:val="auto"/>
          <w:spacing w:val="-4"/>
          <w:kern w:val="2"/>
          <w:sz w:val="21"/>
          <w:szCs w:val="21"/>
          <w:highlight w:val="none"/>
          <w:lang w:val="en-US" w:eastAsia="zh-CN" w:bidi="ar-SA"/>
        </w:rPr>
      </w:pPr>
    </w:p>
    <w:p w14:paraId="41CC2DFD">
      <w:pPr>
        <w:keepNext w:val="0"/>
        <w:keepLines w:val="0"/>
        <w:pageBreakBefore w:val="0"/>
        <w:kinsoku/>
        <w:wordWrap/>
        <w:overflowPunct/>
        <w:topLinePunct w:val="0"/>
        <w:autoSpaceDE/>
        <w:autoSpaceDN/>
        <w:bidi w:val="0"/>
        <w:adjustRightInd/>
        <w:snapToGrid w:val="0"/>
        <w:spacing w:beforeAutospacing="0" w:afterAutospacing="0" w:line="408" w:lineRule="auto"/>
        <w:ind w:firstLine="413" w:firstLineChars="196"/>
        <w:textAlignment w:val="auto"/>
        <w:outlineLvl w:val="9"/>
        <w:rPr>
          <w:rFonts w:ascii="Arial" w:hAnsi="Arial" w:eastAsia="宋体" w:cs="Arial"/>
          <w:color w:val="auto"/>
          <w:szCs w:val="21"/>
          <w:highlight w:val="none"/>
          <w:u w:val="single"/>
          <w:lang w:bidi="ar"/>
        </w:rPr>
      </w:pPr>
      <w:r>
        <w:rPr>
          <w:rFonts w:hint="eastAsia" w:ascii="Arial" w:hAnsi="Arial" w:eastAsia="宋体" w:cs="Arial"/>
          <w:b/>
          <w:color w:val="auto"/>
          <w:szCs w:val="21"/>
          <w:highlight w:val="none"/>
          <w:lang w:bidi="ar"/>
        </w:rPr>
        <w:t>受托人</w:t>
      </w:r>
      <w:r>
        <w:rPr>
          <w:rFonts w:hint="eastAsia" w:ascii="Arial" w:hAnsi="Arial" w:eastAsia="宋体" w:cs="Arial"/>
          <w:b/>
          <w:color w:val="auto"/>
          <w:szCs w:val="21"/>
          <w:highlight w:val="none"/>
          <w:lang w:eastAsia="zh-CN" w:bidi="ar"/>
        </w:rPr>
        <w:t>（乙方）</w:t>
      </w:r>
      <w:r>
        <w:rPr>
          <w:rFonts w:hint="eastAsia" w:ascii="Arial" w:hAnsi="Arial" w:eastAsia="宋体" w:cs="Arial"/>
          <w:b/>
          <w:color w:val="auto"/>
          <w:szCs w:val="21"/>
          <w:highlight w:val="none"/>
          <w:lang w:bidi="ar"/>
        </w:rPr>
        <w:t>：</w:t>
      </w:r>
      <w:r>
        <w:rPr>
          <w:rFonts w:ascii="Arial" w:hAnsi="Arial" w:eastAsia="宋体" w:cs="Arial"/>
          <w:color w:val="auto"/>
          <w:szCs w:val="21"/>
          <w:highlight w:val="none"/>
          <w:u w:val="single"/>
          <w:lang w:bidi="ar"/>
        </w:rPr>
        <w:t xml:space="preserve">                                  </w:t>
      </w:r>
    </w:p>
    <w:p w14:paraId="72335A49">
      <w:pPr>
        <w:keepNext w:val="0"/>
        <w:keepLines w:val="0"/>
        <w:pageBreakBefore w:val="0"/>
        <w:kinsoku/>
        <w:wordWrap/>
        <w:overflowPunct/>
        <w:topLinePunct w:val="0"/>
        <w:autoSpaceDE/>
        <w:autoSpaceDN/>
        <w:bidi w:val="0"/>
        <w:adjustRightInd/>
        <w:snapToGrid w:val="0"/>
        <w:spacing w:beforeAutospacing="0" w:afterAutospacing="0" w:line="408" w:lineRule="auto"/>
        <w:ind w:firstLine="420" w:firstLineChars="200"/>
        <w:textAlignment w:val="auto"/>
        <w:outlineLvl w:val="9"/>
        <w:rPr>
          <w:rFonts w:ascii="Arial" w:hAnsi="Arial" w:eastAsia="宋体" w:cs="Arial"/>
          <w:color w:val="auto"/>
          <w:szCs w:val="21"/>
          <w:highlight w:val="none"/>
          <w:lang w:bidi="ar"/>
        </w:rPr>
      </w:pPr>
      <w:r>
        <w:rPr>
          <w:rFonts w:hint="eastAsia" w:ascii="Arial" w:hAnsi="Arial" w:eastAsia="宋体" w:cs="Arial"/>
          <w:color w:val="auto"/>
          <w:szCs w:val="21"/>
          <w:highlight w:val="none"/>
          <w:lang w:bidi="ar"/>
        </w:rPr>
        <w:t>住所地：</w:t>
      </w:r>
      <w:r>
        <w:rPr>
          <w:rFonts w:ascii="Arial" w:hAnsi="Arial" w:eastAsia="宋体" w:cs="Arial"/>
          <w:color w:val="auto"/>
          <w:szCs w:val="21"/>
          <w:highlight w:val="none"/>
          <w:lang w:bidi="ar"/>
        </w:rPr>
        <w:t xml:space="preserve">                                                 </w:t>
      </w:r>
    </w:p>
    <w:p w14:paraId="1172283E">
      <w:pPr>
        <w:keepNext w:val="0"/>
        <w:keepLines w:val="0"/>
        <w:pageBreakBefore w:val="0"/>
        <w:kinsoku/>
        <w:wordWrap/>
        <w:overflowPunct/>
        <w:topLinePunct w:val="0"/>
        <w:autoSpaceDE/>
        <w:autoSpaceDN/>
        <w:bidi w:val="0"/>
        <w:adjustRightInd/>
        <w:snapToGrid w:val="0"/>
        <w:spacing w:beforeAutospacing="0" w:afterAutospacing="0" w:line="408" w:lineRule="auto"/>
        <w:ind w:firstLine="420" w:firstLineChars="200"/>
        <w:textAlignment w:val="auto"/>
        <w:outlineLvl w:val="9"/>
        <w:rPr>
          <w:rFonts w:ascii="Arial" w:hAnsi="Arial" w:eastAsia="宋体" w:cs="Arial"/>
          <w:color w:val="auto"/>
          <w:szCs w:val="21"/>
          <w:highlight w:val="none"/>
          <w:lang w:bidi="ar"/>
        </w:rPr>
      </w:pPr>
      <w:r>
        <w:rPr>
          <w:rFonts w:hint="eastAsia" w:ascii="Arial" w:hAnsi="Arial" w:eastAsia="宋体" w:cs="Arial"/>
          <w:color w:val="auto"/>
          <w:szCs w:val="21"/>
          <w:highlight w:val="none"/>
          <w:lang w:bidi="ar"/>
        </w:rPr>
        <w:t>联系人：</w:t>
      </w:r>
      <w:r>
        <w:rPr>
          <w:rFonts w:ascii="Arial" w:hAnsi="Arial" w:eastAsia="宋体" w:cs="Arial"/>
          <w:color w:val="auto"/>
          <w:szCs w:val="21"/>
          <w:highlight w:val="none"/>
          <w:lang w:bidi="ar"/>
        </w:rPr>
        <w:t xml:space="preserve">                 </w:t>
      </w:r>
      <w:r>
        <w:rPr>
          <w:rFonts w:hint="eastAsia" w:ascii="Arial" w:hAnsi="Arial" w:eastAsia="宋体" w:cs="Arial"/>
          <w:color w:val="auto"/>
          <w:szCs w:val="21"/>
          <w:highlight w:val="none"/>
          <w:lang w:bidi="ar"/>
        </w:rPr>
        <w:t>联系电话：</w:t>
      </w:r>
      <w:r>
        <w:rPr>
          <w:rFonts w:ascii="Arial" w:hAnsi="Arial" w:eastAsia="宋体" w:cs="Arial"/>
          <w:color w:val="auto"/>
          <w:szCs w:val="21"/>
          <w:highlight w:val="none"/>
          <w:lang w:bidi="ar"/>
        </w:rPr>
        <w:t xml:space="preserve">                      </w:t>
      </w:r>
    </w:p>
    <w:p w14:paraId="4603BE24">
      <w:pPr>
        <w:keepNext w:val="0"/>
        <w:keepLines w:val="0"/>
        <w:pageBreakBefore w:val="0"/>
        <w:widowControl w:val="0"/>
        <w:kinsoku/>
        <w:wordWrap/>
        <w:overflowPunct/>
        <w:topLinePunct w:val="0"/>
        <w:autoSpaceDE/>
        <w:autoSpaceDN/>
        <w:bidi w:val="0"/>
        <w:adjustRightInd/>
        <w:spacing w:before="0" w:beforeAutospacing="0" w:after="0" w:afterAutospacing="0" w:line="408" w:lineRule="auto"/>
        <w:jc w:val="both"/>
        <w:textAlignment w:val="auto"/>
        <w:outlineLvl w:val="9"/>
        <w:rPr>
          <w:rFonts w:ascii="Calibri" w:hAnsi="Calibri" w:eastAsia="宋体" w:cs="Times New Roman"/>
          <w:color w:val="auto"/>
          <w:kern w:val="0"/>
          <w:sz w:val="24"/>
          <w:szCs w:val="24"/>
          <w:highlight w:val="none"/>
          <w:lang w:val="en-US" w:eastAsia="zh-CN" w:bidi="ar-SA"/>
        </w:rPr>
      </w:pPr>
    </w:p>
    <w:p w14:paraId="13563F8C">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本合同甲方委托乙方就</w:t>
      </w:r>
      <w:r>
        <w:rPr>
          <w:rFonts w:hint="eastAsia" w:ascii="宋体" w:hAnsi="宋体" w:cs="宋体"/>
          <w:color w:val="auto"/>
          <w:szCs w:val="21"/>
          <w:highlight w:val="none"/>
          <w:u w:val="single"/>
          <w:lang w:eastAsia="zh-CN"/>
        </w:rPr>
        <w:t>海曙区2024年度耕地保护和粮食安全考核服务项目</w:t>
      </w:r>
      <w:r>
        <w:rPr>
          <w:rFonts w:hint="eastAsia" w:ascii="宋体" w:hAnsi="宋体" w:eastAsia="宋体" w:cs="宋体"/>
          <w:color w:val="auto"/>
          <w:szCs w:val="21"/>
          <w:highlight w:val="none"/>
        </w:rPr>
        <w:t>进行的专项技术服务，并支付相应的技术服务报酬。双方经过平等协商，在真实、充分地表达各自意愿的基础上，根据《中华人民共和国</w:t>
      </w:r>
      <w:r>
        <w:rPr>
          <w:rFonts w:hint="eastAsia" w:ascii="宋体" w:hAnsi="宋体" w:eastAsia="宋体" w:cs="宋体"/>
          <w:color w:val="auto"/>
          <w:szCs w:val="21"/>
          <w:highlight w:val="none"/>
          <w:lang w:eastAsia="zh-CN"/>
        </w:rPr>
        <w:t>民法典</w:t>
      </w:r>
      <w:r>
        <w:rPr>
          <w:rFonts w:hint="eastAsia" w:ascii="宋体" w:hAnsi="宋体" w:eastAsia="宋体" w:cs="宋体"/>
          <w:color w:val="auto"/>
          <w:szCs w:val="21"/>
          <w:highlight w:val="none"/>
        </w:rPr>
        <w:t>》的规定，达成如下协议，并由双方共同恪守。</w:t>
      </w:r>
    </w:p>
    <w:p w14:paraId="141BA4D8">
      <w:pPr>
        <w:keepNext w:val="0"/>
        <w:keepLines w:val="0"/>
        <w:pageBreakBefore w:val="0"/>
        <w:kinsoku/>
        <w:overflowPunct/>
        <w:topLinePunct w:val="0"/>
        <w:autoSpaceDE/>
        <w:autoSpaceDN/>
        <w:bidi w:val="0"/>
        <w:adjustRightInd/>
        <w:spacing w:line="408" w:lineRule="auto"/>
        <w:ind w:firstLine="413" w:firstLineChars="196"/>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第一条：</w:t>
      </w:r>
      <w:r>
        <w:rPr>
          <w:rFonts w:hint="eastAsia" w:ascii="宋体" w:hAnsi="宋体" w:eastAsia="宋体" w:cs="宋体"/>
          <w:color w:val="auto"/>
          <w:szCs w:val="21"/>
          <w:highlight w:val="none"/>
        </w:rPr>
        <w:t>甲方委托乙方进行技术服务的内容如下：</w:t>
      </w:r>
    </w:p>
    <w:p w14:paraId="52C6D61E">
      <w:pPr>
        <w:keepNext w:val="0"/>
        <w:keepLines w:val="0"/>
        <w:pageBreakBefore w:val="0"/>
        <w:kinsoku/>
        <w:overflowPunct/>
        <w:topLinePunct w:val="0"/>
        <w:autoSpaceDE/>
        <w:autoSpaceDN/>
        <w:bidi w:val="0"/>
        <w:adjustRightInd/>
        <w:spacing w:line="408" w:lineRule="auto"/>
        <w:ind w:firstLine="420" w:firstLineChars="200"/>
        <w:jc w:val="left"/>
        <w:textAlignment w:val="auto"/>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1．技术服务的范围：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p>
    <w:p w14:paraId="45A838BD">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lang w:val="en-US" w:eastAsia="zh-CN" w:bidi="ar-SA"/>
        </w:rPr>
        <w:t>2．技术服务的内容：</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w:t>
      </w:r>
    </w:p>
    <w:p w14:paraId="1A39FD12">
      <w:pPr>
        <w:keepNext w:val="0"/>
        <w:keepLines w:val="0"/>
        <w:pageBreakBefore w:val="0"/>
        <w:kinsoku/>
        <w:overflowPunct/>
        <w:topLinePunct w:val="0"/>
        <w:autoSpaceDE/>
        <w:autoSpaceDN/>
        <w:bidi w:val="0"/>
        <w:adjustRightInd/>
        <w:spacing w:line="408" w:lineRule="auto"/>
        <w:ind w:firstLine="479" w:firstLineChars="227"/>
        <w:jc w:val="left"/>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第二条：</w:t>
      </w:r>
      <w:r>
        <w:rPr>
          <w:rFonts w:hint="eastAsia" w:ascii="宋体" w:hAnsi="宋体" w:eastAsia="宋体" w:cs="宋体"/>
          <w:color w:val="auto"/>
          <w:szCs w:val="21"/>
          <w:highlight w:val="none"/>
        </w:rPr>
        <w:t>乙方应按下列要求完成技术服务工作：</w:t>
      </w:r>
    </w:p>
    <w:p w14:paraId="1E42F714">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1．技术服务地点：</w:t>
      </w:r>
      <w:r>
        <w:rPr>
          <w:rFonts w:hint="eastAsia" w:ascii="宋体" w:hAnsi="宋体" w:eastAsia="宋体" w:cs="宋体"/>
          <w:color w:val="auto"/>
          <w:szCs w:val="21"/>
          <w:highlight w:val="none"/>
          <w:u w:val="single"/>
        </w:rPr>
        <w:t>宁波市海曙区。</w:t>
      </w:r>
    </w:p>
    <w:p w14:paraId="55D50D0E">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2．技术服务期限：</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年  月  日到</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年  月  日</w:t>
      </w:r>
      <w:r>
        <w:rPr>
          <w:rFonts w:hint="eastAsia" w:ascii="宋体" w:hAnsi="宋体" w:eastAsia="宋体" w:cs="宋体"/>
          <w:color w:val="auto"/>
          <w:szCs w:val="21"/>
          <w:highlight w:val="none"/>
          <w:lang w:eastAsia="zh-CN"/>
        </w:rPr>
        <w:t>。</w:t>
      </w:r>
    </w:p>
    <w:p w14:paraId="4DFE867C">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b/>
          <w:color w:val="auto"/>
          <w:szCs w:val="21"/>
          <w:highlight w:val="none"/>
          <w:u w:val="single"/>
        </w:rPr>
      </w:pPr>
      <w:r>
        <w:rPr>
          <w:rFonts w:hint="eastAsia" w:ascii="宋体" w:hAnsi="宋体" w:eastAsia="宋体" w:cs="宋体"/>
          <w:color w:val="auto"/>
          <w:szCs w:val="21"/>
          <w:highlight w:val="none"/>
        </w:rPr>
        <w:t>3．技术服务质量要求：</w:t>
      </w:r>
      <w:r>
        <w:rPr>
          <w:rFonts w:hint="eastAsia" w:ascii="宋体" w:hAnsi="宋体" w:eastAsia="宋体" w:cs="宋体"/>
          <w:color w:val="auto"/>
          <w:szCs w:val="21"/>
          <w:highlight w:val="none"/>
          <w:u w:val="single"/>
        </w:rPr>
        <w:t>满足</w:t>
      </w:r>
      <w:r>
        <w:rPr>
          <w:rFonts w:hint="eastAsia" w:ascii="宋体" w:hAnsi="宋体" w:cs="宋体"/>
          <w:color w:val="auto"/>
          <w:szCs w:val="21"/>
          <w:highlight w:val="none"/>
          <w:u w:val="single"/>
          <w:lang w:val="en-US" w:eastAsia="zh-CN"/>
        </w:rPr>
        <w:t>国家、省、市、区相关</w:t>
      </w:r>
      <w:r>
        <w:rPr>
          <w:rFonts w:hint="eastAsia" w:ascii="宋体" w:hAnsi="宋体" w:eastAsia="宋体" w:cs="宋体"/>
          <w:color w:val="auto"/>
          <w:szCs w:val="21"/>
          <w:highlight w:val="none"/>
          <w:u w:val="single"/>
        </w:rPr>
        <w:t>规定要求，按时按规上报相关成果。</w:t>
      </w:r>
    </w:p>
    <w:p w14:paraId="49E0D4E3">
      <w:pPr>
        <w:keepNext w:val="0"/>
        <w:keepLines w:val="0"/>
        <w:pageBreakBefore w:val="0"/>
        <w:kinsoku/>
        <w:overflowPunct/>
        <w:topLinePunct w:val="0"/>
        <w:autoSpaceDE/>
        <w:autoSpaceDN/>
        <w:bidi w:val="0"/>
        <w:adjustRightInd/>
        <w:spacing w:line="408" w:lineRule="auto"/>
        <w:ind w:firstLine="413" w:firstLineChars="196"/>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第三条：</w:t>
      </w:r>
      <w:r>
        <w:rPr>
          <w:rFonts w:hint="eastAsia" w:ascii="宋体" w:hAnsi="宋体" w:eastAsia="宋体" w:cs="宋体"/>
          <w:color w:val="auto"/>
          <w:szCs w:val="21"/>
          <w:highlight w:val="none"/>
        </w:rPr>
        <w:t>为保证乙方有效进行技术服务工作，甲方应当向乙方提供下列工作条件和协作事项：</w:t>
      </w:r>
    </w:p>
    <w:p w14:paraId="689D24C6">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1.指定专人负责协调合同执行过程中的问题；</w:t>
      </w:r>
    </w:p>
    <w:p w14:paraId="3185D7B3">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2.甲方明确项目范围和工作要求；</w:t>
      </w:r>
    </w:p>
    <w:p w14:paraId="5806C021">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3.按期支付项目费用。</w:t>
      </w:r>
    </w:p>
    <w:p w14:paraId="4918C859">
      <w:pPr>
        <w:keepNext w:val="0"/>
        <w:keepLines w:val="0"/>
        <w:pageBreakBefore w:val="0"/>
        <w:kinsoku/>
        <w:overflowPunct/>
        <w:topLinePunct w:val="0"/>
        <w:autoSpaceDE/>
        <w:autoSpaceDN/>
        <w:bidi w:val="0"/>
        <w:adjustRightInd/>
        <w:spacing w:line="408" w:lineRule="auto"/>
        <w:ind w:firstLine="422" w:firstLineChars="200"/>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第四条：</w:t>
      </w:r>
      <w:r>
        <w:rPr>
          <w:rFonts w:hint="eastAsia" w:ascii="宋体" w:hAnsi="宋体" w:eastAsia="宋体" w:cs="宋体"/>
          <w:color w:val="auto"/>
          <w:szCs w:val="21"/>
          <w:highlight w:val="none"/>
        </w:rPr>
        <w:t>甲方向乙方支付技术服务报酬及支付方式为：</w:t>
      </w:r>
    </w:p>
    <w:p w14:paraId="11D5354B">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1．技术服务费：项目经费合计：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万元人民币。大写：人民币</w:t>
      </w:r>
      <w:r>
        <w:rPr>
          <w:rFonts w:hint="eastAsia" w:ascii="宋体" w:hAnsi="宋体" w:eastAsia="宋体" w:cs="宋体"/>
          <w:color w:val="auto"/>
          <w:szCs w:val="21"/>
          <w:highlight w:val="none"/>
          <w:u w:val="single"/>
        </w:rPr>
        <w:t xml:space="preserve">    元</w:t>
      </w:r>
      <w:r>
        <w:rPr>
          <w:rFonts w:hint="eastAsia" w:ascii="宋体" w:hAnsi="宋体" w:eastAsia="宋体" w:cs="宋体"/>
          <w:color w:val="auto"/>
          <w:szCs w:val="21"/>
          <w:highlight w:val="none"/>
        </w:rPr>
        <w:t>整，包干结算。</w:t>
      </w:r>
    </w:p>
    <w:p w14:paraId="0082CD6B">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2．技术服务费由甲方</w:t>
      </w:r>
      <w:r>
        <w:rPr>
          <w:rFonts w:hint="eastAsia" w:ascii="宋体" w:hAnsi="宋体" w:eastAsia="宋体" w:cs="宋体"/>
          <w:color w:val="auto"/>
          <w:szCs w:val="21"/>
          <w:highlight w:val="none"/>
          <w:u w:val="single"/>
        </w:rPr>
        <w:t>分期</w:t>
      </w:r>
      <w:r>
        <w:rPr>
          <w:rFonts w:hint="eastAsia" w:ascii="宋体" w:hAnsi="宋体" w:eastAsia="宋体" w:cs="宋体"/>
          <w:color w:val="auto"/>
          <w:szCs w:val="21"/>
          <w:highlight w:val="none"/>
        </w:rPr>
        <w:t>支付乙方。</w:t>
      </w:r>
    </w:p>
    <w:p w14:paraId="15FCC9AD">
      <w:pPr>
        <w:keepNext w:val="0"/>
        <w:keepLines w:val="0"/>
        <w:pageBreakBefore w:val="0"/>
        <w:kinsoku/>
        <w:overflowPunct/>
        <w:topLinePunct w:val="0"/>
        <w:autoSpaceDE/>
        <w:autoSpaceDN/>
        <w:bidi w:val="0"/>
        <w:adjustRightInd/>
        <w:spacing w:line="408" w:lineRule="auto"/>
        <w:ind w:firstLine="57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具体支付方式和时间如下：</w:t>
      </w:r>
    </w:p>
    <w:p w14:paraId="3262DEAD">
      <w:pPr>
        <w:keepNext w:val="0"/>
        <w:keepLines w:val="0"/>
        <w:pageBreakBefore w:val="0"/>
        <w:tabs>
          <w:tab w:val="left" w:pos="851"/>
          <w:tab w:val="left" w:pos="993"/>
        </w:tabs>
        <w:kinsoku/>
        <w:overflowPunct/>
        <w:topLinePunct w:val="0"/>
        <w:autoSpaceDE/>
        <w:autoSpaceDN/>
        <w:bidi w:val="0"/>
        <w:adjustRightInd/>
        <w:spacing w:line="408" w:lineRule="auto"/>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（1）在合同生效以及具备实施条件后7个工作日内，</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lang w:val="en-US" w:eastAsia="zh-CN"/>
        </w:rPr>
        <w:t>支付合同款项的30%。如</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lang w:val="en-US" w:eastAsia="zh-CN"/>
        </w:rPr>
        <w:t>主动要求降低预付款比例</w:t>
      </w:r>
      <w:r>
        <w:rPr>
          <w:rFonts w:hint="eastAsia" w:ascii="宋体" w:hAnsi="宋体" w:cs="宋体"/>
          <w:color w:val="auto"/>
          <w:szCs w:val="21"/>
          <w:highlight w:val="none"/>
          <w:lang w:val="en-US" w:eastAsia="zh-CN"/>
        </w:rPr>
        <w:t>，并提交书面承诺</w:t>
      </w:r>
      <w:r>
        <w:rPr>
          <w:rFonts w:hint="eastAsia" w:ascii="宋体" w:hAnsi="宋体" w:eastAsia="宋体" w:cs="宋体"/>
          <w:color w:val="auto"/>
          <w:szCs w:val="21"/>
          <w:highlight w:val="none"/>
          <w:lang w:val="en-US" w:eastAsia="zh-CN"/>
        </w:rPr>
        <w:t>的，</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lang w:val="en-US" w:eastAsia="zh-CN"/>
        </w:rPr>
        <w:t>可降低预付款比例。</w:t>
      </w:r>
    </w:p>
    <w:p w14:paraId="6EC5923B">
      <w:pPr>
        <w:keepNext w:val="0"/>
        <w:keepLines w:val="0"/>
        <w:pageBreakBefore w:val="0"/>
        <w:tabs>
          <w:tab w:val="left" w:pos="851"/>
          <w:tab w:val="left" w:pos="993"/>
        </w:tabs>
        <w:kinsoku/>
        <w:overflowPunct/>
        <w:topLinePunct w:val="0"/>
        <w:autoSpaceDE/>
        <w:autoSpaceDN/>
        <w:bidi w:val="0"/>
        <w:adjustRightInd/>
        <w:spacing w:line="408" w:lineRule="auto"/>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（2）余款在提交成果报告并验收合格后支付。</w:t>
      </w:r>
    </w:p>
    <w:p w14:paraId="04EADF28">
      <w:pPr>
        <w:keepNext w:val="0"/>
        <w:keepLines w:val="0"/>
        <w:pageBreakBefore w:val="0"/>
        <w:tabs>
          <w:tab w:val="left" w:pos="851"/>
          <w:tab w:val="left" w:pos="993"/>
        </w:tabs>
        <w:kinsoku/>
        <w:overflowPunct/>
        <w:topLinePunct w:val="0"/>
        <w:autoSpaceDE/>
        <w:autoSpaceDN/>
        <w:bidi w:val="0"/>
        <w:adjustRightInd/>
        <w:spacing w:line="408" w:lineRule="auto"/>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（3）除预付款外，每次付款前，乙方应向甲方开具技术服务内容的相应金额的增值税普通发票，乙方迟延开具的，甲方付款时间相应顺延。</w:t>
      </w:r>
    </w:p>
    <w:p w14:paraId="04D55CDC">
      <w:pPr>
        <w:keepNext w:val="0"/>
        <w:keepLines w:val="0"/>
        <w:pageBreakBefore w:val="0"/>
        <w:tabs>
          <w:tab w:val="left" w:pos="851"/>
          <w:tab w:val="left" w:pos="993"/>
        </w:tabs>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3.乙方开户银行名称、地址和帐号为：</w:t>
      </w:r>
    </w:p>
    <w:p w14:paraId="17F0ABAB">
      <w:pPr>
        <w:keepNext w:val="0"/>
        <w:keepLines w:val="0"/>
        <w:pageBreakBefore w:val="0"/>
        <w:kinsoku/>
        <w:overflowPunct/>
        <w:topLinePunct w:val="0"/>
        <w:autoSpaceDE/>
        <w:autoSpaceDN/>
        <w:bidi w:val="0"/>
        <w:adjustRightInd/>
        <w:spacing w:line="408" w:lineRule="auto"/>
        <w:ind w:firstLine="630" w:firstLineChars="300"/>
        <w:textAlignment w:val="auto"/>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开户银行：</w:t>
      </w:r>
    </w:p>
    <w:p w14:paraId="556D004F">
      <w:pPr>
        <w:keepNext w:val="0"/>
        <w:keepLines w:val="0"/>
        <w:pageBreakBefore w:val="0"/>
        <w:kinsoku/>
        <w:overflowPunct/>
        <w:topLinePunct w:val="0"/>
        <w:autoSpaceDE/>
        <w:autoSpaceDN/>
        <w:bidi w:val="0"/>
        <w:adjustRightInd/>
        <w:spacing w:line="408" w:lineRule="auto"/>
        <w:ind w:firstLine="630" w:firstLineChars="300"/>
        <w:textAlignment w:val="auto"/>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地址：</w:t>
      </w:r>
    </w:p>
    <w:p w14:paraId="04D44B84">
      <w:pPr>
        <w:keepNext w:val="0"/>
        <w:keepLines w:val="0"/>
        <w:pageBreakBefore w:val="0"/>
        <w:kinsoku/>
        <w:overflowPunct/>
        <w:topLinePunct w:val="0"/>
        <w:autoSpaceDE/>
        <w:autoSpaceDN/>
        <w:bidi w:val="0"/>
        <w:adjustRightInd/>
        <w:spacing w:line="408" w:lineRule="auto"/>
        <w:ind w:firstLine="630" w:firstLineChars="300"/>
        <w:textAlignment w:val="auto"/>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帐号：</w:t>
      </w:r>
    </w:p>
    <w:p w14:paraId="5143BBED">
      <w:pPr>
        <w:keepNext w:val="0"/>
        <w:keepLines w:val="0"/>
        <w:pageBreakBefore w:val="0"/>
        <w:kinsoku/>
        <w:overflowPunct/>
        <w:topLinePunct w:val="0"/>
        <w:autoSpaceDE/>
        <w:autoSpaceDN/>
        <w:bidi w:val="0"/>
        <w:adjustRightInd/>
        <w:spacing w:line="408" w:lineRule="auto"/>
        <w:ind w:firstLine="422" w:firstLineChars="200"/>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第五条：</w:t>
      </w:r>
      <w:r>
        <w:rPr>
          <w:rFonts w:hint="eastAsia" w:ascii="宋体" w:hAnsi="宋体" w:eastAsia="宋体" w:cs="宋体"/>
          <w:color w:val="auto"/>
          <w:szCs w:val="21"/>
          <w:highlight w:val="none"/>
        </w:rPr>
        <w:t>双方确定因履行本合同应遵守的保密义务如下：</w:t>
      </w:r>
    </w:p>
    <w:p w14:paraId="6D0F7D2C">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 甲、乙双方应对技术服务过程中涉及的商业秘密、所使用的永农地块信息数据按照国家有关保密法律法规的要求，采取有效的保密措施，严防泄密。</w:t>
      </w:r>
    </w:p>
    <w:p w14:paraId="1DF4B1EF">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2．甲、乙双方有义务保证各自参与本技术服务的工作人员履行保密责任，否则应承担相应法律责任。</w:t>
      </w:r>
    </w:p>
    <w:p w14:paraId="1A0DE8AC">
      <w:pPr>
        <w:keepNext w:val="0"/>
        <w:keepLines w:val="0"/>
        <w:pageBreakBefore w:val="0"/>
        <w:kinsoku/>
        <w:overflowPunct/>
        <w:topLinePunct w:val="0"/>
        <w:autoSpaceDE/>
        <w:autoSpaceDN/>
        <w:bidi w:val="0"/>
        <w:adjustRightInd/>
        <w:spacing w:line="408" w:lineRule="auto"/>
        <w:ind w:firstLine="422"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第六条：</w:t>
      </w:r>
      <w:r>
        <w:rPr>
          <w:rFonts w:hint="eastAsia" w:ascii="宋体" w:hAnsi="宋体" w:eastAsia="宋体" w:cs="宋体"/>
          <w:color w:val="auto"/>
          <w:szCs w:val="21"/>
          <w:highlight w:val="none"/>
          <w:lang w:eastAsia="zh-CN"/>
        </w:rPr>
        <w:t>知识产权：</w:t>
      </w:r>
    </w:p>
    <w:p w14:paraId="2B80CE5E">
      <w:pPr>
        <w:keepNext w:val="0"/>
        <w:keepLines w:val="0"/>
        <w:pageBreakBefore w:val="0"/>
        <w:tabs>
          <w:tab w:val="left" w:pos="270"/>
        </w:tabs>
        <w:kinsoku/>
        <w:overflowPunct/>
        <w:topLinePunct w:val="0"/>
        <w:autoSpaceDE/>
        <w:autoSpaceDN/>
        <w:bidi w:val="0"/>
        <w:adjustRightInd/>
        <w:spacing w:beforeLines="0" w:afterLines="0" w:line="408" w:lineRule="auto"/>
        <w:ind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、甲方在合同范围内使用研究成果不受第三方提出的关于专利权、版权、设计、其他知识产权或使用许可的法律纠纷，倘若发生有关的诉讼，完全由乙方应诉并承担法律责任。</w:t>
      </w:r>
    </w:p>
    <w:p w14:paraId="2E1A0D05">
      <w:pPr>
        <w:keepNext w:val="0"/>
        <w:keepLines w:val="0"/>
        <w:pageBreakBefore w:val="0"/>
        <w:tabs>
          <w:tab w:val="left" w:pos="270"/>
        </w:tabs>
        <w:kinsoku/>
        <w:overflowPunct/>
        <w:topLinePunct w:val="0"/>
        <w:autoSpaceDE/>
        <w:autoSpaceDN/>
        <w:bidi w:val="0"/>
        <w:adjustRightInd/>
        <w:spacing w:beforeLines="0" w:afterLines="0" w:line="408" w:lineRule="auto"/>
        <w:ind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本项目所有成果的版权属甲方所有，未经同意，乙方不得自行删除、复制、修改、转移数据，亦不得以任何形式向第三方提供；甲方提供的任何业务资料，乙方需认真保管、严格保密，并在使用完毕后及时归还。不论本合同是否变更、解除、终止，本条款均有效。</w:t>
      </w:r>
    </w:p>
    <w:p w14:paraId="0E5F9718">
      <w:pPr>
        <w:keepNext w:val="0"/>
        <w:keepLines w:val="0"/>
        <w:pageBreakBefore w:val="0"/>
        <w:kinsoku/>
        <w:overflowPunct/>
        <w:topLinePunct w:val="0"/>
        <w:autoSpaceDE/>
        <w:autoSpaceDN/>
        <w:bidi w:val="0"/>
        <w:adjustRightInd/>
        <w:spacing w:line="408" w:lineRule="auto"/>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第七条</w:t>
      </w:r>
      <w:r>
        <w:rPr>
          <w:rFonts w:hint="eastAsia" w:ascii="宋体" w:hAnsi="宋体" w:eastAsia="宋体" w:cs="宋体"/>
          <w:color w:val="auto"/>
          <w:szCs w:val="21"/>
          <w:highlight w:val="none"/>
        </w:rPr>
        <w:t>：双方确定以下列标准和方式对乙方的技术服务工作成果进行验收：</w:t>
      </w:r>
    </w:p>
    <w:p w14:paraId="6A884C9F">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.项目成果</w:t>
      </w:r>
      <w:r>
        <w:rPr>
          <w:rFonts w:hint="eastAsia" w:ascii="宋体" w:hAnsi="宋体" w:eastAsia="宋体" w:cs="宋体"/>
          <w:color w:val="auto"/>
          <w:highlight w:val="none"/>
        </w:rPr>
        <w:t>主要包括统计表、专题图、成果报告等。</w:t>
      </w:r>
    </w:p>
    <w:p w14:paraId="2A48FDC0">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w:t>
      </w:r>
      <w:r>
        <w:rPr>
          <w:rFonts w:hint="eastAsia" w:ascii="宋体" w:hAnsi="宋体" w:eastAsia="宋体" w:cs="宋体"/>
          <w:color w:val="auto"/>
          <w:highlight w:val="none"/>
        </w:rPr>
        <w:t>)统计表。包括现状耕地年度变化统计表，乡镇耕地保护基金发放汇算等。</w:t>
      </w:r>
    </w:p>
    <w:p w14:paraId="6981046C">
      <w:pPr>
        <w:pageBreakBefore w:val="0"/>
        <w:widowControl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rPr>
        <w:t>)专题图。包括现状耕地分布图、永久基本农田图，耕地布局优化分布图等。</w:t>
      </w:r>
    </w:p>
    <w:p w14:paraId="2C778919">
      <w:pPr>
        <w:keepNext w:val="0"/>
        <w:keepLines w:val="0"/>
        <w:pageBreakBefore w:val="0"/>
        <w:tabs>
          <w:tab w:val="left" w:pos="270"/>
        </w:tabs>
        <w:kinsoku/>
        <w:overflowPunct/>
        <w:topLinePunct w:val="0"/>
        <w:autoSpaceDE/>
        <w:autoSpaceDN/>
        <w:bidi w:val="0"/>
        <w:adjustRightInd/>
        <w:spacing w:beforeLines="0" w:afterLines="0" w:line="408"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)成果报告。</w:t>
      </w:r>
    </w:p>
    <w:p w14:paraId="00CA2D64">
      <w:pPr>
        <w:keepNext w:val="0"/>
        <w:keepLines w:val="0"/>
        <w:pageBreakBefore w:val="0"/>
        <w:tabs>
          <w:tab w:val="left" w:pos="270"/>
        </w:tabs>
        <w:kinsoku/>
        <w:overflowPunct/>
        <w:topLinePunct w:val="0"/>
        <w:autoSpaceDE/>
        <w:autoSpaceDN/>
        <w:bidi w:val="0"/>
        <w:adjustRightInd/>
        <w:spacing w:beforeLines="0" w:afterLines="0" w:line="408" w:lineRule="auto"/>
        <w:ind w:firstLine="422" w:firstLineChars="200"/>
        <w:textAlignment w:val="auto"/>
        <w:outlineLvl w:val="9"/>
        <w:rPr>
          <w:rFonts w:hint="eastAsia" w:ascii="仿宋_GB2312" w:hAnsi="黑体" w:eastAsia="仿宋_GB2312" w:cs="Times New Roman"/>
          <w:b/>
          <w:bCs/>
          <w:color w:val="auto"/>
          <w:sz w:val="32"/>
          <w:szCs w:val="20"/>
          <w:highlight w:val="none"/>
          <w:lang w:val="en-US" w:eastAsia="zh-CN"/>
        </w:rPr>
      </w:pPr>
      <w:r>
        <w:rPr>
          <w:rFonts w:hint="eastAsia" w:ascii="宋体" w:hAnsi="宋体" w:eastAsia="宋体" w:cs="宋体"/>
          <w:b/>
          <w:bCs/>
          <w:color w:val="auto"/>
          <w:sz w:val="21"/>
          <w:szCs w:val="21"/>
          <w:highlight w:val="none"/>
          <w:lang w:val="en-US" w:eastAsia="zh-CN"/>
        </w:rPr>
        <w:t>成果要求需根据省、市相关要求进行调整。</w:t>
      </w:r>
    </w:p>
    <w:p w14:paraId="17FF164C">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．质量与验收：</w:t>
      </w:r>
    </w:p>
    <w:p w14:paraId="19730155">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质量要求</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项目成果须符合</w:t>
      </w:r>
      <w:r>
        <w:rPr>
          <w:rFonts w:hint="eastAsia" w:ascii="宋体" w:hAnsi="宋体" w:cs="宋体"/>
          <w:color w:val="auto"/>
          <w:sz w:val="21"/>
          <w:szCs w:val="21"/>
          <w:highlight w:val="none"/>
          <w:lang w:val="en-US" w:eastAsia="zh-CN"/>
        </w:rPr>
        <w:t>国家、省、市、区</w:t>
      </w:r>
      <w:r>
        <w:rPr>
          <w:rFonts w:hint="eastAsia" w:ascii="宋体" w:hAnsi="宋体" w:eastAsia="宋体" w:cs="宋体"/>
          <w:color w:val="auto"/>
          <w:sz w:val="21"/>
          <w:szCs w:val="21"/>
          <w:highlight w:val="none"/>
          <w:lang w:val="en-US" w:eastAsia="zh-CN"/>
        </w:rPr>
        <w:t>等有关规定要求。</w:t>
      </w:r>
    </w:p>
    <w:p w14:paraId="4353DC9A">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验收</w:t>
      </w:r>
      <w:r>
        <w:rPr>
          <w:rFonts w:hint="eastAsia" w:ascii="宋体" w:hAnsi="宋体" w:eastAsia="宋体" w:cs="宋体"/>
          <w:color w:val="auto"/>
          <w:szCs w:val="21"/>
          <w:highlight w:val="none"/>
        </w:rPr>
        <w:t>要求：一次性验收合格。</w:t>
      </w:r>
    </w:p>
    <w:p w14:paraId="09451DDC">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3．成果提交时间和地点：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717457DD">
      <w:pPr>
        <w:keepNext w:val="0"/>
        <w:keepLines w:val="0"/>
        <w:pageBreakBefore w:val="0"/>
        <w:kinsoku/>
        <w:overflowPunct/>
        <w:topLinePunct w:val="0"/>
        <w:autoSpaceDE/>
        <w:autoSpaceDN/>
        <w:bidi w:val="0"/>
        <w:adjustRightInd/>
        <w:spacing w:line="408" w:lineRule="auto"/>
        <w:ind w:firstLine="413" w:firstLineChars="196"/>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第八条：</w:t>
      </w:r>
      <w:r>
        <w:rPr>
          <w:rFonts w:hint="eastAsia" w:ascii="宋体" w:hAnsi="宋体" w:eastAsia="宋体" w:cs="宋体"/>
          <w:color w:val="auto"/>
          <w:szCs w:val="21"/>
          <w:highlight w:val="none"/>
        </w:rPr>
        <w:t>双方确定，按以下约定承担各自的义务和违约责任：</w:t>
      </w:r>
    </w:p>
    <w:p w14:paraId="18D229D9">
      <w:pPr>
        <w:keepNext w:val="0"/>
        <w:keepLines w:val="0"/>
        <w:pageBreakBefore w:val="0"/>
        <w:kinsoku/>
        <w:overflowPunct/>
        <w:topLinePunct w:val="0"/>
        <w:autoSpaceDE/>
        <w:autoSpaceDN/>
        <w:bidi w:val="0"/>
        <w:adjustRightInd/>
        <w:spacing w:line="408" w:lineRule="auto"/>
        <w:ind w:firstLine="630" w:firstLineChars="3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 甲方的义务</w:t>
      </w:r>
    </w:p>
    <w:p w14:paraId="5EFD3814">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（1）及时向乙方提供明确的项目需求和项目开展必须的数据成果；</w:t>
      </w:r>
    </w:p>
    <w:p w14:paraId="2F1AB0D5">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）保证该项目工程款项按合同约定进行支付。</w:t>
      </w:r>
    </w:p>
    <w:p w14:paraId="43B16A05">
      <w:pPr>
        <w:keepNext w:val="0"/>
        <w:keepLines w:val="0"/>
        <w:pageBreakBefore w:val="0"/>
        <w:kinsoku/>
        <w:overflowPunct/>
        <w:topLinePunct w:val="0"/>
        <w:autoSpaceDE/>
        <w:autoSpaceDN/>
        <w:bidi w:val="0"/>
        <w:adjustRightInd/>
        <w:spacing w:line="408" w:lineRule="auto"/>
        <w:ind w:firstLine="630" w:firstLineChars="3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 乙方的义务</w:t>
      </w:r>
    </w:p>
    <w:p w14:paraId="1F48C414">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（1）定期向甲方汇报项目进展情况；</w:t>
      </w:r>
    </w:p>
    <w:p w14:paraId="5C9F4D5F">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（2）严格按照项目采购文件、</w:t>
      </w:r>
      <w:r>
        <w:rPr>
          <w:rFonts w:hint="eastAsia" w:ascii="宋体" w:hAnsi="宋体" w:cs="宋体"/>
          <w:color w:val="auto"/>
          <w:szCs w:val="21"/>
          <w:highlight w:val="none"/>
          <w:lang w:val="en-US" w:eastAsia="zh-CN"/>
        </w:rPr>
        <w:t>国家、省、市、区</w:t>
      </w:r>
      <w:r>
        <w:rPr>
          <w:rFonts w:hint="eastAsia" w:ascii="宋体" w:hAnsi="宋体" w:eastAsia="宋体" w:cs="宋体"/>
          <w:color w:val="auto"/>
          <w:szCs w:val="21"/>
          <w:highlight w:val="none"/>
        </w:rPr>
        <w:t>等有关规定认真组织项目实施；</w:t>
      </w:r>
    </w:p>
    <w:p w14:paraId="1F223E62">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（3）接受甲方的质量和进度监督，按时提交符合规定要求的成果资料；</w:t>
      </w:r>
    </w:p>
    <w:p w14:paraId="1577D3CC">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（4）对于甲方提出的质量质疑或问题，应当及时给予回复；</w:t>
      </w:r>
    </w:p>
    <w:p w14:paraId="0867B918">
      <w:pPr>
        <w:keepNext w:val="0"/>
        <w:keepLines w:val="0"/>
        <w:pageBreakBefore w:val="0"/>
        <w:kinsoku/>
        <w:overflowPunct/>
        <w:topLinePunct w:val="0"/>
        <w:autoSpaceDE/>
        <w:autoSpaceDN/>
        <w:bidi w:val="0"/>
        <w:adjustRightInd/>
        <w:spacing w:line="408" w:lineRule="auto"/>
        <w:ind w:firstLine="630" w:firstLineChars="3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3.甲方的违约责任</w:t>
      </w:r>
    </w:p>
    <w:p w14:paraId="2734E7BD">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（1）本合同履行期间,由于甲方单方面原因造成工程停止而终止合同的，乙方未进入现场工作前,甲方应向乙方偿付技术服务费的5%；乙方已进入现场工作,甲方应按完成的实际工作量支付技术服务费；</w:t>
      </w:r>
    </w:p>
    <w:p w14:paraId="6A3B961D">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（2）如因甲方变更委托技术服务的项目、规模、条件、或因提供基础资料重大错误、或因所指定工作区域后又作较大修改，以致造成乙方需返工时，甲方需按乙方所完成实际工作量向乙方支付费用；</w:t>
      </w:r>
    </w:p>
    <w:p w14:paraId="68AF261A">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（3）甲方未按合同约定支付技术服务费的，甲方应向乙方支付不低于同期银行利率的违约滞纳金。</w:t>
      </w:r>
      <w:r>
        <w:rPr>
          <w:rFonts w:hint="eastAsia" w:ascii="宋体" w:hAnsi="宋体" w:cs="宋体"/>
          <w:color w:val="auto"/>
          <w:szCs w:val="21"/>
          <w:highlight w:val="none"/>
          <w:lang w:val="en-US" w:eastAsia="zh-CN"/>
        </w:rPr>
        <w:t>本合同涉及的</w:t>
      </w:r>
      <w:r>
        <w:rPr>
          <w:rFonts w:hint="eastAsia" w:ascii="宋体" w:hAnsi="宋体" w:eastAsia="宋体" w:cs="宋体"/>
          <w:color w:val="auto"/>
          <w:szCs w:val="21"/>
          <w:highlight w:val="none"/>
        </w:rPr>
        <w:t>所有款项均在财政资金落实保障后支付。如因财政资金未及时到位导致甲方未及时支付的，不视为甲方违约。</w:t>
      </w:r>
    </w:p>
    <w:p w14:paraId="2499753D">
      <w:pPr>
        <w:keepNext w:val="0"/>
        <w:keepLines w:val="0"/>
        <w:pageBreakBefore w:val="0"/>
        <w:kinsoku/>
        <w:overflowPunct/>
        <w:topLinePunct w:val="0"/>
        <w:autoSpaceDE/>
        <w:autoSpaceDN/>
        <w:bidi w:val="0"/>
        <w:adjustRightInd/>
        <w:spacing w:line="408" w:lineRule="auto"/>
        <w:ind w:firstLine="630" w:firstLineChars="3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 乙方的违约责任</w:t>
      </w:r>
    </w:p>
    <w:p w14:paraId="6B7D3E67">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（1）本合同履行期间,如乙方擅自中途停止或解除合同,乙方应向甲方赔偿已付技术服务费的5%，并归还甲方支付的全部费用；</w:t>
      </w:r>
    </w:p>
    <w:p w14:paraId="782A4564">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（2）乙方未能按合同规定的日期提交成果时,应向甲方赔偿拖期损失费,每天的拖期损失费按合同约定的技术服务费的0.1%计算。因</w:t>
      </w:r>
      <w:r>
        <w:rPr>
          <w:rFonts w:hint="eastAsia" w:ascii="宋体" w:hAnsi="宋体" w:eastAsia="宋体" w:cs="宋体"/>
          <w:color w:val="auto"/>
          <w:szCs w:val="21"/>
          <w:highlight w:val="none"/>
          <w:lang w:eastAsia="zh-CN"/>
        </w:rPr>
        <w:t>非乙方可抗</w:t>
      </w:r>
      <w:r>
        <w:rPr>
          <w:rFonts w:hint="eastAsia" w:ascii="宋体" w:hAnsi="宋体" w:eastAsia="宋体" w:cs="宋体"/>
          <w:color w:val="auto"/>
          <w:szCs w:val="21"/>
          <w:highlight w:val="none"/>
        </w:rPr>
        <w:t>的客观原因造成的工期拖期，乙方不承担赔偿责任；</w:t>
      </w:r>
    </w:p>
    <w:p w14:paraId="28345897">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（3）乙方提供的成果质量不合格的,乙方应负责无偿予以重测或采取补救措施,以达到质量要求。</w:t>
      </w:r>
    </w:p>
    <w:p w14:paraId="66A80CFC">
      <w:pPr>
        <w:keepNext w:val="0"/>
        <w:keepLines w:val="0"/>
        <w:pageBreakBefore w:val="0"/>
        <w:kinsoku/>
        <w:overflowPunct/>
        <w:topLinePunct w:val="0"/>
        <w:autoSpaceDE/>
        <w:autoSpaceDN/>
        <w:bidi w:val="0"/>
        <w:adjustRightInd/>
        <w:spacing w:line="408" w:lineRule="auto"/>
        <w:ind w:firstLine="413" w:firstLineChars="196"/>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第九条：</w:t>
      </w:r>
      <w:r>
        <w:rPr>
          <w:rFonts w:hint="eastAsia" w:ascii="宋体" w:hAnsi="宋体" w:eastAsia="宋体" w:cs="宋体"/>
          <w:color w:val="auto"/>
          <w:szCs w:val="21"/>
          <w:highlight w:val="none"/>
        </w:rPr>
        <w:t>双方确定，出现下列情形，致使本合同的履行成为不必要或不可能的，可以解除本合同：</w:t>
      </w:r>
    </w:p>
    <w:p w14:paraId="54012FBE">
      <w:pPr>
        <w:keepNext w:val="0"/>
        <w:keepLines w:val="0"/>
        <w:pageBreakBefore w:val="0"/>
        <w:kinsoku/>
        <w:overflowPunct/>
        <w:topLinePunct w:val="0"/>
        <w:autoSpaceDE/>
        <w:autoSpaceDN/>
        <w:bidi w:val="0"/>
        <w:adjustRightInd/>
        <w:spacing w:line="408" w:lineRule="auto"/>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u w:val="single"/>
        </w:rPr>
        <w:t>不可抗力。（“不可抗力”指地震、台风、水灾、火灾、战争以及其它本合同各方不能预见，并且对其发生和后果不能防止或不能避免且不可克服的客观情况）</w:t>
      </w:r>
      <w:r>
        <w:rPr>
          <w:rFonts w:hint="eastAsia" w:ascii="宋体" w:hAnsi="宋体" w:eastAsia="宋体" w:cs="宋体"/>
          <w:color w:val="auto"/>
          <w:szCs w:val="21"/>
          <w:highlight w:val="none"/>
        </w:rPr>
        <w:t>。</w:t>
      </w:r>
    </w:p>
    <w:p w14:paraId="0DB116C7">
      <w:pPr>
        <w:keepNext w:val="0"/>
        <w:keepLines w:val="0"/>
        <w:pageBreakBefore w:val="0"/>
        <w:kinsoku/>
        <w:overflowPunct/>
        <w:topLinePunct w:val="0"/>
        <w:autoSpaceDE/>
        <w:autoSpaceDN/>
        <w:bidi w:val="0"/>
        <w:adjustRightInd/>
        <w:spacing w:line="408" w:lineRule="auto"/>
        <w:ind w:firstLine="422" w:firstLineChars="200"/>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第十条：</w:t>
      </w:r>
      <w:r>
        <w:rPr>
          <w:rFonts w:hint="eastAsia" w:ascii="宋体" w:hAnsi="宋体" w:eastAsia="宋体" w:cs="宋体"/>
          <w:color w:val="auto"/>
          <w:szCs w:val="21"/>
          <w:highlight w:val="none"/>
        </w:rPr>
        <w:t>双方因履行本合同而发生的争议，应协商、调解解决。协商、调解不成的，确定按以下第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种方式处理：</w:t>
      </w:r>
    </w:p>
    <w:p w14:paraId="402505BD">
      <w:pPr>
        <w:keepNext w:val="0"/>
        <w:keepLines w:val="0"/>
        <w:pageBreakBefore w:val="0"/>
        <w:kinsoku/>
        <w:overflowPunct/>
        <w:topLinePunct w:val="0"/>
        <w:autoSpaceDE/>
        <w:autoSpaceDN/>
        <w:bidi w:val="0"/>
        <w:adjustRightInd/>
        <w:spacing w:line="408" w:lineRule="auto"/>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1．提交</w:t>
      </w:r>
      <w:r>
        <w:rPr>
          <w:rFonts w:hint="eastAsia" w:ascii="宋体" w:hAnsi="宋体" w:eastAsia="宋体" w:cs="宋体"/>
          <w:color w:val="auto"/>
          <w:szCs w:val="21"/>
          <w:highlight w:val="none"/>
          <w:u w:val="single"/>
        </w:rPr>
        <w:t>宁波仲裁委员会</w:t>
      </w:r>
      <w:r>
        <w:rPr>
          <w:rFonts w:hint="eastAsia" w:ascii="宋体" w:hAnsi="宋体" w:eastAsia="宋体" w:cs="宋体"/>
          <w:color w:val="auto"/>
          <w:szCs w:val="21"/>
          <w:highlight w:val="none"/>
        </w:rPr>
        <w:t>仲裁；</w:t>
      </w:r>
    </w:p>
    <w:p w14:paraId="5D5779F6">
      <w:pPr>
        <w:keepNext w:val="0"/>
        <w:keepLines w:val="0"/>
        <w:pageBreakBefore w:val="0"/>
        <w:kinsoku/>
        <w:overflowPunct/>
        <w:topLinePunct w:val="0"/>
        <w:autoSpaceDE/>
        <w:autoSpaceDN/>
        <w:bidi w:val="0"/>
        <w:adjustRightInd/>
        <w:spacing w:line="408" w:lineRule="auto"/>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2．依法向人民法院起诉。</w:t>
      </w:r>
    </w:p>
    <w:p w14:paraId="5333004E">
      <w:pPr>
        <w:keepNext w:val="0"/>
        <w:keepLines w:val="0"/>
        <w:pageBreakBefore w:val="0"/>
        <w:kinsoku/>
        <w:overflowPunct/>
        <w:topLinePunct w:val="0"/>
        <w:autoSpaceDE/>
        <w:autoSpaceDN/>
        <w:bidi w:val="0"/>
        <w:adjustRightInd/>
        <w:spacing w:line="408" w:lineRule="auto"/>
        <w:ind w:firstLine="413" w:firstLineChars="196"/>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第十一条：</w:t>
      </w:r>
      <w:r>
        <w:rPr>
          <w:rFonts w:hint="eastAsia" w:ascii="宋体" w:hAnsi="宋体" w:eastAsia="宋体" w:cs="宋体"/>
          <w:color w:val="auto"/>
          <w:szCs w:val="21"/>
          <w:highlight w:val="none"/>
        </w:rPr>
        <w:t>双方约定本合同其他相关事项为：</w:t>
      </w:r>
      <w:r>
        <w:rPr>
          <w:rFonts w:hint="eastAsia" w:ascii="宋体" w:hAnsi="宋体" w:eastAsia="宋体" w:cs="宋体"/>
          <w:color w:val="auto"/>
          <w:szCs w:val="21"/>
          <w:highlight w:val="none"/>
          <w:u w:val="single"/>
        </w:rPr>
        <w:t>本合同执行过程中的未尽事宜，双方应本着实事求是友好协商的态度加以解决。双方协商一致的,签订补充协议,补充协议与本合同具有同等效力。</w:t>
      </w:r>
    </w:p>
    <w:p w14:paraId="12135195">
      <w:pPr>
        <w:keepNext w:val="0"/>
        <w:keepLines w:val="0"/>
        <w:pageBreakBefore w:val="0"/>
        <w:kinsoku/>
        <w:overflowPunct/>
        <w:topLinePunct w:val="0"/>
        <w:autoSpaceDE/>
        <w:autoSpaceDN/>
        <w:bidi w:val="0"/>
        <w:adjustRightInd/>
        <w:spacing w:line="408" w:lineRule="auto"/>
        <w:ind w:firstLine="422" w:firstLineChars="200"/>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第十二条：</w:t>
      </w:r>
      <w:r>
        <w:rPr>
          <w:rFonts w:hint="eastAsia" w:ascii="宋体" w:hAnsi="宋体" w:eastAsia="宋体" w:cs="宋体"/>
          <w:color w:val="auto"/>
          <w:szCs w:val="21"/>
          <w:highlight w:val="none"/>
        </w:rPr>
        <w:t>本合同一式</w:t>
      </w:r>
      <w:r>
        <w:rPr>
          <w:rFonts w:hint="eastAsia" w:ascii="宋体" w:hAnsi="宋体" w:eastAsia="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份, 甲方</w:t>
      </w:r>
      <w:r>
        <w:rPr>
          <w:rFonts w:hint="eastAsia" w:ascii="宋体" w:hAnsi="宋体" w:eastAsia="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份，乙方</w:t>
      </w:r>
      <w:r>
        <w:rPr>
          <w:rFonts w:hint="eastAsia" w:ascii="宋体" w:hAnsi="宋体" w:eastAsia="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份，具有同等法律效力；副本</w:t>
      </w:r>
      <w:r>
        <w:rPr>
          <w:rFonts w:hint="eastAsia" w:ascii="宋体" w:hAnsi="宋体" w:cs="宋体"/>
          <w:b/>
          <w:bCs/>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14:paraId="20B7D2A2">
      <w:pPr>
        <w:keepNext w:val="0"/>
        <w:keepLines w:val="0"/>
        <w:pageBreakBefore w:val="0"/>
        <w:kinsoku/>
        <w:overflowPunct/>
        <w:topLinePunct w:val="0"/>
        <w:autoSpaceDE/>
        <w:autoSpaceDN/>
        <w:bidi w:val="0"/>
        <w:adjustRightInd/>
        <w:spacing w:line="408" w:lineRule="auto"/>
        <w:ind w:firstLine="422" w:firstLineChars="200"/>
        <w:textAlignment w:val="auto"/>
        <w:outlineLvl w:val="9"/>
        <w:rPr>
          <w:rFonts w:ascii="宋体" w:hAnsi="宋体" w:eastAsia="宋体" w:cs="宋体"/>
          <w:color w:val="auto"/>
          <w:szCs w:val="21"/>
          <w:highlight w:val="none"/>
        </w:rPr>
      </w:pPr>
      <w:r>
        <w:rPr>
          <w:rFonts w:hint="eastAsia" w:ascii="宋体" w:hAnsi="宋体" w:eastAsia="宋体" w:cs="宋体"/>
          <w:b/>
          <w:color w:val="auto"/>
          <w:szCs w:val="21"/>
          <w:highlight w:val="none"/>
        </w:rPr>
        <w:t>第十三条：</w:t>
      </w:r>
      <w:r>
        <w:rPr>
          <w:rFonts w:hint="eastAsia" w:ascii="宋体" w:hAnsi="宋体" w:eastAsia="宋体" w:cs="宋体"/>
          <w:color w:val="auto"/>
          <w:szCs w:val="21"/>
          <w:highlight w:val="none"/>
        </w:rPr>
        <w:t>本合同由双方代表签字,加盖双方公章或合同专用章后生效,全部成果交接完毕和工程费结算完成后,本合同终。</w:t>
      </w:r>
    </w:p>
    <w:p w14:paraId="2420B1E5">
      <w:pPr>
        <w:keepNext w:val="0"/>
        <w:keepLines w:val="0"/>
        <w:pageBreakBefore w:val="0"/>
        <w:kinsoku/>
        <w:overflowPunct/>
        <w:topLinePunct w:val="0"/>
        <w:autoSpaceDE/>
        <w:autoSpaceDN/>
        <w:bidi w:val="0"/>
        <w:adjustRightInd/>
        <w:spacing w:line="408" w:lineRule="auto"/>
        <w:textAlignment w:val="auto"/>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rPr>
        <w:t>（盖章）</w:t>
      </w:r>
    </w:p>
    <w:p w14:paraId="0F1C9366">
      <w:pPr>
        <w:keepNext w:val="0"/>
        <w:keepLines w:val="0"/>
        <w:pageBreakBefore w:val="0"/>
        <w:kinsoku/>
        <w:overflowPunct/>
        <w:topLinePunct w:val="0"/>
        <w:autoSpaceDE/>
        <w:autoSpaceDN/>
        <w:bidi w:val="0"/>
        <w:adjustRightInd/>
        <w:spacing w:line="408" w:lineRule="auto"/>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法定代表人／委托代理人：</w:t>
      </w:r>
      <w:r>
        <w:rPr>
          <w:rFonts w:hint="eastAsia" w:ascii="宋体" w:hAnsi="宋体" w:eastAsia="宋体" w:cs="宋体"/>
          <w:color w:val="auto"/>
          <w:szCs w:val="21"/>
          <w:highlight w:val="none"/>
          <w:u w:val="single"/>
        </w:rPr>
        <w:t>　　　　　　　　（签名）</w:t>
      </w:r>
      <w:r>
        <w:rPr>
          <w:rFonts w:hint="eastAsia" w:ascii="宋体" w:hAnsi="宋体" w:eastAsia="宋体" w:cs="宋体"/>
          <w:color w:val="auto"/>
          <w:szCs w:val="21"/>
          <w:highlight w:val="none"/>
        </w:rPr>
        <w:t>　</w:t>
      </w:r>
    </w:p>
    <w:p w14:paraId="1C6846AC">
      <w:pPr>
        <w:keepNext w:val="0"/>
        <w:keepLines w:val="0"/>
        <w:pageBreakBefore w:val="0"/>
        <w:kinsoku/>
        <w:wordWrap w:val="0"/>
        <w:overflowPunct/>
        <w:topLinePunct w:val="0"/>
        <w:autoSpaceDE/>
        <w:autoSpaceDN/>
        <w:bidi w:val="0"/>
        <w:adjustRightInd/>
        <w:spacing w:line="408" w:lineRule="auto"/>
        <w:ind w:firstLine="1260" w:firstLineChars="600"/>
        <w:jc w:val="right"/>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5430604B">
      <w:pPr>
        <w:keepNext w:val="0"/>
        <w:keepLines w:val="0"/>
        <w:pageBreakBefore w:val="0"/>
        <w:kinsoku/>
        <w:overflowPunct/>
        <w:topLinePunct w:val="0"/>
        <w:autoSpaceDE/>
        <w:autoSpaceDN/>
        <w:bidi w:val="0"/>
        <w:adjustRightInd/>
        <w:spacing w:line="408" w:lineRule="auto"/>
        <w:textAlignment w:val="auto"/>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（盖章）</w:t>
      </w:r>
    </w:p>
    <w:p w14:paraId="628F1801">
      <w:pPr>
        <w:keepNext w:val="0"/>
        <w:keepLines w:val="0"/>
        <w:pageBreakBefore w:val="0"/>
        <w:kinsoku/>
        <w:overflowPunct/>
        <w:topLinePunct w:val="0"/>
        <w:autoSpaceDE/>
        <w:autoSpaceDN/>
        <w:bidi w:val="0"/>
        <w:adjustRightInd/>
        <w:spacing w:line="408" w:lineRule="auto"/>
        <w:textAlignment w:val="auto"/>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法定代表人／委托代理人：</w:t>
      </w:r>
      <w:r>
        <w:rPr>
          <w:rFonts w:hint="eastAsia" w:ascii="宋体" w:hAnsi="宋体" w:eastAsia="宋体" w:cs="宋体"/>
          <w:color w:val="auto"/>
          <w:szCs w:val="21"/>
          <w:highlight w:val="none"/>
          <w:u w:val="single"/>
        </w:rPr>
        <w:t>　　　　　　　　（签名）</w:t>
      </w:r>
    </w:p>
    <w:p w14:paraId="2A6D5C67">
      <w:pPr>
        <w:keepNext w:val="0"/>
        <w:keepLines w:val="0"/>
        <w:pageBreakBefore w:val="0"/>
        <w:kinsoku/>
        <w:overflowPunct/>
        <w:topLinePunct w:val="0"/>
        <w:autoSpaceDE/>
        <w:autoSpaceDN/>
        <w:bidi w:val="0"/>
        <w:adjustRightInd/>
        <w:spacing w:line="408" w:lineRule="auto"/>
        <w:jc w:val="right"/>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103A9316">
      <w:pPr>
        <w:keepNext w:val="0"/>
        <w:keepLines w:val="0"/>
        <w:pageBreakBefore w:val="0"/>
        <w:widowControl/>
        <w:kinsoku/>
        <w:wordWrap/>
        <w:overflowPunct/>
        <w:topLinePunct w:val="0"/>
        <w:autoSpaceDE/>
        <w:autoSpaceDN/>
        <w:bidi w:val="0"/>
        <w:adjustRightInd/>
        <w:spacing w:beforeAutospacing="0" w:afterAutospacing="0" w:line="408" w:lineRule="auto"/>
        <w:ind w:firstLine="420" w:firstLineChars="200"/>
        <w:jc w:val="left"/>
        <w:textAlignment w:val="auto"/>
        <w:outlineLvl w:val="9"/>
        <w:rPr>
          <w:rFonts w:ascii="宋体" w:hAnsi="宋体" w:eastAsia="宋体" w:cs="宋体"/>
          <w:color w:val="auto"/>
          <w:kern w:val="2"/>
          <w:sz w:val="21"/>
          <w:szCs w:val="21"/>
          <w:highlight w:val="none"/>
          <w:lang w:val="en-US" w:eastAsia="zh-CN" w:bidi="ar-SA"/>
        </w:rPr>
      </w:pPr>
    </w:p>
    <w:p w14:paraId="3A053969">
      <w:pPr>
        <w:widowControl/>
        <w:ind w:left="0" w:leftChars="0" w:firstLine="0" w:firstLineChars="0"/>
        <w:jc w:val="left"/>
        <w:outlineLvl w:val="9"/>
        <w:rPr>
          <w:rFonts w:hint="eastAsia" w:ascii="Times New Roman" w:hAnsi="Times New Roman" w:eastAsia="宋体" w:cs="Times New Roman"/>
          <w:color w:val="auto"/>
          <w:kern w:val="0"/>
          <w:sz w:val="21"/>
          <w:szCs w:val="20"/>
          <w:highlight w:val="none"/>
          <w:lang w:val="en-US" w:eastAsia="zh-CN" w:bidi="ar-SA"/>
        </w:rPr>
      </w:pPr>
    </w:p>
    <w:p w14:paraId="55D7C26D">
      <w:pPr>
        <w:keepNext w:val="0"/>
        <w:keepLines w:val="0"/>
        <w:pageBreakBefore w:val="0"/>
        <w:widowControl w:val="0"/>
        <w:shd w:val="clear"/>
        <w:kinsoku/>
        <w:wordWrap/>
        <w:overflowPunct/>
        <w:topLinePunct w:val="0"/>
        <w:autoSpaceDE/>
        <w:autoSpaceDN/>
        <w:bidi w:val="0"/>
        <w:adjustRightInd/>
        <w:snapToGrid/>
        <w:spacing w:before="0" w:after="330"/>
        <w:jc w:val="center"/>
        <w:textAlignment w:val="auto"/>
        <w:outlineLvl w:val="0"/>
        <w:rPr>
          <w:rFonts w:asciiTheme="majorEastAsia" w:hAnsiTheme="majorEastAsia" w:eastAsiaTheme="majorEastAsia"/>
          <w:color w:val="auto"/>
          <w:highlight w:val="none"/>
        </w:rPr>
      </w:pPr>
      <w:r>
        <w:rPr>
          <w:rFonts w:hint="eastAsia" w:ascii="宋体" w:hAnsi="宋体" w:eastAsia="宋体" w:cs="宋体"/>
          <w:color w:val="auto"/>
          <w:spacing w:val="-4"/>
          <w:szCs w:val="21"/>
          <w:highlight w:val="none"/>
        </w:rPr>
        <w:br w:type="page"/>
      </w:r>
      <w:bookmarkStart w:id="43" w:name="_Toc24904"/>
      <w:r>
        <w:rPr>
          <w:rFonts w:cs="Times New Roman" w:asciiTheme="majorEastAsia" w:hAnsiTheme="majorEastAsia" w:eastAsiaTheme="majorEastAsia"/>
          <w:b/>
          <w:bCs/>
          <w:color w:val="auto"/>
          <w:sz w:val="32"/>
          <w:szCs w:val="40"/>
          <w:highlight w:val="none"/>
        </w:rPr>
        <w:t>第六章  响应文件格式</w:t>
      </w:r>
      <w:bookmarkEnd w:id="41"/>
      <w:bookmarkEnd w:id="42"/>
      <w:bookmarkEnd w:id="43"/>
    </w:p>
    <w:p w14:paraId="1C695573">
      <w:pPr>
        <w:keepNext w:val="0"/>
        <w:keepLines w:val="0"/>
        <w:pageBreakBefore w:val="0"/>
        <w:widowControl w:val="0"/>
        <w:shd w:val="clear"/>
        <w:kinsoku/>
        <w:wordWrap/>
        <w:overflowPunct/>
        <w:topLinePunct w:val="0"/>
        <w:bidi w:val="0"/>
        <w:snapToGrid w:val="0"/>
        <w:spacing w:line="440" w:lineRule="exact"/>
        <w:outlineLvl w:val="9"/>
        <w:rPr>
          <w:rFonts w:asciiTheme="majorEastAsia" w:hAnsiTheme="majorEastAsia" w:eastAsiaTheme="majorEastAsia"/>
          <w:b/>
          <w:bCs/>
          <w:color w:val="auto"/>
          <w:szCs w:val="21"/>
          <w:highlight w:val="none"/>
        </w:rPr>
      </w:pPr>
      <w:bookmarkStart w:id="44" w:name="_Toc476585059"/>
      <w:r>
        <w:rPr>
          <w:rFonts w:asciiTheme="majorEastAsia" w:hAnsiTheme="majorEastAsia" w:eastAsiaTheme="majorEastAsia"/>
          <w:b/>
          <w:bCs/>
          <w:color w:val="auto"/>
          <w:szCs w:val="21"/>
          <w:highlight w:val="none"/>
        </w:rPr>
        <w:t>一、</w:t>
      </w:r>
      <w:r>
        <w:rPr>
          <w:rFonts w:hint="eastAsia" w:asciiTheme="majorEastAsia" w:hAnsiTheme="majorEastAsia" w:eastAsiaTheme="majorEastAsia"/>
          <w:b/>
          <w:bCs/>
          <w:color w:val="auto"/>
          <w:szCs w:val="21"/>
          <w:highlight w:val="none"/>
        </w:rPr>
        <w:t>备份</w:t>
      </w:r>
      <w:r>
        <w:rPr>
          <w:rFonts w:hint="eastAsia" w:asciiTheme="majorEastAsia" w:hAnsiTheme="majorEastAsia" w:eastAsiaTheme="majorEastAsia"/>
          <w:b/>
          <w:bCs/>
          <w:color w:val="auto"/>
          <w:szCs w:val="21"/>
          <w:highlight w:val="none"/>
          <w:lang w:eastAsia="zh-CN"/>
        </w:rPr>
        <w:t>响应</w:t>
      </w:r>
      <w:r>
        <w:rPr>
          <w:rFonts w:hint="eastAsia" w:asciiTheme="majorEastAsia" w:hAnsiTheme="majorEastAsia" w:eastAsiaTheme="majorEastAsia"/>
          <w:b/>
          <w:bCs/>
          <w:color w:val="auto"/>
          <w:szCs w:val="21"/>
          <w:highlight w:val="none"/>
        </w:rPr>
        <w:t>文件</w:t>
      </w:r>
      <w:r>
        <w:rPr>
          <w:rFonts w:asciiTheme="majorEastAsia" w:hAnsiTheme="majorEastAsia" w:eastAsiaTheme="majorEastAsia"/>
          <w:b/>
          <w:bCs/>
          <w:color w:val="auto"/>
          <w:szCs w:val="21"/>
          <w:highlight w:val="none"/>
        </w:rPr>
        <w:t>外层包装封面格式</w:t>
      </w:r>
      <w:bookmarkEnd w:id="44"/>
    </w:p>
    <w:p w14:paraId="534C5E09">
      <w:pPr>
        <w:keepNext w:val="0"/>
        <w:keepLines w:val="0"/>
        <w:pageBreakBefore w:val="0"/>
        <w:widowControl w:val="0"/>
        <w:shd w:val="clear"/>
        <w:kinsoku/>
        <w:wordWrap/>
        <w:overflowPunct/>
        <w:topLinePunct w:val="0"/>
        <w:bidi w:val="0"/>
        <w:snapToGrid w:val="0"/>
        <w:spacing w:line="440" w:lineRule="exact"/>
        <w:jc w:val="center"/>
        <w:outlineLvl w:val="9"/>
        <w:rPr>
          <w:rFonts w:asciiTheme="majorEastAsia" w:hAnsiTheme="majorEastAsia" w:eastAsiaTheme="majorEastAsia"/>
          <w:color w:val="auto"/>
          <w:szCs w:val="21"/>
          <w:highlight w:val="none"/>
        </w:rPr>
      </w:pPr>
    </w:p>
    <w:p w14:paraId="03832F79">
      <w:pPr>
        <w:keepNext w:val="0"/>
        <w:keepLines w:val="0"/>
        <w:pageBreakBefore w:val="0"/>
        <w:widowControl w:val="0"/>
        <w:shd w:val="clear"/>
        <w:kinsoku/>
        <w:wordWrap/>
        <w:overflowPunct/>
        <w:topLinePunct w:val="0"/>
        <w:bidi w:val="0"/>
        <w:snapToGrid w:val="0"/>
        <w:spacing w:line="440" w:lineRule="exact"/>
        <w:jc w:val="center"/>
        <w:outlineLvl w:val="9"/>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 xml:space="preserve">    </w:t>
      </w: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 xml:space="preserve">文 件        </w:t>
      </w:r>
    </w:p>
    <w:p w14:paraId="1380CAC1">
      <w:pPr>
        <w:keepNext w:val="0"/>
        <w:keepLines w:val="0"/>
        <w:pageBreakBefore w:val="0"/>
        <w:widowControl w:val="0"/>
        <w:shd w:val="clear"/>
        <w:kinsoku/>
        <w:wordWrap/>
        <w:overflowPunct/>
        <w:topLinePunct w:val="0"/>
        <w:bidi w:val="0"/>
        <w:snapToGrid w:val="0"/>
        <w:spacing w:line="440" w:lineRule="exact"/>
        <w:outlineLvl w:val="9"/>
        <w:rPr>
          <w:rFonts w:asciiTheme="majorEastAsia" w:hAnsiTheme="majorEastAsia" w:eastAsiaTheme="majorEastAsia"/>
          <w:bCs/>
          <w:color w:val="auto"/>
          <w:szCs w:val="21"/>
          <w:highlight w:val="none"/>
        </w:rPr>
      </w:pPr>
    </w:p>
    <w:p w14:paraId="1E858BDD">
      <w:pPr>
        <w:keepNext w:val="0"/>
        <w:keepLines w:val="0"/>
        <w:pageBreakBefore w:val="0"/>
        <w:widowControl w:val="0"/>
        <w:shd w:val="clear"/>
        <w:kinsoku/>
        <w:wordWrap/>
        <w:overflowPunct/>
        <w:topLinePunct w:val="0"/>
        <w:bidi w:val="0"/>
        <w:snapToGrid w:val="0"/>
        <w:spacing w:line="440" w:lineRule="exact"/>
        <w:outlineLvl w:val="9"/>
        <w:rPr>
          <w:rFonts w:asciiTheme="majorEastAsia" w:hAnsiTheme="majorEastAsia" w:eastAsiaTheme="majorEastAsia"/>
          <w:bCs/>
          <w:color w:val="auto"/>
          <w:szCs w:val="21"/>
          <w:highlight w:val="none"/>
        </w:rPr>
      </w:pPr>
    </w:p>
    <w:p w14:paraId="0472EDBD">
      <w:pPr>
        <w:keepNext w:val="0"/>
        <w:keepLines w:val="0"/>
        <w:pageBreakBefore w:val="0"/>
        <w:widowControl w:val="0"/>
        <w:shd w:val="clear"/>
        <w:kinsoku/>
        <w:wordWrap/>
        <w:overflowPunct/>
        <w:topLinePunct w:val="0"/>
        <w:bidi w:val="0"/>
        <w:snapToGrid w:val="0"/>
        <w:spacing w:line="440" w:lineRule="exact"/>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 xml:space="preserve">项目名称： </w:t>
      </w:r>
    </w:p>
    <w:p w14:paraId="01569706">
      <w:pPr>
        <w:keepNext w:val="0"/>
        <w:keepLines w:val="0"/>
        <w:pageBreakBefore w:val="0"/>
        <w:widowControl w:val="0"/>
        <w:shd w:val="clear"/>
        <w:kinsoku/>
        <w:wordWrap/>
        <w:overflowPunct/>
        <w:topLinePunct w:val="0"/>
        <w:bidi w:val="0"/>
        <w:snapToGrid w:val="0"/>
        <w:spacing w:line="440" w:lineRule="exact"/>
        <w:outlineLvl w:val="9"/>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项目</w:t>
      </w:r>
      <w:r>
        <w:rPr>
          <w:rFonts w:asciiTheme="majorEastAsia" w:hAnsiTheme="majorEastAsia" w:eastAsiaTheme="majorEastAsia"/>
          <w:bCs/>
          <w:color w:val="auto"/>
          <w:szCs w:val="21"/>
          <w:highlight w:val="none"/>
        </w:rPr>
        <w:t xml:space="preserve">编号： </w:t>
      </w:r>
    </w:p>
    <w:p w14:paraId="2495A058">
      <w:pPr>
        <w:keepNext w:val="0"/>
        <w:keepLines w:val="0"/>
        <w:pageBreakBefore w:val="0"/>
        <w:widowControl w:val="0"/>
        <w:shd w:val="clear"/>
        <w:kinsoku/>
        <w:wordWrap/>
        <w:overflowPunct/>
        <w:topLinePunct w:val="0"/>
        <w:bidi w:val="0"/>
        <w:snapToGrid w:val="0"/>
        <w:spacing w:line="440" w:lineRule="exact"/>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响应文件名称：</w:t>
      </w:r>
      <w:r>
        <w:rPr>
          <w:rFonts w:hint="eastAsia" w:asciiTheme="majorEastAsia" w:hAnsiTheme="majorEastAsia" w:eastAsiaTheme="majorEastAsia"/>
          <w:bCs/>
          <w:color w:val="auto"/>
          <w:szCs w:val="21"/>
          <w:highlight w:val="none"/>
        </w:rPr>
        <w:t>电子响应文件的备份文件</w:t>
      </w:r>
    </w:p>
    <w:p w14:paraId="4DAFD44C">
      <w:pPr>
        <w:pStyle w:val="15"/>
        <w:keepNext w:val="0"/>
        <w:keepLines w:val="0"/>
        <w:pageBreakBefore w:val="0"/>
        <w:widowControl w:val="0"/>
        <w:shd w:val="clear"/>
        <w:kinsoku/>
        <w:wordWrap/>
        <w:overflowPunct/>
        <w:topLinePunct w:val="0"/>
        <w:bidi w:val="0"/>
        <w:snapToGrid w:val="0"/>
        <w:spacing w:line="440" w:lineRule="exact"/>
        <w:ind w:firstLine="0"/>
        <w:outlineLvl w:val="9"/>
        <w:rPr>
          <w:rFonts w:asciiTheme="majorEastAsia" w:hAnsiTheme="majorEastAsia" w:eastAsiaTheme="majorEastAsia"/>
          <w:bCs/>
          <w:color w:val="auto"/>
          <w:szCs w:val="21"/>
          <w:highlight w:val="none"/>
        </w:rPr>
      </w:pPr>
    </w:p>
    <w:p w14:paraId="1F34ABC1">
      <w:pPr>
        <w:pStyle w:val="15"/>
        <w:keepNext w:val="0"/>
        <w:keepLines w:val="0"/>
        <w:pageBreakBefore w:val="0"/>
        <w:widowControl w:val="0"/>
        <w:shd w:val="clear"/>
        <w:kinsoku/>
        <w:wordWrap/>
        <w:overflowPunct/>
        <w:topLinePunct w:val="0"/>
        <w:bidi w:val="0"/>
        <w:snapToGrid w:val="0"/>
        <w:spacing w:line="440" w:lineRule="exact"/>
        <w:ind w:firstLine="0"/>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73F08B00">
      <w:pPr>
        <w:pStyle w:val="15"/>
        <w:keepNext w:val="0"/>
        <w:keepLines w:val="0"/>
        <w:pageBreakBefore w:val="0"/>
        <w:widowControl w:val="0"/>
        <w:shd w:val="clear"/>
        <w:kinsoku/>
        <w:wordWrap/>
        <w:overflowPunct/>
        <w:topLinePunct w:val="0"/>
        <w:bidi w:val="0"/>
        <w:snapToGrid w:val="0"/>
        <w:spacing w:line="440" w:lineRule="exact"/>
        <w:ind w:firstLine="0"/>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供应商地址：</w:t>
      </w:r>
    </w:p>
    <w:p w14:paraId="1C32B67A">
      <w:pPr>
        <w:pStyle w:val="15"/>
        <w:keepNext w:val="0"/>
        <w:keepLines w:val="0"/>
        <w:pageBreakBefore w:val="0"/>
        <w:widowControl w:val="0"/>
        <w:shd w:val="clear"/>
        <w:kinsoku/>
        <w:wordWrap/>
        <w:overflowPunct/>
        <w:topLinePunct w:val="0"/>
        <w:bidi w:val="0"/>
        <w:snapToGrid w:val="0"/>
        <w:spacing w:line="440" w:lineRule="exact"/>
        <w:ind w:firstLine="932" w:firstLineChars="444"/>
        <w:jc w:val="center"/>
        <w:outlineLvl w:val="9"/>
        <w:rPr>
          <w:rFonts w:asciiTheme="majorEastAsia" w:hAnsiTheme="majorEastAsia" w:eastAsiaTheme="majorEastAsia"/>
          <w:bCs/>
          <w:color w:val="auto"/>
          <w:szCs w:val="21"/>
          <w:highlight w:val="none"/>
        </w:rPr>
      </w:pPr>
    </w:p>
    <w:p w14:paraId="27B03D92">
      <w:pPr>
        <w:pStyle w:val="15"/>
        <w:keepNext w:val="0"/>
        <w:keepLines w:val="0"/>
        <w:pageBreakBefore w:val="0"/>
        <w:widowControl w:val="0"/>
        <w:shd w:val="clear"/>
        <w:kinsoku/>
        <w:wordWrap/>
        <w:overflowPunct/>
        <w:topLinePunct w:val="0"/>
        <w:bidi w:val="0"/>
        <w:snapToGrid w:val="0"/>
        <w:spacing w:line="440" w:lineRule="exact"/>
        <w:ind w:firstLine="0"/>
        <w:jc w:val="center"/>
        <w:outlineLvl w:val="9"/>
        <w:rPr>
          <w:rFonts w:asciiTheme="majorEastAsia" w:hAnsiTheme="majorEastAsia" w:eastAsiaTheme="majorEastAsia"/>
          <w:b/>
          <w:color w:val="auto"/>
          <w:szCs w:val="21"/>
          <w:highlight w:val="none"/>
        </w:rPr>
      </w:pPr>
      <w:r>
        <w:rPr>
          <w:rFonts w:asciiTheme="majorEastAsia" w:hAnsiTheme="majorEastAsia" w:eastAsiaTheme="majorEastAsia"/>
          <w:b/>
          <w:bCs/>
          <w:color w:val="auto"/>
          <w:szCs w:val="21"/>
          <w:highlight w:val="none"/>
        </w:rPr>
        <w:t>提交首次响应文件截止时间后</w:t>
      </w:r>
      <w:r>
        <w:rPr>
          <w:rFonts w:asciiTheme="majorEastAsia" w:hAnsiTheme="majorEastAsia" w:eastAsiaTheme="majorEastAsia"/>
          <w:b/>
          <w:color w:val="auto"/>
          <w:szCs w:val="21"/>
          <w:highlight w:val="none"/>
        </w:rPr>
        <w:t>启封</w:t>
      </w:r>
    </w:p>
    <w:p w14:paraId="1688C826">
      <w:pPr>
        <w:keepNext w:val="0"/>
        <w:keepLines w:val="0"/>
        <w:pageBreakBefore w:val="0"/>
        <w:widowControl w:val="0"/>
        <w:shd w:val="clear"/>
        <w:kinsoku/>
        <w:wordWrap/>
        <w:overflowPunct/>
        <w:topLinePunct w:val="0"/>
        <w:bidi w:val="0"/>
        <w:snapToGrid w:val="0"/>
        <w:spacing w:line="440" w:lineRule="exact"/>
        <w:ind w:firstLine="3570" w:firstLineChars="1700"/>
        <w:outlineLvl w:val="9"/>
        <w:rPr>
          <w:rFonts w:asciiTheme="majorEastAsia" w:hAnsiTheme="majorEastAsia" w:eastAsiaTheme="majorEastAsia"/>
          <w:bCs/>
          <w:color w:val="auto"/>
          <w:szCs w:val="21"/>
          <w:highlight w:val="none"/>
        </w:rPr>
      </w:pPr>
    </w:p>
    <w:p w14:paraId="1A7728A4">
      <w:pPr>
        <w:pStyle w:val="15"/>
        <w:keepNext w:val="0"/>
        <w:keepLines w:val="0"/>
        <w:pageBreakBefore w:val="0"/>
        <w:widowControl w:val="0"/>
        <w:shd w:val="clear"/>
        <w:kinsoku/>
        <w:wordWrap/>
        <w:overflowPunct/>
        <w:topLinePunct w:val="0"/>
        <w:bidi w:val="0"/>
        <w:snapToGrid w:val="0"/>
        <w:spacing w:line="440" w:lineRule="exact"/>
        <w:ind w:firstLine="873" w:firstLineChars="416"/>
        <w:outlineLvl w:val="9"/>
        <w:rPr>
          <w:rFonts w:asciiTheme="majorEastAsia" w:hAnsiTheme="majorEastAsia" w:eastAsiaTheme="majorEastAsia"/>
          <w:color w:val="auto"/>
          <w:szCs w:val="21"/>
          <w:highlight w:val="none"/>
        </w:rPr>
      </w:pPr>
    </w:p>
    <w:p w14:paraId="7E7372F0">
      <w:pPr>
        <w:pStyle w:val="15"/>
        <w:keepNext w:val="0"/>
        <w:keepLines w:val="0"/>
        <w:pageBreakBefore w:val="0"/>
        <w:widowControl w:val="0"/>
        <w:shd w:val="clear"/>
        <w:kinsoku/>
        <w:wordWrap/>
        <w:overflowPunct/>
        <w:topLinePunct w:val="0"/>
        <w:bidi w:val="0"/>
        <w:snapToGrid w:val="0"/>
        <w:spacing w:line="440" w:lineRule="exact"/>
        <w:ind w:firstLine="873" w:firstLineChars="416"/>
        <w:outlineLvl w:val="9"/>
        <w:rPr>
          <w:rFonts w:asciiTheme="majorEastAsia" w:hAnsiTheme="majorEastAsia" w:eastAsiaTheme="majorEastAsia"/>
          <w:color w:val="auto"/>
          <w:szCs w:val="21"/>
          <w:highlight w:val="none"/>
        </w:rPr>
      </w:pPr>
    </w:p>
    <w:p w14:paraId="5EAF18F8">
      <w:pPr>
        <w:keepNext w:val="0"/>
        <w:keepLines w:val="0"/>
        <w:pageBreakBefore w:val="0"/>
        <w:widowControl w:val="0"/>
        <w:shd w:val="clear"/>
        <w:kinsoku/>
        <w:wordWrap/>
        <w:overflowPunct/>
        <w:topLinePunct w:val="0"/>
        <w:bidi w:val="0"/>
        <w:snapToGrid w:val="0"/>
        <w:spacing w:line="440" w:lineRule="exact"/>
        <w:ind w:left="3578" w:leftChars="1704"/>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5E922467">
      <w:pPr>
        <w:keepNext w:val="0"/>
        <w:keepLines w:val="0"/>
        <w:pageBreakBefore w:val="0"/>
        <w:widowControl w:val="0"/>
        <w:shd w:val="clear"/>
        <w:kinsoku/>
        <w:wordWrap/>
        <w:overflowPunct/>
        <w:topLinePunct w:val="0"/>
        <w:bidi w:val="0"/>
        <w:snapToGrid w:val="0"/>
        <w:spacing w:line="440" w:lineRule="exact"/>
        <w:ind w:left="3578" w:leftChars="1704"/>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55A9E66C">
      <w:pPr>
        <w:keepNext w:val="0"/>
        <w:keepLines w:val="0"/>
        <w:pageBreakBefore w:val="0"/>
        <w:widowControl w:val="0"/>
        <w:shd w:val="clear"/>
        <w:kinsoku/>
        <w:wordWrap/>
        <w:overflowPunct/>
        <w:topLinePunct w:val="0"/>
        <w:bidi w:val="0"/>
        <w:snapToGrid w:val="0"/>
        <w:spacing w:line="440" w:lineRule="exact"/>
        <w:ind w:left="3578" w:leftChars="1704"/>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5901ECE7">
      <w:pPr>
        <w:keepNext w:val="0"/>
        <w:keepLines w:val="0"/>
        <w:pageBreakBefore w:val="0"/>
        <w:widowControl w:val="0"/>
        <w:shd w:val="clear"/>
        <w:kinsoku/>
        <w:wordWrap/>
        <w:overflowPunct/>
        <w:topLinePunct w:val="0"/>
        <w:bidi w:val="0"/>
        <w:snapToGrid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color w:val="auto"/>
          <w:szCs w:val="21"/>
          <w:highlight w:val="none"/>
        </w:rPr>
        <w:t>二</w:t>
      </w:r>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电子</w:t>
      </w:r>
      <w:r>
        <w:rPr>
          <w:rFonts w:asciiTheme="majorEastAsia" w:hAnsiTheme="majorEastAsia" w:eastAsiaTheme="majorEastAsia"/>
          <w:b/>
          <w:color w:val="auto"/>
          <w:szCs w:val="21"/>
          <w:highlight w:val="none"/>
        </w:rPr>
        <w:t>响应文件封面格式</w:t>
      </w:r>
    </w:p>
    <w:p w14:paraId="75AFA1BE">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p>
    <w:p w14:paraId="2CAD1731">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b/>
          <w:bCs/>
          <w:color w:val="auto"/>
          <w:szCs w:val="21"/>
          <w:highlight w:val="none"/>
        </w:rPr>
      </w:pPr>
    </w:p>
    <w:p w14:paraId="42AFF2CE">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b/>
          <w:color w:val="auto"/>
          <w:szCs w:val="21"/>
          <w:highlight w:val="none"/>
        </w:rPr>
      </w:pP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文</w:t>
      </w:r>
      <w:r>
        <w:rPr>
          <w:rFonts w:hint="eastAsia" w:asciiTheme="majorEastAsia" w:hAnsiTheme="majorEastAsia" w:eastAsiaTheme="majorEastAsia"/>
          <w:b/>
          <w:bCs/>
          <w:color w:val="auto"/>
          <w:szCs w:val="21"/>
          <w:highlight w:val="none"/>
        </w:rPr>
        <w:t xml:space="preserve"> </w:t>
      </w:r>
      <w:r>
        <w:rPr>
          <w:rFonts w:asciiTheme="majorEastAsia" w:hAnsiTheme="majorEastAsia" w:eastAsiaTheme="majorEastAsia"/>
          <w:b/>
          <w:bCs/>
          <w:color w:val="auto"/>
          <w:szCs w:val="21"/>
          <w:highlight w:val="none"/>
        </w:rPr>
        <w:t>件</w:t>
      </w:r>
    </w:p>
    <w:p w14:paraId="69BB0B43">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0F47C2DA">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011E0893">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p>
    <w:p w14:paraId="54C21715">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项目编号：</w:t>
      </w:r>
    </w:p>
    <w:p w14:paraId="788E0927">
      <w:pPr>
        <w:pStyle w:val="15"/>
        <w:keepNext w:val="0"/>
        <w:keepLines w:val="0"/>
        <w:pageBreakBefore w:val="0"/>
        <w:widowControl w:val="0"/>
        <w:shd w:val="clear"/>
        <w:kinsoku/>
        <w:wordWrap/>
        <w:overflowPunct/>
        <w:topLinePunct w:val="0"/>
        <w:bidi w:val="0"/>
        <w:snapToGrid w:val="0"/>
        <w:spacing w:line="440" w:lineRule="exact"/>
        <w:ind w:firstLine="0"/>
        <w:outlineLvl w:val="9"/>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响应文件名称：资信技术文件/报价文件</w:t>
      </w:r>
    </w:p>
    <w:p w14:paraId="1E71AD56">
      <w:pPr>
        <w:pStyle w:val="15"/>
        <w:keepNext w:val="0"/>
        <w:keepLines w:val="0"/>
        <w:pageBreakBefore w:val="0"/>
        <w:widowControl w:val="0"/>
        <w:shd w:val="clear"/>
        <w:kinsoku/>
        <w:wordWrap/>
        <w:overflowPunct/>
        <w:topLinePunct w:val="0"/>
        <w:bidi w:val="0"/>
        <w:snapToGrid w:val="0"/>
        <w:spacing w:line="440" w:lineRule="exact"/>
        <w:ind w:firstLine="0"/>
        <w:outlineLvl w:val="9"/>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7971F9FB">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bCs/>
          <w:color w:val="auto"/>
          <w:szCs w:val="21"/>
          <w:highlight w:val="none"/>
        </w:rPr>
        <w:t>供应商地址：</w:t>
      </w:r>
    </w:p>
    <w:p w14:paraId="1776CF19">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p>
    <w:p w14:paraId="53C2978F">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p>
    <w:p w14:paraId="32696ABC">
      <w:pPr>
        <w:keepNext w:val="0"/>
        <w:keepLines w:val="0"/>
        <w:pageBreakBefore w:val="0"/>
        <w:widowControl w:val="0"/>
        <w:shd w:val="clear"/>
        <w:kinsoku/>
        <w:wordWrap/>
        <w:overflowPunct/>
        <w:topLinePunct w:val="0"/>
        <w:bidi w:val="0"/>
        <w:snapToGrid w:val="0"/>
        <w:spacing w:line="440" w:lineRule="exact"/>
        <w:ind w:left="3578" w:leftChars="1704"/>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1955A41">
      <w:pPr>
        <w:keepNext w:val="0"/>
        <w:keepLines w:val="0"/>
        <w:pageBreakBefore w:val="0"/>
        <w:widowControl w:val="0"/>
        <w:shd w:val="clear"/>
        <w:kinsoku/>
        <w:wordWrap/>
        <w:overflowPunct/>
        <w:topLinePunct w:val="0"/>
        <w:bidi w:val="0"/>
        <w:snapToGrid w:val="0"/>
        <w:spacing w:line="440" w:lineRule="exact"/>
        <w:ind w:left="3578" w:leftChars="1704"/>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37776BB5">
      <w:pPr>
        <w:keepNext w:val="0"/>
        <w:keepLines w:val="0"/>
        <w:pageBreakBefore w:val="0"/>
        <w:widowControl w:val="0"/>
        <w:shd w:val="clear"/>
        <w:kinsoku/>
        <w:wordWrap/>
        <w:overflowPunct/>
        <w:topLinePunct w:val="0"/>
        <w:bidi w:val="0"/>
        <w:snapToGrid w:val="0"/>
        <w:spacing w:line="440" w:lineRule="exact"/>
        <w:ind w:left="3578" w:leftChars="1704"/>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12F69EFF">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p>
    <w:p w14:paraId="45C7284F">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p>
    <w:p w14:paraId="36FA2D5B">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    </w:t>
      </w:r>
    </w:p>
    <w:p w14:paraId="760BB89F">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p>
    <w:p w14:paraId="4E8D3831">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格式一：</w:t>
      </w:r>
    </w:p>
    <w:p w14:paraId="110EDB93">
      <w:pPr>
        <w:keepNext w:val="0"/>
        <w:keepLines w:val="0"/>
        <w:pageBreakBefore w:val="0"/>
        <w:widowControl w:val="0"/>
        <w:shd w:val="clear"/>
        <w:kinsoku/>
        <w:wordWrap/>
        <w:overflowPunct/>
        <w:topLinePunct w:val="0"/>
        <w:bidi w:val="0"/>
        <w:spacing w:line="440" w:lineRule="exact"/>
        <w:jc w:val="center"/>
        <w:outlineLvl w:val="9"/>
        <w:rPr>
          <w:rFonts w:hint="eastAsia"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资格条件自查表</w:t>
      </w:r>
    </w:p>
    <w:p w14:paraId="614B701C">
      <w:pPr>
        <w:pStyle w:val="2"/>
        <w:outlineLvl w:val="9"/>
        <w:rPr>
          <w:color w:val="auto"/>
          <w:highlight w:val="none"/>
        </w:rPr>
      </w:pPr>
    </w:p>
    <w:tbl>
      <w:tblPr>
        <w:tblStyle w:val="45"/>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5687"/>
        <w:gridCol w:w="1282"/>
        <w:gridCol w:w="1607"/>
      </w:tblGrid>
      <w:tr w14:paraId="4BEAED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78" w:type="dxa"/>
            <w:vAlign w:val="center"/>
          </w:tcPr>
          <w:p w14:paraId="2AEA3EEF">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Style w:val="48"/>
                <w:rFonts w:asciiTheme="majorEastAsia" w:hAnsiTheme="majorEastAsia" w:eastAsiaTheme="majorEastAsia"/>
                <w:b/>
                <w:bCs w:val="0"/>
                <w:color w:val="auto"/>
                <w:szCs w:val="21"/>
                <w:highlight w:val="none"/>
              </w:rPr>
            </w:pPr>
            <w:r>
              <w:rPr>
                <w:rStyle w:val="48"/>
                <w:rFonts w:asciiTheme="majorEastAsia" w:hAnsiTheme="majorEastAsia" w:eastAsiaTheme="majorEastAsia"/>
                <w:b/>
                <w:bCs w:val="0"/>
                <w:color w:val="auto"/>
                <w:szCs w:val="21"/>
                <w:highlight w:val="none"/>
              </w:rPr>
              <w:t>评审</w:t>
            </w:r>
          </w:p>
          <w:p w14:paraId="4111F957">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asciiTheme="majorEastAsia" w:hAnsiTheme="majorEastAsia" w:eastAsiaTheme="majorEastAsia"/>
                <w:b/>
                <w:bCs w:val="0"/>
                <w:color w:val="auto"/>
                <w:szCs w:val="21"/>
                <w:highlight w:val="none"/>
              </w:rPr>
            </w:pPr>
            <w:r>
              <w:rPr>
                <w:rStyle w:val="48"/>
                <w:rFonts w:asciiTheme="majorEastAsia" w:hAnsiTheme="majorEastAsia" w:eastAsiaTheme="majorEastAsia"/>
                <w:b/>
                <w:bCs w:val="0"/>
                <w:color w:val="auto"/>
                <w:szCs w:val="21"/>
                <w:highlight w:val="none"/>
              </w:rPr>
              <w:t>内容</w:t>
            </w:r>
          </w:p>
        </w:tc>
        <w:tc>
          <w:tcPr>
            <w:tcW w:w="5687" w:type="dxa"/>
            <w:vAlign w:val="center"/>
          </w:tcPr>
          <w:p w14:paraId="0059CCD0">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asciiTheme="majorEastAsia" w:hAnsiTheme="majorEastAsia" w:eastAsiaTheme="majorEastAsia"/>
                <w:b/>
                <w:color w:val="auto"/>
                <w:szCs w:val="21"/>
                <w:highlight w:val="none"/>
              </w:rPr>
            </w:pPr>
            <w:r>
              <w:rPr>
                <w:rStyle w:val="48"/>
                <w:rFonts w:asciiTheme="majorEastAsia" w:hAnsiTheme="majorEastAsia" w:eastAsiaTheme="majorEastAsia"/>
                <w:color w:val="auto"/>
                <w:szCs w:val="21"/>
                <w:highlight w:val="none"/>
              </w:rPr>
              <w:t>磋商文件要求</w:t>
            </w:r>
          </w:p>
        </w:tc>
        <w:tc>
          <w:tcPr>
            <w:tcW w:w="1282" w:type="dxa"/>
            <w:vAlign w:val="center"/>
          </w:tcPr>
          <w:p w14:paraId="1F9C722E">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asciiTheme="majorEastAsia" w:hAnsiTheme="majorEastAsia" w:eastAsiaTheme="majorEastAsia"/>
                <w:b/>
                <w:color w:val="auto"/>
                <w:szCs w:val="21"/>
                <w:highlight w:val="none"/>
              </w:rPr>
            </w:pPr>
            <w:r>
              <w:rPr>
                <w:rStyle w:val="48"/>
                <w:rFonts w:asciiTheme="majorEastAsia" w:hAnsiTheme="majorEastAsia" w:eastAsiaTheme="majorEastAsia"/>
                <w:color w:val="auto"/>
                <w:szCs w:val="21"/>
                <w:highlight w:val="none"/>
              </w:rPr>
              <w:t>自查结论</w:t>
            </w:r>
          </w:p>
        </w:tc>
        <w:tc>
          <w:tcPr>
            <w:tcW w:w="1607" w:type="dxa"/>
            <w:vAlign w:val="center"/>
          </w:tcPr>
          <w:p w14:paraId="70BD3574">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asciiTheme="majorEastAsia" w:hAnsiTheme="majorEastAsia" w:eastAsiaTheme="majorEastAsia"/>
                <w:b/>
                <w:color w:val="auto"/>
                <w:szCs w:val="21"/>
                <w:highlight w:val="none"/>
              </w:rPr>
            </w:pPr>
            <w:r>
              <w:rPr>
                <w:rStyle w:val="48"/>
                <w:rFonts w:asciiTheme="majorEastAsia" w:hAnsiTheme="majorEastAsia" w:eastAsiaTheme="majorEastAsia"/>
                <w:color w:val="auto"/>
                <w:szCs w:val="21"/>
                <w:highlight w:val="none"/>
              </w:rPr>
              <w:t>证明资料页码</w:t>
            </w:r>
          </w:p>
        </w:tc>
      </w:tr>
      <w:tr w14:paraId="4F5AFC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restart"/>
            <w:vAlign w:val="center"/>
          </w:tcPr>
          <w:p w14:paraId="13C5486C">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资</w:t>
            </w:r>
          </w:p>
          <w:p w14:paraId="524E9CC7">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格</w:t>
            </w:r>
          </w:p>
          <w:p w14:paraId="0C51B06F">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性</w:t>
            </w:r>
          </w:p>
          <w:p w14:paraId="02AE339E">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审</w:t>
            </w:r>
          </w:p>
          <w:p w14:paraId="03FD15DF">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asciiTheme="majorEastAsia" w:hAnsiTheme="majorEastAsia" w:eastAsiaTheme="majorEastAsia"/>
                <w:b/>
                <w:bCs w:val="0"/>
                <w:color w:val="auto"/>
                <w:szCs w:val="21"/>
                <w:highlight w:val="none"/>
              </w:rPr>
            </w:pPr>
            <w:r>
              <w:rPr>
                <w:rFonts w:hint="eastAsia" w:asciiTheme="majorEastAsia" w:hAnsiTheme="majorEastAsia" w:eastAsiaTheme="majorEastAsia"/>
                <w:b/>
                <w:bCs w:val="0"/>
                <w:color w:val="auto"/>
                <w:szCs w:val="21"/>
                <w:highlight w:val="none"/>
              </w:rPr>
              <w:t>查</w:t>
            </w:r>
          </w:p>
        </w:tc>
        <w:tc>
          <w:tcPr>
            <w:tcW w:w="5687" w:type="dxa"/>
            <w:vAlign w:val="center"/>
          </w:tcPr>
          <w:p w14:paraId="53EDA62E">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asciiTheme="majorEastAsia" w:hAnsiTheme="majorEastAsia" w:eastAsiaTheme="majorEastAsia"/>
                <w:color w:val="auto"/>
                <w:szCs w:val="21"/>
                <w:highlight w:val="none"/>
                <w:lang w:eastAsia="zh-CN"/>
              </w:rPr>
              <w:t>（一）供应商资格声明函</w:t>
            </w:r>
            <w:r>
              <w:rPr>
                <w:rFonts w:hint="eastAsia" w:asciiTheme="majorEastAsia" w:hAnsiTheme="majorEastAsia" w:eastAsiaTheme="majorEastAsia"/>
                <w:color w:val="auto"/>
                <w:szCs w:val="21"/>
                <w:highlight w:val="none"/>
              </w:rPr>
              <w:t>；</w:t>
            </w:r>
          </w:p>
        </w:tc>
        <w:tc>
          <w:tcPr>
            <w:tcW w:w="1282" w:type="dxa"/>
            <w:vAlign w:val="center"/>
          </w:tcPr>
          <w:p w14:paraId="3E001887">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□通过</w:t>
            </w:r>
          </w:p>
          <w:p w14:paraId="03BA6278">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□不通过</w:t>
            </w:r>
          </w:p>
        </w:tc>
        <w:tc>
          <w:tcPr>
            <w:tcW w:w="1607" w:type="dxa"/>
            <w:vAlign w:val="center"/>
          </w:tcPr>
          <w:p w14:paraId="6C90961C">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kern w:val="2"/>
                <w:sz w:val="21"/>
                <w:szCs w:val="21"/>
                <w:highlight w:val="none"/>
                <w:lang w:val="en-US" w:eastAsia="zh-CN" w:bidi="ar-SA"/>
              </w:rPr>
            </w:pPr>
            <w:r>
              <w:rPr>
                <w:rFonts w:hint="eastAsia" w:eastAsia="宋体"/>
                <w:color w:val="auto"/>
                <w:highlight w:val="none"/>
              </w:rPr>
              <w:t>第（ ）页</w:t>
            </w:r>
          </w:p>
        </w:tc>
      </w:tr>
      <w:tr w14:paraId="43C80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0EF049CE">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asciiTheme="majorEastAsia" w:hAnsiTheme="majorEastAsia" w:eastAsiaTheme="majorEastAsia"/>
                <w:bCs/>
                <w:color w:val="auto"/>
                <w:szCs w:val="21"/>
                <w:highlight w:val="none"/>
              </w:rPr>
            </w:pPr>
          </w:p>
        </w:tc>
        <w:tc>
          <w:tcPr>
            <w:tcW w:w="5687" w:type="dxa"/>
            <w:vAlign w:val="center"/>
          </w:tcPr>
          <w:p w14:paraId="0BA3769B">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
                <w:color w:val="auto"/>
                <w:kern w:val="2"/>
                <w:sz w:val="21"/>
                <w:szCs w:val="21"/>
                <w:highlight w:val="none"/>
                <w:lang w:val="en-US" w:eastAsia="zh-CN" w:bidi="ar-SA"/>
              </w:rPr>
            </w:pPr>
            <w:r>
              <w:rPr>
                <w:rFonts w:hint="eastAsia" w:cs="Times New Roman" w:asciiTheme="majorEastAsia" w:hAnsiTheme="majorEastAsia" w:eastAsiaTheme="majorEastAsia"/>
                <w:color w:val="auto"/>
                <w:szCs w:val="21"/>
                <w:highlight w:val="none"/>
                <w:lang w:val="en-US" w:eastAsia="zh-CN"/>
              </w:rPr>
              <w:t>（二）提供有效的营业执照副本原件扫描件或者电子营业执照加盖供应商公章；响应供应商如果有名称变更的，应提供由行政主管部门出具的变更证明文件；</w:t>
            </w:r>
          </w:p>
        </w:tc>
        <w:tc>
          <w:tcPr>
            <w:tcW w:w="1282" w:type="dxa"/>
            <w:vAlign w:val="center"/>
          </w:tcPr>
          <w:p w14:paraId="6AAE7D87">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eastAsia="宋体"/>
                <w:color w:val="auto"/>
                <w:highlight w:val="none"/>
              </w:rPr>
            </w:pPr>
            <w:r>
              <w:rPr>
                <w:rFonts w:hint="eastAsia" w:eastAsia="宋体"/>
                <w:color w:val="auto"/>
                <w:highlight w:val="none"/>
              </w:rPr>
              <w:t>□通过</w:t>
            </w:r>
          </w:p>
          <w:p w14:paraId="60DFF443">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asciiTheme="majorEastAsia" w:hAnsiTheme="majorEastAsia" w:eastAsiaTheme="majorEastAsia"/>
                <w:color w:val="auto"/>
                <w:szCs w:val="21"/>
                <w:highlight w:val="none"/>
              </w:rPr>
            </w:pPr>
            <w:r>
              <w:rPr>
                <w:rFonts w:hint="eastAsia" w:eastAsia="宋体"/>
                <w:color w:val="auto"/>
                <w:highlight w:val="none"/>
              </w:rPr>
              <w:t>□不通过</w:t>
            </w:r>
          </w:p>
        </w:tc>
        <w:tc>
          <w:tcPr>
            <w:tcW w:w="1607" w:type="dxa"/>
            <w:vAlign w:val="center"/>
          </w:tcPr>
          <w:p w14:paraId="2F6F95E5">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
                <w:color w:val="auto"/>
                <w:kern w:val="2"/>
                <w:sz w:val="21"/>
                <w:szCs w:val="21"/>
                <w:highlight w:val="none"/>
                <w:lang w:val="en-US" w:eastAsia="zh-CN" w:bidi="ar-SA"/>
              </w:rPr>
            </w:pPr>
            <w:r>
              <w:rPr>
                <w:rFonts w:hint="eastAsia" w:eastAsia="宋体"/>
                <w:color w:val="auto"/>
                <w:highlight w:val="none"/>
              </w:rPr>
              <w:t>第（ ）页</w:t>
            </w:r>
          </w:p>
        </w:tc>
      </w:tr>
      <w:tr w14:paraId="1D8E47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7DF7FB20">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asciiTheme="majorEastAsia" w:hAnsiTheme="majorEastAsia" w:eastAsiaTheme="majorEastAsia"/>
                <w:bCs/>
                <w:color w:val="auto"/>
                <w:szCs w:val="21"/>
                <w:highlight w:val="none"/>
              </w:rPr>
            </w:pPr>
          </w:p>
        </w:tc>
        <w:tc>
          <w:tcPr>
            <w:tcW w:w="5687" w:type="dxa"/>
            <w:vAlign w:val="center"/>
          </w:tcPr>
          <w:p w14:paraId="0693F061">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asciiTheme="majorEastAsia" w:hAnsiTheme="majorEastAsia" w:eastAsiaTheme="majorEastAsia"/>
                <w:bCs/>
                <w:color w:val="auto"/>
                <w:szCs w:val="21"/>
                <w:highlight w:val="none"/>
                <w:lang w:eastAsia="zh-CN"/>
              </w:rPr>
              <w:t>（三）满足《中华人民共和国政府采购法》第二十二条规定；未被“信用中国”（www.creditchina.gov.cn)、中国政府采购网（www.ccgp.gov.cn）列入失信被执行人、重大税收违法案件当事人名单、政府采购严重违法失信行为记录名单（以采购代理机构于投标截止日当天在信用中国网站及中国政府采购网查询结果为准，如相关失信记录已失效，投标人需提供相关证明资料）；</w:t>
            </w:r>
          </w:p>
        </w:tc>
        <w:tc>
          <w:tcPr>
            <w:tcW w:w="1282" w:type="dxa"/>
            <w:vAlign w:val="center"/>
          </w:tcPr>
          <w:p w14:paraId="3AB8BA83">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eastAsia="宋体"/>
                <w:color w:val="auto"/>
                <w:highlight w:val="none"/>
              </w:rPr>
            </w:pPr>
            <w:r>
              <w:rPr>
                <w:rFonts w:hint="eastAsia" w:eastAsia="宋体"/>
                <w:color w:val="auto"/>
                <w:highlight w:val="none"/>
              </w:rPr>
              <w:t>□通过</w:t>
            </w:r>
          </w:p>
          <w:p w14:paraId="3B88CA54">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asciiTheme="majorEastAsia" w:hAnsiTheme="majorEastAsia" w:eastAsiaTheme="majorEastAsia"/>
                <w:color w:val="auto"/>
                <w:szCs w:val="21"/>
                <w:highlight w:val="none"/>
              </w:rPr>
            </w:pPr>
            <w:r>
              <w:rPr>
                <w:rFonts w:hint="eastAsia" w:eastAsia="宋体"/>
                <w:color w:val="auto"/>
                <w:highlight w:val="none"/>
              </w:rPr>
              <w:t>□不通过</w:t>
            </w:r>
          </w:p>
        </w:tc>
        <w:tc>
          <w:tcPr>
            <w:tcW w:w="1607" w:type="dxa"/>
            <w:vAlign w:val="center"/>
          </w:tcPr>
          <w:p w14:paraId="5CB9B00E">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bCs/>
                <w:color w:val="auto"/>
                <w:kern w:val="2"/>
                <w:sz w:val="21"/>
                <w:szCs w:val="21"/>
                <w:highlight w:val="none"/>
                <w:lang w:val="en-US" w:eastAsia="zh-CN" w:bidi="ar-SA"/>
              </w:rPr>
            </w:pPr>
            <w:r>
              <w:rPr>
                <w:rFonts w:asciiTheme="majorEastAsia" w:hAnsiTheme="majorEastAsia" w:eastAsiaTheme="majorEastAsia"/>
                <w:color w:val="auto"/>
                <w:szCs w:val="21"/>
                <w:highlight w:val="none"/>
              </w:rPr>
              <w:t>第（ ）页</w:t>
            </w:r>
          </w:p>
        </w:tc>
      </w:tr>
      <w:tr w14:paraId="26AB4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009D6593">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asciiTheme="majorEastAsia" w:hAnsiTheme="majorEastAsia" w:eastAsiaTheme="majorEastAsia"/>
                <w:bCs/>
                <w:color w:val="auto"/>
                <w:szCs w:val="21"/>
                <w:highlight w:val="none"/>
              </w:rPr>
            </w:pPr>
          </w:p>
        </w:tc>
        <w:tc>
          <w:tcPr>
            <w:tcW w:w="5687" w:type="dxa"/>
            <w:vAlign w:val="center"/>
          </w:tcPr>
          <w:p w14:paraId="7948FFBB">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cs="Times New Roman" w:asciiTheme="majorEastAsia" w:hAnsiTheme="majorEastAsia" w:eastAsiaTheme="majorEastAsia"/>
                <w:bCs/>
                <w:color w:val="auto"/>
                <w:kern w:val="2"/>
                <w:sz w:val="21"/>
                <w:szCs w:val="21"/>
                <w:highlight w:val="none"/>
                <w:lang w:val="en-US" w:eastAsia="zh-CN" w:bidi="ar-SA"/>
              </w:rPr>
            </w:pPr>
            <w:r>
              <w:rPr>
                <w:rFonts w:hint="eastAsia" w:asciiTheme="majorEastAsia" w:hAnsiTheme="majorEastAsia" w:eastAsiaTheme="majorEastAsia"/>
                <w:bCs/>
                <w:color w:val="auto"/>
                <w:szCs w:val="21"/>
                <w:highlight w:val="none"/>
                <w:lang w:eastAsia="zh-CN"/>
              </w:rPr>
              <w:t>（四）</w:t>
            </w:r>
            <w:r>
              <w:rPr>
                <w:rFonts w:asciiTheme="majorEastAsia" w:hAnsiTheme="majorEastAsia" w:eastAsiaTheme="majorEastAsia"/>
                <w:color w:val="auto"/>
                <w:szCs w:val="21"/>
                <w:highlight w:val="none"/>
              </w:rPr>
              <w:t>本项目接受联合体</w:t>
            </w:r>
            <w:r>
              <w:rPr>
                <w:rFonts w:hint="eastAsia" w:cs="宋体" w:asciiTheme="majorEastAsia" w:hAnsiTheme="majorEastAsia" w:eastAsiaTheme="majorEastAsia"/>
                <w:color w:val="auto"/>
                <w:szCs w:val="21"/>
                <w:highlight w:val="none"/>
              </w:rPr>
              <w:t>参加磋商活动</w:t>
            </w:r>
            <w:r>
              <w:rPr>
                <w:rFonts w:hint="eastAsia" w:cs="宋体" w:asciiTheme="majorEastAsia" w:hAnsiTheme="majorEastAsia" w:eastAsiaTheme="majorEastAsia"/>
                <w:color w:val="auto"/>
                <w:szCs w:val="21"/>
                <w:highlight w:val="none"/>
                <w:lang w:eastAsia="zh-CN"/>
              </w:rPr>
              <w:t>（</w:t>
            </w:r>
            <w:r>
              <w:rPr>
                <w:rFonts w:hint="eastAsia" w:cs="宋体" w:asciiTheme="majorEastAsia" w:hAnsiTheme="majorEastAsia" w:eastAsiaTheme="majorEastAsia"/>
                <w:color w:val="auto"/>
                <w:szCs w:val="21"/>
                <w:highlight w:val="none"/>
                <w:lang w:val="en-US" w:eastAsia="zh-CN"/>
              </w:rPr>
              <w:t>联合体协议（如是，格式见附件）</w:t>
            </w:r>
            <w:r>
              <w:rPr>
                <w:rFonts w:hint="eastAsia" w:cs="宋体" w:asciiTheme="majorEastAsia" w:hAnsiTheme="majorEastAsia" w:eastAsiaTheme="majorEastAsia"/>
                <w:color w:val="auto"/>
                <w:szCs w:val="21"/>
                <w:highlight w:val="none"/>
                <w:lang w:eastAsia="zh-CN"/>
              </w:rPr>
              <w:t>）。</w:t>
            </w:r>
          </w:p>
        </w:tc>
        <w:tc>
          <w:tcPr>
            <w:tcW w:w="1282" w:type="dxa"/>
            <w:vAlign w:val="center"/>
          </w:tcPr>
          <w:p w14:paraId="43061292">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hint="eastAsia" w:eastAsia="宋体"/>
                <w:color w:val="auto"/>
                <w:highlight w:val="none"/>
              </w:rPr>
            </w:pPr>
            <w:r>
              <w:rPr>
                <w:rFonts w:hint="eastAsia" w:eastAsia="宋体"/>
                <w:color w:val="auto"/>
                <w:highlight w:val="none"/>
              </w:rPr>
              <w:t>□通过</w:t>
            </w:r>
          </w:p>
          <w:p w14:paraId="3C9DB03D">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outlineLvl w:val="9"/>
              <w:rPr>
                <w:rFonts w:cs="Times New Roman" w:asciiTheme="majorEastAsia" w:hAnsiTheme="majorEastAsia" w:eastAsiaTheme="majorEastAsia"/>
                <w:color w:val="auto"/>
                <w:kern w:val="2"/>
                <w:sz w:val="21"/>
                <w:szCs w:val="21"/>
                <w:highlight w:val="none"/>
                <w:lang w:val="en-US" w:eastAsia="zh-CN" w:bidi="ar-SA"/>
              </w:rPr>
            </w:pPr>
            <w:r>
              <w:rPr>
                <w:rFonts w:hint="eastAsia" w:eastAsia="宋体"/>
                <w:color w:val="auto"/>
                <w:highlight w:val="none"/>
              </w:rPr>
              <w:t>□不通过</w:t>
            </w:r>
          </w:p>
        </w:tc>
        <w:tc>
          <w:tcPr>
            <w:tcW w:w="1607" w:type="dxa"/>
            <w:vAlign w:val="center"/>
          </w:tcPr>
          <w:p w14:paraId="478577D8">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cs="Times New Roman" w:asciiTheme="majorEastAsia" w:hAnsiTheme="majorEastAsia" w:eastAsiaTheme="majorEastAsia"/>
                <w:color w:val="auto"/>
                <w:kern w:val="2"/>
                <w:sz w:val="21"/>
                <w:szCs w:val="21"/>
                <w:highlight w:val="none"/>
                <w:lang w:val="en-US" w:eastAsia="zh-CN" w:bidi="ar-SA"/>
              </w:rPr>
            </w:pPr>
            <w:r>
              <w:rPr>
                <w:rFonts w:hint="eastAsia" w:asciiTheme="majorEastAsia" w:hAnsiTheme="majorEastAsia" w:eastAsiaTheme="majorEastAsia"/>
                <w:color w:val="auto"/>
                <w:szCs w:val="21"/>
                <w:highlight w:val="none"/>
              </w:rPr>
              <w:t>第（ ）页</w:t>
            </w:r>
          </w:p>
        </w:tc>
      </w:tr>
    </w:tbl>
    <w:p w14:paraId="27117945">
      <w:pPr>
        <w:keepNext w:val="0"/>
        <w:keepLines w:val="0"/>
        <w:pageBreakBefore w:val="0"/>
        <w:widowControl w:val="0"/>
        <w:shd w:val="clear"/>
        <w:kinsoku/>
        <w:wordWrap/>
        <w:overflowPunct/>
        <w:topLinePunct w:val="0"/>
        <w:bidi w:val="0"/>
        <w:adjustRightInd w:val="0"/>
        <w:spacing w:line="440" w:lineRule="exact"/>
        <w:jc w:val="both"/>
        <w:outlineLvl w:val="9"/>
        <w:rPr>
          <w:rFonts w:hint="eastAsia" w:asciiTheme="majorEastAsia" w:hAnsiTheme="majorEastAsia" w:eastAsiaTheme="majorEastAsia"/>
          <w:b/>
          <w:color w:val="auto"/>
          <w:szCs w:val="21"/>
          <w:highlight w:val="none"/>
        </w:rPr>
      </w:pPr>
    </w:p>
    <w:p w14:paraId="6E3C2772">
      <w:pPr>
        <w:keepNext w:val="0"/>
        <w:keepLines w:val="0"/>
        <w:pageBreakBefore w:val="0"/>
        <w:widowControl w:val="0"/>
        <w:shd w:val="clear"/>
        <w:kinsoku/>
        <w:wordWrap/>
        <w:overflowPunct/>
        <w:topLinePunct w:val="0"/>
        <w:bidi w:val="0"/>
        <w:adjustRightInd w:val="0"/>
        <w:spacing w:line="440" w:lineRule="exact"/>
        <w:jc w:val="center"/>
        <w:outlineLvl w:val="9"/>
        <w:rPr>
          <w:rFonts w:hint="eastAsia" w:asciiTheme="majorEastAsia" w:hAnsiTheme="majorEastAsia" w:eastAsiaTheme="majorEastAsia"/>
          <w:b/>
          <w:color w:val="auto"/>
          <w:szCs w:val="21"/>
          <w:highlight w:val="none"/>
        </w:rPr>
      </w:pPr>
    </w:p>
    <w:p w14:paraId="489271C5">
      <w:pPr>
        <w:keepNext w:val="0"/>
        <w:keepLines w:val="0"/>
        <w:pageBreakBefore w:val="0"/>
        <w:widowControl/>
        <w:shd w:val="clear"/>
        <w:kinsoku/>
        <w:wordWrap/>
        <w:overflowPunct/>
        <w:topLinePunct w:val="0"/>
        <w:bidi w:val="0"/>
        <w:adjustRightInd/>
        <w:spacing w:line="240" w:lineRule="auto"/>
        <w:jc w:val="left"/>
        <w:outlineLvl w:val="9"/>
        <w:rPr>
          <w:rFonts w:hint="eastAsia"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br w:type="page"/>
      </w:r>
    </w:p>
    <w:p w14:paraId="155A03BF">
      <w:pPr>
        <w:keepNext w:val="0"/>
        <w:keepLines w:val="0"/>
        <w:pageBreakBefore w:val="0"/>
        <w:widowControl w:val="0"/>
        <w:shd w:val="clear"/>
        <w:kinsoku/>
        <w:wordWrap/>
        <w:overflowPunct/>
        <w:topLinePunct w:val="0"/>
        <w:bidi w:val="0"/>
        <w:adjustRightInd w:val="0"/>
        <w:spacing w:line="440" w:lineRule="exact"/>
        <w:jc w:val="center"/>
        <w:outlineLvl w:val="9"/>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符合性自查表</w:t>
      </w:r>
    </w:p>
    <w:p w14:paraId="44FE7209">
      <w:pPr>
        <w:keepNext w:val="0"/>
        <w:keepLines w:val="0"/>
        <w:pageBreakBefore w:val="0"/>
        <w:widowControl w:val="0"/>
        <w:shd w:val="clear"/>
        <w:kinsoku/>
        <w:wordWrap/>
        <w:overflowPunct/>
        <w:topLinePunct w:val="0"/>
        <w:bidi w:val="0"/>
        <w:adjustRightInd w:val="0"/>
        <w:spacing w:line="440" w:lineRule="exact"/>
        <w:jc w:val="center"/>
        <w:outlineLvl w:val="9"/>
        <w:rPr>
          <w:rFonts w:asciiTheme="majorEastAsia" w:hAnsiTheme="majorEastAsia" w:eastAsiaTheme="majorEastAsia"/>
          <w:b/>
          <w:color w:val="auto"/>
          <w:szCs w:val="21"/>
          <w:highlight w:val="none"/>
        </w:rPr>
      </w:pPr>
    </w:p>
    <w:tbl>
      <w:tblPr>
        <w:tblStyle w:val="4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067"/>
        <w:gridCol w:w="4175"/>
        <w:gridCol w:w="1410"/>
        <w:gridCol w:w="2192"/>
      </w:tblGrid>
      <w:tr w14:paraId="21B3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noWrap w:val="0"/>
            <w:vAlign w:val="center"/>
          </w:tcPr>
          <w:p w14:paraId="32E1F9C6">
            <w:pPr>
              <w:adjustRightInd/>
              <w:spacing w:line="280" w:lineRule="exact"/>
              <w:jc w:val="center"/>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评审</w:t>
            </w:r>
          </w:p>
          <w:p w14:paraId="56414DCE">
            <w:pPr>
              <w:adjustRightInd/>
              <w:spacing w:line="280" w:lineRule="exact"/>
              <w:jc w:val="center"/>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内容</w:t>
            </w:r>
          </w:p>
        </w:tc>
        <w:tc>
          <w:tcPr>
            <w:tcW w:w="4175" w:type="dxa"/>
            <w:noWrap w:val="0"/>
            <w:vAlign w:val="center"/>
          </w:tcPr>
          <w:p w14:paraId="69AECF22">
            <w:pPr>
              <w:adjustRightInd/>
              <w:spacing w:line="280" w:lineRule="exact"/>
              <w:jc w:val="center"/>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磋商文件要求</w:t>
            </w:r>
          </w:p>
        </w:tc>
        <w:tc>
          <w:tcPr>
            <w:tcW w:w="1410" w:type="dxa"/>
            <w:noWrap w:val="0"/>
            <w:vAlign w:val="center"/>
          </w:tcPr>
          <w:p w14:paraId="7F597331">
            <w:pPr>
              <w:adjustRightInd/>
              <w:spacing w:line="280" w:lineRule="exact"/>
              <w:jc w:val="center"/>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自查结论</w:t>
            </w:r>
          </w:p>
        </w:tc>
        <w:tc>
          <w:tcPr>
            <w:tcW w:w="2192" w:type="dxa"/>
            <w:noWrap w:val="0"/>
            <w:vAlign w:val="center"/>
          </w:tcPr>
          <w:p w14:paraId="620DB61E">
            <w:pPr>
              <w:adjustRightInd/>
              <w:spacing w:line="280" w:lineRule="exact"/>
              <w:jc w:val="center"/>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证明资料页码</w:t>
            </w:r>
          </w:p>
        </w:tc>
      </w:tr>
      <w:tr w14:paraId="5B23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restart"/>
            <w:noWrap w:val="0"/>
            <w:vAlign w:val="center"/>
          </w:tcPr>
          <w:p w14:paraId="1A1834B3">
            <w:pPr>
              <w:adjustRightInd/>
              <w:spacing w:line="280" w:lineRule="exact"/>
              <w:jc w:val="center"/>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符</w:t>
            </w:r>
          </w:p>
          <w:p w14:paraId="5620A0C7">
            <w:pPr>
              <w:adjustRightInd/>
              <w:spacing w:line="280" w:lineRule="exact"/>
              <w:jc w:val="center"/>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合</w:t>
            </w:r>
          </w:p>
          <w:p w14:paraId="41871771">
            <w:pPr>
              <w:adjustRightInd/>
              <w:spacing w:line="280" w:lineRule="exact"/>
              <w:jc w:val="center"/>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性</w:t>
            </w:r>
          </w:p>
          <w:p w14:paraId="5EFBCE50">
            <w:pPr>
              <w:adjustRightInd/>
              <w:spacing w:line="280" w:lineRule="exact"/>
              <w:jc w:val="center"/>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审</w:t>
            </w:r>
          </w:p>
          <w:p w14:paraId="76A71783">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查</w:t>
            </w:r>
          </w:p>
        </w:tc>
        <w:tc>
          <w:tcPr>
            <w:tcW w:w="4175" w:type="dxa"/>
            <w:noWrap w:val="0"/>
            <w:vAlign w:val="center"/>
          </w:tcPr>
          <w:p w14:paraId="0029CC26">
            <w:pPr>
              <w:adjustRightInd/>
              <w:spacing w:line="280" w:lineRule="exact"/>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w:t>
            </w:r>
            <w:r>
              <w:rPr>
                <w:rFonts w:hint="eastAsia" w:ascii="宋体" w:hAnsi="宋体" w:eastAsia="宋体" w:cs="宋体"/>
                <w:color w:val="auto"/>
                <w:kern w:val="2"/>
                <w:sz w:val="21"/>
                <w:szCs w:val="21"/>
                <w:highlight w:val="none"/>
                <w:lang w:eastAsia="zh-CN"/>
              </w:rPr>
              <w:t>响应函</w:t>
            </w:r>
            <w:r>
              <w:rPr>
                <w:rFonts w:hint="eastAsia" w:ascii="宋体" w:hAnsi="宋体" w:eastAsia="宋体" w:cs="宋体"/>
                <w:color w:val="auto"/>
                <w:kern w:val="2"/>
                <w:sz w:val="21"/>
                <w:szCs w:val="21"/>
                <w:highlight w:val="none"/>
              </w:rPr>
              <w:t>已提交并符合磋商文件要求；</w:t>
            </w:r>
          </w:p>
        </w:tc>
        <w:tc>
          <w:tcPr>
            <w:tcW w:w="1410" w:type="dxa"/>
            <w:noWrap w:val="0"/>
            <w:vAlign w:val="center"/>
          </w:tcPr>
          <w:p w14:paraId="37317CE8">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7C1B0FD9">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4C0E6332">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2BA7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21B389A7">
            <w:pPr>
              <w:adjustRightInd/>
              <w:spacing w:line="280" w:lineRule="exact"/>
              <w:jc w:val="center"/>
              <w:textAlignment w:val="auto"/>
              <w:outlineLvl w:val="9"/>
              <w:rPr>
                <w:rFonts w:hint="eastAsia" w:ascii="宋体" w:hAnsi="宋体" w:eastAsia="宋体" w:cs="宋体"/>
                <w:color w:val="auto"/>
                <w:kern w:val="2"/>
                <w:sz w:val="21"/>
                <w:szCs w:val="21"/>
                <w:highlight w:val="none"/>
              </w:rPr>
            </w:pPr>
          </w:p>
        </w:tc>
        <w:tc>
          <w:tcPr>
            <w:tcW w:w="4175" w:type="dxa"/>
            <w:noWrap w:val="0"/>
            <w:vAlign w:val="center"/>
          </w:tcPr>
          <w:p w14:paraId="2B7A784B">
            <w:pPr>
              <w:adjustRightInd/>
              <w:spacing w:line="280" w:lineRule="exact"/>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（二）按照磋商文件规定要求签署或盖章；</w:t>
            </w:r>
          </w:p>
        </w:tc>
        <w:tc>
          <w:tcPr>
            <w:tcW w:w="1410" w:type="dxa"/>
            <w:noWrap w:val="0"/>
            <w:vAlign w:val="center"/>
          </w:tcPr>
          <w:p w14:paraId="5100850F">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7B1610D3">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28073AA7">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283A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6479147E">
            <w:pPr>
              <w:adjustRightInd/>
              <w:spacing w:line="280" w:lineRule="exact"/>
              <w:jc w:val="center"/>
              <w:textAlignment w:val="auto"/>
              <w:outlineLvl w:val="9"/>
              <w:rPr>
                <w:rFonts w:hint="eastAsia" w:ascii="宋体" w:hAnsi="宋体" w:eastAsia="宋体" w:cs="宋体"/>
                <w:color w:val="auto"/>
                <w:kern w:val="2"/>
                <w:sz w:val="21"/>
                <w:szCs w:val="21"/>
                <w:highlight w:val="none"/>
              </w:rPr>
            </w:pPr>
          </w:p>
        </w:tc>
        <w:tc>
          <w:tcPr>
            <w:tcW w:w="4175" w:type="dxa"/>
            <w:noWrap w:val="0"/>
            <w:vAlign w:val="center"/>
          </w:tcPr>
          <w:p w14:paraId="5417929D">
            <w:pPr>
              <w:adjustRightInd/>
              <w:spacing w:line="280" w:lineRule="exact"/>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（三）响应文件规定部分有法定代表人签署本人姓名（或印盖本人姓名章），或签署人提供有效的法定代表人授权委托书且授权委托书填写项目齐全的；</w:t>
            </w:r>
          </w:p>
        </w:tc>
        <w:tc>
          <w:tcPr>
            <w:tcW w:w="1410" w:type="dxa"/>
            <w:noWrap w:val="0"/>
            <w:vAlign w:val="center"/>
          </w:tcPr>
          <w:p w14:paraId="5A7F679D">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661A458B">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548435C9">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5A2E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1C5C6B63">
            <w:pPr>
              <w:adjustRightInd/>
              <w:spacing w:line="280" w:lineRule="exact"/>
              <w:jc w:val="center"/>
              <w:textAlignment w:val="auto"/>
              <w:outlineLvl w:val="9"/>
              <w:rPr>
                <w:rFonts w:hint="eastAsia" w:ascii="宋体" w:hAnsi="宋体" w:eastAsia="宋体" w:cs="宋体"/>
                <w:color w:val="auto"/>
                <w:kern w:val="2"/>
                <w:sz w:val="21"/>
                <w:szCs w:val="21"/>
                <w:highlight w:val="none"/>
              </w:rPr>
            </w:pPr>
          </w:p>
        </w:tc>
        <w:tc>
          <w:tcPr>
            <w:tcW w:w="4175" w:type="dxa"/>
            <w:noWrap w:val="0"/>
            <w:vAlign w:val="center"/>
          </w:tcPr>
          <w:p w14:paraId="636E8BBB">
            <w:pPr>
              <w:adjustRightInd/>
              <w:spacing w:line="280" w:lineRule="exact"/>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（四）响应文件标明的响应或偏离与事实相符且无虚假投标的；</w:t>
            </w:r>
          </w:p>
        </w:tc>
        <w:tc>
          <w:tcPr>
            <w:tcW w:w="1410" w:type="dxa"/>
            <w:noWrap w:val="0"/>
            <w:vAlign w:val="center"/>
          </w:tcPr>
          <w:p w14:paraId="1D75BE89">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70983111">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775E4642">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18BE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37B0C0AB">
            <w:pPr>
              <w:adjustRightInd/>
              <w:spacing w:line="280" w:lineRule="exact"/>
              <w:jc w:val="center"/>
              <w:textAlignment w:val="auto"/>
              <w:outlineLvl w:val="9"/>
              <w:rPr>
                <w:rFonts w:hint="eastAsia" w:ascii="宋体" w:hAnsi="宋体" w:eastAsia="宋体" w:cs="宋体"/>
                <w:color w:val="auto"/>
                <w:kern w:val="2"/>
                <w:sz w:val="21"/>
                <w:szCs w:val="21"/>
                <w:highlight w:val="none"/>
              </w:rPr>
            </w:pPr>
          </w:p>
        </w:tc>
        <w:tc>
          <w:tcPr>
            <w:tcW w:w="4175" w:type="dxa"/>
            <w:noWrap w:val="0"/>
            <w:vAlign w:val="center"/>
          </w:tcPr>
          <w:p w14:paraId="62C3EA6C">
            <w:pPr>
              <w:adjustRightInd/>
              <w:spacing w:line="280" w:lineRule="exact"/>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（五）响应文件的实质性内容使用中文表述且意思表述明确，前后无矛盾且使用计量单位符合磋商文件要求的；</w:t>
            </w:r>
          </w:p>
        </w:tc>
        <w:tc>
          <w:tcPr>
            <w:tcW w:w="1410" w:type="dxa"/>
            <w:noWrap w:val="0"/>
            <w:vAlign w:val="center"/>
          </w:tcPr>
          <w:p w14:paraId="5763FD45">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1494BB10">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2A3214EA">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250E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55" w:hRule="atLeast"/>
          <w:jc w:val="center"/>
        </w:trPr>
        <w:tc>
          <w:tcPr>
            <w:tcW w:w="1067" w:type="dxa"/>
            <w:vMerge w:val="continue"/>
            <w:noWrap w:val="0"/>
            <w:vAlign w:val="center"/>
          </w:tcPr>
          <w:p w14:paraId="53511464">
            <w:pPr>
              <w:adjustRightInd/>
              <w:spacing w:line="280" w:lineRule="exact"/>
              <w:jc w:val="center"/>
              <w:textAlignment w:val="auto"/>
              <w:outlineLvl w:val="9"/>
              <w:rPr>
                <w:rFonts w:hint="eastAsia" w:ascii="宋体" w:hAnsi="宋体" w:eastAsia="宋体" w:cs="宋体"/>
                <w:color w:val="auto"/>
                <w:kern w:val="2"/>
                <w:sz w:val="21"/>
                <w:szCs w:val="21"/>
                <w:highlight w:val="none"/>
              </w:rPr>
            </w:pPr>
          </w:p>
        </w:tc>
        <w:tc>
          <w:tcPr>
            <w:tcW w:w="4175" w:type="dxa"/>
            <w:noWrap w:val="0"/>
            <w:vAlign w:val="center"/>
          </w:tcPr>
          <w:p w14:paraId="573BB05C">
            <w:pPr>
              <w:adjustRightInd/>
              <w:spacing w:line="280" w:lineRule="exact"/>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（六）带“</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”的条款满足磋商文件要求、已实质性响应磋商文件要求且响应文件无采购人不能接受的附加条件的；</w:t>
            </w:r>
          </w:p>
        </w:tc>
        <w:tc>
          <w:tcPr>
            <w:tcW w:w="1410" w:type="dxa"/>
            <w:noWrap w:val="0"/>
            <w:vAlign w:val="center"/>
          </w:tcPr>
          <w:p w14:paraId="10F1CAE3">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7BC3E2E4">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14B40860">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200E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72CCDDCD">
            <w:pPr>
              <w:adjustRightInd/>
              <w:spacing w:line="280" w:lineRule="exact"/>
              <w:jc w:val="center"/>
              <w:textAlignment w:val="auto"/>
              <w:outlineLvl w:val="9"/>
              <w:rPr>
                <w:rFonts w:hint="eastAsia" w:ascii="宋体" w:hAnsi="宋体" w:eastAsia="宋体" w:cs="宋体"/>
                <w:color w:val="auto"/>
                <w:kern w:val="2"/>
                <w:sz w:val="21"/>
                <w:szCs w:val="21"/>
                <w:highlight w:val="none"/>
              </w:rPr>
            </w:pPr>
          </w:p>
        </w:tc>
        <w:tc>
          <w:tcPr>
            <w:tcW w:w="4175" w:type="dxa"/>
            <w:noWrap w:val="0"/>
            <w:vAlign w:val="center"/>
          </w:tcPr>
          <w:p w14:paraId="06B0E1A3">
            <w:pPr>
              <w:adjustRightInd/>
              <w:spacing w:line="280" w:lineRule="exact"/>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（七）允许偏离的技术、性能指标或者辅助功能项目发生负偏离未达 </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项（含）以上的</w:t>
            </w:r>
          </w:p>
        </w:tc>
        <w:tc>
          <w:tcPr>
            <w:tcW w:w="1410" w:type="dxa"/>
            <w:noWrap w:val="0"/>
            <w:vAlign w:val="center"/>
          </w:tcPr>
          <w:p w14:paraId="4C19F908">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262F8239">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6E69C499">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6343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38AE985E">
            <w:pPr>
              <w:adjustRightInd/>
              <w:spacing w:line="280" w:lineRule="exact"/>
              <w:jc w:val="center"/>
              <w:textAlignment w:val="auto"/>
              <w:outlineLvl w:val="9"/>
              <w:rPr>
                <w:rFonts w:hint="eastAsia" w:ascii="宋体" w:hAnsi="宋体" w:eastAsia="宋体" w:cs="宋体"/>
                <w:color w:val="auto"/>
                <w:kern w:val="2"/>
                <w:sz w:val="21"/>
                <w:szCs w:val="21"/>
                <w:highlight w:val="none"/>
              </w:rPr>
            </w:pPr>
          </w:p>
        </w:tc>
        <w:tc>
          <w:tcPr>
            <w:tcW w:w="4175" w:type="dxa"/>
            <w:noWrap w:val="0"/>
            <w:vAlign w:val="center"/>
          </w:tcPr>
          <w:p w14:paraId="4B0F1CCE">
            <w:pPr>
              <w:adjustRightInd/>
              <w:spacing w:line="280" w:lineRule="exact"/>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（八）投标技术方案明确，不存在一个或一个以上备选（替代）投标方案的；</w:t>
            </w:r>
          </w:p>
        </w:tc>
        <w:tc>
          <w:tcPr>
            <w:tcW w:w="1410" w:type="dxa"/>
            <w:noWrap w:val="0"/>
            <w:vAlign w:val="center"/>
          </w:tcPr>
          <w:p w14:paraId="62B3BD88">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1D0431E5">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09D782B4">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6225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59D6590A">
            <w:pPr>
              <w:adjustRightInd/>
              <w:spacing w:line="280" w:lineRule="exact"/>
              <w:jc w:val="center"/>
              <w:textAlignment w:val="auto"/>
              <w:outlineLvl w:val="9"/>
              <w:rPr>
                <w:rFonts w:hint="eastAsia" w:ascii="宋体" w:hAnsi="宋体" w:eastAsia="宋体" w:cs="宋体"/>
                <w:color w:val="auto"/>
                <w:kern w:val="2"/>
                <w:sz w:val="21"/>
                <w:szCs w:val="21"/>
                <w:highlight w:val="none"/>
              </w:rPr>
            </w:pPr>
          </w:p>
        </w:tc>
        <w:tc>
          <w:tcPr>
            <w:tcW w:w="4175" w:type="dxa"/>
            <w:noWrap w:val="0"/>
            <w:vAlign w:val="center"/>
          </w:tcPr>
          <w:p w14:paraId="45FFE7B6">
            <w:pPr>
              <w:adjustRightInd/>
              <w:spacing w:line="280" w:lineRule="exact"/>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（九）不存在法律、法规和磋商文件规定的其他无效情形；</w:t>
            </w:r>
          </w:p>
        </w:tc>
        <w:tc>
          <w:tcPr>
            <w:tcW w:w="1410" w:type="dxa"/>
            <w:noWrap w:val="0"/>
            <w:vAlign w:val="center"/>
          </w:tcPr>
          <w:p w14:paraId="0AC1DBB9">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3694078A">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4E091E33">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r w14:paraId="265E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14:paraId="39883082">
            <w:pPr>
              <w:adjustRightInd/>
              <w:spacing w:line="280" w:lineRule="exact"/>
              <w:jc w:val="center"/>
              <w:textAlignment w:val="auto"/>
              <w:outlineLvl w:val="9"/>
              <w:rPr>
                <w:rFonts w:hint="eastAsia" w:ascii="宋体" w:hAnsi="宋体" w:eastAsia="宋体" w:cs="宋体"/>
                <w:color w:val="auto"/>
                <w:kern w:val="2"/>
                <w:sz w:val="21"/>
                <w:szCs w:val="21"/>
                <w:highlight w:val="none"/>
              </w:rPr>
            </w:pPr>
          </w:p>
        </w:tc>
        <w:tc>
          <w:tcPr>
            <w:tcW w:w="4175" w:type="dxa"/>
            <w:noWrap w:val="0"/>
            <w:vAlign w:val="center"/>
          </w:tcPr>
          <w:p w14:paraId="79286D38">
            <w:pPr>
              <w:adjustRightInd/>
              <w:spacing w:line="280" w:lineRule="exact"/>
              <w:jc w:val="left"/>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（十）不存在响应文件的有效期不满足磋商文件要求情形</w:t>
            </w:r>
            <w:r>
              <w:rPr>
                <w:rFonts w:hint="eastAsia" w:ascii="宋体" w:hAnsi="宋体" w:eastAsia="宋体" w:cs="宋体"/>
                <w:color w:val="auto"/>
                <w:kern w:val="2"/>
                <w:sz w:val="21"/>
                <w:szCs w:val="21"/>
                <w:highlight w:val="none"/>
                <w:lang w:eastAsia="zh-CN"/>
              </w:rPr>
              <w:t>。</w:t>
            </w:r>
          </w:p>
        </w:tc>
        <w:tc>
          <w:tcPr>
            <w:tcW w:w="1410" w:type="dxa"/>
            <w:noWrap w:val="0"/>
            <w:vAlign w:val="center"/>
          </w:tcPr>
          <w:p w14:paraId="1DEA4C93">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□通过 </w:t>
            </w:r>
          </w:p>
          <w:p w14:paraId="394B2289">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□不通过</w:t>
            </w:r>
          </w:p>
        </w:tc>
        <w:tc>
          <w:tcPr>
            <w:tcW w:w="2192" w:type="dxa"/>
            <w:noWrap w:val="0"/>
            <w:vAlign w:val="center"/>
          </w:tcPr>
          <w:p w14:paraId="36C6A21F">
            <w:pPr>
              <w:adjustRightInd/>
              <w:spacing w:line="280" w:lineRule="exact"/>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 ）页</w:t>
            </w:r>
          </w:p>
        </w:tc>
      </w:tr>
    </w:tbl>
    <w:p w14:paraId="01F994EE">
      <w:pPr>
        <w:keepNext w:val="0"/>
        <w:keepLines w:val="0"/>
        <w:pageBreakBefore w:val="0"/>
        <w:widowControl w:val="0"/>
        <w:shd w:val="clear"/>
        <w:kinsoku/>
        <w:wordWrap/>
        <w:overflowPunct/>
        <w:topLinePunct w:val="0"/>
        <w:bidi w:val="0"/>
        <w:jc w:val="center"/>
        <w:outlineLvl w:val="9"/>
        <w:rPr>
          <w:b/>
          <w:bCs/>
          <w:color w:val="auto"/>
          <w:sz w:val="28"/>
          <w:szCs w:val="28"/>
          <w:highlight w:val="none"/>
        </w:rPr>
      </w:pPr>
      <w:r>
        <w:rPr>
          <w:rFonts w:asciiTheme="majorEastAsia" w:hAnsiTheme="majorEastAsia" w:eastAsiaTheme="majorEastAsia"/>
          <w:color w:val="auto"/>
          <w:szCs w:val="21"/>
          <w:highlight w:val="none"/>
        </w:rPr>
        <w:br w:type="page"/>
      </w:r>
      <w:bookmarkStart w:id="45" w:name="_Toc381615432"/>
      <w:bookmarkStart w:id="46" w:name="_Toc518897062"/>
      <w:r>
        <w:rPr>
          <w:rFonts w:hint="eastAsia" w:eastAsiaTheme="majorEastAsia"/>
          <w:b/>
          <w:bCs/>
          <w:color w:val="auto"/>
          <w:sz w:val="28"/>
          <w:szCs w:val="28"/>
          <w:highlight w:val="none"/>
        </w:rPr>
        <w:t>磋商响应函</w:t>
      </w:r>
      <w:r>
        <w:rPr>
          <w:rFonts w:hint="eastAsia"/>
          <w:b/>
          <w:bCs/>
          <w:color w:val="auto"/>
          <w:sz w:val="28"/>
          <w:szCs w:val="28"/>
          <w:highlight w:val="none"/>
        </w:rPr>
        <w:t>及磋商响应函附录</w:t>
      </w:r>
      <w:bookmarkEnd w:id="45"/>
      <w:bookmarkEnd w:id="46"/>
    </w:p>
    <w:p w14:paraId="46BD6813">
      <w:pPr>
        <w:keepNext w:val="0"/>
        <w:keepLines w:val="0"/>
        <w:pageBreakBefore w:val="0"/>
        <w:widowControl w:val="0"/>
        <w:shd w:val="clear"/>
        <w:kinsoku/>
        <w:wordWrap/>
        <w:overflowPunct/>
        <w:topLinePunct w:val="0"/>
        <w:bidi w:val="0"/>
        <w:outlineLvl w:val="9"/>
        <w:rPr>
          <w:color w:val="auto"/>
          <w:highlight w:val="none"/>
        </w:rPr>
      </w:pPr>
    </w:p>
    <w:p w14:paraId="376246EE">
      <w:pPr>
        <w:keepNext w:val="0"/>
        <w:keepLines w:val="0"/>
        <w:pageBreakBefore w:val="0"/>
        <w:widowControl w:val="0"/>
        <w:shd w:val="clear"/>
        <w:kinsoku/>
        <w:wordWrap/>
        <w:overflowPunct/>
        <w:topLinePunct w:val="0"/>
        <w:bidi w:val="0"/>
        <w:jc w:val="center"/>
        <w:outlineLvl w:val="9"/>
        <w:rPr>
          <w:color w:val="auto"/>
          <w:sz w:val="28"/>
          <w:highlight w:val="none"/>
        </w:rPr>
      </w:pPr>
      <w:r>
        <w:rPr>
          <w:rFonts w:hint="eastAsia"/>
          <w:color w:val="auto"/>
          <w:sz w:val="28"/>
          <w:highlight w:val="none"/>
        </w:rPr>
        <w:t>（一）磋商响应函</w:t>
      </w:r>
    </w:p>
    <w:p w14:paraId="706C99EB">
      <w:pPr>
        <w:keepNext w:val="0"/>
        <w:keepLines w:val="0"/>
        <w:pageBreakBefore w:val="0"/>
        <w:widowControl w:val="0"/>
        <w:shd w:val="clear"/>
        <w:kinsoku/>
        <w:wordWrap/>
        <w:overflowPunct/>
        <w:topLinePunct w:val="0"/>
        <w:bidi w:val="0"/>
        <w:spacing w:line="360" w:lineRule="auto"/>
        <w:ind w:firstLine="420" w:firstLineChars="200"/>
        <w:outlineLvl w:val="9"/>
        <w:rPr>
          <w:rFonts w:ascii="宋体" w:hAnsi="宋体"/>
          <w:color w:val="auto"/>
          <w:szCs w:val="21"/>
          <w:highlight w:val="none"/>
        </w:rPr>
      </w:pPr>
    </w:p>
    <w:p w14:paraId="6EEF648B">
      <w:pPr>
        <w:keepNext w:val="0"/>
        <w:keepLines w:val="0"/>
        <w:pageBreakBefore w:val="0"/>
        <w:widowControl w:val="0"/>
        <w:shd w:val="clear"/>
        <w:kinsoku/>
        <w:wordWrap/>
        <w:overflowPunct/>
        <w:topLinePunct w:val="0"/>
        <w:bidi w:val="0"/>
        <w:spacing w:line="360" w:lineRule="auto"/>
        <w:outlineLvl w:val="9"/>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（采购人名称）: </w:t>
      </w:r>
    </w:p>
    <w:p w14:paraId="3B4990D9">
      <w:pPr>
        <w:keepNext w:val="0"/>
        <w:keepLines w:val="0"/>
        <w:pageBreakBefore w:val="0"/>
        <w:widowControl w:val="0"/>
        <w:shd w:val="clear"/>
        <w:kinsoku/>
        <w:wordWrap/>
        <w:overflowPunct/>
        <w:topLinePunct w:val="0"/>
        <w:bidi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1．我方己仔细研究了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（项目名称）磋商文件的全部内容，愿意以人民币（大写）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元整（￥</w:t>
      </w:r>
      <w:r>
        <w:rPr>
          <w:rFonts w:hint="eastAsia" w:ascii="宋体" w:hAnsi="宋体"/>
          <w:color w:val="auto"/>
          <w:szCs w:val="21"/>
          <w:highlight w:val="none"/>
          <w:u w:val="single"/>
        </w:rPr>
        <w:t xml:space="preserve">       </w:t>
      </w:r>
      <w:r>
        <w:rPr>
          <w:rFonts w:hint="eastAsia" w:ascii="宋体" w:hAnsi="宋体"/>
          <w:color w:val="auto"/>
          <w:szCs w:val="21"/>
          <w:highlight w:val="none"/>
        </w:rPr>
        <w:t>）的磋商总报价，按合同约定实施和完成</w:t>
      </w:r>
      <w:r>
        <w:rPr>
          <w:rFonts w:hint="eastAsia" w:ascii="宋体" w:hAnsi="宋体"/>
          <w:color w:val="auto"/>
          <w:szCs w:val="21"/>
          <w:highlight w:val="none"/>
          <w:lang w:eastAsia="zh-CN"/>
        </w:rPr>
        <w:t>相关服务</w:t>
      </w:r>
      <w:r>
        <w:rPr>
          <w:rFonts w:hint="eastAsia" w:ascii="宋体" w:hAnsi="宋体"/>
          <w:color w:val="auto"/>
          <w:szCs w:val="21"/>
          <w:highlight w:val="none"/>
        </w:rPr>
        <w:t>。</w:t>
      </w:r>
    </w:p>
    <w:p w14:paraId="2BBCE01A">
      <w:pPr>
        <w:keepNext w:val="0"/>
        <w:keepLines w:val="0"/>
        <w:pageBreakBefore w:val="0"/>
        <w:widowControl w:val="0"/>
        <w:shd w:val="clear"/>
        <w:kinsoku/>
        <w:wordWrap/>
        <w:overflowPunct/>
        <w:topLinePunct w:val="0"/>
        <w:bidi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2．我方承诺在磋商有效期满足磋商文件规定。</w:t>
      </w:r>
    </w:p>
    <w:p w14:paraId="10AB154D">
      <w:pPr>
        <w:keepNext w:val="0"/>
        <w:keepLines w:val="0"/>
        <w:pageBreakBefore w:val="0"/>
        <w:widowControl w:val="0"/>
        <w:shd w:val="clear"/>
        <w:kinsoku/>
        <w:wordWrap/>
        <w:overflowPunct/>
        <w:topLinePunct w:val="0"/>
        <w:bidi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3．如我方确定成交：</w:t>
      </w:r>
    </w:p>
    <w:p w14:paraId="5EF0269C">
      <w:pPr>
        <w:keepNext w:val="0"/>
        <w:keepLines w:val="0"/>
        <w:pageBreakBefore w:val="0"/>
        <w:widowControl w:val="0"/>
        <w:shd w:val="clear"/>
        <w:kinsoku/>
        <w:wordWrap/>
        <w:overflowPunct/>
        <w:topLinePunct w:val="0"/>
        <w:bidi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(l）我方承诺在收到确定成交通知书后，在磋商文件规定的期限内与你方签订合同。</w:t>
      </w:r>
    </w:p>
    <w:p w14:paraId="4C6F96CE">
      <w:pPr>
        <w:keepNext w:val="0"/>
        <w:keepLines w:val="0"/>
        <w:pageBreakBefore w:val="0"/>
        <w:widowControl w:val="0"/>
        <w:shd w:val="clear"/>
        <w:kinsoku/>
        <w:wordWrap/>
        <w:overflowPunct/>
        <w:topLinePunct w:val="0"/>
        <w:bidi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(2）随同本磋商响应函递交的磋商响应函附录属于合同文件的组成部分。</w:t>
      </w:r>
    </w:p>
    <w:p w14:paraId="16385C5A">
      <w:pPr>
        <w:keepNext w:val="0"/>
        <w:keepLines w:val="0"/>
        <w:pageBreakBefore w:val="0"/>
        <w:widowControl w:val="0"/>
        <w:shd w:val="clear"/>
        <w:kinsoku/>
        <w:wordWrap/>
        <w:overflowPunct/>
        <w:topLinePunct w:val="0"/>
        <w:bidi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4．我方在此声明，所递交的响应文件及有关资料内容完整、真实和准确，且不存在第二章“供应商须知”第1.4.3 项规定的任何一种情形。</w:t>
      </w:r>
    </w:p>
    <w:p w14:paraId="02EBEA8B">
      <w:pPr>
        <w:keepNext w:val="0"/>
        <w:keepLines w:val="0"/>
        <w:pageBreakBefore w:val="0"/>
        <w:widowControl w:val="0"/>
        <w:shd w:val="clear"/>
        <w:kinsoku/>
        <w:wordWrap/>
        <w:overflowPunct/>
        <w:topLinePunct w:val="0"/>
        <w:bidi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 xml:space="preserve">5. </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0828419D">
      <w:pPr>
        <w:keepNext w:val="0"/>
        <w:keepLines w:val="0"/>
        <w:pageBreakBefore w:val="0"/>
        <w:widowControl w:val="0"/>
        <w:shd w:val="clear"/>
        <w:kinsoku/>
        <w:wordWrap/>
        <w:overflowPunct/>
        <w:topLinePunct w:val="0"/>
        <w:bidi w:val="0"/>
        <w:spacing w:line="360" w:lineRule="auto"/>
        <w:ind w:firstLine="420" w:firstLineChars="200"/>
        <w:outlineLvl w:val="9"/>
        <w:rPr>
          <w:rFonts w:ascii="宋体" w:hAnsi="宋体"/>
          <w:color w:val="auto"/>
          <w:szCs w:val="21"/>
          <w:highlight w:val="none"/>
        </w:rPr>
      </w:pPr>
    </w:p>
    <w:p w14:paraId="458E2453">
      <w:pPr>
        <w:keepNext w:val="0"/>
        <w:keepLines w:val="0"/>
        <w:pageBreakBefore w:val="0"/>
        <w:widowControl w:val="0"/>
        <w:shd w:val="clear"/>
        <w:kinsoku/>
        <w:wordWrap/>
        <w:overflowPunct/>
        <w:topLinePunct w:val="0"/>
        <w:bidi w:val="0"/>
        <w:spacing w:line="360" w:lineRule="auto"/>
        <w:ind w:firstLine="420" w:firstLineChars="200"/>
        <w:outlineLvl w:val="9"/>
        <w:rPr>
          <w:rFonts w:ascii="宋体" w:hAnsi="宋体"/>
          <w:color w:val="auto"/>
          <w:szCs w:val="21"/>
          <w:highlight w:val="none"/>
        </w:rPr>
      </w:pPr>
    </w:p>
    <w:p w14:paraId="1AD1771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outlineLvl w:val="9"/>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14:paraId="71D8E40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outlineLvl w:val="9"/>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35DF26FC">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outlineLvl w:val="9"/>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6619CF94">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outlineLvl w:val="9"/>
        <w:rPr>
          <w:rFonts w:ascii="宋体" w:hAnsi="宋体"/>
          <w:color w:val="auto"/>
          <w:szCs w:val="21"/>
          <w:highlight w:val="non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14:paraId="61C39402">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outlineLvl w:val="9"/>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25A2847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outlineLvl w:val="9"/>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3F815B0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outlineLvl w:val="9"/>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1849DDFC">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232F144">
      <w:pPr>
        <w:pStyle w:val="2"/>
        <w:keepNext w:val="0"/>
        <w:keepLines w:val="0"/>
        <w:pageBreakBefore w:val="0"/>
        <w:widowControl w:val="0"/>
        <w:kinsoku/>
        <w:wordWrap/>
        <w:overflowPunct/>
        <w:topLinePunct w:val="0"/>
        <w:bidi w:val="0"/>
        <w:ind w:left="0" w:leftChars="0" w:firstLine="0" w:firstLineChars="0"/>
        <w:outlineLvl w:val="9"/>
        <w:rPr>
          <w:color w:val="auto"/>
          <w:highlight w:val="none"/>
        </w:rPr>
      </w:pPr>
    </w:p>
    <w:p w14:paraId="502C7FBA">
      <w:pPr>
        <w:keepNext w:val="0"/>
        <w:keepLines w:val="0"/>
        <w:pageBreakBefore w:val="0"/>
        <w:widowControl w:val="0"/>
        <w:shd w:val="clear"/>
        <w:kinsoku/>
        <w:wordWrap/>
        <w:overflowPunct/>
        <w:topLinePunct w:val="0"/>
        <w:bidi w:val="0"/>
        <w:spacing w:line="360" w:lineRule="auto"/>
        <w:ind w:firstLine="420" w:firstLineChars="200"/>
        <w:outlineLvl w:val="9"/>
        <w:rPr>
          <w:rFonts w:ascii="宋体" w:hAnsi="宋体"/>
          <w:color w:val="auto"/>
          <w:szCs w:val="21"/>
          <w:highlight w:val="none"/>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E0AF49E">
      <w:pPr>
        <w:keepNext w:val="0"/>
        <w:keepLines w:val="0"/>
        <w:pageBreakBefore w:val="0"/>
        <w:widowControl w:val="0"/>
        <w:shd w:val="clear"/>
        <w:kinsoku/>
        <w:wordWrap/>
        <w:overflowPunct/>
        <w:topLinePunct w:val="0"/>
        <w:bidi w:val="0"/>
        <w:adjustRightInd w:val="0"/>
        <w:spacing w:line="440" w:lineRule="exact"/>
        <w:jc w:val="left"/>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格式二：</w:t>
      </w:r>
    </w:p>
    <w:p w14:paraId="1E860D21">
      <w:pPr>
        <w:keepNext w:val="0"/>
        <w:keepLines w:val="0"/>
        <w:pageBreakBefore w:val="0"/>
        <w:widowControl w:val="0"/>
        <w:shd w:val="clear"/>
        <w:kinsoku/>
        <w:wordWrap/>
        <w:overflowPunct/>
        <w:topLinePunct w:val="0"/>
        <w:bidi w:val="0"/>
        <w:spacing w:line="440" w:lineRule="exact"/>
        <w:jc w:val="center"/>
        <w:outlineLvl w:val="9"/>
        <w:rPr>
          <w:rFonts w:hint="eastAsia" w:asciiTheme="majorEastAsia" w:hAnsiTheme="majorEastAsia" w:eastAsiaTheme="majorEastAsia"/>
          <w:b/>
          <w:color w:val="auto"/>
          <w:spacing w:val="-4"/>
          <w:szCs w:val="21"/>
          <w:highlight w:val="none"/>
        </w:rPr>
      </w:pPr>
      <w:r>
        <w:rPr>
          <w:rFonts w:hint="eastAsia" w:asciiTheme="majorEastAsia" w:hAnsiTheme="majorEastAsia" w:eastAsiaTheme="majorEastAsia"/>
          <w:b/>
          <w:color w:val="auto"/>
          <w:spacing w:val="-4"/>
          <w:szCs w:val="21"/>
          <w:highlight w:val="none"/>
        </w:rPr>
        <w:t>供应商资格声明函</w:t>
      </w:r>
    </w:p>
    <w:p w14:paraId="702D058C">
      <w:pPr>
        <w:pStyle w:val="2"/>
        <w:outlineLvl w:val="9"/>
        <w:rPr>
          <w:color w:val="auto"/>
          <w:highlight w:val="none"/>
        </w:rPr>
      </w:pPr>
    </w:p>
    <w:p w14:paraId="0F1D9E4D">
      <w:pPr>
        <w:spacing w:line="360" w:lineRule="auto"/>
        <w:outlineLvl w:val="9"/>
        <w:rPr>
          <w:rFonts w:hint="eastAsia" w:ascii="宋体" w:hAnsi="宋体" w:eastAsia="宋体" w:cs="宋体"/>
          <w:b/>
          <w:color w:val="auto"/>
          <w:kern w:val="1"/>
          <w:szCs w:val="21"/>
          <w:highlight w:val="none"/>
          <w:lang w:eastAsia="zh-CN"/>
        </w:rPr>
      </w:pPr>
      <w:r>
        <w:rPr>
          <w:rFonts w:hint="eastAsia" w:ascii="宋体" w:hAnsi="宋体" w:eastAsia="宋体"/>
          <w:bCs/>
          <w:color w:val="auto"/>
          <w:szCs w:val="21"/>
          <w:highlight w:val="none"/>
        </w:rPr>
        <w:t>致：</w:t>
      </w:r>
      <w:r>
        <w:rPr>
          <w:rFonts w:hint="eastAsia" w:ascii="宋体" w:hAnsi="宋体"/>
          <w:color w:val="auto"/>
          <w:szCs w:val="21"/>
          <w:highlight w:val="none"/>
          <w:u w:val="single"/>
          <w:lang w:eastAsia="zh-CN"/>
        </w:rPr>
        <w:t>宁波市自然资源和规划局海曙分局</w:t>
      </w: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eastAsia="zh-CN"/>
        </w:rPr>
        <w:t>宁波之新招标咨询有限公司</w:t>
      </w:r>
    </w:p>
    <w:p w14:paraId="14BF3CFF">
      <w:pPr>
        <w:spacing w:line="360" w:lineRule="auto"/>
        <w:ind w:firstLine="424"/>
        <w:outlineLvl w:val="9"/>
        <w:rPr>
          <w:rFonts w:ascii="宋体" w:hAnsi="宋体" w:eastAsia="宋体" w:cs="宋体"/>
          <w:b/>
          <w:bCs/>
          <w:color w:val="auto"/>
          <w:kern w:val="1"/>
          <w:szCs w:val="21"/>
          <w:highlight w:val="none"/>
        </w:rPr>
      </w:pPr>
      <w:r>
        <w:rPr>
          <w:rFonts w:ascii="宋体" w:hAnsi="宋体" w:eastAsia="宋体" w:cs="宋体"/>
          <w:b/>
          <w:color w:val="auto"/>
          <w:kern w:val="1"/>
          <w:szCs w:val="21"/>
          <w:highlight w:val="none"/>
        </w:rPr>
        <w:t>本单位</w:t>
      </w:r>
      <w:r>
        <w:rPr>
          <w:rFonts w:hint="eastAsia" w:ascii="宋体" w:hAnsi="宋体" w:eastAsia="宋体" w:cs="宋体"/>
          <w:b/>
          <w:color w:val="auto"/>
          <w:kern w:val="1"/>
          <w:szCs w:val="21"/>
          <w:highlight w:val="none"/>
        </w:rPr>
        <w:t>自愿</w:t>
      </w:r>
      <w:r>
        <w:rPr>
          <w:rFonts w:ascii="宋体" w:hAnsi="宋体" w:eastAsia="宋体" w:cs="宋体"/>
          <w:b/>
          <w:color w:val="auto"/>
          <w:kern w:val="1"/>
          <w:szCs w:val="21"/>
          <w:highlight w:val="none"/>
        </w:rPr>
        <w:t>参加</w:t>
      </w:r>
      <w:r>
        <w:rPr>
          <w:rFonts w:hint="eastAsia" w:ascii="宋体" w:hAnsi="宋体" w:eastAsia="宋体" w:cs="宋体"/>
          <w:b/>
          <w:color w:val="auto"/>
          <w:kern w:val="1"/>
          <w:szCs w:val="21"/>
          <w:highlight w:val="none"/>
        </w:rPr>
        <w:t>磋商</w:t>
      </w:r>
      <w:r>
        <w:rPr>
          <w:rFonts w:ascii="宋体" w:hAnsi="宋体" w:eastAsia="宋体" w:cs="宋体"/>
          <w:b/>
          <w:color w:val="auto"/>
          <w:kern w:val="1"/>
          <w:szCs w:val="21"/>
          <w:highlight w:val="none"/>
        </w:rPr>
        <w:t>并声明</w:t>
      </w:r>
      <w:r>
        <w:rPr>
          <w:rFonts w:hint="eastAsia" w:ascii="宋体" w:hAnsi="宋体" w:eastAsia="宋体" w:cs="宋体"/>
          <w:b/>
          <w:bCs/>
          <w:color w:val="auto"/>
          <w:kern w:val="1"/>
          <w:szCs w:val="21"/>
          <w:highlight w:val="none"/>
        </w:rPr>
        <w:t>：</w:t>
      </w:r>
    </w:p>
    <w:p w14:paraId="0F0A3F27">
      <w:pPr>
        <w:spacing w:line="360" w:lineRule="auto"/>
        <w:ind w:firstLine="424"/>
        <w:outlineLvl w:val="9"/>
        <w:rPr>
          <w:rFonts w:ascii="宋体" w:hAnsi="宋体" w:eastAsia="宋体" w:cs="Arial"/>
          <w:color w:val="auto"/>
          <w:szCs w:val="21"/>
          <w:highlight w:val="none"/>
        </w:rPr>
      </w:pPr>
      <w:r>
        <w:rPr>
          <w:rFonts w:hint="eastAsia" w:ascii="宋体" w:hAnsi="宋体" w:eastAsia="宋体" w:cs="Arial"/>
          <w:color w:val="auto"/>
          <w:szCs w:val="21"/>
          <w:highlight w:val="none"/>
        </w:rPr>
        <w:t>1、具有独立承担民事责任的能力；</w:t>
      </w:r>
    </w:p>
    <w:p w14:paraId="08976968">
      <w:pPr>
        <w:spacing w:line="360" w:lineRule="auto"/>
        <w:ind w:firstLine="424"/>
        <w:outlineLvl w:val="9"/>
        <w:rPr>
          <w:rFonts w:ascii="宋体" w:hAnsi="宋体" w:eastAsia="宋体" w:cs="Arial"/>
          <w:color w:val="auto"/>
          <w:szCs w:val="21"/>
          <w:highlight w:val="none"/>
        </w:rPr>
      </w:pPr>
      <w:r>
        <w:rPr>
          <w:rFonts w:hint="eastAsia" w:ascii="宋体" w:hAnsi="宋体" w:eastAsia="宋体" w:cs="Arial"/>
          <w:color w:val="auto"/>
          <w:szCs w:val="21"/>
          <w:highlight w:val="none"/>
        </w:rPr>
        <w:t>2、具有良好的商业信誉和健全的财务会计制度；</w:t>
      </w:r>
    </w:p>
    <w:p w14:paraId="0EFFE9CB">
      <w:pPr>
        <w:spacing w:line="360" w:lineRule="auto"/>
        <w:ind w:firstLine="424"/>
        <w:outlineLvl w:val="9"/>
        <w:rPr>
          <w:rFonts w:ascii="宋体" w:hAnsi="宋体" w:eastAsia="宋体" w:cs="Arial"/>
          <w:color w:val="auto"/>
          <w:szCs w:val="21"/>
          <w:highlight w:val="none"/>
        </w:rPr>
      </w:pPr>
      <w:r>
        <w:rPr>
          <w:rFonts w:hint="eastAsia" w:ascii="宋体" w:hAnsi="宋体" w:eastAsia="宋体" w:cs="Arial"/>
          <w:color w:val="auto"/>
          <w:szCs w:val="21"/>
          <w:highlight w:val="none"/>
        </w:rPr>
        <w:t>3、具有履行本项目合同所必需的设备和专业技术能力；</w:t>
      </w:r>
    </w:p>
    <w:p w14:paraId="2DD7A52D">
      <w:pPr>
        <w:spacing w:line="360" w:lineRule="auto"/>
        <w:ind w:firstLine="424"/>
        <w:outlineLvl w:val="9"/>
        <w:rPr>
          <w:rFonts w:ascii="宋体" w:hAnsi="宋体" w:eastAsia="宋体" w:cs="Arial"/>
          <w:color w:val="auto"/>
          <w:szCs w:val="21"/>
          <w:highlight w:val="none"/>
        </w:rPr>
      </w:pPr>
      <w:r>
        <w:rPr>
          <w:rFonts w:hint="eastAsia" w:ascii="宋体" w:hAnsi="宋体" w:eastAsia="宋体" w:cs="Arial"/>
          <w:color w:val="auto"/>
          <w:szCs w:val="21"/>
          <w:highlight w:val="none"/>
        </w:rPr>
        <w:t>4、已依法缴纳了税收和社会保障资金；</w:t>
      </w:r>
    </w:p>
    <w:p w14:paraId="770304C6">
      <w:pPr>
        <w:spacing w:line="360" w:lineRule="auto"/>
        <w:ind w:firstLine="424"/>
        <w:outlineLvl w:val="9"/>
        <w:rPr>
          <w:rFonts w:ascii="宋体" w:hAnsi="宋体" w:eastAsia="宋体" w:cs="Arial"/>
          <w:color w:val="auto"/>
          <w:szCs w:val="21"/>
          <w:highlight w:val="none"/>
        </w:rPr>
      </w:pPr>
      <w:r>
        <w:rPr>
          <w:rFonts w:hint="eastAsia" w:ascii="宋体" w:hAnsi="宋体" w:eastAsia="宋体" w:cs="Arial"/>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14:paraId="56D20E59">
      <w:pPr>
        <w:spacing w:line="360" w:lineRule="auto"/>
        <w:ind w:firstLine="424"/>
        <w:outlineLvl w:val="9"/>
        <w:rPr>
          <w:rFonts w:ascii="宋体" w:hAnsi="宋体" w:eastAsia="宋体" w:cs="Arial"/>
          <w:color w:val="auto"/>
          <w:szCs w:val="21"/>
          <w:highlight w:val="none"/>
        </w:rPr>
      </w:pPr>
      <w:r>
        <w:rPr>
          <w:rFonts w:hint="eastAsia" w:ascii="宋体" w:hAnsi="宋体" w:eastAsia="宋体" w:cs="Arial"/>
          <w:color w:val="auto"/>
          <w:szCs w:val="21"/>
          <w:highlight w:val="none"/>
        </w:rPr>
        <w:t>6、</w:t>
      </w:r>
      <w:r>
        <w:rPr>
          <w:rFonts w:ascii="宋体" w:hAnsi="宋体" w:eastAsia="宋体" w:cs="Arial"/>
          <w:color w:val="auto"/>
          <w:szCs w:val="21"/>
          <w:highlight w:val="none"/>
        </w:rPr>
        <w:t>本单位</w:t>
      </w:r>
      <w:r>
        <w:rPr>
          <w:rFonts w:hint="eastAsia" w:ascii="宋体" w:hAnsi="宋体" w:eastAsia="宋体" w:cs="Arial"/>
          <w:color w:val="auto"/>
          <w:szCs w:val="21"/>
          <w:highlight w:val="none"/>
        </w:rPr>
        <w:t>至响应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14:paraId="5C940247">
      <w:pPr>
        <w:spacing w:line="360" w:lineRule="auto"/>
        <w:ind w:firstLine="424"/>
        <w:outlineLvl w:val="9"/>
        <w:rPr>
          <w:rFonts w:ascii="宋体" w:hAnsi="宋体" w:eastAsia="宋体" w:cs="Arial"/>
          <w:color w:val="auto"/>
          <w:szCs w:val="21"/>
          <w:highlight w:val="none"/>
        </w:rPr>
      </w:pPr>
      <w:r>
        <w:rPr>
          <w:rFonts w:hint="eastAsia" w:ascii="宋体" w:hAnsi="宋体" w:eastAsia="宋体" w:cs="Arial"/>
          <w:color w:val="auto"/>
          <w:szCs w:val="21"/>
          <w:highlight w:val="none"/>
        </w:rPr>
        <w:t>7、具有</w:t>
      </w:r>
      <w:r>
        <w:rPr>
          <w:rFonts w:ascii="宋体" w:hAnsi="宋体" w:eastAsia="宋体" w:cs="Arial"/>
          <w:color w:val="auto"/>
          <w:szCs w:val="21"/>
          <w:highlight w:val="none"/>
        </w:rPr>
        <w:t>法律、行政法规规定的其他条件</w:t>
      </w:r>
      <w:r>
        <w:rPr>
          <w:rFonts w:hint="eastAsia" w:ascii="宋体" w:hAnsi="宋体" w:eastAsia="宋体" w:cs="Arial"/>
          <w:color w:val="auto"/>
          <w:szCs w:val="21"/>
          <w:highlight w:val="none"/>
        </w:rPr>
        <w:t>；</w:t>
      </w:r>
    </w:p>
    <w:p w14:paraId="7F19DFCD">
      <w:pPr>
        <w:spacing w:line="360" w:lineRule="auto"/>
        <w:ind w:firstLine="424"/>
        <w:outlineLvl w:val="9"/>
        <w:rPr>
          <w:rFonts w:ascii="宋体" w:hAnsi="宋体" w:eastAsia="宋体" w:cs="Arial"/>
          <w:color w:val="auto"/>
          <w:szCs w:val="21"/>
          <w:highlight w:val="none"/>
        </w:rPr>
      </w:pPr>
      <w:r>
        <w:rPr>
          <w:rFonts w:hint="eastAsia" w:ascii="宋体" w:hAnsi="宋体" w:cs="Arial"/>
          <w:color w:val="auto"/>
          <w:szCs w:val="21"/>
          <w:highlight w:val="none"/>
          <w:lang w:val="en-US" w:eastAsia="zh-CN"/>
        </w:rPr>
        <w:t>8</w:t>
      </w:r>
      <w:r>
        <w:rPr>
          <w:rFonts w:hint="eastAsia" w:ascii="宋体" w:hAnsi="宋体" w:eastAsia="宋体" w:cs="Arial"/>
          <w:color w:val="auto"/>
          <w:szCs w:val="21"/>
          <w:highlight w:val="none"/>
        </w:rPr>
        <w:t>、</w:t>
      </w:r>
      <w:r>
        <w:rPr>
          <w:rFonts w:ascii="宋体" w:hAnsi="宋体" w:eastAsia="宋体" w:cs="Arial"/>
          <w:color w:val="auto"/>
          <w:szCs w:val="21"/>
          <w:highlight w:val="none"/>
        </w:rPr>
        <w:t>本单位的法定代表人或单位负责人与所参</w:t>
      </w:r>
      <w:r>
        <w:rPr>
          <w:rFonts w:hint="eastAsia" w:ascii="宋体" w:hAnsi="宋体" w:eastAsia="宋体" w:cs="Arial"/>
          <w:color w:val="auto"/>
          <w:szCs w:val="21"/>
          <w:highlight w:val="none"/>
        </w:rPr>
        <w:t>与</w:t>
      </w:r>
      <w:r>
        <w:rPr>
          <w:rFonts w:ascii="宋体" w:hAnsi="宋体" w:eastAsia="宋体" w:cs="Arial"/>
          <w:color w:val="auto"/>
          <w:szCs w:val="21"/>
          <w:highlight w:val="none"/>
        </w:rPr>
        <w:t>本项目</w:t>
      </w:r>
      <w:r>
        <w:rPr>
          <w:rFonts w:hint="eastAsia" w:ascii="宋体" w:hAnsi="宋体" w:eastAsia="宋体" w:cs="Arial"/>
          <w:color w:val="auto"/>
          <w:szCs w:val="21"/>
          <w:highlight w:val="none"/>
        </w:rPr>
        <w:t>磋商</w:t>
      </w:r>
      <w:r>
        <w:rPr>
          <w:rFonts w:ascii="宋体" w:hAnsi="宋体" w:eastAsia="宋体" w:cs="Arial"/>
          <w:color w:val="auto"/>
          <w:szCs w:val="21"/>
          <w:highlight w:val="none"/>
        </w:rPr>
        <w:t>的其他</w:t>
      </w:r>
      <w:r>
        <w:rPr>
          <w:rFonts w:hint="eastAsia" w:ascii="宋体" w:hAnsi="宋体" w:eastAsia="宋体" w:cs="Arial"/>
          <w:color w:val="auto"/>
          <w:szCs w:val="21"/>
          <w:highlight w:val="none"/>
        </w:rPr>
        <w:t>供应商</w:t>
      </w:r>
      <w:r>
        <w:rPr>
          <w:rFonts w:ascii="宋体" w:hAnsi="宋体" w:eastAsia="宋体" w:cs="Arial"/>
          <w:color w:val="auto"/>
          <w:szCs w:val="21"/>
          <w:highlight w:val="none"/>
        </w:rPr>
        <w:t>的法定代表人或单位负责人不为同一人且与其他</w:t>
      </w:r>
      <w:r>
        <w:rPr>
          <w:rFonts w:hint="eastAsia" w:ascii="宋体" w:hAnsi="宋体" w:eastAsia="宋体" w:cs="Arial"/>
          <w:color w:val="auto"/>
          <w:szCs w:val="21"/>
          <w:highlight w:val="none"/>
        </w:rPr>
        <w:t>供应商</w:t>
      </w:r>
      <w:r>
        <w:rPr>
          <w:rFonts w:ascii="宋体" w:hAnsi="宋体" w:eastAsia="宋体" w:cs="Arial"/>
          <w:color w:val="auto"/>
          <w:szCs w:val="21"/>
          <w:highlight w:val="none"/>
        </w:rPr>
        <w:t>之间不存在直接控股、管理关系</w:t>
      </w:r>
      <w:r>
        <w:rPr>
          <w:rFonts w:hint="eastAsia" w:ascii="宋体" w:hAnsi="宋体" w:eastAsia="宋体" w:cs="Arial"/>
          <w:color w:val="auto"/>
          <w:szCs w:val="21"/>
          <w:highlight w:val="none"/>
        </w:rPr>
        <w:t>；</w:t>
      </w:r>
    </w:p>
    <w:p w14:paraId="75DEEDC3">
      <w:pPr>
        <w:spacing w:line="360" w:lineRule="auto"/>
        <w:ind w:firstLine="424"/>
        <w:outlineLvl w:val="9"/>
        <w:rPr>
          <w:rFonts w:ascii="宋体" w:hAnsi="宋体" w:eastAsia="宋体" w:cs="Arial"/>
          <w:color w:val="auto"/>
          <w:szCs w:val="21"/>
          <w:highlight w:val="none"/>
        </w:rPr>
      </w:pPr>
      <w:r>
        <w:rPr>
          <w:rFonts w:hint="eastAsia" w:ascii="宋体" w:hAnsi="宋体" w:cs="Arial"/>
          <w:color w:val="auto"/>
          <w:szCs w:val="21"/>
          <w:highlight w:val="none"/>
          <w:lang w:val="en-US" w:eastAsia="zh-CN"/>
        </w:rPr>
        <w:t>9</w:t>
      </w:r>
      <w:r>
        <w:rPr>
          <w:rFonts w:hint="eastAsia" w:ascii="宋体" w:hAnsi="宋体" w:eastAsia="宋体" w:cs="Arial"/>
          <w:color w:val="auto"/>
          <w:szCs w:val="21"/>
          <w:highlight w:val="none"/>
        </w:rPr>
        <w:t>、</w:t>
      </w:r>
      <w:r>
        <w:rPr>
          <w:rFonts w:ascii="宋体" w:hAnsi="宋体" w:eastAsia="宋体" w:cs="Arial"/>
          <w:color w:val="auto"/>
          <w:szCs w:val="21"/>
          <w:highlight w:val="none"/>
        </w:rPr>
        <w:t>本单位</w:t>
      </w:r>
      <w:r>
        <w:rPr>
          <w:rFonts w:hint="eastAsia" w:ascii="宋体" w:hAnsi="宋体" w:eastAsia="宋体" w:cs="Arial"/>
          <w:color w:val="auto"/>
          <w:szCs w:val="21"/>
          <w:highlight w:val="none"/>
        </w:rPr>
        <w:t>不是</w:t>
      </w:r>
      <w:r>
        <w:rPr>
          <w:rFonts w:ascii="宋体" w:hAnsi="宋体" w:eastAsia="宋体" w:cs="Arial"/>
          <w:color w:val="auto"/>
          <w:szCs w:val="21"/>
          <w:highlight w:val="none"/>
        </w:rPr>
        <w:t>为本项目提供整体设计、规范编制或者项目管理、监理、检测等服务的</w:t>
      </w:r>
      <w:r>
        <w:rPr>
          <w:rFonts w:hint="eastAsia" w:ascii="宋体" w:hAnsi="宋体" w:eastAsia="宋体" w:cs="Arial"/>
          <w:color w:val="auto"/>
          <w:szCs w:val="21"/>
          <w:highlight w:val="none"/>
        </w:rPr>
        <w:t>供应商。</w:t>
      </w:r>
    </w:p>
    <w:p w14:paraId="796B608E">
      <w:pPr>
        <w:keepNext w:val="0"/>
        <w:keepLines w:val="0"/>
        <w:pageBreakBefore w:val="0"/>
        <w:widowControl w:val="0"/>
        <w:shd w:val="clear"/>
        <w:kinsoku/>
        <w:wordWrap/>
        <w:overflowPunct/>
        <w:topLinePunct w:val="0"/>
        <w:bidi w:val="0"/>
        <w:spacing w:line="440" w:lineRule="exact"/>
        <w:ind w:right="159" w:firstLine="420" w:firstLineChars="200"/>
        <w:jc w:val="left"/>
        <w:outlineLvl w:val="9"/>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特此声明！</w:t>
      </w:r>
    </w:p>
    <w:p w14:paraId="46CADDF4">
      <w:pPr>
        <w:keepNext w:val="0"/>
        <w:keepLines w:val="0"/>
        <w:pageBreakBefore w:val="0"/>
        <w:widowControl w:val="0"/>
        <w:shd w:val="clear"/>
        <w:kinsoku/>
        <w:wordWrap/>
        <w:overflowPunct/>
        <w:topLinePunct w:val="0"/>
        <w:bidi w:val="0"/>
        <w:spacing w:line="440" w:lineRule="exact"/>
        <w:ind w:right="159" w:firstLine="420" w:firstLineChars="200"/>
        <w:jc w:val="left"/>
        <w:outlineLvl w:val="9"/>
        <w:rPr>
          <w:rFonts w:asciiTheme="majorEastAsia" w:hAnsiTheme="majorEastAsia" w:eastAsiaTheme="majorEastAsia"/>
          <w:color w:val="auto"/>
          <w:kern w:val="0"/>
          <w:szCs w:val="21"/>
          <w:highlight w:val="none"/>
        </w:rPr>
      </w:pPr>
    </w:p>
    <w:p w14:paraId="7D92728C">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2F34F466">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4AF42B97">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7BA25F13">
      <w:pPr>
        <w:keepNext w:val="0"/>
        <w:keepLines w:val="0"/>
        <w:pageBreakBefore w:val="0"/>
        <w:widowControl w:val="0"/>
        <w:shd w:val="clear"/>
        <w:kinsoku/>
        <w:wordWrap/>
        <w:overflowPunct/>
        <w:topLinePunct w:val="0"/>
        <w:bidi w:val="0"/>
        <w:adjustRightInd w:val="0"/>
        <w:spacing w:line="440" w:lineRule="exact"/>
        <w:jc w:val="left"/>
        <w:outlineLvl w:val="9"/>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格式三：</w:t>
      </w:r>
    </w:p>
    <w:p w14:paraId="10421216">
      <w:pPr>
        <w:keepNext w:val="0"/>
        <w:keepLines w:val="0"/>
        <w:pageBreakBefore w:val="0"/>
        <w:widowControl w:val="0"/>
        <w:shd w:val="clear"/>
        <w:kinsoku/>
        <w:wordWrap/>
        <w:overflowPunct/>
        <w:topLinePunct w:val="0"/>
        <w:bidi w:val="0"/>
        <w:adjustRightInd w:val="0"/>
        <w:spacing w:line="440" w:lineRule="exact"/>
        <w:jc w:val="center"/>
        <w:outlineLvl w:val="9"/>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评分索引表</w:t>
      </w:r>
    </w:p>
    <w:tbl>
      <w:tblPr>
        <w:tblStyle w:val="4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5045"/>
        <w:gridCol w:w="1326"/>
        <w:gridCol w:w="1210"/>
      </w:tblGrid>
      <w:tr w14:paraId="523C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52" w:type="pct"/>
            <w:vAlign w:val="center"/>
          </w:tcPr>
          <w:p w14:paraId="1F2309EA">
            <w:pPr>
              <w:keepNext w:val="0"/>
              <w:keepLines w:val="0"/>
              <w:pageBreakBefore w:val="0"/>
              <w:widowControl w:val="0"/>
              <w:shd w:val="clear"/>
              <w:kinsoku/>
              <w:wordWrap/>
              <w:overflowPunct/>
              <w:topLinePunct w:val="0"/>
              <w:bidi w:val="0"/>
              <w:spacing w:line="240" w:lineRule="auto"/>
              <w:contextualSpacing/>
              <w:jc w:val="center"/>
              <w:outlineLvl w:val="9"/>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项目</w:t>
            </w:r>
          </w:p>
        </w:tc>
        <w:tc>
          <w:tcPr>
            <w:tcW w:w="2960" w:type="pct"/>
            <w:vAlign w:val="center"/>
          </w:tcPr>
          <w:p w14:paraId="4BF16020">
            <w:pPr>
              <w:keepNext w:val="0"/>
              <w:keepLines w:val="0"/>
              <w:pageBreakBefore w:val="0"/>
              <w:widowControl w:val="0"/>
              <w:shd w:val="clear"/>
              <w:kinsoku/>
              <w:wordWrap/>
              <w:overflowPunct/>
              <w:topLinePunct w:val="0"/>
              <w:bidi w:val="0"/>
              <w:spacing w:line="240" w:lineRule="auto"/>
              <w:ind w:right="25" w:rightChars="12"/>
              <w:jc w:val="center"/>
              <w:outlineLvl w:val="9"/>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评审内容</w:t>
            </w:r>
          </w:p>
        </w:tc>
        <w:tc>
          <w:tcPr>
            <w:tcW w:w="778" w:type="pct"/>
            <w:vAlign w:val="center"/>
          </w:tcPr>
          <w:p w14:paraId="2E54772B">
            <w:pPr>
              <w:keepNext w:val="0"/>
              <w:keepLines w:val="0"/>
              <w:pageBreakBefore w:val="0"/>
              <w:widowControl w:val="0"/>
              <w:shd w:val="clear"/>
              <w:kinsoku/>
              <w:wordWrap/>
              <w:overflowPunct/>
              <w:topLinePunct w:val="0"/>
              <w:bidi w:val="0"/>
              <w:spacing w:line="240" w:lineRule="auto"/>
              <w:ind w:right="25" w:rightChars="12"/>
              <w:jc w:val="center"/>
              <w:outlineLvl w:val="9"/>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自评分</w:t>
            </w:r>
          </w:p>
          <w:p w14:paraId="611A84FB">
            <w:pPr>
              <w:keepNext w:val="0"/>
              <w:keepLines w:val="0"/>
              <w:pageBreakBefore w:val="0"/>
              <w:widowControl w:val="0"/>
              <w:shd w:val="clear"/>
              <w:kinsoku/>
              <w:wordWrap/>
              <w:overflowPunct/>
              <w:topLinePunct w:val="0"/>
              <w:bidi w:val="0"/>
              <w:spacing w:line="240" w:lineRule="auto"/>
              <w:ind w:right="25" w:rightChars="12"/>
              <w:jc w:val="center"/>
              <w:outlineLvl w:val="9"/>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得分</w:t>
            </w:r>
          </w:p>
        </w:tc>
        <w:tc>
          <w:tcPr>
            <w:tcW w:w="711" w:type="pct"/>
            <w:vAlign w:val="center"/>
          </w:tcPr>
          <w:p w14:paraId="577C9D9E">
            <w:pPr>
              <w:keepNext w:val="0"/>
              <w:keepLines w:val="0"/>
              <w:pageBreakBefore w:val="0"/>
              <w:widowControl w:val="0"/>
              <w:shd w:val="clear"/>
              <w:kinsoku/>
              <w:wordWrap/>
              <w:overflowPunct/>
              <w:topLinePunct w:val="0"/>
              <w:bidi w:val="0"/>
              <w:spacing w:line="240" w:lineRule="auto"/>
              <w:ind w:right="25" w:rightChars="12"/>
              <w:jc w:val="center"/>
              <w:outlineLvl w:val="9"/>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对应页码</w:t>
            </w:r>
          </w:p>
        </w:tc>
      </w:tr>
      <w:tr w14:paraId="4B41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restart"/>
            <w:vAlign w:val="center"/>
          </w:tcPr>
          <w:p w14:paraId="6DF6AFF5">
            <w:pPr>
              <w:keepNext w:val="0"/>
              <w:keepLines w:val="0"/>
              <w:pageBreakBefore w:val="0"/>
              <w:widowControl w:val="0"/>
              <w:shd w:val="clear"/>
              <w:kinsoku/>
              <w:wordWrap/>
              <w:overflowPunct/>
              <w:topLinePunct w:val="0"/>
              <w:autoSpaceDE w:val="0"/>
              <w:autoSpaceDN w:val="0"/>
              <w:bidi w:val="0"/>
              <w:adjustRightInd w:val="0"/>
              <w:spacing w:line="240" w:lineRule="auto"/>
              <w:jc w:val="center"/>
              <w:outlineLvl w:val="9"/>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资信</w:t>
            </w:r>
          </w:p>
          <w:p w14:paraId="1EB72956">
            <w:pPr>
              <w:keepNext w:val="0"/>
              <w:keepLines w:val="0"/>
              <w:pageBreakBefore w:val="0"/>
              <w:widowControl w:val="0"/>
              <w:shd w:val="clear"/>
              <w:kinsoku/>
              <w:wordWrap/>
              <w:overflowPunct/>
              <w:topLinePunct w:val="0"/>
              <w:autoSpaceDE w:val="0"/>
              <w:autoSpaceDN w:val="0"/>
              <w:bidi w:val="0"/>
              <w:adjustRightInd w:val="0"/>
              <w:spacing w:line="240" w:lineRule="auto"/>
              <w:jc w:val="center"/>
              <w:outlineLvl w:val="9"/>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技术分</w:t>
            </w:r>
          </w:p>
        </w:tc>
        <w:tc>
          <w:tcPr>
            <w:tcW w:w="2960" w:type="pct"/>
            <w:vAlign w:val="center"/>
          </w:tcPr>
          <w:p w14:paraId="5385F5AA">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bCs/>
                <w:color w:val="auto"/>
                <w:szCs w:val="21"/>
                <w:highlight w:val="none"/>
              </w:rPr>
            </w:pPr>
          </w:p>
        </w:tc>
        <w:tc>
          <w:tcPr>
            <w:tcW w:w="778" w:type="pct"/>
            <w:vAlign w:val="center"/>
          </w:tcPr>
          <w:p w14:paraId="27180EEF">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bCs/>
                <w:color w:val="auto"/>
                <w:szCs w:val="21"/>
                <w:highlight w:val="none"/>
              </w:rPr>
            </w:pPr>
          </w:p>
        </w:tc>
        <w:tc>
          <w:tcPr>
            <w:tcW w:w="711" w:type="pct"/>
            <w:vAlign w:val="center"/>
          </w:tcPr>
          <w:p w14:paraId="01238DC6">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bCs/>
                <w:color w:val="auto"/>
                <w:szCs w:val="21"/>
                <w:highlight w:val="none"/>
              </w:rPr>
            </w:pPr>
          </w:p>
        </w:tc>
      </w:tr>
      <w:tr w14:paraId="2BB3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5095E391">
            <w:pPr>
              <w:keepNext w:val="0"/>
              <w:keepLines w:val="0"/>
              <w:pageBreakBefore w:val="0"/>
              <w:widowControl w:val="0"/>
              <w:shd w:val="clear"/>
              <w:kinsoku/>
              <w:wordWrap/>
              <w:overflowPunct/>
              <w:topLinePunct w:val="0"/>
              <w:bidi w:val="0"/>
              <w:spacing w:line="240" w:lineRule="auto"/>
              <w:contextualSpacing/>
              <w:jc w:val="center"/>
              <w:outlineLvl w:val="9"/>
              <w:rPr>
                <w:rFonts w:asciiTheme="majorEastAsia" w:hAnsiTheme="majorEastAsia" w:eastAsiaTheme="majorEastAsia"/>
                <w:b/>
                <w:color w:val="auto"/>
                <w:szCs w:val="21"/>
                <w:highlight w:val="none"/>
              </w:rPr>
            </w:pPr>
          </w:p>
        </w:tc>
        <w:tc>
          <w:tcPr>
            <w:tcW w:w="2960" w:type="pct"/>
            <w:vAlign w:val="center"/>
          </w:tcPr>
          <w:p w14:paraId="5D528899">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c>
          <w:tcPr>
            <w:tcW w:w="778" w:type="pct"/>
            <w:vAlign w:val="center"/>
          </w:tcPr>
          <w:p w14:paraId="17759702">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c>
          <w:tcPr>
            <w:tcW w:w="711" w:type="pct"/>
            <w:vAlign w:val="center"/>
          </w:tcPr>
          <w:p w14:paraId="6FEA3D1E">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r>
      <w:tr w14:paraId="722A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5B191716">
            <w:pPr>
              <w:keepNext w:val="0"/>
              <w:keepLines w:val="0"/>
              <w:pageBreakBefore w:val="0"/>
              <w:widowControl w:val="0"/>
              <w:shd w:val="clear"/>
              <w:kinsoku/>
              <w:wordWrap/>
              <w:overflowPunct/>
              <w:topLinePunct w:val="0"/>
              <w:bidi w:val="0"/>
              <w:spacing w:line="240" w:lineRule="auto"/>
              <w:contextualSpacing/>
              <w:jc w:val="center"/>
              <w:outlineLvl w:val="9"/>
              <w:rPr>
                <w:rFonts w:asciiTheme="majorEastAsia" w:hAnsiTheme="majorEastAsia" w:eastAsiaTheme="majorEastAsia"/>
                <w:b/>
                <w:color w:val="auto"/>
                <w:szCs w:val="21"/>
                <w:highlight w:val="none"/>
              </w:rPr>
            </w:pPr>
          </w:p>
        </w:tc>
        <w:tc>
          <w:tcPr>
            <w:tcW w:w="2960" w:type="pct"/>
            <w:vAlign w:val="center"/>
          </w:tcPr>
          <w:p w14:paraId="5B13A325">
            <w:pPr>
              <w:keepNext w:val="0"/>
              <w:keepLines w:val="0"/>
              <w:pageBreakBefore w:val="0"/>
              <w:widowControl w:val="0"/>
              <w:shd w:val="clear"/>
              <w:kinsoku/>
              <w:wordWrap/>
              <w:overflowPunct/>
              <w:topLinePunct w:val="0"/>
              <w:bidi w:val="0"/>
              <w:spacing w:line="240" w:lineRule="auto"/>
              <w:outlineLvl w:val="9"/>
              <w:rPr>
                <w:rFonts w:asciiTheme="majorEastAsia" w:hAnsiTheme="majorEastAsia" w:eastAsiaTheme="majorEastAsia"/>
                <w:color w:val="auto"/>
                <w:szCs w:val="21"/>
                <w:highlight w:val="none"/>
              </w:rPr>
            </w:pPr>
          </w:p>
        </w:tc>
        <w:tc>
          <w:tcPr>
            <w:tcW w:w="778" w:type="pct"/>
            <w:vAlign w:val="center"/>
          </w:tcPr>
          <w:p w14:paraId="65CC4E42">
            <w:pPr>
              <w:keepNext w:val="0"/>
              <w:keepLines w:val="0"/>
              <w:pageBreakBefore w:val="0"/>
              <w:widowControl w:val="0"/>
              <w:shd w:val="clear"/>
              <w:kinsoku/>
              <w:wordWrap/>
              <w:overflowPunct/>
              <w:topLinePunct w:val="0"/>
              <w:bidi w:val="0"/>
              <w:spacing w:line="240" w:lineRule="auto"/>
              <w:outlineLvl w:val="9"/>
              <w:rPr>
                <w:rFonts w:asciiTheme="majorEastAsia" w:hAnsiTheme="majorEastAsia" w:eastAsiaTheme="majorEastAsia"/>
                <w:color w:val="auto"/>
                <w:szCs w:val="21"/>
                <w:highlight w:val="none"/>
              </w:rPr>
            </w:pPr>
          </w:p>
        </w:tc>
        <w:tc>
          <w:tcPr>
            <w:tcW w:w="711" w:type="pct"/>
            <w:vAlign w:val="center"/>
          </w:tcPr>
          <w:p w14:paraId="57F29AE9">
            <w:pPr>
              <w:keepNext w:val="0"/>
              <w:keepLines w:val="0"/>
              <w:pageBreakBefore w:val="0"/>
              <w:widowControl w:val="0"/>
              <w:shd w:val="clear"/>
              <w:kinsoku/>
              <w:wordWrap/>
              <w:overflowPunct/>
              <w:topLinePunct w:val="0"/>
              <w:bidi w:val="0"/>
              <w:spacing w:line="240" w:lineRule="auto"/>
              <w:outlineLvl w:val="9"/>
              <w:rPr>
                <w:rFonts w:asciiTheme="majorEastAsia" w:hAnsiTheme="majorEastAsia" w:eastAsiaTheme="majorEastAsia"/>
                <w:color w:val="auto"/>
                <w:szCs w:val="21"/>
                <w:highlight w:val="none"/>
              </w:rPr>
            </w:pPr>
          </w:p>
        </w:tc>
      </w:tr>
      <w:tr w14:paraId="3DF1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49BF4529">
            <w:pPr>
              <w:keepNext w:val="0"/>
              <w:keepLines w:val="0"/>
              <w:pageBreakBefore w:val="0"/>
              <w:widowControl w:val="0"/>
              <w:shd w:val="clear"/>
              <w:kinsoku/>
              <w:wordWrap/>
              <w:overflowPunct/>
              <w:topLinePunct w:val="0"/>
              <w:bidi w:val="0"/>
              <w:spacing w:line="240" w:lineRule="auto"/>
              <w:contextualSpacing/>
              <w:jc w:val="center"/>
              <w:outlineLvl w:val="9"/>
              <w:rPr>
                <w:rFonts w:asciiTheme="majorEastAsia" w:hAnsiTheme="majorEastAsia" w:eastAsiaTheme="majorEastAsia"/>
                <w:b/>
                <w:color w:val="auto"/>
                <w:szCs w:val="21"/>
                <w:highlight w:val="none"/>
              </w:rPr>
            </w:pPr>
          </w:p>
        </w:tc>
        <w:tc>
          <w:tcPr>
            <w:tcW w:w="2960" w:type="pct"/>
            <w:vAlign w:val="center"/>
          </w:tcPr>
          <w:p w14:paraId="7343ACF3">
            <w:pPr>
              <w:keepNext w:val="0"/>
              <w:keepLines w:val="0"/>
              <w:pageBreakBefore w:val="0"/>
              <w:widowControl w:val="0"/>
              <w:shd w:val="clear"/>
              <w:kinsoku/>
              <w:wordWrap/>
              <w:overflowPunct/>
              <w:topLinePunct w:val="0"/>
              <w:bidi w:val="0"/>
              <w:spacing w:line="240" w:lineRule="auto"/>
              <w:outlineLvl w:val="9"/>
              <w:rPr>
                <w:rFonts w:asciiTheme="majorEastAsia" w:hAnsiTheme="majorEastAsia" w:eastAsiaTheme="majorEastAsia"/>
                <w:color w:val="auto"/>
                <w:szCs w:val="21"/>
                <w:highlight w:val="none"/>
              </w:rPr>
            </w:pPr>
          </w:p>
        </w:tc>
        <w:tc>
          <w:tcPr>
            <w:tcW w:w="778" w:type="pct"/>
            <w:vAlign w:val="center"/>
          </w:tcPr>
          <w:p w14:paraId="41D96317">
            <w:pPr>
              <w:keepNext w:val="0"/>
              <w:keepLines w:val="0"/>
              <w:pageBreakBefore w:val="0"/>
              <w:widowControl w:val="0"/>
              <w:shd w:val="clear"/>
              <w:kinsoku/>
              <w:wordWrap/>
              <w:overflowPunct/>
              <w:topLinePunct w:val="0"/>
              <w:bidi w:val="0"/>
              <w:spacing w:line="240" w:lineRule="auto"/>
              <w:outlineLvl w:val="9"/>
              <w:rPr>
                <w:rFonts w:cs="新宋体" w:asciiTheme="majorEastAsia" w:hAnsiTheme="majorEastAsia" w:eastAsiaTheme="majorEastAsia"/>
                <w:color w:val="auto"/>
                <w:szCs w:val="21"/>
                <w:highlight w:val="none"/>
              </w:rPr>
            </w:pPr>
          </w:p>
        </w:tc>
        <w:tc>
          <w:tcPr>
            <w:tcW w:w="711" w:type="pct"/>
            <w:vAlign w:val="center"/>
          </w:tcPr>
          <w:p w14:paraId="2FDFEDF5">
            <w:pPr>
              <w:keepNext w:val="0"/>
              <w:keepLines w:val="0"/>
              <w:pageBreakBefore w:val="0"/>
              <w:widowControl w:val="0"/>
              <w:shd w:val="clear"/>
              <w:kinsoku/>
              <w:wordWrap/>
              <w:overflowPunct/>
              <w:topLinePunct w:val="0"/>
              <w:bidi w:val="0"/>
              <w:spacing w:line="240" w:lineRule="auto"/>
              <w:outlineLvl w:val="9"/>
              <w:rPr>
                <w:rFonts w:cs="新宋体" w:asciiTheme="majorEastAsia" w:hAnsiTheme="majorEastAsia" w:eastAsiaTheme="majorEastAsia"/>
                <w:color w:val="auto"/>
                <w:szCs w:val="21"/>
                <w:highlight w:val="none"/>
              </w:rPr>
            </w:pPr>
          </w:p>
        </w:tc>
      </w:tr>
      <w:tr w14:paraId="27EB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3B6BE59B">
            <w:pPr>
              <w:keepNext w:val="0"/>
              <w:keepLines w:val="0"/>
              <w:pageBreakBefore w:val="0"/>
              <w:widowControl w:val="0"/>
              <w:shd w:val="clear"/>
              <w:kinsoku/>
              <w:wordWrap/>
              <w:overflowPunct/>
              <w:topLinePunct w:val="0"/>
              <w:bidi w:val="0"/>
              <w:spacing w:line="240" w:lineRule="auto"/>
              <w:contextualSpacing/>
              <w:jc w:val="center"/>
              <w:outlineLvl w:val="9"/>
              <w:rPr>
                <w:rFonts w:asciiTheme="majorEastAsia" w:hAnsiTheme="majorEastAsia" w:eastAsiaTheme="majorEastAsia"/>
                <w:b/>
                <w:color w:val="auto"/>
                <w:szCs w:val="21"/>
                <w:highlight w:val="none"/>
              </w:rPr>
            </w:pPr>
          </w:p>
        </w:tc>
        <w:tc>
          <w:tcPr>
            <w:tcW w:w="2960" w:type="pct"/>
            <w:vAlign w:val="center"/>
          </w:tcPr>
          <w:p w14:paraId="2163A8F4">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c>
          <w:tcPr>
            <w:tcW w:w="778" w:type="pct"/>
            <w:vAlign w:val="center"/>
          </w:tcPr>
          <w:p w14:paraId="3BBD0392">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c>
          <w:tcPr>
            <w:tcW w:w="711" w:type="pct"/>
            <w:vAlign w:val="center"/>
          </w:tcPr>
          <w:p w14:paraId="2F9DBD81">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r>
      <w:tr w14:paraId="1D77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36BCC3AB">
            <w:pPr>
              <w:keepNext w:val="0"/>
              <w:keepLines w:val="0"/>
              <w:pageBreakBefore w:val="0"/>
              <w:widowControl w:val="0"/>
              <w:shd w:val="clear"/>
              <w:kinsoku/>
              <w:wordWrap/>
              <w:overflowPunct/>
              <w:topLinePunct w:val="0"/>
              <w:bidi w:val="0"/>
              <w:spacing w:line="240" w:lineRule="auto"/>
              <w:contextualSpacing/>
              <w:jc w:val="center"/>
              <w:outlineLvl w:val="9"/>
              <w:rPr>
                <w:rFonts w:asciiTheme="majorEastAsia" w:hAnsiTheme="majorEastAsia" w:eastAsiaTheme="majorEastAsia"/>
                <w:b/>
                <w:color w:val="auto"/>
                <w:szCs w:val="21"/>
                <w:highlight w:val="none"/>
              </w:rPr>
            </w:pPr>
          </w:p>
        </w:tc>
        <w:tc>
          <w:tcPr>
            <w:tcW w:w="2960" w:type="pct"/>
            <w:vAlign w:val="center"/>
          </w:tcPr>
          <w:p w14:paraId="2ED48912">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c>
          <w:tcPr>
            <w:tcW w:w="778" w:type="pct"/>
            <w:vAlign w:val="center"/>
          </w:tcPr>
          <w:p w14:paraId="481894D7">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c>
          <w:tcPr>
            <w:tcW w:w="711" w:type="pct"/>
            <w:vAlign w:val="center"/>
          </w:tcPr>
          <w:p w14:paraId="139CA256">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r>
      <w:tr w14:paraId="089F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26751248">
            <w:pPr>
              <w:keepNext w:val="0"/>
              <w:keepLines w:val="0"/>
              <w:pageBreakBefore w:val="0"/>
              <w:widowControl w:val="0"/>
              <w:shd w:val="clear"/>
              <w:kinsoku/>
              <w:wordWrap/>
              <w:overflowPunct/>
              <w:topLinePunct w:val="0"/>
              <w:bidi w:val="0"/>
              <w:spacing w:line="240" w:lineRule="auto"/>
              <w:contextualSpacing/>
              <w:jc w:val="center"/>
              <w:outlineLvl w:val="9"/>
              <w:rPr>
                <w:rFonts w:asciiTheme="majorEastAsia" w:hAnsiTheme="majorEastAsia" w:eastAsiaTheme="majorEastAsia"/>
                <w:b/>
                <w:color w:val="auto"/>
                <w:szCs w:val="21"/>
                <w:highlight w:val="none"/>
              </w:rPr>
            </w:pPr>
          </w:p>
        </w:tc>
        <w:tc>
          <w:tcPr>
            <w:tcW w:w="2960" w:type="pct"/>
            <w:vAlign w:val="center"/>
          </w:tcPr>
          <w:p w14:paraId="0122C284">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c>
          <w:tcPr>
            <w:tcW w:w="778" w:type="pct"/>
            <w:vAlign w:val="center"/>
          </w:tcPr>
          <w:p w14:paraId="2B566F95">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c>
          <w:tcPr>
            <w:tcW w:w="711" w:type="pct"/>
            <w:vAlign w:val="center"/>
          </w:tcPr>
          <w:p w14:paraId="2B043396">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r>
      <w:tr w14:paraId="5C02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26BAED2E">
            <w:pPr>
              <w:keepNext w:val="0"/>
              <w:keepLines w:val="0"/>
              <w:pageBreakBefore w:val="0"/>
              <w:widowControl w:val="0"/>
              <w:shd w:val="clear"/>
              <w:kinsoku/>
              <w:wordWrap/>
              <w:overflowPunct/>
              <w:topLinePunct w:val="0"/>
              <w:bidi w:val="0"/>
              <w:spacing w:line="240" w:lineRule="auto"/>
              <w:contextualSpacing/>
              <w:jc w:val="center"/>
              <w:outlineLvl w:val="9"/>
              <w:rPr>
                <w:rFonts w:asciiTheme="majorEastAsia" w:hAnsiTheme="majorEastAsia" w:eastAsiaTheme="majorEastAsia"/>
                <w:b/>
                <w:color w:val="auto"/>
                <w:szCs w:val="21"/>
                <w:highlight w:val="none"/>
              </w:rPr>
            </w:pPr>
          </w:p>
        </w:tc>
        <w:tc>
          <w:tcPr>
            <w:tcW w:w="2960" w:type="pct"/>
            <w:vAlign w:val="center"/>
          </w:tcPr>
          <w:p w14:paraId="6B570C0A">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c>
          <w:tcPr>
            <w:tcW w:w="778" w:type="pct"/>
            <w:vAlign w:val="center"/>
          </w:tcPr>
          <w:p w14:paraId="17DD785E">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c>
          <w:tcPr>
            <w:tcW w:w="711" w:type="pct"/>
            <w:vAlign w:val="center"/>
          </w:tcPr>
          <w:p w14:paraId="763E1A3A">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r>
      <w:tr w14:paraId="5FED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799F9EF9">
            <w:pPr>
              <w:keepNext w:val="0"/>
              <w:keepLines w:val="0"/>
              <w:pageBreakBefore w:val="0"/>
              <w:widowControl w:val="0"/>
              <w:shd w:val="clear"/>
              <w:kinsoku/>
              <w:wordWrap/>
              <w:overflowPunct/>
              <w:topLinePunct w:val="0"/>
              <w:bidi w:val="0"/>
              <w:spacing w:line="240" w:lineRule="auto"/>
              <w:contextualSpacing/>
              <w:jc w:val="center"/>
              <w:outlineLvl w:val="9"/>
              <w:rPr>
                <w:rFonts w:asciiTheme="majorEastAsia" w:hAnsiTheme="majorEastAsia" w:eastAsiaTheme="majorEastAsia"/>
                <w:b/>
                <w:color w:val="auto"/>
                <w:szCs w:val="21"/>
                <w:highlight w:val="none"/>
              </w:rPr>
            </w:pPr>
          </w:p>
        </w:tc>
        <w:tc>
          <w:tcPr>
            <w:tcW w:w="2960" w:type="pct"/>
            <w:vAlign w:val="center"/>
          </w:tcPr>
          <w:p w14:paraId="4EDFF967">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c>
          <w:tcPr>
            <w:tcW w:w="778" w:type="pct"/>
            <w:vAlign w:val="center"/>
          </w:tcPr>
          <w:p w14:paraId="56E1C358">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c>
          <w:tcPr>
            <w:tcW w:w="711" w:type="pct"/>
            <w:vAlign w:val="center"/>
          </w:tcPr>
          <w:p w14:paraId="101396CB">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r>
      <w:tr w14:paraId="77C0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620BA7C5">
            <w:pPr>
              <w:keepNext w:val="0"/>
              <w:keepLines w:val="0"/>
              <w:pageBreakBefore w:val="0"/>
              <w:widowControl w:val="0"/>
              <w:shd w:val="clear"/>
              <w:kinsoku/>
              <w:wordWrap/>
              <w:overflowPunct/>
              <w:topLinePunct w:val="0"/>
              <w:bidi w:val="0"/>
              <w:spacing w:line="240" w:lineRule="auto"/>
              <w:contextualSpacing/>
              <w:jc w:val="center"/>
              <w:outlineLvl w:val="9"/>
              <w:rPr>
                <w:rFonts w:asciiTheme="majorEastAsia" w:hAnsiTheme="majorEastAsia" w:eastAsiaTheme="majorEastAsia"/>
                <w:b/>
                <w:color w:val="auto"/>
                <w:szCs w:val="21"/>
                <w:highlight w:val="none"/>
              </w:rPr>
            </w:pPr>
          </w:p>
        </w:tc>
        <w:tc>
          <w:tcPr>
            <w:tcW w:w="2960" w:type="pct"/>
            <w:vAlign w:val="center"/>
          </w:tcPr>
          <w:p w14:paraId="36C72DCB">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c>
          <w:tcPr>
            <w:tcW w:w="778" w:type="pct"/>
            <w:vAlign w:val="center"/>
          </w:tcPr>
          <w:p w14:paraId="0F0E9458">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c>
          <w:tcPr>
            <w:tcW w:w="711" w:type="pct"/>
            <w:vAlign w:val="center"/>
          </w:tcPr>
          <w:p w14:paraId="3B902390">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r>
      <w:tr w14:paraId="2008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49EC82BB">
            <w:pPr>
              <w:keepNext w:val="0"/>
              <w:keepLines w:val="0"/>
              <w:pageBreakBefore w:val="0"/>
              <w:widowControl w:val="0"/>
              <w:shd w:val="clear"/>
              <w:kinsoku/>
              <w:wordWrap/>
              <w:overflowPunct/>
              <w:topLinePunct w:val="0"/>
              <w:bidi w:val="0"/>
              <w:spacing w:line="240" w:lineRule="auto"/>
              <w:contextualSpacing/>
              <w:jc w:val="center"/>
              <w:outlineLvl w:val="9"/>
              <w:rPr>
                <w:rFonts w:asciiTheme="majorEastAsia" w:hAnsiTheme="majorEastAsia" w:eastAsiaTheme="majorEastAsia"/>
                <w:b/>
                <w:color w:val="auto"/>
                <w:szCs w:val="21"/>
                <w:highlight w:val="none"/>
              </w:rPr>
            </w:pPr>
          </w:p>
        </w:tc>
        <w:tc>
          <w:tcPr>
            <w:tcW w:w="2960" w:type="pct"/>
            <w:vAlign w:val="center"/>
          </w:tcPr>
          <w:p w14:paraId="16D4F7AB">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c>
          <w:tcPr>
            <w:tcW w:w="778" w:type="pct"/>
            <w:vAlign w:val="center"/>
          </w:tcPr>
          <w:p w14:paraId="597B7B64">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c>
          <w:tcPr>
            <w:tcW w:w="711" w:type="pct"/>
            <w:vAlign w:val="center"/>
          </w:tcPr>
          <w:p w14:paraId="7179B2C1">
            <w:pPr>
              <w:keepNext w:val="0"/>
              <w:keepLines w:val="0"/>
              <w:pageBreakBefore w:val="0"/>
              <w:widowControl w:val="0"/>
              <w:shd w:val="clear"/>
              <w:kinsoku/>
              <w:wordWrap/>
              <w:overflowPunct/>
              <w:topLinePunct w:val="0"/>
              <w:bidi w:val="0"/>
              <w:spacing w:line="240" w:lineRule="auto"/>
              <w:contextualSpacing/>
              <w:jc w:val="left"/>
              <w:outlineLvl w:val="9"/>
              <w:rPr>
                <w:rFonts w:asciiTheme="majorEastAsia" w:hAnsiTheme="majorEastAsia" w:eastAsiaTheme="majorEastAsia"/>
                <w:color w:val="auto"/>
                <w:szCs w:val="21"/>
                <w:highlight w:val="none"/>
              </w:rPr>
            </w:pPr>
          </w:p>
        </w:tc>
      </w:tr>
    </w:tbl>
    <w:p w14:paraId="52F8BEBA">
      <w:pPr>
        <w:pStyle w:val="20"/>
        <w:keepNext w:val="0"/>
        <w:keepLines w:val="0"/>
        <w:pageBreakBefore w:val="0"/>
        <w:widowControl w:val="0"/>
        <w:shd w:val="clear"/>
        <w:kinsoku/>
        <w:wordWrap/>
        <w:overflowPunct/>
        <w:topLinePunct w:val="0"/>
        <w:bidi w:val="0"/>
        <w:spacing w:line="440" w:lineRule="exact"/>
        <w:ind w:firstLine="0"/>
        <w:outlineLvl w:val="9"/>
        <w:rPr>
          <w:rFonts w:asciiTheme="majorEastAsia" w:hAnsiTheme="majorEastAsia" w:eastAsiaTheme="majorEastAsia"/>
          <w:b/>
          <w:color w:val="auto"/>
          <w:sz w:val="21"/>
          <w:szCs w:val="21"/>
          <w:highlight w:val="none"/>
        </w:rPr>
      </w:pPr>
    </w:p>
    <w:p w14:paraId="0BEAB5F1">
      <w:pPr>
        <w:pStyle w:val="20"/>
        <w:keepNext w:val="0"/>
        <w:keepLines w:val="0"/>
        <w:pageBreakBefore w:val="0"/>
        <w:widowControl w:val="0"/>
        <w:shd w:val="clear"/>
        <w:kinsoku/>
        <w:wordWrap/>
        <w:overflowPunct/>
        <w:topLinePunct w:val="0"/>
        <w:bidi w:val="0"/>
        <w:spacing w:line="440" w:lineRule="exact"/>
        <w:ind w:firstLine="0"/>
        <w:outlineLvl w:val="9"/>
        <w:rPr>
          <w:rFonts w:asciiTheme="majorEastAsia" w:hAnsiTheme="majorEastAsia" w:eastAsiaTheme="majorEastAsia"/>
          <w:b/>
          <w:color w:val="auto"/>
          <w:sz w:val="21"/>
          <w:szCs w:val="21"/>
          <w:highlight w:val="none"/>
        </w:rPr>
      </w:pPr>
      <w:r>
        <w:rPr>
          <w:rFonts w:asciiTheme="majorEastAsia" w:hAnsiTheme="majorEastAsia" w:eastAsiaTheme="majorEastAsia"/>
          <w:color w:val="auto"/>
          <w:highlight w:val="none"/>
        </w:rPr>
        <w:br w:type="page"/>
      </w:r>
      <w:r>
        <w:rPr>
          <w:rFonts w:hint="eastAsia" w:asciiTheme="majorEastAsia" w:hAnsiTheme="majorEastAsia" w:eastAsiaTheme="majorEastAsia"/>
          <w:b/>
          <w:color w:val="auto"/>
          <w:sz w:val="21"/>
          <w:szCs w:val="21"/>
          <w:highlight w:val="none"/>
        </w:rPr>
        <w:t>格式四：</w:t>
      </w:r>
    </w:p>
    <w:p w14:paraId="2F54B3CE">
      <w:pPr>
        <w:pStyle w:val="20"/>
        <w:keepNext w:val="0"/>
        <w:keepLines w:val="0"/>
        <w:pageBreakBefore w:val="0"/>
        <w:widowControl w:val="0"/>
        <w:shd w:val="clear"/>
        <w:kinsoku/>
        <w:wordWrap/>
        <w:overflowPunct/>
        <w:topLinePunct w:val="0"/>
        <w:bidi w:val="0"/>
        <w:spacing w:line="440" w:lineRule="exact"/>
        <w:ind w:firstLine="0"/>
        <w:jc w:val="center"/>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法定代表人（负责人）身份证明</w:t>
      </w:r>
    </w:p>
    <w:p w14:paraId="0331A4EA">
      <w:pPr>
        <w:keepNext w:val="0"/>
        <w:keepLines w:val="0"/>
        <w:pageBreakBefore w:val="0"/>
        <w:widowControl w:val="0"/>
        <w:shd w:val="clear"/>
        <w:kinsoku/>
        <w:wordWrap/>
        <w:overflowPunct/>
        <w:topLinePunct w:val="0"/>
        <w:bidi w:val="0"/>
        <w:adjustRightInd w:val="0"/>
        <w:spacing w:line="440" w:lineRule="exact"/>
        <w:jc w:val="left"/>
        <w:outlineLvl w:val="9"/>
        <w:rPr>
          <w:rFonts w:asciiTheme="majorEastAsia" w:hAnsiTheme="majorEastAsia" w:eastAsiaTheme="majorEastAsia"/>
          <w:b/>
          <w:color w:val="auto"/>
          <w:szCs w:val="21"/>
          <w:highlight w:val="none"/>
        </w:rPr>
      </w:pPr>
    </w:p>
    <w:p w14:paraId="626FB629">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u w:val="none"/>
        </w:rPr>
      </w:pPr>
      <w:r>
        <w:rPr>
          <w:rFonts w:asciiTheme="majorEastAsia" w:hAnsiTheme="majorEastAsia" w:eastAsiaTheme="majorEastAsia"/>
          <w:color w:val="auto"/>
          <w:szCs w:val="21"/>
          <w:highlight w:val="none"/>
        </w:rPr>
        <w:t>单位名称：</w:t>
      </w:r>
      <w:r>
        <w:rPr>
          <w:rFonts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u w:val="single"/>
          <w:lang w:val="en-US" w:eastAsia="zh-CN"/>
        </w:rPr>
        <w:t xml:space="preserve">   </w:t>
      </w:r>
      <w:r>
        <w:rPr>
          <w:rFonts w:asciiTheme="majorEastAsia" w:hAnsiTheme="majorEastAsia" w:eastAsiaTheme="majorEastAsia"/>
          <w:color w:val="auto"/>
          <w:szCs w:val="21"/>
          <w:highlight w:val="none"/>
          <w:u w:val="single"/>
        </w:rPr>
        <w:t xml:space="preserve">       </w:t>
      </w:r>
    </w:p>
    <w:p w14:paraId="4CF88E0F">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    址：</w:t>
      </w:r>
      <w:r>
        <w:rPr>
          <w:rFonts w:asciiTheme="majorEastAsia" w:hAnsiTheme="majorEastAsia" w:eastAsiaTheme="majorEastAsia"/>
          <w:color w:val="auto"/>
          <w:szCs w:val="21"/>
          <w:highlight w:val="none"/>
          <w:u w:val="single"/>
        </w:rPr>
        <w:t xml:space="preserve">                                                                     </w:t>
      </w:r>
    </w:p>
    <w:p w14:paraId="43EE1EB2">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姓    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性    别：</w:t>
      </w:r>
      <w:r>
        <w:rPr>
          <w:rFonts w:asciiTheme="majorEastAsia" w:hAnsiTheme="majorEastAsia" w:eastAsiaTheme="majorEastAsia"/>
          <w:color w:val="auto"/>
          <w:szCs w:val="21"/>
          <w:highlight w:val="none"/>
          <w:u w:val="single"/>
        </w:rPr>
        <w:t xml:space="preserve">                            </w:t>
      </w:r>
    </w:p>
    <w:p w14:paraId="24A73575">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年    龄：</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    务：</w:t>
      </w:r>
      <w:r>
        <w:rPr>
          <w:rFonts w:asciiTheme="majorEastAsia" w:hAnsiTheme="majorEastAsia" w:eastAsiaTheme="majorEastAsia"/>
          <w:color w:val="auto"/>
          <w:szCs w:val="21"/>
          <w:highlight w:val="none"/>
          <w:u w:val="single"/>
        </w:rPr>
        <w:t xml:space="preserve">                            </w:t>
      </w:r>
    </w:p>
    <w:p w14:paraId="7A910C32">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身份证号码：</w:t>
      </w:r>
      <w:r>
        <w:rPr>
          <w:rFonts w:asciiTheme="majorEastAsia" w:hAnsiTheme="majorEastAsia" w:eastAsiaTheme="majorEastAsia"/>
          <w:color w:val="auto"/>
          <w:szCs w:val="21"/>
          <w:highlight w:val="none"/>
          <w:u w:val="single"/>
        </w:rPr>
        <w:t xml:space="preserve">                                                                   </w:t>
      </w:r>
    </w:p>
    <w:p w14:paraId="1D418B2C">
      <w:pPr>
        <w:keepNext w:val="0"/>
        <w:keepLines w:val="0"/>
        <w:pageBreakBefore w:val="0"/>
        <w:widowControl w:val="0"/>
        <w:shd w:val="clear"/>
        <w:kinsoku/>
        <w:wordWrap/>
        <w:overflowPunct/>
        <w:topLinePunct w:val="0"/>
        <w:bidi w:val="0"/>
        <w:spacing w:line="440" w:lineRule="exact"/>
        <w:ind w:firstLine="420" w:firstLineChars="200"/>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系</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（供应商名称）的法定代表人（负责人），为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（项目编号、项目名称）项目，签署上述项目的响应文件，进行合同谈判、签署合同和处理与之有关的一切事宜。</w:t>
      </w:r>
    </w:p>
    <w:p w14:paraId="505B227A">
      <w:pPr>
        <w:keepNext w:val="0"/>
        <w:keepLines w:val="0"/>
        <w:pageBreakBefore w:val="0"/>
        <w:widowControl w:val="0"/>
        <w:shd w:val="clear"/>
        <w:kinsoku/>
        <w:wordWrap/>
        <w:overflowPunct/>
        <w:topLinePunct w:val="0"/>
        <w:bidi w:val="0"/>
        <w:spacing w:line="440" w:lineRule="exact"/>
        <w:ind w:firstLine="420" w:firstLineChars="200"/>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特此证明。</w:t>
      </w:r>
    </w:p>
    <w:p w14:paraId="3842A1E5">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16F863D6">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后附法定代表人（负责人）身份证正反面复印件，加盖公章。</w:t>
      </w:r>
    </w:p>
    <w:p w14:paraId="6A1A7B21">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75396CC9">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175B4A70">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15D01204">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63FEF71D">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2E07F1A6">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3B9AA47">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法定代表人（负责人）（签字或盖章）：                       </w:t>
      </w:r>
    </w:p>
    <w:p w14:paraId="2BF1E464">
      <w:pPr>
        <w:keepNext w:val="0"/>
        <w:keepLines w:val="0"/>
        <w:pageBreakBefore w:val="0"/>
        <w:widowControl w:val="0"/>
        <w:shd w:val="clear"/>
        <w:kinsoku/>
        <w:wordWrap/>
        <w:overflowPunct/>
        <w:topLinePunct w:val="0"/>
        <w:bidi w:val="0"/>
        <w:adjustRightInd w:val="0"/>
        <w:spacing w:line="440" w:lineRule="exact"/>
        <w:jc w:val="lef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470BD9D8">
      <w:pPr>
        <w:keepNext w:val="0"/>
        <w:keepLines w:val="0"/>
        <w:pageBreakBefore w:val="0"/>
        <w:widowControl w:val="0"/>
        <w:shd w:val="clear"/>
        <w:kinsoku/>
        <w:wordWrap/>
        <w:overflowPunct/>
        <w:topLinePunct w:val="0"/>
        <w:bidi w:val="0"/>
        <w:adjustRightInd w:val="0"/>
        <w:spacing w:line="440" w:lineRule="exact"/>
        <w:jc w:val="left"/>
        <w:outlineLvl w:val="9"/>
        <w:rPr>
          <w:rFonts w:asciiTheme="majorEastAsia" w:hAnsiTheme="majorEastAsia" w:eastAsiaTheme="majorEastAsia"/>
          <w:color w:val="auto"/>
          <w:szCs w:val="21"/>
          <w:highlight w:val="none"/>
        </w:rPr>
      </w:pPr>
    </w:p>
    <w:p w14:paraId="102D1392">
      <w:pPr>
        <w:keepNext w:val="0"/>
        <w:keepLines w:val="0"/>
        <w:pageBreakBefore w:val="0"/>
        <w:widowControl w:val="0"/>
        <w:shd w:val="clear"/>
        <w:kinsoku/>
        <w:wordWrap/>
        <w:overflowPunct/>
        <w:topLinePunct w:val="0"/>
        <w:bidi w:val="0"/>
        <w:adjustRightInd w:val="0"/>
        <w:spacing w:line="440" w:lineRule="exact"/>
        <w:jc w:val="left"/>
        <w:outlineLvl w:val="9"/>
        <w:rPr>
          <w:rFonts w:asciiTheme="majorEastAsia" w:hAnsiTheme="majorEastAsia" w:eastAsiaTheme="majorEastAsia"/>
          <w:color w:val="auto"/>
          <w:szCs w:val="21"/>
          <w:highlight w:val="none"/>
        </w:rPr>
      </w:pPr>
    </w:p>
    <w:p w14:paraId="1CA73D5B">
      <w:pPr>
        <w:keepNext w:val="0"/>
        <w:keepLines w:val="0"/>
        <w:pageBreakBefore w:val="0"/>
        <w:widowControl w:val="0"/>
        <w:shd w:val="clear"/>
        <w:kinsoku/>
        <w:wordWrap/>
        <w:overflowPunct/>
        <w:topLinePunct w:val="0"/>
        <w:bidi w:val="0"/>
        <w:adjustRightInd w:val="0"/>
        <w:spacing w:line="440" w:lineRule="exact"/>
        <w:jc w:val="left"/>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五</w:t>
      </w:r>
      <w:r>
        <w:rPr>
          <w:rFonts w:asciiTheme="majorEastAsia" w:hAnsiTheme="majorEastAsia" w:eastAsiaTheme="majorEastAsia"/>
          <w:b/>
          <w:color w:val="auto"/>
          <w:szCs w:val="21"/>
          <w:highlight w:val="none"/>
        </w:rPr>
        <w:t>：</w:t>
      </w:r>
    </w:p>
    <w:p w14:paraId="5EF5F5B4">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法定代表人（负责人）授权委托书</w:t>
      </w:r>
    </w:p>
    <w:p w14:paraId="76457C21">
      <w:pPr>
        <w:pStyle w:val="20"/>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 w:val="21"/>
          <w:szCs w:val="21"/>
          <w:highlight w:val="none"/>
        </w:rPr>
      </w:pPr>
    </w:p>
    <w:p w14:paraId="5397CE80">
      <w:pPr>
        <w:pStyle w:val="20"/>
        <w:keepNext w:val="0"/>
        <w:keepLines w:val="0"/>
        <w:pageBreakBefore w:val="0"/>
        <w:widowControl w:val="0"/>
        <w:shd w:val="clear"/>
        <w:kinsoku/>
        <w:wordWrap/>
        <w:overflowPunct/>
        <w:topLinePunct w:val="0"/>
        <w:bidi w:val="0"/>
        <w:spacing w:line="440" w:lineRule="exact"/>
        <w:ind w:firstLine="0"/>
        <w:outlineLvl w:val="9"/>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u w:val="single"/>
        </w:rPr>
        <w:t xml:space="preserve">致       </w:t>
      </w:r>
      <w:r>
        <w:rPr>
          <w:rFonts w:asciiTheme="majorEastAsia" w:hAnsiTheme="majorEastAsia" w:eastAsiaTheme="majorEastAsia"/>
          <w:color w:val="auto"/>
          <w:sz w:val="21"/>
          <w:szCs w:val="21"/>
          <w:highlight w:val="none"/>
        </w:rPr>
        <w:t>（采购人名称）：</w:t>
      </w:r>
    </w:p>
    <w:p w14:paraId="68B9FCCA">
      <w:pPr>
        <w:pStyle w:val="20"/>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 w:val="21"/>
          <w:szCs w:val="21"/>
          <w:highlight w:val="none"/>
        </w:rPr>
      </w:pPr>
    </w:p>
    <w:p w14:paraId="5273AC4E">
      <w:pPr>
        <w:pStyle w:val="20"/>
        <w:keepNext w:val="0"/>
        <w:keepLines w:val="0"/>
        <w:pageBreakBefore w:val="0"/>
        <w:widowControl w:val="0"/>
        <w:shd w:val="clear"/>
        <w:kinsoku/>
        <w:wordWrap/>
        <w:overflowPunct/>
        <w:topLinePunct w:val="0"/>
        <w:bidi w:val="0"/>
        <w:spacing w:line="440" w:lineRule="exact"/>
        <w:ind w:firstLine="404" w:firstLineChars="200"/>
        <w:outlineLvl w:val="9"/>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（供应商全称）法定代表人（负责人）</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（姓名、职务）授权</w:t>
      </w:r>
      <w:r>
        <w:rPr>
          <w:rFonts w:asciiTheme="majorEastAsia" w:hAnsiTheme="majorEastAsia" w:eastAsiaTheme="majorEastAsia"/>
          <w:color w:val="auto"/>
          <w:sz w:val="21"/>
          <w:szCs w:val="21"/>
          <w:highlight w:val="none"/>
          <w:u w:val="single"/>
        </w:rPr>
        <w:t xml:space="preserve">           </w:t>
      </w:r>
      <w:r>
        <w:rPr>
          <w:rFonts w:hint="eastAsia" w:asciiTheme="majorEastAsia" w:hAnsiTheme="majorEastAsia" w:eastAsiaTheme="majorEastAsia"/>
          <w:color w:val="auto"/>
          <w:sz w:val="21"/>
          <w:szCs w:val="21"/>
          <w:highlight w:val="none"/>
          <w:u w:val="single"/>
          <w:lang w:val="en-US" w:eastAsia="zh-CN"/>
        </w:rPr>
        <w:t xml:space="preserve">  </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（授权代表姓名、职务）为本公司合法代理人，参加贵方组织的</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（项目编号、项目名称）项目的采购活动，代表本公司处理采购活动中的一切事宜。</w:t>
      </w:r>
    </w:p>
    <w:p w14:paraId="5F8D1AE5">
      <w:pPr>
        <w:pStyle w:val="20"/>
        <w:keepNext w:val="0"/>
        <w:keepLines w:val="0"/>
        <w:pageBreakBefore w:val="0"/>
        <w:widowControl w:val="0"/>
        <w:shd w:val="clear"/>
        <w:kinsoku/>
        <w:wordWrap/>
        <w:overflowPunct/>
        <w:topLinePunct w:val="0"/>
        <w:bidi w:val="0"/>
        <w:spacing w:line="440" w:lineRule="exact"/>
        <w:ind w:left="0" w:leftChars="0" w:firstLine="404" w:firstLineChars="200"/>
        <w:outlineLvl w:val="9"/>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本授权书于</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年</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月</w:t>
      </w:r>
      <w:r>
        <w:rPr>
          <w:rFonts w:asciiTheme="majorEastAsia" w:hAnsiTheme="majorEastAsia" w:eastAsiaTheme="majorEastAsia"/>
          <w:color w:val="auto"/>
          <w:sz w:val="21"/>
          <w:szCs w:val="21"/>
          <w:highlight w:val="none"/>
          <w:u w:val="single"/>
        </w:rPr>
        <w:t xml:space="preserve">    </w:t>
      </w:r>
      <w:r>
        <w:rPr>
          <w:rFonts w:asciiTheme="majorEastAsia" w:hAnsiTheme="majorEastAsia" w:eastAsiaTheme="majorEastAsia"/>
          <w:color w:val="auto"/>
          <w:sz w:val="21"/>
          <w:szCs w:val="21"/>
          <w:highlight w:val="none"/>
        </w:rPr>
        <w:t>日签字生效，特此声明。</w:t>
      </w:r>
    </w:p>
    <w:p w14:paraId="5E61784B">
      <w:pPr>
        <w:pStyle w:val="20"/>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 w:val="21"/>
          <w:szCs w:val="21"/>
          <w:highlight w:val="none"/>
        </w:rPr>
      </w:pPr>
    </w:p>
    <w:p w14:paraId="7B8608E9">
      <w:pPr>
        <w:pStyle w:val="20"/>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 w:val="21"/>
          <w:szCs w:val="21"/>
          <w:highlight w:val="none"/>
        </w:rPr>
      </w:pPr>
    </w:p>
    <w:p w14:paraId="5B56289E">
      <w:pPr>
        <w:pStyle w:val="20"/>
        <w:keepNext w:val="0"/>
        <w:keepLines w:val="0"/>
        <w:pageBreakBefore w:val="0"/>
        <w:widowControl w:val="0"/>
        <w:shd w:val="clear"/>
        <w:kinsoku/>
        <w:wordWrap/>
        <w:overflowPunct/>
        <w:topLinePunct w:val="0"/>
        <w:bidi w:val="0"/>
        <w:spacing w:line="440" w:lineRule="exact"/>
        <w:ind w:firstLine="406" w:firstLineChars="200"/>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后附授权代表身份证正反面复印件。</w:t>
      </w:r>
    </w:p>
    <w:p w14:paraId="0C4587EB">
      <w:pPr>
        <w:pStyle w:val="20"/>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 w:val="21"/>
          <w:szCs w:val="21"/>
          <w:highlight w:val="none"/>
        </w:rPr>
      </w:pPr>
    </w:p>
    <w:p w14:paraId="2BFC6B52">
      <w:pPr>
        <w:pStyle w:val="20"/>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 w:val="21"/>
          <w:szCs w:val="21"/>
          <w:highlight w:val="none"/>
        </w:rPr>
      </w:pPr>
    </w:p>
    <w:p w14:paraId="51CCD64A">
      <w:pPr>
        <w:pStyle w:val="20"/>
        <w:keepNext w:val="0"/>
        <w:keepLines w:val="0"/>
        <w:pageBreakBefore w:val="0"/>
        <w:widowControl w:val="0"/>
        <w:shd w:val="clear"/>
        <w:kinsoku/>
        <w:wordWrap/>
        <w:overflowPunct/>
        <w:topLinePunct w:val="0"/>
        <w:bidi w:val="0"/>
        <w:spacing w:line="440" w:lineRule="exact"/>
        <w:ind w:left="3366" w:leftChars="1600" w:hanging="6"/>
        <w:outlineLvl w:val="9"/>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法定代表人（负责人）（签字或盖章）：</w:t>
      </w:r>
    </w:p>
    <w:p w14:paraId="123D66DE">
      <w:pPr>
        <w:pStyle w:val="20"/>
        <w:keepNext w:val="0"/>
        <w:keepLines w:val="0"/>
        <w:pageBreakBefore w:val="0"/>
        <w:widowControl w:val="0"/>
        <w:shd w:val="clear"/>
        <w:kinsoku/>
        <w:wordWrap/>
        <w:overflowPunct/>
        <w:topLinePunct w:val="0"/>
        <w:bidi w:val="0"/>
        <w:spacing w:line="440" w:lineRule="exact"/>
        <w:ind w:left="3366" w:leftChars="1600" w:hanging="6"/>
        <w:outlineLvl w:val="9"/>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供应商全称（盖章）： </w:t>
      </w:r>
    </w:p>
    <w:p w14:paraId="6FE7B649">
      <w:pPr>
        <w:pStyle w:val="20"/>
        <w:keepNext w:val="0"/>
        <w:keepLines w:val="0"/>
        <w:pageBreakBefore w:val="0"/>
        <w:widowControl w:val="0"/>
        <w:shd w:val="clear"/>
        <w:kinsoku/>
        <w:wordWrap/>
        <w:overflowPunct/>
        <w:topLinePunct w:val="0"/>
        <w:bidi w:val="0"/>
        <w:spacing w:line="440" w:lineRule="exact"/>
        <w:ind w:left="3366" w:leftChars="1600" w:hanging="6"/>
        <w:outlineLvl w:val="9"/>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  期：</w:t>
      </w:r>
    </w:p>
    <w:p w14:paraId="1F4AEE75">
      <w:pPr>
        <w:pStyle w:val="20"/>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 w:val="21"/>
          <w:szCs w:val="21"/>
          <w:highlight w:val="none"/>
        </w:rPr>
      </w:pPr>
    </w:p>
    <w:p w14:paraId="307F0E34">
      <w:pPr>
        <w:pStyle w:val="20"/>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附：</w:t>
      </w:r>
    </w:p>
    <w:p w14:paraId="13BDFBEA">
      <w:pPr>
        <w:pStyle w:val="20"/>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授权代表姓名：（印刷体）</w:t>
      </w:r>
    </w:p>
    <w:p w14:paraId="2741CA42">
      <w:pPr>
        <w:pStyle w:val="20"/>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职        务：</w:t>
      </w:r>
    </w:p>
    <w:p w14:paraId="6F3F1789">
      <w:pPr>
        <w:pStyle w:val="20"/>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授权代表签字：</w:t>
      </w:r>
    </w:p>
    <w:p w14:paraId="277A635A">
      <w:pPr>
        <w:pStyle w:val="20"/>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详细通讯地址：</w:t>
      </w:r>
    </w:p>
    <w:p w14:paraId="30158363">
      <w:pPr>
        <w:pStyle w:val="20"/>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邮 政 编  码：</w:t>
      </w:r>
    </w:p>
    <w:p w14:paraId="4C9296A8">
      <w:pPr>
        <w:pStyle w:val="20"/>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传        真：</w:t>
      </w:r>
    </w:p>
    <w:p w14:paraId="5EAB5CDE">
      <w:pPr>
        <w:pStyle w:val="20"/>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电        话：</w:t>
      </w:r>
    </w:p>
    <w:p w14:paraId="398025ED">
      <w:pPr>
        <w:pStyle w:val="20"/>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 w:val="21"/>
          <w:szCs w:val="21"/>
          <w:highlight w:val="none"/>
        </w:rPr>
      </w:pPr>
    </w:p>
    <w:p w14:paraId="28785E39">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b/>
          <w:bCs/>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w:t>
      </w:r>
      <w:r>
        <w:rPr>
          <w:rFonts w:hint="eastAsia" w:asciiTheme="majorEastAsia" w:hAnsiTheme="majorEastAsia" w:eastAsiaTheme="majorEastAsia"/>
          <w:b/>
          <w:bCs/>
          <w:color w:val="auto"/>
          <w:szCs w:val="21"/>
          <w:highlight w:val="none"/>
        </w:rPr>
        <w:t>六</w:t>
      </w:r>
      <w:r>
        <w:rPr>
          <w:rFonts w:asciiTheme="majorEastAsia" w:hAnsiTheme="majorEastAsia" w:eastAsiaTheme="majorEastAsia"/>
          <w:b/>
          <w:bCs/>
          <w:color w:val="auto"/>
          <w:szCs w:val="21"/>
          <w:highlight w:val="none"/>
        </w:rPr>
        <w:t>：</w:t>
      </w:r>
    </w:p>
    <w:p w14:paraId="73AB251E">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磋商声明书</w:t>
      </w:r>
    </w:p>
    <w:p w14:paraId="1D00C4E5">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b/>
          <w:color w:val="auto"/>
          <w:szCs w:val="21"/>
          <w:highlight w:val="none"/>
        </w:rPr>
      </w:pPr>
    </w:p>
    <w:p w14:paraId="248EF76A">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致：</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（采购人名称）</w:t>
      </w:r>
    </w:p>
    <w:p w14:paraId="1C18C896">
      <w:pPr>
        <w:keepNext w:val="0"/>
        <w:keepLines w:val="0"/>
        <w:pageBreakBefore w:val="0"/>
        <w:widowControl w:val="0"/>
        <w:shd w:val="clear"/>
        <w:kinsoku/>
        <w:wordWrap/>
        <w:overflowPunct/>
        <w:topLinePunct w:val="0"/>
        <w:bidi w:val="0"/>
        <w:spacing w:line="440" w:lineRule="exact"/>
        <w:ind w:firstLine="420" w:firstLineChars="200"/>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根据贵方为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（项目名称）的竞争性磋商采购公告（项目编号：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），签字代表</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（姓名）经正式授权并代表供应商</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（供应商名称）提交的</w:t>
      </w:r>
      <w:r>
        <w:rPr>
          <w:rFonts w:hint="eastAsia" w:asciiTheme="majorEastAsia" w:hAnsiTheme="majorEastAsia" w:eastAsiaTheme="majorEastAsia"/>
          <w:color w:val="auto"/>
          <w:szCs w:val="21"/>
          <w:highlight w:val="none"/>
        </w:rPr>
        <w:t>电子响应文件一份；电子响应文件的备份文件</w:t>
      </w:r>
      <w:r>
        <w:rPr>
          <w:rFonts w:hint="eastAsia" w:asciiTheme="majorEastAsia" w:hAnsiTheme="majorEastAsia" w:eastAsiaTheme="majorEastAsia"/>
          <w:color w:val="auto"/>
          <w:szCs w:val="21"/>
          <w:highlight w:val="none"/>
          <w:u w:val="single"/>
          <w:lang w:val="en-US" w:eastAsia="zh-CN"/>
        </w:rPr>
        <w:t xml:space="preserve">   </w:t>
      </w:r>
      <w:r>
        <w:rPr>
          <w:rFonts w:hint="eastAsia" w:asciiTheme="majorEastAsia" w:hAnsiTheme="majorEastAsia" w:eastAsiaTheme="majorEastAsia"/>
          <w:color w:val="auto"/>
          <w:szCs w:val="21"/>
          <w:highlight w:val="none"/>
          <w:u w:val="none"/>
          <w:lang w:val="en-US" w:eastAsia="zh-CN"/>
        </w:rPr>
        <w:t>份</w:t>
      </w:r>
      <w:r>
        <w:rPr>
          <w:rFonts w:asciiTheme="majorEastAsia" w:hAnsiTheme="majorEastAsia" w:eastAsiaTheme="majorEastAsia"/>
          <w:color w:val="auto"/>
          <w:szCs w:val="21"/>
          <w:highlight w:val="none"/>
        </w:rPr>
        <w:t>。</w:t>
      </w:r>
    </w:p>
    <w:p w14:paraId="15207801">
      <w:pPr>
        <w:keepNext w:val="0"/>
        <w:keepLines w:val="0"/>
        <w:pageBreakBefore w:val="0"/>
        <w:widowControl w:val="0"/>
        <w:shd w:val="clear"/>
        <w:kinsoku/>
        <w:wordWrap/>
        <w:overflowPunct/>
        <w:topLinePunct w:val="0"/>
        <w:bidi w:val="0"/>
        <w:spacing w:line="440" w:lineRule="exact"/>
        <w:ind w:firstLine="420" w:firstLineChars="200"/>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据此函，签字代表宣布同意如下：</w:t>
      </w:r>
    </w:p>
    <w:p w14:paraId="29EA5663">
      <w:pPr>
        <w:keepNext w:val="0"/>
        <w:keepLines w:val="0"/>
        <w:pageBreakBefore w:val="0"/>
        <w:widowControl w:val="0"/>
        <w:shd w:val="clear"/>
        <w:kinsoku/>
        <w:wordWrap/>
        <w:overflowPunct/>
        <w:topLinePunct w:val="0"/>
        <w:bidi w:val="0"/>
        <w:spacing w:line="440" w:lineRule="exact"/>
        <w:ind w:firstLine="420" w:firstLineChars="200"/>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74FD209A">
      <w:pPr>
        <w:keepNext w:val="0"/>
        <w:keepLines w:val="0"/>
        <w:pageBreakBefore w:val="0"/>
        <w:widowControl w:val="0"/>
        <w:shd w:val="clear"/>
        <w:kinsoku/>
        <w:wordWrap/>
        <w:overflowPunct/>
        <w:topLinePunct w:val="0"/>
        <w:bidi w:val="0"/>
        <w:spacing w:line="440" w:lineRule="exact"/>
        <w:ind w:firstLine="420" w:firstLineChars="200"/>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2、供应商在提交响应文件之前已经与贵方进行了充分的沟通，完全理解并接受磋商文件的各项规定和要求，对磋商文件的合理性、合法性不再有异议。</w:t>
      </w:r>
    </w:p>
    <w:p w14:paraId="2FD4EB2A">
      <w:pPr>
        <w:keepNext w:val="0"/>
        <w:keepLines w:val="0"/>
        <w:pageBreakBefore w:val="0"/>
        <w:widowControl w:val="0"/>
        <w:shd w:val="clear"/>
        <w:kinsoku/>
        <w:wordWrap/>
        <w:overflowPunct/>
        <w:topLinePunct w:val="0"/>
        <w:bidi w:val="0"/>
        <w:spacing w:line="440" w:lineRule="exact"/>
        <w:ind w:firstLine="420" w:firstLineChars="200"/>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3、本磋商有效期自开标日起</w:t>
      </w:r>
      <w:r>
        <w:rPr>
          <w:rFonts w:hint="eastAsia" w:asciiTheme="majorEastAsia" w:hAnsiTheme="majorEastAsia" w:eastAsiaTheme="majorEastAsia"/>
          <w:color w:val="auto"/>
          <w:szCs w:val="21"/>
          <w:highlight w:val="none"/>
          <w:u w:val="single"/>
          <w:lang w:val="en-US" w:eastAsia="zh-CN"/>
        </w:rPr>
        <w:t xml:space="preserve"> 90 </w:t>
      </w:r>
      <w:r>
        <w:rPr>
          <w:rFonts w:asciiTheme="majorEastAsia" w:hAnsiTheme="majorEastAsia" w:eastAsiaTheme="majorEastAsia"/>
          <w:color w:val="auto"/>
          <w:szCs w:val="21"/>
          <w:highlight w:val="none"/>
        </w:rPr>
        <w:t>日历</w:t>
      </w:r>
      <w:r>
        <w:rPr>
          <w:rFonts w:hint="eastAsia" w:asciiTheme="majorEastAsia" w:hAnsiTheme="majorEastAsia" w:eastAsiaTheme="majorEastAsia"/>
          <w:color w:val="auto"/>
          <w:szCs w:val="21"/>
          <w:highlight w:val="none"/>
          <w:lang w:eastAsia="zh-CN"/>
        </w:rPr>
        <w:t>天</w:t>
      </w:r>
      <w:r>
        <w:rPr>
          <w:rFonts w:asciiTheme="majorEastAsia" w:hAnsiTheme="majorEastAsia" w:eastAsiaTheme="majorEastAsia"/>
          <w:color w:val="auto"/>
          <w:szCs w:val="21"/>
          <w:highlight w:val="none"/>
        </w:rPr>
        <w:t>。</w:t>
      </w:r>
    </w:p>
    <w:p w14:paraId="68D7CBF9">
      <w:pPr>
        <w:keepNext w:val="0"/>
        <w:keepLines w:val="0"/>
        <w:pageBreakBefore w:val="0"/>
        <w:widowControl w:val="0"/>
        <w:shd w:val="clear"/>
        <w:kinsoku/>
        <w:wordWrap/>
        <w:overflowPunct/>
        <w:topLinePunct w:val="0"/>
        <w:bidi w:val="0"/>
        <w:spacing w:line="440" w:lineRule="exact"/>
        <w:ind w:firstLine="420" w:firstLineChars="200"/>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4、如成交，本响应文件至本项目合同履行完毕止均保持有效，本供应商将按“磋商文件”及政府采购法律、法规的规定履行合同责任和义务。</w:t>
      </w:r>
    </w:p>
    <w:p w14:paraId="7815F79D">
      <w:pPr>
        <w:keepNext w:val="0"/>
        <w:keepLines w:val="0"/>
        <w:pageBreakBefore w:val="0"/>
        <w:widowControl w:val="0"/>
        <w:shd w:val="clear"/>
        <w:kinsoku/>
        <w:wordWrap/>
        <w:overflowPunct/>
        <w:topLinePunct w:val="0"/>
        <w:bidi w:val="0"/>
        <w:spacing w:line="440" w:lineRule="exact"/>
        <w:ind w:firstLine="420" w:firstLineChars="200"/>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5、供应商同意按照贵方要求提供与本次采购有关的一切数据或资料。</w:t>
      </w:r>
    </w:p>
    <w:p w14:paraId="29DCC6B5">
      <w:pPr>
        <w:keepNext w:val="0"/>
        <w:keepLines w:val="0"/>
        <w:pageBreakBefore w:val="0"/>
        <w:widowControl w:val="0"/>
        <w:shd w:val="clear"/>
        <w:kinsoku/>
        <w:wordWrap/>
        <w:overflowPunct/>
        <w:topLinePunct w:val="0"/>
        <w:bidi w:val="0"/>
        <w:spacing w:line="440" w:lineRule="exact"/>
        <w:ind w:firstLine="420" w:firstLineChars="200"/>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6、与本项目采购有关的一切正式往来信函请寄：</w:t>
      </w:r>
    </w:p>
    <w:p w14:paraId="51508866">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地址：</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邮编：</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电话：</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2770F265">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传真：</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供应商代表姓名：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职务：</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2C65D149">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开户银行：</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银行帐号：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30F2A6D1">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46304F4F">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190F9B92">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110162B0">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0EDB42C6">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3A2C4AA5">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121BF171">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1C9E978B">
      <w:pPr>
        <w:keepNext w:val="0"/>
        <w:keepLines w:val="0"/>
        <w:pageBreakBefore w:val="0"/>
        <w:widowControl w:val="0"/>
        <w:shd w:val="clear"/>
        <w:kinsoku/>
        <w:wordWrap/>
        <w:overflowPunct/>
        <w:topLinePunct w:val="0"/>
        <w:bidi w:val="0"/>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6713F585">
      <w:pPr>
        <w:keepNext w:val="0"/>
        <w:keepLines w:val="0"/>
        <w:pageBreakBefore w:val="0"/>
        <w:widowControl w:val="0"/>
        <w:shd w:val="clear"/>
        <w:kinsoku/>
        <w:wordWrap/>
        <w:overflowPunct/>
        <w:topLinePunct w:val="0"/>
        <w:bidi w:val="0"/>
        <w:adjustRightInd w:val="0"/>
        <w:spacing w:line="440" w:lineRule="exact"/>
        <w:jc w:val="left"/>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lang w:eastAsia="zh-CN"/>
        </w:rPr>
        <w:t>七</w:t>
      </w:r>
      <w:r>
        <w:rPr>
          <w:rFonts w:asciiTheme="majorEastAsia" w:hAnsiTheme="majorEastAsia" w:eastAsiaTheme="majorEastAsia"/>
          <w:b/>
          <w:color w:val="auto"/>
          <w:szCs w:val="21"/>
          <w:highlight w:val="none"/>
        </w:rPr>
        <w:t>：</w:t>
      </w:r>
    </w:p>
    <w:p w14:paraId="3E61673B">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采购需求响应（偏离）表</w:t>
      </w:r>
    </w:p>
    <w:p w14:paraId="2B56D394">
      <w:pPr>
        <w:keepNext w:val="0"/>
        <w:keepLines w:val="0"/>
        <w:pageBreakBefore w:val="0"/>
        <w:widowControl w:val="0"/>
        <w:shd w:val="clear"/>
        <w:kinsoku/>
        <w:wordWrap/>
        <w:overflowPunct/>
        <w:topLinePunct w:val="0"/>
        <w:bidi w:val="0"/>
        <w:spacing w:line="440" w:lineRule="exact"/>
        <w:ind w:firstLine="3089"/>
        <w:outlineLvl w:val="9"/>
        <w:rPr>
          <w:rFonts w:asciiTheme="majorEastAsia" w:hAnsiTheme="majorEastAsia" w:eastAsiaTheme="majorEastAsia"/>
          <w:b/>
          <w:color w:val="auto"/>
          <w:szCs w:val="21"/>
          <w:highlight w:val="none"/>
        </w:rPr>
      </w:pPr>
    </w:p>
    <w:p w14:paraId="67BBEB90">
      <w:pPr>
        <w:keepNext w:val="0"/>
        <w:keepLines w:val="0"/>
        <w:pageBreakBefore w:val="0"/>
        <w:widowControl w:val="0"/>
        <w:shd w:val="clear"/>
        <w:kinsoku/>
        <w:wordWrap/>
        <w:overflowPunct/>
        <w:topLinePunct w:val="0"/>
        <w:bidi w:val="0"/>
        <w:spacing w:line="360" w:lineRule="auto"/>
        <w:outlineLvl w:val="9"/>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4738"/>
        <w:gridCol w:w="900"/>
        <w:gridCol w:w="1426"/>
      </w:tblGrid>
      <w:tr w14:paraId="49782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83" w:type="dxa"/>
            <w:vAlign w:val="center"/>
          </w:tcPr>
          <w:p w14:paraId="11B7FB64">
            <w:pPr>
              <w:keepNext w:val="0"/>
              <w:keepLines w:val="0"/>
              <w:pageBreakBefore w:val="0"/>
              <w:widowControl w:val="0"/>
              <w:shd w:val="clear"/>
              <w:kinsoku/>
              <w:wordWrap/>
              <w:overflowPunct/>
              <w:topLinePunct w:val="0"/>
              <w:bidi w:val="0"/>
              <w:snapToGrid w:val="0"/>
              <w:spacing w:line="240" w:lineRule="auto"/>
              <w:jc w:val="center"/>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w:t>
            </w:r>
          </w:p>
        </w:tc>
        <w:tc>
          <w:tcPr>
            <w:tcW w:w="4738" w:type="dxa"/>
            <w:vAlign w:val="center"/>
          </w:tcPr>
          <w:p w14:paraId="3C7A641D">
            <w:pPr>
              <w:keepNext w:val="0"/>
              <w:keepLines w:val="0"/>
              <w:pageBreakBefore w:val="0"/>
              <w:widowControl w:val="0"/>
              <w:shd w:val="clear"/>
              <w:kinsoku/>
              <w:wordWrap/>
              <w:overflowPunct/>
              <w:topLinePunct w:val="0"/>
              <w:bidi w:val="0"/>
              <w:snapToGrid w:val="0"/>
              <w:spacing w:line="240" w:lineRule="auto"/>
              <w:jc w:val="center"/>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磋商文件要求</w:t>
            </w:r>
          </w:p>
        </w:tc>
        <w:tc>
          <w:tcPr>
            <w:tcW w:w="900" w:type="dxa"/>
            <w:vAlign w:val="center"/>
          </w:tcPr>
          <w:p w14:paraId="11B966E2">
            <w:pPr>
              <w:keepNext w:val="0"/>
              <w:keepLines w:val="0"/>
              <w:pageBreakBefore w:val="0"/>
              <w:widowControl w:val="0"/>
              <w:shd w:val="clear"/>
              <w:kinsoku/>
              <w:wordWrap/>
              <w:overflowPunct/>
              <w:topLinePunct w:val="0"/>
              <w:bidi w:val="0"/>
              <w:snapToGrid w:val="0"/>
              <w:spacing w:line="240" w:lineRule="auto"/>
              <w:jc w:val="center"/>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是否</w:t>
            </w:r>
          </w:p>
          <w:p w14:paraId="66D85916">
            <w:pPr>
              <w:keepNext w:val="0"/>
              <w:keepLines w:val="0"/>
              <w:pageBreakBefore w:val="0"/>
              <w:widowControl w:val="0"/>
              <w:shd w:val="clear"/>
              <w:kinsoku/>
              <w:wordWrap/>
              <w:overflowPunct/>
              <w:topLinePunct w:val="0"/>
              <w:bidi w:val="0"/>
              <w:snapToGrid w:val="0"/>
              <w:spacing w:line="240" w:lineRule="auto"/>
              <w:jc w:val="center"/>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响应</w:t>
            </w:r>
          </w:p>
        </w:tc>
        <w:tc>
          <w:tcPr>
            <w:tcW w:w="1426" w:type="dxa"/>
            <w:vAlign w:val="center"/>
          </w:tcPr>
          <w:p w14:paraId="1EEE5A32">
            <w:pPr>
              <w:keepNext w:val="0"/>
              <w:keepLines w:val="0"/>
              <w:pageBreakBefore w:val="0"/>
              <w:widowControl w:val="0"/>
              <w:shd w:val="clear"/>
              <w:kinsoku/>
              <w:wordWrap/>
              <w:overflowPunct/>
              <w:topLinePunct w:val="0"/>
              <w:bidi w:val="0"/>
              <w:snapToGrid w:val="0"/>
              <w:spacing w:line="240" w:lineRule="auto"/>
              <w:jc w:val="center"/>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供应商的</w:t>
            </w:r>
          </w:p>
          <w:p w14:paraId="7BDBDD1E">
            <w:pPr>
              <w:keepNext w:val="0"/>
              <w:keepLines w:val="0"/>
              <w:pageBreakBefore w:val="0"/>
              <w:widowControl w:val="0"/>
              <w:shd w:val="clear"/>
              <w:kinsoku/>
              <w:wordWrap/>
              <w:overflowPunct/>
              <w:topLinePunct w:val="0"/>
              <w:bidi w:val="0"/>
              <w:snapToGrid w:val="0"/>
              <w:spacing w:line="240" w:lineRule="auto"/>
              <w:jc w:val="center"/>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承诺或说明</w:t>
            </w:r>
          </w:p>
        </w:tc>
      </w:tr>
      <w:tr w14:paraId="2215E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4BC178DE">
            <w:pPr>
              <w:keepNext w:val="0"/>
              <w:keepLines w:val="0"/>
              <w:pageBreakBefore w:val="0"/>
              <w:widowControl w:val="0"/>
              <w:shd w:val="clear"/>
              <w:kinsoku/>
              <w:wordWrap/>
              <w:overflowPunct/>
              <w:topLinePunct w:val="0"/>
              <w:bidi w:val="0"/>
              <w:snapToGrid w:val="0"/>
              <w:spacing w:line="240" w:lineRule="auto"/>
              <w:jc w:val="center"/>
              <w:outlineLvl w:val="9"/>
              <w:rPr>
                <w:rFonts w:asciiTheme="majorEastAsia" w:hAnsiTheme="majorEastAsia" w:eastAsiaTheme="majorEastAsia"/>
                <w:color w:val="auto"/>
                <w:szCs w:val="21"/>
                <w:highlight w:val="none"/>
              </w:rPr>
            </w:pPr>
          </w:p>
        </w:tc>
        <w:tc>
          <w:tcPr>
            <w:tcW w:w="4738" w:type="dxa"/>
            <w:vAlign w:val="center"/>
          </w:tcPr>
          <w:p w14:paraId="694C8DC9">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color w:val="auto"/>
                <w:szCs w:val="21"/>
                <w:highlight w:val="none"/>
              </w:rPr>
            </w:pPr>
          </w:p>
        </w:tc>
        <w:tc>
          <w:tcPr>
            <w:tcW w:w="900" w:type="dxa"/>
            <w:vAlign w:val="center"/>
          </w:tcPr>
          <w:p w14:paraId="4EF06CD9">
            <w:pPr>
              <w:keepNext w:val="0"/>
              <w:keepLines w:val="0"/>
              <w:pageBreakBefore w:val="0"/>
              <w:widowControl w:val="0"/>
              <w:shd w:val="clear"/>
              <w:kinsoku/>
              <w:wordWrap/>
              <w:overflowPunct/>
              <w:topLinePunct w:val="0"/>
              <w:bidi w:val="0"/>
              <w:snapToGrid w:val="0"/>
              <w:spacing w:line="240" w:lineRule="auto"/>
              <w:jc w:val="center"/>
              <w:outlineLvl w:val="9"/>
              <w:rPr>
                <w:rFonts w:asciiTheme="majorEastAsia" w:hAnsiTheme="majorEastAsia" w:eastAsiaTheme="majorEastAsia"/>
                <w:color w:val="auto"/>
                <w:szCs w:val="21"/>
                <w:highlight w:val="none"/>
              </w:rPr>
            </w:pPr>
          </w:p>
        </w:tc>
        <w:tc>
          <w:tcPr>
            <w:tcW w:w="1426" w:type="dxa"/>
            <w:vAlign w:val="center"/>
          </w:tcPr>
          <w:p w14:paraId="7FAB2DD8">
            <w:pPr>
              <w:keepNext w:val="0"/>
              <w:keepLines w:val="0"/>
              <w:pageBreakBefore w:val="0"/>
              <w:widowControl w:val="0"/>
              <w:shd w:val="clear"/>
              <w:kinsoku/>
              <w:wordWrap/>
              <w:overflowPunct/>
              <w:topLinePunct w:val="0"/>
              <w:bidi w:val="0"/>
              <w:snapToGrid w:val="0"/>
              <w:spacing w:line="240" w:lineRule="auto"/>
              <w:jc w:val="center"/>
              <w:outlineLvl w:val="9"/>
              <w:rPr>
                <w:rFonts w:asciiTheme="majorEastAsia" w:hAnsiTheme="majorEastAsia" w:eastAsiaTheme="majorEastAsia"/>
                <w:color w:val="auto"/>
                <w:szCs w:val="21"/>
                <w:highlight w:val="none"/>
              </w:rPr>
            </w:pPr>
          </w:p>
        </w:tc>
      </w:tr>
      <w:tr w14:paraId="27777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1CC65C1F">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color w:val="auto"/>
                <w:szCs w:val="21"/>
                <w:highlight w:val="none"/>
              </w:rPr>
            </w:pPr>
          </w:p>
        </w:tc>
        <w:tc>
          <w:tcPr>
            <w:tcW w:w="4738" w:type="dxa"/>
            <w:vAlign w:val="center"/>
          </w:tcPr>
          <w:p w14:paraId="570405EC">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color w:val="auto"/>
                <w:szCs w:val="21"/>
                <w:highlight w:val="none"/>
              </w:rPr>
            </w:pPr>
          </w:p>
        </w:tc>
        <w:tc>
          <w:tcPr>
            <w:tcW w:w="900" w:type="dxa"/>
            <w:vAlign w:val="center"/>
          </w:tcPr>
          <w:p w14:paraId="601F5B6F">
            <w:pPr>
              <w:keepNext w:val="0"/>
              <w:keepLines w:val="0"/>
              <w:pageBreakBefore w:val="0"/>
              <w:widowControl w:val="0"/>
              <w:shd w:val="clear"/>
              <w:kinsoku/>
              <w:wordWrap/>
              <w:overflowPunct/>
              <w:topLinePunct w:val="0"/>
              <w:bidi w:val="0"/>
              <w:snapToGrid w:val="0"/>
              <w:spacing w:line="240" w:lineRule="auto"/>
              <w:jc w:val="center"/>
              <w:outlineLvl w:val="9"/>
              <w:rPr>
                <w:rFonts w:asciiTheme="majorEastAsia" w:hAnsiTheme="majorEastAsia" w:eastAsiaTheme="majorEastAsia"/>
                <w:color w:val="auto"/>
                <w:szCs w:val="21"/>
                <w:highlight w:val="none"/>
              </w:rPr>
            </w:pPr>
          </w:p>
        </w:tc>
        <w:tc>
          <w:tcPr>
            <w:tcW w:w="1426" w:type="dxa"/>
            <w:vAlign w:val="center"/>
          </w:tcPr>
          <w:p w14:paraId="442B3635">
            <w:pPr>
              <w:keepNext w:val="0"/>
              <w:keepLines w:val="0"/>
              <w:pageBreakBefore w:val="0"/>
              <w:widowControl w:val="0"/>
              <w:shd w:val="clear"/>
              <w:kinsoku/>
              <w:wordWrap/>
              <w:overflowPunct/>
              <w:topLinePunct w:val="0"/>
              <w:bidi w:val="0"/>
              <w:snapToGrid w:val="0"/>
              <w:spacing w:line="240" w:lineRule="auto"/>
              <w:jc w:val="center"/>
              <w:outlineLvl w:val="9"/>
              <w:rPr>
                <w:rFonts w:asciiTheme="majorEastAsia" w:hAnsiTheme="majorEastAsia" w:eastAsiaTheme="majorEastAsia"/>
                <w:color w:val="auto"/>
                <w:szCs w:val="21"/>
                <w:highlight w:val="none"/>
              </w:rPr>
            </w:pPr>
          </w:p>
        </w:tc>
      </w:tr>
      <w:tr w14:paraId="36821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56390A8E">
            <w:pPr>
              <w:keepNext w:val="0"/>
              <w:keepLines w:val="0"/>
              <w:pageBreakBefore w:val="0"/>
              <w:widowControl w:val="0"/>
              <w:shd w:val="clear"/>
              <w:kinsoku/>
              <w:wordWrap/>
              <w:overflowPunct/>
              <w:topLinePunct w:val="0"/>
              <w:bidi w:val="0"/>
              <w:snapToGrid w:val="0"/>
              <w:spacing w:line="240" w:lineRule="auto"/>
              <w:jc w:val="center"/>
              <w:outlineLvl w:val="9"/>
              <w:rPr>
                <w:rFonts w:asciiTheme="majorEastAsia" w:hAnsiTheme="majorEastAsia" w:eastAsiaTheme="majorEastAsia"/>
                <w:color w:val="auto"/>
                <w:szCs w:val="21"/>
                <w:highlight w:val="none"/>
              </w:rPr>
            </w:pPr>
          </w:p>
        </w:tc>
        <w:tc>
          <w:tcPr>
            <w:tcW w:w="4738" w:type="dxa"/>
            <w:vAlign w:val="center"/>
          </w:tcPr>
          <w:p w14:paraId="354E2444">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color w:val="auto"/>
                <w:szCs w:val="21"/>
                <w:highlight w:val="none"/>
              </w:rPr>
            </w:pPr>
          </w:p>
        </w:tc>
        <w:tc>
          <w:tcPr>
            <w:tcW w:w="900" w:type="dxa"/>
            <w:vAlign w:val="center"/>
          </w:tcPr>
          <w:p w14:paraId="6BFEC1DF">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color w:val="auto"/>
                <w:szCs w:val="21"/>
                <w:highlight w:val="none"/>
              </w:rPr>
            </w:pPr>
          </w:p>
        </w:tc>
        <w:tc>
          <w:tcPr>
            <w:tcW w:w="1426" w:type="dxa"/>
            <w:vAlign w:val="center"/>
          </w:tcPr>
          <w:p w14:paraId="15652997">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color w:val="auto"/>
                <w:szCs w:val="21"/>
                <w:highlight w:val="none"/>
              </w:rPr>
            </w:pPr>
          </w:p>
        </w:tc>
      </w:tr>
      <w:tr w14:paraId="6CEBB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2AF75113">
            <w:pPr>
              <w:keepNext w:val="0"/>
              <w:keepLines w:val="0"/>
              <w:pageBreakBefore w:val="0"/>
              <w:widowControl w:val="0"/>
              <w:shd w:val="clear"/>
              <w:kinsoku/>
              <w:wordWrap/>
              <w:overflowPunct/>
              <w:topLinePunct w:val="0"/>
              <w:bidi w:val="0"/>
              <w:snapToGrid w:val="0"/>
              <w:spacing w:line="240" w:lineRule="auto"/>
              <w:jc w:val="center"/>
              <w:outlineLvl w:val="9"/>
              <w:rPr>
                <w:rFonts w:asciiTheme="majorEastAsia" w:hAnsiTheme="majorEastAsia" w:eastAsiaTheme="majorEastAsia"/>
                <w:color w:val="auto"/>
                <w:szCs w:val="21"/>
                <w:highlight w:val="none"/>
              </w:rPr>
            </w:pPr>
          </w:p>
        </w:tc>
        <w:tc>
          <w:tcPr>
            <w:tcW w:w="4738" w:type="dxa"/>
            <w:vAlign w:val="center"/>
          </w:tcPr>
          <w:p w14:paraId="0BBC1C88">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color w:val="auto"/>
                <w:szCs w:val="21"/>
                <w:highlight w:val="none"/>
              </w:rPr>
            </w:pPr>
          </w:p>
        </w:tc>
        <w:tc>
          <w:tcPr>
            <w:tcW w:w="900" w:type="dxa"/>
            <w:vAlign w:val="center"/>
          </w:tcPr>
          <w:p w14:paraId="582C47FF">
            <w:pPr>
              <w:keepNext w:val="0"/>
              <w:keepLines w:val="0"/>
              <w:pageBreakBefore w:val="0"/>
              <w:widowControl w:val="0"/>
              <w:shd w:val="clear"/>
              <w:kinsoku/>
              <w:wordWrap/>
              <w:overflowPunct/>
              <w:topLinePunct w:val="0"/>
              <w:bidi w:val="0"/>
              <w:snapToGrid w:val="0"/>
              <w:spacing w:line="240" w:lineRule="auto"/>
              <w:jc w:val="center"/>
              <w:outlineLvl w:val="9"/>
              <w:rPr>
                <w:rFonts w:asciiTheme="majorEastAsia" w:hAnsiTheme="majorEastAsia" w:eastAsiaTheme="majorEastAsia"/>
                <w:color w:val="auto"/>
                <w:szCs w:val="21"/>
                <w:highlight w:val="none"/>
              </w:rPr>
            </w:pPr>
          </w:p>
        </w:tc>
        <w:tc>
          <w:tcPr>
            <w:tcW w:w="1426" w:type="dxa"/>
            <w:vAlign w:val="center"/>
          </w:tcPr>
          <w:p w14:paraId="6AF02411">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color w:val="auto"/>
                <w:szCs w:val="21"/>
                <w:highlight w:val="none"/>
              </w:rPr>
            </w:pPr>
          </w:p>
        </w:tc>
      </w:tr>
      <w:tr w14:paraId="1DC33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572108A1">
            <w:pPr>
              <w:keepNext w:val="0"/>
              <w:keepLines w:val="0"/>
              <w:pageBreakBefore w:val="0"/>
              <w:widowControl w:val="0"/>
              <w:shd w:val="clear"/>
              <w:kinsoku/>
              <w:wordWrap/>
              <w:overflowPunct/>
              <w:topLinePunct w:val="0"/>
              <w:bidi w:val="0"/>
              <w:snapToGrid w:val="0"/>
              <w:spacing w:line="240" w:lineRule="auto"/>
              <w:jc w:val="center"/>
              <w:outlineLvl w:val="9"/>
              <w:rPr>
                <w:rFonts w:asciiTheme="majorEastAsia" w:hAnsiTheme="majorEastAsia" w:eastAsiaTheme="majorEastAsia"/>
                <w:color w:val="auto"/>
                <w:szCs w:val="21"/>
                <w:highlight w:val="none"/>
              </w:rPr>
            </w:pPr>
          </w:p>
        </w:tc>
        <w:tc>
          <w:tcPr>
            <w:tcW w:w="4738" w:type="dxa"/>
            <w:vAlign w:val="center"/>
          </w:tcPr>
          <w:p w14:paraId="199B6A49">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color w:val="auto"/>
                <w:szCs w:val="21"/>
                <w:highlight w:val="none"/>
              </w:rPr>
            </w:pPr>
          </w:p>
        </w:tc>
        <w:tc>
          <w:tcPr>
            <w:tcW w:w="900" w:type="dxa"/>
            <w:vAlign w:val="center"/>
          </w:tcPr>
          <w:p w14:paraId="4064D226">
            <w:pPr>
              <w:keepNext w:val="0"/>
              <w:keepLines w:val="0"/>
              <w:pageBreakBefore w:val="0"/>
              <w:widowControl w:val="0"/>
              <w:shd w:val="clear"/>
              <w:kinsoku/>
              <w:wordWrap/>
              <w:overflowPunct/>
              <w:topLinePunct w:val="0"/>
              <w:bidi w:val="0"/>
              <w:snapToGrid w:val="0"/>
              <w:spacing w:line="240" w:lineRule="auto"/>
              <w:jc w:val="center"/>
              <w:outlineLvl w:val="9"/>
              <w:rPr>
                <w:rFonts w:asciiTheme="majorEastAsia" w:hAnsiTheme="majorEastAsia" w:eastAsiaTheme="majorEastAsia"/>
                <w:color w:val="auto"/>
                <w:szCs w:val="21"/>
                <w:highlight w:val="none"/>
              </w:rPr>
            </w:pPr>
          </w:p>
        </w:tc>
        <w:tc>
          <w:tcPr>
            <w:tcW w:w="1426" w:type="dxa"/>
            <w:vAlign w:val="center"/>
          </w:tcPr>
          <w:p w14:paraId="74561BD5">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color w:val="auto"/>
                <w:szCs w:val="21"/>
                <w:highlight w:val="none"/>
              </w:rPr>
            </w:pPr>
          </w:p>
        </w:tc>
      </w:tr>
      <w:tr w14:paraId="12C4B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3F6DCCC2">
            <w:pPr>
              <w:keepNext w:val="0"/>
              <w:keepLines w:val="0"/>
              <w:pageBreakBefore w:val="0"/>
              <w:widowControl w:val="0"/>
              <w:shd w:val="clear"/>
              <w:kinsoku/>
              <w:wordWrap/>
              <w:overflowPunct/>
              <w:topLinePunct w:val="0"/>
              <w:bidi w:val="0"/>
              <w:snapToGrid w:val="0"/>
              <w:spacing w:line="240" w:lineRule="auto"/>
              <w:jc w:val="center"/>
              <w:outlineLvl w:val="9"/>
              <w:rPr>
                <w:rFonts w:asciiTheme="majorEastAsia" w:hAnsiTheme="majorEastAsia" w:eastAsiaTheme="majorEastAsia"/>
                <w:color w:val="auto"/>
                <w:szCs w:val="21"/>
                <w:highlight w:val="none"/>
              </w:rPr>
            </w:pPr>
          </w:p>
        </w:tc>
        <w:tc>
          <w:tcPr>
            <w:tcW w:w="4738" w:type="dxa"/>
            <w:vAlign w:val="center"/>
          </w:tcPr>
          <w:p w14:paraId="31A92B32">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color w:val="auto"/>
                <w:szCs w:val="21"/>
                <w:highlight w:val="none"/>
              </w:rPr>
            </w:pPr>
          </w:p>
        </w:tc>
        <w:tc>
          <w:tcPr>
            <w:tcW w:w="900" w:type="dxa"/>
            <w:vAlign w:val="center"/>
          </w:tcPr>
          <w:p w14:paraId="6B32E6AC">
            <w:pPr>
              <w:keepNext w:val="0"/>
              <w:keepLines w:val="0"/>
              <w:pageBreakBefore w:val="0"/>
              <w:widowControl w:val="0"/>
              <w:shd w:val="clear"/>
              <w:kinsoku/>
              <w:wordWrap/>
              <w:overflowPunct/>
              <w:topLinePunct w:val="0"/>
              <w:bidi w:val="0"/>
              <w:snapToGrid w:val="0"/>
              <w:spacing w:line="240" w:lineRule="auto"/>
              <w:jc w:val="center"/>
              <w:outlineLvl w:val="9"/>
              <w:rPr>
                <w:rFonts w:asciiTheme="majorEastAsia" w:hAnsiTheme="majorEastAsia" w:eastAsiaTheme="majorEastAsia"/>
                <w:color w:val="auto"/>
                <w:szCs w:val="21"/>
                <w:highlight w:val="none"/>
              </w:rPr>
            </w:pPr>
          </w:p>
        </w:tc>
        <w:tc>
          <w:tcPr>
            <w:tcW w:w="1426" w:type="dxa"/>
            <w:vAlign w:val="center"/>
          </w:tcPr>
          <w:p w14:paraId="40404B2E">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color w:val="auto"/>
                <w:szCs w:val="21"/>
                <w:highlight w:val="none"/>
              </w:rPr>
            </w:pPr>
          </w:p>
        </w:tc>
      </w:tr>
      <w:tr w14:paraId="0DB91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170B1824">
            <w:pPr>
              <w:keepNext w:val="0"/>
              <w:keepLines w:val="0"/>
              <w:pageBreakBefore w:val="0"/>
              <w:widowControl w:val="0"/>
              <w:shd w:val="clear"/>
              <w:kinsoku/>
              <w:wordWrap/>
              <w:overflowPunct/>
              <w:topLinePunct w:val="0"/>
              <w:bidi w:val="0"/>
              <w:snapToGrid w:val="0"/>
              <w:spacing w:line="240" w:lineRule="auto"/>
              <w:jc w:val="center"/>
              <w:outlineLvl w:val="9"/>
              <w:rPr>
                <w:rFonts w:asciiTheme="majorEastAsia" w:hAnsiTheme="majorEastAsia" w:eastAsiaTheme="majorEastAsia"/>
                <w:color w:val="auto"/>
                <w:szCs w:val="21"/>
                <w:highlight w:val="none"/>
              </w:rPr>
            </w:pPr>
          </w:p>
        </w:tc>
        <w:tc>
          <w:tcPr>
            <w:tcW w:w="4738" w:type="dxa"/>
            <w:vAlign w:val="center"/>
          </w:tcPr>
          <w:p w14:paraId="419B17C2">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color w:val="auto"/>
                <w:szCs w:val="21"/>
                <w:highlight w:val="none"/>
              </w:rPr>
            </w:pPr>
          </w:p>
        </w:tc>
        <w:tc>
          <w:tcPr>
            <w:tcW w:w="900" w:type="dxa"/>
            <w:vAlign w:val="center"/>
          </w:tcPr>
          <w:p w14:paraId="4484D068">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color w:val="auto"/>
                <w:szCs w:val="21"/>
                <w:highlight w:val="none"/>
              </w:rPr>
            </w:pPr>
          </w:p>
        </w:tc>
        <w:tc>
          <w:tcPr>
            <w:tcW w:w="1426" w:type="dxa"/>
            <w:vAlign w:val="center"/>
          </w:tcPr>
          <w:p w14:paraId="29B1C6FC">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color w:val="auto"/>
                <w:szCs w:val="21"/>
                <w:highlight w:val="none"/>
              </w:rPr>
            </w:pPr>
          </w:p>
        </w:tc>
      </w:tr>
      <w:tr w14:paraId="6FC32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5CA86814">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color w:val="auto"/>
                <w:szCs w:val="21"/>
                <w:highlight w:val="none"/>
              </w:rPr>
            </w:pPr>
          </w:p>
        </w:tc>
        <w:tc>
          <w:tcPr>
            <w:tcW w:w="4738" w:type="dxa"/>
            <w:vAlign w:val="center"/>
          </w:tcPr>
          <w:p w14:paraId="4C3131C5">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color w:val="auto"/>
                <w:szCs w:val="21"/>
                <w:highlight w:val="none"/>
              </w:rPr>
            </w:pPr>
          </w:p>
        </w:tc>
        <w:tc>
          <w:tcPr>
            <w:tcW w:w="900" w:type="dxa"/>
            <w:vAlign w:val="center"/>
          </w:tcPr>
          <w:p w14:paraId="0BFF7DD7">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color w:val="auto"/>
                <w:szCs w:val="21"/>
                <w:highlight w:val="none"/>
              </w:rPr>
            </w:pPr>
          </w:p>
        </w:tc>
        <w:tc>
          <w:tcPr>
            <w:tcW w:w="1426" w:type="dxa"/>
            <w:vAlign w:val="center"/>
          </w:tcPr>
          <w:p w14:paraId="2BF9CA7A">
            <w:pPr>
              <w:keepNext w:val="0"/>
              <w:keepLines w:val="0"/>
              <w:pageBreakBefore w:val="0"/>
              <w:widowControl w:val="0"/>
              <w:shd w:val="clear"/>
              <w:kinsoku/>
              <w:wordWrap/>
              <w:overflowPunct/>
              <w:topLinePunct w:val="0"/>
              <w:bidi w:val="0"/>
              <w:spacing w:line="240" w:lineRule="auto"/>
              <w:jc w:val="center"/>
              <w:outlineLvl w:val="9"/>
              <w:rPr>
                <w:rFonts w:asciiTheme="majorEastAsia" w:hAnsiTheme="majorEastAsia" w:eastAsiaTheme="majorEastAsia"/>
                <w:color w:val="auto"/>
                <w:szCs w:val="21"/>
                <w:highlight w:val="none"/>
              </w:rPr>
            </w:pPr>
          </w:p>
        </w:tc>
      </w:tr>
    </w:tbl>
    <w:p w14:paraId="46D29CCC">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注：根据磋商文件第二章</w:t>
      </w:r>
      <w:r>
        <w:rPr>
          <w:rFonts w:hint="eastAsia" w:asciiTheme="majorEastAsia" w:hAnsiTheme="majorEastAsia" w:eastAsiaTheme="majorEastAsia"/>
          <w:color w:val="auto"/>
          <w:szCs w:val="21"/>
          <w:highlight w:val="none"/>
        </w:rPr>
        <w:t xml:space="preserve"> 采购需求</w:t>
      </w:r>
      <w:r>
        <w:rPr>
          <w:rFonts w:asciiTheme="majorEastAsia" w:hAnsiTheme="majorEastAsia" w:eastAsiaTheme="majorEastAsia"/>
          <w:color w:val="auto"/>
          <w:szCs w:val="21"/>
          <w:highlight w:val="none"/>
        </w:rPr>
        <w:t>中的内容逐条响应</w:t>
      </w:r>
      <w:r>
        <w:rPr>
          <w:rFonts w:hint="eastAsia" w:asciiTheme="majorEastAsia" w:hAnsiTheme="majorEastAsia" w:eastAsiaTheme="majorEastAsia"/>
          <w:color w:val="auto"/>
          <w:szCs w:val="21"/>
          <w:highlight w:val="none"/>
        </w:rPr>
        <w:t>；如全部响应的则在上表空白处填写“全部响应，无偏离”字样</w:t>
      </w:r>
      <w:r>
        <w:rPr>
          <w:rFonts w:asciiTheme="majorEastAsia" w:hAnsiTheme="majorEastAsia" w:eastAsiaTheme="majorEastAsia"/>
          <w:color w:val="auto"/>
          <w:szCs w:val="21"/>
          <w:highlight w:val="none"/>
        </w:rPr>
        <w:t>。</w:t>
      </w:r>
    </w:p>
    <w:p w14:paraId="1608FD2E">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4C73CA97">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pacing w:val="-4"/>
          <w:szCs w:val="21"/>
          <w:highlight w:val="none"/>
        </w:rPr>
      </w:pPr>
    </w:p>
    <w:p w14:paraId="6255574C">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45B8D4AC">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506E1D1F">
      <w:pPr>
        <w:pStyle w:val="20"/>
        <w:keepNext w:val="0"/>
        <w:keepLines w:val="0"/>
        <w:pageBreakBefore w:val="0"/>
        <w:widowControl w:val="0"/>
        <w:shd w:val="clear"/>
        <w:kinsoku/>
        <w:wordWrap/>
        <w:overflowPunct/>
        <w:topLinePunct w:val="0"/>
        <w:bidi w:val="0"/>
        <w:spacing w:line="440" w:lineRule="exact"/>
        <w:ind w:firstLine="0"/>
        <w:outlineLvl w:val="9"/>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日期：</w:t>
      </w:r>
    </w:p>
    <w:p w14:paraId="73B016CE">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232798C6">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5E2C4AB9">
      <w:pPr>
        <w:pStyle w:val="20"/>
        <w:keepNext w:val="0"/>
        <w:keepLines w:val="0"/>
        <w:pageBreakBefore w:val="0"/>
        <w:widowControl w:val="0"/>
        <w:shd w:val="clear"/>
        <w:kinsoku/>
        <w:wordWrap/>
        <w:overflowPunct/>
        <w:topLinePunct w:val="0"/>
        <w:bidi w:val="0"/>
        <w:spacing w:line="440" w:lineRule="exact"/>
        <w:ind w:firstLine="0"/>
        <w:jc w:val="left"/>
        <w:outlineLvl w:val="9"/>
        <w:rPr>
          <w:rFonts w:asciiTheme="majorEastAsia" w:hAnsiTheme="majorEastAsia" w:eastAsiaTheme="majorEastAsia"/>
          <w:b/>
          <w:color w:val="auto"/>
          <w:spacing w:val="0"/>
          <w:sz w:val="21"/>
          <w:szCs w:val="21"/>
          <w:highlight w:val="none"/>
        </w:rPr>
      </w:pPr>
      <w:r>
        <w:rPr>
          <w:rFonts w:asciiTheme="majorEastAsia" w:hAnsiTheme="majorEastAsia" w:eastAsiaTheme="majorEastAsia"/>
          <w:b/>
          <w:color w:val="auto"/>
          <w:spacing w:val="0"/>
          <w:sz w:val="21"/>
          <w:szCs w:val="21"/>
          <w:highlight w:val="none"/>
        </w:rPr>
        <w:t xml:space="preserve"> </w:t>
      </w:r>
    </w:p>
    <w:p w14:paraId="4FF1E15F">
      <w:pPr>
        <w:keepNext w:val="0"/>
        <w:keepLines w:val="0"/>
        <w:pageBreakBefore w:val="0"/>
        <w:widowControl w:val="0"/>
        <w:shd w:val="clear"/>
        <w:kinsoku/>
        <w:wordWrap/>
        <w:overflowPunct/>
        <w:topLinePunct w:val="0"/>
        <w:bidi w:val="0"/>
        <w:adjustRightInd w:val="0"/>
        <w:spacing w:line="440" w:lineRule="exact"/>
        <w:jc w:val="left"/>
        <w:outlineLvl w:val="9"/>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lang w:eastAsia="zh-CN"/>
        </w:rPr>
        <w:t>八</w:t>
      </w:r>
      <w:r>
        <w:rPr>
          <w:rFonts w:asciiTheme="majorEastAsia" w:hAnsiTheme="majorEastAsia" w:eastAsiaTheme="majorEastAsia"/>
          <w:b/>
          <w:color w:val="auto"/>
          <w:szCs w:val="21"/>
          <w:highlight w:val="none"/>
        </w:rPr>
        <w:t>：</w:t>
      </w:r>
    </w:p>
    <w:p w14:paraId="4D28096C">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人员配置表</w:t>
      </w:r>
    </w:p>
    <w:p w14:paraId="4E172DFC">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b/>
          <w:color w:val="auto"/>
          <w:szCs w:val="21"/>
          <w:highlight w:val="none"/>
        </w:rPr>
      </w:pPr>
    </w:p>
    <w:p w14:paraId="566D86A7">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08"/>
        <w:gridCol w:w="880"/>
        <w:gridCol w:w="1234"/>
        <w:gridCol w:w="732"/>
        <w:gridCol w:w="1710"/>
        <w:gridCol w:w="1710"/>
        <w:gridCol w:w="1787"/>
      </w:tblGrid>
      <w:tr w14:paraId="68D0C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708" w:type="dxa"/>
            <w:vAlign w:val="center"/>
          </w:tcPr>
          <w:p w14:paraId="21D0D83E">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序号</w:t>
            </w:r>
          </w:p>
        </w:tc>
        <w:tc>
          <w:tcPr>
            <w:tcW w:w="880" w:type="dxa"/>
            <w:vAlign w:val="center"/>
          </w:tcPr>
          <w:p w14:paraId="265CCE21">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姓名</w:t>
            </w:r>
          </w:p>
        </w:tc>
        <w:tc>
          <w:tcPr>
            <w:tcW w:w="1234" w:type="dxa"/>
            <w:vAlign w:val="center"/>
          </w:tcPr>
          <w:p w14:paraId="6E21F24D">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b/>
                <w:bCs/>
                <w:color w:val="auto"/>
                <w:kern w:val="0"/>
                <w:szCs w:val="21"/>
                <w:highlight w:val="none"/>
              </w:rPr>
            </w:pPr>
            <w:r>
              <w:rPr>
                <w:rFonts w:hint="eastAsia" w:asciiTheme="majorEastAsia" w:hAnsiTheme="majorEastAsia" w:eastAsiaTheme="majorEastAsia"/>
                <w:b/>
                <w:bCs/>
                <w:color w:val="auto"/>
                <w:kern w:val="0"/>
                <w:szCs w:val="21"/>
                <w:highlight w:val="none"/>
              </w:rPr>
              <w:t>本项目分工</w:t>
            </w:r>
          </w:p>
        </w:tc>
        <w:tc>
          <w:tcPr>
            <w:tcW w:w="732" w:type="dxa"/>
            <w:vAlign w:val="center"/>
          </w:tcPr>
          <w:p w14:paraId="4EDF3CC4">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年龄</w:t>
            </w:r>
          </w:p>
        </w:tc>
        <w:tc>
          <w:tcPr>
            <w:tcW w:w="1710" w:type="dxa"/>
            <w:vAlign w:val="center"/>
          </w:tcPr>
          <w:p w14:paraId="1202E3A4">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身份证号</w:t>
            </w:r>
          </w:p>
        </w:tc>
        <w:tc>
          <w:tcPr>
            <w:tcW w:w="1710" w:type="dxa"/>
            <w:vAlign w:val="center"/>
          </w:tcPr>
          <w:p w14:paraId="1B94411C">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职称或技术等级</w:t>
            </w:r>
          </w:p>
        </w:tc>
        <w:tc>
          <w:tcPr>
            <w:tcW w:w="1787" w:type="dxa"/>
            <w:vAlign w:val="center"/>
          </w:tcPr>
          <w:p w14:paraId="5F02CE18">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承担过的类似项目</w:t>
            </w:r>
          </w:p>
        </w:tc>
      </w:tr>
      <w:tr w14:paraId="102F2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3BC66AA2">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w:t>
            </w:r>
          </w:p>
        </w:tc>
        <w:tc>
          <w:tcPr>
            <w:tcW w:w="880" w:type="dxa"/>
            <w:vAlign w:val="center"/>
          </w:tcPr>
          <w:p w14:paraId="10C96C66">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kern w:val="0"/>
                <w:szCs w:val="21"/>
                <w:highlight w:val="none"/>
              </w:rPr>
            </w:pPr>
          </w:p>
        </w:tc>
        <w:tc>
          <w:tcPr>
            <w:tcW w:w="1234" w:type="dxa"/>
            <w:vAlign w:val="center"/>
          </w:tcPr>
          <w:p w14:paraId="703305EE">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732" w:type="dxa"/>
            <w:vAlign w:val="center"/>
          </w:tcPr>
          <w:p w14:paraId="02E75E6F">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tcPr>
          <w:p w14:paraId="47C65846">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vAlign w:val="center"/>
          </w:tcPr>
          <w:p w14:paraId="0BE1C4E5">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87" w:type="dxa"/>
            <w:vAlign w:val="center"/>
          </w:tcPr>
          <w:p w14:paraId="3A5F4CD5">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r>
      <w:tr w14:paraId="373C83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6AAF3DCB">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2</w:t>
            </w:r>
          </w:p>
        </w:tc>
        <w:tc>
          <w:tcPr>
            <w:tcW w:w="880" w:type="dxa"/>
            <w:vAlign w:val="center"/>
          </w:tcPr>
          <w:p w14:paraId="66F146F4">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kern w:val="0"/>
                <w:szCs w:val="21"/>
                <w:highlight w:val="none"/>
              </w:rPr>
            </w:pPr>
          </w:p>
        </w:tc>
        <w:tc>
          <w:tcPr>
            <w:tcW w:w="1234" w:type="dxa"/>
            <w:vAlign w:val="center"/>
          </w:tcPr>
          <w:p w14:paraId="7641F81F">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732" w:type="dxa"/>
            <w:vAlign w:val="center"/>
          </w:tcPr>
          <w:p w14:paraId="1E824D12">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tcPr>
          <w:p w14:paraId="2578DA22">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vAlign w:val="center"/>
          </w:tcPr>
          <w:p w14:paraId="402F14B1">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87" w:type="dxa"/>
            <w:vAlign w:val="center"/>
          </w:tcPr>
          <w:p w14:paraId="7316EA84">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r>
      <w:tr w14:paraId="72338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53CF265E">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3</w:t>
            </w:r>
          </w:p>
        </w:tc>
        <w:tc>
          <w:tcPr>
            <w:tcW w:w="880" w:type="dxa"/>
            <w:vAlign w:val="center"/>
          </w:tcPr>
          <w:p w14:paraId="1B4A33BE">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kern w:val="0"/>
                <w:szCs w:val="21"/>
                <w:highlight w:val="none"/>
              </w:rPr>
            </w:pPr>
          </w:p>
        </w:tc>
        <w:tc>
          <w:tcPr>
            <w:tcW w:w="1234" w:type="dxa"/>
            <w:vAlign w:val="center"/>
          </w:tcPr>
          <w:p w14:paraId="5ACA50ED">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732" w:type="dxa"/>
            <w:vAlign w:val="center"/>
          </w:tcPr>
          <w:p w14:paraId="17E559FE">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tcPr>
          <w:p w14:paraId="67A47F4B">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vAlign w:val="center"/>
          </w:tcPr>
          <w:p w14:paraId="4AE8C0F5">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87" w:type="dxa"/>
            <w:vAlign w:val="center"/>
          </w:tcPr>
          <w:p w14:paraId="3B616DC0">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r>
      <w:tr w14:paraId="2EFE3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4ED7F7F6">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4</w:t>
            </w:r>
          </w:p>
        </w:tc>
        <w:tc>
          <w:tcPr>
            <w:tcW w:w="880" w:type="dxa"/>
            <w:vAlign w:val="center"/>
          </w:tcPr>
          <w:p w14:paraId="220A3FE2">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kern w:val="0"/>
                <w:szCs w:val="21"/>
                <w:highlight w:val="none"/>
              </w:rPr>
            </w:pPr>
          </w:p>
        </w:tc>
        <w:tc>
          <w:tcPr>
            <w:tcW w:w="1234" w:type="dxa"/>
            <w:vAlign w:val="center"/>
          </w:tcPr>
          <w:p w14:paraId="725F69AE">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732" w:type="dxa"/>
            <w:vAlign w:val="center"/>
          </w:tcPr>
          <w:p w14:paraId="31B54415">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tcPr>
          <w:p w14:paraId="776E72B4">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vAlign w:val="center"/>
          </w:tcPr>
          <w:p w14:paraId="1590CB28">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87" w:type="dxa"/>
            <w:vAlign w:val="center"/>
          </w:tcPr>
          <w:p w14:paraId="1DDFE9EC">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r>
      <w:tr w14:paraId="15241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771565A5">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5</w:t>
            </w:r>
          </w:p>
        </w:tc>
        <w:tc>
          <w:tcPr>
            <w:tcW w:w="880" w:type="dxa"/>
            <w:vAlign w:val="center"/>
          </w:tcPr>
          <w:p w14:paraId="21E431CD">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kern w:val="0"/>
                <w:szCs w:val="21"/>
                <w:highlight w:val="none"/>
              </w:rPr>
            </w:pPr>
          </w:p>
        </w:tc>
        <w:tc>
          <w:tcPr>
            <w:tcW w:w="1234" w:type="dxa"/>
            <w:vAlign w:val="center"/>
          </w:tcPr>
          <w:p w14:paraId="6938BBA8">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732" w:type="dxa"/>
            <w:vAlign w:val="center"/>
          </w:tcPr>
          <w:p w14:paraId="235D4DAF">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tcPr>
          <w:p w14:paraId="22165C44">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vAlign w:val="center"/>
          </w:tcPr>
          <w:p w14:paraId="7A0D35CF">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87" w:type="dxa"/>
            <w:vAlign w:val="center"/>
          </w:tcPr>
          <w:p w14:paraId="6C83AE2D">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r>
      <w:tr w14:paraId="6522B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50D9F51">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6</w:t>
            </w:r>
          </w:p>
        </w:tc>
        <w:tc>
          <w:tcPr>
            <w:tcW w:w="880" w:type="dxa"/>
            <w:vAlign w:val="center"/>
          </w:tcPr>
          <w:p w14:paraId="121896F2">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kern w:val="0"/>
                <w:szCs w:val="21"/>
                <w:highlight w:val="none"/>
              </w:rPr>
            </w:pPr>
          </w:p>
        </w:tc>
        <w:tc>
          <w:tcPr>
            <w:tcW w:w="1234" w:type="dxa"/>
            <w:vAlign w:val="center"/>
          </w:tcPr>
          <w:p w14:paraId="395EAE0E">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732" w:type="dxa"/>
            <w:vAlign w:val="center"/>
          </w:tcPr>
          <w:p w14:paraId="29343A0D">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tcPr>
          <w:p w14:paraId="60D21D9B">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vAlign w:val="center"/>
          </w:tcPr>
          <w:p w14:paraId="6942B2D1">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87" w:type="dxa"/>
            <w:vAlign w:val="center"/>
          </w:tcPr>
          <w:p w14:paraId="41040F38">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r>
      <w:tr w14:paraId="04025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794E61ED">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7</w:t>
            </w:r>
          </w:p>
        </w:tc>
        <w:tc>
          <w:tcPr>
            <w:tcW w:w="880" w:type="dxa"/>
            <w:vAlign w:val="center"/>
          </w:tcPr>
          <w:p w14:paraId="16A4FEF4">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kern w:val="0"/>
                <w:szCs w:val="21"/>
                <w:highlight w:val="none"/>
              </w:rPr>
            </w:pPr>
          </w:p>
        </w:tc>
        <w:tc>
          <w:tcPr>
            <w:tcW w:w="1234" w:type="dxa"/>
            <w:vAlign w:val="center"/>
          </w:tcPr>
          <w:p w14:paraId="16BC70DA">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732" w:type="dxa"/>
            <w:vAlign w:val="center"/>
          </w:tcPr>
          <w:p w14:paraId="28977BDF">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tcPr>
          <w:p w14:paraId="0BA536FD">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vAlign w:val="center"/>
          </w:tcPr>
          <w:p w14:paraId="22CCDA5F">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87" w:type="dxa"/>
            <w:vAlign w:val="center"/>
          </w:tcPr>
          <w:p w14:paraId="653BF61A">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r>
      <w:tr w14:paraId="371BD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3C9B68CB">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8</w:t>
            </w:r>
          </w:p>
        </w:tc>
        <w:tc>
          <w:tcPr>
            <w:tcW w:w="880" w:type="dxa"/>
            <w:vAlign w:val="center"/>
          </w:tcPr>
          <w:p w14:paraId="0E42FAA4">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kern w:val="0"/>
                <w:szCs w:val="21"/>
                <w:highlight w:val="none"/>
              </w:rPr>
            </w:pPr>
          </w:p>
        </w:tc>
        <w:tc>
          <w:tcPr>
            <w:tcW w:w="1234" w:type="dxa"/>
            <w:vAlign w:val="center"/>
          </w:tcPr>
          <w:p w14:paraId="11398721">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732" w:type="dxa"/>
            <w:vAlign w:val="center"/>
          </w:tcPr>
          <w:p w14:paraId="663520E7">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tcPr>
          <w:p w14:paraId="166207DF">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vAlign w:val="center"/>
          </w:tcPr>
          <w:p w14:paraId="2F4D6634">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87" w:type="dxa"/>
            <w:vAlign w:val="center"/>
          </w:tcPr>
          <w:p w14:paraId="72BB9C5B">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r>
      <w:tr w14:paraId="09708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29EBE958">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9</w:t>
            </w:r>
          </w:p>
        </w:tc>
        <w:tc>
          <w:tcPr>
            <w:tcW w:w="880" w:type="dxa"/>
            <w:vAlign w:val="center"/>
          </w:tcPr>
          <w:p w14:paraId="5D667975">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kern w:val="0"/>
                <w:szCs w:val="21"/>
                <w:highlight w:val="none"/>
              </w:rPr>
            </w:pPr>
          </w:p>
        </w:tc>
        <w:tc>
          <w:tcPr>
            <w:tcW w:w="1234" w:type="dxa"/>
            <w:vAlign w:val="center"/>
          </w:tcPr>
          <w:p w14:paraId="0AC163D5">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732" w:type="dxa"/>
            <w:vAlign w:val="center"/>
          </w:tcPr>
          <w:p w14:paraId="030A8BF8">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tcPr>
          <w:p w14:paraId="5B7E0D33">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vAlign w:val="center"/>
          </w:tcPr>
          <w:p w14:paraId="5A80144C">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87" w:type="dxa"/>
            <w:vAlign w:val="center"/>
          </w:tcPr>
          <w:p w14:paraId="3B8ED50B">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r>
      <w:tr w14:paraId="484768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3CD6763D">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10</w:t>
            </w:r>
          </w:p>
        </w:tc>
        <w:tc>
          <w:tcPr>
            <w:tcW w:w="880" w:type="dxa"/>
            <w:vAlign w:val="center"/>
          </w:tcPr>
          <w:p w14:paraId="67D4B8AF">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kern w:val="0"/>
                <w:szCs w:val="21"/>
                <w:highlight w:val="none"/>
              </w:rPr>
            </w:pPr>
          </w:p>
        </w:tc>
        <w:tc>
          <w:tcPr>
            <w:tcW w:w="1234" w:type="dxa"/>
            <w:vAlign w:val="center"/>
          </w:tcPr>
          <w:p w14:paraId="6DBFB5F0">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732" w:type="dxa"/>
            <w:vAlign w:val="center"/>
          </w:tcPr>
          <w:p w14:paraId="58C83064">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tcPr>
          <w:p w14:paraId="20496F2E">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vAlign w:val="center"/>
          </w:tcPr>
          <w:p w14:paraId="7C932FFF">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87" w:type="dxa"/>
            <w:vAlign w:val="center"/>
          </w:tcPr>
          <w:p w14:paraId="6785E52E">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r>
      <w:tr w14:paraId="42CAC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8" w:type="dxa"/>
            <w:vAlign w:val="center"/>
          </w:tcPr>
          <w:p w14:paraId="09AEB065">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w:t>
            </w:r>
          </w:p>
        </w:tc>
        <w:tc>
          <w:tcPr>
            <w:tcW w:w="880" w:type="dxa"/>
            <w:vAlign w:val="center"/>
          </w:tcPr>
          <w:p w14:paraId="5D3DCBC4">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kern w:val="0"/>
                <w:szCs w:val="21"/>
                <w:highlight w:val="none"/>
              </w:rPr>
            </w:pPr>
          </w:p>
        </w:tc>
        <w:tc>
          <w:tcPr>
            <w:tcW w:w="1234" w:type="dxa"/>
            <w:vAlign w:val="center"/>
          </w:tcPr>
          <w:p w14:paraId="0DB90FA5">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732" w:type="dxa"/>
            <w:vAlign w:val="center"/>
          </w:tcPr>
          <w:p w14:paraId="7675ECDA">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tcPr>
          <w:p w14:paraId="5CCB5BCB">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10" w:type="dxa"/>
            <w:vAlign w:val="center"/>
          </w:tcPr>
          <w:p w14:paraId="1A196554">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c>
          <w:tcPr>
            <w:tcW w:w="1787" w:type="dxa"/>
            <w:vAlign w:val="center"/>
          </w:tcPr>
          <w:p w14:paraId="384A3A9C">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kern w:val="0"/>
                <w:szCs w:val="21"/>
                <w:highlight w:val="none"/>
              </w:rPr>
            </w:pPr>
          </w:p>
        </w:tc>
      </w:tr>
    </w:tbl>
    <w:p w14:paraId="37430994">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注：上表中注明项目</w:t>
      </w:r>
      <w:r>
        <w:rPr>
          <w:rFonts w:hint="eastAsia" w:asciiTheme="majorEastAsia" w:hAnsiTheme="majorEastAsia" w:eastAsiaTheme="majorEastAsia"/>
          <w:color w:val="auto"/>
          <w:szCs w:val="21"/>
          <w:highlight w:val="none"/>
        </w:rPr>
        <w:t>负责人</w:t>
      </w:r>
      <w:r>
        <w:rPr>
          <w:rFonts w:asciiTheme="majorEastAsia" w:hAnsiTheme="majorEastAsia" w:eastAsiaTheme="majorEastAsia"/>
          <w:color w:val="auto"/>
          <w:szCs w:val="21"/>
          <w:highlight w:val="none"/>
        </w:rPr>
        <w:t>；后附资料根据评分标准及磋商文件要求提供。</w:t>
      </w:r>
    </w:p>
    <w:p w14:paraId="22E8F1AF">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363DEDC4">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542EEA03">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0B829539">
      <w:pPr>
        <w:keepNext w:val="0"/>
        <w:keepLines w:val="0"/>
        <w:pageBreakBefore w:val="0"/>
        <w:widowControl w:val="0"/>
        <w:shd w:val="clear"/>
        <w:kinsoku/>
        <w:wordWrap/>
        <w:overflowPunct/>
        <w:topLinePunct w:val="0"/>
        <w:bidi w:val="0"/>
        <w:adjustRightInd w:val="0"/>
        <w:spacing w:line="440" w:lineRule="exact"/>
        <w:jc w:val="lef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0D891495">
      <w:pPr>
        <w:keepNext w:val="0"/>
        <w:keepLines w:val="0"/>
        <w:pageBreakBefore w:val="0"/>
        <w:widowControl w:val="0"/>
        <w:shd w:val="clear"/>
        <w:kinsoku/>
        <w:wordWrap/>
        <w:overflowPunct/>
        <w:topLinePunct w:val="0"/>
        <w:bidi w:val="0"/>
        <w:adjustRightInd w:val="0"/>
        <w:spacing w:line="440" w:lineRule="exact"/>
        <w:jc w:val="left"/>
        <w:outlineLvl w:val="9"/>
        <w:rPr>
          <w:rFonts w:asciiTheme="majorEastAsia" w:hAnsiTheme="majorEastAsia" w:eastAsiaTheme="majorEastAsia"/>
          <w:color w:val="auto"/>
          <w:szCs w:val="21"/>
          <w:highlight w:val="none"/>
        </w:rPr>
      </w:pPr>
    </w:p>
    <w:p w14:paraId="175FC39F">
      <w:pPr>
        <w:keepNext w:val="0"/>
        <w:keepLines w:val="0"/>
        <w:pageBreakBefore w:val="0"/>
        <w:widowControl w:val="0"/>
        <w:shd w:val="clear"/>
        <w:kinsoku/>
        <w:wordWrap/>
        <w:overflowPunct/>
        <w:topLinePunct w:val="0"/>
        <w:bidi w:val="0"/>
        <w:adjustRightInd w:val="0"/>
        <w:spacing w:line="440" w:lineRule="exact"/>
        <w:jc w:val="left"/>
        <w:outlineLvl w:val="9"/>
        <w:rPr>
          <w:rFonts w:asciiTheme="majorEastAsia" w:hAnsiTheme="majorEastAsia" w:eastAsiaTheme="majorEastAsia"/>
          <w:color w:val="auto"/>
          <w:szCs w:val="21"/>
          <w:highlight w:val="none"/>
        </w:rPr>
      </w:pPr>
    </w:p>
    <w:p w14:paraId="0EC3393E">
      <w:pPr>
        <w:keepNext w:val="0"/>
        <w:keepLines w:val="0"/>
        <w:pageBreakBefore w:val="0"/>
        <w:widowControl w:val="0"/>
        <w:shd w:val="clear"/>
        <w:kinsoku/>
        <w:wordWrap/>
        <w:overflowPunct/>
        <w:topLinePunct w:val="0"/>
        <w:bidi w:val="0"/>
        <w:adjustRightInd w:val="0"/>
        <w:spacing w:line="440" w:lineRule="exact"/>
        <w:jc w:val="left"/>
        <w:outlineLvl w:val="9"/>
        <w:rPr>
          <w:rFonts w:asciiTheme="majorEastAsia" w:hAnsiTheme="majorEastAsia" w:eastAsiaTheme="majorEastAsia"/>
          <w:color w:val="auto"/>
          <w:szCs w:val="21"/>
          <w:highlight w:val="none"/>
        </w:rPr>
      </w:pPr>
    </w:p>
    <w:p w14:paraId="2CC73034">
      <w:pPr>
        <w:keepNext w:val="0"/>
        <w:keepLines w:val="0"/>
        <w:pageBreakBefore w:val="0"/>
        <w:widowControl w:val="0"/>
        <w:shd w:val="clear"/>
        <w:kinsoku/>
        <w:wordWrap/>
        <w:overflowPunct/>
        <w:topLinePunct w:val="0"/>
        <w:bidi w:val="0"/>
        <w:adjustRightInd w:val="0"/>
        <w:spacing w:line="440" w:lineRule="exact"/>
        <w:jc w:val="left"/>
        <w:outlineLvl w:val="9"/>
        <w:rPr>
          <w:rFonts w:asciiTheme="majorEastAsia" w:hAnsiTheme="majorEastAsia" w:eastAsiaTheme="majorEastAsia"/>
          <w:color w:val="auto"/>
          <w:szCs w:val="21"/>
          <w:highlight w:val="none"/>
        </w:rPr>
      </w:pPr>
    </w:p>
    <w:p w14:paraId="60E695CA">
      <w:pPr>
        <w:keepNext w:val="0"/>
        <w:keepLines w:val="0"/>
        <w:pageBreakBefore w:val="0"/>
        <w:widowControl w:val="0"/>
        <w:shd w:val="clear"/>
        <w:kinsoku/>
        <w:wordWrap/>
        <w:overflowPunct/>
        <w:topLinePunct w:val="0"/>
        <w:bidi w:val="0"/>
        <w:adjustRightInd w:val="0"/>
        <w:spacing w:line="440" w:lineRule="exact"/>
        <w:jc w:val="left"/>
        <w:outlineLvl w:val="9"/>
        <w:rPr>
          <w:rFonts w:asciiTheme="majorEastAsia" w:hAnsiTheme="majorEastAsia" w:eastAsiaTheme="majorEastAsia"/>
          <w:color w:val="auto"/>
          <w:szCs w:val="21"/>
          <w:highlight w:val="none"/>
        </w:rPr>
      </w:pPr>
    </w:p>
    <w:p w14:paraId="3F6FB11C">
      <w:pPr>
        <w:keepNext w:val="0"/>
        <w:keepLines w:val="0"/>
        <w:pageBreakBefore w:val="0"/>
        <w:widowControl w:val="0"/>
        <w:shd w:val="clear"/>
        <w:kinsoku/>
        <w:wordWrap/>
        <w:overflowPunct/>
        <w:topLinePunct w:val="0"/>
        <w:bidi w:val="0"/>
        <w:jc w:val="left"/>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6B97D3B6">
      <w:pPr>
        <w:keepNext w:val="0"/>
        <w:keepLines w:val="0"/>
        <w:pageBreakBefore w:val="0"/>
        <w:widowControl w:val="0"/>
        <w:shd w:val="clear"/>
        <w:kinsoku/>
        <w:wordWrap/>
        <w:overflowPunct/>
        <w:topLinePunct w:val="0"/>
        <w:bidi w:val="0"/>
        <w:adjustRightInd w:val="0"/>
        <w:spacing w:line="440" w:lineRule="exact"/>
        <w:jc w:val="left"/>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lang w:eastAsia="zh-CN"/>
        </w:rPr>
        <w:t>九</w:t>
      </w:r>
      <w:r>
        <w:rPr>
          <w:rFonts w:asciiTheme="majorEastAsia" w:hAnsiTheme="majorEastAsia" w:eastAsiaTheme="majorEastAsia"/>
          <w:b/>
          <w:color w:val="auto"/>
          <w:szCs w:val="21"/>
          <w:highlight w:val="none"/>
        </w:rPr>
        <w:t>：</w:t>
      </w:r>
    </w:p>
    <w:p w14:paraId="6120DD3F">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项目业绩表</w:t>
      </w:r>
    </w:p>
    <w:p w14:paraId="00C4B92E">
      <w:pPr>
        <w:keepNext w:val="0"/>
        <w:keepLines w:val="0"/>
        <w:pageBreakBefore w:val="0"/>
        <w:widowControl w:val="0"/>
        <w:shd w:val="clear"/>
        <w:kinsoku/>
        <w:wordWrap/>
        <w:overflowPunct/>
        <w:topLinePunct w:val="0"/>
        <w:bidi w:val="0"/>
        <w:spacing w:line="440" w:lineRule="exact"/>
        <w:ind w:firstLine="3089"/>
        <w:outlineLvl w:val="9"/>
        <w:rPr>
          <w:rFonts w:asciiTheme="majorEastAsia" w:hAnsiTheme="majorEastAsia" w:eastAsiaTheme="majorEastAsia"/>
          <w:b/>
          <w:color w:val="auto"/>
          <w:szCs w:val="21"/>
          <w:highlight w:val="none"/>
        </w:rPr>
      </w:pPr>
    </w:p>
    <w:p w14:paraId="6465C37C">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55"/>
        <w:gridCol w:w="2160"/>
        <w:gridCol w:w="1625"/>
        <w:gridCol w:w="1956"/>
      </w:tblGrid>
      <w:tr w14:paraId="45B01C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2515E85">
            <w:pPr>
              <w:keepNext w:val="0"/>
              <w:keepLines w:val="0"/>
              <w:pageBreakBefore w:val="0"/>
              <w:widowControl w:val="0"/>
              <w:shd w:val="clear"/>
              <w:kinsoku/>
              <w:wordWrap/>
              <w:overflowPunct/>
              <w:topLinePunct w:val="0"/>
              <w:bidi w:val="0"/>
              <w:snapToGrid w:val="0"/>
              <w:spacing w:line="440" w:lineRule="exact"/>
              <w:jc w:val="center"/>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序号</w:t>
            </w:r>
          </w:p>
        </w:tc>
        <w:tc>
          <w:tcPr>
            <w:tcW w:w="2355" w:type="dxa"/>
            <w:vAlign w:val="center"/>
          </w:tcPr>
          <w:p w14:paraId="4E1C1EB5">
            <w:pPr>
              <w:keepNext w:val="0"/>
              <w:keepLines w:val="0"/>
              <w:pageBreakBefore w:val="0"/>
              <w:widowControl w:val="0"/>
              <w:shd w:val="clear"/>
              <w:kinsoku/>
              <w:wordWrap/>
              <w:overflowPunct/>
              <w:topLinePunct w:val="0"/>
              <w:bidi w:val="0"/>
              <w:snapToGrid w:val="0"/>
              <w:spacing w:line="440" w:lineRule="exact"/>
              <w:jc w:val="center"/>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项目名称</w:t>
            </w:r>
          </w:p>
        </w:tc>
        <w:tc>
          <w:tcPr>
            <w:tcW w:w="2160" w:type="dxa"/>
            <w:vAlign w:val="center"/>
          </w:tcPr>
          <w:p w14:paraId="06E3A6B5">
            <w:pPr>
              <w:keepNext w:val="0"/>
              <w:keepLines w:val="0"/>
              <w:pageBreakBefore w:val="0"/>
              <w:widowControl w:val="0"/>
              <w:shd w:val="clear"/>
              <w:kinsoku/>
              <w:wordWrap/>
              <w:overflowPunct/>
              <w:topLinePunct w:val="0"/>
              <w:bidi w:val="0"/>
              <w:snapToGrid w:val="0"/>
              <w:spacing w:line="440" w:lineRule="exact"/>
              <w:jc w:val="center"/>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合同签订时间</w:t>
            </w:r>
          </w:p>
        </w:tc>
        <w:tc>
          <w:tcPr>
            <w:tcW w:w="1625" w:type="dxa"/>
            <w:vAlign w:val="center"/>
          </w:tcPr>
          <w:p w14:paraId="1E91979B">
            <w:pPr>
              <w:keepNext w:val="0"/>
              <w:keepLines w:val="0"/>
              <w:pageBreakBefore w:val="0"/>
              <w:widowControl w:val="0"/>
              <w:shd w:val="clear"/>
              <w:kinsoku/>
              <w:wordWrap/>
              <w:overflowPunct/>
              <w:topLinePunct w:val="0"/>
              <w:bidi w:val="0"/>
              <w:snapToGrid w:val="0"/>
              <w:spacing w:line="440" w:lineRule="exact"/>
              <w:jc w:val="center"/>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合同服务内容</w:t>
            </w:r>
          </w:p>
        </w:tc>
        <w:tc>
          <w:tcPr>
            <w:tcW w:w="1956" w:type="dxa"/>
            <w:vAlign w:val="center"/>
          </w:tcPr>
          <w:p w14:paraId="0AFD0481">
            <w:pPr>
              <w:keepNext w:val="0"/>
              <w:keepLines w:val="0"/>
              <w:pageBreakBefore w:val="0"/>
              <w:widowControl w:val="0"/>
              <w:shd w:val="clear"/>
              <w:kinsoku/>
              <w:wordWrap/>
              <w:overflowPunct/>
              <w:topLinePunct w:val="0"/>
              <w:bidi w:val="0"/>
              <w:snapToGrid w:val="0"/>
              <w:spacing w:line="440" w:lineRule="exact"/>
              <w:jc w:val="center"/>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项目甲方联系人/联系电话</w:t>
            </w:r>
          </w:p>
        </w:tc>
      </w:tr>
      <w:tr w14:paraId="286F3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EEE03C3">
            <w:pPr>
              <w:keepNext w:val="0"/>
              <w:keepLines w:val="0"/>
              <w:pageBreakBefore w:val="0"/>
              <w:widowControl w:val="0"/>
              <w:shd w:val="clear"/>
              <w:kinsoku/>
              <w:wordWrap/>
              <w:overflowPunct/>
              <w:topLinePunct w:val="0"/>
              <w:bidi w:val="0"/>
              <w:snapToGrid w:val="0"/>
              <w:spacing w:line="440" w:lineRule="exact"/>
              <w:jc w:val="center"/>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p>
        </w:tc>
        <w:tc>
          <w:tcPr>
            <w:tcW w:w="2355" w:type="dxa"/>
            <w:vAlign w:val="center"/>
          </w:tcPr>
          <w:p w14:paraId="7F800C74">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tc>
        <w:tc>
          <w:tcPr>
            <w:tcW w:w="2160" w:type="dxa"/>
            <w:vAlign w:val="center"/>
          </w:tcPr>
          <w:p w14:paraId="181CC309">
            <w:pPr>
              <w:keepNext w:val="0"/>
              <w:keepLines w:val="0"/>
              <w:pageBreakBefore w:val="0"/>
              <w:widowControl w:val="0"/>
              <w:shd w:val="clear"/>
              <w:kinsoku/>
              <w:wordWrap/>
              <w:overflowPunct/>
              <w:topLinePunct w:val="0"/>
              <w:bidi w:val="0"/>
              <w:snapToGrid w:val="0"/>
              <w:spacing w:line="440" w:lineRule="exact"/>
              <w:outlineLvl w:val="9"/>
              <w:rPr>
                <w:rFonts w:asciiTheme="majorEastAsia" w:hAnsiTheme="majorEastAsia" w:eastAsiaTheme="majorEastAsia"/>
                <w:color w:val="auto"/>
                <w:szCs w:val="21"/>
                <w:highlight w:val="none"/>
              </w:rPr>
            </w:pPr>
          </w:p>
        </w:tc>
        <w:tc>
          <w:tcPr>
            <w:tcW w:w="1625" w:type="dxa"/>
            <w:vAlign w:val="center"/>
          </w:tcPr>
          <w:p w14:paraId="22731292">
            <w:pPr>
              <w:keepNext w:val="0"/>
              <w:keepLines w:val="0"/>
              <w:pageBreakBefore w:val="0"/>
              <w:widowControl w:val="0"/>
              <w:shd w:val="clear"/>
              <w:kinsoku/>
              <w:wordWrap/>
              <w:overflowPunct/>
              <w:topLinePunct w:val="0"/>
              <w:bidi w:val="0"/>
              <w:snapToGrid w:val="0"/>
              <w:spacing w:line="440" w:lineRule="exact"/>
              <w:outlineLvl w:val="9"/>
              <w:rPr>
                <w:rFonts w:asciiTheme="majorEastAsia" w:hAnsiTheme="majorEastAsia" w:eastAsiaTheme="majorEastAsia"/>
                <w:color w:val="auto"/>
                <w:szCs w:val="21"/>
                <w:highlight w:val="none"/>
              </w:rPr>
            </w:pPr>
          </w:p>
        </w:tc>
        <w:tc>
          <w:tcPr>
            <w:tcW w:w="1956" w:type="dxa"/>
            <w:vAlign w:val="center"/>
          </w:tcPr>
          <w:p w14:paraId="3DE72109">
            <w:pPr>
              <w:keepNext w:val="0"/>
              <w:keepLines w:val="0"/>
              <w:pageBreakBefore w:val="0"/>
              <w:widowControl w:val="0"/>
              <w:shd w:val="clear"/>
              <w:kinsoku/>
              <w:wordWrap/>
              <w:overflowPunct/>
              <w:topLinePunct w:val="0"/>
              <w:bidi w:val="0"/>
              <w:snapToGrid w:val="0"/>
              <w:spacing w:line="440" w:lineRule="exact"/>
              <w:outlineLvl w:val="9"/>
              <w:rPr>
                <w:rFonts w:asciiTheme="majorEastAsia" w:hAnsiTheme="majorEastAsia" w:eastAsiaTheme="majorEastAsia"/>
                <w:color w:val="auto"/>
                <w:szCs w:val="21"/>
                <w:highlight w:val="none"/>
              </w:rPr>
            </w:pPr>
          </w:p>
        </w:tc>
      </w:tr>
      <w:tr w14:paraId="375A2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1DAF392">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w:t>
            </w:r>
          </w:p>
        </w:tc>
        <w:tc>
          <w:tcPr>
            <w:tcW w:w="2355" w:type="dxa"/>
            <w:vAlign w:val="center"/>
          </w:tcPr>
          <w:p w14:paraId="7D9F862D">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tc>
        <w:tc>
          <w:tcPr>
            <w:tcW w:w="2160" w:type="dxa"/>
            <w:vAlign w:val="center"/>
          </w:tcPr>
          <w:p w14:paraId="6B22B9C7">
            <w:pPr>
              <w:keepNext w:val="0"/>
              <w:keepLines w:val="0"/>
              <w:pageBreakBefore w:val="0"/>
              <w:widowControl w:val="0"/>
              <w:shd w:val="clear"/>
              <w:kinsoku/>
              <w:wordWrap/>
              <w:overflowPunct/>
              <w:topLinePunct w:val="0"/>
              <w:bidi w:val="0"/>
              <w:snapToGrid w:val="0"/>
              <w:spacing w:line="440" w:lineRule="exact"/>
              <w:outlineLvl w:val="9"/>
              <w:rPr>
                <w:rFonts w:asciiTheme="majorEastAsia" w:hAnsiTheme="majorEastAsia" w:eastAsiaTheme="majorEastAsia"/>
                <w:color w:val="auto"/>
                <w:szCs w:val="21"/>
                <w:highlight w:val="none"/>
              </w:rPr>
            </w:pPr>
          </w:p>
        </w:tc>
        <w:tc>
          <w:tcPr>
            <w:tcW w:w="1625" w:type="dxa"/>
            <w:vAlign w:val="center"/>
          </w:tcPr>
          <w:p w14:paraId="356D8AE1">
            <w:pPr>
              <w:keepNext w:val="0"/>
              <w:keepLines w:val="0"/>
              <w:pageBreakBefore w:val="0"/>
              <w:widowControl w:val="0"/>
              <w:shd w:val="clear"/>
              <w:kinsoku/>
              <w:wordWrap/>
              <w:overflowPunct/>
              <w:topLinePunct w:val="0"/>
              <w:bidi w:val="0"/>
              <w:snapToGrid w:val="0"/>
              <w:spacing w:line="440" w:lineRule="exact"/>
              <w:outlineLvl w:val="9"/>
              <w:rPr>
                <w:rFonts w:asciiTheme="majorEastAsia" w:hAnsiTheme="majorEastAsia" w:eastAsiaTheme="majorEastAsia"/>
                <w:color w:val="auto"/>
                <w:szCs w:val="21"/>
                <w:highlight w:val="none"/>
              </w:rPr>
            </w:pPr>
          </w:p>
        </w:tc>
        <w:tc>
          <w:tcPr>
            <w:tcW w:w="1956" w:type="dxa"/>
            <w:vAlign w:val="center"/>
          </w:tcPr>
          <w:p w14:paraId="153E9A6A">
            <w:pPr>
              <w:keepNext w:val="0"/>
              <w:keepLines w:val="0"/>
              <w:pageBreakBefore w:val="0"/>
              <w:widowControl w:val="0"/>
              <w:shd w:val="clear"/>
              <w:kinsoku/>
              <w:wordWrap/>
              <w:overflowPunct/>
              <w:topLinePunct w:val="0"/>
              <w:bidi w:val="0"/>
              <w:snapToGrid w:val="0"/>
              <w:spacing w:line="440" w:lineRule="exact"/>
              <w:outlineLvl w:val="9"/>
              <w:rPr>
                <w:rFonts w:asciiTheme="majorEastAsia" w:hAnsiTheme="majorEastAsia" w:eastAsiaTheme="majorEastAsia"/>
                <w:color w:val="auto"/>
                <w:szCs w:val="21"/>
                <w:highlight w:val="none"/>
              </w:rPr>
            </w:pPr>
          </w:p>
        </w:tc>
      </w:tr>
      <w:tr w14:paraId="6B0492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879A539">
            <w:pPr>
              <w:keepNext w:val="0"/>
              <w:keepLines w:val="0"/>
              <w:pageBreakBefore w:val="0"/>
              <w:widowControl w:val="0"/>
              <w:shd w:val="clear"/>
              <w:kinsoku/>
              <w:wordWrap/>
              <w:overflowPunct/>
              <w:topLinePunct w:val="0"/>
              <w:bidi w:val="0"/>
              <w:snapToGrid w:val="0"/>
              <w:spacing w:line="440" w:lineRule="exact"/>
              <w:jc w:val="center"/>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w:t>
            </w:r>
          </w:p>
        </w:tc>
        <w:tc>
          <w:tcPr>
            <w:tcW w:w="2355" w:type="dxa"/>
            <w:vAlign w:val="center"/>
          </w:tcPr>
          <w:p w14:paraId="3D613416">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tc>
        <w:tc>
          <w:tcPr>
            <w:tcW w:w="2160" w:type="dxa"/>
            <w:vAlign w:val="center"/>
          </w:tcPr>
          <w:p w14:paraId="7A4D574E">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p>
        </w:tc>
        <w:tc>
          <w:tcPr>
            <w:tcW w:w="1625" w:type="dxa"/>
            <w:vAlign w:val="center"/>
          </w:tcPr>
          <w:p w14:paraId="79F7C8FB">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p>
        </w:tc>
        <w:tc>
          <w:tcPr>
            <w:tcW w:w="1956" w:type="dxa"/>
            <w:vAlign w:val="center"/>
          </w:tcPr>
          <w:p w14:paraId="0022E986">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p>
        </w:tc>
      </w:tr>
      <w:tr w14:paraId="5CD34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542EDC4">
            <w:pPr>
              <w:keepNext w:val="0"/>
              <w:keepLines w:val="0"/>
              <w:pageBreakBefore w:val="0"/>
              <w:widowControl w:val="0"/>
              <w:shd w:val="clear"/>
              <w:kinsoku/>
              <w:wordWrap/>
              <w:overflowPunct/>
              <w:topLinePunct w:val="0"/>
              <w:bidi w:val="0"/>
              <w:snapToGrid w:val="0"/>
              <w:spacing w:line="440" w:lineRule="exact"/>
              <w:jc w:val="center"/>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w:t>
            </w:r>
          </w:p>
        </w:tc>
        <w:tc>
          <w:tcPr>
            <w:tcW w:w="2355" w:type="dxa"/>
            <w:vAlign w:val="center"/>
          </w:tcPr>
          <w:p w14:paraId="57016F01">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tc>
        <w:tc>
          <w:tcPr>
            <w:tcW w:w="2160" w:type="dxa"/>
            <w:vAlign w:val="center"/>
          </w:tcPr>
          <w:p w14:paraId="3FA48FB9">
            <w:pPr>
              <w:keepNext w:val="0"/>
              <w:keepLines w:val="0"/>
              <w:pageBreakBefore w:val="0"/>
              <w:widowControl w:val="0"/>
              <w:shd w:val="clear"/>
              <w:kinsoku/>
              <w:wordWrap/>
              <w:overflowPunct/>
              <w:topLinePunct w:val="0"/>
              <w:bidi w:val="0"/>
              <w:snapToGrid w:val="0"/>
              <w:spacing w:line="440" w:lineRule="exact"/>
              <w:outlineLvl w:val="9"/>
              <w:rPr>
                <w:rFonts w:asciiTheme="majorEastAsia" w:hAnsiTheme="majorEastAsia" w:eastAsiaTheme="majorEastAsia"/>
                <w:color w:val="auto"/>
                <w:szCs w:val="21"/>
                <w:highlight w:val="none"/>
              </w:rPr>
            </w:pPr>
          </w:p>
        </w:tc>
        <w:tc>
          <w:tcPr>
            <w:tcW w:w="1625" w:type="dxa"/>
            <w:vAlign w:val="center"/>
          </w:tcPr>
          <w:p w14:paraId="463DFF75">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tc>
        <w:tc>
          <w:tcPr>
            <w:tcW w:w="1956" w:type="dxa"/>
            <w:vAlign w:val="center"/>
          </w:tcPr>
          <w:p w14:paraId="708A9FAE">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tc>
      </w:tr>
      <w:tr w14:paraId="406CCA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4454D7AC">
            <w:pPr>
              <w:keepNext w:val="0"/>
              <w:keepLines w:val="0"/>
              <w:pageBreakBefore w:val="0"/>
              <w:widowControl w:val="0"/>
              <w:shd w:val="clear"/>
              <w:kinsoku/>
              <w:wordWrap/>
              <w:overflowPunct/>
              <w:topLinePunct w:val="0"/>
              <w:bidi w:val="0"/>
              <w:snapToGrid w:val="0"/>
              <w:spacing w:line="440" w:lineRule="exact"/>
              <w:jc w:val="center"/>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p>
        </w:tc>
        <w:tc>
          <w:tcPr>
            <w:tcW w:w="2355" w:type="dxa"/>
            <w:vAlign w:val="center"/>
          </w:tcPr>
          <w:p w14:paraId="36BFAD87">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tc>
        <w:tc>
          <w:tcPr>
            <w:tcW w:w="2160" w:type="dxa"/>
            <w:vAlign w:val="center"/>
          </w:tcPr>
          <w:p w14:paraId="12981DBE">
            <w:pPr>
              <w:keepNext w:val="0"/>
              <w:keepLines w:val="0"/>
              <w:pageBreakBefore w:val="0"/>
              <w:widowControl w:val="0"/>
              <w:shd w:val="clear"/>
              <w:kinsoku/>
              <w:wordWrap/>
              <w:overflowPunct/>
              <w:topLinePunct w:val="0"/>
              <w:bidi w:val="0"/>
              <w:snapToGrid w:val="0"/>
              <w:spacing w:line="440" w:lineRule="exact"/>
              <w:outlineLvl w:val="9"/>
              <w:rPr>
                <w:rFonts w:asciiTheme="majorEastAsia" w:hAnsiTheme="majorEastAsia" w:eastAsiaTheme="majorEastAsia"/>
                <w:color w:val="auto"/>
                <w:szCs w:val="21"/>
                <w:highlight w:val="none"/>
              </w:rPr>
            </w:pPr>
          </w:p>
        </w:tc>
        <w:tc>
          <w:tcPr>
            <w:tcW w:w="1625" w:type="dxa"/>
            <w:vAlign w:val="center"/>
          </w:tcPr>
          <w:p w14:paraId="6CFC78F8">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tc>
        <w:tc>
          <w:tcPr>
            <w:tcW w:w="1956" w:type="dxa"/>
            <w:vAlign w:val="center"/>
          </w:tcPr>
          <w:p w14:paraId="388E354E">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tc>
      </w:tr>
      <w:tr w14:paraId="16186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747AA35">
            <w:pPr>
              <w:keepNext w:val="0"/>
              <w:keepLines w:val="0"/>
              <w:pageBreakBefore w:val="0"/>
              <w:widowControl w:val="0"/>
              <w:shd w:val="clear"/>
              <w:kinsoku/>
              <w:wordWrap/>
              <w:overflowPunct/>
              <w:topLinePunct w:val="0"/>
              <w:bidi w:val="0"/>
              <w:snapToGrid w:val="0"/>
              <w:spacing w:line="440" w:lineRule="exact"/>
              <w:outlineLvl w:val="9"/>
              <w:rPr>
                <w:rFonts w:asciiTheme="majorEastAsia" w:hAnsiTheme="majorEastAsia" w:eastAsiaTheme="majorEastAsia"/>
                <w:color w:val="auto"/>
                <w:szCs w:val="21"/>
                <w:highlight w:val="none"/>
              </w:rPr>
            </w:pPr>
          </w:p>
        </w:tc>
        <w:tc>
          <w:tcPr>
            <w:tcW w:w="2355" w:type="dxa"/>
            <w:vAlign w:val="center"/>
          </w:tcPr>
          <w:p w14:paraId="264C44F1">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tc>
        <w:tc>
          <w:tcPr>
            <w:tcW w:w="2160" w:type="dxa"/>
            <w:vAlign w:val="center"/>
          </w:tcPr>
          <w:p w14:paraId="34569637">
            <w:pPr>
              <w:keepNext w:val="0"/>
              <w:keepLines w:val="0"/>
              <w:pageBreakBefore w:val="0"/>
              <w:widowControl w:val="0"/>
              <w:shd w:val="clear"/>
              <w:kinsoku/>
              <w:wordWrap/>
              <w:overflowPunct/>
              <w:topLinePunct w:val="0"/>
              <w:bidi w:val="0"/>
              <w:snapToGrid w:val="0"/>
              <w:spacing w:line="440" w:lineRule="exact"/>
              <w:outlineLvl w:val="9"/>
              <w:rPr>
                <w:rFonts w:asciiTheme="majorEastAsia" w:hAnsiTheme="majorEastAsia" w:eastAsiaTheme="majorEastAsia"/>
                <w:color w:val="auto"/>
                <w:szCs w:val="21"/>
                <w:highlight w:val="none"/>
              </w:rPr>
            </w:pPr>
          </w:p>
        </w:tc>
        <w:tc>
          <w:tcPr>
            <w:tcW w:w="1625" w:type="dxa"/>
            <w:vAlign w:val="center"/>
          </w:tcPr>
          <w:p w14:paraId="56D8B5D8">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tc>
        <w:tc>
          <w:tcPr>
            <w:tcW w:w="1956" w:type="dxa"/>
            <w:vAlign w:val="center"/>
          </w:tcPr>
          <w:p w14:paraId="5789542A">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tc>
      </w:tr>
      <w:tr w14:paraId="730F9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3ADD6DE">
            <w:pPr>
              <w:keepNext w:val="0"/>
              <w:keepLines w:val="0"/>
              <w:pageBreakBefore w:val="0"/>
              <w:widowControl w:val="0"/>
              <w:shd w:val="clear"/>
              <w:kinsoku/>
              <w:wordWrap/>
              <w:overflowPunct/>
              <w:topLinePunct w:val="0"/>
              <w:bidi w:val="0"/>
              <w:snapToGrid w:val="0"/>
              <w:spacing w:line="440" w:lineRule="exact"/>
              <w:outlineLvl w:val="9"/>
              <w:rPr>
                <w:rFonts w:asciiTheme="majorEastAsia" w:hAnsiTheme="majorEastAsia" w:eastAsiaTheme="majorEastAsia"/>
                <w:color w:val="auto"/>
                <w:szCs w:val="21"/>
                <w:highlight w:val="none"/>
              </w:rPr>
            </w:pPr>
          </w:p>
        </w:tc>
        <w:tc>
          <w:tcPr>
            <w:tcW w:w="2355" w:type="dxa"/>
            <w:vAlign w:val="center"/>
          </w:tcPr>
          <w:p w14:paraId="62B20821">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tc>
        <w:tc>
          <w:tcPr>
            <w:tcW w:w="2160" w:type="dxa"/>
            <w:vAlign w:val="center"/>
          </w:tcPr>
          <w:p w14:paraId="286F6975">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p>
        </w:tc>
        <w:tc>
          <w:tcPr>
            <w:tcW w:w="1625" w:type="dxa"/>
            <w:vAlign w:val="center"/>
          </w:tcPr>
          <w:p w14:paraId="70808E23">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p>
        </w:tc>
        <w:tc>
          <w:tcPr>
            <w:tcW w:w="1956" w:type="dxa"/>
            <w:vAlign w:val="center"/>
          </w:tcPr>
          <w:p w14:paraId="42F93A38">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p>
        </w:tc>
      </w:tr>
      <w:tr w14:paraId="08BA7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451FE83">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tc>
        <w:tc>
          <w:tcPr>
            <w:tcW w:w="2355" w:type="dxa"/>
            <w:vAlign w:val="center"/>
          </w:tcPr>
          <w:p w14:paraId="4A4EF375">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tc>
        <w:tc>
          <w:tcPr>
            <w:tcW w:w="2160" w:type="dxa"/>
            <w:vAlign w:val="center"/>
          </w:tcPr>
          <w:p w14:paraId="28EFA6C9">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p>
        </w:tc>
        <w:tc>
          <w:tcPr>
            <w:tcW w:w="1625" w:type="dxa"/>
            <w:vAlign w:val="center"/>
          </w:tcPr>
          <w:p w14:paraId="69C86347">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p>
        </w:tc>
        <w:tc>
          <w:tcPr>
            <w:tcW w:w="1956" w:type="dxa"/>
            <w:vAlign w:val="center"/>
          </w:tcPr>
          <w:p w14:paraId="554363DE">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p>
        </w:tc>
      </w:tr>
      <w:tr w14:paraId="0E34A7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5E2BB0F">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tc>
        <w:tc>
          <w:tcPr>
            <w:tcW w:w="2355" w:type="dxa"/>
            <w:vAlign w:val="center"/>
          </w:tcPr>
          <w:p w14:paraId="41D9993F">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tc>
        <w:tc>
          <w:tcPr>
            <w:tcW w:w="2160" w:type="dxa"/>
            <w:vAlign w:val="center"/>
          </w:tcPr>
          <w:p w14:paraId="19F75610">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p>
        </w:tc>
        <w:tc>
          <w:tcPr>
            <w:tcW w:w="1625" w:type="dxa"/>
            <w:vAlign w:val="center"/>
          </w:tcPr>
          <w:p w14:paraId="57503F2B">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p>
        </w:tc>
        <w:tc>
          <w:tcPr>
            <w:tcW w:w="1956" w:type="dxa"/>
            <w:vAlign w:val="center"/>
          </w:tcPr>
          <w:p w14:paraId="49EEBF25">
            <w:pPr>
              <w:keepNext w:val="0"/>
              <w:keepLines w:val="0"/>
              <w:pageBreakBefore w:val="0"/>
              <w:widowControl w:val="0"/>
              <w:shd w:val="clear"/>
              <w:kinsoku/>
              <w:wordWrap/>
              <w:overflowPunct/>
              <w:topLinePunct w:val="0"/>
              <w:bidi w:val="0"/>
              <w:spacing w:line="440" w:lineRule="exact"/>
              <w:jc w:val="center"/>
              <w:outlineLvl w:val="9"/>
              <w:rPr>
                <w:rFonts w:asciiTheme="majorEastAsia" w:hAnsiTheme="majorEastAsia" w:eastAsiaTheme="majorEastAsia"/>
                <w:color w:val="auto"/>
                <w:szCs w:val="21"/>
                <w:highlight w:val="none"/>
              </w:rPr>
            </w:pPr>
          </w:p>
        </w:tc>
      </w:tr>
    </w:tbl>
    <w:p w14:paraId="68207326">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注：根据评分标准提供相关资料。</w:t>
      </w:r>
    </w:p>
    <w:p w14:paraId="0F083D4A">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1E6D62BA">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35D7151D">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16176927">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36C88943">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b/>
          <w:bCs/>
          <w:color w:val="auto"/>
          <w:szCs w:val="21"/>
          <w:highlight w:val="none"/>
        </w:rPr>
      </w:pPr>
      <w:r>
        <w:rPr>
          <w:rFonts w:asciiTheme="majorEastAsia" w:hAnsiTheme="majorEastAsia" w:eastAsiaTheme="majorEastAsia"/>
          <w:color w:val="auto"/>
          <w:spacing w:val="-4"/>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格式十：</w:t>
      </w:r>
    </w:p>
    <w:p w14:paraId="69FE691E">
      <w:pPr>
        <w:spacing w:line="360" w:lineRule="auto"/>
        <w:jc w:val="center"/>
        <w:outlineLvl w:val="9"/>
        <w:rPr>
          <w:rFonts w:hint="eastAsia" w:ascii="宋体" w:hAnsi="宋体" w:eastAsia="宋体"/>
          <w:b/>
          <w:color w:val="auto"/>
          <w:szCs w:val="21"/>
          <w:highlight w:val="none"/>
        </w:rPr>
      </w:pPr>
      <w:r>
        <w:rPr>
          <w:rFonts w:hint="eastAsia" w:ascii="宋体" w:hAnsi="宋体" w:eastAsia="宋体"/>
          <w:b/>
          <w:color w:val="auto"/>
          <w:szCs w:val="21"/>
          <w:highlight w:val="none"/>
        </w:rPr>
        <w:t>初次报价表</w:t>
      </w:r>
    </w:p>
    <w:p w14:paraId="290087C7">
      <w:pPr>
        <w:pStyle w:val="25"/>
        <w:outlineLvl w:val="9"/>
        <w:rPr>
          <w:rFonts w:hint="eastAsia"/>
          <w:color w:val="auto"/>
          <w:highlight w:val="none"/>
        </w:rPr>
      </w:pPr>
      <w:r>
        <w:rPr>
          <w:rFonts w:hint="eastAsia"/>
          <w:color w:val="auto"/>
          <w:highlight w:val="none"/>
        </w:rPr>
        <w:t>项目名称</w:t>
      </w:r>
      <w:r>
        <w:rPr>
          <w:rFonts w:hint="eastAsia"/>
          <w:color w:val="auto"/>
          <w:highlight w:val="none"/>
          <w:lang w:val="en-US" w:eastAsia="zh-CN"/>
        </w:rPr>
        <w:t>:</w:t>
      </w:r>
      <w:r>
        <w:rPr>
          <w:rFonts w:hint="eastAsia"/>
          <w:color w:val="auto"/>
          <w:highlight w:val="none"/>
          <w:lang w:eastAsia="zh-CN"/>
        </w:rPr>
        <w:t>海曙区2024年度耕地保护和粮食安全考核服务项目</w:t>
      </w:r>
    </w:p>
    <w:p w14:paraId="5D689425">
      <w:pPr>
        <w:pStyle w:val="25"/>
        <w:outlineLvl w:val="9"/>
        <w:rPr>
          <w:rFonts w:hint="eastAsia"/>
          <w:color w:val="auto"/>
          <w:highlight w:val="none"/>
        </w:rPr>
      </w:pPr>
      <w:r>
        <w:rPr>
          <w:rFonts w:hint="eastAsia"/>
          <w:color w:val="auto"/>
          <w:highlight w:val="none"/>
        </w:rPr>
        <w:t>项目编号</w:t>
      </w:r>
      <w:r>
        <w:rPr>
          <w:rFonts w:hint="eastAsia"/>
          <w:color w:val="auto"/>
          <w:highlight w:val="none"/>
          <w:lang w:val="en-US" w:eastAsia="zh-CN"/>
        </w:rPr>
        <w:t>:</w:t>
      </w:r>
      <w:r>
        <w:rPr>
          <w:rFonts w:hint="eastAsia"/>
          <w:color w:val="auto"/>
          <w:highlight w:val="none"/>
          <w:lang w:eastAsia="zh-CN"/>
        </w:rPr>
        <w:t>2025NBHSWCS025</w:t>
      </w:r>
      <w:r>
        <w:rPr>
          <w:rFonts w:hint="eastAsia"/>
          <w:color w:val="auto"/>
          <w:highlight w:val="none"/>
        </w:rPr>
        <w:t xml:space="preserve"> </w:t>
      </w:r>
    </w:p>
    <w:tbl>
      <w:tblPr>
        <w:tblStyle w:val="45"/>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4"/>
        <w:gridCol w:w="5463"/>
      </w:tblGrid>
      <w:tr w14:paraId="34B0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624" w:type="dxa"/>
            <w:vAlign w:val="center"/>
          </w:tcPr>
          <w:p w14:paraId="67B0CAEE">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outlineLvl w:val="9"/>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项目名称</w:t>
            </w:r>
          </w:p>
        </w:tc>
        <w:tc>
          <w:tcPr>
            <w:tcW w:w="5463" w:type="dxa"/>
            <w:vAlign w:val="center"/>
          </w:tcPr>
          <w:p w14:paraId="6D70D39A">
            <w:pPr>
              <w:keepNext w:val="0"/>
              <w:keepLines w:val="0"/>
              <w:pageBreakBefore w:val="0"/>
              <w:widowControl w:val="0"/>
              <w:kinsoku/>
              <w:wordWrap/>
              <w:overflowPunct/>
              <w:topLinePunct w:val="0"/>
              <w:autoSpaceDE/>
              <w:autoSpaceDN/>
              <w:bidi w:val="0"/>
              <w:spacing w:before="143" w:beforeLines="50" w:after="143" w:afterLines="50" w:line="240" w:lineRule="auto"/>
              <w:jc w:val="center"/>
              <w:textAlignment w:val="auto"/>
              <w:outlineLvl w:val="9"/>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磋商报价（初次报价）</w:t>
            </w:r>
          </w:p>
        </w:tc>
      </w:tr>
      <w:tr w14:paraId="6B5F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3624" w:type="dxa"/>
            <w:vAlign w:val="center"/>
          </w:tcPr>
          <w:p w14:paraId="0B273740">
            <w:pPr>
              <w:widowControl/>
              <w:spacing w:line="360" w:lineRule="exact"/>
              <w:jc w:val="center"/>
              <w:outlineLvl w:val="9"/>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海曙区2024年度耕地保护和粮食安全考核服务项目</w:t>
            </w:r>
          </w:p>
        </w:tc>
        <w:tc>
          <w:tcPr>
            <w:tcW w:w="5463" w:type="dxa"/>
            <w:vAlign w:val="center"/>
          </w:tcPr>
          <w:p w14:paraId="4549E211">
            <w:pPr>
              <w:pageBreakBefore w:val="0"/>
              <w:widowControl w:val="0"/>
              <w:kinsoku/>
              <w:wordWrap/>
              <w:overflowPunct/>
              <w:topLinePunct w:val="0"/>
              <w:autoSpaceDE/>
              <w:autoSpaceDN/>
              <w:bidi w:val="0"/>
              <w:spacing w:line="360" w:lineRule="auto"/>
              <w:ind w:left="0" w:leftChars="0" w:right="0" w:rightChars="0"/>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小写：人民币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430BD171">
            <w:pPr>
              <w:widowControl/>
              <w:spacing w:line="360" w:lineRule="exact"/>
              <w:jc w:val="left"/>
              <w:outlineLvl w:val="9"/>
              <w:rPr>
                <w:rFonts w:hint="default" w:ascii="宋体" w:hAnsi="宋体"/>
                <w:color w:val="auto"/>
                <w:szCs w:val="21"/>
                <w:highlight w:val="none"/>
                <w:lang w:val="en-US" w:eastAsia="zh-CN"/>
              </w:rPr>
            </w:pPr>
            <w:r>
              <w:rPr>
                <w:rFonts w:hint="eastAsia" w:ascii="宋体" w:hAnsi="宋体" w:eastAsia="宋体" w:cs="宋体"/>
                <w:color w:val="auto"/>
                <w:kern w:val="2"/>
                <w:sz w:val="21"/>
                <w:szCs w:val="24"/>
                <w:highlight w:val="none"/>
                <w:lang w:val="en-US" w:eastAsia="zh-CN" w:bidi="ar-SA"/>
              </w:rPr>
              <w:t>大写：人民币</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eastAsia="zh-CN" w:bidi="ar-SA"/>
              </w:rPr>
              <w:t>元整</w:t>
            </w:r>
          </w:p>
        </w:tc>
      </w:tr>
      <w:tr w14:paraId="2F3F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087" w:type="dxa"/>
            <w:gridSpan w:val="2"/>
            <w:vAlign w:val="center"/>
          </w:tcPr>
          <w:p w14:paraId="4919BDB5">
            <w:pPr>
              <w:widowControl/>
              <w:spacing w:line="360" w:lineRule="exact"/>
              <w:jc w:val="both"/>
              <w:outlineLvl w:val="9"/>
              <w:rPr>
                <w:rFonts w:hint="eastAsia"/>
                <w:color w:val="auto"/>
                <w:highlight w:val="none"/>
                <w:lang w:val="en-US" w:eastAsia="zh-CN"/>
              </w:rPr>
            </w:pPr>
            <w:r>
              <w:rPr>
                <w:rFonts w:hint="eastAsia"/>
                <w:color w:val="auto"/>
                <w:highlight w:val="none"/>
                <w:lang w:val="en-US" w:eastAsia="zh-CN"/>
              </w:rPr>
              <w:t>报价声明：</w:t>
            </w:r>
          </w:p>
          <w:p w14:paraId="7B7D3FCF">
            <w:pPr>
              <w:pStyle w:val="44"/>
              <w:outlineLvl w:val="9"/>
              <w:rPr>
                <w:rFonts w:hint="eastAsia"/>
                <w:color w:val="auto"/>
                <w:highlight w:val="none"/>
                <w:lang w:val="en-US" w:eastAsia="zh-CN"/>
              </w:rPr>
            </w:pPr>
          </w:p>
          <w:p w14:paraId="4A433918">
            <w:pPr>
              <w:outlineLvl w:val="9"/>
              <w:rPr>
                <w:rFonts w:hint="eastAsia"/>
                <w:color w:val="auto"/>
                <w:highlight w:val="none"/>
                <w:lang w:val="en-US" w:eastAsia="zh-CN"/>
              </w:rPr>
            </w:pPr>
          </w:p>
          <w:p w14:paraId="548E809F">
            <w:pPr>
              <w:pStyle w:val="44"/>
              <w:outlineLvl w:val="9"/>
              <w:rPr>
                <w:rFonts w:hint="eastAsia"/>
                <w:color w:val="auto"/>
                <w:highlight w:val="none"/>
                <w:lang w:val="en-US" w:eastAsia="zh-CN"/>
              </w:rPr>
            </w:pPr>
          </w:p>
          <w:p w14:paraId="05764810">
            <w:pPr>
              <w:outlineLvl w:val="9"/>
              <w:rPr>
                <w:rFonts w:hint="default"/>
                <w:color w:val="auto"/>
                <w:highlight w:val="none"/>
                <w:lang w:val="en-US" w:eastAsia="zh-CN"/>
              </w:rPr>
            </w:pPr>
          </w:p>
        </w:tc>
      </w:tr>
    </w:tbl>
    <w:p w14:paraId="7D774A20">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p>
    <w:p w14:paraId="0C4C7534">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1E49B3EB">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法定代表人（负责人）或授权代表（签字或盖章）：          </w:t>
      </w:r>
    </w:p>
    <w:p w14:paraId="0F86E93B">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33B846B4">
      <w:pPr>
        <w:pStyle w:val="15"/>
        <w:keepNext w:val="0"/>
        <w:keepLines w:val="0"/>
        <w:pageBreakBefore w:val="0"/>
        <w:widowControl w:val="0"/>
        <w:shd w:val="clear"/>
        <w:kinsoku/>
        <w:wordWrap/>
        <w:overflowPunct/>
        <w:topLinePunct w:val="0"/>
        <w:bidi w:val="0"/>
        <w:ind w:firstLine="0"/>
        <w:outlineLvl w:val="9"/>
        <w:rPr>
          <w:rFonts w:asciiTheme="majorEastAsia" w:hAnsiTheme="majorEastAsia" w:eastAsiaTheme="majorEastAsia"/>
          <w:color w:val="auto"/>
          <w:szCs w:val="21"/>
          <w:highlight w:val="none"/>
        </w:rPr>
      </w:pPr>
    </w:p>
    <w:p w14:paraId="2439808D">
      <w:pPr>
        <w:pStyle w:val="15"/>
        <w:keepNext w:val="0"/>
        <w:keepLines w:val="0"/>
        <w:pageBreakBefore w:val="0"/>
        <w:widowControl w:val="0"/>
        <w:shd w:val="clear"/>
        <w:kinsoku/>
        <w:wordWrap/>
        <w:overflowPunct/>
        <w:topLinePunct w:val="0"/>
        <w:bidi w:val="0"/>
        <w:ind w:firstLine="0"/>
        <w:outlineLvl w:val="9"/>
        <w:rPr>
          <w:rFonts w:asciiTheme="majorEastAsia" w:hAnsiTheme="majorEastAsia" w:eastAsiaTheme="majorEastAsia"/>
          <w:color w:val="auto"/>
          <w:szCs w:val="21"/>
          <w:highlight w:val="none"/>
        </w:rPr>
        <w:sectPr>
          <w:headerReference r:id="rId13" w:type="default"/>
          <w:footerReference r:id="rId14" w:type="default"/>
          <w:footerReference r:id="rId15"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602" w:charSpace="-1675"/>
        </w:sectPr>
      </w:pPr>
    </w:p>
    <w:p w14:paraId="20E5323B">
      <w:pPr>
        <w:keepNext w:val="0"/>
        <w:keepLines w:val="0"/>
        <w:pageBreakBefore w:val="0"/>
        <w:widowControl w:val="0"/>
        <w:shd w:val="clear"/>
        <w:kinsoku/>
        <w:wordWrap/>
        <w:overflowPunct/>
        <w:topLinePunct w:val="0"/>
        <w:bidi w:val="0"/>
        <w:spacing w:line="440" w:lineRule="exact"/>
        <w:jc w:val="left"/>
        <w:outlineLvl w:val="9"/>
        <w:rPr>
          <w:rFonts w:asciiTheme="majorEastAsia" w:hAnsiTheme="majorEastAsia" w:eastAsiaTheme="majorEastAsia"/>
          <w:b/>
          <w:color w:val="auto"/>
          <w:szCs w:val="21"/>
          <w:highlight w:val="none"/>
        </w:rPr>
      </w:pPr>
      <w:bookmarkStart w:id="47" w:name="_Toc476585060"/>
      <w:bookmarkStart w:id="48" w:name="_Toc25084"/>
      <w:r>
        <w:rPr>
          <w:rFonts w:asciiTheme="majorEastAsia" w:hAnsiTheme="majorEastAsia" w:eastAsiaTheme="majorEastAsia"/>
          <w:b/>
          <w:bCs/>
          <w:color w:val="auto"/>
          <w:szCs w:val="21"/>
          <w:highlight w:val="none"/>
        </w:rPr>
        <w:t>格式十</w:t>
      </w:r>
      <w:r>
        <w:rPr>
          <w:rFonts w:hint="eastAsia" w:asciiTheme="majorEastAsia" w:hAnsiTheme="majorEastAsia" w:eastAsiaTheme="majorEastAsia"/>
          <w:b/>
          <w:bCs/>
          <w:color w:val="auto"/>
          <w:szCs w:val="21"/>
          <w:highlight w:val="none"/>
          <w:lang w:eastAsia="zh-CN"/>
        </w:rPr>
        <w:t>一</w:t>
      </w:r>
      <w:r>
        <w:rPr>
          <w:rFonts w:asciiTheme="majorEastAsia" w:hAnsiTheme="majorEastAsia" w:eastAsiaTheme="majorEastAsia"/>
          <w:b/>
          <w:bCs/>
          <w:color w:val="auto"/>
          <w:szCs w:val="21"/>
          <w:highlight w:val="none"/>
        </w:rPr>
        <w:t>：</w:t>
      </w:r>
      <w:bookmarkEnd w:id="47"/>
    </w:p>
    <w:bookmarkEnd w:id="48"/>
    <w:p w14:paraId="22F7BEBD">
      <w:pPr>
        <w:pStyle w:val="20"/>
        <w:keepNext w:val="0"/>
        <w:keepLines w:val="0"/>
        <w:pageBreakBefore w:val="0"/>
        <w:widowControl w:val="0"/>
        <w:shd w:val="clear"/>
        <w:kinsoku/>
        <w:wordWrap/>
        <w:overflowPunct/>
        <w:topLinePunct w:val="0"/>
        <w:bidi w:val="0"/>
        <w:spacing w:line="360" w:lineRule="auto"/>
        <w:ind w:firstLine="0"/>
        <w:contextualSpacing/>
        <w:jc w:val="center"/>
        <w:outlineLvl w:val="9"/>
        <w:rPr>
          <w:rFonts w:hint="eastAsia" w:hAnsi="宋体"/>
          <w:b/>
          <w:color w:val="auto"/>
          <w:sz w:val="21"/>
          <w:szCs w:val="21"/>
          <w:highlight w:val="none"/>
        </w:rPr>
      </w:pPr>
      <w:r>
        <w:rPr>
          <w:rFonts w:hint="eastAsia" w:hAnsi="宋体"/>
          <w:b/>
          <w:color w:val="auto"/>
          <w:sz w:val="21"/>
          <w:szCs w:val="21"/>
          <w:highlight w:val="none"/>
        </w:rPr>
        <w:t>中小企业声明函</w:t>
      </w:r>
    </w:p>
    <w:p w14:paraId="34A09DA5">
      <w:pPr>
        <w:keepNext w:val="0"/>
        <w:keepLines w:val="0"/>
        <w:pageBreakBefore w:val="0"/>
        <w:widowControl w:val="0"/>
        <w:shd w:val="clear"/>
        <w:kinsoku/>
        <w:wordWrap/>
        <w:overflowPunct/>
        <w:topLinePunct w:val="0"/>
        <w:bidi w:val="0"/>
        <w:spacing w:line="360" w:lineRule="auto"/>
        <w:contextualSpacing/>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　　本公司（联合体）郑重声明，根据《政府采购促进中小企业发展管理办法》（财库[2020]46号）的规定，本公司（联合体）参加</w:t>
      </w:r>
      <w:r>
        <w:rPr>
          <w:rFonts w:hint="eastAsia" w:ascii="宋体" w:hAnsi="宋体" w:cs="宋体"/>
          <w:color w:val="auto"/>
          <w:kern w:val="0"/>
          <w:szCs w:val="21"/>
          <w:highlight w:val="none"/>
          <w:u w:val="single"/>
          <w:lang w:eastAsia="zh-CN"/>
        </w:rPr>
        <w:t>宁波市自然资源和规划局海曙分局</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lang w:eastAsia="zh-CN"/>
        </w:rPr>
        <w:t>海曙区2024年度耕地保护和粮食安全考核服务项目</w:t>
      </w:r>
      <w:r>
        <w:rPr>
          <w:rFonts w:hint="eastAsia" w:ascii="宋体" w:hAnsi="宋体" w:cs="宋体"/>
          <w:color w:val="auto"/>
          <w:kern w:val="0"/>
          <w:szCs w:val="21"/>
          <w:highlight w:val="none"/>
        </w:rPr>
        <w:t>采购活动，服务全部由符合政策要求的中小企业承接。相关企业（含联合体中的中小企业、签订分包意向协议的中小企业）的具体情况如下：</w:t>
      </w:r>
    </w:p>
    <w:p w14:paraId="56E8B52C">
      <w:pPr>
        <w:pStyle w:val="2"/>
        <w:keepNext w:val="0"/>
        <w:keepLines w:val="0"/>
        <w:pageBreakBefore w:val="0"/>
        <w:widowControl w:val="0"/>
        <w:shd w:val="clear"/>
        <w:kinsoku/>
        <w:wordWrap/>
        <w:overflowPunct/>
        <w:topLinePunct w:val="0"/>
        <w:bidi w:val="0"/>
        <w:spacing w:after="0" w:line="360" w:lineRule="auto"/>
        <w:ind w:firstLineChars="200"/>
        <w:contextualSpacing/>
        <w:outlineLvl w:val="9"/>
        <w:rPr>
          <w:rFonts w:hint="eastAsia" w:ascii="宋体" w:hAnsi="宋体" w:cs="宋体"/>
          <w:color w:val="auto"/>
          <w:kern w:val="0"/>
          <w:szCs w:val="21"/>
          <w:highlight w:val="none"/>
          <w:u w:val="single"/>
        </w:rPr>
      </w:pPr>
      <w:r>
        <w:rPr>
          <w:rFonts w:hint="eastAsia" w:ascii="宋体" w:hAnsi="宋体"/>
          <w:color w:val="auto"/>
          <w:szCs w:val="21"/>
          <w:highlight w:val="none"/>
        </w:rPr>
        <w:t>1、</w:t>
      </w:r>
      <w:r>
        <w:rPr>
          <w:rFonts w:hint="eastAsia" w:ascii="宋体" w:hAnsi="宋体" w:cs="宋体"/>
          <w:color w:val="auto"/>
          <w:kern w:val="0"/>
          <w:szCs w:val="21"/>
          <w:highlight w:val="none"/>
          <w:u w:val="single"/>
        </w:rPr>
        <w:t xml:space="preserve"> 耕地保护</w:t>
      </w:r>
    </w:p>
    <w:p w14:paraId="43FFBEAE">
      <w:pPr>
        <w:pStyle w:val="2"/>
        <w:keepNext w:val="0"/>
        <w:keepLines w:val="0"/>
        <w:pageBreakBefore w:val="0"/>
        <w:widowControl w:val="0"/>
        <w:shd w:val="clear"/>
        <w:kinsoku/>
        <w:wordWrap/>
        <w:overflowPunct/>
        <w:topLinePunct w:val="0"/>
        <w:bidi w:val="0"/>
        <w:spacing w:after="0" w:line="360" w:lineRule="auto"/>
        <w:ind w:firstLineChars="200"/>
        <w:contextualSpacing/>
        <w:outlineLvl w:val="9"/>
        <w:rPr>
          <w:rFonts w:ascii="宋体" w:hAnsi="宋体" w:cs="宋体"/>
          <w:color w:val="auto"/>
          <w:kern w:val="0"/>
          <w:szCs w:val="21"/>
          <w:highlight w:val="none"/>
        </w:rPr>
      </w:pPr>
      <w:r>
        <w:rPr>
          <w:rFonts w:hint="eastAsia" w:ascii="宋体" w:hAnsi="宋体" w:cs="宋体"/>
          <w:color w:val="auto"/>
          <w:kern w:val="0"/>
          <w:szCs w:val="21"/>
          <w:highlight w:val="none"/>
          <w:u w:val="single"/>
        </w:rPr>
        <w:t>和粮食</w:t>
      </w:r>
      <w:r>
        <w:rPr>
          <w:rFonts w:hint="eastAsia" w:ascii="宋体" w:hAnsi="宋体" w:cs="宋体"/>
          <w:color w:val="auto"/>
          <w:kern w:val="0"/>
          <w:szCs w:val="21"/>
          <w:highlight w:val="none"/>
          <w:u w:val="single"/>
          <w:lang w:eastAsia="zh-CN"/>
        </w:rPr>
        <w:t>安全考核服务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属于</w:t>
      </w:r>
      <w:r>
        <w:rPr>
          <w:rFonts w:hint="eastAsia"/>
          <w:color w:val="auto"/>
          <w:szCs w:val="21"/>
          <w:highlight w:val="none"/>
          <w:u w:val="single"/>
          <w:lang w:val="en-US" w:eastAsia="zh-CN"/>
        </w:rPr>
        <w:t xml:space="preserve"> </w:t>
      </w:r>
      <w:r>
        <w:rPr>
          <w:rFonts w:hint="eastAsia" w:ascii="宋体" w:hAnsi="宋体"/>
          <w:b/>
          <w:bCs/>
          <w:color w:val="auto"/>
          <w:szCs w:val="21"/>
          <w:highlight w:val="none"/>
          <w:u w:val="single"/>
          <w:lang w:bidi="ar"/>
        </w:rPr>
        <w:t>其他未列明行业</w:t>
      </w:r>
      <w:r>
        <w:rPr>
          <w:rFonts w:hint="eastAsia"/>
          <w:color w:val="auto"/>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kern w:val="0"/>
          <w:sz w:val="21"/>
          <w:szCs w:val="21"/>
          <w:highlight w:val="none"/>
          <w:lang w:val="en-US" w:eastAsia="zh-CN" w:bidi="ar"/>
        </w:rPr>
        <w:t>承接</w:t>
      </w:r>
      <w:r>
        <w:rPr>
          <w:rFonts w:hint="eastAsia" w:ascii="宋体" w:hAnsi="宋体" w:cs="宋体"/>
          <w:color w:val="auto"/>
          <w:kern w:val="0"/>
          <w:szCs w:val="21"/>
          <w:highlight w:val="none"/>
        </w:rPr>
        <w:t>企业为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（中型企业、小型企业、微型企业）；</w:t>
      </w:r>
    </w:p>
    <w:p w14:paraId="1DDB6495">
      <w:pPr>
        <w:pStyle w:val="2"/>
        <w:keepNext w:val="0"/>
        <w:keepLines w:val="0"/>
        <w:pageBreakBefore w:val="0"/>
        <w:widowControl w:val="0"/>
        <w:shd w:val="clear"/>
        <w:kinsoku/>
        <w:wordWrap/>
        <w:overflowPunct/>
        <w:topLinePunct w:val="0"/>
        <w:bidi w:val="0"/>
        <w:spacing w:after="0" w:line="360" w:lineRule="auto"/>
        <w:ind w:firstLineChars="200"/>
        <w:contextualSpacing/>
        <w:outlineLvl w:val="9"/>
        <w:rPr>
          <w:rFonts w:ascii="宋体" w:hAnsi="宋体" w:cs="宋体"/>
          <w:b/>
          <w:bCs/>
          <w:color w:val="auto"/>
          <w:kern w:val="0"/>
          <w:szCs w:val="21"/>
          <w:highlight w:val="none"/>
        </w:rPr>
      </w:pPr>
      <w:r>
        <w:rPr>
          <w:rFonts w:hint="eastAsia" w:ascii="宋体" w:hAnsi="宋体" w:cs="宋体"/>
          <w:b/>
          <w:bCs/>
          <w:color w:val="auto"/>
          <w:kern w:val="0"/>
          <w:szCs w:val="21"/>
          <w:highlight w:val="none"/>
        </w:rPr>
        <w:t>以上企业，不属于大企业的分支机构，不存在控股股东为大企业的情形，也不存在与大企业的负责人为同一人的情形。</w:t>
      </w:r>
    </w:p>
    <w:p w14:paraId="46BC243F">
      <w:pPr>
        <w:pStyle w:val="2"/>
        <w:keepNext w:val="0"/>
        <w:keepLines w:val="0"/>
        <w:pageBreakBefore w:val="0"/>
        <w:widowControl w:val="0"/>
        <w:shd w:val="clear"/>
        <w:kinsoku/>
        <w:wordWrap/>
        <w:overflowPunct/>
        <w:topLinePunct w:val="0"/>
        <w:bidi w:val="0"/>
        <w:spacing w:after="0" w:line="360" w:lineRule="auto"/>
        <w:ind w:firstLineChars="200"/>
        <w:contextualSpacing/>
        <w:outlineLvl w:val="9"/>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14:paraId="3AEEFCF6">
      <w:pPr>
        <w:pStyle w:val="2"/>
        <w:keepNext w:val="0"/>
        <w:keepLines w:val="0"/>
        <w:pageBreakBefore w:val="0"/>
        <w:widowControl w:val="0"/>
        <w:shd w:val="clear"/>
        <w:kinsoku/>
        <w:wordWrap/>
        <w:overflowPunct/>
        <w:topLinePunct w:val="0"/>
        <w:bidi w:val="0"/>
        <w:spacing w:after="0" w:line="360" w:lineRule="auto"/>
        <w:ind w:firstLine="210"/>
        <w:contextualSpacing/>
        <w:outlineLvl w:val="9"/>
        <w:rPr>
          <w:rFonts w:ascii="宋体" w:hAnsi="宋体" w:cs="宋体"/>
          <w:color w:val="auto"/>
          <w:kern w:val="0"/>
          <w:szCs w:val="21"/>
          <w:highlight w:val="none"/>
        </w:rPr>
      </w:pPr>
    </w:p>
    <w:p w14:paraId="6470B71A">
      <w:pPr>
        <w:pStyle w:val="2"/>
        <w:keepNext w:val="0"/>
        <w:keepLines w:val="0"/>
        <w:pageBreakBefore w:val="0"/>
        <w:widowControl w:val="0"/>
        <w:shd w:val="clear"/>
        <w:kinsoku/>
        <w:wordWrap/>
        <w:overflowPunct/>
        <w:topLinePunct w:val="0"/>
        <w:bidi w:val="0"/>
        <w:spacing w:after="0" w:line="360" w:lineRule="auto"/>
        <w:ind w:firstLine="210"/>
        <w:contextualSpacing/>
        <w:outlineLvl w:val="9"/>
        <w:rPr>
          <w:rFonts w:ascii="宋体" w:hAnsi="宋体" w:cs="宋体"/>
          <w:color w:val="auto"/>
          <w:kern w:val="0"/>
          <w:szCs w:val="21"/>
          <w:highlight w:val="none"/>
        </w:rPr>
      </w:pPr>
    </w:p>
    <w:p w14:paraId="0CB63827">
      <w:pPr>
        <w:pStyle w:val="2"/>
        <w:keepNext w:val="0"/>
        <w:keepLines w:val="0"/>
        <w:pageBreakBefore w:val="0"/>
        <w:widowControl w:val="0"/>
        <w:shd w:val="clear"/>
        <w:kinsoku/>
        <w:wordWrap/>
        <w:overflowPunct/>
        <w:topLinePunct w:val="0"/>
        <w:bidi w:val="0"/>
        <w:spacing w:after="0" w:line="360" w:lineRule="auto"/>
        <w:ind w:firstLine="210"/>
        <w:contextualSpacing/>
        <w:outlineLvl w:val="9"/>
        <w:rPr>
          <w:rFonts w:ascii="宋体" w:hAnsi="宋体" w:cs="宋体"/>
          <w:color w:val="auto"/>
          <w:kern w:val="0"/>
          <w:szCs w:val="21"/>
          <w:highlight w:val="none"/>
        </w:rPr>
      </w:pPr>
      <w:r>
        <w:rPr>
          <w:rFonts w:hint="eastAsia" w:ascii="宋体" w:hAnsi="宋体" w:cs="宋体"/>
          <w:color w:val="auto"/>
          <w:kern w:val="0"/>
          <w:szCs w:val="21"/>
          <w:highlight w:val="none"/>
        </w:rPr>
        <w:t>企业名称（盖章）：</w:t>
      </w:r>
    </w:p>
    <w:p w14:paraId="23AAC2DA">
      <w:pPr>
        <w:pStyle w:val="2"/>
        <w:keepNext w:val="0"/>
        <w:keepLines w:val="0"/>
        <w:pageBreakBefore w:val="0"/>
        <w:widowControl w:val="0"/>
        <w:shd w:val="clear"/>
        <w:kinsoku/>
        <w:wordWrap/>
        <w:overflowPunct/>
        <w:topLinePunct w:val="0"/>
        <w:bidi w:val="0"/>
        <w:spacing w:after="0" w:line="360" w:lineRule="auto"/>
        <w:ind w:firstLine="210"/>
        <w:contextualSpacing/>
        <w:outlineLvl w:val="9"/>
        <w:rPr>
          <w:rFonts w:ascii="宋体" w:hAnsi="宋体" w:cs="宋体"/>
          <w:color w:val="auto"/>
          <w:kern w:val="0"/>
          <w:szCs w:val="21"/>
          <w:highlight w:val="none"/>
        </w:rPr>
      </w:pPr>
      <w:r>
        <w:rPr>
          <w:rFonts w:hint="eastAsia" w:ascii="宋体" w:hAnsi="宋体" w:cs="宋体"/>
          <w:color w:val="auto"/>
          <w:kern w:val="0"/>
          <w:szCs w:val="21"/>
          <w:highlight w:val="none"/>
        </w:rPr>
        <w:t>日期：</w:t>
      </w:r>
    </w:p>
    <w:p w14:paraId="5E7900E0">
      <w:pPr>
        <w:pStyle w:val="2"/>
        <w:keepNext w:val="0"/>
        <w:keepLines w:val="0"/>
        <w:pageBreakBefore w:val="0"/>
        <w:widowControl w:val="0"/>
        <w:shd w:val="clear"/>
        <w:kinsoku/>
        <w:wordWrap/>
        <w:overflowPunct/>
        <w:topLinePunct w:val="0"/>
        <w:bidi w:val="0"/>
        <w:spacing w:after="0" w:line="360" w:lineRule="auto"/>
        <w:ind w:firstLine="210"/>
        <w:contextualSpacing/>
        <w:outlineLvl w:val="9"/>
        <w:rPr>
          <w:rFonts w:ascii="宋体" w:hAnsi="宋体" w:cs="宋体"/>
          <w:color w:val="auto"/>
          <w:kern w:val="0"/>
          <w:szCs w:val="21"/>
          <w:highlight w:val="none"/>
        </w:rPr>
      </w:pPr>
    </w:p>
    <w:p w14:paraId="27E42B44">
      <w:pPr>
        <w:pStyle w:val="2"/>
        <w:keepNext w:val="0"/>
        <w:keepLines w:val="0"/>
        <w:pageBreakBefore w:val="0"/>
        <w:widowControl w:val="0"/>
        <w:shd w:val="clear"/>
        <w:kinsoku/>
        <w:wordWrap/>
        <w:overflowPunct/>
        <w:topLinePunct w:val="0"/>
        <w:bidi w:val="0"/>
        <w:spacing w:after="0" w:line="360" w:lineRule="auto"/>
        <w:ind w:firstLine="210"/>
        <w:contextualSpacing/>
        <w:outlineLvl w:val="9"/>
        <w:rPr>
          <w:rFonts w:ascii="宋体" w:hAnsi="宋体" w:cs="宋体"/>
          <w:color w:val="auto"/>
          <w:kern w:val="0"/>
          <w:szCs w:val="21"/>
          <w:highlight w:val="none"/>
        </w:rPr>
      </w:pPr>
      <w:r>
        <w:rPr>
          <w:rFonts w:hint="eastAsia" w:ascii="宋体" w:hAnsi="宋体" w:cs="宋体"/>
          <w:color w:val="auto"/>
          <w:kern w:val="0"/>
          <w:szCs w:val="21"/>
          <w:highlight w:val="none"/>
        </w:rPr>
        <w:t>注：从业人员、营业收入、资产总额填报上一年度数据，无上一年度数据的新成立企业可不填报。</w:t>
      </w:r>
    </w:p>
    <w:p w14:paraId="22418F71">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b/>
          <w:bCs/>
          <w:color w:val="auto"/>
          <w:szCs w:val="21"/>
          <w:highlight w:val="none"/>
        </w:rPr>
      </w:pPr>
    </w:p>
    <w:p w14:paraId="56F9DEFF">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风险提示：</w:t>
      </w:r>
    </w:p>
    <w:p w14:paraId="015E9816">
      <w:pPr>
        <w:keepNext w:val="0"/>
        <w:keepLines w:val="0"/>
        <w:pageBreakBefore w:val="0"/>
        <w:widowControl w:val="0"/>
        <w:shd w:val="clear"/>
        <w:kinsoku/>
        <w:wordWrap/>
        <w:overflowPunct/>
        <w:topLinePunct w:val="0"/>
        <w:bidi w:val="0"/>
        <w:spacing w:line="440" w:lineRule="exact"/>
        <w:ind w:firstLine="360" w:firstLineChars="200"/>
        <w:outlineLvl w:val="9"/>
        <w:rPr>
          <w:rFonts w:asciiTheme="majorEastAsia" w:hAnsiTheme="majorEastAsia" w:eastAsiaTheme="majorEastAsia"/>
          <w:b w:val="0"/>
          <w:bCs w:val="0"/>
          <w:color w:val="auto"/>
          <w:sz w:val="18"/>
          <w:szCs w:val="18"/>
          <w:highlight w:val="none"/>
        </w:rPr>
      </w:pPr>
      <w:r>
        <w:rPr>
          <w:rFonts w:hint="eastAsia" w:asciiTheme="majorEastAsia" w:hAnsiTheme="majorEastAsia" w:eastAsiaTheme="majorEastAsia"/>
          <w:b w:val="0"/>
          <w:bCs w:val="0"/>
          <w:color w:val="auto"/>
          <w:sz w:val="18"/>
          <w:szCs w:val="18"/>
          <w:highlight w:val="none"/>
        </w:rPr>
        <w:t>1、《中小企业声明函》由参加投标的供应商提交并对其真实性负责。</w:t>
      </w:r>
    </w:p>
    <w:p w14:paraId="21B909BC">
      <w:pPr>
        <w:keepNext w:val="0"/>
        <w:keepLines w:val="0"/>
        <w:pageBreakBefore w:val="0"/>
        <w:widowControl w:val="0"/>
        <w:shd w:val="clear"/>
        <w:kinsoku/>
        <w:wordWrap/>
        <w:overflowPunct/>
        <w:topLinePunct w:val="0"/>
        <w:bidi w:val="0"/>
        <w:spacing w:line="440" w:lineRule="exact"/>
        <w:ind w:firstLine="360" w:firstLineChars="200"/>
        <w:outlineLvl w:val="9"/>
        <w:rPr>
          <w:rFonts w:asciiTheme="majorEastAsia" w:hAnsiTheme="majorEastAsia" w:eastAsiaTheme="majorEastAsia"/>
          <w:b w:val="0"/>
          <w:bCs w:val="0"/>
          <w:color w:val="auto"/>
          <w:sz w:val="18"/>
          <w:szCs w:val="18"/>
          <w:highlight w:val="none"/>
        </w:rPr>
      </w:pPr>
      <w:r>
        <w:rPr>
          <w:rFonts w:hint="eastAsia" w:asciiTheme="majorEastAsia" w:hAnsiTheme="majorEastAsia" w:eastAsiaTheme="majorEastAsia"/>
          <w:b w:val="0"/>
          <w:bCs w:val="0"/>
          <w:color w:val="auto"/>
          <w:sz w:val="18"/>
          <w:szCs w:val="18"/>
          <w:highlight w:val="none"/>
        </w:rPr>
        <w:t>2、中标、成交供应商享受《政府采购促进中小企业发展管理办法》（财库[2020]46号）规定的中小企业扶持政策的，</w:t>
      </w:r>
      <w:r>
        <w:rPr>
          <w:rFonts w:hint="eastAsia" w:asciiTheme="majorEastAsia" w:hAnsiTheme="majorEastAsia" w:eastAsiaTheme="majorEastAsia"/>
          <w:b/>
          <w:bCs/>
          <w:color w:val="auto"/>
          <w:sz w:val="18"/>
          <w:szCs w:val="18"/>
          <w:highlight w:val="none"/>
        </w:rPr>
        <w:t>采购人、采购代理机构应当随中标、成交结果公开中标、成交供应商的《中小企业声明函》</w:t>
      </w:r>
      <w:r>
        <w:rPr>
          <w:rFonts w:hint="eastAsia" w:asciiTheme="majorEastAsia" w:hAnsiTheme="majorEastAsia" w:eastAsiaTheme="majorEastAsia"/>
          <w:b w:val="0"/>
          <w:bCs w:val="0"/>
          <w:color w:val="auto"/>
          <w:sz w:val="18"/>
          <w:szCs w:val="18"/>
          <w:highlight w:val="none"/>
        </w:rPr>
        <w:t>。</w:t>
      </w:r>
    </w:p>
    <w:p w14:paraId="1EDF3BB5">
      <w:pPr>
        <w:keepNext w:val="0"/>
        <w:keepLines w:val="0"/>
        <w:pageBreakBefore w:val="0"/>
        <w:widowControl w:val="0"/>
        <w:shd w:val="clear"/>
        <w:kinsoku/>
        <w:wordWrap/>
        <w:overflowPunct/>
        <w:topLinePunct w:val="0"/>
        <w:bidi w:val="0"/>
        <w:spacing w:line="440" w:lineRule="exact"/>
        <w:ind w:firstLine="360" w:firstLineChars="200"/>
        <w:outlineLvl w:val="9"/>
        <w:rPr>
          <w:rFonts w:eastAsiaTheme="majorEastAsia"/>
          <w:color w:val="auto"/>
          <w:sz w:val="18"/>
          <w:szCs w:val="18"/>
          <w:highlight w:val="none"/>
        </w:rPr>
      </w:pPr>
      <w:r>
        <w:rPr>
          <w:rFonts w:hint="eastAsia" w:asciiTheme="majorEastAsia" w:hAnsiTheme="majorEastAsia" w:eastAsiaTheme="majorEastAsia"/>
          <w:b w:val="0"/>
          <w:bCs w:val="0"/>
          <w:color w:val="auto"/>
          <w:sz w:val="18"/>
          <w:szCs w:val="18"/>
          <w:highlight w:val="none"/>
        </w:rPr>
        <w:t>3、供应商按照《政府采购促进中小企业发展管理办法》（财库[2020]46号）规定提供声明函内容不实的，属于</w:t>
      </w:r>
      <w:r>
        <w:rPr>
          <w:rFonts w:hint="eastAsia" w:asciiTheme="majorEastAsia" w:hAnsiTheme="majorEastAsia" w:eastAsiaTheme="majorEastAsia"/>
          <w:b/>
          <w:bCs/>
          <w:color w:val="auto"/>
          <w:sz w:val="18"/>
          <w:szCs w:val="18"/>
          <w:highlight w:val="none"/>
        </w:rPr>
        <w:t>提供虚假材料谋取中标、成交</w:t>
      </w:r>
      <w:r>
        <w:rPr>
          <w:rFonts w:hint="eastAsia" w:asciiTheme="majorEastAsia" w:hAnsiTheme="majorEastAsia" w:eastAsiaTheme="majorEastAsia"/>
          <w:b w:val="0"/>
          <w:bCs w:val="0"/>
          <w:color w:val="auto"/>
          <w:sz w:val="18"/>
          <w:szCs w:val="18"/>
          <w:highlight w:val="none"/>
        </w:rPr>
        <w:t>，依照《中华人民共和国政府采购法》等国家有关规定追究相应责任。</w:t>
      </w:r>
    </w:p>
    <w:p w14:paraId="21360523">
      <w:pPr>
        <w:keepNext w:val="0"/>
        <w:keepLines w:val="0"/>
        <w:pageBreakBefore w:val="0"/>
        <w:widowControl w:val="0"/>
        <w:shd w:val="clear"/>
        <w:kinsoku/>
        <w:wordWrap/>
        <w:overflowPunct/>
        <w:topLinePunct w:val="0"/>
        <w:bidi w:val="0"/>
        <w:outlineLvl w:val="9"/>
        <w:rPr>
          <w:rFonts w:hint="eastAsia" w:hAnsi="宋体"/>
          <w:b/>
          <w:color w:val="auto"/>
          <w:sz w:val="21"/>
          <w:szCs w:val="21"/>
          <w:highlight w:val="none"/>
        </w:rPr>
      </w:pPr>
      <w:r>
        <w:rPr>
          <w:rFonts w:hint="eastAsia" w:hAnsi="宋体"/>
          <w:b/>
          <w:color w:val="auto"/>
          <w:sz w:val="21"/>
          <w:szCs w:val="21"/>
          <w:highlight w:val="none"/>
        </w:rPr>
        <w:br w:type="page"/>
      </w:r>
    </w:p>
    <w:p w14:paraId="66FD1450">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格式十</w:t>
      </w:r>
      <w:r>
        <w:rPr>
          <w:rFonts w:hint="eastAsia" w:asciiTheme="majorEastAsia" w:hAnsiTheme="majorEastAsia" w:eastAsiaTheme="majorEastAsia"/>
          <w:b/>
          <w:color w:val="auto"/>
          <w:szCs w:val="21"/>
          <w:highlight w:val="none"/>
          <w:lang w:eastAsia="zh-CN"/>
        </w:rPr>
        <w:t>二</w:t>
      </w:r>
      <w:r>
        <w:rPr>
          <w:rFonts w:asciiTheme="majorEastAsia" w:hAnsiTheme="majorEastAsia" w:eastAsiaTheme="majorEastAsia"/>
          <w:b/>
          <w:color w:val="auto"/>
          <w:szCs w:val="21"/>
          <w:highlight w:val="none"/>
        </w:rPr>
        <w:t>：</w:t>
      </w:r>
    </w:p>
    <w:p w14:paraId="5FDB9D75">
      <w:pPr>
        <w:pStyle w:val="20"/>
        <w:keepNext w:val="0"/>
        <w:keepLines w:val="0"/>
        <w:pageBreakBefore w:val="0"/>
        <w:widowControl w:val="0"/>
        <w:shd w:val="clear"/>
        <w:kinsoku/>
        <w:wordWrap/>
        <w:overflowPunct/>
        <w:topLinePunct w:val="0"/>
        <w:bidi w:val="0"/>
        <w:spacing w:line="440" w:lineRule="exact"/>
        <w:ind w:firstLine="0"/>
        <w:jc w:val="center"/>
        <w:outlineLvl w:val="9"/>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残疾人福利性单位声明函</w:t>
      </w:r>
    </w:p>
    <w:p w14:paraId="02392177">
      <w:pPr>
        <w:keepNext w:val="0"/>
        <w:keepLines w:val="0"/>
        <w:pageBreakBefore w:val="0"/>
        <w:widowControl w:val="0"/>
        <w:shd w:val="clear"/>
        <w:kinsoku/>
        <w:wordWrap/>
        <w:overflowPunct/>
        <w:topLinePunct w:val="0"/>
        <w:bidi w:val="0"/>
        <w:spacing w:line="440" w:lineRule="exact"/>
        <w:jc w:val="left"/>
        <w:outlineLvl w:val="9"/>
        <w:rPr>
          <w:rFonts w:asciiTheme="majorEastAsia" w:hAnsiTheme="majorEastAsia" w:eastAsiaTheme="majorEastAsia"/>
          <w:color w:val="auto"/>
          <w:kern w:val="0"/>
          <w:szCs w:val="21"/>
          <w:highlight w:val="none"/>
        </w:rPr>
      </w:pPr>
    </w:p>
    <w:p w14:paraId="52E7B4C7">
      <w:pPr>
        <w:keepNext w:val="0"/>
        <w:keepLines w:val="0"/>
        <w:pageBreakBefore w:val="0"/>
        <w:widowControl w:val="0"/>
        <w:shd w:val="clear"/>
        <w:kinsoku/>
        <w:wordWrap/>
        <w:overflowPunct/>
        <w:topLinePunct w:val="0"/>
        <w:bidi w:val="0"/>
        <w:spacing w:line="440" w:lineRule="exact"/>
        <w:ind w:firstLine="420" w:firstLineChars="200"/>
        <w:jc w:val="left"/>
        <w:outlineLvl w:val="9"/>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1.本单位郑重声明，根据《财政部 民政部 中国残疾人联合会关于促进残疾人就业政府采购政策的通知》（财库〔2017〕141号）的规定，本单位</w:t>
      </w:r>
      <w:r>
        <w:rPr>
          <w:rFonts w:asciiTheme="majorEastAsia" w:hAnsiTheme="majorEastAsia" w:eastAsiaTheme="majorEastAsia"/>
          <w:color w:val="auto"/>
          <w:szCs w:val="21"/>
          <w:highlight w:val="none"/>
        </w:rPr>
        <w:t>_____（填写：</w:t>
      </w:r>
      <w:r>
        <w:rPr>
          <w:rFonts w:asciiTheme="majorEastAsia" w:hAnsiTheme="majorEastAsia" w:eastAsiaTheme="majorEastAsia"/>
          <w:color w:val="auto"/>
          <w:kern w:val="0"/>
          <w:szCs w:val="21"/>
          <w:highlight w:val="none"/>
        </w:rPr>
        <w:t>符合或者不符合</w:t>
      </w:r>
      <w:r>
        <w:rPr>
          <w:rFonts w:asciiTheme="majorEastAsia" w:hAnsiTheme="majorEastAsia" w:eastAsiaTheme="majorEastAsia"/>
          <w:color w:val="auto"/>
          <w:szCs w:val="21"/>
          <w:highlight w:val="none"/>
        </w:rPr>
        <w:t>）</w:t>
      </w:r>
      <w:r>
        <w:rPr>
          <w:rFonts w:asciiTheme="majorEastAsia" w:hAnsiTheme="majorEastAsia" w:eastAsiaTheme="majorEastAsia"/>
          <w:color w:val="auto"/>
          <w:kern w:val="0"/>
          <w:szCs w:val="21"/>
          <w:highlight w:val="none"/>
        </w:rPr>
        <w:t>条件的残疾人福利性单位，且本单位参加</w:t>
      </w:r>
      <w:r>
        <w:rPr>
          <w:rFonts w:asciiTheme="majorEastAsia" w:hAnsiTheme="majorEastAsia" w:eastAsiaTheme="majorEastAsia"/>
          <w:color w:val="auto"/>
          <w:szCs w:val="21"/>
          <w:highlight w:val="none"/>
        </w:rPr>
        <w:t>_____</w:t>
      </w:r>
      <w:r>
        <w:rPr>
          <w:rFonts w:asciiTheme="majorEastAsia" w:hAnsiTheme="majorEastAsia" w:eastAsiaTheme="majorEastAsia"/>
          <w:color w:val="auto"/>
          <w:kern w:val="0"/>
          <w:szCs w:val="21"/>
          <w:highlight w:val="none"/>
        </w:rPr>
        <w:t>单位的</w:t>
      </w:r>
      <w:r>
        <w:rPr>
          <w:rFonts w:asciiTheme="majorEastAsia" w:hAnsiTheme="majorEastAsia" w:eastAsiaTheme="majorEastAsia"/>
          <w:color w:val="auto"/>
          <w:szCs w:val="21"/>
          <w:highlight w:val="none"/>
        </w:rPr>
        <w:t>_____</w:t>
      </w:r>
      <w:r>
        <w:rPr>
          <w:rFonts w:asciiTheme="majorEastAsia" w:hAnsiTheme="majorEastAsia" w:eastAsiaTheme="majorEastAsia"/>
          <w:color w:val="auto"/>
          <w:kern w:val="0"/>
          <w:szCs w:val="21"/>
          <w:highlight w:val="none"/>
        </w:rPr>
        <w:t>项目采购活动提供本单位制造的货物（由本单位承担工程/提供服务），或者提供其他残疾人福利性单位制造的货物（不包括使用非残疾人福利性单位注册商标的货物）。</w:t>
      </w:r>
    </w:p>
    <w:p w14:paraId="25AE864C">
      <w:pPr>
        <w:keepNext w:val="0"/>
        <w:keepLines w:val="0"/>
        <w:pageBreakBefore w:val="0"/>
        <w:widowControl w:val="0"/>
        <w:shd w:val="clear"/>
        <w:kinsoku/>
        <w:wordWrap/>
        <w:overflowPunct/>
        <w:topLinePunct w:val="0"/>
        <w:bidi w:val="0"/>
        <w:spacing w:line="440" w:lineRule="exact"/>
        <w:ind w:firstLine="420" w:firstLineChars="200"/>
        <w:jc w:val="left"/>
        <w:outlineLvl w:val="9"/>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2.本单位对上述声明的真实性负责。如有虚假，将依法承担相应责任。</w:t>
      </w:r>
    </w:p>
    <w:p w14:paraId="2055813D">
      <w:pPr>
        <w:keepNext w:val="0"/>
        <w:keepLines w:val="0"/>
        <w:pageBreakBefore w:val="0"/>
        <w:widowControl w:val="0"/>
        <w:shd w:val="clear"/>
        <w:kinsoku/>
        <w:wordWrap/>
        <w:overflowPunct/>
        <w:topLinePunct w:val="0"/>
        <w:bidi w:val="0"/>
        <w:spacing w:line="440" w:lineRule="exact"/>
        <w:jc w:val="left"/>
        <w:outlineLvl w:val="9"/>
        <w:rPr>
          <w:rFonts w:asciiTheme="majorEastAsia" w:hAnsiTheme="majorEastAsia" w:eastAsiaTheme="majorEastAsia"/>
          <w:color w:val="auto"/>
          <w:kern w:val="0"/>
          <w:szCs w:val="21"/>
          <w:highlight w:val="none"/>
        </w:rPr>
      </w:pPr>
    </w:p>
    <w:p w14:paraId="270DD6E9">
      <w:pPr>
        <w:keepNext w:val="0"/>
        <w:keepLines w:val="0"/>
        <w:pageBreakBefore w:val="0"/>
        <w:widowControl w:val="0"/>
        <w:shd w:val="clear"/>
        <w:tabs>
          <w:tab w:val="left" w:pos="4860"/>
        </w:tabs>
        <w:kinsoku/>
        <w:wordWrap/>
        <w:overflowPunct/>
        <w:topLinePunct w:val="0"/>
        <w:bidi w:val="0"/>
        <w:spacing w:line="440" w:lineRule="exact"/>
        <w:ind w:right="1560" w:firstLine="420" w:firstLineChars="200"/>
        <w:jc w:val="center"/>
        <w:outlineLvl w:val="9"/>
        <w:rPr>
          <w:rFonts w:asciiTheme="majorEastAsia" w:hAnsiTheme="majorEastAsia" w:eastAsiaTheme="majorEastAsia"/>
          <w:color w:val="auto"/>
          <w:spacing w:val="6"/>
          <w:szCs w:val="21"/>
          <w:highlight w:val="none"/>
        </w:rPr>
      </w:pPr>
      <w:r>
        <w:rPr>
          <w:rFonts w:asciiTheme="majorEastAsia" w:hAnsiTheme="majorEastAsia" w:eastAsiaTheme="majorEastAsia"/>
          <w:color w:val="auto"/>
          <w:kern w:val="0"/>
          <w:szCs w:val="21"/>
          <w:highlight w:val="none"/>
        </w:rPr>
        <w:t xml:space="preserve">                                       </w:t>
      </w:r>
      <w:r>
        <w:rPr>
          <w:rFonts w:asciiTheme="majorEastAsia" w:hAnsiTheme="majorEastAsia" w:eastAsiaTheme="majorEastAsia"/>
          <w:color w:val="auto"/>
          <w:spacing w:val="6"/>
          <w:szCs w:val="21"/>
          <w:highlight w:val="none"/>
        </w:rPr>
        <w:t xml:space="preserve">企业名称（盖章）： </w:t>
      </w:r>
    </w:p>
    <w:p w14:paraId="57017117">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 xml:space="preserve">                                        日  期：</w:t>
      </w:r>
    </w:p>
    <w:p w14:paraId="668C5B62">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color w:val="auto"/>
          <w:spacing w:val="6"/>
          <w:szCs w:val="21"/>
          <w:highlight w:val="none"/>
        </w:rPr>
      </w:pPr>
    </w:p>
    <w:p w14:paraId="441F6511">
      <w:pPr>
        <w:keepNext w:val="0"/>
        <w:keepLines w:val="0"/>
        <w:pageBreakBefore w:val="0"/>
        <w:widowControl w:val="0"/>
        <w:shd w:val="clear"/>
        <w:kinsoku/>
        <w:wordWrap/>
        <w:overflowPunct/>
        <w:topLinePunct w:val="0"/>
        <w:bidi w:val="0"/>
        <w:spacing w:line="440" w:lineRule="exact"/>
        <w:outlineLvl w:val="9"/>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供应商如为非残疾人福利性单位的，可不提供本声明函。</w:t>
      </w:r>
    </w:p>
    <w:p w14:paraId="4D6FC053">
      <w:pPr>
        <w:keepNext w:val="0"/>
        <w:keepLines w:val="0"/>
        <w:pageBreakBefore w:val="0"/>
        <w:widowControl w:val="0"/>
        <w:shd w:val="clear"/>
        <w:kinsoku/>
        <w:wordWrap/>
        <w:overflowPunct/>
        <w:topLinePunct w:val="0"/>
        <w:bidi w:val="0"/>
        <w:adjustRightInd w:val="0"/>
        <w:snapToGrid w:val="0"/>
        <w:spacing w:line="440" w:lineRule="exact"/>
        <w:jc w:val="left"/>
        <w:outlineLvl w:val="9"/>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注：</w:t>
      </w:r>
    </w:p>
    <w:p w14:paraId="550146A3">
      <w:pPr>
        <w:keepNext w:val="0"/>
        <w:keepLines w:val="0"/>
        <w:pageBreakBefore w:val="0"/>
        <w:widowControl w:val="0"/>
        <w:shd w:val="clear"/>
        <w:kinsoku/>
        <w:wordWrap/>
        <w:overflowPunct/>
        <w:topLinePunct w:val="0"/>
        <w:bidi w:val="0"/>
        <w:adjustRightInd w:val="0"/>
        <w:snapToGrid w:val="0"/>
        <w:spacing w:line="440" w:lineRule="exact"/>
        <w:jc w:val="left"/>
        <w:outlineLvl w:val="9"/>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1、如供应商为非残疾人福利性单位的可不提供本声明函。</w:t>
      </w:r>
    </w:p>
    <w:p w14:paraId="66138132">
      <w:pPr>
        <w:keepNext w:val="0"/>
        <w:keepLines w:val="0"/>
        <w:pageBreakBefore w:val="0"/>
        <w:widowControl w:val="0"/>
        <w:shd w:val="clear"/>
        <w:kinsoku/>
        <w:wordWrap/>
        <w:overflowPunct/>
        <w:topLinePunct w:val="0"/>
        <w:bidi w:val="0"/>
        <w:adjustRightInd w:val="0"/>
        <w:snapToGrid w:val="0"/>
        <w:spacing w:line="440" w:lineRule="exact"/>
        <w:jc w:val="left"/>
        <w:outlineLvl w:val="9"/>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2、享受政府采购支持政策的残疾人福利性单位应当同时满足以下条件：</w:t>
      </w:r>
    </w:p>
    <w:p w14:paraId="7D8544BA">
      <w:pPr>
        <w:keepNext w:val="0"/>
        <w:keepLines w:val="0"/>
        <w:pageBreakBefore w:val="0"/>
        <w:widowControl w:val="0"/>
        <w:shd w:val="clear"/>
        <w:kinsoku/>
        <w:wordWrap/>
        <w:overflowPunct/>
        <w:topLinePunct w:val="0"/>
        <w:bidi w:val="0"/>
        <w:adjustRightInd w:val="0"/>
        <w:snapToGrid w:val="0"/>
        <w:spacing w:line="440" w:lineRule="exact"/>
        <w:jc w:val="left"/>
        <w:outlineLvl w:val="9"/>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（一）安置的残疾人占本单位在职职工人数的比例不低于25%（含25%），并且安置的残疾人人数不少于10人（含10人）；</w:t>
      </w:r>
    </w:p>
    <w:p w14:paraId="58F87B38">
      <w:pPr>
        <w:keepNext w:val="0"/>
        <w:keepLines w:val="0"/>
        <w:pageBreakBefore w:val="0"/>
        <w:widowControl w:val="0"/>
        <w:shd w:val="clear"/>
        <w:kinsoku/>
        <w:wordWrap/>
        <w:overflowPunct/>
        <w:topLinePunct w:val="0"/>
        <w:bidi w:val="0"/>
        <w:adjustRightInd w:val="0"/>
        <w:snapToGrid w:val="0"/>
        <w:spacing w:line="440" w:lineRule="exact"/>
        <w:jc w:val="left"/>
        <w:outlineLvl w:val="9"/>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（二）依法与安置的每位残疾人签订了一年以上（含一年）的劳动合同或服务协议；</w:t>
      </w:r>
    </w:p>
    <w:p w14:paraId="01D49D83">
      <w:pPr>
        <w:keepNext w:val="0"/>
        <w:keepLines w:val="0"/>
        <w:pageBreakBefore w:val="0"/>
        <w:widowControl w:val="0"/>
        <w:shd w:val="clear"/>
        <w:kinsoku/>
        <w:wordWrap/>
        <w:overflowPunct/>
        <w:topLinePunct w:val="0"/>
        <w:bidi w:val="0"/>
        <w:adjustRightInd w:val="0"/>
        <w:snapToGrid w:val="0"/>
        <w:spacing w:line="440" w:lineRule="exact"/>
        <w:jc w:val="left"/>
        <w:outlineLvl w:val="9"/>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（三）为安置的每位残疾人按月足额缴纳了基本养老保险、基本医疗保险、失业保险、工伤保险和生育保险等社会保险费；</w:t>
      </w:r>
    </w:p>
    <w:p w14:paraId="0AB3C9A0">
      <w:pPr>
        <w:keepNext w:val="0"/>
        <w:keepLines w:val="0"/>
        <w:pageBreakBefore w:val="0"/>
        <w:widowControl w:val="0"/>
        <w:shd w:val="clear"/>
        <w:kinsoku/>
        <w:wordWrap/>
        <w:overflowPunct/>
        <w:topLinePunct w:val="0"/>
        <w:bidi w:val="0"/>
        <w:adjustRightInd w:val="0"/>
        <w:snapToGrid w:val="0"/>
        <w:spacing w:line="440" w:lineRule="exact"/>
        <w:jc w:val="left"/>
        <w:outlineLvl w:val="9"/>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（四）通过银行等金融机构向安置的每位残疾人，按月支付了不低于单位所在区县适用的经省级人民政府批准的月最低工资标准的工资；</w:t>
      </w:r>
    </w:p>
    <w:p w14:paraId="06825753">
      <w:pPr>
        <w:keepNext w:val="0"/>
        <w:keepLines w:val="0"/>
        <w:pageBreakBefore w:val="0"/>
        <w:widowControl w:val="0"/>
        <w:shd w:val="clear"/>
        <w:kinsoku/>
        <w:wordWrap/>
        <w:overflowPunct/>
        <w:topLinePunct w:val="0"/>
        <w:bidi w:val="0"/>
        <w:adjustRightInd w:val="0"/>
        <w:snapToGrid w:val="0"/>
        <w:spacing w:line="440" w:lineRule="exact"/>
        <w:jc w:val="left"/>
        <w:outlineLvl w:val="9"/>
        <w:rPr>
          <w:rFonts w:asciiTheme="majorEastAsia" w:hAnsiTheme="majorEastAsia" w:eastAsiaTheme="majorEastAsia"/>
          <w:color w:val="auto"/>
          <w:spacing w:val="6"/>
          <w:szCs w:val="21"/>
          <w:highlight w:val="none"/>
        </w:rPr>
      </w:pPr>
      <w:r>
        <w:rPr>
          <w:rFonts w:asciiTheme="majorEastAsia" w:hAnsiTheme="majorEastAsia" w:eastAsiaTheme="majorEastAsia"/>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14:paraId="2BFF57D0">
      <w:pPr>
        <w:keepNext w:val="0"/>
        <w:keepLines w:val="0"/>
        <w:pageBreakBefore w:val="0"/>
        <w:widowControl w:val="0"/>
        <w:shd w:val="clear"/>
        <w:tabs>
          <w:tab w:val="left" w:pos="606"/>
        </w:tabs>
        <w:kinsoku/>
        <w:wordWrap/>
        <w:overflowPunct/>
        <w:topLinePunct w:val="0"/>
        <w:bidi w:val="0"/>
        <w:spacing w:line="440" w:lineRule="exact"/>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60423F">
      <w:pPr>
        <w:keepNext w:val="0"/>
        <w:keepLines w:val="0"/>
        <w:pageBreakBefore w:val="0"/>
        <w:widowControl w:val="0"/>
        <w:shd w:val="clear"/>
        <w:kinsoku/>
        <w:wordWrap/>
        <w:overflowPunct/>
        <w:topLinePunct w:val="0"/>
        <w:bidi w:val="0"/>
        <w:outlineLvl w:val="9"/>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p>
    <w:p w14:paraId="3F232CE5">
      <w:pPr>
        <w:keepNext w:val="0"/>
        <w:keepLines w:val="0"/>
        <w:pageBreakBefore w:val="0"/>
        <w:widowControl w:val="0"/>
        <w:shd w:val="clear"/>
        <w:kinsoku/>
        <w:wordWrap/>
        <w:overflowPunct/>
        <w:topLinePunct w:val="0"/>
        <w:bidi w:val="0"/>
        <w:spacing w:line="440" w:lineRule="exact"/>
        <w:outlineLvl w:val="9"/>
        <w:rPr>
          <w:rFonts w:hint="eastAsia" w:ascii="宋体" w:hAnsi="宋体"/>
          <w:color w:val="auto"/>
          <w:szCs w:val="21"/>
          <w:highlight w:val="none"/>
        </w:rPr>
      </w:pPr>
      <w:r>
        <w:rPr>
          <w:rFonts w:hint="eastAsia" w:asciiTheme="majorEastAsia" w:hAnsiTheme="majorEastAsia" w:eastAsiaTheme="majorEastAsia"/>
          <w:b/>
          <w:color w:val="auto"/>
          <w:szCs w:val="21"/>
          <w:highlight w:val="none"/>
        </w:rPr>
        <w:t>格式十</w:t>
      </w:r>
      <w:r>
        <w:rPr>
          <w:rFonts w:hint="eastAsia" w:asciiTheme="majorEastAsia" w:hAnsiTheme="majorEastAsia" w:eastAsiaTheme="majorEastAsia"/>
          <w:b/>
          <w:color w:val="auto"/>
          <w:szCs w:val="21"/>
          <w:highlight w:val="none"/>
          <w:lang w:eastAsia="zh-CN"/>
        </w:rPr>
        <w:t>三</w:t>
      </w:r>
      <w:r>
        <w:rPr>
          <w:rFonts w:hint="eastAsia" w:asciiTheme="majorEastAsia" w:hAnsiTheme="majorEastAsia" w:eastAsiaTheme="majorEastAsia"/>
          <w:b/>
          <w:color w:val="auto"/>
          <w:szCs w:val="21"/>
          <w:highlight w:val="none"/>
        </w:rPr>
        <w:t>：政府采购领域商业贿赂行为承诺书</w:t>
      </w:r>
    </w:p>
    <w:p w14:paraId="45DD045E">
      <w:pPr>
        <w:keepNext w:val="0"/>
        <w:keepLines w:val="0"/>
        <w:pageBreakBefore w:val="0"/>
        <w:widowControl w:val="0"/>
        <w:shd w:val="clear"/>
        <w:kinsoku/>
        <w:wordWrap/>
        <w:overflowPunct/>
        <w:topLinePunct w:val="0"/>
        <w:bidi w:val="0"/>
        <w:spacing w:line="440" w:lineRule="exact"/>
        <w:outlineLvl w:val="9"/>
        <w:rPr>
          <w:rFonts w:hint="eastAsia" w:ascii="宋体" w:hAnsi="宋体"/>
          <w:color w:val="auto"/>
          <w:szCs w:val="21"/>
          <w:highlight w:val="none"/>
        </w:rPr>
      </w:pPr>
    </w:p>
    <w:p w14:paraId="790F1781">
      <w:pPr>
        <w:keepNext w:val="0"/>
        <w:keepLines w:val="0"/>
        <w:pageBreakBefore w:val="0"/>
        <w:widowControl w:val="0"/>
        <w:shd w:val="clear"/>
        <w:kinsoku/>
        <w:wordWrap/>
        <w:overflowPunct/>
        <w:topLinePunct w:val="0"/>
        <w:bidi w:val="0"/>
        <w:spacing w:line="440" w:lineRule="exact"/>
        <w:jc w:val="center"/>
        <w:outlineLvl w:val="9"/>
        <w:rPr>
          <w:rFonts w:hint="eastAsia" w:ascii="宋体" w:hAnsi="宋体"/>
          <w:color w:val="auto"/>
          <w:szCs w:val="21"/>
          <w:highlight w:val="none"/>
        </w:rPr>
      </w:pPr>
      <w:r>
        <w:rPr>
          <w:rFonts w:hint="eastAsia" w:ascii="宋体" w:hAnsi="宋体"/>
          <w:b/>
          <w:bCs/>
          <w:color w:val="auto"/>
          <w:sz w:val="28"/>
          <w:szCs w:val="28"/>
          <w:highlight w:val="none"/>
        </w:rPr>
        <w:t>政府采购领域商业贿赂行为承诺书</w:t>
      </w:r>
    </w:p>
    <w:p w14:paraId="51721AA8">
      <w:pPr>
        <w:adjustRightInd/>
        <w:spacing w:line="360" w:lineRule="auto"/>
        <w:textAlignment w:val="baseline"/>
        <w:outlineLvl w:val="9"/>
        <w:rPr>
          <w:rFonts w:hint="eastAsia" w:ascii="宋体" w:hAnsi="宋体" w:eastAsia="宋体" w:cs="宋体"/>
          <w:b/>
          <w:bCs/>
          <w:color w:val="auto"/>
          <w:kern w:val="0"/>
          <w:sz w:val="21"/>
          <w:szCs w:val="21"/>
          <w:highlight w:val="none"/>
        </w:rPr>
      </w:pPr>
      <w:r>
        <w:rPr>
          <w:rFonts w:hint="eastAsia" w:ascii="宋体" w:hAnsi="宋体" w:eastAsia="宋体" w:cs="宋体"/>
          <w:b/>
          <w:color w:val="auto"/>
          <w:kern w:val="0"/>
          <w:sz w:val="21"/>
          <w:szCs w:val="21"/>
          <w:highlight w:val="none"/>
        </w:rPr>
        <w:t>致：宁波之新招标咨询有限公司</w:t>
      </w:r>
    </w:p>
    <w:p w14:paraId="5B82DCE6">
      <w:pPr>
        <w:adjustRightInd/>
        <w:spacing w:line="360" w:lineRule="auto"/>
        <w:ind w:firstLine="420" w:firstLineChars="200"/>
        <w:textAlignment w:val="baseline"/>
        <w:outlineLvl w:val="9"/>
        <w:rPr>
          <w:rFonts w:hint="eastAsia" w:ascii="宋体" w:hAnsi="宋体" w:eastAsia="宋体" w:cs="宋体"/>
          <w:color w:val="auto"/>
          <w:kern w:val="0"/>
          <w:sz w:val="21"/>
          <w:szCs w:val="21"/>
          <w:highlight w:val="none"/>
          <w:lang w:eastAsia="zh-TW"/>
        </w:rPr>
      </w:pPr>
      <w:r>
        <w:rPr>
          <w:rFonts w:hint="eastAsia" w:ascii="宋体" w:hAnsi="宋体" w:eastAsia="宋体" w:cs="宋体"/>
          <w:color w:val="auto"/>
          <w:kern w:val="0"/>
          <w:sz w:val="21"/>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14:paraId="30BE9D53">
      <w:pPr>
        <w:adjustRightInd/>
        <w:spacing w:line="360" w:lineRule="auto"/>
        <w:ind w:firstLine="420" w:firstLineChars="200"/>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一、依法参与政府采购活动，遵纪守法，诚信经营，公平竞争。</w:t>
      </w:r>
    </w:p>
    <w:p w14:paraId="01C0D9DD">
      <w:pPr>
        <w:adjustRightInd/>
        <w:spacing w:line="360" w:lineRule="auto"/>
        <w:ind w:firstLine="420" w:firstLineChars="200"/>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二、不向采购单位、采购代理机构和政府采购评审专家提供任何形式的商业贿赂；对索取或接受商业贿赂的单位和个人，及时向财政部门和纪检监察机关举报。</w:t>
      </w:r>
    </w:p>
    <w:p w14:paraId="4CFEA8D6">
      <w:pPr>
        <w:adjustRightInd/>
        <w:spacing w:line="360" w:lineRule="auto"/>
        <w:ind w:firstLine="420" w:firstLineChars="200"/>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三、不以提供虚假资质文件等形式参与政府采购活动，不以虚假材料谋取中标。</w:t>
      </w:r>
    </w:p>
    <w:p w14:paraId="73D9C7D5">
      <w:pPr>
        <w:adjustRightInd/>
        <w:spacing w:line="360" w:lineRule="auto"/>
        <w:ind w:firstLine="420" w:firstLineChars="200"/>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四、不采取不正当手段诋毁、排挤其他供应商，与其他参与政府采购活动供应商保持良性的竞争关系。</w:t>
      </w:r>
    </w:p>
    <w:p w14:paraId="3456CDA1">
      <w:pPr>
        <w:adjustRightInd/>
        <w:spacing w:line="360" w:lineRule="auto"/>
        <w:ind w:firstLine="420" w:firstLineChars="200"/>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五、不与采购单位、采购代理机构和政府采购评审专家恶意串通，自觉维护政府采购公平竞争的市场秩序。</w:t>
      </w:r>
    </w:p>
    <w:p w14:paraId="0BFA41A3">
      <w:pPr>
        <w:adjustRightInd/>
        <w:spacing w:line="360" w:lineRule="auto"/>
        <w:ind w:firstLine="420" w:firstLineChars="200"/>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六、不与其他供应商串通采取围标、陪标等商业欺诈手段谋取中标，积极维护国家利益、社会公共利益和采购单位的合法权益。</w:t>
      </w:r>
    </w:p>
    <w:p w14:paraId="2C2993D9">
      <w:pPr>
        <w:adjustRightInd/>
        <w:spacing w:line="360" w:lineRule="auto"/>
        <w:ind w:firstLine="420" w:firstLineChars="200"/>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七、严格履行政府采购合同约定义务，不在政府采购合同执行过程中采取降低质量或标准、减少数量、拖延交付时间等方式损害采购单位的利益，并自觉承担违约责任。</w:t>
      </w:r>
    </w:p>
    <w:p w14:paraId="42AB8B08">
      <w:pPr>
        <w:adjustRightInd/>
        <w:spacing w:line="360" w:lineRule="auto"/>
        <w:ind w:firstLine="420" w:firstLineChars="200"/>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八、自觉接受并积极配合财政部门和纪检监察机关依法实施的监督检查，如实反映情况，及时提供有关证明材料。</w:t>
      </w:r>
    </w:p>
    <w:p w14:paraId="00FEB358">
      <w:pPr>
        <w:pStyle w:val="132"/>
        <w:adjustRightInd/>
        <w:spacing w:line="360" w:lineRule="auto"/>
        <w:ind w:left="0"/>
        <w:outlineLvl w:val="9"/>
        <w:rPr>
          <w:rFonts w:hint="eastAsia"/>
          <w:color w:val="auto"/>
          <w:kern w:val="0"/>
          <w:highlight w:val="none"/>
        </w:rPr>
      </w:pPr>
    </w:p>
    <w:p w14:paraId="2EFF8202">
      <w:pPr>
        <w:widowControl w:val="0"/>
        <w:adjustRightInd/>
        <w:spacing w:line="360" w:lineRule="auto"/>
        <w:ind w:firstLine="420" w:firstLineChars="200"/>
        <w:jc w:val="both"/>
        <w:textAlignment w:val="baseline"/>
        <w:outlineLvl w:val="9"/>
        <w:rPr>
          <w:rFonts w:hint="eastAsia" w:ascii="宋体" w:hAnsi="宋体" w:eastAsia="宋体" w:cs="宋体"/>
          <w:color w:val="auto"/>
          <w:sz w:val="21"/>
          <w:szCs w:val="21"/>
          <w:highlight w:val="none"/>
          <w:u w:val="single"/>
          <w:lang w:val="en-US" w:eastAsia="zh-CN" w:bidi="ar-SA"/>
        </w:rPr>
      </w:pPr>
      <w:r>
        <w:rPr>
          <w:rFonts w:hint="eastAsia" w:ascii="宋体" w:hAnsi="宋体" w:eastAsia="宋体" w:cs="宋体"/>
          <w:color w:val="auto"/>
          <w:sz w:val="21"/>
          <w:szCs w:val="21"/>
          <w:highlight w:val="none"/>
          <w:lang w:val="en-US" w:eastAsia="zh-CN" w:bidi="ar-SA"/>
        </w:rPr>
        <w:t>供应商名称（并加盖公章）：</w:t>
      </w:r>
      <w:r>
        <w:rPr>
          <w:rFonts w:hint="eastAsia" w:ascii="宋体" w:hAnsi="宋体" w:eastAsia="宋体" w:cs="宋体"/>
          <w:color w:val="auto"/>
          <w:sz w:val="21"/>
          <w:szCs w:val="21"/>
          <w:highlight w:val="none"/>
          <w:u w:val="single"/>
          <w:lang w:val="en-US" w:eastAsia="zh-CN" w:bidi="ar-SA"/>
        </w:rPr>
        <w:t xml:space="preserve">                             </w:t>
      </w:r>
    </w:p>
    <w:p w14:paraId="77DD5264">
      <w:pPr>
        <w:widowControl w:val="0"/>
        <w:adjustRightInd/>
        <w:spacing w:line="360" w:lineRule="auto"/>
        <w:ind w:firstLine="420" w:firstLineChars="200"/>
        <w:jc w:val="both"/>
        <w:textAlignment w:val="baseline"/>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法定代表人或其授权代表（签名或印章）：</w:t>
      </w:r>
      <w:r>
        <w:rPr>
          <w:rFonts w:hint="eastAsia" w:ascii="宋体" w:hAnsi="宋体" w:eastAsia="宋体" w:cs="宋体"/>
          <w:color w:val="auto"/>
          <w:sz w:val="21"/>
          <w:szCs w:val="21"/>
          <w:highlight w:val="none"/>
          <w:u w:val="single"/>
          <w:lang w:val="en-US" w:eastAsia="zh-CN" w:bidi="ar-SA"/>
        </w:rPr>
        <w:t xml:space="preserve">                   </w:t>
      </w:r>
    </w:p>
    <w:p w14:paraId="578F708F">
      <w:pPr>
        <w:widowControl w:val="0"/>
        <w:adjustRightInd/>
        <w:spacing w:line="360" w:lineRule="auto"/>
        <w:ind w:firstLine="420" w:firstLineChars="200"/>
        <w:jc w:val="both"/>
        <w:textAlignment w:val="baseline"/>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日期：</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年</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月</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日</w:t>
      </w:r>
    </w:p>
    <w:p w14:paraId="22DB3CD5">
      <w:pPr>
        <w:rPr>
          <w:rFonts w:ascii="宋体" w:hAnsi="宋体"/>
          <w:color w:val="auto"/>
          <w:szCs w:val="21"/>
          <w:highlight w:val="none"/>
        </w:rPr>
      </w:pPr>
      <w:r>
        <w:rPr>
          <w:rFonts w:ascii="宋体" w:hAnsi="宋体"/>
          <w:color w:val="auto"/>
          <w:szCs w:val="21"/>
          <w:highlight w:val="none"/>
        </w:rPr>
        <w:br w:type="page"/>
      </w:r>
    </w:p>
    <w:p w14:paraId="4F797EF9">
      <w:pPr>
        <w:keepNext w:val="0"/>
        <w:keepLines w:val="0"/>
        <w:pageBreakBefore w:val="0"/>
        <w:widowControl w:val="0"/>
        <w:shd w:val="clear"/>
        <w:kinsoku/>
        <w:wordWrap/>
        <w:overflowPunct/>
        <w:topLinePunct w:val="0"/>
        <w:bidi w:val="0"/>
        <w:spacing w:line="440" w:lineRule="exact"/>
        <w:outlineLvl w:val="9"/>
        <w:rPr>
          <w:rFonts w:hint="eastAsia" w:cs="Times New Roman" w:asciiTheme="majorEastAsia" w:hAnsiTheme="majorEastAsia" w:eastAsiaTheme="majorEastAsia"/>
          <w:b/>
          <w:color w:val="auto"/>
          <w:szCs w:val="21"/>
          <w:highlight w:val="none"/>
          <w:lang w:val="en-US" w:eastAsia="zh-CN"/>
        </w:rPr>
      </w:pPr>
      <w:r>
        <w:rPr>
          <w:rFonts w:hint="eastAsia" w:cs="Times New Roman" w:asciiTheme="majorEastAsia" w:hAnsiTheme="majorEastAsia" w:eastAsiaTheme="majorEastAsia"/>
          <w:b/>
          <w:color w:val="auto"/>
          <w:szCs w:val="21"/>
          <w:highlight w:val="none"/>
          <w:lang w:val="en-US" w:eastAsia="zh-CN"/>
        </w:rPr>
        <w:t>格式十四：联合体协议格式</w:t>
      </w:r>
    </w:p>
    <w:p w14:paraId="700CC875">
      <w:pPr>
        <w:keepNext w:val="0"/>
        <w:keepLines w:val="0"/>
        <w:widowControl/>
        <w:numPr>
          <w:ilvl w:val="0"/>
          <w:numId w:val="0"/>
        </w:numPr>
        <w:suppressLineNumbers w:val="0"/>
        <w:ind w:leftChars="200"/>
        <w:jc w:val="center"/>
        <w:rPr>
          <w:rFonts w:ascii="Calibri" w:hAnsi="Calibri" w:cs="Times New Roman"/>
          <w:color w:val="auto"/>
          <w:highlight w:val="none"/>
        </w:rPr>
      </w:pPr>
      <w:r>
        <w:rPr>
          <w:rFonts w:hint="eastAsia" w:ascii="宋体" w:hAnsi="宋体" w:eastAsia="宋体" w:cs="宋体"/>
          <w:b/>
          <w:bCs/>
          <w:color w:val="auto"/>
          <w:kern w:val="0"/>
          <w:sz w:val="20"/>
          <w:szCs w:val="20"/>
          <w:highlight w:val="none"/>
          <w:lang w:val="en-US" w:eastAsia="zh-CN" w:bidi="ar"/>
        </w:rPr>
        <w:t>联合体协议</w:t>
      </w:r>
    </w:p>
    <w:p w14:paraId="20B240E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主体（牵头人）名称： </w:t>
      </w:r>
    </w:p>
    <w:p w14:paraId="42F88C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法定代表人： </w:t>
      </w:r>
    </w:p>
    <w:p w14:paraId="5B43505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法定住所： </w:t>
      </w:r>
    </w:p>
    <w:p w14:paraId="5FA1FC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成员名称： </w:t>
      </w:r>
    </w:p>
    <w:p w14:paraId="7698BBC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法定代表人： </w:t>
      </w:r>
    </w:p>
    <w:p w14:paraId="3243C34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法定住所： </w:t>
      </w:r>
    </w:p>
    <w:p w14:paraId="0B6EC8B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1520AE3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为响应贵方的项目的招标活动，上述各成员单位经过友好协商，自愿组成联合体，共同参加本项目投标。现就联合投标事宜订立如下协议： </w:t>
      </w:r>
    </w:p>
    <w:p w14:paraId="78A6F32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一、各方一致决定，以（某成员单位名称）为牵头人进行投标，</w:t>
      </w:r>
      <w:r>
        <w:rPr>
          <w:rFonts w:hint="eastAsia" w:ascii="宋体" w:hAnsi="宋体" w:eastAsia="宋体" w:cs="宋体"/>
          <w:b/>
          <w:bCs/>
          <w:color w:val="auto"/>
          <w:kern w:val="0"/>
          <w:sz w:val="21"/>
          <w:szCs w:val="21"/>
          <w:highlight w:val="none"/>
          <w:lang w:val="en-US" w:eastAsia="zh-CN" w:bidi="ar"/>
        </w:rPr>
        <w:t>并按照采购文件的规定分别提交要求的资格证明文件。</w:t>
      </w:r>
    </w:p>
    <w:p w14:paraId="5AF4098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二、在本项目招标投标过程中，联合体其他成员授权联合体牵头人办理本项目的投标事宜，联合体牵头人合法代表联合体各成员负责本项目投标文件的编制，代表联合体提交和接受相关的资料、信息及指示，处理与之有关的一切事务，并负责合同实施阶段的主办、组织和协调工作。联合体牵头人的法定代表人或经其正式授权代表根据采购文件规定及投标内容而对采购人所做的任何合法承诺，包括投标文件、书面澄清及承诺等响应资料的签署等均对联合体各方产生约束力。如果中标并签订合同，则联合投标各方将共同履行对采购人所负有的全部义务并就采购合同约定的事项对采购人承担连带责任。 </w:t>
      </w:r>
    </w:p>
    <w:p w14:paraId="16D4D05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三、联合投标其余各方保证对牵头人为响应本次招标而提供的服务提供全部质量保证及售后服务支持。 </w:t>
      </w:r>
    </w:p>
    <w:p w14:paraId="6380C1E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四、本次联合投标中，联合体各成员单位内部的职责分工如下：</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16FEFA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按照本条上述分工，联合体成员单位各自所承担的合同工作如下：（各自所占工作量的百分比</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），上述百分比即是本项目合同金额的分配比例。</w:t>
      </w:r>
    </w:p>
    <w:p w14:paraId="665C229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五、投标工作以及联合体在中标后项目实施过程中的有关费用按各自承担的工作量分摊；联合体牵头人与采购人结算。 </w:t>
      </w:r>
    </w:p>
    <w:p w14:paraId="2890278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六、本协议提交后，联合投标各方不得以任何形式对上述实质内容进行修改或撤销。 </w:t>
      </w:r>
    </w:p>
    <w:p w14:paraId="3076589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七、本协议书一式</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份，联合体成员各执</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份，一份作为投标文件的组成部分提交。</w:t>
      </w:r>
    </w:p>
    <w:p w14:paraId="567768BD">
      <w:pPr>
        <w:keepNext w:val="0"/>
        <w:keepLines w:val="0"/>
        <w:pageBreakBefore w:val="0"/>
        <w:widowControl/>
        <w:suppressLineNumbers w:val="0"/>
        <w:kinsoku/>
        <w:wordWrap w:val="0"/>
        <w:overflowPunct/>
        <w:topLinePunct w:val="0"/>
        <w:autoSpaceDE/>
        <w:autoSpaceDN/>
        <w:bidi w:val="0"/>
        <w:adjustRightInd/>
        <w:snapToGrid/>
        <w:spacing w:line="360" w:lineRule="auto"/>
        <w:jc w:val="righ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主体（牵头人）名称：</w:t>
      </w:r>
      <w:r>
        <w:rPr>
          <w:rFonts w:hint="eastAsia" w:ascii="宋体" w:hAnsi="宋体" w:eastAsia="宋体" w:cs="宋体"/>
          <w:color w:val="auto"/>
          <w:kern w:val="0"/>
          <w:sz w:val="21"/>
          <w:szCs w:val="21"/>
          <w:highlight w:val="none"/>
          <w:u w:val="single"/>
          <w:lang w:val="en-US" w:eastAsia="zh-CN" w:bidi="ar"/>
        </w:rPr>
        <w:t xml:space="preserve">    （盖单位章）    </w:t>
      </w:r>
    </w:p>
    <w:p w14:paraId="1BA0C549">
      <w:pPr>
        <w:keepNext w:val="0"/>
        <w:keepLines w:val="0"/>
        <w:pageBreakBefore w:val="0"/>
        <w:widowControl/>
        <w:suppressLineNumbers w:val="0"/>
        <w:kinsoku/>
        <w:wordWrap w:val="0"/>
        <w:overflowPunct/>
        <w:topLinePunct w:val="0"/>
        <w:autoSpaceDE/>
        <w:autoSpaceDN/>
        <w:bidi w:val="0"/>
        <w:adjustRightInd/>
        <w:snapToGrid/>
        <w:spacing w:line="360" w:lineRule="auto"/>
        <w:jc w:val="righ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法定代表人或其委托代理人：</w:t>
      </w:r>
      <w:r>
        <w:rPr>
          <w:rFonts w:hint="eastAsia" w:ascii="宋体" w:hAnsi="宋体" w:eastAsia="宋体" w:cs="宋体"/>
          <w:color w:val="auto"/>
          <w:kern w:val="0"/>
          <w:sz w:val="21"/>
          <w:szCs w:val="21"/>
          <w:highlight w:val="none"/>
          <w:u w:val="single"/>
          <w:lang w:val="en-US" w:eastAsia="zh-CN" w:bidi="ar"/>
        </w:rPr>
        <w:t xml:space="preserve">   （签字或盖章）   </w:t>
      </w:r>
    </w:p>
    <w:p w14:paraId="679F1BAC">
      <w:pPr>
        <w:keepNext w:val="0"/>
        <w:keepLines w:val="0"/>
        <w:pageBreakBefore w:val="0"/>
        <w:widowControl/>
        <w:suppressLineNumbers w:val="0"/>
        <w:kinsoku/>
        <w:wordWrap w:val="0"/>
        <w:overflowPunct/>
        <w:topLinePunct w:val="0"/>
        <w:autoSpaceDE/>
        <w:autoSpaceDN/>
        <w:bidi w:val="0"/>
        <w:adjustRightInd/>
        <w:snapToGrid/>
        <w:spacing w:line="360" w:lineRule="auto"/>
        <w:jc w:val="righ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成员名称：</w:t>
      </w:r>
      <w:r>
        <w:rPr>
          <w:rFonts w:hint="eastAsia" w:ascii="宋体" w:hAnsi="宋体" w:eastAsia="宋体" w:cs="宋体"/>
          <w:color w:val="auto"/>
          <w:kern w:val="0"/>
          <w:sz w:val="21"/>
          <w:szCs w:val="21"/>
          <w:highlight w:val="none"/>
          <w:u w:val="single"/>
          <w:lang w:val="en-US" w:eastAsia="zh-CN" w:bidi="ar"/>
        </w:rPr>
        <w:t xml:space="preserve">    （盖单位章）    </w:t>
      </w:r>
    </w:p>
    <w:p w14:paraId="6F122E04">
      <w:pPr>
        <w:keepNext w:val="0"/>
        <w:keepLines w:val="0"/>
        <w:pageBreakBefore w:val="0"/>
        <w:widowControl/>
        <w:suppressLineNumbers w:val="0"/>
        <w:kinsoku/>
        <w:wordWrap w:val="0"/>
        <w:overflowPunct/>
        <w:topLinePunct w:val="0"/>
        <w:autoSpaceDE/>
        <w:autoSpaceDN/>
        <w:bidi w:val="0"/>
        <w:adjustRightInd/>
        <w:snapToGrid/>
        <w:spacing w:line="360" w:lineRule="auto"/>
        <w:jc w:val="right"/>
        <w:textAlignment w:val="auto"/>
        <w:rPr>
          <w:rFonts w:hint="default" w:ascii="宋体" w:hAnsi="宋体" w:eastAsia="宋体" w:cs="宋体"/>
          <w:color w:val="auto"/>
          <w:sz w:val="21"/>
          <w:szCs w:val="21"/>
          <w:highlight w:val="none"/>
          <w:u w:val="single"/>
          <w:lang w:val="en-US"/>
        </w:rPr>
      </w:pPr>
      <w:r>
        <w:rPr>
          <w:rFonts w:hint="eastAsia" w:ascii="宋体" w:hAnsi="宋体" w:eastAsia="宋体" w:cs="宋体"/>
          <w:color w:val="auto"/>
          <w:kern w:val="0"/>
          <w:sz w:val="21"/>
          <w:szCs w:val="21"/>
          <w:highlight w:val="none"/>
          <w:lang w:val="en-US" w:eastAsia="zh-CN" w:bidi="ar"/>
        </w:rPr>
        <w:t>法定代表人或其委托代理人：</w:t>
      </w:r>
      <w:r>
        <w:rPr>
          <w:rFonts w:hint="eastAsia" w:ascii="宋体" w:hAnsi="宋体" w:eastAsia="宋体" w:cs="宋体"/>
          <w:color w:val="auto"/>
          <w:kern w:val="0"/>
          <w:sz w:val="21"/>
          <w:szCs w:val="21"/>
          <w:highlight w:val="none"/>
          <w:u w:val="single"/>
          <w:lang w:val="en-US" w:eastAsia="zh-CN" w:bidi="ar"/>
        </w:rPr>
        <w:t xml:space="preserve">   （签字或盖章）   </w:t>
      </w:r>
    </w:p>
    <w:p w14:paraId="6FD53C0F">
      <w:pPr>
        <w:keepNext w:val="0"/>
        <w:keepLines w:val="0"/>
        <w:pageBreakBefore w:val="0"/>
        <w:widowControl/>
        <w:suppressLineNumbers w:val="0"/>
        <w:kinsoku/>
        <w:overflowPunct/>
        <w:topLinePunct w:val="0"/>
        <w:autoSpaceDE/>
        <w:autoSpaceDN/>
        <w:bidi w:val="0"/>
        <w:adjustRightInd/>
        <w:snapToGrid/>
        <w:spacing w:line="360" w:lineRule="auto"/>
        <w:jc w:val="right"/>
        <w:textAlignment w:val="auto"/>
        <w:rPr>
          <w:color w:val="auto"/>
          <w:highlight w:val="none"/>
        </w:rPr>
      </w:pPr>
      <w:r>
        <w:rPr>
          <w:rFonts w:hint="eastAsia" w:ascii="宋体" w:hAnsi="宋体" w:eastAsia="宋体" w:cs="宋体"/>
          <w:color w:val="auto"/>
          <w:kern w:val="0"/>
          <w:sz w:val="21"/>
          <w:szCs w:val="21"/>
          <w:highlight w:val="none"/>
          <w:u w:val="single"/>
          <w:lang w:val="en-US" w:eastAsia="zh-CN" w:bidi="ar"/>
        </w:rPr>
        <w:t xml:space="preserve">  年  月  日</w:t>
      </w:r>
    </w:p>
    <w:p w14:paraId="45F85590">
      <w:pPr>
        <w:pStyle w:val="44"/>
        <w:outlineLvl w:val="9"/>
        <w:rPr>
          <w:color w:val="auto"/>
          <w:highlight w:val="none"/>
        </w:rPr>
        <w:sectPr>
          <w:pgSz w:w="11907" w:h="16840"/>
          <w:pgMar w:top="1440" w:right="1800" w:bottom="1440" w:left="1800" w:header="709" w:footer="1134" w:gutter="0"/>
          <w:pgBorders>
            <w:top w:val="none" w:sz="0" w:space="0"/>
            <w:left w:val="none" w:sz="0" w:space="0"/>
            <w:bottom w:val="none" w:sz="0" w:space="0"/>
            <w:right w:val="none" w:sz="0" w:space="0"/>
          </w:pgBorders>
          <w:pgNumType w:fmt="decimal"/>
          <w:cols w:space="720" w:num="1"/>
          <w:docGrid w:linePitch="285" w:charSpace="0"/>
        </w:sectPr>
      </w:pPr>
    </w:p>
    <w:tbl>
      <w:tblPr>
        <w:tblStyle w:val="45"/>
        <w:tblpPr w:leftFromText="180" w:rightFromText="180" w:vertAnchor="page" w:horzAnchor="margin" w:tblpXSpec="center" w:tblpY="886"/>
        <w:tblW w:w="15318" w:type="dxa"/>
        <w:tblInd w:w="-93" w:type="dxa"/>
        <w:shd w:val="clear" w:color="auto" w:fill="auto"/>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14:paraId="01F71F68">
        <w:tblPrEx>
          <w:shd w:val="clear" w:color="auto" w:fill="auto"/>
          <w:tblCellMar>
            <w:top w:w="0" w:type="dxa"/>
            <w:left w:w="108" w:type="dxa"/>
            <w:bottom w:w="0" w:type="dxa"/>
            <w:right w:w="108" w:type="dxa"/>
          </w:tblCellMar>
        </w:tblPrEx>
        <w:trPr>
          <w:trHeight w:val="420" w:hRule="atLeast"/>
        </w:trPr>
        <w:tc>
          <w:tcPr>
            <w:tcW w:w="15318" w:type="dxa"/>
            <w:gridSpan w:val="10"/>
            <w:tcBorders>
              <w:top w:val="nil"/>
              <w:left w:val="nil"/>
              <w:bottom w:val="nil"/>
              <w:right w:val="nil"/>
            </w:tcBorders>
            <w:shd w:val="clear" w:color="auto" w:fill="auto"/>
            <w:noWrap w:val="0"/>
            <w:vAlign w:val="bottom"/>
          </w:tcPr>
          <w:p w14:paraId="39E6CB57">
            <w:pPr>
              <w:keepNext w:val="0"/>
              <w:keepLines w:val="0"/>
              <w:pageBreakBefore w:val="0"/>
              <w:widowControl w:val="0"/>
              <w:shd w:val="clear"/>
              <w:kinsoku/>
              <w:wordWrap/>
              <w:overflowPunct/>
              <w:topLinePunct w:val="0"/>
              <w:bidi w:val="0"/>
              <w:jc w:val="center"/>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中小微行业划型标准规定（根据工信部联企业〔2011〕300号制定）</w:t>
            </w:r>
            <w:r>
              <w:rPr>
                <w:rFonts w:hint="eastAsia" w:ascii="宋体" w:hAnsi="宋体" w:cs="宋体"/>
                <w:b/>
                <w:bCs/>
                <w:color w:val="auto"/>
                <w:kern w:val="0"/>
                <w:sz w:val="18"/>
                <w:szCs w:val="18"/>
                <w:highlight w:val="none"/>
                <w:lang w:eastAsia="zh-CN"/>
              </w:rPr>
              <w:t>【以文件规定为准】</w:t>
            </w:r>
          </w:p>
        </w:tc>
      </w:tr>
      <w:tr w14:paraId="22D8D704">
        <w:tblPrEx>
          <w:tblCellMar>
            <w:top w:w="0" w:type="dxa"/>
            <w:left w:w="108" w:type="dxa"/>
            <w:bottom w:w="0" w:type="dxa"/>
            <w:right w:w="108" w:type="dxa"/>
          </w:tblCellMar>
        </w:tblPrEx>
        <w:trPr>
          <w:trHeight w:val="465" w:hRule="atLeast"/>
        </w:trPr>
        <w:tc>
          <w:tcPr>
            <w:tcW w:w="2376" w:type="dxa"/>
            <w:vMerge w:val="restart"/>
            <w:tcBorders>
              <w:top w:val="single" w:color="auto" w:sz="8" w:space="0"/>
              <w:left w:val="single" w:color="auto" w:sz="8" w:space="0"/>
              <w:bottom w:val="single" w:color="000000" w:sz="4" w:space="0"/>
              <w:right w:val="single" w:color="auto" w:sz="8" w:space="0"/>
            </w:tcBorders>
            <w:shd w:val="clear" w:color="auto" w:fill="auto"/>
            <w:noWrap w:val="0"/>
            <w:vAlign w:val="center"/>
          </w:tcPr>
          <w:p w14:paraId="7E0BAA66">
            <w:pPr>
              <w:keepNext w:val="0"/>
              <w:keepLines w:val="0"/>
              <w:pageBreakBefore w:val="0"/>
              <w:widowControl w:val="0"/>
              <w:shd w:val="clear"/>
              <w:kinsoku/>
              <w:wordWrap/>
              <w:overflowPunct/>
              <w:topLinePunct w:val="0"/>
              <w:bidi w:val="0"/>
              <w:jc w:val="center"/>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行业</w:t>
            </w:r>
          </w:p>
        </w:tc>
        <w:tc>
          <w:tcPr>
            <w:tcW w:w="4921" w:type="dxa"/>
            <w:gridSpan w:val="3"/>
            <w:tcBorders>
              <w:top w:val="single" w:color="auto" w:sz="8" w:space="0"/>
              <w:left w:val="nil"/>
              <w:bottom w:val="single" w:color="auto" w:sz="4" w:space="0"/>
              <w:right w:val="single" w:color="000000" w:sz="8" w:space="0"/>
            </w:tcBorders>
            <w:shd w:val="clear" w:color="auto" w:fill="auto"/>
            <w:noWrap w:val="0"/>
            <w:vAlign w:val="bottom"/>
          </w:tcPr>
          <w:p w14:paraId="251E29FD">
            <w:pPr>
              <w:keepNext w:val="0"/>
              <w:keepLines w:val="0"/>
              <w:pageBreakBefore w:val="0"/>
              <w:widowControl w:val="0"/>
              <w:shd w:val="clear"/>
              <w:kinsoku/>
              <w:wordWrap/>
              <w:overflowPunct/>
              <w:topLinePunct w:val="0"/>
              <w:bidi w:val="0"/>
              <w:jc w:val="center"/>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shd w:val="clear" w:color="auto" w:fill="auto"/>
            <w:noWrap w:val="0"/>
            <w:vAlign w:val="bottom"/>
          </w:tcPr>
          <w:p w14:paraId="54462631">
            <w:pPr>
              <w:keepNext w:val="0"/>
              <w:keepLines w:val="0"/>
              <w:pageBreakBefore w:val="0"/>
              <w:widowControl w:val="0"/>
              <w:shd w:val="clear"/>
              <w:kinsoku/>
              <w:wordWrap/>
              <w:overflowPunct/>
              <w:topLinePunct w:val="0"/>
              <w:bidi w:val="0"/>
              <w:jc w:val="center"/>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shd w:val="clear" w:color="auto" w:fill="auto"/>
            <w:noWrap w:val="0"/>
            <w:vAlign w:val="bottom"/>
          </w:tcPr>
          <w:p w14:paraId="10F05BE3">
            <w:pPr>
              <w:keepNext w:val="0"/>
              <w:keepLines w:val="0"/>
              <w:pageBreakBefore w:val="0"/>
              <w:widowControl w:val="0"/>
              <w:shd w:val="clear"/>
              <w:kinsoku/>
              <w:wordWrap/>
              <w:overflowPunct/>
              <w:topLinePunct w:val="0"/>
              <w:bidi w:val="0"/>
              <w:jc w:val="center"/>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微型企业</w:t>
            </w:r>
          </w:p>
        </w:tc>
      </w:tr>
      <w:tr w14:paraId="2B12E342">
        <w:tblPrEx>
          <w:tblCellMar>
            <w:top w:w="0" w:type="dxa"/>
            <w:left w:w="108" w:type="dxa"/>
            <w:bottom w:w="0" w:type="dxa"/>
            <w:right w:w="108" w:type="dxa"/>
          </w:tblCellMar>
        </w:tblPrEx>
        <w:trPr>
          <w:trHeight w:val="525" w:hRule="atLeast"/>
        </w:trPr>
        <w:tc>
          <w:tcPr>
            <w:tcW w:w="2376" w:type="dxa"/>
            <w:vMerge w:val="continue"/>
            <w:tcBorders>
              <w:top w:val="single" w:color="auto" w:sz="8" w:space="0"/>
              <w:left w:val="single" w:color="auto" w:sz="8" w:space="0"/>
              <w:bottom w:val="single" w:color="000000" w:sz="4" w:space="0"/>
              <w:right w:val="single" w:color="auto" w:sz="8" w:space="0"/>
            </w:tcBorders>
            <w:shd w:val="clear" w:color="auto" w:fill="auto"/>
            <w:noWrap w:val="0"/>
            <w:vAlign w:val="center"/>
          </w:tcPr>
          <w:p w14:paraId="3CA9F166">
            <w:pPr>
              <w:keepNext w:val="0"/>
              <w:keepLines w:val="0"/>
              <w:pageBreakBefore w:val="0"/>
              <w:widowControl w:val="0"/>
              <w:shd w:val="clear"/>
              <w:kinsoku/>
              <w:wordWrap/>
              <w:overflowPunct/>
              <w:topLinePunct w:val="0"/>
              <w:bidi w:val="0"/>
              <w:jc w:val="left"/>
              <w:outlineLvl w:val="9"/>
              <w:rPr>
                <w:rFonts w:hint="eastAsia" w:ascii="宋体" w:hAnsi="宋体" w:eastAsia="宋体" w:cs="宋体"/>
                <w:b/>
                <w:bCs/>
                <w:color w:val="auto"/>
                <w:kern w:val="0"/>
                <w:sz w:val="18"/>
                <w:szCs w:val="18"/>
                <w:highlight w:val="none"/>
              </w:rPr>
            </w:pPr>
          </w:p>
        </w:tc>
        <w:tc>
          <w:tcPr>
            <w:tcW w:w="1498" w:type="dxa"/>
            <w:tcBorders>
              <w:top w:val="nil"/>
              <w:left w:val="nil"/>
              <w:bottom w:val="single" w:color="auto" w:sz="4" w:space="0"/>
              <w:right w:val="single" w:color="auto" w:sz="4" w:space="0"/>
            </w:tcBorders>
            <w:shd w:val="clear" w:color="auto" w:fill="auto"/>
            <w:noWrap w:val="0"/>
            <w:vAlign w:val="bottom"/>
          </w:tcPr>
          <w:p w14:paraId="097FB255">
            <w:pPr>
              <w:keepNext w:val="0"/>
              <w:keepLines w:val="0"/>
              <w:pageBreakBefore w:val="0"/>
              <w:widowControl w:val="0"/>
              <w:shd w:val="clear"/>
              <w:kinsoku/>
              <w:wordWrap/>
              <w:overflowPunct/>
              <w:topLinePunct w:val="0"/>
              <w:bidi w:val="0"/>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763" w:type="dxa"/>
            <w:tcBorders>
              <w:top w:val="nil"/>
              <w:left w:val="nil"/>
              <w:bottom w:val="single" w:color="auto" w:sz="4" w:space="0"/>
              <w:right w:val="single" w:color="auto" w:sz="4" w:space="0"/>
            </w:tcBorders>
            <w:shd w:val="clear" w:color="auto" w:fill="auto"/>
            <w:noWrap w:val="0"/>
            <w:vAlign w:val="bottom"/>
          </w:tcPr>
          <w:p w14:paraId="7D5C3ED4">
            <w:pPr>
              <w:keepNext w:val="0"/>
              <w:keepLines w:val="0"/>
              <w:pageBreakBefore w:val="0"/>
              <w:widowControl w:val="0"/>
              <w:shd w:val="clear"/>
              <w:kinsoku/>
              <w:wordWrap/>
              <w:overflowPunct/>
              <w:topLinePunct w:val="0"/>
              <w:bidi w:val="0"/>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14:paraId="2F225B62">
            <w:pPr>
              <w:keepNext w:val="0"/>
              <w:keepLines w:val="0"/>
              <w:pageBreakBefore w:val="0"/>
              <w:widowControl w:val="0"/>
              <w:shd w:val="clear"/>
              <w:kinsoku/>
              <w:wordWrap/>
              <w:overflowPunct/>
              <w:topLinePunct w:val="0"/>
              <w:bidi w:val="0"/>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60" w:type="dxa"/>
            <w:tcBorders>
              <w:top w:val="nil"/>
              <w:left w:val="nil"/>
              <w:bottom w:val="single" w:color="auto" w:sz="4" w:space="0"/>
              <w:right w:val="single" w:color="auto" w:sz="8" w:space="0"/>
            </w:tcBorders>
            <w:shd w:val="clear" w:color="auto" w:fill="auto"/>
            <w:noWrap w:val="0"/>
            <w:vAlign w:val="bottom"/>
          </w:tcPr>
          <w:p w14:paraId="20334584">
            <w:pPr>
              <w:keepNext w:val="0"/>
              <w:keepLines w:val="0"/>
              <w:pageBreakBefore w:val="0"/>
              <w:widowControl w:val="0"/>
              <w:shd w:val="clear"/>
              <w:kinsoku/>
              <w:wordWrap/>
              <w:overflowPunct/>
              <w:topLinePunct w:val="0"/>
              <w:bidi w:val="0"/>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14:paraId="39F57779">
            <w:pPr>
              <w:keepNext w:val="0"/>
              <w:keepLines w:val="0"/>
              <w:pageBreakBefore w:val="0"/>
              <w:widowControl w:val="0"/>
              <w:shd w:val="clear"/>
              <w:kinsoku/>
              <w:wordWrap/>
              <w:overflowPunct/>
              <w:topLinePunct w:val="0"/>
              <w:bidi w:val="0"/>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40" w:type="dxa"/>
            <w:tcBorders>
              <w:top w:val="nil"/>
              <w:left w:val="nil"/>
              <w:bottom w:val="single" w:color="auto" w:sz="4" w:space="0"/>
              <w:right w:val="single" w:color="auto" w:sz="4" w:space="0"/>
            </w:tcBorders>
            <w:shd w:val="clear" w:color="auto" w:fill="auto"/>
            <w:noWrap w:val="0"/>
            <w:vAlign w:val="bottom"/>
          </w:tcPr>
          <w:p w14:paraId="7AEBA710">
            <w:pPr>
              <w:keepNext w:val="0"/>
              <w:keepLines w:val="0"/>
              <w:pageBreakBefore w:val="0"/>
              <w:widowControl w:val="0"/>
              <w:shd w:val="clear"/>
              <w:kinsoku/>
              <w:wordWrap/>
              <w:overflowPunct/>
              <w:topLinePunct w:val="0"/>
              <w:bidi w:val="0"/>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480" w:type="dxa"/>
            <w:tcBorders>
              <w:top w:val="nil"/>
              <w:left w:val="nil"/>
              <w:bottom w:val="single" w:color="auto" w:sz="4" w:space="0"/>
              <w:right w:val="single" w:color="auto" w:sz="4" w:space="0"/>
            </w:tcBorders>
            <w:shd w:val="clear" w:color="auto" w:fill="auto"/>
            <w:noWrap w:val="0"/>
            <w:vAlign w:val="bottom"/>
          </w:tcPr>
          <w:p w14:paraId="1C0814CB">
            <w:pPr>
              <w:keepNext w:val="0"/>
              <w:keepLines w:val="0"/>
              <w:pageBreakBefore w:val="0"/>
              <w:widowControl w:val="0"/>
              <w:shd w:val="clear"/>
              <w:kinsoku/>
              <w:wordWrap/>
              <w:overflowPunct/>
              <w:topLinePunct w:val="0"/>
              <w:bidi w:val="0"/>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14:paraId="16BCDA0D">
            <w:pPr>
              <w:keepNext w:val="0"/>
              <w:keepLines w:val="0"/>
              <w:pageBreakBefore w:val="0"/>
              <w:widowControl w:val="0"/>
              <w:shd w:val="clear"/>
              <w:kinsoku/>
              <w:wordWrap/>
              <w:overflowPunct/>
              <w:topLinePunct w:val="0"/>
              <w:bidi w:val="0"/>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520" w:type="dxa"/>
            <w:tcBorders>
              <w:top w:val="nil"/>
              <w:left w:val="nil"/>
              <w:bottom w:val="single" w:color="auto" w:sz="4" w:space="0"/>
              <w:right w:val="single" w:color="auto" w:sz="8" w:space="0"/>
            </w:tcBorders>
            <w:shd w:val="clear" w:color="auto" w:fill="auto"/>
            <w:noWrap w:val="0"/>
            <w:vAlign w:val="bottom"/>
          </w:tcPr>
          <w:p w14:paraId="5A6BCD9D">
            <w:pPr>
              <w:keepNext w:val="0"/>
              <w:keepLines w:val="0"/>
              <w:pageBreakBefore w:val="0"/>
              <w:widowControl w:val="0"/>
              <w:shd w:val="clear"/>
              <w:kinsoku/>
              <w:wordWrap/>
              <w:overflowPunct/>
              <w:topLinePunct w:val="0"/>
              <w:bidi w:val="0"/>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14:paraId="4B9D52A0">
            <w:pPr>
              <w:keepNext w:val="0"/>
              <w:keepLines w:val="0"/>
              <w:pageBreakBefore w:val="0"/>
              <w:widowControl w:val="0"/>
              <w:shd w:val="clear"/>
              <w:kinsoku/>
              <w:wordWrap/>
              <w:overflowPunct/>
              <w:topLinePunct w:val="0"/>
              <w:bidi w:val="0"/>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85" w:type="dxa"/>
            <w:tcBorders>
              <w:top w:val="nil"/>
              <w:left w:val="nil"/>
              <w:bottom w:val="single" w:color="auto" w:sz="4" w:space="0"/>
              <w:right w:val="single" w:color="auto" w:sz="4" w:space="0"/>
            </w:tcBorders>
            <w:shd w:val="clear" w:color="auto" w:fill="auto"/>
            <w:noWrap w:val="0"/>
            <w:vAlign w:val="bottom"/>
          </w:tcPr>
          <w:p w14:paraId="6B83D413">
            <w:pPr>
              <w:keepNext w:val="0"/>
              <w:keepLines w:val="0"/>
              <w:pageBreakBefore w:val="0"/>
              <w:widowControl w:val="0"/>
              <w:shd w:val="clear"/>
              <w:kinsoku/>
              <w:wordWrap/>
              <w:overflowPunct/>
              <w:topLinePunct w:val="0"/>
              <w:bidi w:val="0"/>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275" w:type="dxa"/>
            <w:tcBorders>
              <w:top w:val="nil"/>
              <w:left w:val="nil"/>
              <w:bottom w:val="single" w:color="auto" w:sz="4" w:space="0"/>
              <w:right w:val="single" w:color="auto" w:sz="4" w:space="0"/>
            </w:tcBorders>
            <w:shd w:val="clear" w:color="auto" w:fill="auto"/>
            <w:noWrap w:val="0"/>
            <w:vAlign w:val="bottom"/>
          </w:tcPr>
          <w:p w14:paraId="2284A454">
            <w:pPr>
              <w:keepNext w:val="0"/>
              <w:keepLines w:val="0"/>
              <w:pageBreakBefore w:val="0"/>
              <w:widowControl w:val="0"/>
              <w:shd w:val="clear"/>
              <w:kinsoku/>
              <w:wordWrap/>
              <w:overflowPunct/>
              <w:topLinePunct w:val="0"/>
              <w:bidi w:val="0"/>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营业收入Y（万元）</w:t>
            </w:r>
          </w:p>
        </w:tc>
        <w:tc>
          <w:tcPr>
            <w:tcW w:w="1221" w:type="dxa"/>
            <w:tcBorders>
              <w:top w:val="nil"/>
              <w:left w:val="nil"/>
              <w:bottom w:val="single" w:color="auto" w:sz="4" w:space="0"/>
              <w:right w:val="single" w:color="auto" w:sz="8" w:space="0"/>
            </w:tcBorders>
            <w:shd w:val="clear" w:color="auto" w:fill="auto"/>
            <w:noWrap w:val="0"/>
            <w:vAlign w:val="bottom"/>
          </w:tcPr>
          <w:p w14:paraId="2400F470">
            <w:pPr>
              <w:keepNext w:val="0"/>
              <w:keepLines w:val="0"/>
              <w:pageBreakBefore w:val="0"/>
              <w:widowControl w:val="0"/>
              <w:shd w:val="clear"/>
              <w:kinsoku/>
              <w:wordWrap/>
              <w:overflowPunct/>
              <w:topLinePunct w:val="0"/>
              <w:bidi w:val="0"/>
              <w:jc w:val="center"/>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资产总额Z（万元）</w:t>
            </w:r>
          </w:p>
        </w:tc>
      </w:tr>
      <w:tr w14:paraId="2EAB167A">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2C375AEC">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1、农林牧渔业</w:t>
            </w:r>
          </w:p>
        </w:tc>
        <w:tc>
          <w:tcPr>
            <w:tcW w:w="1498" w:type="dxa"/>
            <w:tcBorders>
              <w:top w:val="nil"/>
              <w:left w:val="nil"/>
              <w:bottom w:val="single" w:color="auto" w:sz="4" w:space="0"/>
              <w:right w:val="single" w:color="auto" w:sz="4" w:space="0"/>
            </w:tcBorders>
            <w:shd w:val="clear" w:color="auto" w:fill="auto"/>
            <w:noWrap w:val="0"/>
            <w:vAlign w:val="bottom"/>
          </w:tcPr>
          <w:p w14:paraId="46410ED1">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763" w:type="dxa"/>
            <w:tcBorders>
              <w:top w:val="nil"/>
              <w:left w:val="nil"/>
              <w:bottom w:val="single" w:color="auto" w:sz="4" w:space="0"/>
              <w:right w:val="single" w:color="auto" w:sz="4" w:space="0"/>
            </w:tcBorders>
            <w:shd w:val="clear" w:color="auto" w:fill="auto"/>
            <w:noWrap w:val="0"/>
            <w:vAlign w:val="bottom"/>
          </w:tcPr>
          <w:p w14:paraId="1CB1515F">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noWrap w:val="0"/>
            <w:vAlign w:val="bottom"/>
          </w:tcPr>
          <w:p w14:paraId="30C8F574">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6998CB2E">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480" w:type="dxa"/>
            <w:tcBorders>
              <w:top w:val="nil"/>
              <w:left w:val="nil"/>
              <w:bottom w:val="single" w:color="auto" w:sz="4" w:space="0"/>
              <w:right w:val="single" w:color="auto" w:sz="4" w:space="0"/>
            </w:tcBorders>
            <w:shd w:val="clear" w:color="auto" w:fill="auto"/>
            <w:noWrap w:val="0"/>
            <w:vAlign w:val="bottom"/>
          </w:tcPr>
          <w:p w14:paraId="286F949C">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520" w:type="dxa"/>
            <w:tcBorders>
              <w:top w:val="nil"/>
              <w:left w:val="nil"/>
              <w:bottom w:val="single" w:color="auto" w:sz="4" w:space="0"/>
              <w:right w:val="single" w:color="auto" w:sz="8" w:space="0"/>
            </w:tcBorders>
            <w:shd w:val="clear" w:color="auto" w:fill="auto"/>
            <w:noWrap w:val="0"/>
            <w:vAlign w:val="bottom"/>
          </w:tcPr>
          <w:p w14:paraId="62C7735A">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0C504A70">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75" w:type="dxa"/>
            <w:tcBorders>
              <w:top w:val="nil"/>
              <w:left w:val="nil"/>
              <w:bottom w:val="single" w:color="auto" w:sz="4" w:space="0"/>
              <w:right w:val="single" w:color="auto" w:sz="4" w:space="0"/>
            </w:tcBorders>
            <w:shd w:val="clear" w:color="auto" w:fill="auto"/>
            <w:noWrap w:val="0"/>
            <w:vAlign w:val="bottom"/>
          </w:tcPr>
          <w:p w14:paraId="32C499A3">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noWrap w:val="0"/>
            <w:vAlign w:val="bottom"/>
          </w:tcPr>
          <w:p w14:paraId="34F7B39C">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r>
      <w:tr w14:paraId="77BC71D7">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5324994D">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2、工业</w:t>
            </w:r>
          </w:p>
        </w:tc>
        <w:tc>
          <w:tcPr>
            <w:tcW w:w="1498" w:type="dxa"/>
            <w:tcBorders>
              <w:top w:val="nil"/>
              <w:left w:val="nil"/>
              <w:bottom w:val="single" w:color="auto" w:sz="4" w:space="0"/>
              <w:right w:val="single" w:color="auto" w:sz="4" w:space="0"/>
            </w:tcBorders>
            <w:shd w:val="clear" w:color="auto" w:fill="auto"/>
            <w:noWrap w:val="0"/>
            <w:vAlign w:val="bottom"/>
          </w:tcPr>
          <w:p w14:paraId="2D5F7983">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618C2C9E">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660" w:type="dxa"/>
            <w:tcBorders>
              <w:top w:val="nil"/>
              <w:left w:val="nil"/>
              <w:bottom w:val="single" w:color="auto" w:sz="4" w:space="0"/>
              <w:right w:val="single" w:color="auto" w:sz="8" w:space="0"/>
            </w:tcBorders>
            <w:shd w:val="clear" w:color="auto" w:fill="auto"/>
            <w:noWrap w:val="0"/>
            <w:vAlign w:val="bottom"/>
          </w:tcPr>
          <w:p w14:paraId="592D17CE">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42FFA9BF">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noWrap w:val="0"/>
            <w:vAlign w:val="bottom"/>
          </w:tcPr>
          <w:p w14:paraId="5B701511">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520" w:type="dxa"/>
            <w:tcBorders>
              <w:top w:val="nil"/>
              <w:left w:val="nil"/>
              <w:bottom w:val="single" w:color="auto" w:sz="4" w:space="0"/>
              <w:right w:val="single" w:color="auto" w:sz="8" w:space="0"/>
            </w:tcBorders>
            <w:shd w:val="clear" w:color="auto" w:fill="auto"/>
            <w:noWrap w:val="0"/>
            <w:vAlign w:val="bottom"/>
          </w:tcPr>
          <w:p w14:paraId="0ACA5431">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5369910D">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74134ED2">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noWrap w:val="0"/>
            <w:vAlign w:val="bottom"/>
          </w:tcPr>
          <w:p w14:paraId="26350C7F">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r>
      <w:tr w14:paraId="022B132C">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0DA56826">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3、建筑业</w:t>
            </w:r>
          </w:p>
        </w:tc>
        <w:tc>
          <w:tcPr>
            <w:tcW w:w="1498" w:type="dxa"/>
            <w:tcBorders>
              <w:top w:val="nil"/>
              <w:left w:val="nil"/>
              <w:bottom w:val="single" w:color="auto" w:sz="4" w:space="0"/>
              <w:right w:val="single" w:color="auto" w:sz="4" w:space="0"/>
            </w:tcBorders>
            <w:shd w:val="clear" w:color="auto" w:fill="auto"/>
            <w:noWrap w:val="0"/>
            <w:vAlign w:val="bottom"/>
          </w:tcPr>
          <w:p w14:paraId="06428D10">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763" w:type="dxa"/>
            <w:tcBorders>
              <w:top w:val="nil"/>
              <w:left w:val="nil"/>
              <w:bottom w:val="single" w:color="auto" w:sz="4" w:space="0"/>
              <w:right w:val="single" w:color="auto" w:sz="4" w:space="0"/>
            </w:tcBorders>
            <w:shd w:val="clear" w:color="auto" w:fill="auto"/>
            <w:noWrap w:val="0"/>
            <w:vAlign w:val="bottom"/>
          </w:tcPr>
          <w:p w14:paraId="15769A70">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660" w:type="dxa"/>
            <w:tcBorders>
              <w:top w:val="nil"/>
              <w:left w:val="nil"/>
              <w:bottom w:val="single" w:color="auto" w:sz="4" w:space="0"/>
              <w:right w:val="single" w:color="auto" w:sz="8" w:space="0"/>
            </w:tcBorders>
            <w:shd w:val="clear" w:color="auto" w:fill="auto"/>
            <w:noWrap w:val="0"/>
            <w:vAlign w:val="bottom"/>
          </w:tcPr>
          <w:p w14:paraId="51C087B8">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240" w:type="dxa"/>
            <w:tcBorders>
              <w:top w:val="nil"/>
              <w:left w:val="nil"/>
              <w:bottom w:val="single" w:color="auto" w:sz="4" w:space="0"/>
              <w:right w:val="single" w:color="auto" w:sz="4" w:space="0"/>
            </w:tcBorders>
            <w:shd w:val="clear" w:color="auto" w:fill="auto"/>
            <w:noWrap w:val="0"/>
            <w:vAlign w:val="bottom"/>
          </w:tcPr>
          <w:p w14:paraId="7EA0EA1E">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480" w:type="dxa"/>
            <w:tcBorders>
              <w:top w:val="nil"/>
              <w:left w:val="nil"/>
              <w:bottom w:val="single" w:color="auto" w:sz="4" w:space="0"/>
              <w:right w:val="single" w:color="auto" w:sz="4" w:space="0"/>
            </w:tcBorders>
            <w:shd w:val="clear" w:color="auto" w:fill="auto"/>
            <w:noWrap w:val="0"/>
            <w:vAlign w:val="bottom"/>
          </w:tcPr>
          <w:p w14:paraId="76C5B565">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520" w:type="dxa"/>
            <w:tcBorders>
              <w:top w:val="nil"/>
              <w:left w:val="nil"/>
              <w:bottom w:val="single" w:color="auto" w:sz="4" w:space="0"/>
              <w:right w:val="single" w:color="auto" w:sz="8" w:space="0"/>
            </w:tcBorders>
            <w:shd w:val="clear" w:color="auto" w:fill="auto"/>
            <w:noWrap w:val="0"/>
            <w:vAlign w:val="bottom"/>
          </w:tcPr>
          <w:p w14:paraId="09E09E3C">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285" w:type="dxa"/>
            <w:tcBorders>
              <w:top w:val="nil"/>
              <w:left w:val="nil"/>
              <w:bottom w:val="single" w:color="auto" w:sz="4" w:space="0"/>
              <w:right w:val="single" w:color="auto" w:sz="4" w:space="0"/>
            </w:tcBorders>
            <w:shd w:val="clear" w:color="auto" w:fill="auto"/>
            <w:noWrap w:val="0"/>
            <w:vAlign w:val="bottom"/>
          </w:tcPr>
          <w:p w14:paraId="76F7D658">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75" w:type="dxa"/>
            <w:tcBorders>
              <w:top w:val="nil"/>
              <w:left w:val="nil"/>
              <w:bottom w:val="single" w:color="auto" w:sz="4" w:space="0"/>
              <w:right w:val="single" w:color="auto" w:sz="4" w:space="0"/>
            </w:tcBorders>
            <w:shd w:val="clear" w:color="auto" w:fill="auto"/>
            <w:noWrap w:val="0"/>
            <w:vAlign w:val="bottom"/>
          </w:tcPr>
          <w:p w14:paraId="43D4BA2B">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noWrap w:val="0"/>
            <w:vAlign w:val="bottom"/>
          </w:tcPr>
          <w:p w14:paraId="5116E791">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42763F60">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15AEFD2F">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4、批发业</w:t>
            </w:r>
          </w:p>
        </w:tc>
        <w:tc>
          <w:tcPr>
            <w:tcW w:w="1498" w:type="dxa"/>
            <w:tcBorders>
              <w:top w:val="nil"/>
              <w:left w:val="nil"/>
              <w:bottom w:val="single" w:color="auto" w:sz="4" w:space="0"/>
              <w:right w:val="single" w:color="auto" w:sz="4" w:space="0"/>
            </w:tcBorders>
            <w:shd w:val="clear" w:color="auto" w:fill="auto"/>
            <w:noWrap w:val="0"/>
            <w:vAlign w:val="bottom"/>
          </w:tcPr>
          <w:p w14:paraId="582404D6">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63" w:type="dxa"/>
            <w:tcBorders>
              <w:top w:val="nil"/>
              <w:left w:val="nil"/>
              <w:bottom w:val="single" w:color="auto" w:sz="4" w:space="0"/>
              <w:right w:val="single" w:color="auto" w:sz="4" w:space="0"/>
            </w:tcBorders>
            <w:shd w:val="clear" w:color="auto" w:fill="auto"/>
            <w:noWrap w:val="0"/>
            <w:vAlign w:val="bottom"/>
          </w:tcPr>
          <w:p w14:paraId="45B8224A">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660" w:type="dxa"/>
            <w:tcBorders>
              <w:top w:val="nil"/>
              <w:left w:val="nil"/>
              <w:bottom w:val="single" w:color="auto" w:sz="4" w:space="0"/>
              <w:right w:val="single" w:color="auto" w:sz="8" w:space="0"/>
            </w:tcBorders>
            <w:shd w:val="clear" w:color="auto" w:fill="auto"/>
            <w:noWrap w:val="0"/>
            <w:vAlign w:val="bottom"/>
          </w:tcPr>
          <w:p w14:paraId="7CC29BC6">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651CAAA6">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480" w:type="dxa"/>
            <w:tcBorders>
              <w:top w:val="nil"/>
              <w:left w:val="nil"/>
              <w:bottom w:val="single" w:color="auto" w:sz="4" w:space="0"/>
              <w:right w:val="single" w:color="auto" w:sz="4" w:space="0"/>
            </w:tcBorders>
            <w:shd w:val="clear" w:color="auto" w:fill="auto"/>
            <w:noWrap w:val="0"/>
            <w:vAlign w:val="bottom"/>
          </w:tcPr>
          <w:p w14:paraId="025EE775">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520" w:type="dxa"/>
            <w:tcBorders>
              <w:top w:val="nil"/>
              <w:left w:val="nil"/>
              <w:bottom w:val="single" w:color="auto" w:sz="4" w:space="0"/>
              <w:right w:val="single" w:color="auto" w:sz="8" w:space="0"/>
            </w:tcBorders>
            <w:shd w:val="clear" w:color="auto" w:fill="auto"/>
            <w:noWrap w:val="0"/>
            <w:vAlign w:val="bottom"/>
          </w:tcPr>
          <w:p w14:paraId="39720E30">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0EEFE634">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c>
          <w:tcPr>
            <w:tcW w:w="1275" w:type="dxa"/>
            <w:tcBorders>
              <w:top w:val="nil"/>
              <w:left w:val="nil"/>
              <w:bottom w:val="single" w:color="auto" w:sz="4" w:space="0"/>
              <w:right w:val="single" w:color="auto" w:sz="4" w:space="0"/>
            </w:tcBorders>
            <w:shd w:val="clear" w:color="auto" w:fill="auto"/>
            <w:noWrap w:val="0"/>
            <w:vAlign w:val="bottom"/>
          </w:tcPr>
          <w:p w14:paraId="4A5346BF">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c>
          <w:tcPr>
            <w:tcW w:w="1221" w:type="dxa"/>
            <w:tcBorders>
              <w:top w:val="nil"/>
              <w:left w:val="nil"/>
              <w:bottom w:val="single" w:color="auto" w:sz="4" w:space="0"/>
              <w:right w:val="single" w:color="auto" w:sz="8" w:space="0"/>
            </w:tcBorders>
            <w:shd w:val="clear" w:color="auto" w:fill="auto"/>
            <w:noWrap w:val="0"/>
            <w:vAlign w:val="bottom"/>
          </w:tcPr>
          <w:p w14:paraId="32BCA750">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r>
      <w:tr w14:paraId="45DF23FF">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3E8FA2FF">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5、零售业</w:t>
            </w:r>
          </w:p>
        </w:tc>
        <w:tc>
          <w:tcPr>
            <w:tcW w:w="1498" w:type="dxa"/>
            <w:tcBorders>
              <w:top w:val="nil"/>
              <w:left w:val="nil"/>
              <w:bottom w:val="single" w:color="auto" w:sz="4" w:space="0"/>
              <w:right w:val="single" w:color="auto" w:sz="4" w:space="0"/>
            </w:tcBorders>
            <w:shd w:val="clear" w:color="auto" w:fill="auto"/>
            <w:noWrap w:val="0"/>
            <w:vAlign w:val="bottom"/>
          </w:tcPr>
          <w:p w14:paraId="4EC225E4">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63" w:type="dxa"/>
            <w:tcBorders>
              <w:top w:val="nil"/>
              <w:left w:val="nil"/>
              <w:bottom w:val="single" w:color="auto" w:sz="4" w:space="0"/>
              <w:right w:val="single" w:color="auto" w:sz="4" w:space="0"/>
            </w:tcBorders>
            <w:shd w:val="clear" w:color="auto" w:fill="auto"/>
            <w:noWrap w:val="0"/>
            <w:vAlign w:val="bottom"/>
          </w:tcPr>
          <w:p w14:paraId="2B96B7F9">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noWrap w:val="0"/>
            <w:vAlign w:val="bottom"/>
          </w:tcPr>
          <w:p w14:paraId="3A737CD3">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7133A25B">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480" w:type="dxa"/>
            <w:tcBorders>
              <w:top w:val="nil"/>
              <w:left w:val="nil"/>
              <w:bottom w:val="single" w:color="auto" w:sz="4" w:space="0"/>
              <w:right w:val="single" w:color="auto" w:sz="4" w:space="0"/>
            </w:tcBorders>
            <w:shd w:val="clear" w:color="auto" w:fill="auto"/>
            <w:noWrap w:val="0"/>
            <w:vAlign w:val="bottom"/>
          </w:tcPr>
          <w:p w14:paraId="14F28029">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520" w:type="dxa"/>
            <w:tcBorders>
              <w:top w:val="nil"/>
              <w:left w:val="nil"/>
              <w:bottom w:val="single" w:color="auto" w:sz="4" w:space="0"/>
              <w:right w:val="single" w:color="auto" w:sz="8" w:space="0"/>
            </w:tcBorders>
            <w:shd w:val="clear" w:color="auto" w:fill="auto"/>
            <w:noWrap w:val="0"/>
            <w:vAlign w:val="bottom"/>
          </w:tcPr>
          <w:p w14:paraId="21F49CDB">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39B85067">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5EC693BA">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74DD3EE9">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r>
      <w:tr w14:paraId="27079DAD">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4EF1B7A6">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6、交通运输业</w:t>
            </w:r>
          </w:p>
        </w:tc>
        <w:tc>
          <w:tcPr>
            <w:tcW w:w="1498" w:type="dxa"/>
            <w:tcBorders>
              <w:top w:val="nil"/>
              <w:left w:val="nil"/>
              <w:bottom w:val="single" w:color="auto" w:sz="4" w:space="0"/>
              <w:right w:val="single" w:color="auto" w:sz="4" w:space="0"/>
            </w:tcBorders>
            <w:shd w:val="clear" w:color="auto" w:fill="auto"/>
            <w:noWrap w:val="0"/>
            <w:vAlign w:val="bottom"/>
          </w:tcPr>
          <w:p w14:paraId="72599D74">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3992BB68">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660" w:type="dxa"/>
            <w:tcBorders>
              <w:top w:val="nil"/>
              <w:left w:val="nil"/>
              <w:bottom w:val="single" w:color="auto" w:sz="4" w:space="0"/>
              <w:right w:val="single" w:color="auto" w:sz="8" w:space="0"/>
            </w:tcBorders>
            <w:shd w:val="clear" w:color="auto" w:fill="auto"/>
            <w:noWrap w:val="0"/>
            <w:vAlign w:val="bottom"/>
          </w:tcPr>
          <w:p w14:paraId="308BA488">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6F7F0C61">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noWrap w:val="0"/>
            <w:vAlign w:val="bottom"/>
          </w:tcPr>
          <w:p w14:paraId="7E33E0EA">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520" w:type="dxa"/>
            <w:tcBorders>
              <w:top w:val="nil"/>
              <w:left w:val="nil"/>
              <w:bottom w:val="single" w:color="auto" w:sz="4" w:space="0"/>
              <w:right w:val="single" w:color="auto" w:sz="8" w:space="0"/>
            </w:tcBorders>
            <w:shd w:val="clear" w:color="auto" w:fill="auto"/>
            <w:noWrap w:val="0"/>
            <w:vAlign w:val="bottom"/>
          </w:tcPr>
          <w:p w14:paraId="4E774B0D">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1EA3DEEA">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042BCAEC">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V＜200</w:t>
            </w:r>
          </w:p>
        </w:tc>
        <w:tc>
          <w:tcPr>
            <w:tcW w:w="1221" w:type="dxa"/>
            <w:tcBorders>
              <w:top w:val="nil"/>
              <w:left w:val="nil"/>
              <w:bottom w:val="single" w:color="auto" w:sz="4" w:space="0"/>
              <w:right w:val="single" w:color="auto" w:sz="8" w:space="0"/>
            </w:tcBorders>
            <w:shd w:val="clear" w:color="auto" w:fill="auto"/>
            <w:noWrap w:val="0"/>
            <w:vAlign w:val="bottom"/>
          </w:tcPr>
          <w:p w14:paraId="60B72B0C">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r>
      <w:tr w14:paraId="1B43660E">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3722BE48">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7、仓储业</w:t>
            </w:r>
          </w:p>
        </w:tc>
        <w:tc>
          <w:tcPr>
            <w:tcW w:w="1498" w:type="dxa"/>
            <w:tcBorders>
              <w:top w:val="nil"/>
              <w:left w:val="nil"/>
              <w:bottom w:val="single" w:color="auto" w:sz="4" w:space="0"/>
              <w:right w:val="single" w:color="auto" w:sz="4" w:space="0"/>
            </w:tcBorders>
            <w:shd w:val="clear" w:color="auto" w:fill="auto"/>
            <w:noWrap w:val="0"/>
            <w:vAlign w:val="bottom"/>
          </w:tcPr>
          <w:p w14:paraId="3359F6DA">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63" w:type="dxa"/>
            <w:tcBorders>
              <w:top w:val="nil"/>
              <w:left w:val="nil"/>
              <w:bottom w:val="single" w:color="auto" w:sz="4" w:space="0"/>
              <w:right w:val="single" w:color="auto" w:sz="4" w:space="0"/>
            </w:tcBorders>
            <w:shd w:val="clear" w:color="auto" w:fill="auto"/>
            <w:noWrap w:val="0"/>
            <w:vAlign w:val="bottom"/>
          </w:tcPr>
          <w:p w14:paraId="4A6B75AD">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660" w:type="dxa"/>
            <w:tcBorders>
              <w:top w:val="nil"/>
              <w:left w:val="nil"/>
              <w:bottom w:val="single" w:color="auto" w:sz="4" w:space="0"/>
              <w:right w:val="single" w:color="auto" w:sz="8" w:space="0"/>
            </w:tcBorders>
            <w:shd w:val="clear" w:color="auto" w:fill="auto"/>
            <w:noWrap w:val="0"/>
            <w:vAlign w:val="bottom"/>
          </w:tcPr>
          <w:p w14:paraId="54303603">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56A2C5E6">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480" w:type="dxa"/>
            <w:tcBorders>
              <w:top w:val="nil"/>
              <w:left w:val="nil"/>
              <w:bottom w:val="single" w:color="auto" w:sz="4" w:space="0"/>
              <w:right w:val="single" w:color="auto" w:sz="4" w:space="0"/>
            </w:tcBorders>
            <w:shd w:val="clear" w:color="auto" w:fill="auto"/>
            <w:noWrap w:val="0"/>
            <w:vAlign w:val="bottom"/>
          </w:tcPr>
          <w:p w14:paraId="3AA6CB3D">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noWrap w:val="0"/>
            <w:vAlign w:val="bottom"/>
          </w:tcPr>
          <w:p w14:paraId="1F66E1CE">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024DACEB">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082F3FE5">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482AD3E7">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r>
      <w:tr w14:paraId="03698FBE">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79422BEF">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8、邮政业</w:t>
            </w:r>
          </w:p>
        </w:tc>
        <w:tc>
          <w:tcPr>
            <w:tcW w:w="1498" w:type="dxa"/>
            <w:tcBorders>
              <w:top w:val="nil"/>
              <w:left w:val="nil"/>
              <w:bottom w:val="single" w:color="auto" w:sz="4" w:space="0"/>
              <w:right w:val="single" w:color="auto" w:sz="4" w:space="0"/>
            </w:tcBorders>
            <w:shd w:val="clear" w:color="auto" w:fill="auto"/>
            <w:noWrap w:val="0"/>
            <w:vAlign w:val="bottom"/>
          </w:tcPr>
          <w:p w14:paraId="26CE2740">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42500A3A">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660" w:type="dxa"/>
            <w:tcBorders>
              <w:top w:val="nil"/>
              <w:left w:val="nil"/>
              <w:bottom w:val="single" w:color="auto" w:sz="4" w:space="0"/>
              <w:right w:val="single" w:color="auto" w:sz="8" w:space="0"/>
            </w:tcBorders>
            <w:shd w:val="clear" w:color="auto" w:fill="auto"/>
            <w:noWrap w:val="0"/>
            <w:vAlign w:val="bottom"/>
          </w:tcPr>
          <w:p w14:paraId="350B88EB">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7728F7A8">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noWrap w:val="0"/>
            <w:vAlign w:val="bottom"/>
          </w:tcPr>
          <w:p w14:paraId="263F12BC">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noWrap w:val="0"/>
            <w:vAlign w:val="bottom"/>
          </w:tcPr>
          <w:p w14:paraId="5B30F5A8">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58ABE9B1">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noWrap w:val="0"/>
            <w:vAlign w:val="bottom"/>
          </w:tcPr>
          <w:p w14:paraId="74ABB7A3">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37C3E7AA">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r>
      <w:tr w14:paraId="04C45D53">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15AEC85D">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9、住宿业</w:t>
            </w:r>
          </w:p>
        </w:tc>
        <w:tc>
          <w:tcPr>
            <w:tcW w:w="1498" w:type="dxa"/>
            <w:tcBorders>
              <w:top w:val="nil"/>
              <w:left w:val="nil"/>
              <w:bottom w:val="single" w:color="auto" w:sz="4" w:space="0"/>
              <w:right w:val="single" w:color="auto" w:sz="4" w:space="0"/>
            </w:tcBorders>
            <w:shd w:val="clear" w:color="auto" w:fill="auto"/>
            <w:noWrap w:val="0"/>
            <w:vAlign w:val="bottom"/>
          </w:tcPr>
          <w:p w14:paraId="49DB6EF4">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51FCBB7B">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noWrap w:val="0"/>
            <w:vAlign w:val="bottom"/>
          </w:tcPr>
          <w:p w14:paraId="23FBD417">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2F3FF8C2">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71BB7E08">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noWrap w:val="0"/>
            <w:vAlign w:val="bottom"/>
          </w:tcPr>
          <w:p w14:paraId="7CFEF1DA">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1A38699B">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0906AF3E">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648C3900">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r>
      <w:tr w14:paraId="4FD0DC4C">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18208565">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10、餐饮业</w:t>
            </w:r>
          </w:p>
        </w:tc>
        <w:tc>
          <w:tcPr>
            <w:tcW w:w="1498" w:type="dxa"/>
            <w:tcBorders>
              <w:top w:val="nil"/>
              <w:left w:val="nil"/>
              <w:bottom w:val="single" w:color="auto" w:sz="4" w:space="0"/>
              <w:right w:val="single" w:color="auto" w:sz="4" w:space="0"/>
            </w:tcBorders>
            <w:shd w:val="clear" w:color="auto" w:fill="auto"/>
            <w:noWrap w:val="0"/>
            <w:vAlign w:val="bottom"/>
          </w:tcPr>
          <w:p w14:paraId="1121A6A5">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231425FC">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noWrap w:val="0"/>
            <w:vAlign w:val="bottom"/>
          </w:tcPr>
          <w:p w14:paraId="2BEF9EAE">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7E220A29">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2EAFB4FB">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noWrap w:val="0"/>
            <w:vAlign w:val="bottom"/>
          </w:tcPr>
          <w:p w14:paraId="1BEF1728">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439ABE91">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6031A882">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V＜100</w:t>
            </w:r>
          </w:p>
        </w:tc>
        <w:tc>
          <w:tcPr>
            <w:tcW w:w="1221" w:type="dxa"/>
            <w:tcBorders>
              <w:top w:val="nil"/>
              <w:left w:val="nil"/>
              <w:bottom w:val="single" w:color="auto" w:sz="4" w:space="0"/>
              <w:right w:val="single" w:color="auto" w:sz="8" w:space="0"/>
            </w:tcBorders>
            <w:shd w:val="clear" w:color="auto" w:fill="auto"/>
            <w:noWrap w:val="0"/>
            <w:vAlign w:val="bottom"/>
          </w:tcPr>
          <w:p w14:paraId="3F8B28D1">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r>
      <w:tr w14:paraId="2B700199">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145B2288">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11、信息传输业</w:t>
            </w:r>
          </w:p>
        </w:tc>
        <w:tc>
          <w:tcPr>
            <w:tcW w:w="1498" w:type="dxa"/>
            <w:tcBorders>
              <w:top w:val="nil"/>
              <w:left w:val="nil"/>
              <w:bottom w:val="single" w:color="auto" w:sz="4" w:space="0"/>
              <w:right w:val="single" w:color="auto" w:sz="4" w:space="0"/>
            </w:tcBorders>
            <w:shd w:val="clear" w:color="auto" w:fill="auto"/>
            <w:noWrap w:val="0"/>
            <w:vAlign w:val="bottom"/>
          </w:tcPr>
          <w:p w14:paraId="4C15CC6E">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63" w:type="dxa"/>
            <w:tcBorders>
              <w:top w:val="nil"/>
              <w:left w:val="nil"/>
              <w:bottom w:val="single" w:color="auto" w:sz="4" w:space="0"/>
              <w:right w:val="single" w:color="auto" w:sz="4" w:space="0"/>
            </w:tcBorders>
            <w:shd w:val="clear" w:color="auto" w:fill="auto"/>
            <w:noWrap w:val="0"/>
            <w:vAlign w:val="bottom"/>
          </w:tcPr>
          <w:p w14:paraId="14B8DFFA">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660" w:type="dxa"/>
            <w:tcBorders>
              <w:top w:val="nil"/>
              <w:left w:val="nil"/>
              <w:bottom w:val="single" w:color="auto" w:sz="4" w:space="0"/>
              <w:right w:val="single" w:color="auto" w:sz="8" w:space="0"/>
            </w:tcBorders>
            <w:shd w:val="clear" w:color="auto" w:fill="auto"/>
            <w:noWrap w:val="0"/>
            <w:vAlign w:val="bottom"/>
          </w:tcPr>
          <w:p w14:paraId="67B5ECA2">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72466A20">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7A1B6D90">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noWrap w:val="0"/>
            <w:vAlign w:val="bottom"/>
          </w:tcPr>
          <w:p w14:paraId="12FEB244">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08FEEFD8">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5F6878AC">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1ADF609D">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r>
      <w:tr w14:paraId="0A5F5C2C">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05006C7F">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12、软件和信息技术服务业</w:t>
            </w:r>
          </w:p>
        </w:tc>
        <w:tc>
          <w:tcPr>
            <w:tcW w:w="1498" w:type="dxa"/>
            <w:tcBorders>
              <w:top w:val="nil"/>
              <w:left w:val="nil"/>
              <w:bottom w:val="single" w:color="auto" w:sz="4" w:space="0"/>
              <w:right w:val="single" w:color="auto" w:sz="4" w:space="0"/>
            </w:tcBorders>
            <w:shd w:val="clear" w:color="auto" w:fill="auto"/>
            <w:noWrap w:val="0"/>
            <w:vAlign w:val="bottom"/>
          </w:tcPr>
          <w:p w14:paraId="67040156">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3C3075E0">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660" w:type="dxa"/>
            <w:tcBorders>
              <w:top w:val="nil"/>
              <w:left w:val="nil"/>
              <w:bottom w:val="single" w:color="auto" w:sz="4" w:space="0"/>
              <w:right w:val="single" w:color="auto" w:sz="8" w:space="0"/>
            </w:tcBorders>
            <w:shd w:val="clear" w:color="auto" w:fill="auto"/>
            <w:noWrap w:val="0"/>
            <w:vAlign w:val="bottom"/>
          </w:tcPr>
          <w:p w14:paraId="270E3178">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526EA0DB">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54A12C47">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520" w:type="dxa"/>
            <w:tcBorders>
              <w:top w:val="nil"/>
              <w:left w:val="nil"/>
              <w:bottom w:val="single" w:color="auto" w:sz="4" w:space="0"/>
              <w:right w:val="single" w:color="auto" w:sz="8" w:space="0"/>
            </w:tcBorders>
            <w:shd w:val="clear" w:color="auto" w:fill="auto"/>
            <w:noWrap w:val="0"/>
            <w:vAlign w:val="bottom"/>
          </w:tcPr>
          <w:p w14:paraId="5CF8EE7D">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64FA5F87">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2616C4BE">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noWrap w:val="0"/>
            <w:vAlign w:val="bottom"/>
          </w:tcPr>
          <w:p w14:paraId="5F34AD7B">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r>
      <w:tr w14:paraId="55948E73">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5967D268">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13、房地产开发经营</w:t>
            </w:r>
          </w:p>
        </w:tc>
        <w:tc>
          <w:tcPr>
            <w:tcW w:w="1498" w:type="dxa"/>
            <w:tcBorders>
              <w:top w:val="nil"/>
              <w:left w:val="nil"/>
              <w:bottom w:val="single" w:color="auto" w:sz="4" w:space="0"/>
              <w:right w:val="single" w:color="auto" w:sz="4" w:space="0"/>
            </w:tcBorders>
            <w:shd w:val="clear" w:color="auto" w:fill="auto"/>
            <w:noWrap w:val="0"/>
            <w:vAlign w:val="bottom"/>
          </w:tcPr>
          <w:p w14:paraId="1E3B262F">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763" w:type="dxa"/>
            <w:tcBorders>
              <w:top w:val="nil"/>
              <w:left w:val="nil"/>
              <w:bottom w:val="single" w:color="auto" w:sz="4" w:space="0"/>
              <w:right w:val="single" w:color="auto" w:sz="4" w:space="0"/>
            </w:tcBorders>
            <w:shd w:val="clear" w:color="auto" w:fill="auto"/>
            <w:noWrap w:val="0"/>
            <w:vAlign w:val="bottom"/>
          </w:tcPr>
          <w:p w14:paraId="62A39563">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660" w:type="dxa"/>
            <w:tcBorders>
              <w:top w:val="nil"/>
              <w:left w:val="nil"/>
              <w:bottom w:val="single" w:color="auto" w:sz="4" w:space="0"/>
              <w:right w:val="single" w:color="auto" w:sz="8" w:space="0"/>
            </w:tcBorders>
            <w:shd w:val="clear" w:color="auto" w:fill="auto"/>
            <w:noWrap w:val="0"/>
            <w:vAlign w:val="bottom"/>
          </w:tcPr>
          <w:p w14:paraId="5008460E">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240" w:type="dxa"/>
            <w:tcBorders>
              <w:top w:val="nil"/>
              <w:left w:val="nil"/>
              <w:bottom w:val="single" w:color="auto" w:sz="4" w:space="0"/>
              <w:right w:val="single" w:color="auto" w:sz="4" w:space="0"/>
            </w:tcBorders>
            <w:shd w:val="clear" w:color="auto" w:fill="auto"/>
            <w:noWrap w:val="0"/>
            <w:vAlign w:val="bottom"/>
          </w:tcPr>
          <w:p w14:paraId="1696EAB1">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480" w:type="dxa"/>
            <w:tcBorders>
              <w:top w:val="nil"/>
              <w:left w:val="nil"/>
              <w:bottom w:val="single" w:color="auto" w:sz="4" w:space="0"/>
              <w:right w:val="single" w:color="auto" w:sz="4" w:space="0"/>
            </w:tcBorders>
            <w:shd w:val="clear" w:color="auto" w:fill="auto"/>
            <w:noWrap w:val="0"/>
            <w:vAlign w:val="bottom"/>
          </w:tcPr>
          <w:p w14:paraId="4E77DDF5">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noWrap w:val="0"/>
            <w:vAlign w:val="bottom"/>
          </w:tcPr>
          <w:p w14:paraId="08371563">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1285" w:type="dxa"/>
            <w:tcBorders>
              <w:top w:val="nil"/>
              <w:left w:val="nil"/>
              <w:bottom w:val="single" w:color="auto" w:sz="4" w:space="0"/>
              <w:right w:val="single" w:color="auto" w:sz="4" w:space="0"/>
            </w:tcBorders>
            <w:shd w:val="clear" w:color="auto" w:fill="auto"/>
            <w:noWrap w:val="0"/>
            <w:vAlign w:val="bottom"/>
          </w:tcPr>
          <w:p w14:paraId="6F0B0389">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75" w:type="dxa"/>
            <w:tcBorders>
              <w:top w:val="nil"/>
              <w:left w:val="nil"/>
              <w:bottom w:val="single" w:color="auto" w:sz="4" w:space="0"/>
              <w:right w:val="single" w:color="auto" w:sz="4" w:space="0"/>
            </w:tcBorders>
            <w:shd w:val="clear" w:color="auto" w:fill="auto"/>
            <w:noWrap w:val="0"/>
            <w:vAlign w:val="bottom"/>
          </w:tcPr>
          <w:p w14:paraId="50ACC9AF">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noWrap w:val="0"/>
            <w:vAlign w:val="bottom"/>
          </w:tcPr>
          <w:p w14:paraId="689640E9">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06802985">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28695F43">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14、物业管理</w:t>
            </w:r>
          </w:p>
        </w:tc>
        <w:tc>
          <w:tcPr>
            <w:tcW w:w="1498" w:type="dxa"/>
            <w:tcBorders>
              <w:top w:val="nil"/>
              <w:left w:val="nil"/>
              <w:bottom w:val="single" w:color="auto" w:sz="4" w:space="0"/>
              <w:right w:val="single" w:color="auto" w:sz="4" w:space="0"/>
            </w:tcBorders>
            <w:shd w:val="clear" w:color="auto" w:fill="auto"/>
            <w:noWrap w:val="0"/>
            <w:vAlign w:val="bottom"/>
          </w:tcPr>
          <w:p w14:paraId="32A279C9">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noWrap w:val="0"/>
            <w:vAlign w:val="bottom"/>
          </w:tcPr>
          <w:p w14:paraId="1D1FED88">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660" w:type="dxa"/>
            <w:tcBorders>
              <w:top w:val="nil"/>
              <w:left w:val="nil"/>
              <w:bottom w:val="single" w:color="auto" w:sz="4" w:space="0"/>
              <w:right w:val="single" w:color="auto" w:sz="8" w:space="0"/>
            </w:tcBorders>
            <w:shd w:val="clear" w:color="auto" w:fill="auto"/>
            <w:noWrap w:val="0"/>
            <w:vAlign w:val="bottom"/>
          </w:tcPr>
          <w:p w14:paraId="7B967BFE">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40" w:type="dxa"/>
            <w:tcBorders>
              <w:top w:val="nil"/>
              <w:left w:val="nil"/>
              <w:bottom w:val="single" w:color="auto" w:sz="4" w:space="0"/>
              <w:right w:val="single" w:color="auto" w:sz="4" w:space="0"/>
            </w:tcBorders>
            <w:shd w:val="clear" w:color="auto" w:fill="auto"/>
            <w:noWrap w:val="0"/>
            <w:vAlign w:val="bottom"/>
          </w:tcPr>
          <w:p w14:paraId="7F854F39">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80" w:type="dxa"/>
            <w:tcBorders>
              <w:top w:val="nil"/>
              <w:left w:val="nil"/>
              <w:bottom w:val="single" w:color="auto" w:sz="4" w:space="0"/>
              <w:right w:val="single" w:color="auto" w:sz="4" w:space="0"/>
            </w:tcBorders>
            <w:shd w:val="clear" w:color="auto" w:fill="auto"/>
            <w:noWrap w:val="0"/>
            <w:vAlign w:val="bottom"/>
          </w:tcPr>
          <w:p w14:paraId="398DD6A4">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520" w:type="dxa"/>
            <w:tcBorders>
              <w:top w:val="nil"/>
              <w:left w:val="nil"/>
              <w:bottom w:val="single" w:color="auto" w:sz="4" w:space="0"/>
              <w:right w:val="single" w:color="auto" w:sz="8" w:space="0"/>
            </w:tcBorders>
            <w:shd w:val="clear" w:color="auto" w:fill="auto"/>
            <w:noWrap w:val="0"/>
            <w:vAlign w:val="bottom"/>
          </w:tcPr>
          <w:p w14:paraId="2755170C">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c>
          <w:tcPr>
            <w:tcW w:w="1285" w:type="dxa"/>
            <w:tcBorders>
              <w:top w:val="nil"/>
              <w:left w:val="nil"/>
              <w:bottom w:val="single" w:color="auto" w:sz="4" w:space="0"/>
              <w:right w:val="single" w:color="auto" w:sz="4" w:space="0"/>
            </w:tcBorders>
            <w:shd w:val="clear" w:color="auto" w:fill="auto"/>
            <w:noWrap w:val="0"/>
            <w:vAlign w:val="bottom"/>
          </w:tcPr>
          <w:p w14:paraId="1AD2A7F5">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c>
          <w:tcPr>
            <w:tcW w:w="1275" w:type="dxa"/>
            <w:tcBorders>
              <w:top w:val="nil"/>
              <w:left w:val="nil"/>
              <w:bottom w:val="single" w:color="auto" w:sz="4" w:space="0"/>
              <w:right w:val="single" w:color="auto" w:sz="4" w:space="0"/>
            </w:tcBorders>
            <w:shd w:val="clear" w:color="auto" w:fill="auto"/>
            <w:noWrap w:val="0"/>
            <w:vAlign w:val="bottom"/>
          </w:tcPr>
          <w:p w14:paraId="4D763450">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c>
          <w:tcPr>
            <w:tcW w:w="1221" w:type="dxa"/>
            <w:tcBorders>
              <w:top w:val="nil"/>
              <w:left w:val="nil"/>
              <w:bottom w:val="single" w:color="auto" w:sz="4" w:space="0"/>
              <w:right w:val="single" w:color="auto" w:sz="8" w:space="0"/>
            </w:tcBorders>
            <w:shd w:val="clear" w:color="auto" w:fill="auto"/>
            <w:noWrap w:val="0"/>
            <w:vAlign w:val="bottom"/>
          </w:tcPr>
          <w:p w14:paraId="3013C9AA">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kern w:val="0"/>
                <w:sz w:val="18"/>
                <w:szCs w:val="18"/>
                <w:highlight w:val="none"/>
                <w:lang w:eastAsia="zh-CN"/>
              </w:rPr>
            </w:pPr>
          </w:p>
        </w:tc>
      </w:tr>
      <w:tr w14:paraId="08173EAB">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noWrap w:val="0"/>
            <w:vAlign w:val="bottom"/>
          </w:tcPr>
          <w:p w14:paraId="0A8CC449">
            <w:pPr>
              <w:keepNext w:val="0"/>
              <w:keepLines w:val="0"/>
              <w:pageBreakBefore w:val="0"/>
              <w:widowControl w:val="0"/>
              <w:shd w:val="clear"/>
              <w:kinsoku/>
              <w:wordWrap/>
              <w:overflowPunct/>
              <w:topLinePunct w:val="0"/>
              <w:bidi w:val="0"/>
              <w:jc w:val="left"/>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15、租赁和商务服务业</w:t>
            </w:r>
          </w:p>
        </w:tc>
        <w:tc>
          <w:tcPr>
            <w:tcW w:w="1498" w:type="dxa"/>
            <w:tcBorders>
              <w:top w:val="nil"/>
              <w:left w:val="nil"/>
              <w:bottom w:val="single" w:color="auto" w:sz="4" w:space="0"/>
              <w:right w:val="single" w:color="auto" w:sz="4" w:space="0"/>
            </w:tcBorders>
            <w:shd w:val="clear" w:color="auto" w:fill="auto"/>
            <w:noWrap w:val="0"/>
            <w:vAlign w:val="bottom"/>
          </w:tcPr>
          <w:p w14:paraId="2C90CF30">
            <w:pPr>
              <w:keepNext w:val="0"/>
              <w:keepLines w:val="0"/>
              <w:pageBreakBefore w:val="0"/>
              <w:widowControl w:val="0"/>
              <w:shd w:val="clear"/>
              <w:kinsoku/>
              <w:wordWrap/>
              <w:overflowPunct/>
              <w:topLinePunct w:val="0"/>
              <w:bidi w:val="0"/>
              <w:jc w:val="left"/>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noWrap w:val="0"/>
            <w:vAlign w:val="bottom"/>
          </w:tcPr>
          <w:p w14:paraId="7E81D4F3">
            <w:pPr>
              <w:keepNext w:val="0"/>
              <w:keepLines w:val="0"/>
              <w:pageBreakBefore w:val="0"/>
              <w:widowControl w:val="0"/>
              <w:shd w:val="clear"/>
              <w:kinsoku/>
              <w:wordWrap/>
              <w:overflowPunct/>
              <w:topLinePunct w:val="0"/>
              <w:bidi w:val="0"/>
              <w:jc w:val="left"/>
              <w:outlineLvl w:val="9"/>
              <w:rPr>
                <w:rFonts w:hint="eastAsia" w:ascii="宋体" w:hAnsi="宋体" w:eastAsia="宋体" w:cs="宋体"/>
                <w:b w:val="0"/>
                <w:bCs w:val="0"/>
                <w:color w:val="auto"/>
                <w:kern w:val="0"/>
                <w:sz w:val="18"/>
                <w:szCs w:val="18"/>
                <w:highlight w:val="none"/>
                <w:lang w:eastAsia="zh-CN"/>
              </w:rPr>
            </w:pPr>
          </w:p>
        </w:tc>
        <w:tc>
          <w:tcPr>
            <w:tcW w:w="1660" w:type="dxa"/>
            <w:tcBorders>
              <w:top w:val="nil"/>
              <w:left w:val="nil"/>
              <w:bottom w:val="single" w:color="auto" w:sz="4" w:space="0"/>
              <w:right w:val="single" w:color="auto" w:sz="8" w:space="0"/>
            </w:tcBorders>
            <w:shd w:val="clear" w:color="auto" w:fill="auto"/>
            <w:noWrap w:val="0"/>
            <w:vAlign w:val="bottom"/>
          </w:tcPr>
          <w:p w14:paraId="151B7D5C">
            <w:pPr>
              <w:keepNext w:val="0"/>
              <w:keepLines w:val="0"/>
              <w:pageBreakBefore w:val="0"/>
              <w:widowControl w:val="0"/>
              <w:shd w:val="clear"/>
              <w:kinsoku/>
              <w:wordWrap/>
              <w:overflowPunct/>
              <w:topLinePunct w:val="0"/>
              <w:bidi w:val="0"/>
              <w:jc w:val="left"/>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8000≤Z＜120000</w:t>
            </w:r>
          </w:p>
        </w:tc>
        <w:tc>
          <w:tcPr>
            <w:tcW w:w="1240" w:type="dxa"/>
            <w:tcBorders>
              <w:top w:val="nil"/>
              <w:left w:val="nil"/>
              <w:bottom w:val="single" w:color="auto" w:sz="4" w:space="0"/>
              <w:right w:val="single" w:color="auto" w:sz="4" w:space="0"/>
            </w:tcBorders>
            <w:shd w:val="clear" w:color="auto" w:fill="auto"/>
            <w:noWrap w:val="0"/>
            <w:vAlign w:val="bottom"/>
          </w:tcPr>
          <w:p w14:paraId="63BE2CBF">
            <w:pPr>
              <w:keepNext w:val="0"/>
              <w:keepLines w:val="0"/>
              <w:pageBreakBefore w:val="0"/>
              <w:widowControl w:val="0"/>
              <w:shd w:val="clear"/>
              <w:kinsoku/>
              <w:wordWrap/>
              <w:overflowPunct/>
              <w:topLinePunct w:val="0"/>
              <w:bidi w:val="0"/>
              <w:jc w:val="left"/>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noWrap w:val="0"/>
            <w:vAlign w:val="bottom"/>
          </w:tcPr>
          <w:p w14:paraId="5A7CCEEC">
            <w:pPr>
              <w:keepNext w:val="0"/>
              <w:keepLines w:val="0"/>
              <w:pageBreakBefore w:val="0"/>
              <w:widowControl w:val="0"/>
              <w:shd w:val="clear"/>
              <w:kinsoku/>
              <w:wordWrap/>
              <w:overflowPunct/>
              <w:topLinePunct w:val="0"/>
              <w:bidi w:val="0"/>
              <w:jc w:val="left"/>
              <w:outlineLvl w:val="9"/>
              <w:rPr>
                <w:rFonts w:hint="eastAsia" w:ascii="宋体" w:hAnsi="宋体" w:eastAsia="宋体" w:cs="宋体"/>
                <w:b w:val="0"/>
                <w:bCs w:val="0"/>
                <w:color w:val="auto"/>
                <w:kern w:val="0"/>
                <w:sz w:val="18"/>
                <w:szCs w:val="18"/>
                <w:highlight w:val="none"/>
                <w:lang w:eastAsia="zh-CN"/>
              </w:rPr>
            </w:pPr>
          </w:p>
        </w:tc>
        <w:tc>
          <w:tcPr>
            <w:tcW w:w="1520" w:type="dxa"/>
            <w:tcBorders>
              <w:top w:val="nil"/>
              <w:left w:val="nil"/>
              <w:bottom w:val="single" w:color="auto" w:sz="4" w:space="0"/>
              <w:right w:val="single" w:color="auto" w:sz="8" w:space="0"/>
            </w:tcBorders>
            <w:shd w:val="clear" w:color="auto" w:fill="auto"/>
            <w:noWrap w:val="0"/>
            <w:vAlign w:val="bottom"/>
          </w:tcPr>
          <w:p w14:paraId="6D30E478">
            <w:pPr>
              <w:keepNext w:val="0"/>
              <w:keepLines w:val="0"/>
              <w:pageBreakBefore w:val="0"/>
              <w:widowControl w:val="0"/>
              <w:shd w:val="clear"/>
              <w:kinsoku/>
              <w:wordWrap/>
              <w:overflowPunct/>
              <w:topLinePunct w:val="0"/>
              <w:bidi w:val="0"/>
              <w:jc w:val="left"/>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100≤Z＜8000</w:t>
            </w:r>
          </w:p>
        </w:tc>
        <w:tc>
          <w:tcPr>
            <w:tcW w:w="1285" w:type="dxa"/>
            <w:tcBorders>
              <w:top w:val="nil"/>
              <w:left w:val="nil"/>
              <w:bottom w:val="single" w:color="auto" w:sz="4" w:space="0"/>
              <w:right w:val="single" w:color="auto" w:sz="4" w:space="0"/>
            </w:tcBorders>
            <w:shd w:val="clear" w:color="auto" w:fill="auto"/>
            <w:noWrap w:val="0"/>
            <w:vAlign w:val="bottom"/>
          </w:tcPr>
          <w:p w14:paraId="1B7181E0">
            <w:pPr>
              <w:keepNext w:val="0"/>
              <w:keepLines w:val="0"/>
              <w:pageBreakBefore w:val="0"/>
              <w:widowControl w:val="0"/>
              <w:shd w:val="clear"/>
              <w:kinsoku/>
              <w:wordWrap/>
              <w:overflowPunct/>
              <w:topLinePunct w:val="0"/>
              <w:bidi w:val="0"/>
              <w:jc w:val="left"/>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noWrap w:val="0"/>
            <w:vAlign w:val="bottom"/>
          </w:tcPr>
          <w:p w14:paraId="739CA520">
            <w:pPr>
              <w:keepNext w:val="0"/>
              <w:keepLines w:val="0"/>
              <w:pageBreakBefore w:val="0"/>
              <w:widowControl w:val="0"/>
              <w:shd w:val="clear"/>
              <w:kinsoku/>
              <w:wordWrap/>
              <w:overflowPunct/>
              <w:topLinePunct w:val="0"/>
              <w:bidi w:val="0"/>
              <w:jc w:val="left"/>
              <w:outlineLvl w:val="9"/>
              <w:rPr>
                <w:rFonts w:hint="eastAsia" w:ascii="宋体" w:hAnsi="宋体" w:eastAsia="宋体" w:cs="宋体"/>
                <w:b w:val="0"/>
                <w:bCs w:val="0"/>
                <w:color w:val="auto"/>
                <w:kern w:val="0"/>
                <w:sz w:val="18"/>
                <w:szCs w:val="18"/>
                <w:highlight w:val="none"/>
                <w:lang w:eastAsia="zh-CN"/>
              </w:rPr>
            </w:pPr>
          </w:p>
        </w:tc>
        <w:tc>
          <w:tcPr>
            <w:tcW w:w="1221" w:type="dxa"/>
            <w:tcBorders>
              <w:top w:val="nil"/>
              <w:left w:val="nil"/>
              <w:bottom w:val="single" w:color="auto" w:sz="4" w:space="0"/>
              <w:right w:val="single" w:color="auto" w:sz="8" w:space="0"/>
            </w:tcBorders>
            <w:shd w:val="clear" w:color="auto" w:fill="auto"/>
            <w:noWrap w:val="0"/>
            <w:vAlign w:val="bottom"/>
          </w:tcPr>
          <w:p w14:paraId="21FE0FF1">
            <w:pPr>
              <w:keepNext w:val="0"/>
              <w:keepLines w:val="0"/>
              <w:pageBreakBefore w:val="0"/>
              <w:widowControl w:val="0"/>
              <w:shd w:val="clear"/>
              <w:kinsoku/>
              <w:wordWrap/>
              <w:overflowPunct/>
              <w:topLinePunct w:val="0"/>
              <w:bidi w:val="0"/>
              <w:jc w:val="left"/>
              <w:outlineLvl w:val="9"/>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Z＜100</w:t>
            </w:r>
          </w:p>
        </w:tc>
      </w:tr>
      <w:tr w14:paraId="326B7837">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8" w:space="0"/>
              <w:right w:val="single" w:color="auto" w:sz="8" w:space="0"/>
            </w:tcBorders>
            <w:shd w:val="clear" w:color="auto" w:fill="auto"/>
            <w:noWrap w:val="0"/>
            <w:vAlign w:val="bottom"/>
          </w:tcPr>
          <w:p w14:paraId="2A5BB634">
            <w:pPr>
              <w:keepNext w:val="0"/>
              <w:keepLines w:val="0"/>
              <w:pageBreakBefore w:val="0"/>
              <w:widowControl w:val="0"/>
              <w:shd w:val="clear"/>
              <w:kinsoku/>
              <w:wordWrap/>
              <w:overflowPunct/>
              <w:topLinePunct w:val="0"/>
              <w:bidi w:val="0"/>
              <w:jc w:val="left"/>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16、其他未列明行业</w:t>
            </w:r>
          </w:p>
        </w:tc>
        <w:tc>
          <w:tcPr>
            <w:tcW w:w="1498" w:type="dxa"/>
            <w:tcBorders>
              <w:top w:val="nil"/>
              <w:left w:val="nil"/>
              <w:bottom w:val="single" w:color="auto" w:sz="8" w:space="0"/>
              <w:right w:val="single" w:color="auto" w:sz="4" w:space="0"/>
            </w:tcBorders>
            <w:shd w:val="clear" w:color="auto" w:fill="auto"/>
            <w:noWrap w:val="0"/>
            <w:vAlign w:val="bottom"/>
          </w:tcPr>
          <w:p w14:paraId="642EE1C9">
            <w:pPr>
              <w:keepNext w:val="0"/>
              <w:keepLines w:val="0"/>
              <w:pageBreakBefore w:val="0"/>
              <w:widowControl w:val="0"/>
              <w:shd w:val="clear"/>
              <w:kinsoku/>
              <w:wordWrap/>
              <w:overflowPunct/>
              <w:topLinePunct w:val="0"/>
              <w:bidi w:val="0"/>
              <w:jc w:val="left"/>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100≤X＜300</w:t>
            </w:r>
          </w:p>
        </w:tc>
        <w:tc>
          <w:tcPr>
            <w:tcW w:w="1763" w:type="dxa"/>
            <w:tcBorders>
              <w:top w:val="nil"/>
              <w:left w:val="nil"/>
              <w:bottom w:val="single" w:color="auto" w:sz="8" w:space="0"/>
              <w:right w:val="single" w:color="auto" w:sz="4" w:space="0"/>
            </w:tcBorders>
            <w:shd w:val="clear" w:color="auto" w:fill="auto"/>
            <w:noWrap w:val="0"/>
            <w:vAlign w:val="bottom"/>
          </w:tcPr>
          <w:p w14:paraId="003DA3A2">
            <w:pPr>
              <w:keepNext w:val="0"/>
              <w:keepLines w:val="0"/>
              <w:pageBreakBefore w:val="0"/>
              <w:widowControl w:val="0"/>
              <w:shd w:val="clear"/>
              <w:kinsoku/>
              <w:wordWrap/>
              <w:overflowPunct/>
              <w:topLinePunct w:val="0"/>
              <w:bidi w:val="0"/>
              <w:jc w:val="left"/>
              <w:outlineLvl w:val="9"/>
              <w:rPr>
                <w:rFonts w:hint="eastAsia" w:ascii="宋体" w:hAnsi="宋体" w:eastAsia="宋体" w:cs="宋体"/>
                <w:b/>
                <w:bCs/>
                <w:color w:val="auto"/>
                <w:kern w:val="0"/>
                <w:sz w:val="18"/>
                <w:szCs w:val="18"/>
                <w:highlight w:val="none"/>
                <w:lang w:eastAsia="zh-CN"/>
              </w:rPr>
            </w:pPr>
          </w:p>
        </w:tc>
        <w:tc>
          <w:tcPr>
            <w:tcW w:w="1660" w:type="dxa"/>
            <w:tcBorders>
              <w:top w:val="nil"/>
              <w:left w:val="nil"/>
              <w:bottom w:val="single" w:color="auto" w:sz="8" w:space="0"/>
              <w:right w:val="single" w:color="auto" w:sz="8" w:space="0"/>
            </w:tcBorders>
            <w:shd w:val="clear" w:color="auto" w:fill="auto"/>
            <w:noWrap w:val="0"/>
            <w:vAlign w:val="bottom"/>
          </w:tcPr>
          <w:p w14:paraId="5FD23F8B">
            <w:pPr>
              <w:keepNext w:val="0"/>
              <w:keepLines w:val="0"/>
              <w:pageBreakBefore w:val="0"/>
              <w:widowControl w:val="0"/>
              <w:shd w:val="clear"/>
              <w:kinsoku/>
              <w:wordWrap/>
              <w:overflowPunct/>
              <w:topLinePunct w:val="0"/>
              <w:bidi w:val="0"/>
              <w:jc w:val="left"/>
              <w:outlineLvl w:val="9"/>
              <w:rPr>
                <w:rFonts w:hint="eastAsia" w:ascii="宋体" w:hAnsi="宋体" w:eastAsia="宋体" w:cs="宋体"/>
                <w:b/>
                <w:bCs/>
                <w:color w:val="auto"/>
                <w:kern w:val="0"/>
                <w:sz w:val="18"/>
                <w:szCs w:val="18"/>
                <w:highlight w:val="none"/>
                <w:lang w:eastAsia="zh-CN"/>
              </w:rPr>
            </w:pPr>
          </w:p>
        </w:tc>
        <w:tc>
          <w:tcPr>
            <w:tcW w:w="1240" w:type="dxa"/>
            <w:tcBorders>
              <w:top w:val="nil"/>
              <w:left w:val="nil"/>
              <w:bottom w:val="single" w:color="auto" w:sz="8" w:space="0"/>
              <w:right w:val="single" w:color="auto" w:sz="4" w:space="0"/>
            </w:tcBorders>
            <w:shd w:val="clear" w:color="auto" w:fill="auto"/>
            <w:noWrap w:val="0"/>
            <w:vAlign w:val="bottom"/>
          </w:tcPr>
          <w:p w14:paraId="093CBD8E">
            <w:pPr>
              <w:keepNext w:val="0"/>
              <w:keepLines w:val="0"/>
              <w:pageBreakBefore w:val="0"/>
              <w:widowControl w:val="0"/>
              <w:shd w:val="clear"/>
              <w:kinsoku/>
              <w:wordWrap/>
              <w:overflowPunct/>
              <w:topLinePunct w:val="0"/>
              <w:bidi w:val="0"/>
              <w:jc w:val="left"/>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10≤X＜100</w:t>
            </w:r>
          </w:p>
        </w:tc>
        <w:tc>
          <w:tcPr>
            <w:tcW w:w="1480" w:type="dxa"/>
            <w:tcBorders>
              <w:top w:val="nil"/>
              <w:left w:val="nil"/>
              <w:bottom w:val="single" w:color="auto" w:sz="8" w:space="0"/>
              <w:right w:val="single" w:color="auto" w:sz="4" w:space="0"/>
            </w:tcBorders>
            <w:shd w:val="clear" w:color="auto" w:fill="auto"/>
            <w:noWrap w:val="0"/>
            <w:vAlign w:val="bottom"/>
          </w:tcPr>
          <w:p w14:paraId="57D7D7D1">
            <w:pPr>
              <w:keepNext w:val="0"/>
              <w:keepLines w:val="0"/>
              <w:pageBreakBefore w:val="0"/>
              <w:widowControl w:val="0"/>
              <w:shd w:val="clear"/>
              <w:kinsoku/>
              <w:wordWrap/>
              <w:overflowPunct/>
              <w:topLinePunct w:val="0"/>
              <w:bidi w:val="0"/>
              <w:jc w:val="left"/>
              <w:outlineLvl w:val="9"/>
              <w:rPr>
                <w:rFonts w:hint="eastAsia" w:ascii="宋体" w:hAnsi="宋体" w:eastAsia="宋体" w:cs="宋体"/>
                <w:b/>
                <w:bCs/>
                <w:color w:val="auto"/>
                <w:kern w:val="0"/>
                <w:sz w:val="18"/>
                <w:szCs w:val="18"/>
                <w:highlight w:val="none"/>
                <w:lang w:eastAsia="zh-CN"/>
              </w:rPr>
            </w:pPr>
          </w:p>
        </w:tc>
        <w:tc>
          <w:tcPr>
            <w:tcW w:w="1520" w:type="dxa"/>
            <w:tcBorders>
              <w:top w:val="nil"/>
              <w:left w:val="nil"/>
              <w:bottom w:val="single" w:color="auto" w:sz="8" w:space="0"/>
              <w:right w:val="single" w:color="auto" w:sz="8" w:space="0"/>
            </w:tcBorders>
            <w:shd w:val="clear" w:color="auto" w:fill="auto"/>
            <w:noWrap w:val="0"/>
            <w:vAlign w:val="bottom"/>
          </w:tcPr>
          <w:p w14:paraId="0C22A05B">
            <w:pPr>
              <w:keepNext w:val="0"/>
              <w:keepLines w:val="0"/>
              <w:pageBreakBefore w:val="0"/>
              <w:widowControl w:val="0"/>
              <w:shd w:val="clear"/>
              <w:kinsoku/>
              <w:wordWrap/>
              <w:overflowPunct/>
              <w:topLinePunct w:val="0"/>
              <w:bidi w:val="0"/>
              <w:jc w:val="left"/>
              <w:outlineLvl w:val="9"/>
              <w:rPr>
                <w:rFonts w:hint="eastAsia" w:ascii="宋体" w:hAnsi="宋体" w:eastAsia="宋体" w:cs="宋体"/>
                <w:b/>
                <w:bCs/>
                <w:color w:val="auto"/>
                <w:kern w:val="0"/>
                <w:sz w:val="18"/>
                <w:szCs w:val="18"/>
                <w:highlight w:val="none"/>
                <w:lang w:eastAsia="zh-CN"/>
              </w:rPr>
            </w:pPr>
          </w:p>
        </w:tc>
        <w:tc>
          <w:tcPr>
            <w:tcW w:w="1285" w:type="dxa"/>
            <w:tcBorders>
              <w:top w:val="nil"/>
              <w:left w:val="nil"/>
              <w:bottom w:val="single" w:color="auto" w:sz="8" w:space="0"/>
              <w:right w:val="single" w:color="auto" w:sz="4" w:space="0"/>
            </w:tcBorders>
            <w:shd w:val="clear" w:color="auto" w:fill="auto"/>
            <w:noWrap w:val="0"/>
            <w:vAlign w:val="bottom"/>
          </w:tcPr>
          <w:p w14:paraId="2E173150">
            <w:pPr>
              <w:keepNext w:val="0"/>
              <w:keepLines w:val="0"/>
              <w:pageBreakBefore w:val="0"/>
              <w:widowControl w:val="0"/>
              <w:shd w:val="clear"/>
              <w:kinsoku/>
              <w:wordWrap/>
              <w:overflowPunct/>
              <w:topLinePunct w:val="0"/>
              <w:bidi w:val="0"/>
              <w:jc w:val="left"/>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X＜10</w:t>
            </w:r>
          </w:p>
        </w:tc>
        <w:tc>
          <w:tcPr>
            <w:tcW w:w="1275" w:type="dxa"/>
            <w:tcBorders>
              <w:top w:val="nil"/>
              <w:left w:val="nil"/>
              <w:bottom w:val="single" w:color="auto" w:sz="8" w:space="0"/>
              <w:right w:val="single" w:color="auto" w:sz="4" w:space="0"/>
            </w:tcBorders>
            <w:shd w:val="clear" w:color="auto" w:fill="auto"/>
            <w:noWrap w:val="0"/>
            <w:vAlign w:val="bottom"/>
          </w:tcPr>
          <w:p w14:paraId="700161F0">
            <w:pPr>
              <w:keepNext w:val="0"/>
              <w:keepLines w:val="0"/>
              <w:pageBreakBefore w:val="0"/>
              <w:widowControl w:val="0"/>
              <w:shd w:val="clear"/>
              <w:kinsoku/>
              <w:wordWrap/>
              <w:overflowPunct/>
              <w:topLinePunct w:val="0"/>
              <w:bidi w:val="0"/>
              <w:jc w:val="left"/>
              <w:outlineLvl w:val="9"/>
              <w:rPr>
                <w:rFonts w:hint="eastAsia" w:ascii="宋体" w:hAnsi="宋体" w:eastAsia="宋体" w:cs="宋体"/>
                <w:b/>
                <w:bCs/>
                <w:color w:val="auto"/>
                <w:kern w:val="0"/>
                <w:sz w:val="18"/>
                <w:szCs w:val="18"/>
                <w:highlight w:val="none"/>
                <w:lang w:eastAsia="zh-CN"/>
              </w:rPr>
            </w:pPr>
          </w:p>
        </w:tc>
        <w:tc>
          <w:tcPr>
            <w:tcW w:w="1221" w:type="dxa"/>
            <w:tcBorders>
              <w:top w:val="nil"/>
              <w:left w:val="nil"/>
              <w:bottom w:val="single" w:color="auto" w:sz="8" w:space="0"/>
              <w:right w:val="single" w:color="auto" w:sz="8" w:space="0"/>
            </w:tcBorders>
            <w:shd w:val="clear" w:color="auto" w:fill="auto"/>
            <w:noWrap w:val="0"/>
            <w:vAlign w:val="bottom"/>
          </w:tcPr>
          <w:p w14:paraId="3FB11914">
            <w:pPr>
              <w:keepNext w:val="0"/>
              <w:keepLines w:val="0"/>
              <w:pageBreakBefore w:val="0"/>
              <w:widowControl w:val="0"/>
              <w:shd w:val="clear"/>
              <w:kinsoku/>
              <w:wordWrap/>
              <w:overflowPunct/>
              <w:topLinePunct w:val="0"/>
              <w:bidi w:val="0"/>
              <w:jc w:val="left"/>
              <w:outlineLvl w:val="9"/>
              <w:rPr>
                <w:rFonts w:hint="eastAsia" w:ascii="宋体" w:hAnsi="宋体" w:eastAsia="宋体" w:cs="宋体"/>
                <w:b/>
                <w:bCs/>
                <w:color w:val="auto"/>
                <w:kern w:val="0"/>
                <w:sz w:val="18"/>
                <w:szCs w:val="18"/>
                <w:highlight w:val="none"/>
                <w:lang w:eastAsia="zh-CN"/>
              </w:rPr>
            </w:pPr>
          </w:p>
        </w:tc>
      </w:tr>
      <w:tr w14:paraId="43999AFE">
        <w:tblPrEx>
          <w:tblCellMar>
            <w:top w:w="0" w:type="dxa"/>
            <w:left w:w="108" w:type="dxa"/>
            <w:bottom w:w="0" w:type="dxa"/>
            <w:right w:w="108" w:type="dxa"/>
          </w:tblCellMar>
        </w:tblPrEx>
        <w:trPr>
          <w:trHeight w:val="285" w:hRule="atLeast"/>
        </w:trPr>
        <w:tc>
          <w:tcPr>
            <w:tcW w:w="15318" w:type="dxa"/>
            <w:gridSpan w:val="10"/>
            <w:tcBorders>
              <w:top w:val="nil"/>
              <w:left w:val="nil"/>
              <w:bottom w:val="nil"/>
              <w:right w:val="nil"/>
            </w:tcBorders>
            <w:shd w:val="clear" w:color="auto" w:fill="auto"/>
            <w:noWrap w:val="0"/>
            <w:vAlign w:val="bottom"/>
          </w:tcPr>
          <w:p w14:paraId="12F6B2C0">
            <w:pPr>
              <w:keepNext w:val="0"/>
              <w:keepLines w:val="0"/>
              <w:pageBreakBefore w:val="0"/>
              <w:widowControl w:val="0"/>
              <w:shd w:val="clear"/>
              <w:kinsoku/>
              <w:wordWrap/>
              <w:overflowPunct/>
              <w:topLinePunct w:val="0"/>
              <w:bidi w:val="0"/>
              <w:jc w:val="left"/>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1、企业类型的划分以统计部门的统计数据为依据。</w:t>
            </w:r>
          </w:p>
          <w:p w14:paraId="6DA45AAC">
            <w:pPr>
              <w:keepNext w:val="0"/>
              <w:keepLines w:val="0"/>
              <w:pageBreakBefore w:val="0"/>
              <w:widowControl w:val="0"/>
              <w:shd w:val="clear"/>
              <w:kinsoku/>
              <w:wordWrap/>
              <w:overflowPunct/>
              <w:topLinePunct w:val="0"/>
              <w:bidi w:val="0"/>
              <w:ind w:firstLine="540" w:firstLineChars="300"/>
              <w:jc w:val="left"/>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2、个体工商户和本规定以外的行业，参照本规定进行划型。</w:t>
            </w:r>
          </w:p>
          <w:p w14:paraId="183DEBC7">
            <w:pPr>
              <w:keepNext w:val="0"/>
              <w:keepLines w:val="0"/>
              <w:pageBreakBefore w:val="0"/>
              <w:widowControl w:val="0"/>
              <w:shd w:val="clear"/>
              <w:kinsoku/>
              <w:wordWrap/>
              <w:overflowPunct/>
              <w:topLinePunct w:val="0"/>
              <w:bidi w:val="0"/>
              <w:ind w:firstLine="540" w:firstLineChars="300"/>
              <w:jc w:val="left"/>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3、本规定的中型企业标准上限即为大型企业标准的下限。</w:t>
            </w:r>
          </w:p>
        </w:tc>
      </w:tr>
    </w:tbl>
    <w:p w14:paraId="70B849A4">
      <w:pPr>
        <w:pStyle w:val="2"/>
        <w:keepNext w:val="0"/>
        <w:keepLines w:val="0"/>
        <w:pageBreakBefore w:val="0"/>
        <w:widowControl w:val="0"/>
        <w:shd w:val="clear"/>
        <w:kinsoku/>
        <w:wordWrap/>
        <w:overflowPunct/>
        <w:topLinePunct w:val="0"/>
        <w:bidi w:val="0"/>
        <w:outlineLvl w:val="9"/>
        <w:rPr>
          <w:b/>
          <w:bCs/>
          <w:color w:val="auto"/>
          <w:highlight w:val="none"/>
        </w:rPr>
      </w:pPr>
    </w:p>
    <w:sectPr>
      <w:headerReference r:id="rId16" w:type="default"/>
      <w:footerReference r:id="rId17" w:type="default"/>
      <w:pgSz w:w="16838" w:h="11906" w:orient="landscape"/>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F44688E-2620-4CEE-A65A-AEA06AFA03B5}"/>
  </w:font>
  <w:font w:name="黑体">
    <w:panose1 w:val="02010609060101010101"/>
    <w:charset w:val="86"/>
    <w:family w:val="auto"/>
    <w:pitch w:val="default"/>
    <w:sig w:usb0="800002BF" w:usb1="38CF7CFA" w:usb2="00000016" w:usb3="00000000" w:csb0="00040001" w:csb1="00000000"/>
    <w:embedRegular r:id="rId2" w:fontKey="{F76083FA-0D12-44B9-99E6-4BD15079BF67}"/>
  </w:font>
  <w:font w:name="Courier New">
    <w:panose1 w:val="02070309020205020404"/>
    <w:charset w:val="01"/>
    <w:family w:val="modern"/>
    <w:pitch w:val="default"/>
    <w:sig w:usb0="E0002AFF" w:usb1="C0007843" w:usb2="00000009" w:usb3="00000000" w:csb0="400001FF" w:csb1="FFFF0000"/>
    <w:embedRegular r:id="rId3" w:fontKey="{A69396D5-8D11-4361-814A-4DB579DC1D8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EF6CECAF-608B-4504-BCE6-CE9752B214D4}"/>
  </w:font>
  <w:font w:name="仿宋_GB2312">
    <w:panose1 w:val="02010609030101010101"/>
    <w:charset w:val="86"/>
    <w:family w:val="modern"/>
    <w:pitch w:val="default"/>
    <w:sig w:usb0="00000001" w:usb1="080E0000" w:usb2="00000000" w:usb3="00000000" w:csb0="00040000" w:csb1="00000000"/>
    <w:embedRegular r:id="rId5" w:fontKey="{37078BAC-11B0-40D6-8963-A03AA6068645}"/>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30204"/>
    <w:charset w:val="00"/>
    <w:family w:val="swiss"/>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汉鼎简细圆">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6" w:fontKey="{2594C127-577C-4D19-A72F-177DEF24E672}"/>
  </w:font>
  <w:font w:name="新宋体">
    <w:panose1 w:val="02010609030101010101"/>
    <w:charset w:val="86"/>
    <w:family w:val="modern"/>
    <w:pitch w:val="default"/>
    <w:sig w:usb0="00000003" w:usb1="288F0000" w:usb2="00000006" w:usb3="00000000" w:csb0="00040001" w:csb1="00000000"/>
    <w:embedRegular r:id="rId7" w:fontKey="{3A4EF66F-A662-424F-84EA-35C50207F2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2A804">
    <w:pPr>
      <w:pStyle w:val="31"/>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701FF">
    <w:pPr>
      <w:pStyle w:val="31"/>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8DAB6D7">
                          <w:pPr>
                            <w:pStyle w:val="31"/>
                            <w:jc w:val="center"/>
                            <w:rPr>
                              <w:rStyle w:val="49"/>
                            </w:rPr>
                          </w:pPr>
                          <w:r>
                            <w:fldChar w:fldCharType="begin"/>
                          </w:r>
                          <w:r>
                            <w:rPr>
                              <w:rStyle w:val="49"/>
                            </w:rPr>
                            <w:instrText xml:space="preserve">PAGE  </w:instrText>
                          </w:r>
                          <w:r>
                            <w:fldChar w:fldCharType="separate"/>
                          </w:r>
                          <w:r>
                            <w:rPr>
                              <w:rStyle w:val="49"/>
                            </w:rPr>
                            <w:t>103</w:t>
                          </w:r>
                          <w:r>
                            <w:fldChar w:fldCharType="end"/>
                          </w:r>
                        </w:p>
                      </w:txbxContent>
                    </wps:txbx>
                    <wps:bodyPr wrap="square"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T2QNIAAAAFAQAADwAAAAAAAAABACAAAAAiAAAAZHJzL2Rvd25yZXYueG1sUEsB&#10;AhQAFAAAAAgAh07iQOmUsbnCAQAAjwMAAA4AAAAAAAAAAQAgAAAAIQEAAGRycy9lMm9Eb2MueG1s&#10;UEsFBgAAAAAGAAYAWQEAAFUFAAAAAA==&#10;">
              <v:fill on="f" focussize="0,0"/>
              <v:stroke on="f"/>
              <v:imagedata o:title=""/>
              <o:lock v:ext="edit" aspectratio="f"/>
              <v:textbox inset="0mm,0mm,0mm,0mm">
                <w:txbxContent>
                  <w:p w14:paraId="38DAB6D7">
                    <w:pPr>
                      <w:pStyle w:val="31"/>
                      <w:jc w:val="center"/>
                      <w:rPr>
                        <w:rStyle w:val="49"/>
                      </w:rPr>
                    </w:pPr>
                    <w:r>
                      <w:fldChar w:fldCharType="begin"/>
                    </w:r>
                    <w:r>
                      <w:rPr>
                        <w:rStyle w:val="49"/>
                      </w:rPr>
                      <w:instrText xml:space="preserve">PAGE  </w:instrText>
                    </w:r>
                    <w:r>
                      <w:fldChar w:fldCharType="separate"/>
                    </w:r>
                    <w:r>
                      <w:rPr>
                        <w:rStyle w:val="49"/>
                      </w:rPr>
                      <w:t>103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1E237">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B3F9C">
    <w:pPr>
      <w:pStyle w:val="31"/>
      <w:tabs>
        <w:tab w:val="center" w:pos="4312"/>
        <w:tab w:val="left" w:pos="4894"/>
      </w:tabs>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4BF5">
    <w:pPr>
      <w:pStyle w:val="3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12364011"/>
                          </w:sdtPr>
                          <w:sdtContent>
                            <w:p w14:paraId="47FFF284">
                              <w:pPr>
                                <w:pStyle w:val="31"/>
                                <w:jc w:val="center"/>
                              </w:pPr>
                              <w:r>
                                <w:fldChar w:fldCharType="begin"/>
                              </w:r>
                              <w:r>
                                <w:instrText xml:space="preserve">PAGE   \* MERGEFORMAT</w:instrText>
                              </w:r>
                              <w:r>
                                <w:fldChar w:fldCharType="separate"/>
                              </w:r>
                              <w:r>
                                <w:rPr>
                                  <w:lang w:val="zh-CN"/>
                                </w:rPr>
                                <w:t>26</w:t>
                              </w:r>
                              <w:r>
                                <w:fldChar w:fldCharType="end"/>
                              </w:r>
                            </w:p>
                          </w:sdtContent>
                        </w:sdt>
                        <w:p w14:paraId="3082A41E">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412364011"/>
                    </w:sdtPr>
                    <w:sdtContent>
                      <w:p w14:paraId="47FFF284">
                        <w:pPr>
                          <w:pStyle w:val="31"/>
                          <w:jc w:val="center"/>
                        </w:pPr>
                        <w:r>
                          <w:fldChar w:fldCharType="begin"/>
                        </w:r>
                        <w:r>
                          <w:instrText xml:space="preserve">PAGE   \* MERGEFORMAT</w:instrText>
                        </w:r>
                        <w:r>
                          <w:fldChar w:fldCharType="separate"/>
                        </w:r>
                        <w:r>
                          <w:rPr>
                            <w:lang w:val="zh-CN"/>
                          </w:rPr>
                          <w:t>26</w:t>
                        </w:r>
                        <w:r>
                          <w:fldChar w:fldCharType="end"/>
                        </w:r>
                      </w:p>
                    </w:sdtContent>
                  </w:sdt>
                  <w:p w14:paraId="3082A41E">
                    <w:pPr>
                      <w:pStyle w:val="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01CF">
    <w:pPr>
      <w:pStyle w:val="3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2804531"/>
                          </w:sdtPr>
                          <w:sdtContent>
                            <w:p w14:paraId="1CD36C3C">
                              <w:pPr>
                                <w:pStyle w:val="31"/>
                                <w:jc w:val="center"/>
                              </w:pPr>
                              <w:r>
                                <w:fldChar w:fldCharType="begin"/>
                              </w:r>
                              <w:r>
                                <w:instrText xml:space="preserve">PAGE   \* MERGEFORMAT</w:instrText>
                              </w:r>
                              <w:r>
                                <w:fldChar w:fldCharType="separate"/>
                              </w:r>
                              <w:r>
                                <w:rPr>
                                  <w:lang w:val="zh-CN"/>
                                </w:rPr>
                                <w:t>25</w:t>
                              </w:r>
                              <w:r>
                                <w:fldChar w:fldCharType="end"/>
                              </w:r>
                            </w:p>
                          </w:sdtContent>
                        </w:sdt>
                        <w:p w14:paraId="6FFC02FD">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512804531"/>
                    </w:sdtPr>
                    <w:sdtContent>
                      <w:p w14:paraId="1CD36C3C">
                        <w:pPr>
                          <w:pStyle w:val="31"/>
                          <w:jc w:val="center"/>
                        </w:pPr>
                        <w:r>
                          <w:fldChar w:fldCharType="begin"/>
                        </w:r>
                        <w:r>
                          <w:instrText xml:space="preserve">PAGE   \* MERGEFORMAT</w:instrText>
                        </w:r>
                        <w:r>
                          <w:fldChar w:fldCharType="separate"/>
                        </w:r>
                        <w:r>
                          <w:rPr>
                            <w:lang w:val="zh-CN"/>
                          </w:rPr>
                          <w:t>25</w:t>
                        </w:r>
                        <w:r>
                          <w:fldChar w:fldCharType="end"/>
                        </w:r>
                      </w:p>
                    </w:sdtContent>
                  </w:sdt>
                  <w:p w14:paraId="6FFC02FD">
                    <w:pPr>
                      <w:pStyle w:val="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8DDF5">
    <w:pPr>
      <w:pStyle w:val="3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2756"/>
                          </w:sdtPr>
                          <w:sdtContent>
                            <w:p w14:paraId="38D2CAF2">
                              <w:pPr>
                                <w:pStyle w:val="31"/>
                                <w:jc w:val="center"/>
                              </w:pPr>
                              <w:r>
                                <w:fldChar w:fldCharType="begin"/>
                              </w:r>
                              <w:r>
                                <w:instrText xml:space="preserve">PAGE   \* MERGEFORMAT</w:instrText>
                              </w:r>
                              <w:r>
                                <w:fldChar w:fldCharType="separate"/>
                              </w:r>
                              <w:r>
                                <w:rPr>
                                  <w:lang w:val="zh-CN"/>
                                </w:rPr>
                                <w:t>26</w:t>
                              </w:r>
                              <w:r>
                                <w:fldChar w:fldCharType="end"/>
                              </w:r>
                            </w:p>
                          </w:sdtContent>
                        </w:sdt>
                        <w:p w14:paraId="1B6FD0AB">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47452756"/>
                    </w:sdtPr>
                    <w:sdtContent>
                      <w:p w14:paraId="38D2CAF2">
                        <w:pPr>
                          <w:pStyle w:val="31"/>
                          <w:jc w:val="center"/>
                        </w:pPr>
                        <w:r>
                          <w:fldChar w:fldCharType="begin"/>
                        </w:r>
                        <w:r>
                          <w:instrText xml:space="preserve">PAGE   \* MERGEFORMAT</w:instrText>
                        </w:r>
                        <w:r>
                          <w:fldChar w:fldCharType="separate"/>
                        </w:r>
                        <w:r>
                          <w:rPr>
                            <w:lang w:val="zh-CN"/>
                          </w:rPr>
                          <w:t>26</w:t>
                        </w:r>
                        <w:r>
                          <w:fldChar w:fldCharType="end"/>
                        </w:r>
                      </w:p>
                    </w:sdtContent>
                  </w:sdt>
                  <w:p w14:paraId="1B6FD0AB">
                    <w:pPr>
                      <w:pStyle w:val="2"/>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9676D">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B5149">
                          <w:pPr>
                            <w:pStyle w:val="31"/>
                            <w:rPr>
                              <w:rStyle w:val="49"/>
                            </w:rPr>
                          </w:pPr>
                          <w:r>
                            <w:fldChar w:fldCharType="begin"/>
                          </w:r>
                          <w:r>
                            <w:rPr>
                              <w:rStyle w:val="49"/>
                            </w:rPr>
                            <w:instrText xml:space="preserve">PAGE  </w:instrText>
                          </w:r>
                          <w:r>
                            <w:fldChar w:fldCharType="separate"/>
                          </w:r>
                          <w:r>
                            <w:rPr>
                              <w:rStyle w:val="49"/>
                            </w:rP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5B5149">
                    <w:pPr>
                      <w:pStyle w:val="31"/>
                      <w:rPr>
                        <w:rStyle w:val="49"/>
                      </w:rPr>
                    </w:pPr>
                    <w:r>
                      <w:fldChar w:fldCharType="begin"/>
                    </w:r>
                    <w:r>
                      <w:rPr>
                        <w:rStyle w:val="49"/>
                      </w:rPr>
                      <w:instrText xml:space="preserve">PAGE  </w:instrText>
                    </w:r>
                    <w:r>
                      <w:fldChar w:fldCharType="separate"/>
                    </w:r>
                    <w:r>
                      <w:rPr>
                        <w:rStyle w:val="49"/>
                      </w:rP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283A9">
    <w:pPr>
      <w:pStyle w:val="31"/>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05B0A8">
                          <w:pPr>
                            <w:pStyle w:val="31"/>
                            <w:rPr>
                              <w:rStyle w:val="49"/>
                            </w:rPr>
                          </w:pPr>
                          <w:r>
                            <w:fldChar w:fldCharType="begin"/>
                          </w:r>
                          <w:r>
                            <w:rPr>
                              <w:rStyle w:val="49"/>
                            </w:rPr>
                            <w:instrText xml:space="preserve">PAGE  </w:instrText>
                          </w:r>
                          <w:r>
                            <w:fldChar w:fldCharType="separate"/>
                          </w:r>
                          <w:r>
                            <w:rPr>
                              <w:rStyle w:val="49"/>
                            </w:rPr>
                            <w:t>99</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MDu3afNAQAApwMAAA4AAAAAAAAAAQAgAAAAHwEAAGRycy9l&#10;Mm9Eb2MueG1sUEsFBgAAAAAGAAYAWQEAAF4FAAAAAA==&#10;">
              <v:fill on="f" focussize="0,0"/>
              <v:stroke on="f"/>
              <v:imagedata o:title=""/>
              <o:lock v:ext="edit" aspectratio="f"/>
              <v:textbox inset="0mm,0mm,0mm,0mm" style="mso-fit-shape-to-text:t;">
                <w:txbxContent>
                  <w:p w14:paraId="3F05B0A8">
                    <w:pPr>
                      <w:pStyle w:val="31"/>
                      <w:rPr>
                        <w:rStyle w:val="49"/>
                      </w:rPr>
                    </w:pPr>
                    <w:r>
                      <w:fldChar w:fldCharType="begin"/>
                    </w:r>
                    <w:r>
                      <w:rPr>
                        <w:rStyle w:val="49"/>
                      </w:rPr>
                      <w:instrText xml:space="preserve">PAGE  </w:instrText>
                    </w:r>
                    <w:r>
                      <w:fldChar w:fldCharType="separate"/>
                    </w:r>
                    <w:r>
                      <w:rPr>
                        <w:rStyle w:val="49"/>
                      </w:rPr>
                      <w:t>99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CF75">
    <w:pPr>
      <w:pStyle w:val="31"/>
      <w:framePr w:wrap="around" w:vAnchor="text" w:hAnchor="margin" w:xAlign="center" w:y="1"/>
      <w:rPr>
        <w:rStyle w:val="49"/>
      </w:rPr>
    </w:pPr>
    <w:r>
      <w:fldChar w:fldCharType="begin"/>
    </w:r>
    <w:r>
      <w:rPr>
        <w:rStyle w:val="49"/>
      </w:rPr>
      <w:instrText xml:space="preserve">PAGE  </w:instrText>
    </w:r>
    <w:r>
      <w:fldChar w:fldCharType="separate"/>
    </w:r>
    <w:r>
      <w:rPr>
        <w:rStyle w:val="49"/>
      </w:rPr>
      <w:t>3</w:t>
    </w:r>
    <w:r>
      <w:fldChar w:fldCharType="end"/>
    </w:r>
  </w:p>
  <w:p w14:paraId="2E05AAE2">
    <w:pPr>
      <w:pStyle w:val="3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3F65">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1E709">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F442E">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B804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4A7CA">
    <w:pPr>
      <w:pStyle w:val="3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1"/>
      <w:lvlText w:val="%1."/>
      <w:lvlJc w:val="left"/>
      <w:pPr>
        <w:tabs>
          <w:tab w:val="left" w:pos="1200"/>
        </w:tabs>
        <w:ind w:left="1200" w:hanging="360"/>
      </w:pPr>
    </w:lvl>
  </w:abstractNum>
  <w:abstractNum w:abstractNumId="1">
    <w:nsid w:val="00000003"/>
    <w:multiLevelType w:val="singleLevel"/>
    <w:tmpl w:val="00000003"/>
    <w:lvl w:ilvl="0" w:tentative="0">
      <w:start w:val="3"/>
      <w:numFmt w:val="decimal"/>
      <w:suff w:val="nothing"/>
      <w:lvlText w:val="%1."/>
      <w:lvlJc w:val="left"/>
    </w:lvl>
  </w:abstractNum>
  <w:abstractNum w:abstractNumId="2">
    <w:nsid w:val="00000004"/>
    <w:multiLevelType w:val="singleLevel"/>
    <w:tmpl w:val="00000004"/>
    <w:lvl w:ilvl="0" w:tentative="0">
      <w:start w:val="1"/>
      <w:numFmt w:val="decimal"/>
      <w:suff w:val="nothing"/>
      <w:lvlText w:val="%1."/>
      <w:lvlJc w:val="left"/>
      <w:pPr>
        <w:tabs>
          <w:tab w:val="left" w:pos="0"/>
        </w:tabs>
        <w:ind w:left="0" w:firstLine="0"/>
      </w:pPr>
    </w:lvl>
  </w:abstractNum>
  <w:abstractNum w:abstractNumId="3">
    <w:nsid w:val="29D120CC"/>
    <w:multiLevelType w:val="singleLevel"/>
    <w:tmpl w:val="29D120CC"/>
    <w:lvl w:ilvl="0" w:tentative="0">
      <w:start w:val="1"/>
      <w:numFmt w:val="decimal"/>
      <w:suff w:val="nothing"/>
      <w:lvlText w:val="（%1）"/>
      <w:lvlJc w:val="left"/>
      <w:pPr>
        <w:ind w:left="-2"/>
      </w:pPr>
    </w:lvl>
  </w:abstractNum>
  <w:abstractNum w:abstractNumId="4">
    <w:nsid w:val="5950E9B0"/>
    <w:multiLevelType w:val="singleLevel"/>
    <w:tmpl w:val="5950E9B0"/>
    <w:lvl w:ilvl="0" w:tentative="0">
      <w:start w:val="2"/>
      <w:numFmt w:val="decimal"/>
      <w:suff w:val="nothing"/>
      <w:lvlText w:val="%1、"/>
      <w:lvlJc w:val="left"/>
    </w:lvl>
  </w:abstractNum>
  <w:abstractNum w:abstractNumId="5">
    <w:nsid w:val="5C9C1424"/>
    <w:multiLevelType w:val="singleLevel"/>
    <w:tmpl w:val="5C9C1424"/>
    <w:lvl w:ilvl="0" w:tentative="0">
      <w:start w:val="1"/>
      <w:numFmt w:val="decimal"/>
      <w:suff w:val="nothing"/>
      <w:lvlText w:val="（%1）"/>
      <w:lvlJc w:val="left"/>
    </w:lvl>
  </w:abstractNum>
  <w:abstractNum w:abstractNumId="6">
    <w:nsid w:val="5F532B37"/>
    <w:multiLevelType w:val="singleLevel"/>
    <w:tmpl w:val="5F532B37"/>
    <w:lvl w:ilvl="0" w:tentative="0">
      <w:start w:val="5"/>
      <w:numFmt w:val="chineseCounting"/>
      <w:suff w:val="nothing"/>
      <w:lvlText w:val="%1．"/>
      <w:lvlJc w:val="left"/>
      <w:rPr>
        <w:rFonts w:hint="eastAsia"/>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YTlhZmU0YjYzYzIzMjhlZTgyNDAyODAxZjRkYTIifQ=="/>
    <w:docVar w:name="KSO_WPS_MARK_KEY" w:val="bc106a31-cd74-46b9-8191-c2814a2718ce"/>
  </w:docVars>
  <w:rsids>
    <w:rsidRoot w:val="00172A27"/>
    <w:rsid w:val="0000232C"/>
    <w:rsid w:val="00002340"/>
    <w:rsid w:val="00003C84"/>
    <w:rsid w:val="00003E72"/>
    <w:rsid w:val="00004853"/>
    <w:rsid w:val="00004DAD"/>
    <w:rsid w:val="00005402"/>
    <w:rsid w:val="00006B94"/>
    <w:rsid w:val="00010EE5"/>
    <w:rsid w:val="00012249"/>
    <w:rsid w:val="00022EAC"/>
    <w:rsid w:val="00025453"/>
    <w:rsid w:val="0002650F"/>
    <w:rsid w:val="00030EE2"/>
    <w:rsid w:val="000448ED"/>
    <w:rsid w:val="000458CB"/>
    <w:rsid w:val="00045CE8"/>
    <w:rsid w:val="00046414"/>
    <w:rsid w:val="00046D5E"/>
    <w:rsid w:val="00047E2F"/>
    <w:rsid w:val="00050BCE"/>
    <w:rsid w:val="0005393E"/>
    <w:rsid w:val="00053E73"/>
    <w:rsid w:val="00054AF2"/>
    <w:rsid w:val="00056325"/>
    <w:rsid w:val="000571C4"/>
    <w:rsid w:val="00061AEC"/>
    <w:rsid w:val="00062988"/>
    <w:rsid w:val="000657C7"/>
    <w:rsid w:val="00065BE7"/>
    <w:rsid w:val="00066E18"/>
    <w:rsid w:val="000720D7"/>
    <w:rsid w:val="00083CF4"/>
    <w:rsid w:val="000851F4"/>
    <w:rsid w:val="000859B2"/>
    <w:rsid w:val="000923A4"/>
    <w:rsid w:val="000939A6"/>
    <w:rsid w:val="000947C1"/>
    <w:rsid w:val="000A09AF"/>
    <w:rsid w:val="000A3559"/>
    <w:rsid w:val="000A5F5B"/>
    <w:rsid w:val="000B0A91"/>
    <w:rsid w:val="000B1FCD"/>
    <w:rsid w:val="000B2F45"/>
    <w:rsid w:val="000B6BB2"/>
    <w:rsid w:val="000C089B"/>
    <w:rsid w:val="000C37C7"/>
    <w:rsid w:val="000C3838"/>
    <w:rsid w:val="000C4120"/>
    <w:rsid w:val="000C58DC"/>
    <w:rsid w:val="000C5FAD"/>
    <w:rsid w:val="000D35A5"/>
    <w:rsid w:val="000D6E0B"/>
    <w:rsid w:val="000D6E35"/>
    <w:rsid w:val="000D74FA"/>
    <w:rsid w:val="000D79B4"/>
    <w:rsid w:val="000E0064"/>
    <w:rsid w:val="000E1CC3"/>
    <w:rsid w:val="000E61BB"/>
    <w:rsid w:val="000E6730"/>
    <w:rsid w:val="000F0AF6"/>
    <w:rsid w:val="000F5E84"/>
    <w:rsid w:val="00100A19"/>
    <w:rsid w:val="001011D3"/>
    <w:rsid w:val="00106050"/>
    <w:rsid w:val="00107904"/>
    <w:rsid w:val="001143D4"/>
    <w:rsid w:val="00115360"/>
    <w:rsid w:val="00115E82"/>
    <w:rsid w:val="001171B9"/>
    <w:rsid w:val="001218CA"/>
    <w:rsid w:val="00125AC3"/>
    <w:rsid w:val="00127FC4"/>
    <w:rsid w:val="00132400"/>
    <w:rsid w:val="00133732"/>
    <w:rsid w:val="001369E9"/>
    <w:rsid w:val="0013739C"/>
    <w:rsid w:val="001431AF"/>
    <w:rsid w:val="00144528"/>
    <w:rsid w:val="001511C5"/>
    <w:rsid w:val="0015273F"/>
    <w:rsid w:val="0015306E"/>
    <w:rsid w:val="00153870"/>
    <w:rsid w:val="00160260"/>
    <w:rsid w:val="00160606"/>
    <w:rsid w:val="00162145"/>
    <w:rsid w:val="0016652D"/>
    <w:rsid w:val="00166543"/>
    <w:rsid w:val="00170B6D"/>
    <w:rsid w:val="001724DF"/>
    <w:rsid w:val="001726B7"/>
    <w:rsid w:val="00172A27"/>
    <w:rsid w:val="00172BDA"/>
    <w:rsid w:val="00172D19"/>
    <w:rsid w:val="001732A7"/>
    <w:rsid w:val="0017579A"/>
    <w:rsid w:val="001777F8"/>
    <w:rsid w:val="00177DE8"/>
    <w:rsid w:val="00177E04"/>
    <w:rsid w:val="00184837"/>
    <w:rsid w:val="00187F26"/>
    <w:rsid w:val="00190270"/>
    <w:rsid w:val="001917A8"/>
    <w:rsid w:val="001A26A1"/>
    <w:rsid w:val="001A2700"/>
    <w:rsid w:val="001A5587"/>
    <w:rsid w:val="001B0956"/>
    <w:rsid w:val="001B3F2D"/>
    <w:rsid w:val="001B4948"/>
    <w:rsid w:val="001B5175"/>
    <w:rsid w:val="001B60D2"/>
    <w:rsid w:val="001B623B"/>
    <w:rsid w:val="001B667C"/>
    <w:rsid w:val="001B7473"/>
    <w:rsid w:val="001B7DF3"/>
    <w:rsid w:val="001C3AA1"/>
    <w:rsid w:val="001C583B"/>
    <w:rsid w:val="001C66F4"/>
    <w:rsid w:val="001D3DDA"/>
    <w:rsid w:val="001D72C5"/>
    <w:rsid w:val="001D75CC"/>
    <w:rsid w:val="001E0625"/>
    <w:rsid w:val="001E458E"/>
    <w:rsid w:val="001E6092"/>
    <w:rsid w:val="001E68D3"/>
    <w:rsid w:val="001E72FC"/>
    <w:rsid w:val="001F29C6"/>
    <w:rsid w:val="001F5D1A"/>
    <w:rsid w:val="001F7A32"/>
    <w:rsid w:val="0020093D"/>
    <w:rsid w:val="00212619"/>
    <w:rsid w:val="002152F7"/>
    <w:rsid w:val="00215668"/>
    <w:rsid w:val="002178E0"/>
    <w:rsid w:val="00220C43"/>
    <w:rsid w:val="002214B9"/>
    <w:rsid w:val="00222689"/>
    <w:rsid w:val="00223627"/>
    <w:rsid w:val="002270F1"/>
    <w:rsid w:val="00227933"/>
    <w:rsid w:val="002359D4"/>
    <w:rsid w:val="00237C4B"/>
    <w:rsid w:val="00241C15"/>
    <w:rsid w:val="002446EA"/>
    <w:rsid w:val="00246DEC"/>
    <w:rsid w:val="00251396"/>
    <w:rsid w:val="002526DD"/>
    <w:rsid w:val="0026750A"/>
    <w:rsid w:val="00291BB6"/>
    <w:rsid w:val="00293097"/>
    <w:rsid w:val="00295D96"/>
    <w:rsid w:val="002A6653"/>
    <w:rsid w:val="002A77B9"/>
    <w:rsid w:val="002B4A32"/>
    <w:rsid w:val="002B5280"/>
    <w:rsid w:val="002C0995"/>
    <w:rsid w:val="002C16CF"/>
    <w:rsid w:val="002C204D"/>
    <w:rsid w:val="002C49F7"/>
    <w:rsid w:val="002C7B9E"/>
    <w:rsid w:val="002D26B5"/>
    <w:rsid w:val="002D6A42"/>
    <w:rsid w:val="002D7944"/>
    <w:rsid w:val="002D7D28"/>
    <w:rsid w:val="002D7D71"/>
    <w:rsid w:val="002E1BD4"/>
    <w:rsid w:val="002E23EB"/>
    <w:rsid w:val="002E485A"/>
    <w:rsid w:val="002E6792"/>
    <w:rsid w:val="002E703C"/>
    <w:rsid w:val="002F2CDC"/>
    <w:rsid w:val="002F3D11"/>
    <w:rsid w:val="002F4CD2"/>
    <w:rsid w:val="0030392A"/>
    <w:rsid w:val="003045D6"/>
    <w:rsid w:val="0031198D"/>
    <w:rsid w:val="00316F3A"/>
    <w:rsid w:val="00321EE1"/>
    <w:rsid w:val="00322E66"/>
    <w:rsid w:val="003238AF"/>
    <w:rsid w:val="0033032B"/>
    <w:rsid w:val="0033233E"/>
    <w:rsid w:val="003354D9"/>
    <w:rsid w:val="00336E82"/>
    <w:rsid w:val="00337B6B"/>
    <w:rsid w:val="00341CEA"/>
    <w:rsid w:val="0035115F"/>
    <w:rsid w:val="00352BBC"/>
    <w:rsid w:val="00352D20"/>
    <w:rsid w:val="0036250E"/>
    <w:rsid w:val="00363640"/>
    <w:rsid w:val="00364608"/>
    <w:rsid w:val="00377456"/>
    <w:rsid w:val="003775CA"/>
    <w:rsid w:val="00382F61"/>
    <w:rsid w:val="003847A7"/>
    <w:rsid w:val="00386A7C"/>
    <w:rsid w:val="00390CAF"/>
    <w:rsid w:val="00394DA6"/>
    <w:rsid w:val="00397CD1"/>
    <w:rsid w:val="003B148D"/>
    <w:rsid w:val="003B1F83"/>
    <w:rsid w:val="003C1205"/>
    <w:rsid w:val="003C300D"/>
    <w:rsid w:val="003D31B1"/>
    <w:rsid w:val="003D5C70"/>
    <w:rsid w:val="003E4EE3"/>
    <w:rsid w:val="003E7FEB"/>
    <w:rsid w:val="00400C99"/>
    <w:rsid w:val="004011BB"/>
    <w:rsid w:val="0040447C"/>
    <w:rsid w:val="00411240"/>
    <w:rsid w:val="004142E6"/>
    <w:rsid w:val="004151AE"/>
    <w:rsid w:val="004161EB"/>
    <w:rsid w:val="004200E9"/>
    <w:rsid w:val="00422D3C"/>
    <w:rsid w:val="00423717"/>
    <w:rsid w:val="00424243"/>
    <w:rsid w:val="00425CD1"/>
    <w:rsid w:val="00431C5D"/>
    <w:rsid w:val="00434B44"/>
    <w:rsid w:val="00440758"/>
    <w:rsid w:val="0044080A"/>
    <w:rsid w:val="004411EE"/>
    <w:rsid w:val="0044223E"/>
    <w:rsid w:val="00462D6F"/>
    <w:rsid w:val="004633FC"/>
    <w:rsid w:val="0046362F"/>
    <w:rsid w:val="00466513"/>
    <w:rsid w:val="00466E3F"/>
    <w:rsid w:val="00472673"/>
    <w:rsid w:val="004779D6"/>
    <w:rsid w:val="00480482"/>
    <w:rsid w:val="00490214"/>
    <w:rsid w:val="004913C5"/>
    <w:rsid w:val="004929E2"/>
    <w:rsid w:val="00497BEA"/>
    <w:rsid w:val="004A00AB"/>
    <w:rsid w:val="004A02F7"/>
    <w:rsid w:val="004A659B"/>
    <w:rsid w:val="004A75B2"/>
    <w:rsid w:val="004B396D"/>
    <w:rsid w:val="004B4D30"/>
    <w:rsid w:val="004C0033"/>
    <w:rsid w:val="004C08C4"/>
    <w:rsid w:val="004C137F"/>
    <w:rsid w:val="004C22A1"/>
    <w:rsid w:val="004C3F68"/>
    <w:rsid w:val="004C4203"/>
    <w:rsid w:val="004C4F9F"/>
    <w:rsid w:val="004C500C"/>
    <w:rsid w:val="004C521D"/>
    <w:rsid w:val="004C7499"/>
    <w:rsid w:val="004D34F9"/>
    <w:rsid w:val="004E0818"/>
    <w:rsid w:val="004E3AB9"/>
    <w:rsid w:val="004E481E"/>
    <w:rsid w:val="004E50EA"/>
    <w:rsid w:val="004F0D00"/>
    <w:rsid w:val="004F172D"/>
    <w:rsid w:val="004F30A5"/>
    <w:rsid w:val="0050231D"/>
    <w:rsid w:val="00507637"/>
    <w:rsid w:val="005112E1"/>
    <w:rsid w:val="00514FE8"/>
    <w:rsid w:val="0052063E"/>
    <w:rsid w:val="00521A21"/>
    <w:rsid w:val="00530FEB"/>
    <w:rsid w:val="00531338"/>
    <w:rsid w:val="0053249E"/>
    <w:rsid w:val="005332BF"/>
    <w:rsid w:val="005340E2"/>
    <w:rsid w:val="00541690"/>
    <w:rsid w:val="0054497E"/>
    <w:rsid w:val="0054604A"/>
    <w:rsid w:val="00553801"/>
    <w:rsid w:val="005544A1"/>
    <w:rsid w:val="00554696"/>
    <w:rsid w:val="00554C0D"/>
    <w:rsid w:val="00557C5F"/>
    <w:rsid w:val="005649B6"/>
    <w:rsid w:val="00567130"/>
    <w:rsid w:val="00570134"/>
    <w:rsid w:val="0057226B"/>
    <w:rsid w:val="00575C53"/>
    <w:rsid w:val="005763A1"/>
    <w:rsid w:val="005769E9"/>
    <w:rsid w:val="00580428"/>
    <w:rsid w:val="0058768D"/>
    <w:rsid w:val="00597C31"/>
    <w:rsid w:val="005A37B4"/>
    <w:rsid w:val="005B45CC"/>
    <w:rsid w:val="005B5AC9"/>
    <w:rsid w:val="005B63AD"/>
    <w:rsid w:val="005B66A5"/>
    <w:rsid w:val="005B7013"/>
    <w:rsid w:val="005C0CE9"/>
    <w:rsid w:val="005C4515"/>
    <w:rsid w:val="005C5FDA"/>
    <w:rsid w:val="005D3DE6"/>
    <w:rsid w:val="005D5291"/>
    <w:rsid w:val="005D66E7"/>
    <w:rsid w:val="005D6929"/>
    <w:rsid w:val="005E1E93"/>
    <w:rsid w:val="005F0728"/>
    <w:rsid w:val="005F316C"/>
    <w:rsid w:val="005F3572"/>
    <w:rsid w:val="005F581D"/>
    <w:rsid w:val="005F66BA"/>
    <w:rsid w:val="005F6E4E"/>
    <w:rsid w:val="005F780E"/>
    <w:rsid w:val="00601CE6"/>
    <w:rsid w:val="00601F90"/>
    <w:rsid w:val="006046CC"/>
    <w:rsid w:val="00605F3C"/>
    <w:rsid w:val="00611906"/>
    <w:rsid w:val="00621B91"/>
    <w:rsid w:val="00624C85"/>
    <w:rsid w:val="00625816"/>
    <w:rsid w:val="00626F8A"/>
    <w:rsid w:val="00631157"/>
    <w:rsid w:val="00633D43"/>
    <w:rsid w:val="00634F57"/>
    <w:rsid w:val="00635FDE"/>
    <w:rsid w:val="006427FA"/>
    <w:rsid w:val="00643539"/>
    <w:rsid w:val="00645D9C"/>
    <w:rsid w:val="00647708"/>
    <w:rsid w:val="0065211E"/>
    <w:rsid w:val="00656FB7"/>
    <w:rsid w:val="00661885"/>
    <w:rsid w:val="00663962"/>
    <w:rsid w:val="00667073"/>
    <w:rsid w:val="006700E0"/>
    <w:rsid w:val="00671C05"/>
    <w:rsid w:val="006736C5"/>
    <w:rsid w:val="0067438D"/>
    <w:rsid w:val="00676432"/>
    <w:rsid w:val="00680479"/>
    <w:rsid w:val="006805E8"/>
    <w:rsid w:val="006825E3"/>
    <w:rsid w:val="00683314"/>
    <w:rsid w:val="006839AB"/>
    <w:rsid w:val="006840B6"/>
    <w:rsid w:val="006906F3"/>
    <w:rsid w:val="00694C07"/>
    <w:rsid w:val="006A1AFE"/>
    <w:rsid w:val="006A361E"/>
    <w:rsid w:val="006A3F80"/>
    <w:rsid w:val="006A5B26"/>
    <w:rsid w:val="006A64A2"/>
    <w:rsid w:val="006B215C"/>
    <w:rsid w:val="006B56F1"/>
    <w:rsid w:val="006C2AD2"/>
    <w:rsid w:val="006C47EF"/>
    <w:rsid w:val="006C5B33"/>
    <w:rsid w:val="006D09AA"/>
    <w:rsid w:val="006D2F1F"/>
    <w:rsid w:val="006D418A"/>
    <w:rsid w:val="006D61B4"/>
    <w:rsid w:val="006D7C82"/>
    <w:rsid w:val="006E059E"/>
    <w:rsid w:val="006E2343"/>
    <w:rsid w:val="006E36EB"/>
    <w:rsid w:val="006E578F"/>
    <w:rsid w:val="006E6D5E"/>
    <w:rsid w:val="006F4586"/>
    <w:rsid w:val="00707035"/>
    <w:rsid w:val="00710118"/>
    <w:rsid w:val="00710C2C"/>
    <w:rsid w:val="00711644"/>
    <w:rsid w:val="00714828"/>
    <w:rsid w:val="00722CCE"/>
    <w:rsid w:val="007312D7"/>
    <w:rsid w:val="00731EA7"/>
    <w:rsid w:val="00737834"/>
    <w:rsid w:val="00741892"/>
    <w:rsid w:val="007464E6"/>
    <w:rsid w:val="007534E4"/>
    <w:rsid w:val="00755E31"/>
    <w:rsid w:val="007602DF"/>
    <w:rsid w:val="00761BC5"/>
    <w:rsid w:val="00767871"/>
    <w:rsid w:val="00767974"/>
    <w:rsid w:val="0077075A"/>
    <w:rsid w:val="007768A1"/>
    <w:rsid w:val="00784417"/>
    <w:rsid w:val="007859AE"/>
    <w:rsid w:val="00792A25"/>
    <w:rsid w:val="007B18C6"/>
    <w:rsid w:val="007B3FC6"/>
    <w:rsid w:val="007B5179"/>
    <w:rsid w:val="007B63AD"/>
    <w:rsid w:val="007B730B"/>
    <w:rsid w:val="007C1F4A"/>
    <w:rsid w:val="007C21C7"/>
    <w:rsid w:val="007D07F5"/>
    <w:rsid w:val="007D37AF"/>
    <w:rsid w:val="007D6684"/>
    <w:rsid w:val="007D79BE"/>
    <w:rsid w:val="007D7AA0"/>
    <w:rsid w:val="007E0AD6"/>
    <w:rsid w:val="007E1896"/>
    <w:rsid w:val="007E2A24"/>
    <w:rsid w:val="007E361E"/>
    <w:rsid w:val="007E42C2"/>
    <w:rsid w:val="007E6005"/>
    <w:rsid w:val="007E604A"/>
    <w:rsid w:val="007E7193"/>
    <w:rsid w:val="007F5218"/>
    <w:rsid w:val="0080515F"/>
    <w:rsid w:val="00806607"/>
    <w:rsid w:val="00806D44"/>
    <w:rsid w:val="008114F5"/>
    <w:rsid w:val="00814BA8"/>
    <w:rsid w:val="00817020"/>
    <w:rsid w:val="00817314"/>
    <w:rsid w:val="00820131"/>
    <w:rsid w:val="008206AE"/>
    <w:rsid w:val="00823784"/>
    <w:rsid w:val="00835A9B"/>
    <w:rsid w:val="0083654B"/>
    <w:rsid w:val="008419E8"/>
    <w:rsid w:val="00844E16"/>
    <w:rsid w:val="00845F1B"/>
    <w:rsid w:val="00860421"/>
    <w:rsid w:val="008605F3"/>
    <w:rsid w:val="00863284"/>
    <w:rsid w:val="0086654C"/>
    <w:rsid w:val="00867E96"/>
    <w:rsid w:val="00871F60"/>
    <w:rsid w:val="00872DEC"/>
    <w:rsid w:val="0087311A"/>
    <w:rsid w:val="0087440E"/>
    <w:rsid w:val="00877242"/>
    <w:rsid w:val="00877D77"/>
    <w:rsid w:val="00880D1D"/>
    <w:rsid w:val="00886FD7"/>
    <w:rsid w:val="0089065A"/>
    <w:rsid w:val="0089191F"/>
    <w:rsid w:val="00893B52"/>
    <w:rsid w:val="00894737"/>
    <w:rsid w:val="00896276"/>
    <w:rsid w:val="00897984"/>
    <w:rsid w:val="008A08C1"/>
    <w:rsid w:val="008A23D8"/>
    <w:rsid w:val="008A5DC1"/>
    <w:rsid w:val="008B0F6F"/>
    <w:rsid w:val="008B27E6"/>
    <w:rsid w:val="008B2A39"/>
    <w:rsid w:val="008B4B12"/>
    <w:rsid w:val="008B57A1"/>
    <w:rsid w:val="008B5932"/>
    <w:rsid w:val="008B62F1"/>
    <w:rsid w:val="008B6C4A"/>
    <w:rsid w:val="008C16D0"/>
    <w:rsid w:val="008C1D46"/>
    <w:rsid w:val="008D1236"/>
    <w:rsid w:val="008D6C31"/>
    <w:rsid w:val="008E2A17"/>
    <w:rsid w:val="008E4E58"/>
    <w:rsid w:val="008F38F0"/>
    <w:rsid w:val="008F72B5"/>
    <w:rsid w:val="008F79B2"/>
    <w:rsid w:val="00906B23"/>
    <w:rsid w:val="009132E4"/>
    <w:rsid w:val="009144F6"/>
    <w:rsid w:val="00914E19"/>
    <w:rsid w:val="00914E76"/>
    <w:rsid w:val="00916538"/>
    <w:rsid w:val="009216B2"/>
    <w:rsid w:val="00921A3D"/>
    <w:rsid w:val="0092387B"/>
    <w:rsid w:val="0093095C"/>
    <w:rsid w:val="0094011B"/>
    <w:rsid w:val="0094357B"/>
    <w:rsid w:val="00944363"/>
    <w:rsid w:val="0095308E"/>
    <w:rsid w:val="00953D95"/>
    <w:rsid w:val="00955F2B"/>
    <w:rsid w:val="00956E59"/>
    <w:rsid w:val="00963FDD"/>
    <w:rsid w:val="009642CD"/>
    <w:rsid w:val="009656E6"/>
    <w:rsid w:val="009670E2"/>
    <w:rsid w:val="0097079B"/>
    <w:rsid w:val="0098161E"/>
    <w:rsid w:val="009816BB"/>
    <w:rsid w:val="00986025"/>
    <w:rsid w:val="009863B4"/>
    <w:rsid w:val="0099018E"/>
    <w:rsid w:val="00991CEB"/>
    <w:rsid w:val="009920BB"/>
    <w:rsid w:val="00997604"/>
    <w:rsid w:val="009A0C93"/>
    <w:rsid w:val="009A2C82"/>
    <w:rsid w:val="009A5168"/>
    <w:rsid w:val="009B011C"/>
    <w:rsid w:val="009B15CB"/>
    <w:rsid w:val="009B1CE8"/>
    <w:rsid w:val="009B553B"/>
    <w:rsid w:val="009B56C2"/>
    <w:rsid w:val="009B5CA5"/>
    <w:rsid w:val="009C11E1"/>
    <w:rsid w:val="009C2808"/>
    <w:rsid w:val="009C45C3"/>
    <w:rsid w:val="009C72A7"/>
    <w:rsid w:val="009C7E4E"/>
    <w:rsid w:val="009D63E6"/>
    <w:rsid w:val="009D64AE"/>
    <w:rsid w:val="009D664E"/>
    <w:rsid w:val="009D7B62"/>
    <w:rsid w:val="009E44FC"/>
    <w:rsid w:val="009E4CFD"/>
    <w:rsid w:val="009E50B5"/>
    <w:rsid w:val="009F5A8E"/>
    <w:rsid w:val="009F7D29"/>
    <w:rsid w:val="00A011F0"/>
    <w:rsid w:val="00A01462"/>
    <w:rsid w:val="00A0659C"/>
    <w:rsid w:val="00A107E2"/>
    <w:rsid w:val="00A155E7"/>
    <w:rsid w:val="00A20710"/>
    <w:rsid w:val="00A22667"/>
    <w:rsid w:val="00A23717"/>
    <w:rsid w:val="00A2531E"/>
    <w:rsid w:val="00A25FD9"/>
    <w:rsid w:val="00A314C9"/>
    <w:rsid w:val="00A32CAB"/>
    <w:rsid w:val="00A349C0"/>
    <w:rsid w:val="00A352FE"/>
    <w:rsid w:val="00A40ED8"/>
    <w:rsid w:val="00A46B4A"/>
    <w:rsid w:val="00A47709"/>
    <w:rsid w:val="00A50ABD"/>
    <w:rsid w:val="00A52D31"/>
    <w:rsid w:val="00A57BB3"/>
    <w:rsid w:val="00A6231A"/>
    <w:rsid w:val="00A63A48"/>
    <w:rsid w:val="00A6610B"/>
    <w:rsid w:val="00A80D2E"/>
    <w:rsid w:val="00A81DEB"/>
    <w:rsid w:val="00A86F7E"/>
    <w:rsid w:val="00A90B17"/>
    <w:rsid w:val="00A95F8D"/>
    <w:rsid w:val="00A96D0D"/>
    <w:rsid w:val="00A97359"/>
    <w:rsid w:val="00AA42CC"/>
    <w:rsid w:val="00AA68D1"/>
    <w:rsid w:val="00AA699B"/>
    <w:rsid w:val="00AA6DD2"/>
    <w:rsid w:val="00AB0EAA"/>
    <w:rsid w:val="00AB166F"/>
    <w:rsid w:val="00AB1758"/>
    <w:rsid w:val="00AB2ACA"/>
    <w:rsid w:val="00AB4221"/>
    <w:rsid w:val="00AB4B9A"/>
    <w:rsid w:val="00AB61A1"/>
    <w:rsid w:val="00AB7AF3"/>
    <w:rsid w:val="00AC35B8"/>
    <w:rsid w:val="00AC36CA"/>
    <w:rsid w:val="00AC4D9F"/>
    <w:rsid w:val="00AD0530"/>
    <w:rsid w:val="00AD1176"/>
    <w:rsid w:val="00AD3759"/>
    <w:rsid w:val="00AD4807"/>
    <w:rsid w:val="00AD5FB2"/>
    <w:rsid w:val="00AD7C6E"/>
    <w:rsid w:val="00AE4D25"/>
    <w:rsid w:val="00AE796F"/>
    <w:rsid w:val="00AF7501"/>
    <w:rsid w:val="00B0153B"/>
    <w:rsid w:val="00B03353"/>
    <w:rsid w:val="00B045DA"/>
    <w:rsid w:val="00B062DE"/>
    <w:rsid w:val="00B06CB4"/>
    <w:rsid w:val="00B105F9"/>
    <w:rsid w:val="00B10D54"/>
    <w:rsid w:val="00B13A83"/>
    <w:rsid w:val="00B176C1"/>
    <w:rsid w:val="00B21DAE"/>
    <w:rsid w:val="00B2423B"/>
    <w:rsid w:val="00B277FE"/>
    <w:rsid w:val="00B30314"/>
    <w:rsid w:val="00B3175C"/>
    <w:rsid w:val="00B328A3"/>
    <w:rsid w:val="00B3405D"/>
    <w:rsid w:val="00B3486B"/>
    <w:rsid w:val="00B36CF1"/>
    <w:rsid w:val="00B40FF0"/>
    <w:rsid w:val="00B462A1"/>
    <w:rsid w:val="00B53C92"/>
    <w:rsid w:val="00B56961"/>
    <w:rsid w:val="00B57D43"/>
    <w:rsid w:val="00B62200"/>
    <w:rsid w:val="00B66605"/>
    <w:rsid w:val="00B676A7"/>
    <w:rsid w:val="00B72845"/>
    <w:rsid w:val="00B74C66"/>
    <w:rsid w:val="00B91851"/>
    <w:rsid w:val="00B922D3"/>
    <w:rsid w:val="00B969E4"/>
    <w:rsid w:val="00BA2AA2"/>
    <w:rsid w:val="00BA5943"/>
    <w:rsid w:val="00BB1B89"/>
    <w:rsid w:val="00BB2D20"/>
    <w:rsid w:val="00BC1D3F"/>
    <w:rsid w:val="00BC21A8"/>
    <w:rsid w:val="00BC3F6C"/>
    <w:rsid w:val="00BC4767"/>
    <w:rsid w:val="00BD046E"/>
    <w:rsid w:val="00BD2525"/>
    <w:rsid w:val="00BD3F96"/>
    <w:rsid w:val="00BD4C05"/>
    <w:rsid w:val="00BD6920"/>
    <w:rsid w:val="00BE02A2"/>
    <w:rsid w:val="00BE3305"/>
    <w:rsid w:val="00BE4376"/>
    <w:rsid w:val="00BE7F4B"/>
    <w:rsid w:val="00BF064A"/>
    <w:rsid w:val="00BF34E6"/>
    <w:rsid w:val="00BF3CBD"/>
    <w:rsid w:val="00BF661F"/>
    <w:rsid w:val="00BF6990"/>
    <w:rsid w:val="00BF6F8E"/>
    <w:rsid w:val="00C00DC7"/>
    <w:rsid w:val="00C02FA7"/>
    <w:rsid w:val="00C03BE6"/>
    <w:rsid w:val="00C04277"/>
    <w:rsid w:val="00C04463"/>
    <w:rsid w:val="00C05595"/>
    <w:rsid w:val="00C07A38"/>
    <w:rsid w:val="00C11DF7"/>
    <w:rsid w:val="00C14A8F"/>
    <w:rsid w:val="00C21D39"/>
    <w:rsid w:val="00C24ED1"/>
    <w:rsid w:val="00C2566C"/>
    <w:rsid w:val="00C25ECE"/>
    <w:rsid w:val="00C32EF2"/>
    <w:rsid w:val="00C4083D"/>
    <w:rsid w:val="00C41EC4"/>
    <w:rsid w:val="00C43836"/>
    <w:rsid w:val="00C464C2"/>
    <w:rsid w:val="00C54017"/>
    <w:rsid w:val="00C5450C"/>
    <w:rsid w:val="00C55112"/>
    <w:rsid w:val="00C55CB3"/>
    <w:rsid w:val="00C55CD5"/>
    <w:rsid w:val="00C5733D"/>
    <w:rsid w:val="00C62FC3"/>
    <w:rsid w:val="00C74CCB"/>
    <w:rsid w:val="00C75D21"/>
    <w:rsid w:val="00C7732D"/>
    <w:rsid w:val="00C813C4"/>
    <w:rsid w:val="00C85DCD"/>
    <w:rsid w:val="00C90458"/>
    <w:rsid w:val="00C9110D"/>
    <w:rsid w:val="00C95F88"/>
    <w:rsid w:val="00CA161A"/>
    <w:rsid w:val="00CA66D2"/>
    <w:rsid w:val="00CA7F63"/>
    <w:rsid w:val="00CB5BAE"/>
    <w:rsid w:val="00CC0216"/>
    <w:rsid w:val="00CC0E1E"/>
    <w:rsid w:val="00CC148D"/>
    <w:rsid w:val="00CC60B4"/>
    <w:rsid w:val="00CC6477"/>
    <w:rsid w:val="00CD03A9"/>
    <w:rsid w:val="00CD2E3F"/>
    <w:rsid w:val="00CE5D8F"/>
    <w:rsid w:val="00CE7514"/>
    <w:rsid w:val="00CF2E34"/>
    <w:rsid w:val="00CF2FBA"/>
    <w:rsid w:val="00CF3C4A"/>
    <w:rsid w:val="00CF4786"/>
    <w:rsid w:val="00D010EE"/>
    <w:rsid w:val="00D053C3"/>
    <w:rsid w:val="00D07012"/>
    <w:rsid w:val="00D1282E"/>
    <w:rsid w:val="00D1398D"/>
    <w:rsid w:val="00D13E6E"/>
    <w:rsid w:val="00D25BDE"/>
    <w:rsid w:val="00D276FE"/>
    <w:rsid w:val="00D31341"/>
    <w:rsid w:val="00D33117"/>
    <w:rsid w:val="00D4306A"/>
    <w:rsid w:val="00D443D7"/>
    <w:rsid w:val="00D47966"/>
    <w:rsid w:val="00D51F8C"/>
    <w:rsid w:val="00D64707"/>
    <w:rsid w:val="00D668F1"/>
    <w:rsid w:val="00D70976"/>
    <w:rsid w:val="00D7333D"/>
    <w:rsid w:val="00D74243"/>
    <w:rsid w:val="00D77A44"/>
    <w:rsid w:val="00D80415"/>
    <w:rsid w:val="00D8197E"/>
    <w:rsid w:val="00D83B6A"/>
    <w:rsid w:val="00D846DA"/>
    <w:rsid w:val="00D84DA8"/>
    <w:rsid w:val="00D8697E"/>
    <w:rsid w:val="00D93E0E"/>
    <w:rsid w:val="00D94796"/>
    <w:rsid w:val="00DA2A61"/>
    <w:rsid w:val="00DA661A"/>
    <w:rsid w:val="00DA77B8"/>
    <w:rsid w:val="00DB1BA2"/>
    <w:rsid w:val="00DB3CB7"/>
    <w:rsid w:val="00DC04AB"/>
    <w:rsid w:val="00DC1713"/>
    <w:rsid w:val="00DC31C9"/>
    <w:rsid w:val="00DC34AB"/>
    <w:rsid w:val="00DD05CF"/>
    <w:rsid w:val="00DD1A2F"/>
    <w:rsid w:val="00DD207F"/>
    <w:rsid w:val="00DD25F6"/>
    <w:rsid w:val="00DD61FA"/>
    <w:rsid w:val="00DD76C5"/>
    <w:rsid w:val="00DE09BE"/>
    <w:rsid w:val="00DE0B02"/>
    <w:rsid w:val="00DE1395"/>
    <w:rsid w:val="00DE4891"/>
    <w:rsid w:val="00DE53DB"/>
    <w:rsid w:val="00DE583E"/>
    <w:rsid w:val="00DE7517"/>
    <w:rsid w:val="00DF15F4"/>
    <w:rsid w:val="00E05B04"/>
    <w:rsid w:val="00E07C48"/>
    <w:rsid w:val="00E14CEE"/>
    <w:rsid w:val="00E15D28"/>
    <w:rsid w:val="00E17129"/>
    <w:rsid w:val="00E17F26"/>
    <w:rsid w:val="00E221DD"/>
    <w:rsid w:val="00E23182"/>
    <w:rsid w:val="00E236C1"/>
    <w:rsid w:val="00E23F86"/>
    <w:rsid w:val="00E26B67"/>
    <w:rsid w:val="00E331EC"/>
    <w:rsid w:val="00E34A2D"/>
    <w:rsid w:val="00E4152D"/>
    <w:rsid w:val="00E416D8"/>
    <w:rsid w:val="00E42BB2"/>
    <w:rsid w:val="00E45EDE"/>
    <w:rsid w:val="00E50A7B"/>
    <w:rsid w:val="00E52055"/>
    <w:rsid w:val="00E558B6"/>
    <w:rsid w:val="00E55CCD"/>
    <w:rsid w:val="00E5711A"/>
    <w:rsid w:val="00E6008D"/>
    <w:rsid w:val="00E629B7"/>
    <w:rsid w:val="00E62CF1"/>
    <w:rsid w:val="00E65495"/>
    <w:rsid w:val="00E7167C"/>
    <w:rsid w:val="00E72B0F"/>
    <w:rsid w:val="00E72EFB"/>
    <w:rsid w:val="00E765CC"/>
    <w:rsid w:val="00E77C2C"/>
    <w:rsid w:val="00E80BA4"/>
    <w:rsid w:val="00E81ECA"/>
    <w:rsid w:val="00E85938"/>
    <w:rsid w:val="00E859FE"/>
    <w:rsid w:val="00E87EB7"/>
    <w:rsid w:val="00E903C8"/>
    <w:rsid w:val="00E91963"/>
    <w:rsid w:val="00E93766"/>
    <w:rsid w:val="00E94268"/>
    <w:rsid w:val="00E94B76"/>
    <w:rsid w:val="00E95B3D"/>
    <w:rsid w:val="00E9608B"/>
    <w:rsid w:val="00EA5889"/>
    <w:rsid w:val="00EA709F"/>
    <w:rsid w:val="00EB0BF6"/>
    <w:rsid w:val="00EB1E6A"/>
    <w:rsid w:val="00EB3626"/>
    <w:rsid w:val="00EB52C8"/>
    <w:rsid w:val="00EB567D"/>
    <w:rsid w:val="00EC43CB"/>
    <w:rsid w:val="00EC7034"/>
    <w:rsid w:val="00ED256A"/>
    <w:rsid w:val="00ED2A2A"/>
    <w:rsid w:val="00ED2C7C"/>
    <w:rsid w:val="00ED2D63"/>
    <w:rsid w:val="00ED454F"/>
    <w:rsid w:val="00ED6B77"/>
    <w:rsid w:val="00EE57CB"/>
    <w:rsid w:val="00EE610F"/>
    <w:rsid w:val="00EE706B"/>
    <w:rsid w:val="00EE763E"/>
    <w:rsid w:val="00EE76CC"/>
    <w:rsid w:val="00EF169F"/>
    <w:rsid w:val="00EF1C32"/>
    <w:rsid w:val="00EF1EE0"/>
    <w:rsid w:val="00F00082"/>
    <w:rsid w:val="00F00EF7"/>
    <w:rsid w:val="00F06855"/>
    <w:rsid w:val="00F07B34"/>
    <w:rsid w:val="00F14044"/>
    <w:rsid w:val="00F17011"/>
    <w:rsid w:val="00F217C1"/>
    <w:rsid w:val="00F237C3"/>
    <w:rsid w:val="00F2534A"/>
    <w:rsid w:val="00F27798"/>
    <w:rsid w:val="00F3091C"/>
    <w:rsid w:val="00F316AE"/>
    <w:rsid w:val="00F33520"/>
    <w:rsid w:val="00F3584E"/>
    <w:rsid w:val="00F36866"/>
    <w:rsid w:val="00F36EF7"/>
    <w:rsid w:val="00F36FAF"/>
    <w:rsid w:val="00F371AB"/>
    <w:rsid w:val="00F40AB0"/>
    <w:rsid w:val="00F46CA3"/>
    <w:rsid w:val="00F53BE1"/>
    <w:rsid w:val="00F54872"/>
    <w:rsid w:val="00F57638"/>
    <w:rsid w:val="00F62555"/>
    <w:rsid w:val="00F64F3D"/>
    <w:rsid w:val="00F651D9"/>
    <w:rsid w:val="00F66240"/>
    <w:rsid w:val="00F66364"/>
    <w:rsid w:val="00F67110"/>
    <w:rsid w:val="00F70F73"/>
    <w:rsid w:val="00F773EC"/>
    <w:rsid w:val="00F80167"/>
    <w:rsid w:val="00F848C6"/>
    <w:rsid w:val="00F8550B"/>
    <w:rsid w:val="00F86002"/>
    <w:rsid w:val="00F87C5B"/>
    <w:rsid w:val="00F87DE1"/>
    <w:rsid w:val="00F94085"/>
    <w:rsid w:val="00FA559F"/>
    <w:rsid w:val="00FB0848"/>
    <w:rsid w:val="00FB7698"/>
    <w:rsid w:val="00FC034C"/>
    <w:rsid w:val="00FC188A"/>
    <w:rsid w:val="00FC469A"/>
    <w:rsid w:val="00FC5EC7"/>
    <w:rsid w:val="00FC6AC0"/>
    <w:rsid w:val="00FC71E6"/>
    <w:rsid w:val="00FD2A65"/>
    <w:rsid w:val="00FD2B72"/>
    <w:rsid w:val="00FE1459"/>
    <w:rsid w:val="00FE5222"/>
    <w:rsid w:val="00FF0CA3"/>
    <w:rsid w:val="00FF1A5E"/>
    <w:rsid w:val="00FF5AA9"/>
    <w:rsid w:val="00FF5C5B"/>
    <w:rsid w:val="00FF6D6C"/>
    <w:rsid w:val="0162159B"/>
    <w:rsid w:val="01B85939"/>
    <w:rsid w:val="01BB61BD"/>
    <w:rsid w:val="01C875A7"/>
    <w:rsid w:val="01D21907"/>
    <w:rsid w:val="01EB45F2"/>
    <w:rsid w:val="020625FB"/>
    <w:rsid w:val="02620527"/>
    <w:rsid w:val="02795380"/>
    <w:rsid w:val="02C96DB0"/>
    <w:rsid w:val="02FF6845"/>
    <w:rsid w:val="03C84E21"/>
    <w:rsid w:val="044A5EDE"/>
    <w:rsid w:val="04AA5F08"/>
    <w:rsid w:val="050E40F8"/>
    <w:rsid w:val="06C03CAC"/>
    <w:rsid w:val="06D95264"/>
    <w:rsid w:val="07394DD0"/>
    <w:rsid w:val="07996087"/>
    <w:rsid w:val="08932267"/>
    <w:rsid w:val="08A22BF8"/>
    <w:rsid w:val="08C259F6"/>
    <w:rsid w:val="08D23882"/>
    <w:rsid w:val="08FA03DC"/>
    <w:rsid w:val="090E1FF0"/>
    <w:rsid w:val="097C0FAA"/>
    <w:rsid w:val="0A002254"/>
    <w:rsid w:val="0A087413"/>
    <w:rsid w:val="0A147A53"/>
    <w:rsid w:val="0A3C0A8D"/>
    <w:rsid w:val="0A3D307F"/>
    <w:rsid w:val="0AB441DD"/>
    <w:rsid w:val="0ABC1ED9"/>
    <w:rsid w:val="0ABD43CD"/>
    <w:rsid w:val="0AF82081"/>
    <w:rsid w:val="0BA835B8"/>
    <w:rsid w:val="0BBB373A"/>
    <w:rsid w:val="0C0C5AAE"/>
    <w:rsid w:val="0C947A29"/>
    <w:rsid w:val="0CC84DF3"/>
    <w:rsid w:val="0D203C9B"/>
    <w:rsid w:val="0D56303B"/>
    <w:rsid w:val="0DD4218D"/>
    <w:rsid w:val="0EA51D38"/>
    <w:rsid w:val="0F051957"/>
    <w:rsid w:val="0F301163"/>
    <w:rsid w:val="0F334C38"/>
    <w:rsid w:val="0F642CF8"/>
    <w:rsid w:val="0FB65CAC"/>
    <w:rsid w:val="0FC758F8"/>
    <w:rsid w:val="0FF06A88"/>
    <w:rsid w:val="10147E0F"/>
    <w:rsid w:val="10266D7B"/>
    <w:rsid w:val="102B5060"/>
    <w:rsid w:val="10406177"/>
    <w:rsid w:val="113809F6"/>
    <w:rsid w:val="119D01C8"/>
    <w:rsid w:val="12207515"/>
    <w:rsid w:val="123546C8"/>
    <w:rsid w:val="12BF5DF8"/>
    <w:rsid w:val="12E05697"/>
    <w:rsid w:val="137F4200"/>
    <w:rsid w:val="137F6800"/>
    <w:rsid w:val="139C13BB"/>
    <w:rsid w:val="13A75DAC"/>
    <w:rsid w:val="13CA09F7"/>
    <w:rsid w:val="13D939C8"/>
    <w:rsid w:val="143B4022"/>
    <w:rsid w:val="144A2B13"/>
    <w:rsid w:val="144C4A34"/>
    <w:rsid w:val="14AB35FB"/>
    <w:rsid w:val="14BB34A7"/>
    <w:rsid w:val="14C2602F"/>
    <w:rsid w:val="14F50F46"/>
    <w:rsid w:val="15327CA7"/>
    <w:rsid w:val="157732FC"/>
    <w:rsid w:val="15FE6B6D"/>
    <w:rsid w:val="16221E39"/>
    <w:rsid w:val="16236A1C"/>
    <w:rsid w:val="1665050A"/>
    <w:rsid w:val="168F3FC1"/>
    <w:rsid w:val="169D0AD8"/>
    <w:rsid w:val="172F259E"/>
    <w:rsid w:val="174906AB"/>
    <w:rsid w:val="174F5E14"/>
    <w:rsid w:val="17B86550"/>
    <w:rsid w:val="182F2EB5"/>
    <w:rsid w:val="18305A48"/>
    <w:rsid w:val="187015C3"/>
    <w:rsid w:val="189A6EC9"/>
    <w:rsid w:val="18CB5AC6"/>
    <w:rsid w:val="18EF2867"/>
    <w:rsid w:val="19055902"/>
    <w:rsid w:val="192C6C17"/>
    <w:rsid w:val="19FB778E"/>
    <w:rsid w:val="1A0845CE"/>
    <w:rsid w:val="1AC934B7"/>
    <w:rsid w:val="1AF81FEE"/>
    <w:rsid w:val="1B39508C"/>
    <w:rsid w:val="1B3F29C7"/>
    <w:rsid w:val="1BA1188B"/>
    <w:rsid w:val="1C0F2E9C"/>
    <w:rsid w:val="1C7D70BD"/>
    <w:rsid w:val="1CC506F8"/>
    <w:rsid w:val="1D640B2F"/>
    <w:rsid w:val="1E307161"/>
    <w:rsid w:val="1E8459D7"/>
    <w:rsid w:val="1ECE5B24"/>
    <w:rsid w:val="1F2148E7"/>
    <w:rsid w:val="1F3D1604"/>
    <w:rsid w:val="1F787A0A"/>
    <w:rsid w:val="1F9F6779"/>
    <w:rsid w:val="1FCF0E22"/>
    <w:rsid w:val="20077526"/>
    <w:rsid w:val="203A33BA"/>
    <w:rsid w:val="20F25437"/>
    <w:rsid w:val="212F64BC"/>
    <w:rsid w:val="214B6E00"/>
    <w:rsid w:val="219730D1"/>
    <w:rsid w:val="21B345B5"/>
    <w:rsid w:val="21D700B7"/>
    <w:rsid w:val="21D963BE"/>
    <w:rsid w:val="22322BE0"/>
    <w:rsid w:val="22A5481F"/>
    <w:rsid w:val="22AF2762"/>
    <w:rsid w:val="22BA496D"/>
    <w:rsid w:val="230C2EF7"/>
    <w:rsid w:val="23134F76"/>
    <w:rsid w:val="233F546C"/>
    <w:rsid w:val="24140310"/>
    <w:rsid w:val="243C5887"/>
    <w:rsid w:val="245851F6"/>
    <w:rsid w:val="25397F0C"/>
    <w:rsid w:val="25764DB6"/>
    <w:rsid w:val="25A33F10"/>
    <w:rsid w:val="25DB5C14"/>
    <w:rsid w:val="25F52650"/>
    <w:rsid w:val="266A0EB5"/>
    <w:rsid w:val="269C7711"/>
    <w:rsid w:val="26C9458B"/>
    <w:rsid w:val="26F0310B"/>
    <w:rsid w:val="2781724E"/>
    <w:rsid w:val="27A71B32"/>
    <w:rsid w:val="27FB5E50"/>
    <w:rsid w:val="27FD0101"/>
    <w:rsid w:val="28251848"/>
    <w:rsid w:val="2829057B"/>
    <w:rsid w:val="28EB2EE5"/>
    <w:rsid w:val="29124F7B"/>
    <w:rsid w:val="293C0FF3"/>
    <w:rsid w:val="293D1A07"/>
    <w:rsid w:val="29611443"/>
    <w:rsid w:val="297A2260"/>
    <w:rsid w:val="29CF7159"/>
    <w:rsid w:val="2A550833"/>
    <w:rsid w:val="2A5E0991"/>
    <w:rsid w:val="2A616496"/>
    <w:rsid w:val="2A67344C"/>
    <w:rsid w:val="2AA25D4B"/>
    <w:rsid w:val="2AC25681"/>
    <w:rsid w:val="2AE15F6D"/>
    <w:rsid w:val="2B06394A"/>
    <w:rsid w:val="2B2852D9"/>
    <w:rsid w:val="2B28535F"/>
    <w:rsid w:val="2B324AEE"/>
    <w:rsid w:val="2B366D72"/>
    <w:rsid w:val="2BBA2A4D"/>
    <w:rsid w:val="2BE4228F"/>
    <w:rsid w:val="2BEA19B8"/>
    <w:rsid w:val="2D4F5ABF"/>
    <w:rsid w:val="2D6459B8"/>
    <w:rsid w:val="2D900F1E"/>
    <w:rsid w:val="2D90548E"/>
    <w:rsid w:val="2DCE7877"/>
    <w:rsid w:val="2E426D24"/>
    <w:rsid w:val="2E503288"/>
    <w:rsid w:val="2EE76A63"/>
    <w:rsid w:val="2F53333C"/>
    <w:rsid w:val="2FCF38F4"/>
    <w:rsid w:val="2FEF42EB"/>
    <w:rsid w:val="2FF479A2"/>
    <w:rsid w:val="2FFE0506"/>
    <w:rsid w:val="300B243D"/>
    <w:rsid w:val="302F785C"/>
    <w:rsid w:val="30901F3D"/>
    <w:rsid w:val="309B7C47"/>
    <w:rsid w:val="31CF4FB5"/>
    <w:rsid w:val="32A10A97"/>
    <w:rsid w:val="32AB6ADD"/>
    <w:rsid w:val="32BC5610"/>
    <w:rsid w:val="345A52C4"/>
    <w:rsid w:val="347B7798"/>
    <w:rsid w:val="34953230"/>
    <w:rsid w:val="34BD5638"/>
    <w:rsid w:val="34F35160"/>
    <w:rsid w:val="35090AC8"/>
    <w:rsid w:val="35102141"/>
    <w:rsid w:val="35193004"/>
    <w:rsid w:val="354030ED"/>
    <w:rsid w:val="35A93573"/>
    <w:rsid w:val="36D264D8"/>
    <w:rsid w:val="36E653D5"/>
    <w:rsid w:val="376D2DA2"/>
    <w:rsid w:val="37B07A7B"/>
    <w:rsid w:val="38530109"/>
    <w:rsid w:val="38A731D0"/>
    <w:rsid w:val="390B273E"/>
    <w:rsid w:val="39136190"/>
    <w:rsid w:val="394A5C9D"/>
    <w:rsid w:val="397270FA"/>
    <w:rsid w:val="39BC7D90"/>
    <w:rsid w:val="39D7038C"/>
    <w:rsid w:val="3A2A4EC5"/>
    <w:rsid w:val="3A6E06A9"/>
    <w:rsid w:val="3A745EF5"/>
    <w:rsid w:val="3AE617DC"/>
    <w:rsid w:val="3B115D13"/>
    <w:rsid w:val="3B597A59"/>
    <w:rsid w:val="3B5B643B"/>
    <w:rsid w:val="3B820508"/>
    <w:rsid w:val="3B9B1F32"/>
    <w:rsid w:val="3C1E28EE"/>
    <w:rsid w:val="3C4166B2"/>
    <w:rsid w:val="3C69438A"/>
    <w:rsid w:val="3C980B6F"/>
    <w:rsid w:val="3CBD19FA"/>
    <w:rsid w:val="3DD41933"/>
    <w:rsid w:val="3DD72946"/>
    <w:rsid w:val="3E4D2DB7"/>
    <w:rsid w:val="3E6B1947"/>
    <w:rsid w:val="3E8D6B21"/>
    <w:rsid w:val="3EA5160B"/>
    <w:rsid w:val="3F6119DD"/>
    <w:rsid w:val="40311F9D"/>
    <w:rsid w:val="405A550A"/>
    <w:rsid w:val="40E43DC9"/>
    <w:rsid w:val="40E75D7E"/>
    <w:rsid w:val="41CB0627"/>
    <w:rsid w:val="41DC429C"/>
    <w:rsid w:val="41EB5CB5"/>
    <w:rsid w:val="420662CD"/>
    <w:rsid w:val="421551E2"/>
    <w:rsid w:val="42254899"/>
    <w:rsid w:val="42CF3FC4"/>
    <w:rsid w:val="42FA721C"/>
    <w:rsid w:val="43665216"/>
    <w:rsid w:val="44070728"/>
    <w:rsid w:val="44090311"/>
    <w:rsid w:val="441B2E6A"/>
    <w:rsid w:val="444572E8"/>
    <w:rsid w:val="44714970"/>
    <w:rsid w:val="44825B98"/>
    <w:rsid w:val="448B6CF5"/>
    <w:rsid w:val="452774EC"/>
    <w:rsid w:val="457148DF"/>
    <w:rsid w:val="457C0C7E"/>
    <w:rsid w:val="45E8304E"/>
    <w:rsid w:val="45EC17B9"/>
    <w:rsid w:val="45F76490"/>
    <w:rsid w:val="45F861E1"/>
    <w:rsid w:val="46192E91"/>
    <w:rsid w:val="463830AB"/>
    <w:rsid w:val="46896661"/>
    <w:rsid w:val="46BC6216"/>
    <w:rsid w:val="47117CF1"/>
    <w:rsid w:val="472B4AD7"/>
    <w:rsid w:val="478551BE"/>
    <w:rsid w:val="47907D9B"/>
    <w:rsid w:val="47B8315F"/>
    <w:rsid w:val="47E57A2C"/>
    <w:rsid w:val="48330165"/>
    <w:rsid w:val="4885166B"/>
    <w:rsid w:val="48AA518C"/>
    <w:rsid w:val="48E40CC7"/>
    <w:rsid w:val="48E45884"/>
    <w:rsid w:val="492C67CC"/>
    <w:rsid w:val="493E5B0B"/>
    <w:rsid w:val="495031DF"/>
    <w:rsid w:val="49790378"/>
    <w:rsid w:val="499F4A2E"/>
    <w:rsid w:val="49EB0E4B"/>
    <w:rsid w:val="4A4F1A3A"/>
    <w:rsid w:val="4A6358AE"/>
    <w:rsid w:val="4A8318E3"/>
    <w:rsid w:val="4AE93D30"/>
    <w:rsid w:val="4BB12033"/>
    <w:rsid w:val="4BC358AA"/>
    <w:rsid w:val="4BF06B03"/>
    <w:rsid w:val="4BFD5ED1"/>
    <w:rsid w:val="4C266296"/>
    <w:rsid w:val="4C4216B0"/>
    <w:rsid w:val="4C484B4B"/>
    <w:rsid w:val="4C85486A"/>
    <w:rsid w:val="4CEC703E"/>
    <w:rsid w:val="4D064BEB"/>
    <w:rsid w:val="4D66163C"/>
    <w:rsid w:val="4DA15E9C"/>
    <w:rsid w:val="4DA64CC3"/>
    <w:rsid w:val="4DF139E3"/>
    <w:rsid w:val="4DFB65D5"/>
    <w:rsid w:val="4E4B66B0"/>
    <w:rsid w:val="4E93668F"/>
    <w:rsid w:val="4ED35B25"/>
    <w:rsid w:val="4ED91D06"/>
    <w:rsid w:val="4EE40DC8"/>
    <w:rsid w:val="4EF16C79"/>
    <w:rsid w:val="4F6E7DA9"/>
    <w:rsid w:val="4F905051"/>
    <w:rsid w:val="4FAA6CD7"/>
    <w:rsid w:val="502A51AB"/>
    <w:rsid w:val="5091315F"/>
    <w:rsid w:val="5124375A"/>
    <w:rsid w:val="51521769"/>
    <w:rsid w:val="519C1341"/>
    <w:rsid w:val="519F6507"/>
    <w:rsid w:val="51A27095"/>
    <w:rsid w:val="51B15B98"/>
    <w:rsid w:val="51E4049B"/>
    <w:rsid w:val="523F18F9"/>
    <w:rsid w:val="52734E7B"/>
    <w:rsid w:val="53EA1EA1"/>
    <w:rsid w:val="54594012"/>
    <w:rsid w:val="54B04D65"/>
    <w:rsid w:val="54EE5A3A"/>
    <w:rsid w:val="55657D26"/>
    <w:rsid w:val="56286EF5"/>
    <w:rsid w:val="564E7462"/>
    <w:rsid w:val="565A1835"/>
    <w:rsid w:val="56AD6862"/>
    <w:rsid w:val="57791C75"/>
    <w:rsid w:val="577B4EBB"/>
    <w:rsid w:val="57B617AB"/>
    <w:rsid w:val="58151EE2"/>
    <w:rsid w:val="584C42FE"/>
    <w:rsid w:val="5856190E"/>
    <w:rsid w:val="585B3AB8"/>
    <w:rsid w:val="586300B0"/>
    <w:rsid w:val="586C15A6"/>
    <w:rsid w:val="58732AF0"/>
    <w:rsid w:val="590644CD"/>
    <w:rsid w:val="590C69EC"/>
    <w:rsid w:val="59FC5E38"/>
    <w:rsid w:val="5A4D3B1B"/>
    <w:rsid w:val="5AA10B25"/>
    <w:rsid w:val="5B7B3EE4"/>
    <w:rsid w:val="5C243BD7"/>
    <w:rsid w:val="5C491078"/>
    <w:rsid w:val="5CD61264"/>
    <w:rsid w:val="5CE31AF3"/>
    <w:rsid w:val="5D073E02"/>
    <w:rsid w:val="5D371976"/>
    <w:rsid w:val="5D5B684D"/>
    <w:rsid w:val="5DC51066"/>
    <w:rsid w:val="5DF47B6B"/>
    <w:rsid w:val="5E4E3EED"/>
    <w:rsid w:val="5E5653E7"/>
    <w:rsid w:val="5E645268"/>
    <w:rsid w:val="5E885B1B"/>
    <w:rsid w:val="5E9704B2"/>
    <w:rsid w:val="5EC44A50"/>
    <w:rsid w:val="5EDB322A"/>
    <w:rsid w:val="5EE240B6"/>
    <w:rsid w:val="5EE274CE"/>
    <w:rsid w:val="5F2150E9"/>
    <w:rsid w:val="5F427FDD"/>
    <w:rsid w:val="6015514F"/>
    <w:rsid w:val="60481EFD"/>
    <w:rsid w:val="604F334E"/>
    <w:rsid w:val="60A40A49"/>
    <w:rsid w:val="60E467FB"/>
    <w:rsid w:val="612E0F45"/>
    <w:rsid w:val="61501B8A"/>
    <w:rsid w:val="617C0E30"/>
    <w:rsid w:val="617C33F9"/>
    <w:rsid w:val="617F54AD"/>
    <w:rsid w:val="61CE08DC"/>
    <w:rsid w:val="627F5760"/>
    <w:rsid w:val="62E47405"/>
    <w:rsid w:val="63641231"/>
    <w:rsid w:val="63956584"/>
    <w:rsid w:val="64520456"/>
    <w:rsid w:val="64A77F63"/>
    <w:rsid w:val="64BD5A8C"/>
    <w:rsid w:val="64D8306F"/>
    <w:rsid w:val="650631E7"/>
    <w:rsid w:val="653D0CAF"/>
    <w:rsid w:val="6557469C"/>
    <w:rsid w:val="65645EFA"/>
    <w:rsid w:val="657A309B"/>
    <w:rsid w:val="665105B6"/>
    <w:rsid w:val="66834D76"/>
    <w:rsid w:val="66B44F24"/>
    <w:rsid w:val="67011D77"/>
    <w:rsid w:val="67125365"/>
    <w:rsid w:val="676A4BA2"/>
    <w:rsid w:val="679503FD"/>
    <w:rsid w:val="67D33415"/>
    <w:rsid w:val="688750A2"/>
    <w:rsid w:val="68A730EA"/>
    <w:rsid w:val="69251F70"/>
    <w:rsid w:val="69595208"/>
    <w:rsid w:val="698E1E86"/>
    <w:rsid w:val="6A1A44E2"/>
    <w:rsid w:val="6A5D4326"/>
    <w:rsid w:val="6A6D0618"/>
    <w:rsid w:val="6A7449B2"/>
    <w:rsid w:val="6AC43F09"/>
    <w:rsid w:val="6B0C7886"/>
    <w:rsid w:val="6B113535"/>
    <w:rsid w:val="6B247CEA"/>
    <w:rsid w:val="6C7A0F7D"/>
    <w:rsid w:val="6C7B14DC"/>
    <w:rsid w:val="6CAC58B6"/>
    <w:rsid w:val="6CE7029A"/>
    <w:rsid w:val="6D6305A2"/>
    <w:rsid w:val="6DA06C1D"/>
    <w:rsid w:val="6E9A5C7F"/>
    <w:rsid w:val="6E9C4161"/>
    <w:rsid w:val="6EE64456"/>
    <w:rsid w:val="6EEF0261"/>
    <w:rsid w:val="6F9C4EF8"/>
    <w:rsid w:val="6FC93450"/>
    <w:rsid w:val="700D68C2"/>
    <w:rsid w:val="703C2D18"/>
    <w:rsid w:val="704A5E9F"/>
    <w:rsid w:val="70965124"/>
    <w:rsid w:val="70A455FA"/>
    <w:rsid w:val="70C97E1B"/>
    <w:rsid w:val="711F0AED"/>
    <w:rsid w:val="713549AA"/>
    <w:rsid w:val="713B0273"/>
    <w:rsid w:val="717A2D6D"/>
    <w:rsid w:val="71B50F1F"/>
    <w:rsid w:val="71C00E88"/>
    <w:rsid w:val="71CF7886"/>
    <w:rsid w:val="72212A38"/>
    <w:rsid w:val="722E315E"/>
    <w:rsid w:val="727F77CE"/>
    <w:rsid w:val="72B30178"/>
    <w:rsid w:val="72E160B4"/>
    <w:rsid w:val="72E61592"/>
    <w:rsid w:val="73512B07"/>
    <w:rsid w:val="737749D9"/>
    <w:rsid w:val="73A2366D"/>
    <w:rsid w:val="73FC791E"/>
    <w:rsid w:val="74556E28"/>
    <w:rsid w:val="74B319D4"/>
    <w:rsid w:val="74D16F93"/>
    <w:rsid w:val="74FC356E"/>
    <w:rsid w:val="750072B9"/>
    <w:rsid w:val="755A0912"/>
    <w:rsid w:val="76E7282F"/>
    <w:rsid w:val="772A507A"/>
    <w:rsid w:val="77391286"/>
    <w:rsid w:val="77483CB0"/>
    <w:rsid w:val="776912B5"/>
    <w:rsid w:val="778F29C9"/>
    <w:rsid w:val="77C12254"/>
    <w:rsid w:val="77EC50F0"/>
    <w:rsid w:val="78036F78"/>
    <w:rsid w:val="78231E05"/>
    <w:rsid w:val="785A6DF1"/>
    <w:rsid w:val="78734786"/>
    <w:rsid w:val="78CB4B0D"/>
    <w:rsid w:val="78D11849"/>
    <w:rsid w:val="78F47BF9"/>
    <w:rsid w:val="794E04F6"/>
    <w:rsid w:val="79BE27C8"/>
    <w:rsid w:val="79D119E4"/>
    <w:rsid w:val="79D73A37"/>
    <w:rsid w:val="79E66C8C"/>
    <w:rsid w:val="79FF5D52"/>
    <w:rsid w:val="7A435AF2"/>
    <w:rsid w:val="7AC14E8D"/>
    <w:rsid w:val="7AD6607C"/>
    <w:rsid w:val="7AF1422A"/>
    <w:rsid w:val="7B490FC0"/>
    <w:rsid w:val="7BE03D3F"/>
    <w:rsid w:val="7BE31255"/>
    <w:rsid w:val="7CA56902"/>
    <w:rsid w:val="7CE50B11"/>
    <w:rsid w:val="7D1F5DBB"/>
    <w:rsid w:val="7D3D68E0"/>
    <w:rsid w:val="7D6B2213"/>
    <w:rsid w:val="7DB67961"/>
    <w:rsid w:val="7DE51DC0"/>
    <w:rsid w:val="7DF8570A"/>
    <w:rsid w:val="7EC3290B"/>
    <w:rsid w:val="7ECF51B4"/>
    <w:rsid w:val="7ED0310B"/>
    <w:rsid w:val="CB72F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b/>
      <w:bCs/>
      <w:kern w:val="44"/>
      <w:sz w:val="30"/>
      <w:szCs w:val="44"/>
    </w:rPr>
  </w:style>
  <w:style w:type="paragraph" w:styleId="5">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jc w:val="center"/>
      <w:outlineLvl w:val="2"/>
    </w:pPr>
    <w:rPr>
      <w:rFonts w:ascii="Calibri" w:hAnsi="Calibri"/>
      <w:b/>
      <w:bCs/>
      <w:sz w:val="28"/>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Next/>
      <w:keepLines/>
      <w:tabs>
        <w:tab w:val="left" w:pos="1800"/>
      </w:tabs>
      <w:spacing w:before="280" w:after="290" w:line="374" w:lineRule="auto"/>
      <w:ind w:left="1800" w:hanging="1800"/>
      <w:outlineLvl w:val="4"/>
    </w:pPr>
    <w:rPr>
      <w:b/>
      <w:bCs/>
      <w:sz w:val="28"/>
      <w:szCs w:val="28"/>
    </w:rPr>
  </w:style>
  <w:style w:type="paragraph" w:styleId="9">
    <w:name w:val="heading 6"/>
    <w:basedOn w:val="1"/>
    <w:next w:val="1"/>
    <w:qFormat/>
    <w:uiPriority w:val="0"/>
    <w:pPr>
      <w:keepNext/>
      <w:keepLines/>
      <w:adjustRightInd w:val="0"/>
      <w:spacing w:before="240" w:after="64" w:line="319" w:lineRule="auto"/>
      <w:textAlignment w:val="baseline"/>
      <w:outlineLvl w:val="5"/>
    </w:pPr>
    <w:rPr>
      <w:rFonts w:ascii="Arial" w:hAnsi="Arial" w:eastAsia="黑体"/>
      <w:b/>
      <w:szCs w:val="20"/>
    </w:rPr>
  </w:style>
  <w:style w:type="paragraph" w:styleId="10">
    <w:name w:val="heading 7"/>
    <w:basedOn w:val="1"/>
    <w:next w:val="1"/>
    <w:link w:val="116"/>
    <w:qFormat/>
    <w:uiPriority w:val="0"/>
    <w:pPr>
      <w:keepNext/>
      <w:keepLines/>
      <w:adjustRightInd w:val="0"/>
      <w:spacing w:before="240" w:after="64" w:line="319" w:lineRule="auto"/>
      <w:textAlignment w:val="baseline"/>
      <w:outlineLvl w:val="6"/>
    </w:pPr>
    <w:rPr>
      <w:b/>
      <w:szCs w:val="20"/>
    </w:rPr>
  </w:style>
  <w:style w:type="paragraph" w:styleId="11">
    <w:name w:val="heading 8"/>
    <w:basedOn w:val="1"/>
    <w:next w:val="1"/>
    <w:qFormat/>
    <w:uiPriority w:val="0"/>
    <w:pPr>
      <w:keepNext/>
      <w:keepLines/>
      <w:adjustRightInd w:val="0"/>
      <w:spacing w:before="240" w:after="64" w:line="319" w:lineRule="auto"/>
      <w:textAlignment w:val="baseline"/>
      <w:outlineLvl w:val="7"/>
    </w:pPr>
    <w:rPr>
      <w:rFonts w:ascii="Arial" w:hAnsi="Arial" w:eastAsia="黑体"/>
      <w:szCs w:val="20"/>
    </w:rPr>
  </w:style>
  <w:style w:type="paragraph" w:styleId="12">
    <w:name w:val="heading 9"/>
    <w:basedOn w:val="1"/>
    <w:next w:val="1"/>
    <w:qFormat/>
    <w:uiPriority w:val="0"/>
    <w:pPr>
      <w:keepNext/>
      <w:keepLines/>
      <w:adjustRightInd w:val="0"/>
      <w:spacing w:before="240" w:after="64" w:line="319" w:lineRule="auto"/>
      <w:textAlignment w:val="baseline"/>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21"/>
    <w:semiHidden/>
    <w:unhideWhenUsed/>
    <w:qFormat/>
    <w:uiPriority w:val="99"/>
    <w:pPr>
      <w:ind w:firstLine="420" w:firstLineChars="100"/>
    </w:pPr>
    <w:rPr>
      <w:sz w:val="21"/>
    </w:rPr>
  </w:style>
  <w:style w:type="paragraph" w:styleId="3">
    <w:name w:val="Body Text"/>
    <w:basedOn w:val="1"/>
    <w:next w:val="2"/>
    <w:link w:val="118"/>
    <w:qFormat/>
    <w:uiPriority w:val="0"/>
    <w:pPr>
      <w:spacing w:after="120"/>
    </w:pPr>
    <w:rPr>
      <w:sz w:val="28"/>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next w:val="1"/>
    <w:qFormat/>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qFormat/>
    <w:uiPriority w:val="0"/>
    <w:pPr>
      <w:shd w:val="clear" w:color="auto" w:fill="000080"/>
    </w:pPr>
  </w:style>
  <w:style w:type="paragraph" w:styleId="18">
    <w:name w:val="annotation text"/>
    <w:basedOn w:val="1"/>
    <w:link w:val="117"/>
    <w:qFormat/>
    <w:uiPriority w:val="99"/>
    <w:pPr>
      <w:widowControl w:val="0"/>
    </w:pPr>
    <w:rPr>
      <w:rFonts w:ascii="Times New Roman" w:hAnsi="Times New Roman" w:eastAsia="宋体" w:cs="Times New Roman"/>
      <w:kern w:val="2"/>
      <w:sz w:val="21"/>
      <w:szCs w:val="24"/>
      <w:lang w:val="en-US" w:eastAsia="zh-CN" w:bidi="ar-SA"/>
    </w:rPr>
  </w:style>
  <w:style w:type="paragraph" w:styleId="19">
    <w:name w:val="Body Text 3"/>
    <w:basedOn w:val="1"/>
    <w:qFormat/>
    <w:uiPriority w:val="0"/>
    <w:pPr>
      <w:snapToGrid w:val="0"/>
      <w:spacing w:before="50" w:after="50"/>
    </w:pPr>
    <w:rPr>
      <w:rFonts w:eastAsia="仿宋_GB2312"/>
      <w:b/>
      <w:bCs/>
      <w:sz w:val="24"/>
      <w:szCs w:val="20"/>
    </w:rPr>
  </w:style>
  <w:style w:type="paragraph" w:styleId="20">
    <w:name w:val="Body Text Indent"/>
    <w:basedOn w:val="1"/>
    <w:next w:val="1"/>
    <w:qFormat/>
    <w:uiPriority w:val="0"/>
    <w:pPr>
      <w:spacing w:line="200" w:lineRule="exact"/>
      <w:ind w:firstLine="301"/>
    </w:pPr>
    <w:rPr>
      <w:rFonts w:ascii="宋体"/>
      <w:spacing w:val="-4"/>
      <w:sz w:val="18"/>
      <w:szCs w:val="20"/>
    </w:rPr>
  </w:style>
  <w:style w:type="paragraph" w:styleId="21">
    <w:name w:val="List Number 3"/>
    <w:basedOn w:val="1"/>
    <w:qFormat/>
    <w:uiPriority w:val="0"/>
    <w:pPr>
      <w:numPr>
        <w:ilvl w:val="0"/>
        <w:numId w:val="1"/>
      </w:numPr>
    </w:pPr>
  </w:style>
  <w:style w:type="paragraph" w:styleId="22">
    <w:name w:val="List 2"/>
    <w:basedOn w:val="1"/>
    <w:qFormat/>
    <w:uiPriority w:val="0"/>
    <w:pPr>
      <w:ind w:left="400" w:leftChars="200" w:hanging="200" w:hangingChars="200"/>
    </w:pPr>
    <w:rPr>
      <w:sz w:val="28"/>
    </w:rPr>
  </w:style>
  <w:style w:type="paragraph" w:styleId="23">
    <w:name w:val="toc 5"/>
    <w:basedOn w:val="1"/>
    <w:next w:val="1"/>
    <w:qFormat/>
    <w:uiPriority w:val="0"/>
    <w:pPr>
      <w:ind w:left="840"/>
      <w:jc w:val="left"/>
    </w:pPr>
    <w:rPr>
      <w:rFonts w:ascii="Calibri" w:hAnsi="Calibri" w:cs="Calibri"/>
      <w:sz w:val="18"/>
      <w:szCs w:val="18"/>
    </w:rPr>
  </w:style>
  <w:style w:type="paragraph" w:styleId="24">
    <w:name w:val="toc 3"/>
    <w:basedOn w:val="1"/>
    <w:next w:val="1"/>
    <w:qFormat/>
    <w:uiPriority w:val="0"/>
    <w:pPr>
      <w:ind w:left="400" w:leftChars="400"/>
    </w:pPr>
  </w:style>
  <w:style w:type="paragraph" w:styleId="25">
    <w:name w:val="Plain Text"/>
    <w:basedOn w:val="1"/>
    <w:qFormat/>
    <w:uiPriority w:val="0"/>
    <w:pPr>
      <w:spacing w:beforeLines="50" w:afterLines="50" w:line="400" w:lineRule="exact"/>
    </w:pPr>
    <w:rPr>
      <w:rFonts w:ascii="宋体"/>
      <w:szCs w:val="21"/>
    </w:rPr>
  </w:style>
  <w:style w:type="paragraph" w:styleId="26">
    <w:name w:val="toc 8"/>
    <w:basedOn w:val="1"/>
    <w:next w:val="1"/>
    <w:qFormat/>
    <w:uiPriority w:val="0"/>
    <w:pPr>
      <w:ind w:left="1470"/>
      <w:jc w:val="left"/>
    </w:pPr>
    <w:rPr>
      <w:rFonts w:ascii="Calibri" w:hAnsi="Calibri" w:cs="Calibri"/>
      <w:sz w:val="18"/>
      <w:szCs w:val="18"/>
    </w:rPr>
  </w:style>
  <w:style w:type="paragraph" w:styleId="27">
    <w:name w:val="Date"/>
    <w:basedOn w:val="1"/>
    <w:next w:val="1"/>
    <w:link w:val="120"/>
    <w:qFormat/>
    <w:uiPriority w:val="0"/>
    <w:pPr>
      <w:ind w:left="2500" w:leftChars="2500"/>
    </w:pPr>
    <w:rPr>
      <w:rFonts w:eastAsia="楷体_GB2312"/>
      <w:sz w:val="32"/>
      <w:szCs w:val="20"/>
    </w:rPr>
  </w:style>
  <w:style w:type="paragraph" w:styleId="28">
    <w:name w:val="Body Text Indent 2"/>
    <w:basedOn w:val="1"/>
    <w:qFormat/>
    <w:uiPriority w:val="0"/>
    <w:pPr>
      <w:snapToGrid w:val="0"/>
      <w:ind w:firstLine="225" w:firstLineChars="225"/>
    </w:pPr>
    <w:rPr>
      <w:rFonts w:ascii="仿宋_GB2312" w:hAnsi="仿宋_GB2312"/>
      <w:b/>
      <w:bCs/>
      <w:color w:val="000000"/>
      <w:sz w:val="24"/>
    </w:rPr>
  </w:style>
  <w:style w:type="paragraph" w:styleId="29">
    <w:name w:val="endnote text"/>
    <w:basedOn w:val="1"/>
    <w:qFormat/>
    <w:uiPriority w:val="0"/>
    <w:pPr>
      <w:snapToGrid w:val="0"/>
      <w:jc w:val="left"/>
    </w:pPr>
  </w:style>
  <w:style w:type="paragraph" w:styleId="30">
    <w:name w:val="Balloon Text"/>
    <w:basedOn w:val="1"/>
    <w:qFormat/>
    <w:uiPriority w:val="0"/>
    <w:rPr>
      <w:sz w:val="18"/>
      <w:szCs w:val="18"/>
    </w:rPr>
  </w:style>
  <w:style w:type="paragraph" w:styleId="31">
    <w:name w:val="footer"/>
    <w:basedOn w:val="1"/>
    <w:link w:val="99"/>
    <w:qFormat/>
    <w:uiPriority w:val="99"/>
    <w:pPr>
      <w:tabs>
        <w:tab w:val="center" w:pos="4153"/>
        <w:tab w:val="right" w:pos="8306"/>
      </w:tabs>
      <w:snapToGrid w:val="0"/>
      <w:jc w:val="left"/>
    </w:pPr>
    <w:rPr>
      <w:rFonts w:eastAsia="黑体"/>
      <w:kern w:val="0"/>
      <w:sz w:val="18"/>
      <w:szCs w:val="18"/>
    </w:rPr>
  </w:style>
  <w:style w:type="paragraph" w:styleId="32">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3">
    <w:name w:val="toc 1"/>
    <w:basedOn w:val="1"/>
    <w:next w:val="1"/>
    <w:qFormat/>
    <w:uiPriority w:val="39"/>
    <w:pPr>
      <w:spacing w:before="600" w:after="600"/>
    </w:pPr>
    <w:rPr>
      <w:b/>
      <w:sz w:val="32"/>
    </w:rPr>
  </w:style>
  <w:style w:type="paragraph" w:styleId="34">
    <w:name w:val="toc 4"/>
    <w:basedOn w:val="1"/>
    <w:next w:val="1"/>
    <w:qFormat/>
    <w:uiPriority w:val="0"/>
    <w:pPr>
      <w:ind w:left="630"/>
      <w:jc w:val="left"/>
    </w:pPr>
    <w:rPr>
      <w:rFonts w:ascii="Calibri" w:hAnsi="Calibri" w:cs="Calibri"/>
      <w:sz w:val="18"/>
      <w:szCs w:val="18"/>
    </w:rPr>
  </w:style>
  <w:style w:type="paragraph" w:styleId="35">
    <w:name w:val="List"/>
    <w:basedOn w:val="1"/>
    <w:qFormat/>
    <w:uiPriority w:val="0"/>
    <w:pPr>
      <w:ind w:left="200" w:hanging="200" w:hangingChars="200"/>
    </w:pPr>
    <w:rPr>
      <w:sz w:val="28"/>
    </w:rPr>
  </w:style>
  <w:style w:type="paragraph" w:styleId="36">
    <w:name w:val="footnote text"/>
    <w:basedOn w:val="1"/>
    <w:qFormat/>
    <w:uiPriority w:val="0"/>
    <w:pPr>
      <w:snapToGrid w:val="0"/>
      <w:jc w:val="left"/>
    </w:pPr>
    <w:rPr>
      <w:sz w:val="18"/>
      <w:szCs w:val="18"/>
    </w:rPr>
  </w:style>
  <w:style w:type="paragraph" w:styleId="37">
    <w:name w:val="toc 6"/>
    <w:basedOn w:val="1"/>
    <w:next w:val="1"/>
    <w:qFormat/>
    <w:uiPriority w:val="0"/>
    <w:pPr>
      <w:ind w:left="1050"/>
      <w:jc w:val="left"/>
    </w:pPr>
    <w:rPr>
      <w:rFonts w:ascii="Calibri" w:hAnsi="Calibri" w:cs="Calibri"/>
      <w:sz w:val="18"/>
      <w:szCs w:val="18"/>
    </w:rPr>
  </w:style>
  <w:style w:type="paragraph" w:styleId="38">
    <w:name w:val="Body Text Indent 3"/>
    <w:basedOn w:val="1"/>
    <w:qFormat/>
    <w:uiPriority w:val="0"/>
    <w:pPr>
      <w:snapToGrid w:val="0"/>
      <w:ind w:firstLine="200" w:firstLineChars="200"/>
      <w:jc w:val="left"/>
    </w:pPr>
    <w:rPr>
      <w:sz w:val="16"/>
      <w:szCs w:val="16"/>
    </w:rPr>
  </w:style>
  <w:style w:type="paragraph" w:styleId="39">
    <w:name w:val="toc 2"/>
    <w:basedOn w:val="1"/>
    <w:next w:val="1"/>
    <w:qFormat/>
    <w:uiPriority w:val="39"/>
    <w:pPr>
      <w:ind w:left="200" w:leftChars="200"/>
    </w:pPr>
  </w:style>
  <w:style w:type="paragraph" w:styleId="40">
    <w:name w:val="toc 9"/>
    <w:basedOn w:val="1"/>
    <w:next w:val="1"/>
    <w:qFormat/>
    <w:uiPriority w:val="0"/>
    <w:pPr>
      <w:ind w:left="1680"/>
      <w:jc w:val="left"/>
    </w:pPr>
    <w:rPr>
      <w:rFonts w:ascii="Calibri" w:hAnsi="Calibri" w:cs="Calibri"/>
      <w:sz w:val="18"/>
      <w:szCs w:val="18"/>
    </w:rPr>
  </w:style>
  <w:style w:type="paragraph" w:styleId="41">
    <w:name w:val="Body Text 2"/>
    <w:basedOn w:val="1"/>
    <w:qFormat/>
    <w:uiPriority w:val="0"/>
    <w:pPr>
      <w:widowControl/>
      <w:snapToGrid w:val="0"/>
      <w:spacing w:before="50" w:afterLines="50" w:line="400" w:lineRule="exact"/>
      <w:jc w:val="left"/>
    </w:pPr>
    <w:rPr>
      <w:rFonts w:ascii="宋体"/>
      <w:color w:val="000000"/>
      <w:sz w:val="24"/>
    </w:rPr>
  </w:style>
  <w:style w:type="paragraph" w:styleId="42">
    <w:name w:val="Normal (Web)"/>
    <w:basedOn w:val="1"/>
    <w:link w:val="119"/>
    <w:qFormat/>
    <w:uiPriority w:val="99"/>
    <w:pPr>
      <w:widowControl/>
      <w:spacing w:before="100" w:beforeAutospacing="1" w:after="100" w:afterAutospacing="1"/>
      <w:jc w:val="left"/>
    </w:pPr>
    <w:rPr>
      <w:kern w:val="0"/>
      <w:sz w:val="24"/>
    </w:rPr>
  </w:style>
  <w:style w:type="paragraph" w:styleId="43">
    <w:name w:val="annotation subject"/>
    <w:basedOn w:val="18"/>
    <w:next w:val="18"/>
    <w:qFormat/>
    <w:uiPriority w:val="0"/>
    <w:rPr>
      <w:b/>
      <w:bCs/>
    </w:rPr>
  </w:style>
  <w:style w:type="paragraph" w:styleId="44">
    <w:name w:val="Body Text First Indent 2"/>
    <w:basedOn w:val="20"/>
    <w:next w:val="1"/>
    <w:qFormat/>
    <w:uiPriority w:val="0"/>
    <w:pPr>
      <w:ind w:firstLine="420" w:firstLineChars="200"/>
    </w:p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rPr>
  </w:style>
  <w:style w:type="character" w:styleId="49">
    <w:name w:val="page number"/>
    <w:basedOn w:val="47"/>
    <w:qFormat/>
    <w:uiPriority w:val="0"/>
  </w:style>
  <w:style w:type="character" w:styleId="50">
    <w:name w:val="FollowedHyperlink"/>
    <w:qFormat/>
    <w:uiPriority w:val="0"/>
    <w:rPr>
      <w:color w:val="333333"/>
      <w:sz w:val="16"/>
      <w:szCs w:val="0"/>
      <w:u w:val="none"/>
    </w:rPr>
  </w:style>
  <w:style w:type="character" w:styleId="51">
    <w:name w:val="Emphasis"/>
    <w:qFormat/>
    <w:uiPriority w:val="20"/>
  </w:style>
  <w:style w:type="character" w:styleId="52">
    <w:name w:val="Hyperlink"/>
    <w:qFormat/>
    <w:uiPriority w:val="99"/>
    <w:rPr>
      <w:color w:val="333333"/>
      <w:u w:val="none"/>
    </w:rPr>
  </w:style>
  <w:style w:type="character" w:styleId="53">
    <w:name w:val="annotation reference"/>
    <w:qFormat/>
    <w:uiPriority w:val="0"/>
    <w:rPr>
      <w:sz w:val="21"/>
      <w:szCs w:val="21"/>
    </w:rPr>
  </w:style>
  <w:style w:type="paragraph" w:customStyle="1" w:styleId="54">
    <w:name w:val="Char Char Char Char Char Char Char Char Char Char Char Char1 Char"/>
    <w:basedOn w:val="17"/>
    <w:qFormat/>
    <w:uiPriority w:val="0"/>
    <w:rPr>
      <w:rFonts w:ascii="Tahoma" w:hAnsi="Tahoma"/>
      <w:sz w:val="24"/>
    </w:rPr>
  </w:style>
  <w:style w:type="paragraph" w:customStyle="1" w:styleId="55">
    <w:name w:val="_Style 1"/>
    <w:basedOn w:val="1"/>
    <w:qFormat/>
    <w:uiPriority w:val="34"/>
    <w:pPr>
      <w:ind w:firstLine="420" w:firstLineChars="200"/>
    </w:pPr>
    <w:rPr>
      <w:rFonts w:ascii="Calibri" w:hAnsi="Calibri"/>
    </w:rPr>
  </w:style>
  <w:style w:type="paragraph" w:customStyle="1" w:styleId="56">
    <w:name w:val="列表段落1"/>
    <w:basedOn w:val="1"/>
    <w:qFormat/>
    <w:uiPriority w:val="0"/>
    <w:pPr>
      <w:ind w:firstLine="200" w:firstLineChars="200"/>
    </w:pPr>
    <w:rPr>
      <w:rFonts w:ascii="Calibri" w:hAnsi="Calibri" w:cs="Calibri"/>
    </w:rPr>
  </w:style>
  <w:style w:type="paragraph" w:styleId="57">
    <w:name w:val="List Paragraph"/>
    <w:basedOn w:val="1"/>
    <w:link w:val="124"/>
    <w:qFormat/>
    <w:uiPriority w:val="99"/>
    <w:pPr>
      <w:ind w:firstLine="420" w:firstLineChars="200"/>
    </w:pPr>
    <w:rPr>
      <w:rFonts w:ascii="Calibri" w:hAnsi="Calibri"/>
      <w:szCs w:val="22"/>
    </w:rPr>
  </w:style>
  <w:style w:type="paragraph" w:customStyle="1" w:styleId="58">
    <w:name w:val="样式 标题 3 +"/>
    <w:basedOn w:val="6"/>
    <w:qFormat/>
    <w:uiPriority w:val="0"/>
    <w:rPr>
      <w:kern w:val="0"/>
    </w:rPr>
  </w:style>
  <w:style w:type="paragraph" w:customStyle="1" w:styleId="59">
    <w:name w:val="Char1 Char Char Char"/>
    <w:basedOn w:val="1"/>
    <w:qFormat/>
    <w:uiPriority w:val="0"/>
    <w:pPr>
      <w:tabs>
        <w:tab w:val="left" w:pos="840"/>
      </w:tabs>
      <w:ind w:left="840" w:hanging="420"/>
    </w:pPr>
    <w:rPr>
      <w:sz w:val="24"/>
    </w:rPr>
  </w:style>
  <w:style w:type="paragraph" w:customStyle="1" w:styleId="60">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kern w:val="0"/>
      <w:sz w:val="24"/>
    </w:rPr>
  </w:style>
  <w:style w:type="paragraph" w:customStyle="1" w:styleId="6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2">
    <w:name w:val="默认"/>
    <w:qFormat/>
    <w:uiPriority w:val="0"/>
    <w:rPr>
      <w:rFonts w:ascii="Helvetica" w:hAnsi="Arial Unicode MS" w:eastAsia="Arial Unicode MS" w:cs="Arial Unicode MS"/>
      <w:color w:val="000000"/>
      <w:sz w:val="22"/>
      <w:szCs w:val="22"/>
      <w:lang w:val="en-US" w:eastAsia="zh-CN" w:bidi="ar-SA"/>
    </w:rPr>
  </w:style>
  <w:style w:type="paragraph" w:customStyle="1" w:styleId="63">
    <w:name w:val="普通(网站)2"/>
    <w:basedOn w:val="1"/>
    <w:qFormat/>
    <w:uiPriority w:val="0"/>
    <w:pPr>
      <w:adjustRightInd w:val="0"/>
      <w:spacing w:line="360" w:lineRule="auto"/>
      <w:textAlignment w:val="baseline"/>
    </w:pPr>
    <w:rPr>
      <w:rFonts w:hAnsi="Calibri" w:eastAsia="仿宋"/>
      <w:kern w:val="0"/>
      <w:sz w:val="28"/>
    </w:rPr>
  </w:style>
  <w:style w:type="paragraph" w:customStyle="1" w:styleId="64">
    <w:name w:val="列出段落1"/>
    <w:basedOn w:val="1"/>
    <w:qFormat/>
    <w:uiPriority w:val="0"/>
    <w:pPr>
      <w:ind w:firstLine="200" w:firstLineChars="200"/>
    </w:pPr>
    <w:rPr>
      <w:rFonts w:ascii="Calibri" w:hAnsi="Calibri"/>
      <w:szCs w:val="22"/>
    </w:rPr>
  </w:style>
  <w:style w:type="paragraph" w:customStyle="1" w:styleId="65">
    <w:name w:val="p0"/>
    <w:basedOn w:val="1"/>
    <w:qFormat/>
    <w:uiPriority w:val="0"/>
    <w:pPr>
      <w:widowControl/>
    </w:pPr>
    <w:rPr>
      <w:kern w:val="0"/>
      <w:szCs w:val="21"/>
    </w:rPr>
  </w:style>
  <w:style w:type="paragraph" w:customStyle="1" w:styleId="66">
    <w:name w:val="彩色列表 - 强调文字颜色 11"/>
    <w:basedOn w:val="1"/>
    <w:qFormat/>
    <w:uiPriority w:val="0"/>
    <w:pPr>
      <w:ind w:firstLine="200" w:firstLineChars="200"/>
    </w:pPr>
    <w:rPr>
      <w:rFonts w:ascii="Calibri" w:hAnsi="Calibri"/>
      <w:szCs w:val="22"/>
    </w:rPr>
  </w:style>
  <w:style w:type="paragraph" w:customStyle="1" w:styleId="67">
    <w:name w:val="证文"/>
    <w:basedOn w:val="1"/>
    <w:qFormat/>
    <w:uiPriority w:val="0"/>
    <w:pPr>
      <w:spacing w:line="360" w:lineRule="auto"/>
    </w:pPr>
    <w:rPr>
      <w:sz w:val="24"/>
      <w:szCs w:val="20"/>
    </w:rPr>
  </w:style>
  <w:style w:type="paragraph" w:customStyle="1" w:styleId="68">
    <w:name w:val="正文空2格  1."/>
    <w:basedOn w:val="1"/>
    <w:qFormat/>
    <w:uiPriority w:val="0"/>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69">
    <w:name w:val="标准正文"/>
    <w:basedOn w:val="1"/>
    <w:qFormat/>
    <w:uiPriority w:val="0"/>
    <w:pPr>
      <w:spacing w:line="360" w:lineRule="auto"/>
      <w:ind w:firstLine="200" w:firstLineChars="200"/>
    </w:pPr>
    <w:rPr>
      <w:rFonts w:ascii="仿宋" w:eastAsia="仿宋"/>
      <w:sz w:val="28"/>
      <w:szCs w:val="21"/>
    </w:rPr>
  </w:style>
  <w:style w:type="paragraph" w:customStyle="1" w:styleId="7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1">
    <w:name w:val="xl24"/>
    <w:basedOn w:val="1"/>
    <w:qFormat/>
    <w:uiPriority w:val="0"/>
    <w:pPr>
      <w:widowControl/>
      <w:spacing w:before="100" w:beforeAutospacing="1" w:after="100" w:afterAutospacing="1"/>
      <w:jc w:val="center"/>
      <w:textAlignment w:val="center"/>
    </w:pPr>
    <w:rPr>
      <w:rFonts w:ascii="宋体"/>
      <w:kern w:val="0"/>
      <w:sz w:val="24"/>
    </w:rPr>
  </w:style>
  <w:style w:type="paragraph" w:customStyle="1" w:styleId="72">
    <w:name w:val="此正文"/>
    <w:basedOn w:val="1"/>
    <w:qFormat/>
    <w:uiPriority w:val="0"/>
    <w:pPr>
      <w:spacing w:line="360" w:lineRule="auto"/>
      <w:ind w:firstLine="200" w:firstLineChars="200"/>
    </w:pPr>
    <w:rPr>
      <w:sz w:val="24"/>
    </w:rPr>
  </w:style>
  <w:style w:type="paragraph" w:customStyle="1" w:styleId="73">
    <w:name w:val="自由格式 A"/>
    <w:qFormat/>
    <w:uiPriority w:val="0"/>
    <w:rPr>
      <w:rFonts w:ascii="Helvetica" w:hAnsi="Helvetica" w:eastAsia="ヒラギノ角ゴ Pro W3" w:cs="Times New Roman"/>
      <w:color w:val="000000"/>
      <w:sz w:val="24"/>
      <w:lang w:val="en-US" w:eastAsia="zh-CN" w:bidi="ar-SA"/>
    </w:rPr>
  </w:style>
  <w:style w:type="paragraph" w:customStyle="1" w:styleId="74">
    <w:name w:val="样式 标题 1 + 两端对齐"/>
    <w:basedOn w:val="5"/>
    <w:next w:val="5"/>
    <w:qFormat/>
    <w:uiPriority w:val="0"/>
    <w:pPr>
      <w:autoSpaceDE w:val="0"/>
      <w:autoSpaceDN w:val="0"/>
      <w:adjustRightInd w:val="0"/>
      <w:spacing w:before="340" w:after="330" w:line="240" w:lineRule="auto"/>
      <w:jc w:val="center"/>
    </w:pPr>
    <w:rPr>
      <w:rFonts w:ascii="汉鼎简细圆" w:hAnsi="汉鼎简细圆" w:eastAsia="宋体" w:cs="宋体"/>
      <w:kern w:val="44"/>
      <w:sz w:val="28"/>
      <w:szCs w:val="20"/>
    </w:rPr>
  </w:style>
  <w:style w:type="paragraph" w:customStyle="1" w:styleId="75">
    <w:name w:val="样式 标题 3 +1"/>
    <w:basedOn w:val="6"/>
    <w:qFormat/>
    <w:uiPriority w:val="0"/>
    <w:rPr>
      <w:kern w:val="0"/>
    </w:rPr>
  </w:style>
  <w:style w:type="paragraph" w:customStyle="1" w:styleId="76">
    <w:name w:val="默认段落字体 Para Char Char Char Char Char Char Char Char Char1 Char Char Char Char"/>
    <w:basedOn w:val="1"/>
    <w:qFormat/>
    <w:uiPriority w:val="0"/>
    <w:rPr>
      <w:rFonts w:ascii="Tahoma" w:hAnsi="Tahoma"/>
      <w:sz w:val="24"/>
      <w:szCs w:val="20"/>
    </w:rPr>
  </w:style>
  <w:style w:type="paragraph" w:customStyle="1" w:styleId="77">
    <w:name w:val="Char1"/>
    <w:basedOn w:val="1"/>
    <w:qFormat/>
    <w:uiPriority w:val="0"/>
    <w:rPr>
      <w:rFonts w:ascii="Tahoma" w:hAnsi="Tahoma"/>
      <w:sz w:val="24"/>
      <w:szCs w:val="20"/>
    </w:rPr>
  </w:style>
  <w:style w:type="paragraph" w:customStyle="1" w:styleId="78">
    <w:name w:val="Char11"/>
    <w:basedOn w:val="1"/>
    <w:qFormat/>
    <w:uiPriority w:val="0"/>
    <w:rPr>
      <w:rFonts w:ascii="Tahoma" w:hAnsi="Tahoma"/>
      <w:sz w:val="24"/>
      <w:szCs w:val="20"/>
    </w:rPr>
  </w:style>
  <w:style w:type="paragraph" w:customStyle="1" w:styleId="79">
    <w:name w:val="首行缩进2字符"/>
    <w:basedOn w:val="1"/>
    <w:qFormat/>
    <w:uiPriority w:val="0"/>
    <w:pPr>
      <w:spacing w:line="360" w:lineRule="auto"/>
      <w:ind w:firstLine="200" w:firstLineChars="200"/>
    </w:pPr>
    <w:rPr>
      <w:rFonts w:ascii="Calibri" w:hAnsi="Calibri"/>
      <w:sz w:val="24"/>
      <w:szCs w:val="21"/>
    </w:rPr>
  </w:style>
  <w:style w:type="paragraph" w:customStyle="1" w:styleId="80">
    <w:name w:val="msolistparagraph"/>
    <w:basedOn w:val="1"/>
    <w:qFormat/>
    <w:uiPriority w:val="0"/>
    <w:pPr>
      <w:ind w:firstLine="200" w:firstLineChars="200"/>
    </w:pPr>
    <w:rPr>
      <w:rFonts w:ascii="Calibri" w:hAnsi="Calibri"/>
      <w:szCs w:val="22"/>
    </w:rPr>
  </w:style>
  <w:style w:type="paragraph" w:customStyle="1" w:styleId="81">
    <w:name w:val="big"/>
    <w:basedOn w:val="1"/>
    <w:qFormat/>
    <w:uiPriority w:val="0"/>
    <w:pPr>
      <w:widowControl/>
      <w:spacing w:before="100" w:beforeAutospacing="1" w:after="100" w:afterAutospacing="1"/>
      <w:jc w:val="left"/>
    </w:pPr>
    <w:rPr>
      <w:rFonts w:ascii="宋体"/>
      <w:kern w:val="0"/>
      <w:sz w:val="24"/>
    </w:rPr>
  </w:style>
  <w:style w:type="paragraph" w:customStyle="1" w:styleId="82">
    <w:name w:val="正文段"/>
    <w:basedOn w:val="1"/>
    <w:qFormat/>
    <w:uiPriority w:val="0"/>
    <w:pPr>
      <w:widowControl/>
      <w:snapToGrid w:val="0"/>
      <w:spacing w:afterLines="50"/>
      <w:ind w:firstLine="200" w:firstLineChars="200"/>
    </w:pPr>
    <w:rPr>
      <w:kern w:val="0"/>
      <w:sz w:val="24"/>
      <w:szCs w:val="20"/>
    </w:rPr>
  </w:style>
  <w:style w:type="paragraph" w:customStyle="1" w:styleId="8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4">
    <w:name w:val="Char"/>
    <w:basedOn w:val="1"/>
    <w:qFormat/>
    <w:uiPriority w:val="0"/>
    <w:rPr>
      <w:rFonts w:ascii="仿宋_GB2312" w:eastAsia="仿宋_GB2312"/>
      <w:b/>
      <w:sz w:val="32"/>
      <w:szCs w:val="32"/>
    </w:rPr>
  </w:style>
  <w:style w:type="paragraph" w:customStyle="1" w:styleId="85">
    <w:name w:val="_Style 82"/>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6">
    <w:name w:val="纯文本1"/>
    <w:basedOn w:val="1"/>
    <w:qFormat/>
    <w:uiPriority w:val="0"/>
    <w:pPr>
      <w:adjustRightInd w:val="0"/>
      <w:textAlignment w:val="baseline"/>
    </w:pPr>
    <w:rPr>
      <w:rFonts w:ascii="宋体"/>
      <w:kern w:val="0"/>
      <w:szCs w:val="20"/>
    </w:rPr>
  </w:style>
  <w:style w:type="paragraph" w:customStyle="1" w:styleId="87">
    <w:name w:val="样式1"/>
    <w:basedOn w:val="7"/>
    <w:qFormat/>
    <w:uiPriority w:val="0"/>
  </w:style>
  <w:style w:type="paragraph" w:customStyle="1" w:styleId="88">
    <w:name w:val="地址内"/>
    <w:basedOn w:val="1"/>
    <w:qFormat/>
    <w:uiPriority w:val="0"/>
    <w:rPr>
      <w:szCs w:val="20"/>
    </w:rPr>
  </w:style>
  <w:style w:type="paragraph" w:customStyle="1" w:styleId="89">
    <w:name w:val="Char2"/>
    <w:basedOn w:val="1"/>
    <w:qFormat/>
    <w:uiPriority w:val="0"/>
    <w:pPr>
      <w:widowControl/>
      <w:spacing w:after="160" w:line="240" w:lineRule="exact"/>
      <w:jc w:val="left"/>
    </w:pPr>
    <w:rPr>
      <w:szCs w:val="20"/>
    </w:rPr>
  </w:style>
  <w:style w:type="paragraph" w:customStyle="1" w:styleId="9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1">
    <w:name w:val="_Style 3"/>
    <w:basedOn w:val="1"/>
    <w:qFormat/>
    <w:uiPriority w:val="0"/>
    <w:pPr>
      <w:ind w:firstLine="420" w:firstLineChars="200"/>
    </w:pPr>
    <w:rPr>
      <w:rFonts w:ascii="Calibri" w:hAnsi="Calibri"/>
      <w:szCs w:val="22"/>
    </w:rPr>
  </w:style>
  <w:style w:type="paragraph" w:customStyle="1" w:styleId="92">
    <w:name w:val="正文首行缩进2字符"/>
    <w:basedOn w:val="1"/>
    <w:qFormat/>
    <w:uiPriority w:val="0"/>
    <w:pPr>
      <w:spacing w:line="360" w:lineRule="auto"/>
      <w:ind w:firstLine="200" w:firstLineChars="200"/>
    </w:pPr>
    <w:rPr>
      <w:rFonts w:eastAsia="仿宋"/>
      <w:sz w:val="28"/>
      <w:szCs w:val="20"/>
    </w:rPr>
  </w:style>
  <w:style w:type="character" w:customStyle="1" w:styleId="93">
    <w:name w:val="m_51"/>
    <w:qFormat/>
    <w:uiPriority w:val="0"/>
  </w:style>
  <w:style w:type="character" w:customStyle="1" w:styleId="94">
    <w:name w:val="m_461"/>
    <w:qFormat/>
    <w:uiPriority w:val="0"/>
  </w:style>
  <w:style w:type="character" w:customStyle="1" w:styleId="95">
    <w:name w:val="纯文本 Char"/>
    <w:qFormat/>
    <w:uiPriority w:val="0"/>
    <w:rPr>
      <w:rFonts w:ascii="宋体" w:eastAsia="宋体"/>
      <w:kern w:val="2"/>
      <w:sz w:val="24"/>
      <w:szCs w:val="24"/>
      <w:lang w:val="en-US" w:eastAsia="zh-CN" w:bidi="ar-SA"/>
    </w:rPr>
  </w:style>
  <w:style w:type="character" w:customStyle="1" w:styleId="96">
    <w:name w:val="m_171"/>
    <w:qFormat/>
    <w:uiPriority w:val="0"/>
  </w:style>
  <w:style w:type="character" w:customStyle="1" w:styleId="97">
    <w:name w:val="second-line"/>
    <w:qFormat/>
    <w:uiPriority w:val="0"/>
    <w:rPr>
      <w:color w:val="727272"/>
    </w:rPr>
  </w:style>
  <w:style w:type="character" w:customStyle="1" w:styleId="98">
    <w:name w:val="批注文字 Char"/>
    <w:qFormat/>
    <w:uiPriority w:val="0"/>
    <w:rPr>
      <w:kern w:val="2"/>
      <w:sz w:val="21"/>
      <w:szCs w:val="24"/>
    </w:rPr>
  </w:style>
  <w:style w:type="character" w:customStyle="1" w:styleId="99">
    <w:name w:val="页脚 Char"/>
    <w:link w:val="31"/>
    <w:qFormat/>
    <w:uiPriority w:val="99"/>
    <w:rPr>
      <w:rFonts w:eastAsia="黑体"/>
      <w:snapToGrid/>
      <w:sz w:val="18"/>
      <w:szCs w:val="18"/>
    </w:rPr>
  </w:style>
  <w:style w:type="character" w:customStyle="1" w:styleId="100">
    <w:name w:val="正文缩进 Char"/>
    <w:qFormat/>
    <w:uiPriority w:val="0"/>
    <w:rPr>
      <w:kern w:val="2"/>
      <w:sz w:val="21"/>
    </w:rPr>
  </w:style>
  <w:style w:type="character" w:customStyle="1" w:styleId="101">
    <w:name w:val="正文文本缩进 3 Char"/>
    <w:qFormat/>
    <w:uiPriority w:val="0"/>
    <w:rPr>
      <w:rFonts w:ascii="仿宋_GB2312" w:eastAsia="仿宋_GB2312"/>
      <w:color w:val="000000"/>
      <w:kern w:val="2"/>
      <w:sz w:val="24"/>
      <w:szCs w:val="24"/>
    </w:rPr>
  </w:style>
  <w:style w:type="character" w:customStyle="1" w:styleId="102">
    <w:name w:val="focus"/>
    <w:qFormat/>
    <w:uiPriority w:val="0"/>
    <w:rPr>
      <w:color w:val="23527C"/>
      <w:shd w:val="clear" w:color="auto" w:fill="EEEEEE"/>
    </w:rPr>
  </w:style>
  <w:style w:type="character" w:customStyle="1" w:styleId="103">
    <w:name w:val="font101"/>
    <w:qFormat/>
    <w:uiPriority w:val="0"/>
    <w:rPr>
      <w:rFonts w:hint="eastAsia" w:ascii="宋体" w:hAnsi="宋体" w:eastAsia="宋体" w:cs="宋体"/>
      <w:color w:val="000000"/>
      <w:sz w:val="20"/>
      <w:szCs w:val="20"/>
      <w:u w:val="none"/>
    </w:rPr>
  </w:style>
  <w:style w:type="character" w:customStyle="1" w:styleId="104">
    <w:name w:val="font14zd"/>
    <w:basedOn w:val="47"/>
    <w:qFormat/>
    <w:uiPriority w:val="0"/>
  </w:style>
  <w:style w:type="character" w:customStyle="1" w:styleId="105">
    <w:name w:val="m_391"/>
    <w:qFormat/>
    <w:uiPriority w:val="0"/>
  </w:style>
  <w:style w:type="character" w:customStyle="1" w:styleId="106">
    <w:name w:val="hover9"/>
    <w:qFormat/>
    <w:uiPriority w:val="0"/>
    <w:rPr>
      <w:color w:val="23527C"/>
      <w:shd w:val="clear" w:color="auto" w:fill="EEEEEE"/>
    </w:rPr>
  </w:style>
  <w:style w:type="character" w:customStyle="1" w:styleId="107">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08">
    <w:name w:val="publishtime"/>
    <w:qFormat/>
    <w:uiPriority w:val="0"/>
    <w:rPr>
      <w:color w:val="666666"/>
    </w:rPr>
  </w:style>
  <w:style w:type="character" w:customStyle="1" w:styleId="109">
    <w:name w:val="text-overflow"/>
    <w:qFormat/>
    <w:uiPriority w:val="0"/>
    <w:rPr>
      <w:sz w:val="21"/>
      <w:szCs w:val="21"/>
    </w:rPr>
  </w:style>
  <w:style w:type="character" w:customStyle="1" w:styleId="110">
    <w:name w:val="hover"/>
    <w:qFormat/>
    <w:uiPriority w:val="0"/>
    <w:rPr>
      <w:color w:val="23527C"/>
      <w:shd w:val="clear" w:color="auto" w:fill="EEEEEE"/>
    </w:rPr>
  </w:style>
  <w:style w:type="character" w:customStyle="1" w:styleId="111">
    <w:name w:val="focus1"/>
    <w:qFormat/>
    <w:uiPriority w:val="0"/>
    <w:rPr>
      <w:color w:val="23527C"/>
      <w:shd w:val="clear" w:color="auto" w:fill="EEEEEE"/>
    </w:rPr>
  </w:style>
  <w:style w:type="character" w:customStyle="1" w:styleId="112">
    <w:name w:val="m_491"/>
    <w:qFormat/>
    <w:uiPriority w:val="0"/>
  </w:style>
  <w:style w:type="character" w:customStyle="1" w:styleId="113">
    <w:name w:val="bold"/>
    <w:qFormat/>
    <w:uiPriority w:val="0"/>
    <w:rPr>
      <w:b/>
    </w:rPr>
  </w:style>
  <w:style w:type="character" w:customStyle="1" w:styleId="114">
    <w:name w:val="m_01"/>
    <w:qFormat/>
    <w:uiPriority w:val="0"/>
  </w:style>
  <w:style w:type="character" w:customStyle="1" w:styleId="115">
    <w:name w:val="font112"/>
    <w:qFormat/>
    <w:uiPriority w:val="0"/>
    <w:rPr>
      <w:rFonts w:hint="eastAsia" w:ascii="宋体" w:hAnsi="宋体" w:eastAsia="宋体" w:cs="宋体"/>
      <w:color w:val="000000"/>
      <w:sz w:val="18"/>
      <w:szCs w:val="18"/>
      <w:u w:val="none"/>
    </w:rPr>
  </w:style>
  <w:style w:type="character" w:customStyle="1" w:styleId="116">
    <w:name w:val="标题 7 Char"/>
    <w:link w:val="10"/>
    <w:qFormat/>
    <w:uiPriority w:val="0"/>
    <w:rPr>
      <w:b/>
      <w:kern w:val="2"/>
      <w:sz w:val="21"/>
    </w:rPr>
  </w:style>
  <w:style w:type="character" w:customStyle="1" w:styleId="117">
    <w:name w:val="批注文字 Char1"/>
    <w:link w:val="18"/>
    <w:qFormat/>
    <w:uiPriority w:val="0"/>
    <w:rPr>
      <w:kern w:val="2"/>
      <w:sz w:val="21"/>
      <w:szCs w:val="24"/>
    </w:rPr>
  </w:style>
  <w:style w:type="character" w:customStyle="1" w:styleId="118">
    <w:name w:val="正文文本 Char"/>
    <w:basedOn w:val="47"/>
    <w:link w:val="3"/>
    <w:qFormat/>
    <w:uiPriority w:val="0"/>
    <w:rPr>
      <w:kern w:val="2"/>
      <w:sz w:val="28"/>
      <w:szCs w:val="24"/>
    </w:rPr>
  </w:style>
  <w:style w:type="character" w:customStyle="1" w:styleId="119">
    <w:name w:val="普通(网站) Char"/>
    <w:link w:val="42"/>
    <w:qFormat/>
    <w:uiPriority w:val="0"/>
    <w:rPr>
      <w:sz w:val="24"/>
      <w:szCs w:val="24"/>
    </w:rPr>
  </w:style>
  <w:style w:type="character" w:customStyle="1" w:styleId="120">
    <w:name w:val="日期 Char"/>
    <w:basedOn w:val="47"/>
    <w:link w:val="27"/>
    <w:qFormat/>
    <w:uiPriority w:val="0"/>
    <w:rPr>
      <w:rFonts w:eastAsia="楷体_GB2312"/>
      <w:kern w:val="2"/>
      <w:sz w:val="32"/>
    </w:rPr>
  </w:style>
  <w:style w:type="character" w:customStyle="1" w:styleId="121">
    <w:name w:val="正文首行缩进 Char"/>
    <w:basedOn w:val="118"/>
    <w:link w:val="2"/>
    <w:semiHidden/>
    <w:qFormat/>
    <w:uiPriority w:val="99"/>
    <w:rPr>
      <w:kern w:val="2"/>
      <w:sz w:val="21"/>
      <w:szCs w:val="24"/>
    </w:rPr>
  </w:style>
  <w:style w:type="table" w:customStyle="1" w:styleId="122">
    <w:name w:val="网格型1"/>
    <w:basedOn w:val="4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24">
    <w:name w:val="列出段落 Char"/>
    <w:link w:val="57"/>
    <w:qFormat/>
    <w:locked/>
    <w:uiPriority w:val="99"/>
    <w:rPr>
      <w:rFonts w:ascii="Calibri" w:hAnsi="Calibri"/>
      <w:kern w:val="2"/>
      <w:sz w:val="21"/>
      <w:szCs w:val="22"/>
    </w:rPr>
  </w:style>
  <w:style w:type="paragraph" w:customStyle="1" w:styleId="125">
    <w:name w:val="四号正文"/>
    <w:basedOn w:val="1"/>
    <w:qFormat/>
    <w:uiPriority w:val="0"/>
    <w:pPr>
      <w:spacing w:line="360" w:lineRule="auto"/>
      <w:ind w:firstLine="560" w:firstLineChars="200"/>
    </w:pPr>
    <w:rPr>
      <w:rFonts w:ascii="Calibri" w:hAnsi="Calibri"/>
      <w:sz w:val="28"/>
      <w:szCs w:val="28"/>
    </w:rPr>
  </w:style>
  <w:style w:type="paragraph" w:customStyle="1" w:styleId="126">
    <w:name w:val="1"/>
    <w:basedOn w:val="1"/>
    <w:next w:val="57"/>
    <w:qFormat/>
    <w:uiPriority w:val="99"/>
    <w:pPr>
      <w:ind w:firstLine="420" w:firstLineChars="200"/>
    </w:pPr>
    <w:rPr>
      <w:rFonts w:ascii="Calibri" w:hAnsi="Calibri"/>
      <w:szCs w:val="22"/>
    </w:rPr>
  </w:style>
  <w:style w:type="paragraph" w:customStyle="1" w:styleId="127">
    <w:name w:val="政法委正文样式"/>
    <w:basedOn w:val="125"/>
    <w:qFormat/>
    <w:uiPriority w:val="0"/>
    <w:pPr>
      <w:ind w:firstLine="0" w:firstLineChars="0"/>
    </w:pPr>
    <w:rPr>
      <w:rFonts w:ascii="仿宋" w:hAnsi="仿宋" w:eastAsia="仿宋"/>
      <w:color w:val="000000"/>
    </w:rPr>
  </w:style>
  <w:style w:type="paragraph" w:customStyle="1" w:styleId="12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29">
    <w:name w:val="apple-style-span"/>
    <w:basedOn w:val="47"/>
    <w:qFormat/>
    <w:uiPriority w:val="0"/>
  </w:style>
  <w:style w:type="paragraph" w:customStyle="1" w:styleId="130">
    <w:name w:val="Blockquote"/>
    <w:basedOn w:val="1"/>
    <w:qFormat/>
    <w:uiPriority w:val="0"/>
    <w:pPr>
      <w:autoSpaceDE w:val="0"/>
      <w:autoSpaceDN w:val="0"/>
      <w:adjustRightInd w:val="0"/>
      <w:spacing w:before="100" w:after="100"/>
      <w:ind w:left="360" w:right="360"/>
      <w:jc w:val="left"/>
    </w:pPr>
    <w:rPr>
      <w:sz w:val="24"/>
    </w:rPr>
  </w:style>
  <w:style w:type="paragraph" w:customStyle="1" w:styleId="131">
    <w:name w:val="WPSOffice手动目录 1"/>
    <w:qFormat/>
    <w:uiPriority w:val="0"/>
    <w:pPr>
      <w:ind w:leftChars="0"/>
    </w:pPr>
    <w:rPr>
      <w:rFonts w:ascii="Times New Roman" w:hAnsi="Times New Roman" w:eastAsia="宋体" w:cs="Times New Roman"/>
      <w:sz w:val="20"/>
      <w:szCs w:val="20"/>
    </w:rPr>
  </w:style>
  <w:style w:type="paragraph" w:customStyle="1" w:styleId="132">
    <w:name w:val="正文 "/>
    <w:qFormat/>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lang w:val="en-US" w:eastAsia="zh-CN" w:bidi="ar-SA"/>
    </w:rPr>
  </w:style>
  <w:style w:type="paragraph" w:customStyle="1" w:styleId="133">
    <w:name w:val="正文缩进1"/>
    <w:qFormat/>
    <w:uiPriority w:val="0"/>
    <w:pPr>
      <w:ind w:firstLine="420"/>
    </w:pPr>
    <w:rPr>
      <w:rFonts w:ascii="Times New Roman" w:hAnsi="Times New Roman" w:eastAsiaTheme="minorEastAsia" w:cstheme="minorBidi"/>
      <w:sz w:val="21"/>
      <w:lang w:val="en-US" w:eastAsia="zh-CN" w:bidi="ar-SA"/>
    </w:rPr>
  </w:style>
  <w:style w:type="paragraph" w:customStyle="1" w:styleId="134">
    <w:name w:val="Normal Indent"/>
    <w:qFormat/>
    <w:uiPriority w:val="0"/>
    <w:pPr>
      <w:widowControl/>
      <w:ind w:firstLine="420"/>
      <w:jc w:val="left"/>
    </w:pPr>
    <w:rPr>
      <w:rFonts w:ascii="Times New Roman" w:hAnsi="Times New Roman" w:eastAsiaTheme="minorEastAsia" w:cstheme="minorBidi"/>
      <w:kern w:val="0"/>
      <w:sz w:val="21"/>
      <w:szCs w:val="20"/>
      <w:lang w:val="en-US" w:eastAsia="zh-CN" w:bidi="ar-SA"/>
    </w:rPr>
  </w:style>
  <w:style w:type="paragraph" w:customStyle="1" w:styleId="135">
    <w:name w:val="Normal Indent1"/>
    <w:basedOn w:val="1"/>
    <w:qFormat/>
    <w:uiPriority w:val="0"/>
    <w:pPr>
      <w:ind w:firstLine="420" w:firstLineChars="200"/>
    </w:pPr>
  </w:style>
  <w:style w:type="character" w:customStyle="1" w:styleId="136">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D46B5-AC2D-4DE6-8F93-3AD2098D0F6F}">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54</Pages>
  <Words>23376</Words>
  <Characters>24319</Characters>
  <Lines>465</Lines>
  <Paragraphs>130</Paragraphs>
  <TotalTime>0</TotalTime>
  <ScaleCrop>false</ScaleCrop>
  <LinksUpToDate>false</LinksUpToDate>
  <CharactersWithSpaces>24819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2019-06-25T22:54:00Z</dcterms:created>
  <dc:creator>黄旭明</dc:creator>
  <cp:lastModifiedBy>斌</cp:lastModifiedBy>
  <cp:lastPrinted>2025-01-23T04:59:00Z</cp:lastPrinted>
  <dcterms:modified xsi:type="dcterms:W3CDTF">2025-02-12T03:04:12Z</dcterms:modified>
  <dc:title>宁波市鄞州区城区内河管理处工程项目设计单位年度资格入围</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0A6054DE14AD4DF4B762623F6649EC81_13</vt:lpwstr>
  </property>
  <property fmtid="{D5CDD505-2E9C-101B-9397-08002B2CF9AE}" pid="4" name="KSOTemplateDocerSaveRecord">
    <vt:lpwstr>eyJoZGlkIjoiNzY3MWZhZWQ0NzIyMDJmOTFiMWM5YWI5NDkzMDUwMmEiLCJ1c2VySWQiOiIyMzIwMTE0NjkifQ==</vt:lpwstr>
  </property>
</Properties>
</file>